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B8DE8" w14:textId="61F9F17C" w:rsidR="00D873AA" w:rsidRPr="008E4CAB" w:rsidRDefault="00D873AA" w:rsidP="008E4CAB">
      <w:pPr>
        <w:pStyle w:val="Title"/>
        <w:spacing w:line="360" w:lineRule="auto"/>
        <w:jc w:val="center"/>
        <w:rPr>
          <w:rFonts w:asciiTheme="minorBidi" w:hAnsiTheme="minorBidi" w:cstheme="minorBidi"/>
          <w:color w:val="000000" w:themeColor="text1"/>
          <w:sz w:val="24"/>
          <w:szCs w:val="24"/>
        </w:rPr>
      </w:pPr>
      <w:r w:rsidRPr="008E4CAB">
        <w:rPr>
          <w:rFonts w:asciiTheme="minorBidi" w:hAnsiTheme="minorBidi" w:cstheme="minorBidi"/>
          <w:noProof/>
          <w:color w:val="000000" w:themeColor="text1"/>
          <w:sz w:val="24"/>
          <w:szCs w:val="24"/>
        </w:rPr>
        <w:drawing>
          <wp:inline distT="0" distB="0" distL="0" distR="0" wp14:anchorId="6177E893" wp14:editId="50223275">
            <wp:extent cx="2006600" cy="787400"/>
            <wp:effectExtent l="0" t="0" r="0" b="0"/>
            <wp:docPr id="1022808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808855" name=""/>
                    <pic:cNvPicPr/>
                  </pic:nvPicPr>
                  <pic:blipFill>
                    <a:blip r:embed="rId8"/>
                    <a:stretch>
                      <a:fillRect/>
                    </a:stretch>
                  </pic:blipFill>
                  <pic:spPr>
                    <a:xfrm>
                      <a:off x="0" y="0"/>
                      <a:ext cx="2006600" cy="787400"/>
                    </a:xfrm>
                    <a:prstGeom prst="rect">
                      <a:avLst/>
                    </a:prstGeom>
                  </pic:spPr>
                </pic:pic>
              </a:graphicData>
            </a:graphic>
          </wp:inline>
        </w:drawing>
      </w:r>
    </w:p>
    <w:p w14:paraId="514DC0EB" w14:textId="1A79C3E8" w:rsidR="001338C8" w:rsidRPr="008E4CAB" w:rsidRDefault="001338C8" w:rsidP="008E4CAB">
      <w:pPr>
        <w:spacing w:line="360" w:lineRule="auto"/>
        <w:jc w:val="center"/>
        <w:rPr>
          <w:rFonts w:asciiTheme="minorBidi" w:hAnsiTheme="minorBidi"/>
          <w:b/>
          <w:bCs/>
          <w:sz w:val="44"/>
          <w:szCs w:val="44"/>
        </w:rPr>
      </w:pPr>
      <w:r w:rsidRPr="008E4CAB">
        <w:rPr>
          <w:rFonts w:asciiTheme="minorBidi" w:hAnsiTheme="minorBidi"/>
          <w:b/>
          <w:bCs/>
          <w:sz w:val="44"/>
          <w:szCs w:val="44"/>
        </w:rPr>
        <w:t>Marketing Environment Analysis and Strategic Growth: SSAB’s Transition to Lower-Carbon Steel</w:t>
      </w:r>
    </w:p>
    <w:p w14:paraId="1268DBBE" w14:textId="595D87DE" w:rsidR="008A6DE9" w:rsidRPr="008E4CAB" w:rsidRDefault="0088095A" w:rsidP="008E4CAB">
      <w:pPr>
        <w:pStyle w:val="Title"/>
        <w:spacing w:line="360" w:lineRule="auto"/>
        <w:jc w:val="center"/>
        <w:rPr>
          <w:rFonts w:asciiTheme="minorBidi" w:hAnsiTheme="minorBidi" w:cstheme="minorBidi"/>
          <w:color w:val="000000" w:themeColor="text1"/>
          <w:sz w:val="24"/>
          <w:szCs w:val="24"/>
        </w:rPr>
      </w:pPr>
      <w:r w:rsidRPr="008E4CAB">
        <w:rPr>
          <w:rFonts w:asciiTheme="minorBidi" w:hAnsiTheme="minorBidi" w:cstheme="minorBidi"/>
        </w:rPr>
        <w:fldChar w:fldCharType="begin"/>
      </w:r>
      <w:r w:rsidRPr="008E4CAB">
        <w:rPr>
          <w:rFonts w:asciiTheme="minorBidi" w:hAnsiTheme="minorBidi" w:cstheme="minorBidi"/>
        </w:rPr>
        <w:instrText xml:space="preserve"> INCLUDEPICTURE "https://encrypted-tbn0.gstatic.com/images?q=tbn:ANd9GcRGyL8_fyezIvAe4UYgwMwc5-a_MsG0ZLakDMfU4sMErA&amp;s=10" \* MERGEFORMATINET </w:instrText>
      </w:r>
      <w:r w:rsidRPr="008E4CAB">
        <w:rPr>
          <w:rFonts w:asciiTheme="minorBidi" w:hAnsiTheme="minorBidi" w:cstheme="minorBidi"/>
        </w:rPr>
        <w:fldChar w:fldCharType="separate"/>
      </w:r>
      <w:r w:rsidRPr="008E4CAB">
        <w:rPr>
          <w:rFonts w:asciiTheme="minorBidi" w:hAnsiTheme="minorBidi" w:cstheme="minorBidi"/>
          <w:noProof/>
        </w:rPr>
        <w:drawing>
          <wp:inline distT="0" distB="0" distL="0" distR="0" wp14:anchorId="0AFB872A" wp14:editId="4F65E9A2">
            <wp:extent cx="2184400" cy="1225307"/>
            <wp:effectExtent l="0" t="0" r="0" b="0"/>
            <wp:docPr id="228096297" name="Picture 4" descr="SSAB raises €430 million in financing for Luleå green transformation - EUROME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AB raises €430 million in financing for Luleå green transformation - EUROMETA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9141" cy="1233576"/>
                    </a:xfrm>
                    <a:prstGeom prst="rect">
                      <a:avLst/>
                    </a:prstGeom>
                    <a:noFill/>
                    <a:ln>
                      <a:noFill/>
                    </a:ln>
                  </pic:spPr>
                </pic:pic>
              </a:graphicData>
            </a:graphic>
          </wp:inline>
        </w:drawing>
      </w:r>
      <w:r w:rsidRPr="008E4CAB">
        <w:rPr>
          <w:rFonts w:asciiTheme="minorBidi" w:hAnsiTheme="minorBidi" w:cstheme="minorBidi"/>
        </w:rPr>
        <w:fldChar w:fldCharType="end"/>
      </w:r>
    </w:p>
    <w:p w14:paraId="14118F29" w14:textId="77777777" w:rsidR="00D873AA" w:rsidRPr="008E4CAB" w:rsidRDefault="00D873AA" w:rsidP="008E4CAB">
      <w:pPr>
        <w:pStyle w:val="Title"/>
        <w:spacing w:line="360" w:lineRule="auto"/>
        <w:jc w:val="center"/>
        <w:rPr>
          <w:rFonts w:asciiTheme="minorBidi" w:hAnsiTheme="minorBidi" w:cstheme="minorBidi"/>
          <w:color w:val="000000" w:themeColor="text1"/>
          <w:sz w:val="28"/>
          <w:szCs w:val="28"/>
        </w:rPr>
      </w:pPr>
      <w:proofErr w:type="spellStart"/>
      <w:r w:rsidRPr="008E4CAB">
        <w:rPr>
          <w:rFonts w:asciiTheme="minorBidi" w:hAnsiTheme="minorBidi" w:cstheme="minorBidi"/>
          <w:color w:val="000000" w:themeColor="text1"/>
          <w:sz w:val="28"/>
          <w:szCs w:val="28"/>
        </w:rPr>
        <w:t>Programme</w:t>
      </w:r>
      <w:proofErr w:type="spellEnd"/>
      <w:r w:rsidRPr="008E4CAB">
        <w:rPr>
          <w:rFonts w:asciiTheme="minorBidi" w:hAnsiTheme="minorBidi" w:cstheme="minorBidi"/>
          <w:color w:val="000000" w:themeColor="text1"/>
          <w:sz w:val="28"/>
          <w:szCs w:val="28"/>
        </w:rPr>
        <w:t>: Master of Business Administration</w:t>
      </w:r>
    </w:p>
    <w:p w14:paraId="00ADD32B" w14:textId="5D873AF0" w:rsidR="00D873AA" w:rsidRPr="008E4CAB" w:rsidRDefault="00D873AA" w:rsidP="008E4CAB">
      <w:pPr>
        <w:pStyle w:val="Title"/>
        <w:spacing w:line="360" w:lineRule="auto"/>
        <w:jc w:val="center"/>
        <w:rPr>
          <w:rFonts w:asciiTheme="minorBidi" w:hAnsiTheme="minorBidi" w:cstheme="minorBidi"/>
          <w:color w:val="000000" w:themeColor="text1"/>
          <w:sz w:val="28"/>
          <w:szCs w:val="28"/>
        </w:rPr>
      </w:pPr>
      <w:r w:rsidRPr="008E4CAB">
        <w:rPr>
          <w:rFonts w:asciiTheme="minorBidi" w:hAnsiTheme="minorBidi" w:cstheme="minorBidi"/>
          <w:color w:val="000000" w:themeColor="text1"/>
          <w:sz w:val="28"/>
          <w:szCs w:val="28"/>
        </w:rPr>
        <w:t xml:space="preserve">Module: </w:t>
      </w:r>
      <w:r w:rsidR="008A6DE9" w:rsidRPr="008E4CAB">
        <w:rPr>
          <w:rFonts w:asciiTheme="minorBidi" w:hAnsiTheme="minorBidi" w:cstheme="minorBidi"/>
          <w:color w:val="000000" w:themeColor="text1"/>
          <w:sz w:val="28"/>
          <w:szCs w:val="28"/>
        </w:rPr>
        <w:t>Marketing Management</w:t>
      </w:r>
    </w:p>
    <w:p w14:paraId="278ABFBC" w14:textId="5BC85DD1" w:rsidR="00D873AA" w:rsidRPr="008E4CAB" w:rsidRDefault="00D873AA" w:rsidP="008E4CAB">
      <w:pPr>
        <w:pStyle w:val="Title"/>
        <w:spacing w:line="360" w:lineRule="auto"/>
        <w:jc w:val="center"/>
        <w:rPr>
          <w:rFonts w:asciiTheme="minorBidi" w:hAnsiTheme="minorBidi" w:cstheme="minorBidi"/>
          <w:color w:val="000000" w:themeColor="text1"/>
          <w:sz w:val="28"/>
          <w:szCs w:val="28"/>
        </w:rPr>
      </w:pPr>
      <w:r w:rsidRPr="008E4CAB">
        <w:rPr>
          <w:rFonts w:asciiTheme="minorBidi" w:hAnsiTheme="minorBidi" w:cstheme="minorBidi"/>
          <w:color w:val="000000" w:themeColor="text1"/>
          <w:sz w:val="28"/>
          <w:szCs w:val="28"/>
        </w:rPr>
        <w:t xml:space="preserve">Module code: </w:t>
      </w:r>
      <w:r w:rsidR="008A6DE9" w:rsidRPr="008E4CAB">
        <w:rPr>
          <w:rFonts w:asciiTheme="minorBidi" w:hAnsiTheme="minorBidi" w:cstheme="minorBidi"/>
          <w:color w:val="000000" w:themeColor="text1"/>
          <w:sz w:val="28"/>
          <w:szCs w:val="28"/>
        </w:rPr>
        <w:t>LCMB7024</w:t>
      </w:r>
    </w:p>
    <w:p w14:paraId="517B4AC8" w14:textId="525B34CA" w:rsidR="00D873AA" w:rsidRPr="008E4CAB" w:rsidRDefault="00D873AA" w:rsidP="008E4CAB">
      <w:pPr>
        <w:pStyle w:val="Title"/>
        <w:spacing w:line="360" w:lineRule="auto"/>
        <w:jc w:val="center"/>
        <w:rPr>
          <w:rFonts w:asciiTheme="minorBidi" w:hAnsiTheme="minorBidi" w:cstheme="minorBidi"/>
          <w:color w:val="000000" w:themeColor="text1"/>
          <w:sz w:val="28"/>
          <w:szCs w:val="28"/>
        </w:rPr>
      </w:pPr>
      <w:r w:rsidRPr="008E4CAB">
        <w:rPr>
          <w:rFonts w:asciiTheme="minorBidi" w:hAnsiTheme="minorBidi" w:cstheme="minorBidi"/>
          <w:color w:val="000000" w:themeColor="text1"/>
          <w:sz w:val="28"/>
          <w:szCs w:val="28"/>
        </w:rPr>
        <w:t>Student name:</w:t>
      </w:r>
      <w:r w:rsidR="001338C8" w:rsidRPr="008E4CAB">
        <w:rPr>
          <w:rFonts w:asciiTheme="minorBidi" w:hAnsiTheme="minorBidi" w:cstheme="minorBidi"/>
          <w:color w:val="000000" w:themeColor="text1"/>
          <w:sz w:val="28"/>
          <w:szCs w:val="28"/>
        </w:rPr>
        <w:t xml:space="preserve"> Hiren </w:t>
      </w:r>
      <w:proofErr w:type="spellStart"/>
      <w:r w:rsidR="001338C8" w:rsidRPr="008E4CAB">
        <w:rPr>
          <w:rFonts w:asciiTheme="minorBidi" w:hAnsiTheme="minorBidi" w:cstheme="minorBidi"/>
          <w:color w:val="000000" w:themeColor="text1"/>
          <w:sz w:val="28"/>
          <w:szCs w:val="28"/>
        </w:rPr>
        <w:t>Nathabhai</w:t>
      </w:r>
      <w:proofErr w:type="spellEnd"/>
      <w:r w:rsidR="001338C8" w:rsidRPr="008E4CAB">
        <w:rPr>
          <w:rFonts w:asciiTheme="minorBidi" w:hAnsiTheme="minorBidi" w:cstheme="minorBidi"/>
          <w:color w:val="000000" w:themeColor="text1"/>
          <w:sz w:val="28"/>
          <w:szCs w:val="28"/>
        </w:rPr>
        <w:t xml:space="preserve"> Timba</w:t>
      </w:r>
    </w:p>
    <w:p w14:paraId="01F0AC72" w14:textId="724532F3" w:rsidR="00D873AA" w:rsidRPr="008E4CAB" w:rsidRDefault="00D873AA" w:rsidP="008E4CAB">
      <w:pPr>
        <w:pStyle w:val="Title"/>
        <w:spacing w:line="360" w:lineRule="auto"/>
        <w:jc w:val="center"/>
        <w:rPr>
          <w:rFonts w:asciiTheme="minorBidi" w:hAnsiTheme="minorBidi" w:cstheme="minorBidi"/>
          <w:color w:val="000000" w:themeColor="text1"/>
          <w:sz w:val="28"/>
          <w:szCs w:val="28"/>
        </w:rPr>
      </w:pPr>
      <w:r w:rsidRPr="008E4CAB">
        <w:rPr>
          <w:rFonts w:asciiTheme="minorBidi" w:hAnsiTheme="minorBidi" w:cstheme="minorBidi"/>
          <w:color w:val="000000" w:themeColor="text1"/>
          <w:sz w:val="28"/>
          <w:szCs w:val="28"/>
        </w:rPr>
        <w:t>Student ID:</w:t>
      </w:r>
      <w:r w:rsidR="001338C8" w:rsidRPr="008E4CAB">
        <w:rPr>
          <w:rFonts w:asciiTheme="minorBidi" w:hAnsiTheme="minorBidi" w:cstheme="minorBidi"/>
          <w:color w:val="000000" w:themeColor="text1"/>
          <w:sz w:val="28"/>
          <w:szCs w:val="28"/>
        </w:rPr>
        <w:t xml:space="preserve"> 2611854</w:t>
      </w:r>
    </w:p>
    <w:p w14:paraId="09143BC1" w14:textId="3EFF110F" w:rsidR="00D873AA" w:rsidRPr="008E4CAB" w:rsidRDefault="00D873AA" w:rsidP="008E4CAB">
      <w:pPr>
        <w:pStyle w:val="Title"/>
        <w:spacing w:line="360" w:lineRule="auto"/>
        <w:jc w:val="center"/>
        <w:rPr>
          <w:rFonts w:asciiTheme="minorBidi" w:hAnsiTheme="minorBidi" w:cstheme="minorBidi"/>
          <w:color w:val="000000" w:themeColor="text1"/>
          <w:sz w:val="28"/>
          <w:szCs w:val="28"/>
        </w:rPr>
      </w:pPr>
      <w:r w:rsidRPr="008E4CAB">
        <w:rPr>
          <w:rFonts w:asciiTheme="minorBidi" w:hAnsiTheme="minorBidi" w:cstheme="minorBidi"/>
          <w:color w:val="000000" w:themeColor="text1"/>
          <w:sz w:val="28"/>
          <w:szCs w:val="28"/>
        </w:rPr>
        <w:t>Word count:</w:t>
      </w:r>
      <w:r w:rsidR="001338C8" w:rsidRPr="008E4CAB">
        <w:rPr>
          <w:rFonts w:asciiTheme="minorBidi" w:hAnsiTheme="minorBidi" w:cstheme="minorBidi"/>
          <w:color w:val="000000" w:themeColor="text1"/>
          <w:sz w:val="28"/>
          <w:szCs w:val="28"/>
        </w:rPr>
        <w:t>2656</w:t>
      </w:r>
    </w:p>
    <w:p w14:paraId="5756AA63" w14:textId="2D2F6A29" w:rsidR="00F47258" w:rsidRPr="008E4CAB" w:rsidRDefault="00F47258" w:rsidP="008E4CAB">
      <w:pPr>
        <w:pStyle w:val="Title"/>
        <w:spacing w:line="360" w:lineRule="auto"/>
        <w:jc w:val="center"/>
        <w:rPr>
          <w:rFonts w:asciiTheme="minorBidi" w:hAnsiTheme="minorBidi" w:cstheme="minorBidi"/>
          <w:b w:val="0"/>
          <w:bCs w:val="0"/>
          <w:color w:val="000000" w:themeColor="text1"/>
          <w:sz w:val="28"/>
          <w:szCs w:val="28"/>
        </w:rPr>
      </w:pPr>
      <w:r w:rsidRPr="008E4CAB">
        <w:rPr>
          <w:rFonts w:asciiTheme="minorBidi" w:hAnsiTheme="minorBidi" w:cstheme="minorBidi"/>
          <w:color w:val="000000" w:themeColor="text1"/>
          <w:sz w:val="28"/>
          <w:szCs w:val="28"/>
        </w:rPr>
        <w:t>Lecturer’s Name:</w:t>
      </w:r>
      <w:r w:rsidRPr="008E4CAB">
        <w:rPr>
          <w:rFonts w:asciiTheme="minorBidi" w:hAnsiTheme="minorBidi" w:cstheme="minorBidi"/>
          <w:b w:val="0"/>
          <w:bCs w:val="0"/>
          <w:color w:val="000000" w:themeColor="text1"/>
          <w:sz w:val="28"/>
          <w:szCs w:val="28"/>
        </w:rPr>
        <w:t xml:space="preserve"> </w:t>
      </w:r>
      <w:proofErr w:type="spellStart"/>
      <w:r w:rsidRPr="008E4CAB">
        <w:rPr>
          <w:rFonts w:asciiTheme="minorBidi" w:hAnsiTheme="minorBidi" w:cstheme="minorBidi"/>
          <w:b w:val="0"/>
          <w:bCs w:val="0"/>
          <w:color w:val="000000" w:themeColor="text1"/>
          <w:sz w:val="28"/>
          <w:szCs w:val="28"/>
        </w:rPr>
        <w:t>Taonga</w:t>
      </w:r>
      <w:proofErr w:type="spellEnd"/>
      <w:r w:rsidRPr="008E4CAB">
        <w:rPr>
          <w:rFonts w:asciiTheme="minorBidi" w:hAnsiTheme="minorBidi" w:cstheme="minorBidi"/>
          <w:b w:val="0"/>
          <w:bCs w:val="0"/>
          <w:color w:val="000000" w:themeColor="text1"/>
          <w:sz w:val="28"/>
          <w:szCs w:val="28"/>
        </w:rPr>
        <w:t xml:space="preserve"> </w:t>
      </w:r>
      <w:proofErr w:type="spellStart"/>
      <w:r w:rsidRPr="008E4CAB">
        <w:rPr>
          <w:rFonts w:asciiTheme="minorBidi" w:hAnsiTheme="minorBidi" w:cstheme="minorBidi"/>
          <w:b w:val="0"/>
          <w:bCs w:val="0"/>
          <w:color w:val="000000" w:themeColor="text1"/>
          <w:sz w:val="28"/>
          <w:szCs w:val="28"/>
        </w:rPr>
        <w:t>Kaon</w:t>
      </w:r>
      <w:r w:rsidR="001338C8" w:rsidRPr="008E4CAB">
        <w:rPr>
          <w:rFonts w:asciiTheme="minorBidi" w:hAnsiTheme="minorBidi" w:cstheme="minorBidi"/>
          <w:b w:val="0"/>
          <w:bCs w:val="0"/>
          <w:color w:val="000000" w:themeColor="text1"/>
          <w:sz w:val="28"/>
          <w:szCs w:val="28"/>
        </w:rPr>
        <w:t>pc</w:t>
      </w:r>
      <w:r w:rsidRPr="008E4CAB">
        <w:rPr>
          <w:rFonts w:asciiTheme="minorBidi" w:hAnsiTheme="minorBidi" w:cstheme="minorBidi"/>
          <w:b w:val="0"/>
          <w:bCs w:val="0"/>
          <w:color w:val="000000" w:themeColor="text1"/>
          <w:sz w:val="28"/>
          <w:szCs w:val="28"/>
        </w:rPr>
        <w:t>ga</w:t>
      </w:r>
      <w:proofErr w:type="spellEnd"/>
      <w:r w:rsidRPr="008E4CAB">
        <w:rPr>
          <w:rFonts w:asciiTheme="minorBidi" w:hAnsiTheme="minorBidi" w:cstheme="minorBidi"/>
          <w:b w:val="0"/>
          <w:bCs w:val="0"/>
          <w:color w:val="000000" w:themeColor="text1"/>
          <w:sz w:val="28"/>
          <w:szCs w:val="28"/>
        </w:rPr>
        <w:t xml:space="preserve"> </w:t>
      </w:r>
      <w:proofErr w:type="spellStart"/>
      <w:r w:rsidRPr="008E4CAB">
        <w:rPr>
          <w:rFonts w:asciiTheme="minorBidi" w:hAnsiTheme="minorBidi" w:cstheme="minorBidi"/>
          <w:b w:val="0"/>
          <w:bCs w:val="0"/>
          <w:color w:val="000000" w:themeColor="text1"/>
          <w:sz w:val="28"/>
          <w:szCs w:val="28"/>
        </w:rPr>
        <w:t>Sobere-Snithers</w:t>
      </w:r>
      <w:proofErr w:type="spellEnd"/>
      <w:r w:rsidRPr="008E4CAB">
        <w:rPr>
          <w:rFonts w:asciiTheme="minorBidi" w:hAnsiTheme="minorBidi" w:cstheme="minorBidi"/>
          <w:b w:val="0"/>
          <w:bCs w:val="0"/>
          <w:color w:val="000000" w:themeColor="text1"/>
          <w:sz w:val="28"/>
          <w:szCs w:val="28"/>
        </w:rPr>
        <w:t>(Birmingham)</w:t>
      </w:r>
    </w:p>
    <w:p w14:paraId="61C23EE8" w14:textId="633C46C0" w:rsidR="00D873AA" w:rsidRPr="008E4CAB" w:rsidRDefault="00D873AA" w:rsidP="008E4CAB">
      <w:pPr>
        <w:pStyle w:val="Title"/>
        <w:spacing w:line="360" w:lineRule="auto"/>
        <w:jc w:val="center"/>
        <w:rPr>
          <w:rFonts w:asciiTheme="minorBidi" w:hAnsiTheme="minorBidi" w:cstheme="minorBidi"/>
          <w:color w:val="000000" w:themeColor="text1"/>
          <w:sz w:val="28"/>
          <w:szCs w:val="28"/>
        </w:rPr>
      </w:pPr>
      <w:r w:rsidRPr="008E4CAB">
        <w:rPr>
          <w:rFonts w:asciiTheme="minorBidi" w:hAnsiTheme="minorBidi" w:cstheme="minorBidi"/>
          <w:color w:val="000000" w:themeColor="text1"/>
          <w:sz w:val="28"/>
          <w:szCs w:val="28"/>
        </w:rPr>
        <w:t>Submission date:</w:t>
      </w:r>
      <w:r w:rsidR="001338C8" w:rsidRPr="008E4CAB">
        <w:rPr>
          <w:rFonts w:asciiTheme="minorBidi" w:hAnsiTheme="minorBidi" w:cstheme="minorBidi"/>
          <w:b w:val="0"/>
          <w:bCs w:val="0"/>
          <w:color w:val="000000" w:themeColor="text1"/>
          <w:sz w:val="28"/>
          <w:szCs w:val="28"/>
        </w:rPr>
        <w:t>22 October 2026</w:t>
      </w:r>
    </w:p>
    <w:p w14:paraId="78985F79" w14:textId="77777777" w:rsidR="00D873AA" w:rsidRPr="008E4CAB" w:rsidRDefault="00D873AA" w:rsidP="008E4CAB">
      <w:pPr>
        <w:spacing w:line="360" w:lineRule="auto"/>
        <w:ind w:firstLine="0"/>
        <w:rPr>
          <w:rFonts w:asciiTheme="minorBidi" w:hAnsiTheme="minorBidi"/>
          <w:color w:val="000000" w:themeColor="text1"/>
          <w:sz w:val="24"/>
          <w:szCs w:val="24"/>
        </w:rPr>
      </w:pPr>
    </w:p>
    <w:p w14:paraId="48FB9FD3" w14:textId="77777777" w:rsidR="00F47258" w:rsidRPr="008E4CAB" w:rsidRDefault="00F47258" w:rsidP="008E4CAB">
      <w:pPr>
        <w:spacing w:line="360" w:lineRule="auto"/>
        <w:ind w:firstLine="0"/>
        <w:rPr>
          <w:rFonts w:asciiTheme="minorBidi" w:eastAsia="Times New Roman" w:hAnsiTheme="minorBidi"/>
          <w:b/>
          <w:bCs/>
          <w:color w:val="000000" w:themeColor="text1"/>
          <w:sz w:val="24"/>
          <w:szCs w:val="24"/>
          <w:lang w:eastAsia="en-GB"/>
        </w:rPr>
      </w:pPr>
    </w:p>
    <w:sdt>
      <w:sdtPr>
        <w:rPr>
          <w:rFonts w:asciiTheme="minorBidi" w:eastAsiaTheme="minorEastAsia" w:hAnsiTheme="minorBidi" w:cstheme="minorBidi"/>
          <w:b w:val="0"/>
          <w:bCs w:val="0"/>
          <w:i w:val="0"/>
          <w:iCs w:val="0"/>
          <w:color w:val="000000" w:themeColor="text1"/>
          <w:sz w:val="24"/>
          <w:szCs w:val="24"/>
        </w:rPr>
        <w:id w:val="-93717955"/>
        <w:docPartObj>
          <w:docPartGallery w:val="Table of Contents"/>
          <w:docPartUnique/>
        </w:docPartObj>
      </w:sdtPr>
      <w:sdtEndPr>
        <w:rPr>
          <w:noProof/>
        </w:rPr>
      </w:sdtEndPr>
      <w:sdtContent>
        <w:p w14:paraId="6619F259" w14:textId="6A2E779C" w:rsidR="0088095A" w:rsidRPr="008E4CAB" w:rsidRDefault="0088095A" w:rsidP="008E4CAB">
          <w:pPr>
            <w:pStyle w:val="TOCHeading"/>
            <w:numPr>
              <w:ilvl w:val="0"/>
              <w:numId w:val="0"/>
            </w:numPr>
            <w:ind w:left="432" w:hanging="432"/>
            <w:jc w:val="both"/>
            <w:rPr>
              <w:rFonts w:asciiTheme="minorBidi" w:hAnsiTheme="minorBidi" w:cstheme="minorBidi"/>
              <w:color w:val="000000" w:themeColor="text1"/>
              <w:sz w:val="24"/>
              <w:szCs w:val="24"/>
            </w:rPr>
          </w:pPr>
          <w:r w:rsidRPr="008E4CAB">
            <w:rPr>
              <w:rFonts w:asciiTheme="minorBidi" w:hAnsiTheme="minorBidi" w:cstheme="minorBidi"/>
              <w:color w:val="000000" w:themeColor="text1"/>
              <w:sz w:val="24"/>
              <w:szCs w:val="24"/>
            </w:rPr>
            <w:t>Table of Contents</w:t>
          </w:r>
        </w:p>
        <w:p w14:paraId="289A6038" w14:textId="598ECB45" w:rsidR="008E4CAB" w:rsidRPr="008E4CAB" w:rsidRDefault="0088095A" w:rsidP="008E4CAB">
          <w:pPr>
            <w:pStyle w:val="TOC1"/>
            <w:tabs>
              <w:tab w:val="left" w:pos="880"/>
              <w:tab w:val="right" w:leader="dot" w:pos="9016"/>
            </w:tabs>
            <w:spacing w:line="360" w:lineRule="auto"/>
            <w:rPr>
              <w:rFonts w:asciiTheme="minorBidi" w:hAnsiTheme="minorBidi" w:cstheme="minorBidi"/>
              <w:b w:val="0"/>
              <w:bCs w:val="0"/>
              <w:i w:val="0"/>
              <w:iCs w:val="0"/>
              <w:noProof/>
              <w:kern w:val="2"/>
              <w:szCs w:val="24"/>
              <w:lang w:eastAsia="en-GB"/>
              <w14:ligatures w14:val="standardContextual"/>
            </w:rPr>
          </w:pPr>
          <w:r w:rsidRPr="008E4CAB">
            <w:rPr>
              <w:rFonts w:asciiTheme="minorBidi" w:hAnsiTheme="minorBidi" w:cstheme="minorBidi"/>
              <w:b w:val="0"/>
              <w:bCs w:val="0"/>
              <w:color w:val="000000" w:themeColor="text1"/>
              <w:szCs w:val="24"/>
            </w:rPr>
            <w:fldChar w:fldCharType="begin"/>
          </w:r>
          <w:r w:rsidRPr="008E4CAB">
            <w:rPr>
              <w:rFonts w:asciiTheme="minorBidi" w:hAnsiTheme="minorBidi" w:cstheme="minorBidi"/>
              <w:color w:val="000000" w:themeColor="text1"/>
              <w:szCs w:val="24"/>
            </w:rPr>
            <w:instrText xml:space="preserve"> TOC \o "1-3" \h \z \u </w:instrText>
          </w:r>
          <w:r w:rsidRPr="008E4CAB">
            <w:rPr>
              <w:rFonts w:asciiTheme="minorBidi" w:hAnsiTheme="minorBidi" w:cstheme="minorBidi"/>
              <w:b w:val="0"/>
              <w:bCs w:val="0"/>
              <w:color w:val="000000" w:themeColor="text1"/>
              <w:szCs w:val="24"/>
            </w:rPr>
            <w:fldChar w:fldCharType="separate"/>
          </w:r>
          <w:hyperlink w:anchor="_Toc243550834" w:history="1">
            <w:r w:rsidR="008E4CAB" w:rsidRPr="008E4CAB">
              <w:rPr>
                <w:rStyle w:val="Hyperlink"/>
                <w:rFonts w:asciiTheme="minorBidi" w:hAnsiTheme="minorBidi" w:cstheme="minorBidi"/>
                <w:noProof/>
              </w:rPr>
              <w:t>1</w:t>
            </w:r>
            <w:r w:rsidR="008E4CAB" w:rsidRPr="008E4CAB">
              <w:rPr>
                <w:rFonts w:asciiTheme="minorBidi" w:hAnsiTheme="minorBidi" w:cstheme="minorBidi"/>
                <w:b w:val="0"/>
                <w:bCs w:val="0"/>
                <w:i w:val="0"/>
                <w:iCs w:val="0"/>
                <w:noProof/>
                <w:kern w:val="2"/>
                <w:szCs w:val="24"/>
                <w:lang w:eastAsia="en-GB"/>
                <w14:ligatures w14:val="standardContextual"/>
              </w:rPr>
              <w:tab/>
            </w:r>
            <w:r w:rsidR="008E4CAB" w:rsidRPr="008E4CAB">
              <w:rPr>
                <w:rStyle w:val="Hyperlink"/>
                <w:rFonts w:asciiTheme="minorBidi" w:hAnsiTheme="minorBidi" w:cstheme="minorBidi"/>
                <w:noProof/>
              </w:rPr>
              <w:t>Task 1: Critical Analysis of the External Marketing Environment</w:t>
            </w:r>
            <w:r w:rsidR="008E4CAB" w:rsidRPr="008E4CAB">
              <w:rPr>
                <w:rFonts w:asciiTheme="minorBidi" w:hAnsiTheme="minorBidi" w:cstheme="minorBidi"/>
                <w:noProof/>
                <w:webHidden/>
              </w:rPr>
              <w:tab/>
            </w:r>
            <w:r w:rsidR="008E4CAB" w:rsidRPr="008E4CAB">
              <w:rPr>
                <w:rFonts w:asciiTheme="minorBidi" w:hAnsiTheme="minorBidi" w:cstheme="minorBidi"/>
                <w:noProof/>
                <w:webHidden/>
              </w:rPr>
              <w:fldChar w:fldCharType="begin"/>
            </w:r>
            <w:r w:rsidR="008E4CAB" w:rsidRPr="008E4CAB">
              <w:rPr>
                <w:rFonts w:asciiTheme="minorBidi" w:hAnsiTheme="minorBidi" w:cstheme="minorBidi"/>
                <w:noProof/>
                <w:webHidden/>
              </w:rPr>
              <w:instrText xml:space="preserve"> PAGEREF _Toc243550834 \h </w:instrText>
            </w:r>
            <w:r w:rsidR="008E4CAB" w:rsidRPr="008E4CAB">
              <w:rPr>
                <w:rFonts w:asciiTheme="minorBidi" w:hAnsiTheme="minorBidi" w:cstheme="minorBidi"/>
                <w:noProof/>
                <w:webHidden/>
              </w:rPr>
            </w:r>
            <w:r w:rsidR="008E4CAB" w:rsidRPr="008E4CAB">
              <w:rPr>
                <w:rFonts w:asciiTheme="minorBidi" w:hAnsiTheme="minorBidi" w:cstheme="minorBidi"/>
                <w:noProof/>
                <w:webHidden/>
              </w:rPr>
              <w:fldChar w:fldCharType="separate"/>
            </w:r>
            <w:r w:rsidR="008E4CAB" w:rsidRPr="008E4CAB">
              <w:rPr>
                <w:rFonts w:asciiTheme="minorBidi" w:hAnsiTheme="minorBidi" w:cstheme="minorBidi"/>
                <w:noProof/>
                <w:webHidden/>
              </w:rPr>
              <w:t>3</w:t>
            </w:r>
            <w:r w:rsidR="008E4CAB" w:rsidRPr="008E4CAB">
              <w:rPr>
                <w:rFonts w:asciiTheme="minorBidi" w:hAnsiTheme="minorBidi" w:cstheme="minorBidi"/>
                <w:noProof/>
                <w:webHidden/>
              </w:rPr>
              <w:fldChar w:fldCharType="end"/>
            </w:r>
          </w:hyperlink>
        </w:p>
        <w:p w14:paraId="456A1C89" w14:textId="1A643328"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35" w:history="1">
            <w:r w:rsidRPr="008E4CAB">
              <w:rPr>
                <w:rStyle w:val="Hyperlink"/>
                <w:rFonts w:asciiTheme="minorBidi" w:hAnsiTheme="minorBidi" w:cstheme="minorBidi"/>
                <w:noProof/>
              </w:rPr>
              <w:t>1.1</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Organisational Context and Selection of Environmental Factors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_Toc243550835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3</w:t>
            </w:r>
            <w:r w:rsidRPr="008E4CAB">
              <w:rPr>
                <w:rFonts w:asciiTheme="minorBidi" w:hAnsiTheme="minorBidi" w:cstheme="minorBidi"/>
                <w:noProof/>
                <w:webHidden/>
              </w:rPr>
              <w:fldChar w:fldCharType="end"/>
            </w:r>
          </w:hyperlink>
        </w:p>
        <w:p w14:paraId="12D58598" w14:textId="78517F7B"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36" w:history="1">
            <w:r w:rsidRPr="008E4CAB">
              <w:rPr>
                <w:rStyle w:val="Hyperlink"/>
                <w:rFonts w:asciiTheme="minorBidi" w:hAnsiTheme="minorBidi" w:cstheme="minorBidi"/>
                <w:noProof/>
              </w:rPr>
              <w:t>1.2</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Environmental Factors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_Toc243550836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4</w:t>
            </w:r>
            <w:r w:rsidRPr="008E4CAB">
              <w:rPr>
                <w:rFonts w:asciiTheme="minorBidi" w:hAnsiTheme="minorBidi" w:cstheme="minorBidi"/>
                <w:noProof/>
                <w:webHidden/>
              </w:rPr>
              <w:fldChar w:fldCharType="end"/>
            </w:r>
          </w:hyperlink>
        </w:p>
        <w:p w14:paraId="2472D92F" w14:textId="007D27F2" w:rsidR="008E4CAB" w:rsidRPr="008E4CAB" w:rsidRDefault="008E4CAB" w:rsidP="008E4CAB">
          <w:pPr>
            <w:pStyle w:val="TOC3"/>
            <w:tabs>
              <w:tab w:val="left" w:pos="1540"/>
              <w:tab w:val="right" w:leader="dot" w:pos="9016"/>
            </w:tabs>
            <w:spacing w:line="360" w:lineRule="auto"/>
            <w:rPr>
              <w:rFonts w:asciiTheme="minorBidi" w:hAnsiTheme="minorBidi" w:cstheme="minorBidi"/>
              <w:noProof/>
              <w:kern w:val="2"/>
              <w:sz w:val="24"/>
              <w:lang w:eastAsia="en-GB"/>
              <w14:ligatures w14:val="standardContextual"/>
            </w:rPr>
          </w:pPr>
          <w:hyperlink w:anchor="_Toc243550837" w:history="1">
            <w:r w:rsidRPr="008E4CAB">
              <w:rPr>
                <w:rStyle w:val="Hyperlink"/>
                <w:rFonts w:asciiTheme="minorBidi" w:hAnsiTheme="minorBidi" w:cstheme="minorBidi"/>
                <w:noProof/>
              </w:rPr>
              <w:t>1.2.1</w:t>
            </w:r>
            <w:r w:rsidRPr="008E4CAB">
              <w:rPr>
                <w:rFonts w:asciiTheme="minorBidi" w:hAnsiTheme="minorBidi" w:cstheme="minorBidi"/>
                <w:noProof/>
                <w:kern w:val="2"/>
                <w:sz w:val="24"/>
                <w:lang w:eastAsia="en-GB"/>
                <w14:ligatures w14:val="standardContextual"/>
              </w:rPr>
              <w:tab/>
            </w:r>
            <w:r w:rsidRPr="008E4CAB">
              <w:rPr>
                <w:rStyle w:val="Hyperlink"/>
                <w:rFonts w:asciiTheme="minorBidi" w:hAnsiTheme="minorBidi" w:cstheme="minorBidi"/>
                <w:noProof/>
              </w:rPr>
              <w:t>Decarbonisation Pressure and Carbon Lock-In</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_Toc243550837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4</w:t>
            </w:r>
            <w:r w:rsidRPr="008E4CAB">
              <w:rPr>
                <w:rFonts w:asciiTheme="minorBidi" w:hAnsiTheme="minorBidi" w:cstheme="minorBidi"/>
                <w:noProof/>
                <w:webHidden/>
              </w:rPr>
              <w:fldChar w:fldCharType="end"/>
            </w:r>
          </w:hyperlink>
        </w:p>
        <w:p w14:paraId="6502A60E" w14:textId="1FC3DD58" w:rsidR="008E4CAB" w:rsidRPr="008E4CAB" w:rsidRDefault="008E4CAB" w:rsidP="008E4CAB">
          <w:pPr>
            <w:pStyle w:val="TOC3"/>
            <w:tabs>
              <w:tab w:val="left" w:pos="1540"/>
              <w:tab w:val="right" w:leader="dot" w:pos="9016"/>
            </w:tabs>
            <w:spacing w:line="360" w:lineRule="auto"/>
            <w:rPr>
              <w:rFonts w:asciiTheme="minorBidi" w:hAnsiTheme="minorBidi" w:cstheme="minorBidi"/>
              <w:noProof/>
              <w:kern w:val="2"/>
              <w:sz w:val="24"/>
              <w:lang w:eastAsia="en-GB"/>
              <w14:ligatures w14:val="standardContextual"/>
            </w:rPr>
          </w:pPr>
          <w:hyperlink w:anchor="_Toc243550838" w:history="1">
            <w:r w:rsidRPr="008E4CAB">
              <w:rPr>
                <w:rStyle w:val="Hyperlink"/>
                <w:rFonts w:asciiTheme="minorBidi" w:hAnsiTheme="minorBidi" w:cstheme="minorBidi"/>
                <w:noProof/>
              </w:rPr>
              <w:t>1.2.2</w:t>
            </w:r>
            <w:r w:rsidRPr="008E4CAB">
              <w:rPr>
                <w:rFonts w:asciiTheme="minorBidi" w:hAnsiTheme="minorBidi" w:cstheme="minorBidi"/>
                <w:noProof/>
                <w:kern w:val="2"/>
                <w:sz w:val="24"/>
                <w:lang w:eastAsia="en-GB"/>
                <w14:ligatures w14:val="standardContextual"/>
              </w:rPr>
              <w:tab/>
            </w:r>
            <w:r w:rsidRPr="008E4CAB">
              <w:rPr>
                <w:rStyle w:val="Hyperlink"/>
                <w:rFonts w:asciiTheme="minorBidi" w:hAnsiTheme="minorBidi" w:cstheme="minorBidi"/>
                <w:noProof/>
              </w:rPr>
              <w:t>Environmental Claims and Measurement Boundaries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_Toc243550838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5</w:t>
            </w:r>
            <w:r w:rsidRPr="008E4CAB">
              <w:rPr>
                <w:rFonts w:asciiTheme="minorBidi" w:hAnsiTheme="minorBidi" w:cstheme="minorBidi"/>
                <w:noProof/>
                <w:webHidden/>
              </w:rPr>
              <w:fldChar w:fldCharType="end"/>
            </w:r>
          </w:hyperlink>
        </w:p>
        <w:p w14:paraId="31A959F4" w14:textId="393A2250" w:rsidR="008E4CAB" w:rsidRPr="008E4CAB" w:rsidRDefault="008E4CAB" w:rsidP="008E4CAB">
          <w:pPr>
            <w:pStyle w:val="TOC3"/>
            <w:tabs>
              <w:tab w:val="left" w:pos="1540"/>
              <w:tab w:val="right" w:leader="dot" w:pos="9016"/>
            </w:tabs>
            <w:spacing w:line="360" w:lineRule="auto"/>
            <w:rPr>
              <w:rFonts w:asciiTheme="minorBidi" w:hAnsiTheme="minorBidi" w:cstheme="minorBidi"/>
              <w:noProof/>
              <w:kern w:val="2"/>
              <w:sz w:val="24"/>
              <w:lang w:eastAsia="en-GB"/>
              <w14:ligatures w14:val="standardContextual"/>
            </w:rPr>
          </w:pPr>
          <w:hyperlink w:anchor="_Toc243550839" w:history="1">
            <w:r w:rsidRPr="008E4CAB">
              <w:rPr>
                <w:rStyle w:val="Hyperlink"/>
                <w:rFonts w:asciiTheme="minorBidi" w:hAnsiTheme="minorBidi" w:cstheme="minorBidi"/>
                <w:noProof/>
              </w:rPr>
              <w:t>1.2.3</w:t>
            </w:r>
            <w:r w:rsidRPr="008E4CAB">
              <w:rPr>
                <w:rFonts w:asciiTheme="minorBidi" w:hAnsiTheme="minorBidi" w:cstheme="minorBidi"/>
                <w:noProof/>
                <w:kern w:val="2"/>
                <w:sz w:val="24"/>
                <w:lang w:eastAsia="en-GB"/>
                <w14:ligatures w14:val="standardContextual"/>
              </w:rPr>
              <w:tab/>
            </w:r>
            <w:r w:rsidRPr="008E4CAB">
              <w:rPr>
                <w:rStyle w:val="Hyperlink"/>
                <w:rFonts w:asciiTheme="minorBidi" w:hAnsiTheme="minorBidi" w:cstheme="minorBidi"/>
                <w:noProof/>
              </w:rPr>
              <w:t>Circularity and the Limits of Environmental Advantage</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_Toc243550839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5</w:t>
            </w:r>
            <w:r w:rsidRPr="008E4CAB">
              <w:rPr>
                <w:rFonts w:asciiTheme="minorBidi" w:hAnsiTheme="minorBidi" w:cstheme="minorBidi"/>
                <w:noProof/>
                <w:webHidden/>
              </w:rPr>
              <w:fldChar w:fldCharType="end"/>
            </w:r>
          </w:hyperlink>
        </w:p>
        <w:p w14:paraId="48ECAA93" w14:textId="56F20B0B"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40" w:history="1">
            <w:r w:rsidRPr="008E4CAB">
              <w:rPr>
                <w:rStyle w:val="Hyperlink"/>
                <w:rFonts w:asciiTheme="minorBidi" w:hAnsiTheme="minorBidi" w:cstheme="minorBidi"/>
                <w:noProof/>
              </w:rPr>
              <w:t>1.3</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Economic Factors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_Toc243550840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6</w:t>
            </w:r>
            <w:r w:rsidRPr="008E4CAB">
              <w:rPr>
                <w:rFonts w:asciiTheme="minorBidi" w:hAnsiTheme="minorBidi" w:cstheme="minorBidi"/>
                <w:noProof/>
                <w:webHidden/>
              </w:rPr>
              <w:fldChar w:fldCharType="end"/>
            </w:r>
          </w:hyperlink>
        </w:p>
        <w:p w14:paraId="3A58A770" w14:textId="41ED63FC" w:rsidR="008E4CAB" w:rsidRPr="008E4CAB" w:rsidRDefault="008E4CAB" w:rsidP="008E4CAB">
          <w:pPr>
            <w:pStyle w:val="TOC3"/>
            <w:tabs>
              <w:tab w:val="left" w:pos="1540"/>
              <w:tab w:val="right" w:leader="dot" w:pos="9016"/>
            </w:tabs>
            <w:spacing w:line="360" w:lineRule="auto"/>
            <w:rPr>
              <w:rFonts w:asciiTheme="minorBidi" w:hAnsiTheme="minorBidi" w:cstheme="minorBidi"/>
              <w:noProof/>
              <w:kern w:val="2"/>
              <w:sz w:val="24"/>
              <w:lang w:eastAsia="en-GB"/>
              <w14:ligatures w14:val="standardContextual"/>
            </w:rPr>
          </w:pPr>
          <w:hyperlink w:anchor="_Toc243550841" w:history="1">
            <w:r w:rsidRPr="008E4CAB">
              <w:rPr>
                <w:rStyle w:val="Hyperlink"/>
                <w:rFonts w:asciiTheme="minorBidi" w:hAnsiTheme="minorBidi" w:cstheme="minorBidi"/>
                <w:noProof/>
              </w:rPr>
              <w:t>1.3.1</w:t>
            </w:r>
            <w:r w:rsidRPr="008E4CAB">
              <w:rPr>
                <w:rFonts w:asciiTheme="minorBidi" w:hAnsiTheme="minorBidi" w:cstheme="minorBidi"/>
                <w:noProof/>
                <w:kern w:val="2"/>
                <w:sz w:val="24"/>
                <w:lang w:eastAsia="en-GB"/>
                <w14:ligatures w14:val="standardContextual"/>
              </w:rPr>
              <w:tab/>
            </w:r>
            <w:r w:rsidRPr="008E4CAB">
              <w:rPr>
                <w:rStyle w:val="Hyperlink"/>
                <w:rFonts w:asciiTheme="minorBidi" w:hAnsiTheme="minorBidi" w:cstheme="minorBidi"/>
                <w:noProof/>
              </w:rPr>
              <w:t>Energy Costs and International Competition</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_Toc243550841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6</w:t>
            </w:r>
            <w:r w:rsidRPr="008E4CAB">
              <w:rPr>
                <w:rFonts w:asciiTheme="minorBidi" w:hAnsiTheme="minorBidi" w:cstheme="minorBidi"/>
                <w:noProof/>
                <w:webHidden/>
              </w:rPr>
              <w:fldChar w:fldCharType="end"/>
            </w:r>
          </w:hyperlink>
        </w:p>
        <w:p w14:paraId="761C4BF3" w14:textId="5F440E4B" w:rsidR="008E4CAB" w:rsidRPr="008E4CAB" w:rsidRDefault="008E4CAB" w:rsidP="008E4CAB">
          <w:pPr>
            <w:pStyle w:val="TOC3"/>
            <w:tabs>
              <w:tab w:val="left" w:pos="1540"/>
              <w:tab w:val="right" w:leader="dot" w:pos="9016"/>
            </w:tabs>
            <w:spacing w:line="360" w:lineRule="auto"/>
            <w:rPr>
              <w:rFonts w:asciiTheme="minorBidi" w:hAnsiTheme="minorBidi" w:cstheme="minorBidi"/>
              <w:noProof/>
              <w:kern w:val="2"/>
              <w:sz w:val="24"/>
              <w:lang w:eastAsia="en-GB"/>
              <w14:ligatures w14:val="standardContextual"/>
            </w:rPr>
          </w:pPr>
          <w:hyperlink w:anchor="_Toc243550842" w:history="1">
            <w:r w:rsidRPr="008E4CAB">
              <w:rPr>
                <w:rStyle w:val="Hyperlink"/>
                <w:rFonts w:asciiTheme="minorBidi" w:hAnsiTheme="minorBidi" w:cstheme="minorBidi"/>
                <w:noProof/>
              </w:rPr>
              <w:t>1.3.2</w:t>
            </w:r>
            <w:r w:rsidRPr="008E4CAB">
              <w:rPr>
                <w:rFonts w:asciiTheme="minorBidi" w:hAnsiTheme="minorBidi" w:cstheme="minorBidi"/>
                <w:noProof/>
                <w:kern w:val="2"/>
                <w:sz w:val="24"/>
                <w:lang w:eastAsia="en-GB"/>
                <w14:ligatures w14:val="standardContextual"/>
              </w:rPr>
              <w:tab/>
            </w:r>
            <w:r w:rsidRPr="008E4CAB">
              <w:rPr>
                <w:rStyle w:val="Hyperlink"/>
                <w:rFonts w:asciiTheme="minorBidi" w:hAnsiTheme="minorBidi" w:cstheme="minorBidi"/>
                <w:noProof/>
              </w:rPr>
              <w:t>Financial Capacity and Pricing Discipline</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_Toc243550842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6</w:t>
            </w:r>
            <w:r w:rsidRPr="008E4CAB">
              <w:rPr>
                <w:rFonts w:asciiTheme="minorBidi" w:hAnsiTheme="minorBidi" w:cstheme="minorBidi"/>
                <w:noProof/>
                <w:webHidden/>
              </w:rPr>
              <w:fldChar w:fldCharType="end"/>
            </w:r>
          </w:hyperlink>
        </w:p>
        <w:p w14:paraId="369AA86E" w14:textId="07778332"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43" w:history="1">
            <w:r w:rsidRPr="008E4CAB">
              <w:rPr>
                <w:rStyle w:val="Hyperlink"/>
                <w:rFonts w:asciiTheme="minorBidi" w:hAnsiTheme="minorBidi" w:cstheme="minorBidi"/>
                <w:noProof/>
              </w:rPr>
              <w:t>1.4</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Technological Factors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_Toc243550843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7</w:t>
            </w:r>
            <w:r w:rsidRPr="008E4CAB">
              <w:rPr>
                <w:rFonts w:asciiTheme="minorBidi" w:hAnsiTheme="minorBidi" w:cstheme="minorBidi"/>
                <w:noProof/>
                <w:webHidden/>
              </w:rPr>
              <w:fldChar w:fldCharType="end"/>
            </w:r>
          </w:hyperlink>
        </w:p>
        <w:p w14:paraId="663C673D" w14:textId="47A6FDBB" w:rsidR="008E4CAB" w:rsidRPr="008E4CAB" w:rsidRDefault="008E4CAB" w:rsidP="008E4CAB">
          <w:pPr>
            <w:pStyle w:val="TOC3"/>
            <w:tabs>
              <w:tab w:val="left" w:pos="1540"/>
              <w:tab w:val="right" w:leader="dot" w:pos="9016"/>
            </w:tabs>
            <w:spacing w:line="360" w:lineRule="auto"/>
            <w:rPr>
              <w:rFonts w:asciiTheme="minorBidi" w:hAnsiTheme="minorBidi" w:cstheme="minorBidi"/>
              <w:noProof/>
              <w:kern w:val="2"/>
              <w:sz w:val="24"/>
              <w:lang w:eastAsia="en-GB"/>
              <w14:ligatures w14:val="standardContextual"/>
            </w:rPr>
          </w:pPr>
          <w:hyperlink w:anchor="_Toc243550844" w:history="1">
            <w:r w:rsidRPr="008E4CAB">
              <w:rPr>
                <w:rStyle w:val="Hyperlink"/>
                <w:rFonts w:asciiTheme="minorBidi" w:hAnsiTheme="minorBidi" w:cstheme="minorBidi"/>
                <w:noProof/>
              </w:rPr>
              <w:t>1.4.1</w:t>
            </w:r>
            <w:r w:rsidRPr="008E4CAB">
              <w:rPr>
                <w:rFonts w:asciiTheme="minorBidi" w:hAnsiTheme="minorBidi" w:cstheme="minorBidi"/>
                <w:noProof/>
                <w:kern w:val="2"/>
                <w:sz w:val="24"/>
                <w:lang w:eastAsia="en-GB"/>
                <w14:ligatures w14:val="standardContextual"/>
              </w:rPr>
              <w:tab/>
            </w:r>
            <w:r w:rsidRPr="008E4CAB">
              <w:rPr>
                <w:rStyle w:val="Hyperlink"/>
                <w:rFonts w:asciiTheme="minorBidi" w:hAnsiTheme="minorBidi" w:cstheme="minorBidi"/>
                <w:noProof/>
              </w:rPr>
              <w:t>Infrastructure Dependencies and Delivery Credibility</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_Toc243550844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7</w:t>
            </w:r>
            <w:r w:rsidRPr="008E4CAB">
              <w:rPr>
                <w:rFonts w:asciiTheme="minorBidi" w:hAnsiTheme="minorBidi" w:cstheme="minorBidi"/>
                <w:noProof/>
                <w:webHidden/>
              </w:rPr>
              <w:fldChar w:fldCharType="end"/>
            </w:r>
          </w:hyperlink>
        </w:p>
        <w:p w14:paraId="365182DA" w14:textId="5892DF22" w:rsidR="008E4CAB" w:rsidRPr="008E4CAB" w:rsidRDefault="008E4CAB" w:rsidP="008E4CAB">
          <w:pPr>
            <w:pStyle w:val="TOC3"/>
            <w:tabs>
              <w:tab w:val="left" w:pos="1540"/>
              <w:tab w:val="right" w:leader="dot" w:pos="9016"/>
            </w:tabs>
            <w:spacing w:line="360" w:lineRule="auto"/>
            <w:rPr>
              <w:rFonts w:asciiTheme="minorBidi" w:hAnsiTheme="minorBidi" w:cstheme="minorBidi"/>
              <w:noProof/>
              <w:kern w:val="2"/>
              <w:sz w:val="24"/>
              <w:lang w:eastAsia="en-GB"/>
              <w14:ligatures w14:val="standardContextual"/>
            </w:rPr>
          </w:pPr>
          <w:hyperlink w:anchor="_Toc243550845" w:history="1">
            <w:r w:rsidRPr="008E4CAB">
              <w:rPr>
                <w:rStyle w:val="Hyperlink"/>
                <w:rFonts w:asciiTheme="minorBidi" w:hAnsiTheme="minorBidi" w:cstheme="minorBidi"/>
                <w:noProof/>
              </w:rPr>
              <w:t>1.4.2</w:t>
            </w:r>
            <w:r w:rsidRPr="008E4CAB">
              <w:rPr>
                <w:rFonts w:asciiTheme="minorBidi" w:hAnsiTheme="minorBidi" w:cstheme="minorBidi"/>
                <w:noProof/>
                <w:kern w:val="2"/>
                <w:sz w:val="24"/>
                <w:lang w:eastAsia="en-GB"/>
                <w14:ligatures w14:val="standardContextual"/>
              </w:rPr>
              <w:tab/>
            </w:r>
            <w:r w:rsidRPr="008E4CAB">
              <w:rPr>
                <w:rStyle w:val="Hyperlink"/>
                <w:rFonts w:asciiTheme="minorBidi" w:hAnsiTheme="minorBidi" w:cstheme="minorBidi"/>
                <w:noProof/>
              </w:rPr>
              <w:t>Artificial Intelligence and Marketing Capability</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_Toc243550845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8</w:t>
            </w:r>
            <w:r w:rsidRPr="008E4CAB">
              <w:rPr>
                <w:rFonts w:asciiTheme="minorBidi" w:hAnsiTheme="minorBidi" w:cstheme="minorBidi"/>
                <w:noProof/>
                <w:webHidden/>
              </w:rPr>
              <w:fldChar w:fldCharType="end"/>
            </w:r>
          </w:hyperlink>
        </w:p>
        <w:p w14:paraId="7015AA0D" w14:textId="7905819A" w:rsidR="008E4CAB" w:rsidRPr="008E4CAB" w:rsidRDefault="008E4CAB" w:rsidP="008E4CAB">
          <w:pPr>
            <w:pStyle w:val="TOC1"/>
            <w:tabs>
              <w:tab w:val="left" w:pos="880"/>
              <w:tab w:val="right" w:leader="dot" w:pos="9016"/>
            </w:tabs>
            <w:spacing w:line="360" w:lineRule="auto"/>
            <w:rPr>
              <w:rFonts w:asciiTheme="minorBidi" w:hAnsiTheme="minorBidi" w:cstheme="minorBidi"/>
              <w:b w:val="0"/>
              <w:bCs w:val="0"/>
              <w:i w:val="0"/>
              <w:iCs w:val="0"/>
              <w:noProof/>
              <w:kern w:val="2"/>
              <w:szCs w:val="24"/>
              <w:lang w:eastAsia="en-GB"/>
              <w14:ligatures w14:val="standardContextual"/>
            </w:rPr>
          </w:pPr>
          <w:hyperlink w:anchor="_Toc243550846" w:history="1">
            <w:r w:rsidRPr="008E4CAB">
              <w:rPr>
                <w:rStyle w:val="Hyperlink"/>
                <w:rFonts w:asciiTheme="minorBidi" w:hAnsiTheme="minorBidi" w:cstheme="minorBidi"/>
                <w:noProof/>
              </w:rPr>
              <w:t>2</w:t>
            </w:r>
            <w:r w:rsidRPr="008E4CAB">
              <w:rPr>
                <w:rFonts w:asciiTheme="minorBidi" w:hAnsiTheme="minorBidi" w:cstheme="minorBidi"/>
                <w:b w:val="0"/>
                <w:bCs w:val="0"/>
                <w:i w:val="0"/>
                <w:iCs w:val="0"/>
                <w:noProof/>
                <w:kern w:val="2"/>
                <w:szCs w:val="24"/>
                <w:lang w:eastAsia="en-GB"/>
                <w14:ligatures w14:val="standardContextual"/>
              </w:rPr>
              <w:tab/>
            </w:r>
            <w:r w:rsidRPr="008E4CAB">
              <w:rPr>
                <w:rStyle w:val="Hyperlink"/>
                <w:rFonts w:asciiTheme="minorBidi" w:hAnsiTheme="minorBidi" w:cstheme="minorBidi"/>
                <w:noProof/>
              </w:rPr>
              <w:t>Task 2: Ansoff Growth Strategy and Competitive Advantage</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_Toc243550846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9</w:t>
            </w:r>
            <w:r w:rsidRPr="008E4CAB">
              <w:rPr>
                <w:rFonts w:asciiTheme="minorBidi" w:hAnsiTheme="minorBidi" w:cstheme="minorBidi"/>
                <w:noProof/>
                <w:webHidden/>
              </w:rPr>
              <w:fldChar w:fldCharType="end"/>
            </w:r>
          </w:hyperlink>
        </w:p>
        <w:p w14:paraId="0A29B228" w14:textId="26F44DB5"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47" w:history="1">
            <w:r w:rsidRPr="008E4CAB">
              <w:rPr>
                <w:rStyle w:val="Hyperlink"/>
                <w:rFonts w:asciiTheme="minorBidi" w:hAnsiTheme="minorBidi" w:cstheme="minorBidi"/>
                <w:noProof/>
              </w:rPr>
              <w:t>2.1</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Selection of Market Penetration</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_Toc243550847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9</w:t>
            </w:r>
            <w:r w:rsidRPr="008E4CAB">
              <w:rPr>
                <w:rFonts w:asciiTheme="minorBidi" w:hAnsiTheme="minorBidi" w:cstheme="minorBidi"/>
                <w:noProof/>
                <w:webHidden/>
              </w:rPr>
              <w:fldChar w:fldCharType="end"/>
            </w:r>
          </w:hyperlink>
        </w:p>
        <w:p w14:paraId="7CA45E8D" w14:textId="4C2BEFB2"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48" w:history="1">
            <w:r w:rsidRPr="008E4CAB">
              <w:rPr>
                <w:rStyle w:val="Hyperlink"/>
                <w:rFonts w:asciiTheme="minorBidi" w:hAnsiTheme="minorBidi" w:cstheme="minorBidi"/>
                <w:noProof/>
              </w:rPr>
              <w:t>2.2</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Building Competitive Advantage Through Porter’s Generic Strategies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_Toc243550848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10</w:t>
            </w:r>
            <w:r w:rsidRPr="008E4CAB">
              <w:rPr>
                <w:rFonts w:asciiTheme="minorBidi" w:hAnsiTheme="minorBidi" w:cstheme="minorBidi"/>
                <w:noProof/>
                <w:webHidden/>
              </w:rPr>
              <w:fldChar w:fldCharType="end"/>
            </w:r>
          </w:hyperlink>
        </w:p>
        <w:p w14:paraId="48CC4600" w14:textId="6326B47E" w:rsidR="008E4CAB" w:rsidRPr="008E4CAB" w:rsidRDefault="008E4CAB" w:rsidP="008E4CAB">
          <w:pPr>
            <w:pStyle w:val="TOC3"/>
            <w:tabs>
              <w:tab w:val="left" w:pos="1540"/>
              <w:tab w:val="right" w:leader="dot" w:pos="9016"/>
            </w:tabs>
            <w:spacing w:line="360" w:lineRule="auto"/>
            <w:rPr>
              <w:rFonts w:asciiTheme="minorBidi" w:hAnsiTheme="minorBidi" w:cstheme="minorBidi"/>
              <w:noProof/>
              <w:kern w:val="2"/>
              <w:sz w:val="24"/>
              <w:lang w:eastAsia="en-GB"/>
              <w14:ligatures w14:val="standardContextual"/>
            </w:rPr>
          </w:pPr>
          <w:hyperlink w:anchor="_Toc243550849" w:history="1">
            <w:r w:rsidRPr="008E4CAB">
              <w:rPr>
                <w:rStyle w:val="Hyperlink"/>
                <w:rFonts w:asciiTheme="minorBidi" w:hAnsiTheme="minorBidi" w:cstheme="minorBidi"/>
                <w:noProof/>
              </w:rPr>
              <w:t>2.2.1</w:t>
            </w:r>
            <w:r w:rsidRPr="008E4CAB">
              <w:rPr>
                <w:rFonts w:asciiTheme="minorBidi" w:hAnsiTheme="minorBidi" w:cstheme="minorBidi"/>
                <w:noProof/>
                <w:kern w:val="2"/>
                <w:sz w:val="24"/>
                <w:lang w:eastAsia="en-GB"/>
                <w14:ligatures w14:val="standardContextual"/>
              </w:rPr>
              <w:tab/>
            </w:r>
            <w:r w:rsidRPr="008E4CAB">
              <w:rPr>
                <w:rStyle w:val="Hyperlink"/>
                <w:rFonts w:asciiTheme="minorBidi" w:hAnsiTheme="minorBidi" w:cstheme="minorBidi"/>
                <w:noProof/>
              </w:rPr>
              <w:t>Evaluating Cost Leadership, Differentiation and Focus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_Toc243550849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10</w:t>
            </w:r>
            <w:r w:rsidRPr="008E4CAB">
              <w:rPr>
                <w:rFonts w:asciiTheme="minorBidi" w:hAnsiTheme="minorBidi" w:cstheme="minorBidi"/>
                <w:noProof/>
                <w:webHidden/>
              </w:rPr>
              <w:fldChar w:fldCharType="end"/>
            </w:r>
          </w:hyperlink>
        </w:p>
        <w:p w14:paraId="5FA654BA" w14:textId="67D94BFC" w:rsidR="008E4CAB" w:rsidRPr="008E4CAB" w:rsidRDefault="008E4CAB" w:rsidP="008E4CAB">
          <w:pPr>
            <w:pStyle w:val="TOC3"/>
            <w:tabs>
              <w:tab w:val="left" w:pos="1540"/>
              <w:tab w:val="right" w:leader="dot" w:pos="9016"/>
            </w:tabs>
            <w:spacing w:line="360" w:lineRule="auto"/>
            <w:rPr>
              <w:rFonts w:asciiTheme="minorBidi" w:hAnsiTheme="minorBidi" w:cstheme="minorBidi"/>
              <w:noProof/>
              <w:kern w:val="2"/>
              <w:sz w:val="24"/>
              <w:lang w:eastAsia="en-GB"/>
              <w14:ligatures w14:val="standardContextual"/>
            </w:rPr>
          </w:pPr>
          <w:hyperlink w:anchor="_Toc243550850" w:history="1">
            <w:r w:rsidRPr="008E4CAB">
              <w:rPr>
                <w:rStyle w:val="Hyperlink"/>
                <w:rFonts w:asciiTheme="minorBidi" w:hAnsiTheme="minorBidi" w:cstheme="minorBidi"/>
                <w:noProof/>
              </w:rPr>
              <w:t>2.2.2</w:t>
            </w:r>
            <w:r w:rsidRPr="008E4CAB">
              <w:rPr>
                <w:rFonts w:asciiTheme="minorBidi" w:hAnsiTheme="minorBidi" w:cstheme="minorBidi"/>
                <w:noProof/>
                <w:kern w:val="2"/>
                <w:sz w:val="24"/>
                <w:lang w:eastAsia="en-GB"/>
                <w14:ligatures w14:val="standardContextual"/>
              </w:rPr>
              <w:tab/>
            </w:r>
            <w:r w:rsidRPr="008E4CAB">
              <w:rPr>
                <w:rStyle w:val="Hyperlink"/>
                <w:rFonts w:asciiTheme="minorBidi" w:hAnsiTheme="minorBidi" w:cstheme="minorBidi"/>
                <w:noProof/>
              </w:rPr>
              <w:t>Marketing’s Coordinating Contribution</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_Toc243550850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13</w:t>
            </w:r>
            <w:r w:rsidRPr="008E4CAB">
              <w:rPr>
                <w:rFonts w:asciiTheme="minorBidi" w:hAnsiTheme="minorBidi" w:cstheme="minorBidi"/>
                <w:noProof/>
                <w:webHidden/>
              </w:rPr>
              <w:fldChar w:fldCharType="end"/>
            </w:r>
          </w:hyperlink>
        </w:p>
        <w:p w14:paraId="0B0D3E89" w14:textId="6CCA1C7C"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51" w:history="1">
            <w:r w:rsidRPr="008E4CAB">
              <w:rPr>
                <w:rStyle w:val="Hyperlink"/>
                <w:rFonts w:asciiTheme="minorBidi" w:hAnsiTheme="minorBidi" w:cstheme="minorBidi"/>
                <w:noProof/>
              </w:rPr>
              <w:t>2.3</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Implementation, Measurement and Strategic Limits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_Toc243550851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14</w:t>
            </w:r>
            <w:r w:rsidRPr="008E4CAB">
              <w:rPr>
                <w:rFonts w:asciiTheme="minorBidi" w:hAnsiTheme="minorBidi" w:cstheme="minorBidi"/>
                <w:noProof/>
                <w:webHidden/>
              </w:rPr>
              <w:fldChar w:fldCharType="end"/>
            </w:r>
          </w:hyperlink>
        </w:p>
        <w:p w14:paraId="1624D4E1" w14:textId="29A7F5D5" w:rsidR="008E4CAB" w:rsidRPr="008E4CAB" w:rsidRDefault="008E4CAB" w:rsidP="008E4CAB">
          <w:pPr>
            <w:pStyle w:val="TOC1"/>
            <w:tabs>
              <w:tab w:val="left" w:pos="880"/>
              <w:tab w:val="right" w:leader="dot" w:pos="9016"/>
            </w:tabs>
            <w:spacing w:line="360" w:lineRule="auto"/>
            <w:rPr>
              <w:rFonts w:asciiTheme="minorBidi" w:hAnsiTheme="minorBidi" w:cstheme="minorBidi"/>
              <w:b w:val="0"/>
              <w:bCs w:val="0"/>
              <w:i w:val="0"/>
              <w:iCs w:val="0"/>
              <w:noProof/>
              <w:kern w:val="2"/>
              <w:szCs w:val="24"/>
              <w:lang w:eastAsia="en-GB"/>
              <w14:ligatures w14:val="standardContextual"/>
            </w:rPr>
          </w:pPr>
          <w:hyperlink w:anchor="_Toc243550852" w:history="1">
            <w:r w:rsidRPr="008E4CAB">
              <w:rPr>
                <w:rStyle w:val="Hyperlink"/>
                <w:rFonts w:asciiTheme="minorBidi" w:hAnsiTheme="minorBidi" w:cstheme="minorBidi"/>
                <w:noProof/>
              </w:rPr>
              <w:t>3</w:t>
            </w:r>
            <w:r w:rsidRPr="008E4CAB">
              <w:rPr>
                <w:rFonts w:asciiTheme="minorBidi" w:hAnsiTheme="minorBidi" w:cstheme="minorBidi"/>
                <w:b w:val="0"/>
                <w:bCs w:val="0"/>
                <w:i w:val="0"/>
                <w:iCs w:val="0"/>
                <w:noProof/>
                <w:kern w:val="2"/>
                <w:szCs w:val="24"/>
                <w:lang w:eastAsia="en-GB"/>
                <w14:ligatures w14:val="standardContextual"/>
              </w:rPr>
              <w:tab/>
            </w:r>
            <w:r w:rsidRPr="008E4CAB">
              <w:rPr>
                <w:rStyle w:val="Hyperlink"/>
                <w:rFonts w:asciiTheme="minorBidi" w:hAnsiTheme="minorBidi" w:cstheme="minorBidi"/>
                <w:noProof/>
              </w:rPr>
              <w:t>Task 3: Managerial and Professional Reflection</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_Toc243550852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15</w:t>
            </w:r>
            <w:r w:rsidRPr="008E4CAB">
              <w:rPr>
                <w:rFonts w:asciiTheme="minorBidi" w:hAnsiTheme="minorBidi" w:cstheme="minorBidi"/>
                <w:noProof/>
                <w:webHidden/>
              </w:rPr>
              <w:fldChar w:fldCharType="end"/>
            </w:r>
          </w:hyperlink>
        </w:p>
        <w:p w14:paraId="1E077DAD" w14:textId="1ABF78EA"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53" w:history="1">
            <w:r w:rsidRPr="008E4CAB">
              <w:rPr>
                <w:rStyle w:val="Hyperlink"/>
                <w:rFonts w:asciiTheme="minorBidi" w:hAnsiTheme="minorBidi" w:cstheme="minorBidi"/>
                <w:noProof/>
              </w:rPr>
              <w:t>3.1</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Development of Analytical Judgement</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_Toc243550853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15</w:t>
            </w:r>
            <w:r w:rsidRPr="008E4CAB">
              <w:rPr>
                <w:rFonts w:asciiTheme="minorBidi" w:hAnsiTheme="minorBidi" w:cstheme="minorBidi"/>
                <w:noProof/>
                <w:webHidden/>
              </w:rPr>
              <w:fldChar w:fldCharType="end"/>
            </w:r>
          </w:hyperlink>
        </w:p>
        <w:p w14:paraId="206D29B2" w14:textId="760EB7C2"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54" w:history="1">
            <w:r w:rsidRPr="008E4CAB">
              <w:rPr>
                <w:rStyle w:val="Hyperlink"/>
                <w:rFonts w:asciiTheme="minorBidi" w:hAnsiTheme="minorBidi" w:cstheme="minorBidi"/>
                <w:noProof/>
              </w:rPr>
              <w:t>3.2</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Implications for Managerial Practice</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_Toc243550854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16</w:t>
            </w:r>
            <w:r w:rsidRPr="008E4CAB">
              <w:rPr>
                <w:rFonts w:asciiTheme="minorBidi" w:hAnsiTheme="minorBidi" w:cstheme="minorBidi"/>
                <w:noProof/>
                <w:webHidden/>
              </w:rPr>
              <w:fldChar w:fldCharType="end"/>
            </w:r>
          </w:hyperlink>
        </w:p>
        <w:p w14:paraId="16E54EF5" w14:textId="50C9B21D" w:rsidR="008E4CAB" w:rsidRPr="008E4CAB" w:rsidRDefault="008E4CAB" w:rsidP="008E4CAB">
          <w:pPr>
            <w:pStyle w:val="TOC2"/>
            <w:tabs>
              <w:tab w:val="left" w:pos="1320"/>
              <w:tab w:val="right" w:leader="dot" w:pos="9016"/>
            </w:tabs>
            <w:spacing w:line="360" w:lineRule="auto"/>
            <w:rPr>
              <w:rFonts w:asciiTheme="minorBidi" w:hAnsiTheme="minorBidi" w:cstheme="minorBidi"/>
              <w:b w:val="0"/>
              <w:bCs w:val="0"/>
              <w:noProof/>
              <w:kern w:val="2"/>
              <w:sz w:val="24"/>
              <w:szCs w:val="24"/>
              <w:lang w:eastAsia="en-GB"/>
              <w14:ligatures w14:val="standardContextual"/>
            </w:rPr>
          </w:pPr>
          <w:hyperlink w:anchor="_Toc243550855" w:history="1">
            <w:r w:rsidRPr="008E4CAB">
              <w:rPr>
                <w:rStyle w:val="Hyperlink"/>
                <w:rFonts w:asciiTheme="minorBidi" w:hAnsiTheme="minorBidi" w:cstheme="minorBidi"/>
                <w:noProof/>
              </w:rPr>
              <w:t>3.3</w:t>
            </w:r>
            <w:r w:rsidRPr="008E4CAB">
              <w:rPr>
                <w:rFonts w:asciiTheme="minorBidi" w:hAnsiTheme="minorBidi" w:cstheme="minorBidi"/>
                <w:b w:val="0"/>
                <w:bCs w:val="0"/>
                <w:noProof/>
                <w:kern w:val="2"/>
                <w:sz w:val="24"/>
                <w:szCs w:val="24"/>
                <w:lang w:eastAsia="en-GB"/>
                <w14:ligatures w14:val="standardContextual"/>
              </w:rPr>
              <w:tab/>
            </w:r>
            <w:r w:rsidRPr="008E4CAB">
              <w:rPr>
                <w:rStyle w:val="Hyperlink"/>
                <w:rFonts w:asciiTheme="minorBidi" w:hAnsiTheme="minorBidi" w:cstheme="minorBidi"/>
                <w:noProof/>
              </w:rPr>
              <w:t>Professional Development Priorities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_Toc243550855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17</w:t>
            </w:r>
            <w:r w:rsidRPr="008E4CAB">
              <w:rPr>
                <w:rFonts w:asciiTheme="minorBidi" w:hAnsiTheme="minorBidi" w:cstheme="minorBidi"/>
                <w:noProof/>
                <w:webHidden/>
              </w:rPr>
              <w:fldChar w:fldCharType="end"/>
            </w:r>
          </w:hyperlink>
        </w:p>
        <w:p w14:paraId="7612D6CE" w14:textId="23C67274" w:rsidR="008E4CAB" w:rsidRPr="008E4CAB" w:rsidRDefault="008E4CAB" w:rsidP="008E4CAB">
          <w:pPr>
            <w:pStyle w:val="TOC1"/>
            <w:tabs>
              <w:tab w:val="left" w:pos="880"/>
              <w:tab w:val="right" w:leader="dot" w:pos="9016"/>
            </w:tabs>
            <w:spacing w:line="360" w:lineRule="auto"/>
            <w:rPr>
              <w:rFonts w:asciiTheme="minorBidi" w:hAnsiTheme="minorBidi" w:cstheme="minorBidi"/>
              <w:b w:val="0"/>
              <w:bCs w:val="0"/>
              <w:i w:val="0"/>
              <w:iCs w:val="0"/>
              <w:noProof/>
              <w:kern w:val="2"/>
              <w:szCs w:val="24"/>
              <w:lang w:eastAsia="en-GB"/>
              <w14:ligatures w14:val="standardContextual"/>
            </w:rPr>
          </w:pPr>
          <w:hyperlink w:anchor="_Toc243550856" w:history="1">
            <w:r w:rsidRPr="008E4CAB">
              <w:rPr>
                <w:rStyle w:val="Hyperlink"/>
                <w:rFonts w:asciiTheme="minorBidi" w:hAnsiTheme="minorBidi" w:cstheme="minorBidi"/>
                <w:noProof/>
              </w:rPr>
              <w:t>4</w:t>
            </w:r>
            <w:r w:rsidRPr="008E4CAB">
              <w:rPr>
                <w:rFonts w:asciiTheme="minorBidi" w:hAnsiTheme="minorBidi" w:cstheme="minorBidi"/>
                <w:b w:val="0"/>
                <w:bCs w:val="0"/>
                <w:i w:val="0"/>
                <w:iCs w:val="0"/>
                <w:noProof/>
                <w:kern w:val="2"/>
                <w:szCs w:val="24"/>
                <w:lang w:eastAsia="en-GB"/>
                <w14:ligatures w14:val="standardContextual"/>
              </w:rPr>
              <w:tab/>
            </w:r>
            <w:r w:rsidRPr="008E4CAB">
              <w:rPr>
                <w:rStyle w:val="Hyperlink"/>
                <w:rFonts w:asciiTheme="minorBidi" w:hAnsiTheme="minorBidi" w:cstheme="minorBidi"/>
                <w:noProof/>
              </w:rPr>
              <w:t>References</w:t>
            </w:r>
            <w:r w:rsidRPr="008E4CAB">
              <w:rPr>
                <w:rFonts w:asciiTheme="minorBidi" w:hAnsiTheme="minorBidi" w:cstheme="minorBidi"/>
                <w:noProof/>
                <w:webHidden/>
              </w:rPr>
              <w:tab/>
            </w:r>
            <w:r w:rsidRPr="008E4CAB">
              <w:rPr>
                <w:rFonts w:asciiTheme="minorBidi" w:hAnsiTheme="minorBidi" w:cstheme="minorBidi"/>
                <w:noProof/>
                <w:webHidden/>
              </w:rPr>
              <w:fldChar w:fldCharType="begin"/>
            </w:r>
            <w:r w:rsidRPr="008E4CAB">
              <w:rPr>
                <w:rFonts w:asciiTheme="minorBidi" w:hAnsiTheme="minorBidi" w:cstheme="minorBidi"/>
                <w:noProof/>
                <w:webHidden/>
              </w:rPr>
              <w:instrText xml:space="preserve"> PAGEREF _Toc243550856 \h </w:instrText>
            </w:r>
            <w:r w:rsidRPr="008E4CAB">
              <w:rPr>
                <w:rFonts w:asciiTheme="minorBidi" w:hAnsiTheme="minorBidi" w:cstheme="minorBidi"/>
                <w:noProof/>
                <w:webHidden/>
              </w:rPr>
            </w:r>
            <w:r w:rsidRPr="008E4CAB">
              <w:rPr>
                <w:rFonts w:asciiTheme="minorBidi" w:hAnsiTheme="minorBidi" w:cstheme="minorBidi"/>
                <w:noProof/>
                <w:webHidden/>
              </w:rPr>
              <w:fldChar w:fldCharType="separate"/>
            </w:r>
            <w:r w:rsidRPr="008E4CAB">
              <w:rPr>
                <w:rFonts w:asciiTheme="minorBidi" w:hAnsiTheme="minorBidi" w:cstheme="minorBidi"/>
                <w:noProof/>
                <w:webHidden/>
              </w:rPr>
              <w:t>18</w:t>
            </w:r>
            <w:r w:rsidRPr="008E4CAB">
              <w:rPr>
                <w:rFonts w:asciiTheme="minorBidi" w:hAnsiTheme="minorBidi" w:cstheme="minorBidi"/>
                <w:noProof/>
                <w:webHidden/>
              </w:rPr>
              <w:fldChar w:fldCharType="end"/>
            </w:r>
          </w:hyperlink>
        </w:p>
        <w:p w14:paraId="0C7339DF" w14:textId="4BC799D1" w:rsidR="0088095A" w:rsidRPr="008E4CAB" w:rsidRDefault="0088095A" w:rsidP="008E4CAB">
          <w:pPr>
            <w:spacing w:line="360" w:lineRule="auto"/>
            <w:jc w:val="both"/>
            <w:rPr>
              <w:rFonts w:asciiTheme="minorBidi" w:hAnsiTheme="minorBidi"/>
              <w:color w:val="000000" w:themeColor="text1"/>
              <w:sz w:val="24"/>
              <w:szCs w:val="24"/>
            </w:rPr>
          </w:pPr>
          <w:r w:rsidRPr="008E4CAB">
            <w:rPr>
              <w:rFonts w:asciiTheme="minorBidi" w:hAnsiTheme="minorBidi"/>
              <w:b/>
              <w:bCs/>
              <w:noProof/>
              <w:color w:val="000000" w:themeColor="text1"/>
              <w:sz w:val="24"/>
              <w:szCs w:val="24"/>
            </w:rPr>
            <w:fldChar w:fldCharType="end"/>
          </w:r>
        </w:p>
      </w:sdtContent>
    </w:sdt>
    <w:p w14:paraId="24D2AA97" w14:textId="3A297B35" w:rsidR="0088095A" w:rsidRDefault="0088095A" w:rsidP="008E4CAB">
      <w:pPr>
        <w:spacing w:line="360" w:lineRule="auto"/>
        <w:ind w:firstLine="0"/>
        <w:jc w:val="both"/>
        <w:rPr>
          <w:rFonts w:asciiTheme="minorBidi" w:hAnsiTheme="minorBidi"/>
          <w:color w:val="000000" w:themeColor="text1"/>
          <w:sz w:val="24"/>
          <w:szCs w:val="24"/>
        </w:rPr>
      </w:pPr>
    </w:p>
    <w:p w14:paraId="68B76F01" w14:textId="77777777" w:rsidR="008E4CAB" w:rsidRDefault="008E4CAB" w:rsidP="008E4CAB">
      <w:pPr>
        <w:spacing w:line="360" w:lineRule="auto"/>
        <w:ind w:firstLine="0"/>
        <w:jc w:val="both"/>
        <w:rPr>
          <w:rFonts w:asciiTheme="minorBidi" w:hAnsiTheme="minorBidi"/>
          <w:color w:val="000000" w:themeColor="text1"/>
          <w:sz w:val="24"/>
          <w:szCs w:val="24"/>
        </w:rPr>
      </w:pPr>
    </w:p>
    <w:p w14:paraId="57E2A8B8" w14:textId="77777777" w:rsidR="008E4CAB" w:rsidRDefault="008E4CAB" w:rsidP="008E4CAB">
      <w:pPr>
        <w:spacing w:line="360" w:lineRule="auto"/>
        <w:ind w:firstLine="0"/>
        <w:jc w:val="both"/>
        <w:rPr>
          <w:rFonts w:asciiTheme="minorBidi" w:hAnsiTheme="minorBidi"/>
          <w:color w:val="000000" w:themeColor="text1"/>
          <w:sz w:val="24"/>
          <w:szCs w:val="24"/>
        </w:rPr>
      </w:pPr>
    </w:p>
    <w:p w14:paraId="67F818BA" w14:textId="77777777" w:rsidR="008E4CAB" w:rsidRPr="008E4CAB" w:rsidRDefault="008E4CAB" w:rsidP="008E4CAB">
      <w:pPr>
        <w:spacing w:line="360" w:lineRule="auto"/>
        <w:ind w:firstLine="0"/>
        <w:jc w:val="both"/>
        <w:rPr>
          <w:rFonts w:asciiTheme="minorBidi" w:hAnsiTheme="minorBidi"/>
          <w:color w:val="000000" w:themeColor="text1"/>
          <w:sz w:val="24"/>
          <w:szCs w:val="24"/>
        </w:rPr>
      </w:pPr>
    </w:p>
    <w:p w14:paraId="40E738E0" w14:textId="77777777" w:rsidR="0088095A" w:rsidRPr="008E4CAB" w:rsidRDefault="0088095A" w:rsidP="008E4CAB">
      <w:pPr>
        <w:pStyle w:val="Heading1"/>
        <w:jc w:val="both"/>
        <w:rPr>
          <w:rFonts w:asciiTheme="minorBidi" w:hAnsiTheme="minorBidi" w:cstheme="minorBidi"/>
          <w:color w:val="000000" w:themeColor="text1"/>
          <w:sz w:val="24"/>
          <w:szCs w:val="24"/>
        </w:rPr>
      </w:pPr>
      <w:bookmarkStart w:id="0" w:name="_Toc243550834"/>
      <w:r w:rsidRPr="008E4CAB">
        <w:rPr>
          <w:rFonts w:asciiTheme="minorBidi" w:hAnsiTheme="minorBidi" w:cstheme="minorBidi"/>
          <w:color w:val="000000" w:themeColor="text1"/>
          <w:sz w:val="24"/>
          <w:szCs w:val="24"/>
        </w:rPr>
        <w:t>Task 1: Critical Analysis of the External Marketing Environment</w:t>
      </w:r>
      <w:bookmarkEnd w:id="0"/>
    </w:p>
    <w:p w14:paraId="017DB0F0" w14:textId="1A93AA35" w:rsidR="0088095A" w:rsidRPr="008E4CAB" w:rsidRDefault="0088095A" w:rsidP="008E4CAB">
      <w:pPr>
        <w:pStyle w:val="Heading2"/>
        <w:jc w:val="both"/>
        <w:rPr>
          <w:rFonts w:asciiTheme="minorBidi" w:hAnsiTheme="minorBidi" w:cstheme="minorBidi"/>
          <w:color w:val="000000" w:themeColor="text1"/>
          <w:sz w:val="24"/>
          <w:szCs w:val="24"/>
        </w:rPr>
      </w:pPr>
      <w:bookmarkStart w:id="1" w:name="_Toc243550835"/>
      <w:proofErr w:type="spellStart"/>
      <w:r w:rsidRPr="008E4CAB">
        <w:rPr>
          <w:rFonts w:asciiTheme="minorBidi" w:hAnsiTheme="minorBidi" w:cstheme="minorBidi"/>
          <w:color w:val="000000" w:themeColor="text1"/>
          <w:sz w:val="24"/>
          <w:szCs w:val="24"/>
        </w:rPr>
        <w:t>Organisational</w:t>
      </w:r>
      <w:proofErr w:type="spellEnd"/>
      <w:r w:rsidRPr="008E4CAB">
        <w:rPr>
          <w:rFonts w:asciiTheme="minorBidi" w:hAnsiTheme="minorBidi" w:cstheme="minorBidi"/>
          <w:color w:val="000000" w:themeColor="text1"/>
          <w:sz w:val="24"/>
          <w:szCs w:val="24"/>
        </w:rPr>
        <w:t xml:space="preserve"> Context and Selection of Environmental Factors</w:t>
      </w:r>
      <w:bookmarkEnd w:id="1"/>
    </w:p>
    <w:p w14:paraId="6E0847EC"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The reduction of carbon steel is an example of the environmental innovation that has generated business opportunities, along with the need for credible marketing by SSAB. It differentiates with its existing product SSAB Zero, which is produced based on recycled steel and fossil-free energy. But environmental performance must be seen in the customer acceptance, the supply and returns to be considered commercially viable. In the context of business-to-business greenwashing, the analysis of literature shows that positioning on the environment cannot be limited to the use of promotional language, but must also be backed up by evidence in the </w:t>
      </w:r>
      <w:proofErr w:type="spellStart"/>
      <w:r w:rsidRPr="008E4CAB">
        <w:rPr>
          <w:rFonts w:asciiTheme="minorBidi" w:hAnsiTheme="minorBidi"/>
          <w:color w:val="000000" w:themeColor="text1"/>
          <w:sz w:val="24"/>
          <w:szCs w:val="24"/>
        </w:rPr>
        <w:t>organisation</w:t>
      </w:r>
      <w:proofErr w:type="spellEnd"/>
      <w:r w:rsidRPr="008E4CAB">
        <w:rPr>
          <w:rFonts w:asciiTheme="minorBidi" w:hAnsiTheme="minorBidi"/>
          <w:color w:val="000000" w:themeColor="text1"/>
          <w:sz w:val="24"/>
          <w:szCs w:val="24"/>
        </w:rPr>
        <w:t xml:space="preserve"> (</w:t>
      </w:r>
      <w:proofErr w:type="spellStart"/>
      <w:r w:rsidRPr="008E4CAB">
        <w:rPr>
          <w:rFonts w:asciiTheme="minorBidi" w:hAnsiTheme="minorBidi"/>
          <w:color w:val="000000" w:themeColor="text1"/>
          <w:sz w:val="24"/>
          <w:szCs w:val="24"/>
        </w:rPr>
        <w:t>Vangeli</w:t>
      </w:r>
      <w:proofErr w:type="spellEnd"/>
      <w:r w:rsidRPr="008E4CAB">
        <w:rPr>
          <w:rFonts w:asciiTheme="minorBidi" w:hAnsiTheme="minorBidi"/>
          <w:color w:val="000000" w:themeColor="text1"/>
          <w:sz w:val="24"/>
          <w:szCs w:val="24"/>
        </w:rPr>
        <w:t xml:space="preserve"> et al., 2023). The research on Sustainable Business models also highlights the importance of value creation, delivery and capture (Sinkovics et al., 2021; </w:t>
      </w:r>
      <w:proofErr w:type="spellStart"/>
      <w:r w:rsidRPr="008E4CAB">
        <w:rPr>
          <w:rFonts w:asciiTheme="minorBidi" w:hAnsiTheme="minorBidi"/>
          <w:color w:val="000000" w:themeColor="text1"/>
          <w:sz w:val="24"/>
          <w:szCs w:val="24"/>
        </w:rPr>
        <w:t>Geissdoerfer</w:t>
      </w:r>
      <w:proofErr w:type="spellEnd"/>
      <w:r w:rsidRPr="008E4CAB">
        <w:rPr>
          <w:rFonts w:asciiTheme="minorBidi" w:hAnsiTheme="minorBidi"/>
          <w:color w:val="000000" w:themeColor="text1"/>
          <w:sz w:val="24"/>
          <w:szCs w:val="24"/>
        </w:rPr>
        <w:t xml:space="preserve"> et al., 2020).</w:t>
      </w:r>
    </w:p>
    <w:p w14:paraId="4EBC1980"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Three PESTLE dimensions will be chosen for this analysis: environmental, economic and technological factors. The relevance and credibility of the offering is dependent upon the environmental pressures, economic conditions impact the production cost and purchases, and technological developments dictate what the company can offer. These dimensions are not independent, but work together. Even when </w:t>
      </w:r>
      <w:proofErr w:type="spellStart"/>
      <w:r w:rsidRPr="008E4CAB">
        <w:rPr>
          <w:rFonts w:asciiTheme="minorBidi" w:hAnsiTheme="minorBidi"/>
          <w:color w:val="000000" w:themeColor="text1"/>
          <w:sz w:val="24"/>
          <w:szCs w:val="24"/>
        </w:rPr>
        <w:t>decarbonisation</w:t>
      </w:r>
      <w:proofErr w:type="spellEnd"/>
      <w:r w:rsidRPr="008E4CAB">
        <w:rPr>
          <w:rFonts w:asciiTheme="minorBidi" w:hAnsiTheme="minorBidi"/>
          <w:color w:val="000000" w:themeColor="text1"/>
          <w:sz w:val="24"/>
          <w:szCs w:val="24"/>
        </w:rPr>
        <w:t xml:space="preserve"> is technically possible, it might not be economically viable if electricity prices are high, and even if the environment benefit is great, it may not be when the measurement boundaries are not clear (Devlin et al., 2023; Neumann et al., 2025; Vangeli et al., 2023).</w:t>
      </w:r>
    </w:p>
    <w:p w14:paraId="1B11700A" w14:textId="77777777" w:rsidR="002A2687" w:rsidRPr="008E4CAB" w:rsidRDefault="002A2687"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Figure 1 has confirmed that there are already commercial sales of SSAB Zero. Of the approximately 100,000 </w:t>
      </w:r>
      <w:proofErr w:type="spellStart"/>
      <w:r w:rsidRPr="008E4CAB">
        <w:rPr>
          <w:rFonts w:asciiTheme="minorBidi" w:hAnsiTheme="minorBidi"/>
          <w:color w:val="000000" w:themeColor="text1"/>
          <w:sz w:val="24"/>
          <w:szCs w:val="24"/>
        </w:rPr>
        <w:t>tonnes</w:t>
      </w:r>
      <w:proofErr w:type="spellEnd"/>
      <w:r w:rsidRPr="008E4CAB">
        <w:rPr>
          <w:rFonts w:asciiTheme="minorBidi" w:hAnsiTheme="minorBidi"/>
          <w:color w:val="000000" w:themeColor="text1"/>
          <w:sz w:val="24"/>
          <w:szCs w:val="24"/>
        </w:rPr>
        <w:t xml:space="preserve"> target delivery, around 90% (approximately 90,000 </w:t>
      </w:r>
      <w:proofErr w:type="spellStart"/>
      <w:r w:rsidRPr="008E4CAB">
        <w:rPr>
          <w:rFonts w:asciiTheme="minorBidi" w:hAnsiTheme="minorBidi"/>
          <w:color w:val="000000" w:themeColor="text1"/>
          <w:sz w:val="24"/>
          <w:szCs w:val="24"/>
        </w:rPr>
        <w:t>tonnes</w:t>
      </w:r>
      <w:proofErr w:type="spellEnd"/>
      <w:r w:rsidRPr="008E4CAB">
        <w:rPr>
          <w:rFonts w:asciiTheme="minorBidi" w:hAnsiTheme="minorBidi"/>
          <w:color w:val="000000" w:themeColor="text1"/>
          <w:sz w:val="24"/>
          <w:szCs w:val="24"/>
        </w:rPr>
        <w:t>) was completed in 2025 (SSAB, 2026). This helps to consider the product as an existing product, but volumes delivered do not constitute profitability.</w:t>
      </w:r>
    </w:p>
    <w:p w14:paraId="539054D8" w14:textId="32431B9A" w:rsidR="00D110E1" w:rsidRPr="008E4CAB" w:rsidRDefault="00D110E1" w:rsidP="008E4CAB">
      <w:pPr>
        <w:spacing w:line="360" w:lineRule="auto"/>
        <w:ind w:firstLine="0"/>
        <w:jc w:val="both"/>
        <w:rPr>
          <w:rFonts w:asciiTheme="minorBidi" w:hAnsiTheme="minorBidi"/>
          <w:color w:val="000000" w:themeColor="text1"/>
          <w:sz w:val="24"/>
          <w:szCs w:val="24"/>
        </w:rPr>
      </w:pPr>
      <w:r w:rsidRPr="008E4CAB">
        <w:rPr>
          <w:rFonts w:asciiTheme="minorBidi" w:hAnsiTheme="minorBidi"/>
          <w:noProof/>
          <w:color w:val="000000" w:themeColor="text1"/>
          <w:sz w:val="24"/>
          <w:szCs w:val="24"/>
        </w:rPr>
        <w:drawing>
          <wp:inline distT="0" distB="0" distL="0" distR="0" wp14:anchorId="5386A34F" wp14:editId="43CFE4CA">
            <wp:extent cx="5731510" cy="3962400"/>
            <wp:effectExtent l="0" t="0" r="0" b="0"/>
            <wp:docPr id="1350601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601826" name=""/>
                    <pic:cNvPicPr/>
                  </pic:nvPicPr>
                  <pic:blipFill>
                    <a:blip r:embed="rId10"/>
                    <a:stretch>
                      <a:fillRect/>
                    </a:stretch>
                  </pic:blipFill>
                  <pic:spPr>
                    <a:xfrm>
                      <a:off x="0" y="0"/>
                      <a:ext cx="5731510" cy="3962400"/>
                    </a:xfrm>
                    <a:prstGeom prst="rect">
                      <a:avLst/>
                    </a:prstGeom>
                  </pic:spPr>
                </pic:pic>
              </a:graphicData>
            </a:graphic>
          </wp:inline>
        </w:drawing>
      </w:r>
    </w:p>
    <w:p w14:paraId="4113FBC4" w14:textId="296ADB5E" w:rsidR="0088095A" w:rsidRPr="008E4CAB" w:rsidRDefault="0088095A" w:rsidP="008E4CAB">
      <w:pPr>
        <w:pStyle w:val="NormalWeb"/>
        <w:spacing w:line="360" w:lineRule="auto"/>
        <w:jc w:val="center"/>
        <w:rPr>
          <w:rStyle w:val="Emphasis"/>
          <w:rFonts w:asciiTheme="minorBidi" w:hAnsiTheme="minorBidi" w:cstheme="minorBidi"/>
          <w:b w:val="0"/>
          <w:bCs w:val="0"/>
          <w:i w:val="0"/>
          <w:iCs w:val="0"/>
          <w:color w:val="000000" w:themeColor="text1"/>
          <w:sz w:val="20"/>
          <w:szCs w:val="20"/>
        </w:rPr>
      </w:pPr>
      <w:r w:rsidRPr="008E4CAB">
        <w:rPr>
          <w:rStyle w:val="Strong"/>
          <w:rFonts w:asciiTheme="minorBidi" w:hAnsiTheme="minorBidi" w:cstheme="minorBidi"/>
          <w:b w:val="0"/>
          <w:bCs w:val="0"/>
          <w:i/>
          <w:iCs/>
          <w:color w:val="000000" w:themeColor="text1"/>
          <w:sz w:val="20"/>
          <w:szCs w:val="20"/>
        </w:rPr>
        <w:t>Figure 1. SSAB Zero deliveries compared with the 2025 target</w:t>
      </w:r>
      <w:r w:rsidRPr="008E4CAB">
        <w:rPr>
          <w:rFonts w:asciiTheme="minorBidi" w:hAnsiTheme="minorBidi" w:cstheme="minorBidi"/>
          <w:b/>
          <w:bCs/>
          <w:i/>
          <w:iCs/>
          <w:color w:val="000000" w:themeColor="text1"/>
          <w:sz w:val="20"/>
          <w:szCs w:val="20"/>
        </w:rPr>
        <w:t xml:space="preserve">, </w:t>
      </w:r>
      <w:r w:rsidRPr="008E4CAB">
        <w:rPr>
          <w:rStyle w:val="Emphasis"/>
          <w:rFonts w:asciiTheme="minorBidi" w:hAnsiTheme="minorBidi" w:cstheme="minorBidi"/>
          <w:b w:val="0"/>
          <w:bCs w:val="0"/>
          <w:i w:val="0"/>
          <w:iCs w:val="0"/>
          <w:color w:val="000000" w:themeColor="text1"/>
          <w:sz w:val="20"/>
          <w:szCs w:val="20"/>
        </w:rPr>
        <w:t>Source: Author’s own work based on SSAB (2026).</w:t>
      </w:r>
    </w:p>
    <w:p w14:paraId="3DB05DE0" w14:textId="6588B891" w:rsidR="002A2687" w:rsidRPr="008E4CAB" w:rsidRDefault="002A2687"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Figure 1 has confirmed that there are already commercial sales of SSAB Zero. Of the approximately 100,000 </w:t>
      </w:r>
      <w:proofErr w:type="spellStart"/>
      <w:r w:rsidRPr="008E4CAB">
        <w:rPr>
          <w:rFonts w:asciiTheme="minorBidi" w:hAnsiTheme="minorBidi"/>
          <w:color w:val="000000" w:themeColor="text1"/>
          <w:sz w:val="24"/>
          <w:szCs w:val="24"/>
        </w:rPr>
        <w:t>tonnes</w:t>
      </w:r>
      <w:proofErr w:type="spellEnd"/>
      <w:r w:rsidRPr="008E4CAB">
        <w:rPr>
          <w:rFonts w:asciiTheme="minorBidi" w:hAnsiTheme="minorBidi"/>
          <w:color w:val="000000" w:themeColor="text1"/>
          <w:sz w:val="24"/>
          <w:szCs w:val="24"/>
        </w:rPr>
        <w:t xml:space="preserve"> target delivery, around 90% (approximately 90,000 </w:t>
      </w:r>
      <w:proofErr w:type="spellStart"/>
      <w:r w:rsidRPr="008E4CAB">
        <w:rPr>
          <w:rFonts w:asciiTheme="minorBidi" w:hAnsiTheme="minorBidi"/>
          <w:color w:val="000000" w:themeColor="text1"/>
          <w:sz w:val="24"/>
          <w:szCs w:val="24"/>
        </w:rPr>
        <w:t>tonnes</w:t>
      </w:r>
      <w:proofErr w:type="spellEnd"/>
      <w:r w:rsidRPr="008E4CAB">
        <w:rPr>
          <w:rFonts w:asciiTheme="minorBidi" w:hAnsiTheme="minorBidi"/>
          <w:color w:val="000000" w:themeColor="text1"/>
          <w:sz w:val="24"/>
          <w:szCs w:val="24"/>
        </w:rPr>
        <w:t>) was completed in 2025 (SSAB, 2026). This helps to consider the product as an existing product, but volumes delivered do not constitute profitability.</w:t>
      </w:r>
    </w:p>
    <w:p w14:paraId="36AE6665" w14:textId="036E7793" w:rsidR="0088095A" w:rsidRPr="008E4CAB" w:rsidRDefault="0088095A" w:rsidP="008E4CAB">
      <w:pPr>
        <w:pStyle w:val="Heading2"/>
        <w:jc w:val="both"/>
        <w:rPr>
          <w:rFonts w:asciiTheme="minorBidi" w:hAnsiTheme="minorBidi" w:cstheme="minorBidi"/>
          <w:color w:val="000000" w:themeColor="text1"/>
          <w:sz w:val="24"/>
          <w:szCs w:val="24"/>
        </w:rPr>
      </w:pPr>
      <w:bookmarkStart w:id="2" w:name="_Toc243550836"/>
      <w:r w:rsidRPr="008E4CAB">
        <w:rPr>
          <w:rFonts w:asciiTheme="minorBidi" w:hAnsiTheme="minorBidi" w:cstheme="minorBidi"/>
          <w:color w:val="000000" w:themeColor="text1"/>
          <w:sz w:val="24"/>
          <w:szCs w:val="24"/>
        </w:rPr>
        <w:t>Environmental Factors</w:t>
      </w:r>
      <w:bookmarkEnd w:id="2"/>
    </w:p>
    <w:p w14:paraId="5B9B0283" w14:textId="3A900D32" w:rsidR="0088095A" w:rsidRPr="008E4CAB" w:rsidRDefault="0088095A" w:rsidP="008E4CAB">
      <w:pPr>
        <w:pStyle w:val="Heading3"/>
        <w:jc w:val="both"/>
        <w:rPr>
          <w:rFonts w:asciiTheme="minorBidi" w:hAnsiTheme="minorBidi" w:cstheme="minorBidi"/>
          <w:color w:val="000000" w:themeColor="text1"/>
          <w:sz w:val="24"/>
          <w:szCs w:val="24"/>
        </w:rPr>
      </w:pPr>
      <w:bookmarkStart w:id="3" w:name="_Toc243550837"/>
      <w:proofErr w:type="spellStart"/>
      <w:r w:rsidRPr="008E4CAB">
        <w:rPr>
          <w:rFonts w:asciiTheme="minorBidi" w:hAnsiTheme="minorBidi" w:cstheme="minorBidi"/>
          <w:color w:val="000000" w:themeColor="text1"/>
          <w:sz w:val="24"/>
          <w:szCs w:val="24"/>
        </w:rPr>
        <w:t>Decarbonisation</w:t>
      </w:r>
      <w:proofErr w:type="spellEnd"/>
      <w:r w:rsidRPr="008E4CAB">
        <w:rPr>
          <w:rFonts w:asciiTheme="minorBidi" w:hAnsiTheme="minorBidi" w:cstheme="minorBidi"/>
          <w:color w:val="000000" w:themeColor="text1"/>
          <w:sz w:val="24"/>
          <w:szCs w:val="24"/>
        </w:rPr>
        <w:t xml:space="preserve"> Pressure and Carbon Lock-In</w:t>
      </w:r>
      <w:bookmarkEnd w:id="3"/>
    </w:p>
    <w:p w14:paraId="3F343829" w14:textId="491D6F36" w:rsidR="00D110E1" w:rsidRPr="008E4CAB" w:rsidRDefault="00D110E1" w:rsidP="008E4CAB">
      <w:pPr>
        <w:spacing w:line="360" w:lineRule="auto"/>
        <w:jc w:val="both"/>
        <w:rPr>
          <w:rFonts w:asciiTheme="minorBidi" w:hAnsiTheme="minorBidi"/>
          <w:color w:val="000000" w:themeColor="text1"/>
          <w:sz w:val="24"/>
          <w:szCs w:val="24"/>
        </w:rPr>
      </w:pPr>
      <w:proofErr w:type="spellStart"/>
      <w:r w:rsidRPr="008E4CAB">
        <w:rPr>
          <w:rFonts w:asciiTheme="minorBidi" w:hAnsiTheme="minorBidi"/>
          <w:color w:val="000000" w:themeColor="text1"/>
          <w:sz w:val="24"/>
          <w:szCs w:val="24"/>
        </w:rPr>
        <w:t>Decarbonising</w:t>
      </w:r>
      <w:proofErr w:type="spellEnd"/>
      <w:r w:rsidRPr="008E4CAB">
        <w:rPr>
          <w:rFonts w:asciiTheme="minorBidi" w:hAnsiTheme="minorBidi"/>
          <w:color w:val="000000" w:themeColor="text1"/>
          <w:sz w:val="24"/>
          <w:szCs w:val="24"/>
        </w:rPr>
        <w:t xml:space="preserve"> steel is a strategic opportunity, as the need for customers to understand emissions across their supply chains increase. However, the magnitude and pace of industrial transformation is important. </w:t>
      </w:r>
      <w:proofErr w:type="spellStart"/>
      <w:r w:rsidRPr="008E4CAB">
        <w:rPr>
          <w:rFonts w:asciiTheme="minorBidi" w:hAnsiTheme="minorBidi"/>
          <w:color w:val="000000" w:themeColor="text1"/>
          <w:sz w:val="24"/>
          <w:szCs w:val="24"/>
        </w:rPr>
        <w:t>Bachorz</w:t>
      </w:r>
      <w:proofErr w:type="spellEnd"/>
      <w:r w:rsidRPr="008E4CAB">
        <w:rPr>
          <w:rFonts w:asciiTheme="minorBidi" w:hAnsiTheme="minorBidi"/>
          <w:color w:val="000000" w:themeColor="text1"/>
          <w:sz w:val="24"/>
          <w:szCs w:val="24"/>
        </w:rPr>
        <w:t xml:space="preserve"> et al. (2026) estimate that the committed emissions from continued operation and development of conventional steelmaking assets could be significant, hence illustrating the impact of carbon intensive investments. Plant-level studies also suggest a large dispersion in the </w:t>
      </w:r>
      <w:proofErr w:type="spellStart"/>
      <w:r w:rsidRPr="008E4CAB">
        <w:rPr>
          <w:rFonts w:asciiTheme="minorBidi" w:hAnsiTheme="minorBidi"/>
          <w:color w:val="000000" w:themeColor="text1"/>
          <w:sz w:val="24"/>
          <w:szCs w:val="24"/>
        </w:rPr>
        <w:t>decarbonisation</w:t>
      </w:r>
      <w:proofErr w:type="spellEnd"/>
      <w:r w:rsidRPr="008E4CAB">
        <w:rPr>
          <w:rFonts w:asciiTheme="minorBidi" w:hAnsiTheme="minorBidi"/>
          <w:color w:val="000000" w:themeColor="text1"/>
          <w:sz w:val="24"/>
          <w:szCs w:val="24"/>
        </w:rPr>
        <w:t xml:space="preserve"> pathway costs and feasibility (Wu et al., 2025). As such, the opportunity of SSAB comes in a mix of industries, not a monolithic conversion.</w:t>
      </w:r>
    </w:p>
    <w:p w14:paraId="515B5A2E"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Lower-carbon steel should be marketed around customer value – procurement requirements and emissions reporting – they are demonstrable to the customer. The superiority in terms of the environment cannot be inferred from a production technology. Outcomes vary depending on the location, type of electricity system and material inputs, and implementation is restricted by infrastructure barriers (Keramidas et al., 2024; Wang et al., 2025). The link between the environmental claims and the products and verified evidence should therefore be established by SSAB.</w:t>
      </w:r>
    </w:p>
    <w:p w14:paraId="6DA12A8F" w14:textId="38289591" w:rsidR="0088095A" w:rsidRPr="008E4CAB" w:rsidRDefault="0088095A" w:rsidP="008E4CAB">
      <w:pPr>
        <w:pStyle w:val="Heading3"/>
        <w:jc w:val="both"/>
        <w:rPr>
          <w:rFonts w:asciiTheme="minorBidi" w:hAnsiTheme="minorBidi" w:cstheme="minorBidi"/>
          <w:color w:val="000000" w:themeColor="text1"/>
          <w:sz w:val="24"/>
          <w:szCs w:val="24"/>
        </w:rPr>
      </w:pPr>
      <w:bookmarkStart w:id="4" w:name="_Toc243550838"/>
      <w:r w:rsidRPr="008E4CAB">
        <w:rPr>
          <w:rFonts w:asciiTheme="minorBidi" w:hAnsiTheme="minorBidi" w:cstheme="minorBidi"/>
          <w:color w:val="000000" w:themeColor="text1"/>
          <w:sz w:val="24"/>
          <w:szCs w:val="24"/>
        </w:rPr>
        <w:t>Environmental Claims and Measurement Boundaries</w:t>
      </w:r>
      <w:bookmarkEnd w:id="4"/>
    </w:p>
    <w:p w14:paraId="2D1CD977"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One of the main challenges is the separation of the operative emissions from the product emissions. SSAB defines SSAB Zero as emissions below a certain threshold of 0.05 kg of </w:t>
      </w:r>
      <w:proofErr w:type="spellStart"/>
      <w:r w:rsidRPr="008E4CAB">
        <w:rPr>
          <w:rFonts w:asciiTheme="minorBidi" w:hAnsiTheme="minorBidi"/>
          <w:color w:val="000000" w:themeColor="text1"/>
          <w:sz w:val="24"/>
          <w:szCs w:val="24"/>
        </w:rPr>
        <w:t>CO</w:t>
      </w:r>
      <w:r w:rsidRPr="008E4CAB">
        <w:rPr>
          <w:rFonts w:ascii="Cambria Math" w:hAnsi="Cambria Math" w:cs="Cambria Math"/>
          <w:color w:val="000000" w:themeColor="text1"/>
          <w:sz w:val="24"/>
          <w:szCs w:val="24"/>
        </w:rPr>
        <w:t>₂</w:t>
      </w:r>
      <w:r w:rsidRPr="008E4CAB">
        <w:rPr>
          <w:rFonts w:asciiTheme="minorBidi" w:hAnsiTheme="minorBidi"/>
          <w:color w:val="000000" w:themeColor="text1"/>
          <w:sz w:val="24"/>
          <w:szCs w:val="24"/>
        </w:rPr>
        <w:t>e</w:t>
      </w:r>
      <w:proofErr w:type="spellEnd"/>
      <w:r w:rsidRPr="008E4CAB">
        <w:rPr>
          <w:rFonts w:asciiTheme="minorBidi" w:hAnsiTheme="minorBidi"/>
          <w:color w:val="000000" w:themeColor="text1"/>
          <w:sz w:val="24"/>
          <w:szCs w:val="24"/>
        </w:rPr>
        <w:t xml:space="preserve"> per kg of steel (SSAB, n.d.-b). This is not to be interpreted as a full life cycle footprint. Product environmental declarations use established boundaries for the assessment and use a different basis of comparison (SSAB, n.d.-a).</w:t>
      </w:r>
    </w:p>
    <w:p w14:paraId="46CF692C"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This distinction is in the commercial sense. Greenwashing is detected by research when companies' messages about the environment are greater than the evidence that they have at all levels of their supply chains (</w:t>
      </w:r>
      <w:proofErr w:type="spellStart"/>
      <w:r w:rsidRPr="008E4CAB">
        <w:rPr>
          <w:rFonts w:asciiTheme="minorBidi" w:hAnsiTheme="minorBidi"/>
          <w:color w:val="000000" w:themeColor="text1"/>
          <w:sz w:val="24"/>
          <w:szCs w:val="24"/>
        </w:rPr>
        <w:t>Pizzetti</w:t>
      </w:r>
      <w:proofErr w:type="spellEnd"/>
      <w:r w:rsidRPr="008E4CAB">
        <w:rPr>
          <w:rFonts w:asciiTheme="minorBidi" w:hAnsiTheme="minorBidi"/>
          <w:color w:val="000000" w:themeColor="text1"/>
          <w:sz w:val="24"/>
          <w:szCs w:val="24"/>
        </w:rPr>
        <w:t xml:space="preserve"> et al., 2021). Additionally, the disclosure does not necessarily lead to better decision-making, if the information is not comparable and helpful enough (Christensen et al., 2021). Therefore, it is vital for the SSAB to specify the product, assessment boundary and verification basis in the marketing so that the procurement team can make defensible comparisons (Vangeli et al., 2023).</w:t>
      </w:r>
    </w:p>
    <w:p w14:paraId="7D813EFF" w14:textId="665A9490" w:rsidR="0088095A" w:rsidRPr="008E4CAB" w:rsidRDefault="0088095A" w:rsidP="008E4CAB">
      <w:pPr>
        <w:pStyle w:val="Heading3"/>
        <w:jc w:val="both"/>
        <w:rPr>
          <w:rFonts w:asciiTheme="minorBidi" w:hAnsiTheme="minorBidi" w:cstheme="minorBidi"/>
          <w:color w:val="000000" w:themeColor="text1"/>
          <w:sz w:val="24"/>
          <w:szCs w:val="24"/>
        </w:rPr>
      </w:pPr>
      <w:bookmarkStart w:id="5" w:name="_Toc243550839"/>
      <w:r w:rsidRPr="008E4CAB">
        <w:rPr>
          <w:rFonts w:asciiTheme="minorBidi" w:hAnsiTheme="minorBidi" w:cstheme="minorBidi"/>
          <w:color w:val="000000" w:themeColor="text1"/>
          <w:sz w:val="24"/>
          <w:szCs w:val="24"/>
        </w:rPr>
        <w:t>Circularity and the Limits of Environmental Advantage</w:t>
      </w:r>
      <w:bookmarkEnd w:id="5"/>
    </w:p>
    <w:p w14:paraId="1080A240"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A circular value proposition can be achieved by using recycled inputs, but circularity does not necessarily equal sustainability. The availability of materials is a prerequisite for circular business models, as well as supporting </w:t>
      </w:r>
      <w:proofErr w:type="spellStart"/>
      <w:r w:rsidRPr="008E4CAB">
        <w:rPr>
          <w:rFonts w:asciiTheme="minorBidi" w:hAnsiTheme="minorBidi"/>
          <w:color w:val="000000" w:themeColor="text1"/>
          <w:sz w:val="24"/>
          <w:szCs w:val="24"/>
        </w:rPr>
        <w:t>organisations</w:t>
      </w:r>
      <w:proofErr w:type="spellEnd"/>
      <w:r w:rsidRPr="008E4CAB">
        <w:rPr>
          <w:rFonts w:asciiTheme="minorBidi" w:hAnsiTheme="minorBidi"/>
          <w:color w:val="000000" w:themeColor="text1"/>
          <w:sz w:val="24"/>
          <w:szCs w:val="24"/>
        </w:rPr>
        <w:t xml:space="preserve"> and functioning ecosystems (</w:t>
      </w:r>
      <w:proofErr w:type="spellStart"/>
      <w:r w:rsidRPr="008E4CAB">
        <w:rPr>
          <w:rFonts w:asciiTheme="minorBidi" w:hAnsiTheme="minorBidi"/>
          <w:color w:val="000000" w:themeColor="text1"/>
          <w:sz w:val="24"/>
          <w:szCs w:val="24"/>
        </w:rPr>
        <w:t>Geissdoerfer</w:t>
      </w:r>
      <w:proofErr w:type="spellEnd"/>
      <w:r w:rsidRPr="008E4CAB">
        <w:rPr>
          <w:rFonts w:asciiTheme="minorBidi" w:hAnsiTheme="minorBidi"/>
          <w:color w:val="000000" w:themeColor="text1"/>
          <w:sz w:val="24"/>
          <w:szCs w:val="24"/>
        </w:rPr>
        <w:t xml:space="preserve"> et al., 2020; Kanda et al., 2021). The commercial strength of recycled steel is thus partly dependent on other systems of materials for SSAB.</w:t>
      </w:r>
    </w:p>
    <w:p w14:paraId="31DD2B65"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Other research opportunities exist such as lab work on the recovery of iron from red mud, but this would not necessarily mean that the technology is commercially ready for SSAB. There is also critical research questioning whether the national green-steel narratives are sufficient to consider the broader resource and territorial impacts (de Leeuw &amp; Vogl, 2024). Therefore, marketing needs to acknowledge environmental improvements and not to suggest that producing more steel is "environmentally consequence-free.</w:t>
      </w:r>
    </w:p>
    <w:p w14:paraId="1C0FA216" w14:textId="3D013499" w:rsidR="0088095A" w:rsidRPr="008E4CAB" w:rsidRDefault="0088095A" w:rsidP="008E4CAB">
      <w:pPr>
        <w:pStyle w:val="Heading2"/>
        <w:jc w:val="both"/>
        <w:rPr>
          <w:rFonts w:asciiTheme="minorBidi" w:hAnsiTheme="minorBidi" w:cstheme="minorBidi"/>
          <w:color w:val="000000" w:themeColor="text1"/>
          <w:sz w:val="24"/>
          <w:szCs w:val="24"/>
        </w:rPr>
      </w:pPr>
      <w:bookmarkStart w:id="6" w:name="_Toc243550840"/>
      <w:r w:rsidRPr="008E4CAB">
        <w:rPr>
          <w:rFonts w:asciiTheme="minorBidi" w:hAnsiTheme="minorBidi" w:cstheme="minorBidi"/>
          <w:color w:val="000000" w:themeColor="text1"/>
          <w:sz w:val="24"/>
          <w:szCs w:val="24"/>
        </w:rPr>
        <w:t>Economic Factors</w:t>
      </w:r>
      <w:bookmarkEnd w:id="6"/>
    </w:p>
    <w:p w14:paraId="1EC9EADB" w14:textId="0941957D" w:rsidR="0088095A" w:rsidRPr="008E4CAB" w:rsidRDefault="0088095A" w:rsidP="008E4CAB">
      <w:pPr>
        <w:pStyle w:val="Heading3"/>
        <w:jc w:val="both"/>
        <w:rPr>
          <w:rFonts w:asciiTheme="minorBidi" w:hAnsiTheme="minorBidi" w:cstheme="minorBidi"/>
          <w:color w:val="000000" w:themeColor="text1"/>
          <w:sz w:val="24"/>
          <w:szCs w:val="24"/>
        </w:rPr>
      </w:pPr>
      <w:bookmarkStart w:id="7" w:name="_Toc243550841"/>
      <w:r w:rsidRPr="008E4CAB">
        <w:rPr>
          <w:rFonts w:asciiTheme="minorBidi" w:hAnsiTheme="minorBidi" w:cstheme="minorBidi"/>
          <w:color w:val="000000" w:themeColor="text1"/>
          <w:sz w:val="24"/>
          <w:szCs w:val="24"/>
        </w:rPr>
        <w:t>Energy Costs and International Competition</w:t>
      </w:r>
      <w:bookmarkEnd w:id="7"/>
    </w:p>
    <w:p w14:paraId="141F8EC4"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Reduced carbon production is a matter of competition in an international cost structure. Devlin et al. (2023) show that renewable energy conditions have a significant impact on the economics of using hydrogen to make steel. While this route of production is not the same as that of SSAB Zero the results demonstrate why energy cost cannot be de-coupled from the assessment of </w:t>
      </w:r>
      <w:proofErr w:type="spellStart"/>
      <w:r w:rsidRPr="008E4CAB">
        <w:rPr>
          <w:rFonts w:asciiTheme="minorBidi" w:hAnsiTheme="minorBidi"/>
          <w:color w:val="000000" w:themeColor="text1"/>
          <w:sz w:val="24"/>
          <w:szCs w:val="24"/>
        </w:rPr>
        <w:t>decarbonisation</w:t>
      </w:r>
      <w:proofErr w:type="spellEnd"/>
      <w:r w:rsidRPr="008E4CAB">
        <w:rPr>
          <w:rFonts w:asciiTheme="minorBidi" w:hAnsiTheme="minorBidi"/>
          <w:color w:val="000000" w:themeColor="text1"/>
          <w:sz w:val="24"/>
          <w:szCs w:val="24"/>
        </w:rPr>
        <w:t>. The studies of green-energy and steel imports also suggest that international trade can shift degrees of attractiveness of domestic production pathways (Neumann et al., 2025).</w:t>
      </w:r>
    </w:p>
    <w:p w14:paraId="19B4B425"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For marketing management, the conclusion is that an extra price for the environment can compensate only for a limited time for a commercial offer which is not competitive. Technical requirements, purchasing costs and supply continuity are examined by the customer in conjunction with each other. There are several factors that have been identified in consumer-oriented studies that affect consumers' willingness to pay for green steel, but they are not necessarily applicable to industrial consumers. An account level interview and commercial trial is thus required.</w:t>
      </w:r>
    </w:p>
    <w:p w14:paraId="7D14E9FB" w14:textId="187FC7A6" w:rsidR="0088095A" w:rsidRPr="008E4CAB" w:rsidRDefault="0088095A" w:rsidP="008E4CAB">
      <w:pPr>
        <w:pStyle w:val="Heading3"/>
        <w:jc w:val="both"/>
        <w:rPr>
          <w:rFonts w:asciiTheme="minorBidi" w:hAnsiTheme="minorBidi" w:cstheme="minorBidi"/>
          <w:color w:val="000000" w:themeColor="text1"/>
          <w:sz w:val="24"/>
          <w:szCs w:val="24"/>
        </w:rPr>
      </w:pPr>
      <w:bookmarkStart w:id="8" w:name="_Toc243550842"/>
      <w:r w:rsidRPr="008E4CAB">
        <w:rPr>
          <w:rFonts w:asciiTheme="minorBidi" w:hAnsiTheme="minorBidi" w:cstheme="minorBidi"/>
          <w:color w:val="000000" w:themeColor="text1"/>
          <w:sz w:val="24"/>
          <w:szCs w:val="24"/>
        </w:rPr>
        <w:t>Financial Capacity and Pricing Discipline</w:t>
      </w:r>
      <w:bookmarkEnd w:id="8"/>
    </w:p>
    <w:p w14:paraId="4FF60F14"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As illustrated in figure 2, the group operating profit of SSAB has decreased from SEK 7.860 billion in 2024 to SEK 6.116 billion in 2025, about 22.2% (SSAB, 2026). While the consolidated results don't show individual profit of SSAB Zero they do show the value of disciplined investment and pricing.</w:t>
      </w:r>
    </w:p>
    <w:p w14:paraId="338EDE69" w14:textId="3F280026" w:rsidR="00D110E1" w:rsidRPr="008E4CAB" w:rsidRDefault="00D110E1" w:rsidP="008E4CAB">
      <w:pPr>
        <w:spacing w:line="360" w:lineRule="auto"/>
        <w:ind w:firstLine="0"/>
        <w:jc w:val="both"/>
        <w:rPr>
          <w:rFonts w:asciiTheme="minorBidi" w:hAnsiTheme="minorBidi"/>
          <w:color w:val="000000" w:themeColor="text1"/>
          <w:sz w:val="24"/>
          <w:szCs w:val="24"/>
        </w:rPr>
      </w:pPr>
      <w:r w:rsidRPr="008E4CAB">
        <w:rPr>
          <w:rFonts w:asciiTheme="minorBidi" w:hAnsiTheme="minorBidi"/>
          <w:noProof/>
          <w:color w:val="000000" w:themeColor="text1"/>
          <w:sz w:val="24"/>
          <w:szCs w:val="24"/>
        </w:rPr>
        <w:drawing>
          <wp:inline distT="0" distB="0" distL="0" distR="0" wp14:anchorId="7C9A7DEE" wp14:editId="4854E528">
            <wp:extent cx="5731510" cy="3955415"/>
            <wp:effectExtent l="0" t="0" r="0" b="0"/>
            <wp:docPr id="49310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03157" name=""/>
                    <pic:cNvPicPr/>
                  </pic:nvPicPr>
                  <pic:blipFill>
                    <a:blip r:embed="rId11"/>
                    <a:stretch>
                      <a:fillRect/>
                    </a:stretch>
                  </pic:blipFill>
                  <pic:spPr>
                    <a:xfrm>
                      <a:off x="0" y="0"/>
                      <a:ext cx="5731510" cy="3955415"/>
                    </a:xfrm>
                    <a:prstGeom prst="rect">
                      <a:avLst/>
                    </a:prstGeom>
                  </pic:spPr>
                </pic:pic>
              </a:graphicData>
            </a:graphic>
          </wp:inline>
        </w:drawing>
      </w:r>
    </w:p>
    <w:p w14:paraId="0A91CE96" w14:textId="7B54FE88" w:rsidR="0088095A" w:rsidRPr="008E4CAB" w:rsidRDefault="0088095A" w:rsidP="008E4CAB">
      <w:pPr>
        <w:pStyle w:val="NormalWeb"/>
        <w:spacing w:line="360" w:lineRule="auto"/>
        <w:jc w:val="center"/>
        <w:rPr>
          <w:rFonts w:asciiTheme="minorBidi" w:hAnsiTheme="minorBidi" w:cstheme="minorBidi"/>
          <w:b/>
          <w:bCs/>
          <w:i/>
          <w:iCs/>
          <w:color w:val="000000" w:themeColor="text1"/>
          <w:sz w:val="20"/>
          <w:szCs w:val="20"/>
        </w:rPr>
      </w:pPr>
      <w:r w:rsidRPr="008E4CAB">
        <w:rPr>
          <w:rStyle w:val="Strong"/>
          <w:rFonts w:asciiTheme="minorBidi" w:hAnsiTheme="minorBidi" w:cstheme="minorBidi"/>
          <w:b w:val="0"/>
          <w:bCs w:val="0"/>
          <w:i/>
          <w:iCs/>
          <w:color w:val="000000" w:themeColor="text1"/>
          <w:sz w:val="20"/>
          <w:szCs w:val="20"/>
        </w:rPr>
        <w:t>Figure 2. SSAB group operating profit, 2024–2025</w:t>
      </w:r>
      <w:r w:rsidRPr="008E4CAB">
        <w:rPr>
          <w:rFonts w:asciiTheme="minorBidi" w:hAnsiTheme="minorBidi" w:cstheme="minorBidi"/>
          <w:b/>
          <w:bCs/>
          <w:i/>
          <w:iCs/>
          <w:color w:val="000000" w:themeColor="text1"/>
          <w:sz w:val="20"/>
          <w:szCs w:val="20"/>
        </w:rPr>
        <w:t xml:space="preserve">, </w:t>
      </w:r>
      <w:r w:rsidRPr="008E4CAB">
        <w:rPr>
          <w:rStyle w:val="Emphasis"/>
          <w:rFonts w:asciiTheme="minorBidi" w:hAnsiTheme="minorBidi" w:cstheme="minorBidi"/>
          <w:b w:val="0"/>
          <w:bCs w:val="0"/>
          <w:i w:val="0"/>
          <w:iCs w:val="0"/>
          <w:color w:val="000000" w:themeColor="text1"/>
          <w:sz w:val="20"/>
          <w:szCs w:val="20"/>
        </w:rPr>
        <w:t>Source: Author’s own work based on SSAB (2026).</w:t>
      </w:r>
    </w:p>
    <w:p w14:paraId="1E050C32"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It is important for SSAB not to equate sales growth with commercial success. In order to be innovative in the sustainable business model, it is necessary that the </w:t>
      </w:r>
      <w:proofErr w:type="spellStart"/>
      <w:r w:rsidRPr="008E4CAB">
        <w:rPr>
          <w:rFonts w:asciiTheme="minorBidi" w:hAnsiTheme="minorBidi"/>
          <w:color w:val="000000" w:themeColor="text1"/>
          <w:sz w:val="24"/>
          <w:szCs w:val="24"/>
        </w:rPr>
        <w:t>organisation</w:t>
      </w:r>
      <w:proofErr w:type="spellEnd"/>
      <w:r w:rsidRPr="008E4CAB">
        <w:rPr>
          <w:rFonts w:asciiTheme="minorBidi" w:hAnsiTheme="minorBidi"/>
          <w:color w:val="000000" w:themeColor="text1"/>
          <w:sz w:val="24"/>
          <w:szCs w:val="24"/>
        </w:rPr>
        <w:t xml:space="preserve"> is able to capture enough value to sustain itself (Sinkovics et al., 2021; Alonso-Martínez et al., 2021). Pricing should thus take into consideration customer benefits and account economics that are validated and consider uncertainty in future energy prices and competitor response.</w:t>
      </w:r>
    </w:p>
    <w:p w14:paraId="5637903C" w14:textId="06B59BA0" w:rsidR="0088095A" w:rsidRPr="008E4CAB" w:rsidRDefault="0088095A" w:rsidP="008E4CAB">
      <w:pPr>
        <w:pStyle w:val="Heading2"/>
        <w:jc w:val="both"/>
        <w:rPr>
          <w:rFonts w:asciiTheme="minorBidi" w:hAnsiTheme="minorBidi" w:cstheme="minorBidi"/>
          <w:color w:val="000000" w:themeColor="text1"/>
          <w:sz w:val="24"/>
          <w:szCs w:val="24"/>
        </w:rPr>
      </w:pPr>
      <w:bookmarkStart w:id="9" w:name="_Toc243550843"/>
      <w:r w:rsidRPr="008E4CAB">
        <w:rPr>
          <w:rFonts w:asciiTheme="minorBidi" w:hAnsiTheme="minorBidi" w:cstheme="minorBidi"/>
          <w:color w:val="000000" w:themeColor="text1"/>
          <w:sz w:val="24"/>
          <w:szCs w:val="24"/>
        </w:rPr>
        <w:t>Technological Factors</w:t>
      </w:r>
      <w:bookmarkEnd w:id="9"/>
    </w:p>
    <w:p w14:paraId="2CA53367" w14:textId="667DE312" w:rsidR="0088095A" w:rsidRPr="008E4CAB" w:rsidRDefault="0088095A" w:rsidP="008E4CAB">
      <w:pPr>
        <w:pStyle w:val="Heading3"/>
        <w:jc w:val="both"/>
        <w:rPr>
          <w:rFonts w:asciiTheme="minorBidi" w:hAnsiTheme="minorBidi" w:cstheme="minorBidi"/>
          <w:color w:val="000000" w:themeColor="text1"/>
          <w:sz w:val="24"/>
          <w:szCs w:val="24"/>
        </w:rPr>
      </w:pPr>
      <w:bookmarkStart w:id="10" w:name="_Toc243550844"/>
      <w:r w:rsidRPr="008E4CAB">
        <w:rPr>
          <w:rFonts w:asciiTheme="minorBidi" w:hAnsiTheme="minorBidi" w:cstheme="minorBidi"/>
          <w:color w:val="000000" w:themeColor="text1"/>
          <w:sz w:val="24"/>
          <w:szCs w:val="24"/>
        </w:rPr>
        <w:t>Infrastructure Dependencies and Delivery Credibility</w:t>
      </w:r>
      <w:bookmarkEnd w:id="10"/>
    </w:p>
    <w:p w14:paraId="71C29E0A"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It is the supporting infrastructure, along with the steelmaking equipment, which is essential for the technological transition. The commissioning of the </w:t>
      </w:r>
      <w:proofErr w:type="spellStart"/>
      <w:r w:rsidRPr="008E4CAB">
        <w:rPr>
          <w:rFonts w:asciiTheme="minorBidi" w:hAnsiTheme="minorBidi"/>
          <w:color w:val="000000" w:themeColor="text1"/>
          <w:sz w:val="24"/>
          <w:szCs w:val="24"/>
        </w:rPr>
        <w:t>Luleå</w:t>
      </w:r>
      <w:proofErr w:type="spellEnd"/>
      <w:r w:rsidRPr="008E4CAB">
        <w:rPr>
          <w:rFonts w:asciiTheme="minorBidi" w:hAnsiTheme="minorBidi"/>
          <w:color w:val="000000" w:themeColor="text1"/>
          <w:sz w:val="24"/>
          <w:szCs w:val="24"/>
        </w:rPr>
        <w:t xml:space="preserve"> steel mill was postponed by one year from the end of 2028 to the end of 2029 by SSAB (2025b). The milestones identified in figure 3 are those that have been announced and not future planned operations. Renewable electricity supply and broader integration of the power system are also found to be limitations for </w:t>
      </w:r>
      <w:proofErr w:type="spellStart"/>
      <w:r w:rsidRPr="008E4CAB">
        <w:rPr>
          <w:rFonts w:asciiTheme="minorBidi" w:hAnsiTheme="minorBidi"/>
          <w:color w:val="000000" w:themeColor="text1"/>
          <w:sz w:val="24"/>
          <w:szCs w:val="24"/>
        </w:rPr>
        <w:t>decarbonising</w:t>
      </w:r>
      <w:proofErr w:type="spellEnd"/>
      <w:r w:rsidRPr="008E4CAB">
        <w:rPr>
          <w:rFonts w:asciiTheme="minorBidi" w:hAnsiTheme="minorBidi"/>
          <w:color w:val="000000" w:themeColor="text1"/>
          <w:sz w:val="24"/>
          <w:szCs w:val="24"/>
        </w:rPr>
        <w:t xml:space="preserve"> steel production (</w:t>
      </w:r>
      <w:proofErr w:type="spellStart"/>
      <w:r w:rsidRPr="008E4CAB">
        <w:rPr>
          <w:rFonts w:asciiTheme="minorBidi" w:hAnsiTheme="minorBidi"/>
          <w:color w:val="000000" w:themeColor="text1"/>
          <w:sz w:val="24"/>
          <w:szCs w:val="24"/>
        </w:rPr>
        <w:t>Kazmi</w:t>
      </w:r>
      <w:proofErr w:type="spellEnd"/>
      <w:r w:rsidRPr="008E4CAB">
        <w:rPr>
          <w:rFonts w:asciiTheme="minorBidi" w:hAnsiTheme="minorBidi"/>
          <w:color w:val="000000" w:themeColor="text1"/>
          <w:sz w:val="24"/>
          <w:szCs w:val="24"/>
        </w:rPr>
        <w:t xml:space="preserve"> et al., 2023; Wang et al., 2025).</w:t>
      </w:r>
    </w:p>
    <w:p w14:paraId="11B07CAF" w14:textId="566911DA" w:rsidR="00D110E1" w:rsidRPr="008E4CAB" w:rsidRDefault="00D110E1" w:rsidP="008E4CAB">
      <w:pPr>
        <w:spacing w:line="360" w:lineRule="auto"/>
        <w:ind w:firstLine="0"/>
        <w:jc w:val="both"/>
        <w:rPr>
          <w:rFonts w:asciiTheme="minorBidi" w:hAnsiTheme="minorBidi"/>
          <w:color w:val="000000" w:themeColor="text1"/>
          <w:sz w:val="24"/>
          <w:szCs w:val="24"/>
        </w:rPr>
      </w:pPr>
      <w:r w:rsidRPr="008E4CAB">
        <w:rPr>
          <w:rFonts w:asciiTheme="minorBidi" w:hAnsiTheme="minorBidi"/>
          <w:noProof/>
          <w:color w:val="000000" w:themeColor="text1"/>
          <w:sz w:val="24"/>
          <w:szCs w:val="24"/>
        </w:rPr>
        <w:drawing>
          <wp:inline distT="0" distB="0" distL="0" distR="0" wp14:anchorId="17DEB064" wp14:editId="1399A366">
            <wp:extent cx="5731510" cy="1847850"/>
            <wp:effectExtent l="0" t="0" r="0" b="6350"/>
            <wp:docPr id="207690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90216" name=""/>
                    <pic:cNvPicPr/>
                  </pic:nvPicPr>
                  <pic:blipFill>
                    <a:blip r:embed="rId12"/>
                    <a:stretch>
                      <a:fillRect/>
                    </a:stretch>
                  </pic:blipFill>
                  <pic:spPr>
                    <a:xfrm>
                      <a:off x="0" y="0"/>
                      <a:ext cx="5731510" cy="1847850"/>
                    </a:xfrm>
                    <a:prstGeom prst="rect">
                      <a:avLst/>
                    </a:prstGeom>
                  </pic:spPr>
                </pic:pic>
              </a:graphicData>
            </a:graphic>
          </wp:inline>
        </w:drawing>
      </w:r>
    </w:p>
    <w:p w14:paraId="5C649DF1" w14:textId="1EC5C3B9" w:rsidR="0088095A" w:rsidRPr="008E4CAB" w:rsidRDefault="0088095A" w:rsidP="008E4CAB">
      <w:pPr>
        <w:pStyle w:val="NormalWeb"/>
        <w:spacing w:line="360" w:lineRule="auto"/>
        <w:jc w:val="center"/>
        <w:rPr>
          <w:rFonts w:asciiTheme="minorBidi" w:hAnsiTheme="minorBidi" w:cstheme="minorBidi"/>
          <w:b/>
          <w:bCs/>
          <w:i/>
          <w:iCs/>
          <w:color w:val="000000" w:themeColor="text1"/>
          <w:sz w:val="20"/>
          <w:szCs w:val="20"/>
        </w:rPr>
      </w:pPr>
      <w:r w:rsidRPr="008E4CAB">
        <w:rPr>
          <w:rStyle w:val="Strong"/>
          <w:rFonts w:asciiTheme="minorBidi" w:hAnsiTheme="minorBidi" w:cstheme="minorBidi"/>
          <w:b w:val="0"/>
          <w:bCs w:val="0"/>
          <w:i/>
          <w:iCs/>
          <w:color w:val="000000" w:themeColor="text1"/>
          <w:sz w:val="20"/>
          <w:szCs w:val="20"/>
        </w:rPr>
        <w:t xml:space="preserve">Figure 3. Revised commissioning timetable for SSAB’s </w:t>
      </w:r>
      <w:proofErr w:type="spellStart"/>
      <w:r w:rsidRPr="008E4CAB">
        <w:rPr>
          <w:rStyle w:val="Strong"/>
          <w:rFonts w:asciiTheme="minorBidi" w:hAnsiTheme="minorBidi" w:cstheme="minorBidi"/>
          <w:b w:val="0"/>
          <w:bCs w:val="0"/>
          <w:i/>
          <w:iCs/>
          <w:color w:val="000000" w:themeColor="text1"/>
          <w:sz w:val="20"/>
          <w:szCs w:val="20"/>
        </w:rPr>
        <w:t>Luleå</w:t>
      </w:r>
      <w:proofErr w:type="spellEnd"/>
      <w:r w:rsidRPr="008E4CAB">
        <w:rPr>
          <w:rStyle w:val="Strong"/>
          <w:rFonts w:asciiTheme="minorBidi" w:hAnsiTheme="minorBidi" w:cstheme="minorBidi"/>
          <w:b w:val="0"/>
          <w:bCs w:val="0"/>
          <w:i/>
          <w:iCs/>
          <w:color w:val="000000" w:themeColor="text1"/>
          <w:sz w:val="20"/>
          <w:szCs w:val="20"/>
        </w:rPr>
        <w:t xml:space="preserve"> steel mill</w:t>
      </w:r>
      <w:r w:rsidRPr="008E4CAB">
        <w:rPr>
          <w:rFonts w:asciiTheme="minorBidi" w:hAnsiTheme="minorBidi" w:cstheme="minorBidi"/>
          <w:b/>
          <w:bCs/>
          <w:i/>
          <w:iCs/>
          <w:color w:val="000000" w:themeColor="text1"/>
          <w:sz w:val="20"/>
          <w:szCs w:val="20"/>
        </w:rPr>
        <w:t xml:space="preserve">, </w:t>
      </w:r>
      <w:r w:rsidRPr="008E4CAB">
        <w:rPr>
          <w:rStyle w:val="Emphasis"/>
          <w:rFonts w:asciiTheme="minorBidi" w:hAnsiTheme="minorBidi" w:cstheme="minorBidi"/>
          <w:b w:val="0"/>
          <w:bCs w:val="0"/>
          <w:i w:val="0"/>
          <w:iCs w:val="0"/>
          <w:color w:val="000000" w:themeColor="text1"/>
          <w:sz w:val="20"/>
          <w:szCs w:val="20"/>
        </w:rPr>
        <w:t>Source: Author’s own work based on SSAB (2025a, 2025b).</w:t>
      </w:r>
    </w:p>
    <w:p w14:paraId="72BB9F18"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A distinction needs to be made between current capacity and the potential capacity. Industrial transitions can be coordinated through intermediaries and wider innovation networks but this does not reduce implementation risk (Kanda et al., 2020). Thus, sales commitments need to be based on proven operational abilities.</w:t>
      </w:r>
    </w:p>
    <w:p w14:paraId="37A2C08D" w14:textId="23F248B4" w:rsidR="0088095A" w:rsidRPr="008E4CAB" w:rsidRDefault="0088095A" w:rsidP="008E4CAB">
      <w:pPr>
        <w:pStyle w:val="Heading3"/>
        <w:jc w:val="both"/>
        <w:rPr>
          <w:rFonts w:asciiTheme="minorBidi" w:hAnsiTheme="minorBidi" w:cstheme="minorBidi"/>
          <w:color w:val="000000" w:themeColor="text1"/>
          <w:sz w:val="24"/>
          <w:szCs w:val="24"/>
        </w:rPr>
      </w:pPr>
      <w:bookmarkStart w:id="11" w:name="_Toc243550845"/>
      <w:r w:rsidRPr="008E4CAB">
        <w:rPr>
          <w:rFonts w:asciiTheme="minorBidi" w:hAnsiTheme="minorBidi" w:cstheme="minorBidi"/>
          <w:color w:val="000000" w:themeColor="text1"/>
          <w:sz w:val="24"/>
          <w:szCs w:val="24"/>
        </w:rPr>
        <w:t>Artificial Intelligence and Marketing Capability</w:t>
      </w:r>
      <w:bookmarkEnd w:id="11"/>
    </w:p>
    <w:p w14:paraId="60D52BBE"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AI can be used to assist in opportunity </w:t>
      </w:r>
      <w:proofErr w:type="spellStart"/>
      <w:r w:rsidRPr="008E4CAB">
        <w:rPr>
          <w:rFonts w:asciiTheme="minorBidi" w:hAnsiTheme="minorBidi"/>
          <w:color w:val="000000" w:themeColor="text1"/>
          <w:sz w:val="24"/>
          <w:szCs w:val="24"/>
        </w:rPr>
        <w:t>prioritisation</w:t>
      </w:r>
      <w:proofErr w:type="spellEnd"/>
      <w:r w:rsidRPr="008E4CAB">
        <w:rPr>
          <w:rFonts w:asciiTheme="minorBidi" w:hAnsiTheme="minorBidi"/>
          <w:color w:val="000000" w:themeColor="text1"/>
          <w:sz w:val="24"/>
          <w:szCs w:val="24"/>
        </w:rPr>
        <w:t xml:space="preserve">, demand forecasting and account analysis. But </w:t>
      </w:r>
      <w:proofErr w:type="spellStart"/>
      <w:r w:rsidRPr="008E4CAB">
        <w:rPr>
          <w:rFonts w:asciiTheme="minorBidi" w:hAnsiTheme="minorBidi"/>
          <w:color w:val="000000" w:themeColor="text1"/>
          <w:sz w:val="24"/>
          <w:szCs w:val="24"/>
        </w:rPr>
        <w:t>organisational</w:t>
      </w:r>
      <w:proofErr w:type="spellEnd"/>
      <w:r w:rsidRPr="008E4CAB">
        <w:rPr>
          <w:rFonts w:asciiTheme="minorBidi" w:hAnsiTheme="minorBidi"/>
          <w:color w:val="000000" w:themeColor="text1"/>
          <w:sz w:val="24"/>
          <w:szCs w:val="24"/>
        </w:rPr>
        <w:t xml:space="preserve"> capability is not just software acquisition, it relies on data, skills and management practices too (</w:t>
      </w:r>
      <w:proofErr w:type="spellStart"/>
      <w:r w:rsidRPr="008E4CAB">
        <w:rPr>
          <w:rFonts w:asciiTheme="minorBidi" w:hAnsiTheme="minorBidi"/>
          <w:color w:val="000000" w:themeColor="text1"/>
          <w:sz w:val="24"/>
          <w:szCs w:val="24"/>
        </w:rPr>
        <w:t>Mikalef</w:t>
      </w:r>
      <w:proofErr w:type="spellEnd"/>
      <w:r w:rsidRPr="008E4CAB">
        <w:rPr>
          <w:rFonts w:asciiTheme="minorBidi" w:hAnsiTheme="minorBidi"/>
          <w:color w:val="000000" w:themeColor="text1"/>
          <w:sz w:val="24"/>
          <w:szCs w:val="24"/>
        </w:rPr>
        <w:t xml:space="preserve"> &amp; Gupta, 2021). Marketing research indicates opportunities for AI-assisted decision making, and management research indicates tensions between automated and human decision making (Davenport et al., 2020; Raisch &amp; Krakowski, 2021).</w:t>
      </w:r>
    </w:p>
    <w:p w14:paraId="6CFC0963"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SSAB should use AI to help commercial teams to </w:t>
      </w:r>
      <w:proofErr w:type="spellStart"/>
      <w:r w:rsidRPr="008E4CAB">
        <w:rPr>
          <w:rFonts w:asciiTheme="minorBidi" w:hAnsiTheme="minorBidi"/>
          <w:color w:val="000000" w:themeColor="text1"/>
          <w:sz w:val="24"/>
          <w:szCs w:val="24"/>
        </w:rPr>
        <w:t>analyse</w:t>
      </w:r>
      <w:proofErr w:type="spellEnd"/>
      <w:r w:rsidRPr="008E4CAB">
        <w:rPr>
          <w:rFonts w:asciiTheme="minorBidi" w:hAnsiTheme="minorBidi"/>
          <w:color w:val="000000" w:themeColor="text1"/>
          <w:sz w:val="24"/>
          <w:szCs w:val="24"/>
        </w:rPr>
        <w:t xml:space="preserve"> the customer requirements and provide information. Environmental / engineering claims should be validated by technical specialists prior to publication. Human–AI collaboration is best when there is a clear division of labor and the employees can check with AI's recommendations (Chowdhury et al., 2022).</w:t>
      </w:r>
    </w:p>
    <w:p w14:paraId="4944EFDA" w14:textId="77777777" w:rsidR="0088095A" w:rsidRPr="008E4CAB" w:rsidRDefault="0088095A" w:rsidP="008E4CAB">
      <w:pPr>
        <w:pStyle w:val="NormalWeb"/>
        <w:spacing w:line="360" w:lineRule="auto"/>
        <w:jc w:val="both"/>
        <w:rPr>
          <w:rFonts w:asciiTheme="minorBidi" w:hAnsiTheme="minorBidi" w:cstheme="minorBidi"/>
          <w:color w:val="000000" w:themeColor="text1"/>
        </w:rPr>
      </w:pPr>
      <w:r w:rsidRPr="008E4CAB">
        <w:rPr>
          <w:rStyle w:val="Strong"/>
          <w:rFonts w:asciiTheme="minorBidi" w:hAnsiTheme="minorBidi" w:cstheme="minorBidi"/>
          <w:color w:val="000000" w:themeColor="text1"/>
        </w:rPr>
        <w:t>Table 1. External influences and marketing implications</w:t>
      </w:r>
    </w:p>
    <w:tbl>
      <w:tblPr>
        <w:tblStyle w:val="GridTable4-Accent5"/>
        <w:tblW w:w="0" w:type="auto"/>
        <w:tblLook w:val="04A0" w:firstRow="1" w:lastRow="0" w:firstColumn="1" w:lastColumn="0" w:noHBand="0" w:noVBand="1"/>
      </w:tblPr>
      <w:tblGrid>
        <w:gridCol w:w="1883"/>
        <w:gridCol w:w="2426"/>
        <w:gridCol w:w="2213"/>
        <w:gridCol w:w="2494"/>
      </w:tblGrid>
      <w:tr w:rsidR="0088095A" w:rsidRPr="008E4CAB" w14:paraId="7D2D685C" w14:textId="77777777" w:rsidTr="008809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B26212"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Dimension</w:t>
            </w:r>
          </w:p>
        </w:tc>
        <w:tc>
          <w:tcPr>
            <w:tcW w:w="0" w:type="auto"/>
            <w:hideMark/>
          </w:tcPr>
          <w:p w14:paraId="7A69519C" w14:textId="77777777" w:rsidR="0088095A" w:rsidRPr="008E4CAB" w:rsidRDefault="0088095A" w:rsidP="008E4CAB">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Opportunity</w:t>
            </w:r>
          </w:p>
        </w:tc>
        <w:tc>
          <w:tcPr>
            <w:tcW w:w="0" w:type="auto"/>
            <w:hideMark/>
          </w:tcPr>
          <w:p w14:paraId="356CBE4A" w14:textId="77777777" w:rsidR="0088095A" w:rsidRPr="008E4CAB" w:rsidRDefault="0088095A" w:rsidP="008E4CAB">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Main constraint</w:t>
            </w:r>
          </w:p>
        </w:tc>
        <w:tc>
          <w:tcPr>
            <w:tcW w:w="0" w:type="auto"/>
            <w:hideMark/>
          </w:tcPr>
          <w:p w14:paraId="27CCF706" w14:textId="77777777" w:rsidR="0088095A" w:rsidRPr="008E4CAB" w:rsidRDefault="0088095A" w:rsidP="008E4CAB">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Marketing response</w:t>
            </w:r>
          </w:p>
        </w:tc>
      </w:tr>
      <w:tr w:rsidR="0088095A" w:rsidRPr="008E4CAB" w14:paraId="2109C123" w14:textId="77777777" w:rsidTr="008809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980B1"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Environmental</w:t>
            </w:r>
          </w:p>
        </w:tc>
        <w:tc>
          <w:tcPr>
            <w:tcW w:w="0" w:type="auto"/>
            <w:hideMark/>
          </w:tcPr>
          <w:p w14:paraId="519AD619"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Differentiate through documented emissions performance</w:t>
            </w:r>
          </w:p>
        </w:tc>
        <w:tc>
          <w:tcPr>
            <w:tcW w:w="0" w:type="auto"/>
            <w:hideMark/>
          </w:tcPr>
          <w:p w14:paraId="3C146815"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Unclear boundaries and exaggerated claims</w:t>
            </w:r>
          </w:p>
        </w:tc>
        <w:tc>
          <w:tcPr>
            <w:tcW w:w="0" w:type="auto"/>
            <w:hideMark/>
          </w:tcPr>
          <w:p w14:paraId="75E9AFCA"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Provide product-specific evidence and explain assessment boundaries</w:t>
            </w:r>
          </w:p>
        </w:tc>
      </w:tr>
      <w:tr w:rsidR="0088095A" w:rsidRPr="008E4CAB" w14:paraId="7573D227" w14:textId="77777777" w:rsidTr="0088095A">
        <w:tc>
          <w:tcPr>
            <w:cnfStyle w:val="001000000000" w:firstRow="0" w:lastRow="0" w:firstColumn="1" w:lastColumn="0" w:oddVBand="0" w:evenVBand="0" w:oddHBand="0" w:evenHBand="0" w:firstRowFirstColumn="0" w:firstRowLastColumn="0" w:lastRowFirstColumn="0" w:lastRowLastColumn="0"/>
            <w:tcW w:w="0" w:type="auto"/>
            <w:hideMark/>
          </w:tcPr>
          <w:p w14:paraId="0E430CA5"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Economic</w:t>
            </w:r>
          </w:p>
        </w:tc>
        <w:tc>
          <w:tcPr>
            <w:tcW w:w="0" w:type="auto"/>
            <w:hideMark/>
          </w:tcPr>
          <w:p w14:paraId="3D48E0DF"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Develop repeat demand among customers valuing emissions reductions</w:t>
            </w:r>
          </w:p>
        </w:tc>
        <w:tc>
          <w:tcPr>
            <w:tcW w:w="0" w:type="auto"/>
            <w:hideMark/>
          </w:tcPr>
          <w:p w14:paraId="2FE79711"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Energy costs and uncertain price premiums</w:t>
            </w:r>
          </w:p>
        </w:tc>
        <w:tc>
          <w:tcPr>
            <w:tcW w:w="0" w:type="auto"/>
            <w:hideMark/>
          </w:tcPr>
          <w:p w14:paraId="629B28A9"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Test account profitability and contractual arrangements</w:t>
            </w:r>
          </w:p>
        </w:tc>
      </w:tr>
      <w:tr w:rsidR="0088095A" w:rsidRPr="008E4CAB" w14:paraId="15D21955" w14:textId="77777777" w:rsidTr="008809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521E8C"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Technological</w:t>
            </w:r>
          </w:p>
        </w:tc>
        <w:tc>
          <w:tcPr>
            <w:tcW w:w="0" w:type="auto"/>
            <w:hideMark/>
          </w:tcPr>
          <w:p w14:paraId="246ACEC8"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Improve production and customer-information capabilities</w:t>
            </w:r>
          </w:p>
        </w:tc>
        <w:tc>
          <w:tcPr>
            <w:tcW w:w="0" w:type="auto"/>
            <w:hideMark/>
          </w:tcPr>
          <w:p w14:paraId="308B941E"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Infrastructure delays and unreliable automated outputs</w:t>
            </w:r>
          </w:p>
        </w:tc>
        <w:tc>
          <w:tcPr>
            <w:tcW w:w="0" w:type="auto"/>
            <w:hideMark/>
          </w:tcPr>
          <w:p w14:paraId="75BE04FB"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Align commitments with confirmed capacity and specialist validation</w:t>
            </w:r>
          </w:p>
        </w:tc>
      </w:tr>
    </w:tbl>
    <w:p w14:paraId="38228701" w14:textId="77777777" w:rsidR="0088095A" w:rsidRPr="008E4CAB" w:rsidRDefault="0088095A" w:rsidP="008E4CAB">
      <w:pPr>
        <w:pStyle w:val="NormalWeb"/>
        <w:spacing w:line="360" w:lineRule="auto"/>
        <w:jc w:val="both"/>
        <w:rPr>
          <w:rFonts w:asciiTheme="minorBidi" w:hAnsiTheme="minorBidi" w:cstheme="minorBidi"/>
          <w:color w:val="000000" w:themeColor="text1"/>
        </w:rPr>
      </w:pPr>
      <w:r w:rsidRPr="008E4CAB">
        <w:rPr>
          <w:rStyle w:val="Emphasis"/>
          <w:rFonts w:asciiTheme="minorBidi" w:hAnsiTheme="minorBidi" w:cstheme="minorBidi"/>
          <w:color w:val="000000" w:themeColor="text1"/>
        </w:rPr>
        <w:t>Source: Author’s own work based on Devlin et al. (2023), Vangeli et al. (2023), Wang et al. (2025), and SSAB (2025b).</w:t>
      </w:r>
    </w:p>
    <w:p w14:paraId="1FA202E3" w14:textId="77777777" w:rsidR="0088095A" w:rsidRPr="008E4CAB" w:rsidRDefault="0088095A" w:rsidP="008E4CAB">
      <w:pPr>
        <w:pStyle w:val="Heading1"/>
        <w:jc w:val="both"/>
        <w:rPr>
          <w:rFonts w:asciiTheme="minorBidi" w:hAnsiTheme="minorBidi" w:cstheme="minorBidi"/>
          <w:color w:val="000000" w:themeColor="text1"/>
          <w:sz w:val="24"/>
          <w:szCs w:val="24"/>
        </w:rPr>
      </w:pPr>
      <w:bookmarkStart w:id="12" w:name="_Toc243550846"/>
      <w:r w:rsidRPr="008E4CAB">
        <w:rPr>
          <w:rFonts w:asciiTheme="minorBidi" w:hAnsiTheme="minorBidi" w:cstheme="minorBidi"/>
          <w:color w:val="000000" w:themeColor="text1"/>
          <w:sz w:val="24"/>
          <w:szCs w:val="24"/>
        </w:rPr>
        <w:t>Task 2: Ansoff Growth Strategy and Competitive Advantage</w:t>
      </w:r>
      <w:bookmarkEnd w:id="12"/>
    </w:p>
    <w:p w14:paraId="255589EB" w14:textId="544F3A1C" w:rsidR="0088095A" w:rsidRPr="008E4CAB" w:rsidRDefault="0088095A" w:rsidP="008E4CAB">
      <w:pPr>
        <w:pStyle w:val="Heading2"/>
        <w:jc w:val="both"/>
        <w:rPr>
          <w:rFonts w:asciiTheme="minorBidi" w:hAnsiTheme="minorBidi" w:cstheme="minorBidi"/>
          <w:color w:val="000000" w:themeColor="text1"/>
          <w:sz w:val="24"/>
          <w:szCs w:val="24"/>
        </w:rPr>
      </w:pPr>
      <w:bookmarkStart w:id="13" w:name="_Toc243550847"/>
      <w:r w:rsidRPr="008E4CAB">
        <w:rPr>
          <w:rFonts w:asciiTheme="minorBidi" w:hAnsiTheme="minorBidi" w:cstheme="minorBidi"/>
          <w:color w:val="000000" w:themeColor="text1"/>
          <w:sz w:val="24"/>
          <w:szCs w:val="24"/>
        </w:rPr>
        <w:t>Selection of Market Penetration</w:t>
      </w:r>
      <w:bookmarkEnd w:id="13"/>
    </w:p>
    <w:p w14:paraId="4B2F34F2"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Market penetration is the most defensible immediate strategy for SSAB Zero as it engages with an existing product in existing markets of customers. The goal is not to think that any environmental improvement is product development, but to drive repeat purchases and account share. Under Ansoff's matrix, these strategic moves can be differentiated based on the newness of the product and market (Whittington et al., 2023).</w:t>
      </w:r>
    </w:p>
    <w:p w14:paraId="26E3FE32" w14:textId="77777777" w:rsidR="0088095A" w:rsidRPr="008E4CAB" w:rsidRDefault="0088095A" w:rsidP="008E4CAB">
      <w:pPr>
        <w:pStyle w:val="NormalWeb"/>
        <w:spacing w:line="360" w:lineRule="auto"/>
        <w:jc w:val="both"/>
        <w:rPr>
          <w:rFonts w:asciiTheme="minorBidi" w:hAnsiTheme="minorBidi" w:cstheme="minorBidi"/>
          <w:color w:val="000000" w:themeColor="text1"/>
        </w:rPr>
      </w:pPr>
      <w:r w:rsidRPr="008E4CAB">
        <w:rPr>
          <w:rStyle w:val="Strong"/>
          <w:rFonts w:asciiTheme="minorBidi" w:hAnsiTheme="minorBidi" w:cstheme="minorBidi"/>
          <w:color w:val="000000" w:themeColor="text1"/>
        </w:rPr>
        <w:t>Table 2. Application of Ansoff’s growth matrix</w:t>
      </w:r>
    </w:p>
    <w:tbl>
      <w:tblPr>
        <w:tblStyle w:val="GridTable4-Accent6"/>
        <w:tblW w:w="0" w:type="auto"/>
        <w:tblLook w:val="04A0" w:firstRow="1" w:lastRow="0" w:firstColumn="1" w:lastColumn="0" w:noHBand="0" w:noVBand="1"/>
      </w:tblPr>
      <w:tblGrid>
        <w:gridCol w:w="2059"/>
        <w:gridCol w:w="1971"/>
        <w:gridCol w:w="2648"/>
        <w:gridCol w:w="2338"/>
      </w:tblGrid>
      <w:tr w:rsidR="0088095A" w:rsidRPr="008E4CAB" w14:paraId="40D3044C" w14:textId="77777777" w:rsidTr="008809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9B8189"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b w:val="0"/>
                <w:bCs w:val="0"/>
                <w:color w:val="000000" w:themeColor="text1"/>
                <w:sz w:val="24"/>
                <w:szCs w:val="24"/>
              </w:rPr>
              <w:t>Strategy</w:t>
            </w:r>
          </w:p>
        </w:tc>
        <w:tc>
          <w:tcPr>
            <w:tcW w:w="0" w:type="auto"/>
            <w:hideMark/>
          </w:tcPr>
          <w:p w14:paraId="4FC50F2E" w14:textId="77777777" w:rsidR="0088095A" w:rsidRPr="008E4CAB" w:rsidRDefault="0088095A" w:rsidP="008E4CAB">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color w:val="000000" w:themeColor="text1"/>
                <w:sz w:val="24"/>
                <w:szCs w:val="24"/>
              </w:rPr>
            </w:pPr>
            <w:r w:rsidRPr="008E4CAB">
              <w:rPr>
                <w:rFonts w:asciiTheme="minorBidi" w:hAnsiTheme="minorBidi"/>
                <w:b w:val="0"/>
                <w:bCs w:val="0"/>
                <w:color w:val="000000" w:themeColor="text1"/>
                <w:sz w:val="24"/>
                <w:szCs w:val="24"/>
              </w:rPr>
              <w:t>Product–market relationship</w:t>
            </w:r>
          </w:p>
        </w:tc>
        <w:tc>
          <w:tcPr>
            <w:tcW w:w="0" w:type="auto"/>
            <w:hideMark/>
          </w:tcPr>
          <w:p w14:paraId="55E42A35" w14:textId="77777777" w:rsidR="0088095A" w:rsidRPr="008E4CAB" w:rsidRDefault="0088095A" w:rsidP="008E4CAB">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color w:val="000000" w:themeColor="text1"/>
                <w:sz w:val="24"/>
                <w:szCs w:val="24"/>
              </w:rPr>
            </w:pPr>
            <w:r w:rsidRPr="008E4CAB">
              <w:rPr>
                <w:rFonts w:asciiTheme="minorBidi" w:hAnsiTheme="minorBidi"/>
                <w:b w:val="0"/>
                <w:bCs w:val="0"/>
                <w:color w:val="000000" w:themeColor="text1"/>
                <w:sz w:val="24"/>
                <w:szCs w:val="24"/>
              </w:rPr>
              <w:t>Application to SSAB</w:t>
            </w:r>
          </w:p>
        </w:tc>
        <w:tc>
          <w:tcPr>
            <w:tcW w:w="0" w:type="auto"/>
            <w:hideMark/>
          </w:tcPr>
          <w:p w14:paraId="2D340C92" w14:textId="77777777" w:rsidR="0088095A" w:rsidRPr="008E4CAB" w:rsidRDefault="0088095A" w:rsidP="008E4CAB">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color w:val="000000" w:themeColor="text1"/>
                <w:sz w:val="24"/>
                <w:szCs w:val="24"/>
              </w:rPr>
            </w:pPr>
            <w:r w:rsidRPr="008E4CAB">
              <w:rPr>
                <w:rFonts w:asciiTheme="minorBidi" w:hAnsiTheme="minorBidi"/>
                <w:b w:val="0"/>
                <w:bCs w:val="0"/>
                <w:color w:val="000000" w:themeColor="text1"/>
                <w:sz w:val="24"/>
                <w:szCs w:val="24"/>
              </w:rPr>
              <w:t>Assessment</w:t>
            </w:r>
          </w:p>
        </w:tc>
      </w:tr>
      <w:tr w:rsidR="0088095A" w:rsidRPr="008E4CAB" w14:paraId="5EB8F866" w14:textId="77777777" w:rsidTr="008809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58A77B" w14:textId="77777777" w:rsidR="0088095A" w:rsidRPr="008E4CAB" w:rsidRDefault="0088095A" w:rsidP="008E4CAB">
            <w:pPr>
              <w:pStyle w:val="NoSpacing"/>
              <w:spacing w:line="360" w:lineRule="auto"/>
              <w:jc w:val="both"/>
              <w:rPr>
                <w:rFonts w:asciiTheme="minorBidi" w:hAnsiTheme="minorBidi"/>
                <w:b w:val="0"/>
                <w:bCs w:val="0"/>
                <w:color w:val="000000" w:themeColor="text1"/>
                <w:sz w:val="24"/>
                <w:szCs w:val="24"/>
              </w:rPr>
            </w:pPr>
            <w:r w:rsidRPr="008E4CAB">
              <w:rPr>
                <w:rStyle w:val="Strong"/>
                <w:rFonts w:asciiTheme="minorBidi" w:hAnsiTheme="minorBidi"/>
                <w:color w:val="000000" w:themeColor="text1"/>
                <w:sz w:val="24"/>
                <w:szCs w:val="24"/>
              </w:rPr>
              <w:t>Market penetration</w:t>
            </w:r>
          </w:p>
        </w:tc>
        <w:tc>
          <w:tcPr>
            <w:tcW w:w="0" w:type="auto"/>
            <w:hideMark/>
          </w:tcPr>
          <w:p w14:paraId="361E0BA7"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Existing product; existing market</w:t>
            </w:r>
          </w:p>
        </w:tc>
        <w:tc>
          <w:tcPr>
            <w:tcW w:w="0" w:type="auto"/>
            <w:hideMark/>
          </w:tcPr>
          <w:p w14:paraId="39B1C3C9"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Increase SSAB Zero purchases within established accounts</w:t>
            </w:r>
          </w:p>
        </w:tc>
        <w:tc>
          <w:tcPr>
            <w:tcW w:w="0" w:type="auto"/>
            <w:hideMark/>
          </w:tcPr>
          <w:p w14:paraId="73B0BFBF"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Style w:val="Strong"/>
                <w:rFonts w:asciiTheme="minorBidi" w:hAnsiTheme="minorBidi"/>
                <w:color w:val="000000" w:themeColor="text1"/>
                <w:sz w:val="24"/>
                <w:szCs w:val="24"/>
              </w:rPr>
              <w:t>Immediate priority</w:t>
            </w:r>
          </w:p>
        </w:tc>
      </w:tr>
      <w:tr w:rsidR="0088095A" w:rsidRPr="008E4CAB" w14:paraId="16798AE5" w14:textId="77777777" w:rsidTr="0088095A">
        <w:tc>
          <w:tcPr>
            <w:cnfStyle w:val="001000000000" w:firstRow="0" w:lastRow="0" w:firstColumn="1" w:lastColumn="0" w:oddVBand="0" w:evenVBand="0" w:oddHBand="0" w:evenHBand="0" w:firstRowFirstColumn="0" w:firstRowLastColumn="0" w:lastRowFirstColumn="0" w:lastRowLastColumn="0"/>
            <w:tcW w:w="0" w:type="auto"/>
            <w:hideMark/>
          </w:tcPr>
          <w:p w14:paraId="791E3E30"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Market development</w:t>
            </w:r>
          </w:p>
        </w:tc>
        <w:tc>
          <w:tcPr>
            <w:tcW w:w="0" w:type="auto"/>
            <w:hideMark/>
          </w:tcPr>
          <w:p w14:paraId="1844AF2D"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Existing product; new market</w:t>
            </w:r>
          </w:p>
        </w:tc>
        <w:tc>
          <w:tcPr>
            <w:tcW w:w="0" w:type="auto"/>
            <w:hideMark/>
          </w:tcPr>
          <w:p w14:paraId="1E010EDE"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Enter additional locations or customer segments</w:t>
            </w:r>
          </w:p>
        </w:tc>
        <w:tc>
          <w:tcPr>
            <w:tcW w:w="0" w:type="auto"/>
            <w:hideMark/>
          </w:tcPr>
          <w:p w14:paraId="29A412FF"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Requires demand and channel evidence</w:t>
            </w:r>
          </w:p>
        </w:tc>
      </w:tr>
      <w:tr w:rsidR="0088095A" w:rsidRPr="008E4CAB" w14:paraId="1F37336A" w14:textId="77777777" w:rsidTr="008809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226E4"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Product development</w:t>
            </w:r>
          </w:p>
        </w:tc>
        <w:tc>
          <w:tcPr>
            <w:tcW w:w="0" w:type="auto"/>
            <w:hideMark/>
          </w:tcPr>
          <w:p w14:paraId="4C2ADF68"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New product; existing market</w:t>
            </w:r>
          </w:p>
        </w:tc>
        <w:tc>
          <w:tcPr>
            <w:tcW w:w="0" w:type="auto"/>
            <w:hideMark/>
          </w:tcPr>
          <w:p w14:paraId="23C965CF"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Develop genuinely new grades or capabilities</w:t>
            </w:r>
          </w:p>
        </w:tc>
        <w:tc>
          <w:tcPr>
            <w:tcW w:w="0" w:type="auto"/>
            <w:hideMark/>
          </w:tcPr>
          <w:p w14:paraId="0053858D"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Requires development and qualification</w:t>
            </w:r>
          </w:p>
        </w:tc>
      </w:tr>
      <w:tr w:rsidR="0088095A" w:rsidRPr="008E4CAB" w14:paraId="10196189" w14:textId="77777777" w:rsidTr="0088095A">
        <w:tc>
          <w:tcPr>
            <w:cnfStyle w:val="001000000000" w:firstRow="0" w:lastRow="0" w:firstColumn="1" w:lastColumn="0" w:oddVBand="0" w:evenVBand="0" w:oddHBand="0" w:evenHBand="0" w:firstRowFirstColumn="0" w:firstRowLastColumn="0" w:lastRowFirstColumn="0" w:lastRowLastColumn="0"/>
            <w:tcW w:w="0" w:type="auto"/>
            <w:hideMark/>
          </w:tcPr>
          <w:p w14:paraId="23BC1E09"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Diversification</w:t>
            </w:r>
          </w:p>
        </w:tc>
        <w:tc>
          <w:tcPr>
            <w:tcW w:w="0" w:type="auto"/>
            <w:hideMark/>
          </w:tcPr>
          <w:p w14:paraId="02D90DCC"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New product; new market</w:t>
            </w:r>
          </w:p>
        </w:tc>
        <w:tc>
          <w:tcPr>
            <w:tcW w:w="0" w:type="auto"/>
            <w:hideMark/>
          </w:tcPr>
          <w:p w14:paraId="5BF30C5F"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Enter unfamiliar offerings and markets</w:t>
            </w:r>
          </w:p>
        </w:tc>
        <w:tc>
          <w:tcPr>
            <w:tcW w:w="0" w:type="auto"/>
            <w:hideMark/>
          </w:tcPr>
          <w:p w14:paraId="162E7A60"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Highest additional capability requirements</w:t>
            </w:r>
          </w:p>
        </w:tc>
      </w:tr>
    </w:tbl>
    <w:p w14:paraId="38BF8223" w14:textId="77777777" w:rsidR="0088095A" w:rsidRPr="008E4CAB" w:rsidRDefault="0088095A" w:rsidP="008E4CAB">
      <w:pPr>
        <w:pStyle w:val="NormalWeb"/>
        <w:spacing w:line="360" w:lineRule="auto"/>
        <w:jc w:val="both"/>
        <w:rPr>
          <w:rFonts w:asciiTheme="minorBidi" w:hAnsiTheme="minorBidi" w:cstheme="minorBidi"/>
          <w:color w:val="000000" w:themeColor="text1"/>
        </w:rPr>
      </w:pPr>
      <w:r w:rsidRPr="008E4CAB">
        <w:rPr>
          <w:rStyle w:val="Emphasis"/>
          <w:rFonts w:asciiTheme="minorBidi" w:hAnsiTheme="minorBidi" w:cstheme="minorBidi"/>
          <w:color w:val="000000" w:themeColor="text1"/>
        </w:rPr>
        <w:t>Source: Author’s own work based on Whittington et al. (2023).</w:t>
      </w:r>
    </w:p>
    <w:p w14:paraId="036F1895" w14:textId="77777777" w:rsidR="002A2687" w:rsidRPr="008E4CAB" w:rsidRDefault="002A2687"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Table 2 is a comparison of the alternatives. Market development and product development are still available but these have an added qualification or market-learning need. Sustainable business model research helps to assess growth potential based on capabilities that are required to create and seize value and not based on novelty alone, as it is not always commercially ready (Alonso-Martínez et al., 2021; Sinkovics et al., 2021).</w:t>
      </w:r>
    </w:p>
    <w:p w14:paraId="577E1010"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However, there are risks associated with market penetration. Older customers might be hesitant to alter specifications or pay more, and other competitors could offer other means of emissions cuts. The strategy should thus focus on the accounts that can be seen to have a need for procurement and not look at every existing customer as an equal. While evidence from green-consumption research can help answer questions, the assumptions in industrial purchasing should be tested directly, as indicated in the research by Testa et al., (2021), Kumari et al., (2022), and Vangeli et al., (2023).</w:t>
      </w:r>
    </w:p>
    <w:p w14:paraId="23EA2B7C" w14:textId="1445260B" w:rsidR="008E4CAB" w:rsidRPr="008E4CAB" w:rsidRDefault="008E4CAB" w:rsidP="008E4CAB">
      <w:pPr>
        <w:pStyle w:val="Heading2"/>
        <w:rPr>
          <w:rFonts w:asciiTheme="minorBidi" w:hAnsiTheme="minorBidi" w:cstheme="minorBidi"/>
          <w:sz w:val="24"/>
          <w:szCs w:val="24"/>
        </w:rPr>
      </w:pPr>
      <w:bookmarkStart w:id="14" w:name="_Toc243550848"/>
      <w:r w:rsidRPr="008E4CAB">
        <w:rPr>
          <w:rFonts w:asciiTheme="minorBidi" w:hAnsiTheme="minorBidi" w:cstheme="minorBidi"/>
          <w:sz w:val="24"/>
          <w:szCs w:val="24"/>
        </w:rPr>
        <w:t>Building Competitive Advantage Through Porter’s Generic Strategies</w:t>
      </w:r>
      <w:bookmarkEnd w:id="14"/>
    </w:p>
    <w:p w14:paraId="1F20A22B" w14:textId="331E5CDD" w:rsidR="008E4CAB" w:rsidRPr="008E4CAB" w:rsidRDefault="008E4CAB" w:rsidP="008E4CAB">
      <w:pPr>
        <w:pStyle w:val="Heading3"/>
        <w:rPr>
          <w:rFonts w:asciiTheme="minorBidi" w:hAnsiTheme="minorBidi" w:cstheme="minorBidi"/>
          <w:sz w:val="24"/>
          <w:szCs w:val="24"/>
        </w:rPr>
      </w:pPr>
      <w:bookmarkStart w:id="15" w:name="_Toc243550849"/>
      <w:r w:rsidRPr="008E4CAB">
        <w:rPr>
          <w:rFonts w:asciiTheme="minorBidi" w:hAnsiTheme="minorBidi" w:cstheme="minorBidi"/>
          <w:sz w:val="24"/>
          <w:szCs w:val="24"/>
        </w:rPr>
        <w:t>Evaluating Cost Leadership, Differentiation and Focus</w:t>
      </w:r>
      <w:bookmarkEnd w:id="15"/>
    </w:p>
    <w:p w14:paraId="5DBFC2B6" w14:textId="77777777" w:rsidR="008E4CAB" w:rsidRPr="008E4CAB" w:rsidRDefault="008E4CAB" w:rsidP="008E4CAB">
      <w:pPr>
        <w:spacing w:line="360" w:lineRule="auto"/>
        <w:rPr>
          <w:rFonts w:asciiTheme="minorBidi" w:hAnsiTheme="minorBidi"/>
          <w:sz w:val="24"/>
          <w:szCs w:val="24"/>
        </w:rPr>
      </w:pPr>
      <w:r w:rsidRPr="008E4CAB">
        <w:rPr>
          <w:rFonts w:asciiTheme="minorBidi" w:hAnsiTheme="minorBidi"/>
          <w:sz w:val="24"/>
          <w:szCs w:val="24"/>
        </w:rPr>
        <w:t>Porter's generic strategies are constructed by the combination of low cost vs high cost, broad market vs narrow market. Ansoff's matrix defines the direction of growth, while Porter's framework provides an explanation on how the business is going to compete. Therefore, to be a complementary competitor to SSAB, a market penetration strategy is required. Differentiation becomes the most defensible method used in SSAB Zero, if the customers have the perception of enough value from the environment and functional features (Whittington et al., 2023; Vangeli et al., 2023).</w:t>
      </w:r>
    </w:p>
    <w:p w14:paraId="209DB30F" w14:textId="77777777" w:rsidR="008E4CAB" w:rsidRPr="008E4CAB" w:rsidRDefault="008E4CAB" w:rsidP="008E4CAB">
      <w:pPr>
        <w:spacing w:line="360" w:lineRule="auto"/>
        <w:rPr>
          <w:rFonts w:asciiTheme="minorBidi" w:hAnsiTheme="minorBidi"/>
          <w:sz w:val="24"/>
          <w:szCs w:val="24"/>
        </w:rPr>
      </w:pPr>
      <w:r w:rsidRPr="008E4CAB">
        <w:rPr>
          <w:rFonts w:asciiTheme="minorBidi" w:hAnsiTheme="minorBidi"/>
          <w:sz w:val="24"/>
          <w:szCs w:val="24"/>
        </w:rPr>
        <w:t>Cost leadership would involve having a cost advantage over the competition that is difficult for others to match and still achieve an acceptable performance in the product. No evidence was found to indicate that SSAB Zero is the least expensive production. Studies have shown that the economic viability of LCS production is heavily affected by energy costs and location (Devlin et al., 2023; Neumann et al., 2025), although the results of studies focusing on hydrogen-based production should not be assumed to apply to SSAB Zero. Thus, SSAB should adhere to cost discipline, while at the same time not claiming cost leadership as a proven competitive advantage.</w:t>
      </w:r>
    </w:p>
    <w:p w14:paraId="5CEB125A" w14:textId="77777777" w:rsidR="008E4CAB" w:rsidRPr="008E4CAB" w:rsidRDefault="008E4CAB" w:rsidP="008E4CAB">
      <w:pPr>
        <w:spacing w:line="360" w:lineRule="auto"/>
        <w:rPr>
          <w:rFonts w:asciiTheme="minorBidi" w:hAnsiTheme="minorBidi"/>
          <w:sz w:val="24"/>
          <w:szCs w:val="24"/>
        </w:rPr>
      </w:pPr>
      <w:r w:rsidRPr="008E4CAB">
        <w:rPr>
          <w:rFonts w:asciiTheme="minorBidi" w:hAnsiTheme="minorBidi"/>
          <w:sz w:val="24"/>
          <w:szCs w:val="24"/>
        </w:rPr>
        <w:t>Differentiation provides a more solid foundation for the recommendation as SSAB can integrate emissions data, technical qualification, engineering support and reliable supply. These attributes may assist customers to meet procurement and reporting requirements while still holding the proper performance of steel. But environmental claims need to state the boundaries of their assessment, and company sustainability ratings cannot be used in place of product-specific evidence (Christensen et al., 2021; Berg et al., 2022). What matters for commercial application of differentiation is the moment in which customers appreciate these benefits, and the moment in which the purchasing revenues overcome the costs of the differentiation (Vangeli et al., 2023).</w:t>
      </w:r>
    </w:p>
    <w:p w14:paraId="412BE09C" w14:textId="77777777" w:rsidR="008E4CAB" w:rsidRPr="008E4CAB" w:rsidRDefault="008E4CAB" w:rsidP="008E4CAB">
      <w:pPr>
        <w:spacing w:line="360" w:lineRule="auto"/>
        <w:rPr>
          <w:rFonts w:asciiTheme="minorBidi" w:hAnsiTheme="minorBidi"/>
          <w:sz w:val="24"/>
          <w:szCs w:val="24"/>
        </w:rPr>
      </w:pPr>
      <w:r w:rsidRPr="008E4CAB">
        <w:rPr>
          <w:rFonts w:asciiTheme="minorBidi" w:hAnsiTheme="minorBidi"/>
          <w:sz w:val="24"/>
          <w:szCs w:val="24"/>
        </w:rPr>
        <w:t>One approach to a focus strategy would be to target a specific niche, such as customers who have specific emissions-documentation and qualification needs. If SSAB narrows its range of products/services and its marketing efforts and resources are targeted toward that niche, focused differentiation may be appropriate. However, having several developed industries with a concentration on the best prospects does not, in itself, represent a focus approach. The current recommendation, therefore, is that differentiation be supported by selective account targeting, and not on the unsupported assertion that SSAB already practices focused differentiation (Whittington et al., 2023).</w:t>
      </w:r>
    </w:p>
    <w:p w14:paraId="109377DF" w14:textId="4B549950" w:rsidR="008E4CAB" w:rsidRPr="008E4CAB" w:rsidRDefault="008E4CAB" w:rsidP="008E4CAB">
      <w:pPr>
        <w:spacing w:line="360" w:lineRule="auto"/>
        <w:rPr>
          <w:rFonts w:asciiTheme="minorBidi" w:hAnsiTheme="minorBidi"/>
          <w:sz w:val="24"/>
          <w:szCs w:val="24"/>
        </w:rPr>
      </w:pPr>
      <w:r w:rsidRPr="008E4CAB">
        <w:rPr>
          <w:rFonts w:asciiTheme="minorBidi" w:hAnsiTheme="minorBidi"/>
          <w:sz w:val="24"/>
          <w:szCs w:val="24"/>
        </w:rPr>
        <w:t>The proposed differentiation can be used to enter the market, as shown in Figure 4. It's major drawback is that it can be copied - other competitors can get similar environmental qualifications. Therefore, the total value of credible documentation, technical support and delivery performance would need to be maintained by SSAB. A sustainable competitive advantage is not possible through environmental positioning and repeat purchasing is not guaranteed (</w:t>
      </w:r>
      <w:proofErr w:type="spellStart"/>
      <w:r w:rsidRPr="008E4CAB">
        <w:rPr>
          <w:rFonts w:asciiTheme="minorBidi" w:hAnsiTheme="minorBidi"/>
          <w:sz w:val="24"/>
          <w:szCs w:val="24"/>
        </w:rPr>
        <w:t>Pizzetti</w:t>
      </w:r>
      <w:proofErr w:type="spellEnd"/>
      <w:r w:rsidRPr="008E4CAB">
        <w:rPr>
          <w:rFonts w:asciiTheme="minorBidi" w:hAnsiTheme="minorBidi"/>
          <w:sz w:val="24"/>
          <w:szCs w:val="24"/>
        </w:rPr>
        <w:t xml:space="preserve"> et al., 2021; Vangeli et al., 2023).</w:t>
      </w:r>
    </w:p>
    <w:p w14:paraId="68929476" w14:textId="77777777" w:rsidR="008E4CAB" w:rsidRPr="008E4CAB" w:rsidRDefault="008E4CAB" w:rsidP="008E4CAB">
      <w:pPr>
        <w:spacing w:line="360" w:lineRule="auto"/>
        <w:ind w:firstLine="0"/>
        <w:jc w:val="both"/>
        <w:rPr>
          <w:rFonts w:asciiTheme="minorBidi" w:hAnsiTheme="minorBidi"/>
          <w:color w:val="000000" w:themeColor="text1"/>
          <w:sz w:val="24"/>
          <w:szCs w:val="24"/>
        </w:rPr>
      </w:pPr>
    </w:p>
    <w:p w14:paraId="0A4CB2D7" w14:textId="6BDE2B94" w:rsidR="00D110E1" w:rsidRPr="008E4CAB" w:rsidRDefault="008E4CAB" w:rsidP="008E4CAB">
      <w:pPr>
        <w:spacing w:line="360" w:lineRule="auto"/>
        <w:ind w:firstLine="0"/>
        <w:jc w:val="both"/>
        <w:rPr>
          <w:rFonts w:asciiTheme="minorBidi" w:hAnsiTheme="minorBidi"/>
          <w:color w:val="000000" w:themeColor="text1"/>
          <w:sz w:val="24"/>
          <w:szCs w:val="24"/>
        </w:rPr>
      </w:pPr>
      <w:r w:rsidRPr="008E4CAB">
        <w:rPr>
          <w:rFonts w:asciiTheme="minorBidi" w:hAnsiTheme="minorBidi"/>
          <w:noProof/>
          <w:color w:val="000000" w:themeColor="text1"/>
          <w:sz w:val="24"/>
          <w:szCs w:val="24"/>
        </w:rPr>
        <w:drawing>
          <wp:inline distT="0" distB="0" distL="0" distR="0" wp14:anchorId="453AC6E6" wp14:editId="03898B0D">
            <wp:extent cx="5731510" cy="3209925"/>
            <wp:effectExtent l="0" t="0" r="0" b="3175"/>
            <wp:docPr id="1203453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453932" name=""/>
                    <pic:cNvPicPr/>
                  </pic:nvPicPr>
                  <pic:blipFill>
                    <a:blip r:embed="rId13"/>
                    <a:stretch>
                      <a:fillRect/>
                    </a:stretch>
                  </pic:blipFill>
                  <pic:spPr>
                    <a:xfrm>
                      <a:off x="0" y="0"/>
                      <a:ext cx="5731510" cy="3209925"/>
                    </a:xfrm>
                    <a:prstGeom prst="rect">
                      <a:avLst/>
                    </a:prstGeom>
                  </pic:spPr>
                </pic:pic>
              </a:graphicData>
            </a:graphic>
          </wp:inline>
        </w:drawing>
      </w:r>
    </w:p>
    <w:p w14:paraId="4843A08C" w14:textId="71E2D7A2" w:rsidR="0088095A" w:rsidRPr="008E4CAB" w:rsidRDefault="0088095A" w:rsidP="008E4CAB">
      <w:pPr>
        <w:pStyle w:val="NoSpacing"/>
        <w:spacing w:line="360" w:lineRule="auto"/>
        <w:jc w:val="center"/>
        <w:rPr>
          <w:rFonts w:asciiTheme="minorBidi" w:hAnsiTheme="minorBidi"/>
          <w:i/>
          <w:iCs/>
          <w:sz w:val="20"/>
          <w:szCs w:val="20"/>
        </w:rPr>
      </w:pPr>
      <w:r w:rsidRPr="008E4CAB">
        <w:rPr>
          <w:rStyle w:val="Strong"/>
          <w:rFonts w:asciiTheme="minorBidi" w:hAnsiTheme="minorBidi"/>
          <w:b w:val="0"/>
          <w:bCs w:val="0"/>
          <w:i/>
          <w:iCs/>
          <w:sz w:val="20"/>
          <w:szCs w:val="20"/>
        </w:rPr>
        <w:t xml:space="preserve">Figure 4. </w:t>
      </w:r>
      <w:r w:rsidR="008E4CAB" w:rsidRPr="008E4CAB">
        <w:rPr>
          <w:rFonts w:asciiTheme="minorBidi" w:hAnsiTheme="minorBidi"/>
          <w:i/>
          <w:iCs/>
          <w:sz w:val="20"/>
          <w:szCs w:val="20"/>
        </w:rPr>
        <w:t xml:space="preserve">Proposed differentiation mechanism supporting SSAB Zero market penetration </w:t>
      </w:r>
      <w:r w:rsidRPr="008E4CAB">
        <w:rPr>
          <w:rFonts w:asciiTheme="minorBidi" w:hAnsiTheme="minorBidi"/>
          <w:i/>
          <w:iCs/>
          <w:sz w:val="20"/>
          <w:szCs w:val="20"/>
        </w:rPr>
        <w:t xml:space="preserve">, </w:t>
      </w:r>
      <w:r w:rsidRPr="008E4CAB">
        <w:rPr>
          <w:rStyle w:val="Emphasis"/>
          <w:rFonts w:asciiTheme="minorBidi" w:hAnsiTheme="minorBidi"/>
          <w:b w:val="0"/>
          <w:bCs w:val="0"/>
          <w:i w:val="0"/>
          <w:iCs w:val="0"/>
          <w:sz w:val="20"/>
          <w:szCs w:val="20"/>
        </w:rPr>
        <w:t>Source: Author’s own work based on Christensen et al. (2021), Kanda et al. (2021), and Vangeli et al. (2023).</w:t>
      </w:r>
    </w:p>
    <w:p w14:paraId="2F9E51A4"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Environmental credibility is achieved through product level evidence. Such information can't be replaced by corporate sustainability ratings, as ratings can vary significantly between providers (Berg et al., 2022). In a similar way, when a claim is made in the supply chain, supplier practices must be addressed in addition to only corporate communications (</w:t>
      </w:r>
      <w:proofErr w:type="spellStart"/>
      <w:r w:rsidRPr="008E4CAB">
        <w:rPr>
          <w:rFonts w:asciiTheme="minorBidi" w:hAnsiTheme="minorBidi"/>
          <w:color w:val="000000" w:themeColor="text1"/>
          <w:sz w:val="24"/>
          <w:szCs w:val="24"/>
        </w:rPr>
        <w:t>Pizzetti</w:t>
      </w:r>
      <w:proofErr w:type="spellEnd"/>
      <w:r w:rsidRPr="008E4CAB">
        <w:rPr>
          <w:rFonts w:asciiTheme="minorBidi" w:hAnsiTheme="minorBidi"/>
          <w:color w:val="000000" w:themeColor="text1"/>
          <w:sz w:val="24"/>
          <w:szCs w:val="24"/>
        </w:rPr>
        <w:t xml:space="preserve"> et al., 2021). Therefore it is important that SSAB obtain evidence that procurement teams can use in their own assessment.</w:t>
      </w:r>
    </w:p>
    <w:p w14:paraId="091366D2" w14:textId="2E4EB2E2" w:rsidR="0088095A" w:rsidRPr="008E4CAB" w:rsidRDefault="0088095A" w:rsidP="008E4CAB">
      <w:pPr>
        <w:pStyle w:val="Heading3"/>
        <w:jc w:val="both"/>
        <w:rPr>
          <w:rFonts w:asciiTheme="minorBidi" w:hAnsiTheme="minorBidi" w:cstheme="minorBidi"/>
          <w:color w:val="000000" w:themeColor="text1"/>
          <w:sz w:val="24"/>
          <w:szCs w:val="24"/>
        </w:rPr>
      </w:pPr>
      <w:bookmarkStart w:id="16" w:name="_Toc243550850"/>
      <w:r w:rsidRPr="008E4CAB">
        <w:rPr>
          <w:rFonts w:asciiTheme="minorBidi" w:hAnsiTheme="minorBidi" w:cstheme="minorBidi"/>
          <w:color w:val="000000" w:themeColor="text1"/>
          <w:sz w:val="24"/>
          <w:szCs w:val="24"/>
        </w:rPr>
        <w:t>Marketing’s Coordinating Contribution</w:t>
      </w:r>
      <w:bookmarkEnd w:id="16"/>
    </w:p>
    <w:p w14:paraId="2B014663"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Marketing is contributing by transforming external requirements into decisions with regard to customer selection, service and positioning. It is not just a function of promotion – it is also a function of coordinating technical and evidence, production commitments, and commercial expectations. Research on circular business models reiterates the role of inter-</w:t>
      </w:r>
      <w:proofErr w:type="spellStart"/>
      <w:r w:rsidRPr="008E4CAB">
        <w:rPr>
          <w:rFonts w:asciiTheme="minorBidi" w:hAnsiTheme="minorBidi"/>
          <w:color w:val="000000" w:themeColor="text1"/>
          <w:sz w:val="24"/>
          <w:szCs w:val="24"/>
        </w:rPr>
        <w:t>organisational</w:t>
      </w:r>
      <w:proofErr w:type="spellEnd"/>
      <w:r w:rsidRPr="008E4CAB">
        <w:rPr>
          <w:rFonts w:asciiTheme="minorBidi" w:hAnsiTheme="minorBidi"/>
          <w:color w:val="000000" w:themeColor="text1"/>
          <w:sz w:val="24"/>
          <w:szCs w:val="24"/>
        </w:rPr>
        <w:t xml:space="preserve"> relationships (</w:t>
      </w:r>
      <w:proofErr w:type="spellStart"/>
      <w:r w:rsidRPr="008E4CAB">
        <w:rPr>
          <w:rFonts w:asciiTheme="minorBidi" w:hAnsiTheme="minorBidi"/>
          <w:color w:val="000000" w:themeColor="text1"/>
          <w:sz w:val="24"/>
          <w:szCs w:val="24"/>
        </w:rPr>
        <w:t>Geissdoerfer</w:t>
      </w:r>
      <w:proofErr w:type="spellEnd"/>
      <w:r w:rsidRPr="008E4CAB">
        <w:rPr>
          <w:rFonts w:asciiTheme="minorBidi" w:hAnsiTheme="minorBidi"/>
          <w:color w:val="000000" w:themeColor="text1"/>
          <w:sz w:val="24"/>
          <w:szCs w:val="24"/>
        </w:rPr>
        <w:t xml:space="preserve"> et al., 2020; Kanda et al., 2021).</w:t>
      </w:r>
    </w:p>
    <w:p w14:paraId="6AF61E2D"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AI can help with this coordination by pinpointing patterns in accounts and gaps in information. But, automated recommendations should not be without a commercial and technical examination. AI capability and collaboration research shows that the performance is not necessarily reliant on AI but also on complementary organizational resources and human involvement (</w:t>
      </w:r>
      <w:proofErr w:type="spellStart"/>
      <w:r w:rsidRPr="008E4CAB">
        <w:rPr>
          <w:rFonts w:asciiTheme="minorBidi" w:hAnsiTheme="minorBidi"/>
          <w:color w:val="000000" w:themeColor="text1"/>
          <w:sz w:val="24"/>
          <w:szCs w:val="24"/>
        </w:rPr>
        <w:t>Mikalef</w:t>
      </w:r>
      <w:proofErr w:type="spellEnd"/>
      <w:r w:rsidRPr="008E4CAB">
        <w:rPr>
          <w:rFonts w:asciiTheme="minorBidi" w:hAnsiTheme="minorBidi"/>
          <w:color w:val="000000" w:themeColor="text1"/>
          <w:sz w:val="24"/>
          <w:szCs w:val="24"/>
        </w:rPr>
        <w:t xml:space="preserve"> &amp; Gupta, 2021; Chowdhury et al., 2022). This deals with marketing's strategic role as well as the implications of marketing technologies in the future.</w:t>
      </w:r>
    </w:p>
    <w:p w14:paraId="341E8483" w14:textId="48333BBC" w:rsidR="0088095A" w:rsidRPr="008E4CAB" w:rsidRDefault="0088095A" w:rsidP="008E4CAB">
      <w:pPr>
        <w:pStyle w:val="Heading2"/>
        <w:jc w:val="both"/>
        <w:rPr>
          <w:rFonts w:asciiTheme="minorBidi" w:hAnsiTheme="minorBidi" w:cstheme="minorBidi"/>
          <w:color w:val="000000" w:themeColor="text1"/>
          <w:sz w:val="24"/>
          <w:szCs w:val="24"/>
        </w:rPr>
      </w:pPr>
      <w:bookmarkStart w:id="17" w:name="_Toc243550851"/>
      <w:r w:rsidRPr="008E4CAB">
        <w:rPr>
          <w:rFonts w:asciiTheme="minorBidi" w:hAnsiTheme="minorBidi" w:cstheme="minorBidi"/>
          <w:color w:val="000000" w:themeColor="text1"/>
          <w:sz w:val="24"/>
          <w:szCs w:val="24"/>
        </w:rPr>
        <w:t>Implementation, Measurement and Strategic Limits</w:t>
      </w:r>
      <w:bookmarkEnd w:id="17"/>
    </w:p>
    <w:p w14:paraId="622D3FE2"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The recommendation is converted to the proposed decision process presented in Figure 5. Expansion of the account should only happen when the evidence, technical acceptance and supply feasibility and commercial returns are adequate. This helps stop for example ‘green' interest being interpreted as confirmed demand.</w:t>
      </w:r>
    </w:p>
    <w:p w14:paraId="6AE3E606" w14:textId="27F34F73" w:rsidR="00D110E1" w:rsidRPr="008E4CAB" w:rsidRDefault="00D110E1" w:rsidP="008E4CAB">
      <w:pPr>
        <w:spacing w:line="360" w:lineRule="auto"/>
        <w:ind w:firstLine="0"/>
        <w:jc w:val="both"/>
        <w:rPr>
          <w:rFonts w:asciiTheme="minorBidi" w:hAnsiTheme="minorBidi"/>
          <w:color w:val="000000" w:themeColor="text1"/>
          <w:sz w:val="24"/>
          <w:szCs w:val="24"/>
        </w:rPr>
      </w:pPr>
      <w:r w:rsidRPr="008E4CAB">
        <w:rPr>
          <w:rFonts w:asciiTheme="minorBidi" w:hAnsiTheme="minorBidi"/>
          <w:noProof/>
          <w:color w:val="000000" w:themeColor="text1"/>
          <w:sz w:val="24"/>
          <w:szCs w:val="24"/>
        </w:rPr>
        <w:drawing>
          <wp:inline distT="0" distB="0" distL="0" distR="0" wp14:anchorId="3C3BA82C" wp14:editId="0C75A3CC">
            <wp:extent cx="5731510" cy="2971800"/>
            <wp:effectExtent l="0" t="0" r="0" b="0"/>
            <wp:docPr id="2100408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408497" name=""/>
                    <pic:cNvPicPr/>
                  </pic:nvPicPr>
                  <pic:blipFill>
                    <a:blip r:embed="rId14"/>
                    <a:stretch>
                      <a:fillRect/>
                    </a:stretch>
                  </pic:blipFill>
                  <pic:spPr>
                    <a:xfrm>
                      <a:off x="0" y="0"/>
                      <a:ext cx="5731510" cy="2971800"/>
                    </a:xfrm>
                    <a:prstGeom prst="rect">
                      <a:avLst/>
                    </a:prstGeom>
                  </pic:spPr>
                </pic:pic>
              </a:graphicData>
            </a:graphic>
          </wp:inline>
        </w:drawing>
      </w:r>
    </w:p>
    <w:p w14:paraId="3F145527" w14:textId="550A9161" w:rsidR="0088095A" w:rsidRPr="008E4CAB" w:rsidRDefault="0088095A" w:rsidP="008E4CAB">
      <w:pPr>
        <w:pStyle w:val="NormalWeb"/>
        <w:spacing w:line="360" w:lineRule="auto"/>
        <w:jc w:val="center"/>
        <w:rPr>
          <w:rFonts w:asciiTheme="minorBidi" w:hAnsiTheme="minorBidi" w:cstheme="minorBidi"/>
          <w:b/>
          <w:bCs/>
          <w:i/>
          <w:iCs/>
          <w:color w:val="000000" w:themeColor="text1"/>
          <w:sz w:val="20"/>
          <w:szCs w:val="20"/>
        </w:rPr>
      </w:pPr>
      <w:r w:rsidRPr="008E4CAB">
        <w:rPr>
          <w:rStyle w:val="Strong"/>
          <w:rFonts w:asciiTheme="minorBidi" w:hAnsiTheme="minorBidi" w:cstheme="minorBidi"/>
          <w:b w:val="0"/>
          <w:bCs w:val="0"/>
          <w:i/>
          <w:iCs/>
          <w:color w:val="000000" w:themeColor="text1"/>
          <w:sz w:val="20"/>
          <w:szCs w:val="20"/>
        </w:rPr>
        <w:t>Figure 5. Proposed account-expansion decision process</w:t>
      </w:r>
      <w:r w:rsidRPr="008E4CAB">
        <w:rPr>
          <w:rFonts w:asciiTheme="minorBidi" w:hAnsiTheme="minorBidi" w:cstheme="minorBidi"/>
          <w:b/>
          <w:bCs/>
          <w:i/>
          <w:iCs/>
          <w:color w:val="000000" w:themeColor="text1"/>
          <w:sz w:val="20"/>
          <w:szCs w:val="20"/>
        </w:rPr>
        <w:t xml:space="preserve">, </w:t>
      </w:r>
      <w:r w:rsidRPr="008E4CAB">
        <w:rPr>
          <w:rStyle w:val="Emphasis"/>
          <w:rFonts w:asciiTheme="minorBidi" w:hAnsiTheme="minorBidi" w:cstheme="minorBidi"/>
          <w:b w:val="0"/>
          <w:bCs w:val="0"/>
          <w:i w:val="0"/>
          <w:iCs w:val="0"/>
          <w:color w:val="000000" w:themeColor="text1"/>
          <w:sz w:val="20"/>
          <w:szCs w:val="20"/>
        </w:rPr>
        <w:t>Source: Author’s own work based on Devlin et al. (2023), Vangeli et al. (2023), and Whittington et al. (2023).</w:t>
      </w:r>
    </w:p>
    <w:p w14:paraId="0D374417"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Measures to assess implementation are included in Table 3. The use of numerical targets must be based on an analysis of the school's own baseline, and not simply be plucked from a public source.</w:t>
      </w:r>
    </w:p>
    <w:p w14:paraId="2A5AB827" w14:textId="77777777" w:rsidR="0088095A" w:rsidRPr="008E4CAB" w:rsidRDefault="0088095A" w:rsidP="008E4CAB">
      <w:pPr>
        <w:pStyle w:val="NormalWeb"/>
        <w:spacing w:line="360" w:lineRule="auto"/>
        <w:jc w:val="both"/>
        <w:rPr>
          <w:rFonts w:asciiTheme="minorBidi" w:hAnsiTheme="minorBidi" w:cstheme="minorBidi"/>
          <w:color w:val="000000" w:themeColor="text1"/>
        </w:rPr>
      </w:pPr>
      <w:r w:rsidRPr="008E4CAB">
        <w:rPr>
          <w:rStyle w:val="Strong"/>
          <w:rFonts w:asciiTheme="minorBidi" w:hAnsiTheme="minorBidi" w:cstheme="minorBidi"/>
          <w:color w:val="000000" w:themeColor="text1"/>
        </w:rPr>
        <w:t>Table 3. Proposed implementation measures</w:t>
      </w:r>
    </w:p>
    <w:tbl>
      <w:tblPr>
        <w:tblStyle w:val="GridTable4-Accent2"/>
        <w:tblW w:w="0" w:type="auto"/>
        <w:tblLook w:val="04A0" w:firstRow="1" w:lastRow="0" w:firstColumn="1" w:lastColumn="0" w:noHBand="0" w:noVBand="1"/>
      </w:tblPr>
      <w:tblGrid>
        <w:gridCol w:w="2496"/>
        <w:gridCol w:w="3442"/>
        <w:gridCol w:w="3078"/>
      </w:tblGrid>
      <w:tr w:rsidR="0088095A" w:rsidRPr="008E4CAB" w14:paraId="7CE3804A" w14:textId="77777777" w:rsidTr="008809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57794C"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b w:val="0"/>
                <w:bCs w:val="0"/>
                <w:color w:val="000000" w:themeColor="text1"/>
                <w:sz w:val="24"/>
                <w:szCs w:val="24"/>
              </w:rPr>
              <w:t>Measure</w:t>
            </w:r>
          </w:p>
        </w:tc>
        <w:tc>
          <w:tcPr>
            <w:tcW w:w="0" w:type="auto"/>
            <w:hideMark/>
          </w:tcPr>
          <w:p w14:paraId="37D53D3D" w14:textId="77777777" w:rsidR="0088095A" w:rsidRPr="008E4CAB" w:rsidRDefault="0088095A" w:rsidP="008E4CAB">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color w:val="000000" w:themeColor="text1"/>
                <w:sz w:val="24"/>
                <w:szCs w:val="24"/>
              </w:rPr>
            </w:pPr>
            <w:r w:rsidRPr="008E4CAB">
              <w:rPr>
                <w:rFonts w:asciiTheme="minorBidi" w:hAnsiTheme="minorBidi"/>
                <w:b w:val="0"/>
                <w:bCs w:val="0"/>
                <w:color w:val="000000" w:themeColor="text1"/>
                <w:sz w:val="24"/>
                <w:szCs w:val="24"/>
              </w:rPr>
              <w:t>Definition</w:t>
            </w:r>
          </w:p>
        </w:tc>
        <w:tc>
          <w:tcPr>
            <w:tcW w:w="0" w:type="auto"/>
            <w:hideMark/>
          </w:tcPr>
          <w:p w14:paraId="0A9B24E8" w14:textId="77777777" w:rsidR="0088095A" w:rsidRPr="008E4CAB" w:rsidRDefault="0088095A" w:rsidP="008E4CAB">
            <w:pPr>
              <w:pStyle w:val="NoSpacing"/>
              <w:spacing w:line="360" w:lineRule="auto"/>
              <w:jc w:val="both"/>
              <w:cnfStyle w:val="100000000000" w:firstRow="1" w:lastRow="0" w:firstColumn="0" w:lastColumn="0" w:oddVBand="0" w:evenVBand="0" w:oddHBand="0" w:evenHBand="0" w:firstRowFirstColumn="0" w:firstRowLastColumn="0" w:lastRowFirstColumn="0" w:lastRowLastColumn="0"/>
              <w:rPr>
                <w:rFonts w:asciiTheme="minorBidi" w:hAnsiTheme="minorBidi"/>
                <w:b w:val="0"/>
                <w:bCs w:val="0"/>
                <w:color w:val="000000" w:themeColor="text1"/>
                <w:sz w:val="24"/>
                <w:szCs w:val="24"/>
              </w:rPr>
            </w:pPr>
            <w:r w:rsidRPr="008E4CAB">
              <w:rPr>
                <w:rFonts w:asciiTheme="minorBidi" w:hAnsiTheme="minorBidi"/>
                <w:b w:val="0"/>
                <w:bCs w:val="0"/>
                <w:color w:val="000000" w:themeColor="text1"/>
                <w:sz w:val="24"/>
                <w:szCs w:val="24"/>
              </w:rPr>
              <w:t>Decision supported</w:t>
            </w:r>
          </w:p>
        </w:tc>
      </w:tr>
      <w:tr w:rsidR="0088095A" w:rsidRPr="008E4CAB" w14:paraId="24BA2884" w14:textId="77777777" w:rsidTr="008809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D96F0" w14:textId="77777777" w:rsidR="0088095A" w:rsidRPr="008E4CAB" w:rsidRDefault="0088095A" w:rsidP="008E4CAB">
            <w:pPr>
              <w:pStyle w:val="NoSpacing"/>
              <w:spacing w:line="360" w:lineRule="auto"/>
              <w:jc w:val="both"/>
              <w:rPr>
                <w:rFonts w:asciiTheme="minorBidi" w:hAnsiTheme="minorBidi"/>
                <w:b w:val="0"/>
                <w:bCs w:val="0"/>
                <w:color w:val="000000" w:themeColor="text1"/>
                <w:sz w:val="24"/>
                <w:szCs w:val="24"/>
              </w:rPr>
            </w:pPr>
            <w:r w:rsidRPr="008E4CAB">
              <w:rPr>
                <w:rFonts w:asciiTheme="minorBidi" w:hAnsiTheme="minorBidi"/>
                <w:color w:val="000000" w:themeColor="text1"/>
                <w:sz w:val="24"/>
                <w:szCs w:val="24"/>
              </w:rPr>
              <w:t>Repeat-order rate</w:t>
            </w:r>
          </w:p>
        </w:tc>
        <w:tc>
          <w:tcPr>
            <w:tcW w:w="0" w:type="auto"/>
            <w:hideMark/>
          </w:tcPr>
          <w:p w14:paraId="0A543900"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Eligible customers placing subsequent orders</w:t>
            </w:r>
          </w:p>
        </w:tc>
        <w:tc>
          <w:tcPr>
            <w:tcW w:w="0" w:type="auto"/>
            <w:hideMark/>
          </w:tcPr>
          <w:p w14:paraId="5C1B773C"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Whether adoption becomes continuing demand</w:t>
            </w:r>
          </w:p>
        </w:tc>
      </w:tr>
      <w:tr w:rsidR="0088095A" w:rsidRPr="008E4CAB" w14:paraId="7712C284" w14:textId="77777777" w:rsidTr="0088095A">
        <w:tc>
          <w:tcPr>
            <w:cnfStyle w:val="001000000000" w:firstRow="0" w:lastRow="0" w:firstColumn="1" w:lastColumn="0" w:oddVBand="0" w:evenVBand="0" w:oddHBand="0" w:evenHBand="0" w:firstRowFirstColumn="0" w:firstRowLastColumn="0" w:lastRowFirstColumn="0" w:lastRowLastColumn="0"/>
            <w:tcW w:w="0" w:type="auto"/>
            <w:hideMark/>
          </w:tcPr>
          <w:p w14:paraId="14B12320"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Account share</w:t>
            </w:r>
          </w:p>
        </w:tc>
        <w:tc>
          <w:tcPr>
            <w:tcW w:w="0" w:type="auto"/>
            <w:hideMark/>
          </w:tcPr>
          <w:p w14:paraId="6A9D4DED"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SSAB Zero volume relative to relevant customer steel purchases</w:t>
            </w:r>
          </w:p>
        </w:tc>
        <w:tc>
          <w:tcPr>
            <w:tcW w:w="0" w:type="auto"/>
            <w:hideMark/>
          </w:tcPr>
          <w:p w14:paraId="2FC36BFE"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Whether penetration increases</w:t>
            </w:r>
          </w:p>
        </w:tc>
      </w:tr>
      <w:tr w:rsidR="0088095A" w:rsidRPr="008E4CAB" w14:paraId="086B21E8" w14:textId="77777777" w:rsidTr="008809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BD3A97"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Qualification conversion</w:t>
            </w:r>
          </w:p>
        </w:tc>
        <w:tc>
          <w:tcPr>
            <w:tcW w:w="0" w:type="auto"/>
            <w:hideMark/>
          </w:tcPr>
          <w:p w14:paraId="677D7743"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Opportunities completing qualification relative to those entering it</w:t>
            </w:r>
          </w:p>
        </w:tc>
        <w:tc>
          <w:tcPr>
            <w:tcW w:w="0" w:type="auto"/>
            <w:hideMark/>
          </w:tcPr>
          <w:p w14:paraId="53553F52"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Where technical barriers arise</w:t>
            </w:r>
          </w:p>
        </w:tc>
      </w:tr>
      <w:tr w:rsidR="0088095A" w:rsidRPr="008E4CAB" w14:paraId="38B1B974" w14:textId="77777777" w:rsidTr="0088095A">
        <w:tc>
          <w:tcPr>
            <w:cnfStyle w:val="001000000000" w:firstRow="0" w:lastRow="0" w:firstColumn="1" w:lastColumn="0" w:oddVBand="0" w:evenVBand="0" w:oddHBand="0" w:evenHBand="0" w:firstRowFirstColumn="0" w:firstRowLastColumn="0" w:lastRowFirstColumn="0" w:lastRowLastColumn="0"/>
            <w:tcW w:w="0" w:type="auto"/>
            <w:hideMark/>
          </w:tcPr>
          <w:p w14:paraId="11007117"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Contribution margin</w:t>
            </w:r>
          </w:p>
        </w:tc>
        <w:tc>
          <w:tcPr>
            <w:tcW w:w="0" w:type="auto"/>
            <w:hideMark/>
          </w:tcPr>
          <w:p w14:paraId="58FF2E7C"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Revenue less attributable variable costs</w:t>
            </w:r>
          </w:p>
        </w:tc>
        <w:tc>
          <w:tcPr>
            <w:tcW w:w="0" w:type="auto"/>
            <w:hideMark/>
          </w:tcPr>
          <w:p w14:paraId="50A72E8D"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Whether expansion produces commercial value</w:t>
            </w:r>
          </w:p>
        </w:tc>
      </w:tr>
      <w:tr w:rsidR="0088095A" w:rsidRPr="008E4CAB" w14:paraId="78018616" w14:textId="77777777" w:rsidTr="008809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247601"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On-time, in-full delivery</w:t>
            </w:r>
          </w:p>
        </w:tc>
        <w:tc>
          <w:tcPr>
            <w:tcW w:w="0" w:type="auto"/>
            <w:hideMark/>
          </w:tcPr>
          <w:p w14:paraId="32CFB631"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Deliveries meeting agreed timing and quantity</w:t>
            </w:r>
          </w:p>
        </w:tc>
        <w:tc>
          <w:tcPr>
            <w:tcW w:w="0" w:type="auto"/>
            <w:hideMark/>
          </w:tcPr>
          <w:p w14:paraId="658D479F" w14:textId="77777777" w:rsidR="0088095A" w:rsidRPr="008E4CAB" w:rsidRDefault="0088095A" w:rsidP="008E4CAB">
            <w:pPr>
              <w:pStyle w:val="NoSpacing"/>
              <w:spacing w:line="360" w:lineRule="auto"/>
              <w:jc w:val="both"/>
              <w:cnfStyle w:val="000000100000" w:firstRow="0" w:lastRow="0" w:firstColumn="0" w:lastColumn="0" w:oddVBand="0" w:evenVBand="0" w:oddHBand="1"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Whether supply commitments are reliable</w:t>
            </w:r>
          </w:p>
        </w:tc>
      </w:tr>
      <w:tr w:rsidR="0088095A" w:rsidRPr="008E4CAB" w14:paraId="2A6808B7" w14:textId="77777777" w:rsidTr="0088095A">
        <w:tc>
          <w:tcPr>
            <w:cnfStyle w:val="001000000000" w:firstRow="0" w:lastRow="0" w:firstColumn="1" w:lastColumn="0" w:oddVBand="0" w:evenVBand="0" w:oddHBand="0" w:evenHBand="0" w:firstRowFirstColumn="0" w:firstRowLastColumn="0" w:lastRowFirstColumn="0" w:lastRowLastColumn="0"/>
            <w:tcW w:w="0" w:type="auto"/>
            <w:hideMark/>
          </w:tcPr>
          <w:p w14:paraId="6D81E656" w14:textId="77777777" w:rsidR="0088095A" w:rsidRPr="008E4CAB" w:rsidRDefault="0088095A" w:rsidP="008E4CAB">
            <w:pPr>
              <w:pStyle w:val="NoSpacing"/>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Documentation completeness</w:t>
            </w:r>
          </w:p>
        </w:tc>
        <w:tc>
          <w:tcPr>
            <w:tcW w:w="0" w:type="auto"/>
            <w:hideMark/>
          </w:tcPr>
          <w:p w14:paraId="2B6E641C"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Relevant orders supplied with valid required emissions information</w:t>
            </w:r>
          </w:p>
        </w:tc>
        <w:tc>
          <w:tcPr>
            <w:tcW w:w="0" w:type="auto"/>
            <w:hideMark/>
          </w:tcPr>
          <w:p w14:paraId="45034B2E" w14:textId="77777777" w:rsidR="0088095A" w:rsidRPr="008E4CAB" w:rsidRDefault="0088095A" w:rsidP="008E4CAB">
            <w:pPr>
              <w:pStyle w:val="NoSpacing"/>
              <w:spacing w:line="360" w:lineRule="auto"/>
              <w:jc w:val="both"/>
              <w:cnfStyle w:val="000000000000" w:firstRow="0" w:lastRow="0" w:firstColumn="0" w:lastColumn="0" w:oddVBand="0" w:evenVBand="0" w:oddHBand="0" w:evenHBand="0" w:firstRowFirstColumn="0" w:firstRowLastColumn="0" w:lastRowFirstColumn="0" w:lastRowLastColumn="0"/>
              <w:rPr>
                <w:rFonts w:asciiTheme="minorBidi" w:hAnsiTheme="minorBidi"/>
                <w:color w:val="000000" w:themeColor="text1"/>
                <w:sz w:val="24"/>
                <w:szCs w:val="24"/>
              </w:rPr>
            </w:pPr>
            <w:r w:rsidRPr="008E4CAB">
              <w:rPr>
                <w:rFonts w:asciiTheme="minorBidi" w:hAnsiTheme="minorBidi"/>
                <w:color w:val="000000" w:themeColor="text1"/>
                <w:sz w:val="24"/>
                <w:szCs w:val="24"/>
              </w:rPr>
              <w:t>Whether environmental evidence supports purchasing</w:t>
            </w:r>
          </w:p>
        </w:tc>
      </w:tr>
    </w:tbl>
    <w:p w14:paraId="7423289F" w14:textId="77777777" w:rsidR="0088095A" w:rsidRPr="008E4CAB" w:rsidRDefault="0088095A" w:rsidP="008E4CAB">
      <w:pPr>
        <w:pStyle w:val="NormalWeb"/>
        <w:spacing w:line="360" w:lineRule="auto"/>
        <w:jc w:val="both"/>
        <w:rPr>
          <w:rFonts w:asciiTheme="minorBidi" w:hAnsiTheme="minorBidi" w:cstheme="minorBidi"/>
          <w:color w:val="000000" w:themeColor="text1"/>
        </w:rPr>
      </w:pPr>
      <w:r w:rsidRPr="008E4CAB">
        <w:rPr>
          <w:rStyle w:val="Emphasis"/>
          <w:rFonts w:asciiTheme="minorBidi" w:hAnsiTheme="minorBidi" w:cstheme="minorBidi"/>
          <w:color w:val="000000" w:themeColor="text1"/>
        </w:rPr>
        <w:t>Source: Author’s own work, informed by Christensen et al. (2021), Vangeli et al. (2023), and Whittington et al. (2023).</w:t>
      </w:r>
    </w:p>
    <w:p w14:paraId="311DC542"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Lastly, growth needs to be measured not just by </w:t>
      </w:r>
      <w:proofErr w:type="spellStart"/>
      <w:r w:rsidRPr="008E4CAB">
        <w:rPr>
          <w:rFonts w:asciiTheme="minorBidi" w:hAnsiTheme="minorBidi"/>
          <w:color w:val="000000" w:themeColor="text1"/>
          <w:sz w:val="24"/>
          <w:szCs w:val="24"/>
        </w:rPr>
        <w:t>tonnes</w:t>
      </w:r>
      <w:proofErr w:type="spellEnd"/>
      <w:r w:rsidRPr="008E4CAB">
        <w:rPr>
          <w:rFonts w:asciiTheme="minorBidi" w:hAnsiTheme="minorBidi"/>
          <w:color w:val="000000" w:themeColor="text1"/>
          <w:sz w:val="24"/>
          <w:szCs w:val="24"/>
        </w:rPr>
        <w:t xml:space="preserve"> sold. The question of critical sustainability marketing is whether growth in consumption automatically leads to an improvement in the environment (</w:t>
      </w:r>
      <w:proofErr w:type="spellStart"/>
      <w:r w:rsidRPr="008E4CAB">
        <w:rPr>
          <w:rFonts w:asciiTheme="minorBidi" w:hAnsiTheme="minorBidi"/>
          <w:color w:val="000000" w:themeColor="text1"/>
          <w:sz w:val="24"/>
          <w:szCs w:val="24"/>
        </w:rPr>
        <w:t>Lloveras</w:t>
      </w:r>
      <w:proofErr w:type="spellEnd"/>
      <w:r w:rsidRPr="008E4CAB">
        <w:rPr>
          <w:rFonts w:asciiTheme="minorBidi" w:hAnsiTheme="minorBidi"/>
          <w:color w:val="000000" w:themeColor="text1"/>
          <w:sz w:val="24"/>
          <w:szCs w:val="24"/>
        </w:rPr>
        <w:t xml:space="preserve"> et al., 2022). SSAB should account for profitable customer adoption, as well as credible product level environmental performance, and </w:t>
      </w:r>
      <w:proofErr w:type="spellStart"/>
      <w:r w:rsidRPr="008E4CAB">
        <w:rPr>
          <w:rFonts w:asciiTheme="minorBidi" w:hAnsiTheme="minorBidi"/>
          <w:color w:val="000000" w:themeColor="text1"/>
          <w:sz w:val="24"/>
          <w:szCs w:val="24"/>
        </w:rPr>
        <w:t>realise</w:t>
      </w:r>
      <w:proofErr w:type="spellEnd"/>
      <w:r w:rsidRPr="008E4CAB">
        <w:rPr>
          <w:rFonts w:asciiTheme="minorBidi" w:hAnsiTheme="minorBidi"/>
          <w:color w:val="000000" w:themeColor="text1"/>
          <w:sz w:val="24"/>
          <w:szCs w:val="24"/>
        </w:rPr>
        <w:t xml:space="preserve"> that efficiency gains do not make for sustainable growth.</w:t>
      </w:r>
    </w:p>
    <w:p w14:paraId="6AED0590" w14:textId="77777777" w:rsidR="0088095A" w:rsidRPr="008E4CAB" w:rsidRDefault="0088095A" w:rsidP="008E4CAB">
      <w:pPr>
        <w:pStyle w:val="Heading1"/>
        <w:jc w:val="both"/>
        <w:rPr>
          <w:rFonts w:asciiTheme="minorBidi" w:hAnsiTheme="minorBidi" w:cstheme="minorBidi"/>
          <w:color w:val="000000" w:themeColor="text1"/>
          <w:sz w:val="24"/>
          <w:szCs w:val="24"/>
        </w:rPr>
      </w:pPr>
      <w:bookmarkStart w:id="18" w:name="_Toc243550852"/>
      <w:r w:rsidRPr="008E4CAB">
        <w:rPr>
          <w:rFonts w:asciiTheme="minorBidi" w:hAnsiTheme="minorBidi" w:cstheme="minorBidi"/>
          <w:color w:val="000000" w:themeColor="text1"/>
          <w:sz w:val="24"/>
          <w:szCs w:val="24"/>
        </w:rPr>
        <w:t>Task 3: Managerial and Professional Reflection</w:t>
      </w:r>
      <w:bookmarkEnd w:id="18"/>
    </w:p>
    <w:p w14:paraId="21FB63CB" w14:textId="213CF75D" w:rsidR="0088095A" w:rsidRPr="008E4CAB" w:rsidRDefault="0088095A" w:rsidP="008E4CAB">
      <w:pPr>
        <w:pStyle w:val="Heading2"/>
        <w:jc w:val="both"/>
        <w:rPr>
          <w:rFonts w:asciiTheme="minorBidi" w:hAnsiTheme="minorBidi" w:cstheme="minorBidi"/>
          <w:color w:val="000000" w:themeColor="text1"/>
          <w:sz w:val="24"/>
          <w:szCs w:val="24"/>
        </w:rPr>
      </w:pPr>
      <w:bookmarkStart w:id="19" w:name="_Toc243550853"/>
      <w:r w:rsidRPr="008E4CAB">
        <w:rPr>
          <w:rFonts w:asciiTheme="minorBidi" w:hAnsiTheme="minorBidi" w:cstheme="minorBidi"/>
          <w:color w:val="000000" w:themeColor="text1"/>
          <w:sz w:val="24"/>
          <w:szCs w:val="24"/>
        </w:rPr>
        <w:t>Development of Analytical Judgement</w:t>
      </w:r>
      <w:bookmarkEnd w:id="19"/>
    </w:p>
    <w:p w14:paraId="52357C01"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This analysis reinforced my views on marketing being a strategic process that is linked to the external change and </w:t>
      </w:r>
      <w:proofErr w:type="spellStart"/>
      <w:r w:rsidRPr="008E4CAB">
        <w:rPr>
          <w:rFonts w:asciiTheme="minorBidi" w:hAnsiTheme="minorBidi"/>
          <w:color w:val="000000" w:themeColor="text1"/>
          <w:sz w:val="24"/>
          <w:szCs w:val="24"/>
        </w:rPr>
        <w:t>organisational</w:t>
      </w:r>
      <w:proofErr w:type="spellEnd"/>
      <w:r w:rsidRPr="008E4CAB">
        <w:rPr>
          <w:rFonts w:asciiTheme="minorBidi" w:hAnsiTheme="minorBidi"/>
          <w:color w:val="000000" w:themeColor="text1"/>
          <w:sz w:val="24"/>
          <w:szCs w:val="24"/>
        </w:rPr>
        <w:t xml:space="preserve"> decisions. At first this product with an ‘environmental dividend' seemed to be a simple means for differentiation. But, a review of the evidence revealed that questions of environmental relevance, technical feasibility and commercial attractiveness are distinct. During the research process, I learned that an appealing offer must be delivered in a credible manner and value capture is essential (Vangeli et al., 2023; Sinkovics et al., 2021).</w:t>
      </w:r>
    </w:p>
    <w:p w14:paraId="229E3751" w14:textId="015896C1" w:rsidR="002A2687" w:rsidRPr="008E4CAB" w:rsidRDefault="002A2687"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I believe that I'm better able to relate stakeholder </w:t>
      </w:r>
      <w:proofErr w:type="spellStart"/>
      <w:r w:rsidRPr="008E4CAB">
        <w:rPr>
          <w:rFonts w:asciiTheme="minorBidi" w:hAnsiTheme="minorBidi"/>
          <w:color w:val="000000" w:themeColor="text1"/>
          <w:sz w:val="24"/>
          <w:szCs w:val="24"/>
        </w:rPr>
        <w:t>behaviour</w:t>
      </w:r>
      <w:proofErr w:type="spellEnd"/>
      <w:r w:rsidRPr="008E4CAB">
        <w:rPr>
          <w:rFonts w:asciiTheme="minorBidi" w:hAnsiTheme="minorBidi"/>
          <w:color w:val="000000" w:themeColor="text1"/>
          <w:sz w:val="24"/>
          <w:szCs w:val="24"/>
        </w:rPr>
        <w:t xml:space="preserve"> with wider external influences following this approach using PESTLE. Under social factors, I identified when customer expectations are being </w:t>
      </w:r>
      <w:proofErr w:type="spellStart"/>
      <w:r w:rsidRPr="008E4CAB">
        <w:rPr>
          <w:rFonts w:asciiTheme="minorBidi" w:hAnsiTheme="minorBidi"/>
          <w:color w:val="000000" w:themeColor="text1"/>
          <w:sz w:val="24"/>
          <w:szCs w:val="24"/>
        </w:rPr>
        <w:t>analysed</w:t>
      </w:r>
      <w:proofErr w:type="spellEnd"/>
      <w:r w:rsidRPr="008E4CAB">
        <w:rPr>
          <w:rFonts w:asciiTheme="minorBidi" w:hAnsiTheme="minorBidi"/>
          <w:color w:val="000000" w:themeColor="text1"/>
          <w:sz w:val="24"/>
          <w:szCs w:val="24"/>
        </w:rPr>
        <w:t xml:space="preserve">, as they are related to the changing of society values, sustainability expectations or attitude of customers towards responsible business. Customer </w:t>
      </w:r>
      <w:proofErr w:type="spellStart"/>
      <w:r w:rsidRPr="008E4CAB">
        <w:rPr>
          <w:rFonts w:asciiTheme="minorBidi" w:hAnsiTheme="minorBidi"/>
          <w:color w:val="000000" w:themeColor="text1"/>
          <w:sz w:val="24"/>
          <w:szCs w:val="24"/>
        </w:rPr>
        <w:t>behaviour</w:t>
      </w:r>
      <w:proofErr w:type="spellEnd"/>
      <w:r w:rsidRPr="008E4CAB">
        <w:rPr>
          <w:rFonts w:asciiTheme="minorBidi" w:hAnsiTheme="minorBidi"/>
          <w:color w:val="000000" w:themeColor="text1"/>
          <w:sz w:val="24"/>
          <w:szCs w:val="24"/>
        </w:rPr>
        <w:t xml:space="preserve"> can also be indicative of economic pressures and technological requirements; this classification will be based on the influence investigated. Environmental, economic and technological factors were chosen for this assignment as a coherent basis to explore the pressures, economics and infrastructure availability on emissions. This selection does not (intentionally) bar customers from PESTLE analysis. Rather, it needs to be explained how their purchasing expectations are linked to the selected external influences. Analysis also helped to cement my understanding that these dimensions are intertwined: an environmentally appealing offering must be technically feasible and commercially acceptable (Devlin et al., 2023; Vangeli et al., 2023; Wang et al., 2025).</w:t>
      </w:r>
    </w:p>
    <w:p w14:paraId="7EEFAD10" w14:textId="1AAF6512" w:rsidR="002A2687" w:rsidRPr="008E4CAB" w:rsidRDefault="002A2687"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The additional public-web search yielded 36 records. After removing 16 duplicate entries, 20 records were available to screen for title, abstract, or document-summary. 12 reports were sought to be retrieved and eight records were excluded. Seven complete reports were not retrieved and five remained for use in the eligibility assessment. One descriptive scheduling brief was removed from the review due to a lack of retention or employee-outcome analysis. 4 reports were kept: 2 academic studies and 2 Tesco reports. These counts refer to the supplementary search and are not necessarily representative of the selection for the full bibliography of 34 publications.</w:t>
      </w:r>
    </w:p>
    <w:p w14:paraId="6C7434BD"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A subsequent lesson focused on evidence boundaries. An individual product's profitability cannot be determined from the corporate level operating profit and the operational emissions cannot be substituted for the LCA emissions. Likewise, studies on consumer purchase can not directly show the willingness to pay of industries. Identifying these limitations enhanced the defensibility of my suggestions and helped to clarify the relevance of similar disclosures (Christensen et al., 2021; Testa et al., 2021).</w:t>
      </w:r>
    </w:p>
    <w:p w14:paraId="3E76F1FA" w14:textId="37B50A54" w:rsidR="0088095A" w:rsidRPr="008E4CAB" w:rsidRDefault="0088095A" w:rsidP="008E4CAB">
      <w:pPr>
        <w:pStyle w:val="Heading2"/>
        <w:jc w:val="both"/>
        <w:rPr>
          <w:rFonts w:asciiTheme="minorBidi" w:hAnsiTheme="minorBidi" w:cstheme="minorBidi"/>
          <w:color w:val="000000" w:themeColor="text1"/>
          <w:sz w:val="24"/>
          <w:szCs w:val="24"/>
        </w:rPr>
      </w:pPr>
      <w:bookmarkStart w:id="20" w:name="_Toc243550854"/>
      <w:r w:rsidRPr="008E4CAB">
        <w:rPr>
          <w:rFonts w:asciiTheme="minorBidi" w:hAnsiTheme="minorBidi" w:cstheme="minorBidi"/>
          <w:color w:val="000000" w:themeColor="text1"/>
          <w:sz w:val="24"/>
          <w:szCs w:val="24"/>
        </w:rPr>
        <w:t>Implications for Managerial Practice</w:t>
      </w:r>
      <w:bookmarkEnd w:id="20"/>
    </w:p>
    <w:p w14:paraId="44C5478F" w14:textId="35BF80E2"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Market penetration would be a conditional recommendation by me as a manager with a staged commercial proof. I w</w:t>
      </w:r>
      <w:r w:rsidR="002A2687" w:rsidRPr="008E4CAB">
        <w:rPr>
          <w:rFonts w:asciiTheme="minorBidi" w:hAnsiTheme="minorBidi"/>
          <w:color w:val="000000" w:themeColor="text1"/>
          <w:sz w:val="24"/>
          <w:szCs w:val="24"/>
        </w:rPr>
        <w:t>ill</w:t>
      </w:r>
      <w:r w:rsidRPr="008E4CAB">
        <w:rPr>
          <w:rFonts w:asciiTheme="minorBidi" w:hAnsiTheme="minorBidi"/>
          <w:color w:val="000000" w:themeColor="text1"/>
          <w:sz w:val="24"/>
          <w:szCs w:val="24"/>
        </w:rPr>
        <w:t xml:space="preserve"> ask for customer interviews, results of technical qualification and margin analysis at the account level prior to setting expansion targets. These w</w:t>
      </w:r>
      <w:r w:rsidR="002A2687" w:rsidRPr="008E4CAB">
        <w:rPr>
          <w:rFonts w:asciiTheme="minorBidi" w:hAnsiTheme="minorBidi"/>
          <w:color w:val="000000" w:themeColor="text1"/>
          <w:sz w:val="24"/>
          <w:szCs w:val="24"/>
        </w:rPr>
        <w:t xml:space="preserve">ill </w:t>
      </w:r>
      <w:r w:rsidRPr="008E4CAB">
        <w:rPr>
          <w:rFonts w:asciiTheme="minorBidi" w:hAnsiTheme="minorBidi"/>
          <w:color w:val="000000" w:themeColor="text1"/>
          <w:sz w:val="24"/>
          <w:szCs w:val="24"/>
        </w:rPr>
        <w:t>help to determine if the customers see enough value for the proposition to warrant repeat purchases. This is a method that allows linking strategic ambition with the skills needed for its realization (Whittington et al., 2023; Alonso-Martínez et al., 2021).</w:t>
      </w:r>
    </w:p>
    <w:p w14:paraId="5F57254B"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 xml:space="preserve">I would also differentiate between things that I can do and things that I cannot. Marketing will make documentation, communication and opportunity selection better, but will not solve an electricity infrastructure limitation. </w:t>
      </w:r>
      <w:proofErr w:type="spellStart"/>
      <w:r w:rsidRPr="008E4CAB">
        <w:rPr>
          <w:rFonts w:asciiTheme="minorBidi" w:hAnsiTheme="minorBidi"/>
          <w:color w:val="000000" w:themeColor="text1"/>
          <w:sz w:val="24"/>
          <w:szCs w:val="24"/>
        </w:rPr>
        <w:t>Luleå</w:t>
      </w:r>
      <w:proofErr w:type="spellEnd"/>
      <w:r w:rsidRPr="008E4CAB">
        <w:rPr>
          <w:rFonts w:asciiTheme="minorBidi" w:hAnsiTheme="minorBidi"/>
          <w:color w:val="000000" w:themeColor="text1"/>
          <w:sz w:val="24"/>
          <w:szCs w:val="24"/>
        </w:rPr>
        <w:t xml:space="preserve"> postponement illustrates a need for careful communication of future capacity, in addition to communicating existing supply (SSAB, 2025b). My one big takeaway would then be explicit qualification, capacity and commercial returns.</w:t>
      </w:r>
    </w:p>
    <w:p w14:paraId="2D3EA11D"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In regard to technology, I would consider using AI to assist with account analysis with the human still accountable for technical and environmental statements. The literature questioned the notion that automation necessarily results in better decision-making. The success of its use is based on the organizational capacity, employee participation, and suitable judgment (</w:t>
      </w:r>
      <w:proofErr w:type="spellStart"/>
      <w:r w:rsidRPr="008E4CAB">
        <w:rPr>
          <w:rFonts w:asciiTheme="minorBidi" w:hAnsiTheme="minorBidi"/>
          <w:color w:val="000000" w:themeColor="text1"/>
          <w:sz w:val="24"/>
          <w:szCs w:val="24"/>
        </w:rPr>
        <w:t>Mikalef</w:t>
      </w:r>
      <w:proofErr w:type="spellEnd"/>
      <w:r w:rsidRPr="008E4CAB">
        <w:rPr>
          <w:rFonts w:asciiTheme="minorBidi" w:hAnsiTheme="minorBidi"/>
          <w:color w:val="000000" w:themeColor="text1"/>
          <w:sz w:val="24"/>
          <w:szCs w:val="24"/>
        </w:rPr>
        <w:t xml:space="preserve"> &amp; Gupta, 2021; Raisch &amp; Krakowski, 2021; Chowdhury et al., 2022).</w:t>
      </w:r>
    </w:p>
    <w:p w14:paraId="01585718" w14:textId="5B8B7C30" w:rsidR="0088095A" w:rsidRPr="008E4CAB" w:rsidRDefault="0088095A" w:rsidP="008E4CAB">
      <w:pPr>
        <w:pStyle w:val="Heading2"/>
        <w:jc w:val="both"/>
        <w:rPr>
          <w:rFonts w:asciiTheme="minorBidi" w:hAnsiTheme="minorBidi" w:cstheme="minorBidi"/>
          <w:color w:val="000000" w:themeColor="text1"/>
          <w:sz w:val="24"/>
          <w:szCs w:val="24"/>
        </w:rPr>
      </w:pPr>
      <w:bookmarkStart w:id="21" w:name="_Toc243550855"/>
      <w:r w:rsidRPr="008E4CAB">
        <w:rPr>
          <w:rFonts w:asciiTheme="minorBidi" w:hAnsiTheme="minorBidi" w:cstheme="minorBidi"/>
          <w:color w:val="000000" w:themeColor="text1"/>
          <w:sz w:val="24"/>
          <w:szCs w:val="24"/>
        </w:rPr>
        <w:t>Professional Development Priorities</w:t>
      </w:r>
      <w:bookmarkEnd w:id="21"/>
    </w:p>
    <w:p w14:paraId="6C9A70A9"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I want to focus on development on the issues of greater literacy in life cycle assessment, financial evaluation and customer investigations. These would assist me in making a more thorough judgment about conflicting claims, margins and exploring purchase needs. I would also look for any evidence that goes against the recommendation, such as failed qualification trials and customer rejections of proposed terms.</w:t>
      </w:r>
    </w:p>
    <w:p w14:paraId="7BE0F2A9" w14:textId="77777777" w:rsidR="00D110E1" w:rsidRPr="008E4CAB" w:rsidRDefault="00D110E1" w:rsidP="008E4CAB">
      <w:pPr>
        <w:spacing w:line="360" w:lineRule="auto"/>
        <w:jc w:val="both"/>
        <w:rPr>
          <w:rFonts w:asciiTheme="minorBidi" w:hAnsiTheme="minorBidi"/>
          <w:color w:val="000000" w:themeColor="text1"/>
          <w:sz w:val="24"/>
          <w:szCs w:val="24"/>
        </w:rPr>
      </w:pPr>
      <w:r w:rsidRPr="008E4CAB">
        <w:rPr>
          <w:rFonts w:asciiTheme="minorBidi" w:hAnsiTheme="minorBidi"/>
          <w:color w:val="000000" w:themeColor="text1"/>
          <w:sz w:val="24"/>
          <w:szCs w:val="24"/>
        </w:rPr>
        <w:t>In general, the analysis helped me to learn how to link the marketing theory with industrial decisions and explicitly handle the uncertainty. Advice must be responsible, which means that they should tell the manager what is known based on the available evidence, and what is unknown and how the manager can fill in the missing information before sending in the resources.</w:t>
      </w:r>
    </w:p>
    <w:p w14:paraId="11DF1700" w14:textId="77777777" w:rsidR="00D110E1" w:rsidRPr="008E4CAB" w:rsidRDefault="00D110E1" w:rsidP="008E4CAB">
      <w:pPr>
        <w:spacing w:line="360" w:lineRule="auto"/>
        <w:jc w:val="both"/>
        <w:rPr>
          <w:rFonts w:asciiTheme="minorBidi" w:hAnsiTheme="minorBidi"/>
          <w:color w:val="000000" w:themeColor="text1"/>
          <w:sz w:val="24"/>
          <w:szCs w:val="24"/>
        </w:rPr>
      </w:pPr>
    </w:p>
    <w:p w14:paraId="2BBECF22" w14:textId="77777777" w:rsidR="00D110E1" w:rsidRPr="008E4CAB" w:rsidRDefault="00D110E1" w:rsidP="008E4CAB">
      <w:pPr>
        <w:spacing w:line="360" w:lineRule="auto"/>
        <w:jc w:val="both"/>
        <w:rPr>
          <w:rFonts w:asciiTheme="minorBidi" w:hAnsiTheme="minorBidi"/>
          <w:color w:val="000000" w:themeColor="text1"/>
          <w:sz w:val="24"/>
          <w:szCs w:val="24"/>
        </w:rPr>
      </w:pPr>
    </w:p>
    <w:p w14:paraId="0223246C" w14:textId="77777777" w:rsidR="00D110E1" w:rsidRPr="008E4CAB" w:rsidRDefault="00D110E1" w:rsidP="008E4CAB">
      <w:pPr>
        <w:spacing w:line="360" w:lineRule="auto"/>
        <w:jc w:val="both"/>
        <w:rPr>
          <w:rFonts w:asciiTheme="minorBidi" w:hAnsiTheme="minorBidi"/>
          <w:color w:val="000000" w:themeColor="text1"/>
          <w:sz w:val="24"/>
          <w:szCs w:val="24"/>
        </w:rPr>
      </w:pPr>
    </w:p>
    <w:p w14:paraId="38F31A94" w14:textId="77777777" w:rsidR="00D110E1" w:rsidRPr="008E4CAB" w:rsidRDefault="00D110E1" w:rsidP="008E4CAB">
      <w:pPr>
        <w:spacing w:line="360" w:lineRule="auto"/>
        <w:jc w:val="both"/>
        <w:rPr>
          <w:rFonts w:asciiTheme="minorBidi" w:hAnsiTheme="minorBidi"/>
          <w:color w:val="000000" w:themeColor="text1"/>
          <w:sz w:val="24"/>
          <w:szCs w:val="24"/>
        </w:rPr>
      </w:pPr>
    </w:p>
    <w:p w14:paraId="3E751DF3" w14:textId="77777777" w:rsidR="00D110E1" w:rsidRPr="008E4CAB" w:rsidRDefault="00D110E1" w:rsidP="008E4CAB">
      <w:pPr>
        <w:spacing w:line="360" w:lineRule="auto"/>
        <w:jc w:val="both"/>
        <w:rPr>
          <w:rFonts w:asciiTheme="minorBidi" w:hAnsiTheme="minorBidi"/>
          <w:color w:val="000000" w:themeColor="text1"/>
          <w:sz w:val="24"/>
          <w:szCs w:val="24"/>
        </w:rPr>
      </w:pPr>
    </w:p>
    <w:p w14:paraId="6FB68635" w14:textId="77777777" w:rsidR="00D110E1" w:rsidRPr="008E4CAB" w:rsidRDefault="00D110E1" w:rsidP="008E4CAB">
      <w:pPr>
        <w:spacing w:line="360" w:lineRule="auto"/>
        <w:jc w:val="both"/>
        <w:rPr>
          <w:rFonts w:asciiTheme="minorBidi" w:hAnsiTheme="minorBidi"/>
          <w:color w:val="000000" w:themeColor="text1"/>
          <w:sz w:val="24"/>
          <w:szCs w:val="24"/>
        </w:rPr>
      </w:pPr>
    </w:p>
    <w:p w14:paraId="38DFBEA1" w14:textId="77777777" w:rsidR="00D110E1" w:rsidRPr="008E4CAB" w:rsidRDefault="00D110E1" w:rsidP="008E4CAB">
      <w:pPr>
        <w:spacing w:line="360" w:lineRule="auto"/>
        <w:jc w:val="both"/>
        <w:rPr>
          <w:rFonts w:asciiTheme="minorBidi" w:hAnsiTheme="minorBidi"/>
          <w:color w:val="000000" w:themeColor="text1"/>
          <w:sz w:val="24"/>
          <w:szCs w:val="24"/>
        </w:rPr>
      </w:pPr>
    </w:p>
    <w:p w14:paraId="30E108A2" w14:textId="77777777" w:rsidR="0088095A" w:rsidRPr="008E4CAB" w:rsidRDefault="0088095A" w:rsidP="008E4CAB">
      <w:pPr>
        <w:pStyle w:val="Heading1"/>
        <w:jc w:val="both"/>
        <w:rPr>
          <w:rFonts w:asciiTheme="minorBidi" w:hAnsiTheme="minorBidi" w:cstheme="minorBidi"/>
          <w:color w:val="000000" w:themeColor="text1"/>
          <w:sz w:val="24"/>
          <w:szCs w:val="24"/>
        </w:rPr>
      </w:pPr>
      <w:bookmarkStart w:id="22" w:name="_Toc243550856"/>
      <w:r w:rsidRPr="008E4CAB">
        <w:rPr>
          <w:rFonts w:asciiTheme="minorBidi" w:hAnsiTheme="minorBidi" w:cstheme="minorBidi"/>
          <w:color w:val="000000" w:themeColor="text1"/>
          <w:sz w:val="24"/>
          <w:szCs w:val="24"/>
        </w:rPr>
        <w:t>References</w:t>
      </w:r>
      <w:bookmarkEnd w:id="22"/>
    </w:p>
    <w:p w14:paraId="44C5612D"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Alonso-Martínez, D., De Marchi, V., &amp; Di Maria, E. (2021). Sustainability performance and the role of inter-organizational R&amp;D cooperation. </w:t>
      </w:r>
      <w:r w:rsidRPr="008E4CAB">
        <w:rPr>
          <w:rStyle w:val="Emphasis"/>
          <w:rFonts w:asciiTheme="minorBidi" w:hAnsiTheme="minorBidi" w:cstheme="minorBidi"/>
          <w:b w:val="0"/>
          <w:bCs w:val="0"/>
          <w:color w:val="000000" w:themeColor="text1"/>
        </w:rPr>
        <w:t>Journal of Cleaner Production, 323</w:t>
      </w:r>
      <w:r w:rsidRPr="008E4CAB">
        <w:rPr>
          <w:rFonts w:asciiTheme="minorBidi" w:hAnsiTheme="minorBidi" w:cstheme="minorBidi"/>
          <w:color w:val="000000" w:themeColor="text1"/>
        </w:rPr>
        <w:t xml:space="preserve">, Article 129145. </w:t>
      </w:r>
      <w:hyperlink r:id="rId15" w:history="1">
        <w:r w:rsidRPr="008E4CAB">
          <w:rPr>
            <w:rStyle w:val="Hyperlink"/>
            <w:rFonts w:asciiTheme="minorBidi" w:hAnsiTheme="minorBidi" w:cstheme="minorBidi"/>
            <w:color w:val="000000" w:themeColor="text1"/>
          </w:rPr>
          <w:t>https://www.sciencedirect.com/science/article/pii/S0959652621033321</w:t>
        </w:r>
      </w:hyperlink>
    </w:p>
    <w:p w14:paraId="632DDFD3"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proofErr w:type="spellStart"/>
      <w:r w:rsidRPr="008E4CAB">
        <w:rPr>
          <w:rFonts w:asciiTheme="minorBidi" w:hAnsiTheme="minorBidi" w:cstheme="minorBidi"/>
          <w:color w:val="000000" w:themeColor="text1"/>
        </w:rPr>
        <w:t>Bachorz</w:t>
      </w:r>
      <w:proofErr w:type="spellEnd"/>
      <w:r w:rsidRPr="008E4CAB">
        <w:rPr>
          <w:rFonts w:asciiTheme="minorBidi" w:hAnsiTheme="minorBidi" w:cstheme="minorBidi"/>
          <w:color w:val="000000" w:themeColor="text1"/>
        </w:rPr>
        <w:t xml:space="preserve">, C., </w:t>
      </w:r>
      <w:proofErr w:type="spellStart"/>
      <w:r w:rsidRPr="008E4CAB">
        <w:rPr>
          <w:rFonts w:asciiTheme="minorBidi" w:hAnsiTheme="minorBidi" w:cstheme="minorBidi"/>
          <w:color w:val="000000" w:themeColor="text1"/>
        </w:rPr>
        <w:t>Dürrwächter</w:t>
      </w:r>
      <w:proofErr w:type="spellEnd"/>
      <w:r w:rsidRPr="008E4CAB">
        <w:rPr>
          <w:rFonts w:asciiTheme="minorBidi" w:hAnsiTheme="minorBidi" w:cstheme="minorBidi"/>
          <w:color w:val="000000" w:themeColor="text1"/>
        </w:rPr>
        <w:t xml:space="preserve">, J., Gong, C. C., Odenweller, A., Pehl, M., Schreyer, F., </w:t>
      </w:r>
      <w:proofErr w:type="spellStart"/>
      <w:r w:rsidRPr="008E4CAB">
        <w:rPr>
          <w:rFonts w:asciiTheme="minorBidi" w:hAnsiTheme="minorBidi" w:cstheme="minorBidi"/>
          <w:color w:val="000000" w:themeColor="text1"/>
        </w:rPr>
        <w:t>Verpoort</w:t>
      </w:r>
      <w:proofErr w:type="spellEnd"/>
      <w:r w:rsidRPr="008E4CAB">
        <w:rPr>
          <w:rFonts w:asciiTheme="minorBidi" w:hAnsiTheme="minorBidi" w:cstheme="minorBidi"/>
          <w:color w:val="000000" w:themeColor="text1"/>
        </w:rPr>
        <w:t xml:space="preserve">, P. C., Luderer, G., &amp; Ueckerdt, F. (2026). Averting steel carbon lock-in. </w:t>
      </w:r>
      <w:r w:rsidRPr="008E4CAB">
        <w:rPr>
          <w:rStyle w:val="Emphasis"/>
          <w:rFonts w:asciiTheme="minorBidi" w:hAnsiTheme="minorBidi" w:cstheme="minorBidi"/>
          <w:b w:val="0"/>
          <w:bCs w:val="0"/>
          <w:color w:val="000000" w:themeColor="text1"/>
        </w:rPr>
        <w:t>Nature Climate Change, 16</w:t>
      </w:r>
      <w:r w:rsidRPr="008E4CAB">
        <w:rPr>
          <w:rFonts w:asciiTheme="minorBidi" w:hAnsiTheme="minorBidi" w:cstheme="minorBidi"/>
          <w:color w:val="000000" w:themeColor="text1"/>
        </w:rPr>
        <w:t xml:space="preserve">, 681–689. </w:t>
      </w:r>
      <w:hyperlink r:id="rId16" w:history="1">
        <w:r w:rsidRPr="008E4CAB">
          <w:rPr>
            <w:rStyle w:val="Hyperlink"/>
            <w:rFonts w:asciiTheme="minorBidi" w:hAnsiTheme="minorBidi" w:cstheme="minorBidi"/>
            <w:color w:val="000000" w:themeColor="text1"/>
          </w:rPr>
          <w:t>https://www.nature.com/articles/s41558-026-02635-8</w:t>
        </w:r>
      </w:hyperlink>
    </w:p>
    <w:p w14:paraId="71F091BE"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Berg, F., Kölbel, J. F., &amp; </w:t>
      </w:r>
      <w:proofErr w:type="spellStart"/>
      <w:r w:rsidRPr="008E4CAB">
        <w:rPr>
          <w:rFonts w:asciiTheme="minorBidi" w:hAnsiTheme="minorBidi" w:cstheme="minorBidi"/>
          <w:color w:val="000000" w:themeColor="text1"/>
        </w:rPr>
        <w:t>Rigobon</w:t>
      </w:r>
      <w:proofErr w:type="spellEnd"/>
      <w:r w:rsidRPr="008E4CAB">
        <w:rPr>
          <w:rFonts w:asciiTheme="minorBidi" w:hAnsiTheme="minorBidi" w:cstheme="minorBidi"/>
          <w:color w:val="000000" w:themeColor="text1"/>
        </w:rPr>
        <w:t xml:space="preserve">, R. (2022). Aggregate confusion: The divergence of ESG ratings. </w:t>
      </w:r>
      <w:r w:rsidRPr="008E4CAB">
        <w:rPr>
          <w:rStyle w:val="Emphasis"/>
          <w:rFonts w:asciiTheme="minorBidi" w:hAnsiTheme="minorBidi" w:cstheme="minorBidi"/>
          <w:b w:val="0"/>
          <w:bCs w:val="0"/>
          <w:color w:val="000000" w:themeColor="text1"/>
        </w:rPr>
        <w:t>Review of Finance, 26</w:t>
      </w:r>
      <w:r w:rsidRPr="008E4CAB">
        <w:rPr>
          <w:rFonts w:asciiTheme="minorBidi" w:hAnsiTheme="minorBidi" w:cstheme="minorBidi"/>
          <w:color w:val="000000" w:themeColor="text1"/>
        </w:rPr>
        <w:t xml:space="preserve">(6), 1315–1344. </w:t>
      </w:r>
      <w:hyperlink r:id="rId17" w:history="1">
        <w:r w:rsidRPr="008E4CAB">
          <w:rPr>
            <w:rStyle w:val="Hyperlink"/>
            <w:rFonts w:asciiTheme="minorBidi" w:hAnsiTheme="minorBidi" w:cstheme="minorBidi"/>
            <w:color w:val="000000" w:themeColor="text1"/>
          </w:rPr>
          <w:t>https://academic.oup.com/rof/issue/26/6</w:t>
        </w:r>
      </w:hyperlink>
    </w:p>
    <w:p w14:paraId="35141C09"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Chowdhury, S., </w:t>
      </w:r>
      <w:proofErr w:type="spellStart"/>
      <w:r w:rsidRPr="008E4CAB">
        <w:rPr>
          <w:rFonts w:asciiTheme="minorBidi" w:hAnsiTheme="minorBidi" w:cstheme="minorBidi"/>
          <w:color w:val="000000" w:themeColor="text1"/>
        </w:rPr>
        <w:t>Budhwar</w:t>
      </w:r>
      <w:proofErr w:type="spellEnd"/>
      <w:r w:rsidRPr="008E4CAB">
        <w:rPr>
          <w:rFonts w:asciiTheme="minorBidi" w:hAnsiTheme="minorBidi" w:cstheme="minorBidi"/>
          <w:color w:val="000000" w:themeColor="text1"/>
        </w:rPr>
        <w:t xml:space="preserve">, P., Dey, P. K., Joel-Edgar, S., &amp; Abadie, A. (2022). AI-employee collaboration and business performance: Integrating knowledge-based view, socio-technical systems and </w:t>
      </w:r>
      <w:proofErr w:type="spellStart"/>
      <w:r w:rsidRPr="008E4CAB">
        <w:rPr>
          <w:rFonts w:asciiTheme="minorBidi" w:hAnsiTheme="minorBidi" w:cstheme="minorBidi"/>
          <w:color w:val="000000" w:themeColor="text1"/>
        </w:rPr>
        <w:t>organisational</w:t>
      </w:r>
      <w:proofErr w:type="spellEnd"/>
      <w:r w:rsidRPr="008E4CAB">
        <w:rPr>
          <w:rFonts w:asciiTheme="minorBidi" w:hAnsiTheme="minorBidi" w:cstheme="minorBidi"/>
          <w:color w:val="000000" w:themeColor="text1"/>
        </w:rPr>
        <w:t xml:space="preserve"> </w:t>
      </w:r>
      <w:proofErr w:type="spellStart"/>
      <w:r w:rsidRPr="008E4CAB">
        <w:rPr>
          <w:rFonts w:asciiTheme="minorBidi" w:hAnsiTheme="minorBidi" w:cstheme="minorBidi"/>
          <w:color w:val="000000" w:themeColor="text1"/>
        </w:rPr>
        <w:t>socialisation</w:t>
      </w:r>
      <w:proofErr w:type="spellEnd"/>
      <w:r w:rsidRPr="008E4CAB">
        <w:rPr>
          <w:rFonts w:asciiTheme="minorBidi" w:hAnsiTheme="minorBidi" w:cstheme="minorBidi"/>
          <w:color w:val="000000" w:themeColor="text1"/>
        </w:rPr>
        <w:t xml:space="preserve"> framework. </w:t>
      </w:r>
      <w:r w:rsidRPr="008E4CAB">
        <w:rPr>
          <w:rStyle w:val="Emphasis"/>
          <w:rFonts w:asciiTheme="minorBidi" w:hAnsiTheme="minorBidi" w:cstheme="minorBidi"/>
          <w:b w:val="0"/>
          <w:bCs w:val="0"/>
          <w:color w:val="000000" w:themeColor="text1"/>
        </w:rPr>
        <w:t>Journal of Business Research, 144</w:t>
      </w:r>
      <w:r w:rsidRPr="008E4CAB">
        <w:rPr>
          <w:rFonts w:asciiTheme="minorBidi" w:hAnsiTheme="minorBidi" w:cstheme="minorBidi"/>
          <w:color w:val="000000" w:themeColor="text1"/>
        </w:rPr>
        <w:t xml:space="preserve">, 31–49. </w:t>
      </w:r>
      <w:hyperlink r:id="rId18" w:history="1">
        <w:r w:rsidRPr="008E4CAB">
          <w:rPr>
            <w:rStyle w:val="Hyperlink"/>
            <w:rFonts w:asciiTheme="minorBidi" w:hAnsiTheme="minorBidi" w:cstheme="minorBidi"/>
            <w:color w:val="000000" w:themeColor="text1"/>
          </w:rPr>
          <w:t>https://www.sciencedirect.com/science/article/pii/S0148296322000819</w:t>
        </w:r>
      </w:hyperlink>
    </w:p>
    <w:p w14:paraId="5F846267"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Christensen, H. B., Hail, L., &amp; </w:t>
      </w:r>
      <w:proofErr w:type="spellStart"/>
      <w:r w:rsidRPr="008E4CAB">
        <w:rPr>
          <w:rFonts w:asciiTheme="minorBidi" w:hAnsiTheme="minorBidi" w:cstheme="minorBidi"/>
          <w:color w:val="000000" w:themeColor="text1"/>
        </w:rPr>
        <w:t>Leuz</w:t>
      </w:r>
      <w:proofErr w:type="spellEnd"/>
      <w:r w:rsidRPr="008E4CAB">
        <w:rPr>
          <w:rFonts w:asciiTheme="minorBidi" w:hAnsiTheme="minorBidi" w:cstheme="minorBidi"/>
          <w:color w:val="000000" w:themeColor="text1"/>
        </w:rPr>
        <w:t xml:space="preserve">, C. (2021). Mandatory CSR and sustainability reporting: Economic analysis and literature review. </w:t>
      </w:r>
      <w:r w:rsidRPr="008E4CAB">
        <w:rPr>
          <w:rStyle w:val="Emphasis"/>
          <w:rFonts w:asciiTheme="minorBidi" w:hAnsiTheme="minorBidi" w:cstheme="minorBidi"/>
          <w:b w:val="0"/>
          <w:bCs w:val="0"/>
          <w:color w:val="000000" w:themeColor="text1"/>
        </w:rPr>
        <w:t>Review of Accounting Studies, 26</w:t>
      </w:r>
      <w:r w:rsidRPr="008E4CAB">
        <w:rPr>
          <w:rFonts w:asciiTheme="minorBidi" w:hAnsiTheme="minorBidi" w:cstheme="minorBidi"/>
          <w:color w:val="000000" w:themeColor="text1"/>
        </w:rPr>
        <w:t xml:space="preserve">, 1176–1248. </w:t>
      </w:r>
      <w:hyperlink r:id="rId19" w:history="1">
        <w:r w:rsidRPr="008E4CAB">
          <w:rPr>
            <w:rStyle w:val="Hyperlink"/>
            <w:rFonts w:asciiTheme="minorBidi" w:hAnsiTheme="minorBidi" w:cstheme="minorBidi"/>
            <w:color w:val="000000" w:themeColor="text1"/>
          </w:rPr>
          <w:t>https://link.springer.com/article/10.1007/s11142-021-09609-5</w:t>
        </w:r>
      </w:hyperlink>
    </w:p>
    <w:p w14:paraId="74C00127"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Davenport, T., Guha, A., Grewal, D., &amp; </w:t>
      </w:r>
      <w:proofErr w:type="spellStart"/>
      <w:r w:rsidRPr="008E4CAB">
        <w:rPr>
          <w:rFonts w:asciiTheme="minorBidi" w:hAnsiTheme="minorBidi" w:cstheme="minorBidi"/>
          <w:color w:val="000000" w:themeColor="text1"/>
        </w:rPr>
        <w:t>Bressgott</w:t>
      </w:r>
      <w:proofErr w:type="spellEnd"/>
      <w:r w:rsidRPr="008E4CAB">
        <w:rPr>
          <w:rFonts w:asciiTheme="minorBidi" w:hAnsiTheme="minorBidi" w:cstheme="minorBidi"/>
          <w:color w:val="000000" w:themeColor="text1"/>
        </w:rPr>
        <w:t xml:space="preserve">, T. (2020). How artificial intelligence will change the future of marketing. </w:t>
      </w:r>
      <w:r w:rsidRPr="008E4CAB">
        <w:rPr>
          <w:rStyle w:val="Emphasis"/>
          <w:rFonts w:asciiTheme="minorBidi" w:hAnsiTheme="minorBidi" w:cstheme="minorBidi"/>
          <w:b w:val="0"/>
          <w:bCs w:val="0"/>
          <w:color w:val="000000" w:themeColor="text1"/>
        </w:rPr>
        <w:t>Journal of the Academy of Marketing Science, 48</w:t>
      </w:r>
      <w:r w:rsidRPr="008E4CAB">
        <w:rPr>
          <w:rFonts w:asciiTheme="minorBidi" w:hAnsiTheme="minorBidi" w:cstheme="minorBidi"/>
          <w:color w:val="000000" w:themeColor="text1"/>
        </w:rPr>
        <w:t xml:space="preserve">, 24–42. </w:t>
      </w:r>
      <w:hyperlink r:id="rId20" w:history="1">
        <w:r w:rsidRPr="008E4CAB">
          <w:rPr>
            <w:rStyle w:val="Hyperlink"/>
            <w:rFonts w:asciiTheme="minorBidi" w:hAnsiTheme="minorBidi" w:cstheme="minorBidi"/>
            <w:color w:val="000000" w:themeColor="text1"/>
          </w:rPr>
          <w:t>https://link.springer.com/article/10.1007/s11747-019-00696-0</w:t>
        </w:r>
      </w:hyperlink>
    </w:p>
    <w:p w14:paraId="04F9190D"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de Leeuw, G., &amp; Vogl, V. (2024). </w:t>
      </w:r>
      <w:proofErr w:type="spellStart"/>
      <w:r w:rsidRPr="008E4CAB">
        <w:rPr>
          <w:rFonts w:asciiTheme="minorBidi" w:hAnsiTheme="minorBidi" w:cstheme="minorBidi"/>
          <w:color w:val="000000" w:themeColor="text1"/>
        </w:rPr>
        <w:t>Scrutinising</w:t>
      </w:r>
      <w:proofErr w:type="spellEnd"/>
      <w:r w:rsidRPr="008E4CAB">
        <w:rPr>
          <w:rFonts w:asciiTheme="minorBidi" w:hAnsiTheme="minorBidi" w:cstheme="minorBidi"/>
          <w:color w:val="000000" w:themeColor="text1"/>
        </w:rPr>
        <w:t xml:space="preserve"> commodity hype in the Swedish green steel transition. </w:t>
      </w:r>
      <w:r w:rsidRPr="008E4CAB">
        <w:rPr>
          <w:rStyle w:val="Emphasis"/>
          <w:rFonts w:asciiTheme="minorBidi" w:hAnsiTheme="minorBidi" w:cstheme="minorBidi"/>
          <w:b w:val="0"/>
          <w:bCs w:val="0"/>
          <w:color w:val="000000" w:themeColor="text1"/>
        </w:rPr>
        <w:t>Environment and Planning E: Nature and Space, 7</w:t>
      </w:r>
      <w:r w:rsidRPr="008E4CAB">
        <w:rPr>
          <w:rFonts w:asciiTheme="minorBidi" w:hAnsiTheme="minorBidi" w:cstheme="minorBidi"/>
          <w:color w:val="000000" w:themeColor="text1"/>
        </w:rPr>
        <w:t xml:space="preserve">(4), 1844–1867. </w:t>
      </w:r>
      <w:hyperlink r:id="rId21" w:history="1">
        <w:r w:rsidRPr="008E4CAB">
          <w:rPr>
            <w:rStyle w:val="Hyperlink"/>
            <w:rFonts w:asciiTheme="minorBidi" w:hAnsiTheme="minorBidi" w:cstheme="minorBidi"/>
            <w:color w:val="000000" w:themeColor="text1"/>
          </w:rPr>
          <w:t>https://journals.sagepub.com/doi/10.1177/25148486241238398</w:t>
        </w:r>
      </w:hyperlink>
    </w:p>
    <w:p w14:paraId="6342C024"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Devlin, A., Kossen, J., Goldie-Jones, H., &amp; Yang, A. (2023). Global green hydrogen-based steel opportunities surrounding high quality renewable energy and iron ore deposits. </w:t>
      </w:r>
      <w:r w:rsidRPr="008E4CAB">
        <w:rPr>
          <w:rStyle w:val="Emphasis"/>
          <w:rFonts w:asciiTheme="minorBidi" w:hAnsiTheme="minorBidi" w:cstheme="minorBidi"/>
          <w:b w:val="0"/>
          <w:bCs w:val="0"/>
          <w:color w:val="000000" w:themeColor="text1"/>
        </w:rPr>
        <w:t>Nature Communications, 14</w:t>
      </w:r>
      <w:r w:rsidRPr="008E4CAB">
        <w:rPr>
          <w:rFonts w:asciiTheme="minorBidi" w:hAnsiTheme="minorBidi" w:cstheme="minorBidi"/>
          <w:color w:val="000000" w:themeColor="text1"/>
        </w:rPr>
        <w:t xml:space="preserve">, Article 2578. </w:t>
      </w:r>
      <w:hyperlink r:id="rId22" w:history="1">
        <w:r w:rsidRPr="008E4CAB">
          <w:rPr>
            <w:rStyle w:val="Hyperlink"/>
            <w:rFonts w:asciiTheme="minorBidi" w:hAnsiTheme="minorBidi" w:cstheme="minorBidi"/>
            <w:color w:val="000000" w:themeColor="text1"/>
          </w:rPr>
          <w:t>https://www.nature.com/articles/s41467-023-38123-2</w:t>
        </w:r>
      </w:hyperlink>
    </w:p>
    <w:p w14:paraId="12D21CAB"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Geissdoerfer, M., Pieroni, M. P. P., </w:t>
      </w:r>
      <w:proofErr w:type="spellStart"/>
      <w:r w:rsidRPr="008E4CAB">
        <w:rPr>
          <w:rFonts w:asciiTheme="minorBidi" w:hAnsiTheme="minorBidi" w:cstheme="minorBidi"/>
          <w:color w:val="000000" w:themeColor="text1"/>
        </w:rPr>
        <w:t>Pigosso</w:t>
      </w:r>
      <w:proofErr w:type="spellEnd"/>
      <w:r w:rsidRPr="008E4CAB">
        <w:rPr>
          <w:rFonts w:asciiTheme="minorBidi" w:hAnsiTheme="minorBidi" w:cstheme="minorBidi"/>
          <w:color w:val="000000" w:themeColor="text1"/>
        </w:rPr>
        <w:t xml:space="preserve">, D. C. A., &amp; </w:t>
      </w:r>
      <w:proofErr w:type="spellStart"/>
      <w:r w:rsidRPr="008E4CAB">
        <w:rPr>
          <w:rFonts w:asciiTheme="minorBidi" w:hAnsiTheme="minorBidi" w:cstheme="minorBidi"/>
          <w:color w:val="000000" w:themeColor="text1"/>
        </w:rPr>
        <w:t>Soufani</w:t>
      </w:r>
      <w:proofErr w:type="spellEnd"/>
      <w:r w:rsidRPr="008E4CAB">
        <w:rPr>
          <w:rFonts w:asciiTheme="minorBidi" w:hAnsiTheme="minorBidi" w:cstheme="minorBidi"/>
          <w:color w:val="000000" w:themeColor="text1"/>
        </w:rPr>
        <w:t xml:space="preserve">, K. (2020). Circular business models: A review. </w:t>
      </w:r>
      <w:r w:rsidRPr="008E4CAB">
        <w:rPr>
          <w:rStyle w:val="Emphasis"/>
          <w:rFonts w:asciiTheme="minorBidi" w:hAnsiTheme="minorBidi" w:cstheme="minorBidi"/>
          <w:b w:val="0"/>
          <w:bCs w:val="0"/>
          <w:color w:val="000000" w:themeColor="text1"/>
        </w:rPr>
        <w:t>Journal of Cleaner Production, 277</w:t>
      </w:r>
      <w:r w:rsidRPr="008E4CAB">
        <w:rPr>
          <w:rFonts w:asciiTheme="minorBidi" w:hAnsiTheme="minorBidi" w:cstheme="minorBidi"/>
          <w:color w:val="000000" w:themeColor="text1"/>
        </w:rPr>
        <w:t xml:space="preserve">, Article 123741. </w:t>
      </w:r>
      <w:hyperlink r:id="rId23" w:history="1">
        <w:r w:rsidRPr="008E4CAB">
          <w:rPr>
            <w:rStyle w:val="Hyperlink"/>
            <w:rFonts w:asciiTheme="minorBidi" w:hAnsiTheme="minorBidi" w:cstheme="minorBidi"/>
            <w:color w:val="000000" w:themeColor="text1"/>
          </w:rPr>
          <w:t>https://www.sciencedirect.com/science/article/pii/S0959652620337860</w:t>
        </w:r>
      </w:hyperlink>
    </w:p>
    <w:p w14:paraId="21A27BB4"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proofErr w:type="spellStart"/>
      <w:r w:rsidRPr="008E4CAB">
        <w:rPr>
          <w:rFonts w:asciiTheme="minorBidi" w:hAnsiTheme="minorBidi" w:cstheme="minorBidi"/>
          <w:color w:val="000000" w:themeColor="text1"/>
        </w:rPr>
        <w:t>Jovičević</w:t>
      </w:r>
      <w:proofErr w:type="spellEnd"/>
      <w:r w:rsidRPr="008E4CAB">
        <w:rPr>
          <w:rFonts w:asciiTheme="minorBidi" w:hAnsiTheme="minorBidi" w:cstheme="minorBidi"/>
          <w:color w:val="000000" w:themeColor="text1"/>
        </w:rPr>
        <w:t xml:space="preserve">-Klug, M., Souza Filho, I. R., Springer, H., Adam, C., &amp; Raabe, D. (2024). Green steel from red mud through climate-neutral hydrogen plasma reduction. </w:t>
      </w:r>
      <w:r w:rsidRPr="008E4CAB">
        <w:rPr>
          <w:rStyle w:val="Emphasis"/>
          <w:rFonts w:asciiTheme="minorBidi" w:hAnsiTheme="minorBidi" w:cstheme="minorBidi"/>
          <w:b w:val="0"/>
          <w:bCs w:val="0"/>
          <w:color w:val="000000" w:themeColor="text1"/>
        </w:rPr>
        <w:t>Nature, 625</w:t>
      </w:r>
      <w:r w:rsidRPr="008E4CAB">
        <w:rPr>
          <w:rFonts w:asciiTheme="minorBidi" w:hAnsiTheme="minorBidi" w:cstheme="minorBidi"/>
          <w:color w:val="000000" w:themeColor="text1"/>
        </w:rPr>
        <w:t xml:space="preserve">, 703–709. </w:t>
      </w:r>
      <w:hyperlink r:id="rId24" w:history="1">
        <w:r w:rsidRPr="008E4CAB">
          <w:rPr>
            <w:rStyle w:val="Hyperlink"/>
            <w:rFonts w:asciiTheme="minorBidi" w:hAnsiTheme="minorBidi" w:cstheme="minorBidi"/>
            <w:color w:val="000000" w:themeColor="text1"/>
          </w:rPr>
          <w:t>https://www.nature.com/articles/s41586-023-06901-z</w:t>
        </w:r>
      </w:hyperlink>
    </w:p>
    <w:p w14:paraId="717068FA"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Kanda, W., Geissdoerfer, M., &amp; Hjelm, O. (2021). From circular business models to circular business ecosystems. </w:t>
      </w:r>
      <w:r w:rsidRPr="008E4CAB">
        <w:rPr>
          <w:rStyle w:val="Emphasis"/>
          <w:rFonts w:asciiTheme="minorBidi" w:hAnsiTheme="minorBidi" w:cstheme="minorBidi"/>
          <w:b w:val="0"/>
          <w:bCs w:val="0"/>
          <w:color w:val="000000" w:themeColor="text1"/>
        </w:rPr>
        <w:t>Business Strategy and the Environment, 30</w:t>
      </w:r>
      <w:r w:rsidRPr="008E4CAB">
        <w:rPr>
          <w:rFonts w:asciiTheme="minorBidi" w:hAnsiTheme="minorBidi" w:cstheme="minorBidi"/>
          <w:color w:val="000000" w:themeColor="text1"/>
        </w:rPr>
        <w:t xml:space="preserve">(6), 2814–2829. </w:t>
      </w:r>
      <w:hyperlink r:id="rId25" w:history="1">
        <w:r w:rsidRPr="008E4CAB">
          <w:rPr>
            <w:rStyle w:val="Hyperlink"/>
            <w:rFonts w:asciiTheme="minorBidi" w:hAnsiTheme="minorBidi" w:cstheme="minorBidi"/>
            <w:color w:val="000000" w:themeColor="text1"/>
          </w:rPr>
          <w:t>https://onlinelibrary.wiley.com/doi/full/10.1002/bse.2895</w:t>
        </w:r>
      </w:hyperlink>
    </w:p>
    <w:p w14:paraId="00782EB1"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Kanda, W., Kuisma, M., </w:t>
      </w:r>
      <w:proofErr w:type="spellStart"/>
      <w:r w:rsidRPr="008E4CAB">
        <w:rPr>
          <w:rFonts w:asciiTheme="minorBidi" w:hAnsiTheme="minorBidi" w:cstheme="minorBidi"/>
          <w:color w:val="000000" w:themeColor="text1"/>
        </w:rPr>
        <w:t>Kivimaa</w:t>
      </w:r>
      <w:proofErr w:type="spellEnd"/>
      <w:r w:rsidRPr="008E4CAB">
        <w:rPr>
          <w:rFonts w:asciiTheme="minorBidi" w:hAnsiTheme="minorBidi" w:cstheme="minorBidi"/>
          <w:color w:val="000000" w:themeColor="text1"/>
        </w:rPr>
        <w:t xml:space="preserve">, P., &amp; Hjelm, O. (2020). </w:t>
      </w:r>
      <w:proofErr w:type="spellStart"/>
      <w:r w:rsidRPr="008E4CAB">
        <w:rPr>
          <w:rFonts w:asciiTheme="minorBidi" w:hAnsiTheme="minorBidi" w:cstheme="minorBidi"/>
          <w:color w:val="000000" w:themeColor="text1"/>
        </w:rPr>
        <w:t>Conceptualising</w:t>
      </w:r>
      <w:proofErr w:type="spellEnd"/>
      <w:r w:rsidRPr="008E4CAB">
        <w:rPr>
          <w:rFonts w:asciiTheme="minorBidi" w:hAnsiTheme="minorBidi" w:cstheme="minorBidi"/>
          <w:color w:val="000000" w:themeColor="text1"/>
        </w:rPr>
        <w:t xml:space="preserve"> the systemic activities of intermediaries in sustainability transitions. </w:t>
      </w:r>
      <w:r w:rsidRPr="008E4CAB">
        <w:rPr>
          <w:rStyle w:val="Emphasis"/>
          <w:rFonts w:asciiTheme="minorBidi" w:hAnsiTheme="minorBidi" w:cstheme="minorBidi"/>
          <w:b w:val="0"/>
          <w:bCs w:val="0"/>
          <w:color w:val="000000" w:themeColor="text1"/>
        </w:rPr>
        <w:t>Environmental Innovation and Societal Transitions, 36</w:t>
      </w:r>
      <w:r w:rsidRPr="008E4CAB">
        <w:rPr>
          <w:rFonts w:asciiTheme="minorBidi" w:hAnsiTheme="minorBidi" w:cstheme="minorBidi"/>
          <w:color w:val="000000" w:themeColor="text1"/>
        </w:rPr>
        <w:t xml:space="preserve">, 449–465. </w:t>
      </w:r>
      <w:hyperlink r:id="rId26" w:history="1">
        <w:r w:rsidRPr="008E4CAB">
          <w:rPr>
            <w:rStyle w:val="Hyperlink"/>
            <w:rFonts w:asciiTheme="minorBidi" w:hAnsiTheme="minorBidi" w:cstheme="minorBidi"/>
            <w:color w:val="000000" w:themeColor="text1"/>
          </w:rPr>
          <w:t>https://www.sciencedirect.com/science/article/pii/S2210422420300125</w:t>
        </w:r>
      </w:hyperlink>
    </w:p>
    <w:p w14:paraId="1DA3F71F"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Kazmi, B., </w:t>
      </w:r>
      <w:proofErr w:type="spellStart"/>
      <w:r w:rsidRPr="008E4CAB">
        <w:rPr>
          <w:rFonts w:asciiTheme="minorBidi" w:hAnsiTheme="minorBidi" w:cstheme="minorBidi"/>
          <w:color w:val="000000" w:themeColor="text1"/>
        </w:rPr>
        <w:t>Taqvi</w:t>
      </w:r>
      <w:proofErr w:type="spellEnd"/>
      <w:r w:rsidRPr="008E4CAB">
        <w:rPr>
          <w:rFonts w:asciiTheme="minorBidi" w:hAnsiTheme="minorBidi" w:cstheme="minorBidi"/>
          <w:color w:val="000000" w:themeColor="text1"/>
        </w:rPr>
        <w:t xml:space="preserve">, S. A. A., &amp; </w:t>
      </w:r>
      <w:proofErr w:type="spellStart"/>
      <w:r w:rsidRPr="008E4CAB">
        <w:rPr>
          <w:rFonts w:asciiTheme="minorBidi" w:hAnsiTheme="minorBidi" w:cstheme="minorBidi"/>
          <w:color w:val="000000" w:themeColor="text1"/>
        </w:rPr>
        <w:t>Juchelková</w:t>
      </w:r>
      <w:proofErr w:type="spellEnd"/>
      <w:r w:rsidRPr="008E4CAB">
        <w:rPr>
          <w:rFonts w:asciiTheme="minorBidi" w:hAnsiTheme="minorBidi" w:cstheme="minorBidi"/>
          <w:color w:val="000000" w:themeColor="text1"/>
        </w:rPr>
        <w:t xml:space="preserve">, D. (2023). State-of-the-art review on the steel decarbonization technologies based on process system engineering perspective. </w:t>
      </w:r>
      <w:r w:rsidRPr="008E4CAB">
        <w:rPr>
          <w:rStyle w:val="Emphasis"/>
          <w:rFonts w:asciiTheme="minorBidi" w:hAnsiTheme="minorBidi" w:cstheme="minorBidi"/>
          <w:b w:val="0"/>
          <w:bCs w:val="0"/>
          <w:color w:val="000000" w:themeColor="text1"/>
        </w:rPr>
        <w:t>Fuel, 347</w:t>
      </w:r>
      <w:r w:rsidRPr="008E4CAB">
        <w:rPr>
          <w:rFonts w:asciiTheme="minorBidi" w:hAnsiTheme="minorBidi" w:cstheme="minorBidi"/>
          <w:color w:val="000000" w:themeColor="text1"/>
        </w:rPr>
        <w:t xml:space="preserve">, Article 128459. </w:t>
      </w:r>
      <w:hyperlink r:id="rId27" w:history="1">
        <w:r w:rsidRPr="008E4CAB">
          <w:rPr>
            <w:rStyle w:val="Hyperlink"/>
            <w:rFonts w:asciiTheme="minorBidi" w:hAnsiTheme="minorBidi" w:cstheme="minorBidi"/>
            <w:color w:val="000000" w:themeColor="text1"/>
          </w:rPr>
          <w:t>https://www.sciencedirect.com/science/article/pii/S0016236123010724</w:t>
        </w:r>
      </w:hyperlink>
    </w:p>
    <w:p w14:paraId="364C2A4B"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Keramidas, K., Mima, S., &amp; </w:t>
      </w:r>
      <w:proofErr w:type="spellStart"/>
      <w:r w:rsidRPr="008E4CAB">
        <w:rPr>
          <w:rFonts w:asciiTheme="minorBidi" w:hAnsiTheme="minorBidi" w:cstheme="minorBidi"/>
          <w:color w:val="000000" w:themeColor="text1"/>
        </w:rPr>
        <w:t>Bidaud</w:t>
      </w:r>
      <w:proofErr w:type="spellEnd"/>
      <w:r w:rsidRPr="008E4CAB">
        <w:rPr>
          <w:rFonts w:asciiTheme="minorBidi" w:hAnsiTheme="minorBidi" w:cstheme="minorBidi"/>
          <w:color w:val="000000" w:themeColor="text1"/>
        </w:rPr>
        <w:t xml:space="preserve">, A. (2024). Opportunities and roadblocks in the </w:t>
      </w:r>
      <w:proofErr w:type="spellStart"/>
      <w:r w:rsidRPr="008E4CAB">
        <w:rPr>
          <w:rFonts w:asciiTheme="minorBidi" w:hAnsiTheme="minorBidi" w:cstheme="minorBidi"/>
          <w:color w:val="000000" w:themeColor="text1"/>
        </w:rPr>
        <w:t>decarbonisation</w:t>
      </w:r>
      <w:proofErr w:type="spellEnd"/>
      <w:r w:rsidRPr="008E4CAB">
        <w:rPr>
          <w:rFonts w:asciiTheme="minorBidi" w:hAnsiTheme="minorBidi" w:cstheme="minorBidi"/>
          <w:color w:val="000000" w:themeColor="text1"/>
        </w:rPr>
        <w:t xml:space="preserve"> of the global steel sector. </w:t>
      </w:r>
      <w:r w:rsidRPr="008E4CAB">
        <w:rPr>
          <w:rStyle w:val="Emphasis"/>
          <w:rFonts w:asciiTheme="minorBidi" w:hAnsiTheme="minorBidi" w:cstheme="minorBidi"/>
          <w:b w:val="0"/>
          <w:bCs w:val="0"/>
          <w:color w:val="000000" w:themeColor="text1"/>
        </w:rPr>
        <w:t>Energy and Climate Change, 5</w:t>
      </w:r>
      <w:r w:rsidRPr="008E4CAB">
        <w:rPr>
          <w:rFonts w:asciiTheme="minorBidi" w:hAnsiTheme="minorBidi" w:cstheme="minorBidi"/>
          <w:color w:val="000000" w:themeColor="text1"/>
        </w:rPr>
        <w:t xml:space="preserve">, Article 100121. </w:t>
      </w:r>
      <w:hyperlink r:id="rId28" w:history="1">
        <w:r w:rsidRPr="008E4CAB">
          <w:rPr>
            <w:rStyle w:val="Hyperlink"/>
            <w:rFonts w:asciiTheme="minorBidi" w:hAnsiTheme="minorBidi" w:cstheme="minorBidi"/>
            <w:color w:val="000000" w:themeColor="text1"/>
          </w:rPr>
          <w:t>https://www.sciencedirect.com/science/article/pii/S2666278723000284</w:t>
        </w:r>
      </w:hyperlink>
    </w:p>
    <w:p w14:paraId="22FF4FE9"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Kumari, R., Verma, R., </w:t>
      </w:r>
      <w:proofErr w:type="spellStart"/>
      <w:r w:rsidRPr="008E4CAB">
        <w:rPr>
          <w:rFonts w:asciiTheme="minorBidi" w:hAnsiTheme="minorBidi" w:cstheme="minorBidi"/>
          <w:color w:val="000000" w:themeColor="text1"/>
        </w:rPr>
        <w:t>Debata</w:t>
      </w:r>
      <w:proofErr w:type="spellEnd"/>
      <w:r w:rsidRPr="008E4CAB">
        <w:rPr>
          <w:rFonts w:asciiTheme="minorBidi" w:hAnsiTheme="minorBidi" w:cstheme="minorBidi"/>
          <w:color w:val="000000" w:themeColor="text1"/>
        </w:rPr>
        <w:t xml:space="preserve">, B. R., &amp; Ting, H. (2022). Enablers of green marketing: A comprehensive approach for sustainable development. </w:t>
      </w:r>
      <w:r w:rsidRPr="008E4CAB">
        <w:rPr>
          <w:rStyle w:val="Emphasis"/>
          <w:rFonts w:asciiTheme="minorBidi" w:hAnsiTheme="minorBidi" w:cstheme="minorBidi"/>
          <w:b w:val="0"/>
          <w:bCs w:val="0"/>
          <w:color w:val="000000" w:themeColor="text1"/>
        </w:rPr>
        <w:t>Journal of Cleaner Production, 366</w:t>
      </w:r>
      <w:r w:rsidRPr="008E4CAB">
        <w:rPr>
          <w:rFonts w:asciiTheme="minorBidi" w:hAnsiTheme="minorBidi" w:cstheme="minorBidi"/>
          <w:color w:val="000000" w:themeColor="text1"/>
        </w:rPr>
        <w:t xml:space="preserve">, Article 132852. </w:t>
      </w:r>
      <w:hyperlink r:id="rId29" w:history="1">
        <w:r w:rsidRPr="008E4CAB">
          <w:rPr>
            <w:rStyle w:val="Hyperlink"/>
            <w:rFonts w:asciiTheme="minorBidi" w:hAnsiTheme="minorBidi" w:cstheme="minorBidi"/>
            <w:color w:val="000000" w:themeColor="text1"/>
          </w:rPr>
          <w:t>https://www.sciencedirect.com/science/article/pii/S0959652622024465</w:t>
        </w:r>
      </w:hyperlink>
    </w:p>
    <w:p w14:paraId="37A9528B"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proofErr w:type="spellStart"/>
      <w:r w:rsidRPr="008E4CAB">
        <w:rPr>
          <w:rFonts w:asciiTheme="minorBidi" w:hAnsiTheme="minorBidi" w:cstheme="minorBidi"/>
          <w:color w:val="000000" w:themeColor="text1"/>
        </w:rPr>
        <w:t>Lloveras</w:t>
      </w:r>
      <w:proofErr w:type="spellEnd"/>
      <w:r w:rsidRPr="008E4CAB">
        <w:rPr>
          <w:rFonts w:asciiTheme="minorBidi" w:hAnsiTheme="minorBidi" w:cstheme="minorBidi"/>
          <w:color w:val="000000" w:themeColor="text1"/>
        </w:rPr>
        <w:t xml:space="preserve">, J., Marshall, A. P., Vandeventer, J. S., &amp; </w:t>
      </w:r>
      <w:proofErr w:type="spellStart"/>
      <w:r w:rsidRPr="008E4CAB">
        <w:rPr>
          <w:rFonts w:asciiTheme="minorBidi" w:hAnsiTheme="minorBidi" w:cstheme="minorBidi"/>
          <w:color w:val="000000" w:themeColor="text1"/>
        </w:rPr>
        <w:t>Pansera</w:t>
      </w:r>
      <w:proofErr w:type="spellEnd"/>
      <w:r w:rsidRPr="008E4CAB">
        <w:rPr>
          <w:rFonts w:asciiTheme="minorBidi" w:hAnsiTheme="minorBidi" w:cstheme="minorBidi"/>
          <w:color w:val="000000" w:themeColor="text1"/>
        </w:rPr>
        <w:t xml:space="preserve">, M. (2022). Sustainability marketing beyond sustainable development: Towards a degrowth agenda. </w:t>
      </w:r>
      <w:r w:rsidRPr="008E4CAB">
        <w:rPr>
          <w:rStyle w:val="Emphasis"/>
          <w:rFonts w:asciiTheme="minorBidi" w:hAnsiTheme="minorBidi" w:cstheme="minorBidi"/>
          <w:b w:val="0"/>
          <w:bCs w:val="0"/>
          <w:color w:val="000000" w:themeColor="text1"/>
        </w:rPr>
        <w:t>Journal of Marketing Management, 38</w:t>
      </w:r>
      <w:r w:rsidRPr="008E4CAB">
        <w:rPr>
          <w:rFonts w:asciiTheme="minorBidi" w:hAnsiTheme="minorBidi" w:cstheme="minorBidi"/>
          <w:color w:val="000000" w:themeColor="text1"/>
        </w:rPr>
        <w:t xml:space="preserve">(17–18), 2055–2077. </w:t>
      </w:r>
      <w:hyperlink r:id="rId30" w:history="1">
        <w:r w:rsidRPr="008E4CAB">
          <w:rPr>
            <w:rStyle w:val="Hyperlink"/>
            <w:rFonts w:asciiTheme="minorBidi" w:hAnsiTheme="minorBidi" w:cstheme="minorBidi"/>
            <w:color w:val="000000" w:themeColor="text1"/>
          </w:rPr>
          <w:t>https://www.tandfonline.com/doi/full/10.1080/0267257X.2022.2084443</w:t>
        </w:r>
      </w:hyperlink>
    </w:p>
    <w:p w14:paraId="75D08179"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proofErr w:type="spellStart"/>
      <w:r w:rsidRPr="008E4CAB">
        <w:rPr>
          <w:rFonts w:asciiTheme="minorBidi" w:hAnsiTheme="minorBidi" w:cstheme="minorBidi"/>
          <w:color w:val="000000" w:themeColor="text1"/>
        </w:rPr>
        <w:t>Mikalef</w:t>
      </w:r>
      <w:proofErr w:type="spellEnd"/>
      <w:r w:rsidRPr="008E4CAB">
        <w:rPr>
          <w:rFonts w:asciiTheme="minorBidi" w:hAnsiTheme="minorBidi" w:cstheme="minorBidi"/>
          <w:color w:val="000000" w:themeColor="text1"/>
        </w:rPr>
        <w:t xml:space="preserve">, P., &amp; Gupta, M. (2021). Artificial intelligence capability: Conceptualization, measurement calibration, and empirical study on its impact on organizational creativity and firm performance. </w:t>
      </w:r>
      <w:r w:rsidRPr="008E4CAB">
        <w:rPr>
          <w:rStyle w:val="Emphasis"/>
          <w:rFonts w:asciiTheme="minorBidi" w:hAnsiTheme="minorBidi" w:cstheme="minorBidi"/>
          <w:b w:val="0"/>
          <w:bCs w:val="0"/>
          <w:color w:val="000000" w:themeColor="text1"/>
        </w:rPr>
        <w:t>Information &amp; Management, 58</w:t>
      </w:r>
      <w:r w:rsidRPr="008E4CAB">
        <w:rPr>
          <w:rFonts w:asciiTheme="minorBidi" w:hAnsiTheme="minorBidi" w:cstheme="minorBidi"/>
          <w:color w:val="000000" w:themeColor="text1"/>
        </w:rPr>
        <w:t xml:space="preserve">(3), Article 103434. </w:t>
      </w:r>
      <w:hyperlink r:id="rId31" w:history="1">
        <w:r w:rsidRPr="008E4CAB">
          <w:rPr>
            <w:rStyle w:val="Hyperlink"/>
            <w:rFonts w:asciiTheme="minorBidi" w:hAnsiTheme="minorBidi" w:cstheme="minorBidi"/>
            <w:color w:val="000000" w:themeColor="text1"/>
          </w:rPr>
          <w:t>https://www.sciencedirect.com/science/article/pii/S0378720621000082</w:t>
        </w:r>
      </w:hyperlink>
    </w:p>
    <w:p w14:paraId="5B03FD23"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Neumann, F., Hampp, J., &amp; Brown, T. (2025). Green energy and steel imports. </w:t>
      </w:r>
      <w:r w:rsidRPr="008E4CAB">
        <w:rPr>
          <w:rStyle w:val="Emphasis"/>
          <w:rFonts w:asciiTheme="minorBidi" w:hAnsiTheme="minorBidi" w:cstheme="minorBidi"/>
          <w:b w:val="0"/>
          <w:bCs w:val="0"/>
          <w:color w:val="000000" w:themeColor="text1"/>
        </w:rPr>
        <w:t>Nature Communications, 16</w:t>
      </w:r>
      <w:r w:rsidRPr="008E4CAB">
        <w:rPr>
          <w:rFonts w:asciiTheme="minorBidi" w:hAnsiTheme="minorBidi" w:cstheme="minorBidi"/>
          <w:color w:val="000000" w:themeColor="text1"/>
        </w:rPr>
        <w:t xml:space="preserve">, Article 5302. </w:t>
      </w:r>
      <w:hyperlink r:id="rId32" w:history="1">
        <w:r w:rsidRPr="008E4CAB">
          <w:rPr>
            <w:rStyle w:val="Hyperlink"/>
            <w:rFonts w:asciiTheme="minorBidi" w:hAnsiTheme="minorBidi" w:cstheme="minorBidi"/>
            <w:color w:val="000000" w:themeColor="text1"/>
          </w:rPr>
          <w:t>https://www.nature.com/articles/s41467-025-60652-1</w:t>
        </w:r>
      </w:hyperlink>
    </w:p>
    <w:p w14:paraId="4312FD0F"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proofErr w:type="spellStart"/>
      <w:r w:rsidRPr="008E4CAB">
        <w:rPr>
          <w:rFonts w:asciiTheme="minorBidi" w:hAnsiTheme="minorBidi" w:cstheme="minorBidi"/>
          <w:color w:val="000000" w:themeColor="text1"/>
        </w:rPr>
        <w:t>Pizzetti</w:t>
      </w:r>
      <w:proofErr w:type="spellEnd"/>
      <w:r w:rsidRPr="008E4CAB">
        <w:rPr>
          <w:rFonts w:asciiTheme="minorBidi" w:hAnsiTheme="minorBidi" w:cstheme="minorBidi"/>
          <w:color w:val="000000" w:themeColor="text1"/>
        </w:rPr>
        <w:t xml:space="preserve">, M., Gatti, L., &amp; Seele, P. (2021). Firms talk, suppliers walk: Analyzing the locus of greenwashing in the blame game and introducing “vicarious greenwashing.” </w:t>
      </w:r>
      <w:r w:rsidRPr="008E4CAB">
        <w:rPr>
          <w:rStyle w:val="Emphasis"/>
          <w:rFonts w:asciiTheme="minorBidi" w:hAnsiTheme="minorBidi" w:cstheme="minorBidi"/>
          <w:b w:val="0"/>
          <w:bCs w:val="0"/>
          <w:color w:val="000000" w:themeColor="text1"/>
        </w:rPr>
        <w:t>Journal of Business Ethics, 170</w:t>
      </w:r>
      <w:r w:rsidRPr="008E4CAB">
        <w:rPr>
          <w:rFonts w:asciiTheme="minorBidi" w:hAnsiTheme="minorBidi" w:cstheme="minorBidi"/>
          <w:color w:val="000000" w:themeColor="text1"/>
        </w:rPr>
        <w:t xml:space="preserve">, 21–38. </w:t>
      </w:r>
      <w:hyperlink r:id="rId33" w:history="1">
        <w:r w:rsidRPr="008E4CAB">
          <w:rPr>
            <w:rStyle w:val="Hyperlink"/>
            <w:rFonts w:asciiTheme="minorBidi" w:hAnsiTheme="minorBidi" w:cstheme="minorBidi"/>
            <w:color w:val="000000" w:themeColor="text1"/>
          </w:rPr>
          <w:t>https://link.springer.com/article/10.1007/s10551-019-04406-2</w:t>
        </w:r>
      </w:hyperlink>
    </w:p>
    <w:p w14:paraId="4A82FE04"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Raisch, S., &amp; Krakowski, S. (2021). Artificial intelligence and management: The automation–augmentation paradox. </w:t>
      </w:r>
      <w:r w:rsidRPr="008E4CAB">
        <w:rPr>
          <w:rStyle w:val="Emphasis"/>
          <w:rFonts w:asciiTheme="minorBidi" w:hAnsiTheme="minorBidi" w:cstheme="minorBidi"/>
          <w:b w:val="0"/>
          <w:bCs w:val="0"/>
          <w:color w:val="000000" w:themeColor="text1"/>
        </w:rPr>
        <w:t>Academy of Management Review, 46</w:t>
      </w:r>
      <w:r w:rsidRPr="008E4CAB">
        <w:rPr>
          <w:rFonts w:asciiTheme="minorBidi" w:hAnsiTheme="minorBidi" w:cstheme="minorBidi"/>
          <w:color w:val="000000" w:themeColor="text1"/>
        </w:rPr>
        <w:t xml:space="preserve">(1), 192–210. </w:t>
      </w:r>
      <w:hyperlink r:id="rId34" w:history="1">
        <w:r w:rsidRPr="008E4CAB">
          <w:rPr>
            <w:rStyle w:val="Hyperlink"/>
            <w:rFonts w:asciiTheme="minorBidi" w:hAnsiTheme="minorBidi" w:cstheme="minorBidi"/>
            <w:color w:val="000000" w:themeColor="text1"/>
          </w:rPr>
          <w:t>https://journals.aom.org/doi/10.5465/amr.2018.0072</w:t>
        </w:r>
      </w:hyperlink>
    </w:p>
    <w:p w14:paraId="1E57C9EE"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Sinkovics, N., Gunaratne, D., Sinkovics, R. R., &amp; Molina-Castillo, F. J. (2021). Sustainable business model innovation: An umbrella review. </w:t>
      </w:r>
      <w:r w:rsidRPr="008E4CAB">
        <w:rPr>
          <w:rStyle w:val="Emphasis"/>
          <w:rFonts w:asciiTheme="minorBidi" w:hAnsiTheme="minorBidi" w:cstheme="minorBidi"/>
          <w:b w:val="0"/>
          <w:bCs w:val="0"/>
          <w:color w:val="000000" w:themeColor="text1"/>
        </w:rPr>
        <w:t>Sustainability, 13</w:t>
      </w:r>
      <w:r w:rsidRPr="008E4CAB">
        <w:rPr>
          <w:rFonts w:asciiTheme="minorBidi" w:hAnsiTheme="minorBidi" w:cstheme="minorBidi"/>
          <w:color w:val="000000" w:themeColor="text1"/>
        </w:rPr>
        <w:t xml:space="preserve">(13), Article 7266. </w:t>
      </w:r>
      <w:hyperlink r:id="rId35" w:history="1">
        <w:r w:rsidRPr="008E4CAB">
          <w:rPr>
            <w:rStyle w:val="Hyperlink"/>
            <w:rFonts w:asciiTheme="minorBidi" w:hAnsiTheme="minorBidi" w:cstheme="minorBidi"/>
            <w:color w:val="000000" w:themeColor="text1"/>
          </w:rPr>
          <w:t>https://www.mdpi.com/2071-1050/13/13/7266</w:t>
        </w:r>
      </w:hyperlink>
    </w:p>
    <w:p w14:paraId="28EA6736"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SSAB. (n.d.-a). </w:t>
      </w:r>
      <w:r w:rsidRPr="008E4CAB">
        <w:rPr>
          <w:rStyle w:val="Emphasis"/>
          <w:rFonts w:asciiTheme="minorBidi" w:hAnsiTheme="minorBidi" w:cstheme="minorBidi"/>
          <w:b w:val="0"/>
          <w:bCs w:val="0"/>
          <w:color w:val="000000" w:themeColor="text1"/>
        </w:rPr>
        <w:t>Environmental product declarations for SSAB Zero</w:t>
      </w:r>
      <w:r w:rsidRPr="008E4CAB">
        <w:rPr>
          <w:rFonts w:asciiTheme="minorBidi" w:hAnsiTheme="minorBidi" w:cstheme="minorBidi"/>
          <w:color w:val="000000" w:themeColor="text1"/>
        </w:rPr>
        <w:t xml:space="preserve">. </w:t>
      </w:r>
      <w:hyperlink r:id="rId36" w:history="1">
        <w:r w:rsidRPr="008E4CAB">
          <w:rPr>
            <w:rStyle w:val="Hyperlink"/>
            <w:rFonts w:asciiTheme="minorBidi" w:hAnsiTheme="minorBidi" w:cstheme="minorBidi"/>
            <w:color w:val="000000" w:themeColor="text1"/>
          </w:rPr>
          <w:t>https://chinafyorigin.ssab.com/en/fossil-free-steel/ssab-zero/epd</w:t>
        </w:r>
      </w:hyperlink>
    </w:p>
    <w:p w14:paraId="43863B7D"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SSAB. (n.d.-b). </w:t>
      </w:r>
      <w:r w:rsidRPr="008E4CAB">
        <w:rPr>
          <w:rStyle w:val="Emphasis"/>
          <w:rFonts w:asciiTheme="minorBidi" w:hAnsiTheme="minorBidi" w:cstheme="minorBidi"/>
          <w:b w:val="0"/>
          <w:bCs w:val="0"/>
          <w:color w:val="000000" w:themeColor="text1"/>
        </w:rPr>
        <w:t>SSAB Zero</w:t>
      </w:r>
      <w:r w:rsidRPr="008E4CAB">
        <w:rPr>
          <w:rFonts w:asciiTheme="minorBidi" w:hAnsiTheme="minorBidi" w:cstheme="minorBidi"/>
          <w:color w:val="000000" w:themeColor="text1"/>
        </w:rPr>
        <w:t xml:space="preserve">. </w:t>
      </w:r>
      <w:hyperlink r:id="rId37" w:history="1">
        <w:r w:rsidRPr="008E4CAB">
          <w:rPr>
            <w:rStyle w:val="Hyperlink"/>
            <w:rFonts w:asciiTheme="minorBidi" w:hAnsiTheme="minorBidi" w:cstheme="minorBidi"/>
            <w:color w:val="000000" w:themeColor="text1"/>
          </w:rPr>
          <w:t>https://www.ssab.com/en-us/fossil-free-steel/ssab-zero</w:t>
        </w:r>
      </w:hyperlink>
    </w:p>
    <w:p w14:paraId="0FA4FF15"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SSAB. (2025a, September 17). </w:t>
      </w:r>
      <w:r w:rsidRPr="008E4CAB">
        <w:rPr>
          <w:rStyle w:val="Emphasis"/>
          <w:rFonts w:asciiTheme="minorBidi" w:hAnsiTheme="minorBidi" w:cstheme="minorBidi"/>
          <w:b w:val="0"/>
          <w:bCs w:val="0"/>
          <w:color w:val="000000" w:themeColor="text1"/>
        </w:rPr>
        <w:t xml:space="preserve">The deputy prime minister and SSAB’s CEO broke ground on a new steel mill in </w:t>
      </w:r>
      <w:proofErr w:type="spellStart"/>
      <w:r w:rsidRPr="008E4CAB">
        <w:rPr>
          <w:rStyle w:val="Emphasis"/>
          <w:rFonts w:asciiTheme="minorBidi" w:hAnsiTheme="minorBidi" w:cstheme="minorBidi"/>
          <w:b w:val="0"/>
          <w:bCs w:val="0"/>
          <w:color w:val="000000" w:themeColor="text1"/>
        </w:rPr>
        <w:t>Luleå</w:t>
      </w:r>
      <w:proofErr w:type="spellEnd"/>
      <w:r w:rsidRPr="008E4CAB">
        <w:rPr>
          <w:rFonts w:asciiTheme="minorBidi" w:hAnsiTheme="minorBidi" w:cstheme="minorBidi"/>
          <w:color w:val="000000" w:themeColor="text1"/>
        </w:rPr>
        <w:t xml:space="preserve">. </w:t>
      </w:r>
      <w:hyperlink r:id="rId38" w:history="1">
        <w:r w:rsidRPr="008E4CAB">
          <w:rPr>
            <w:rStyle w:val="Hyperlink"/>
            <w:rFonts w:asciiTheme="minorBidi" w:hAnsiTheme="minorBidi" w:cstheme="minorBidi"/>
            <w:color w:val="000000" w:themeColor="text1"/>
          </w:rPr>
          <w:t>https://www.ssab.com/en/news/2025/09/the-deputy-prime-minister-and-ssabs-ceo-broke-ground-on-a-new-steel-mill-in-lule</w:t>
        </w:r>
      </w:hyperlink>
    </w:p>
    <w:p w14:paraId="47DA85D8"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SSAB. (2025b, June 19). </w:t>
      </w:r>
      <w:r w:rsidRPr="008E4CAB">
        <w:rPr>
          <w:rStyle w:val="Emphasis"/>
          <w:rFonts w:asciiTheme="minorBidi" w:hAnsiTheme="minorBidi" w:cstheme="minorBidi"/>
          <w:b w:val="0"/>
          <w:bCs w:val="0"/>
          <w:color w:val="000000" w:themeColor="text1"/>
        </w:rPr>
        <w:t xml:space="preserve">SSAB postpones commissioning of new steel mill in </w:t>
      </w:r>
      <w:proofErr w:type="spellStart"/>
      <w:r w:rsidRPr="008E4CAB">
        <w:rPr>
          <w:rStyle w:val="Emphasis"/>
          <w:rFonts w:asciiTheme="minorBidi" w:hAnsiTheme="minorBidi" w:cstheme="minorBidi"/>
          <w:b w:val="0"/>
          <w:bCs w:val="0"/>
          <w:color w:val="000000" w:themeColor="text1"/>
        </w:rPr>
        <w:t>Luleå</w:t>
      </w:r>
      <w:proofErr w:type="spellEnd"/>
      <w:r w:rsidRPr="008E4CAB">
        <w:rPr>
          <w:rStyle w:val="Emphasis"/>
          <w:rFonts w:asciiTheme="minorBidi" w:hAnsiTheme="minorBidi" w:cstheme="minorBidi"/>
          <w:b w:val="0"/>
          <w:bCs w:val="0"/>
          <w:color w:val="000000" w:themeColor="text1"/>
        </w:rPr>
        <w:t xml:space="preserve"> by 12 months</w:t>
      </w:r>
      <w:r w:rsidRPr="008E4CAB">
        <w:rPr>
          <w:rFonts w:asciiTheme="minorBidi" w:hAnsiTheme="minorBidi" w:cstheme="minorBidi"/>
          <w:color w:val="000000" w:themeColor="text1"/>
        </w:rPr>
        <w:t xml:space="preserve">. </w:t>
      </w:r>
      <w:hyperlink r:id="rId39" w:history="1">
        <w:r w:rsidRPr="008E4CAB">
          <w:rPr>
            <w:rStyle w:val="Hyperlink"/>
            <w:rFonts w:asciiTheme="minorBidi" w:hAnsiTheme="minorBidi" w:cstheme="minorBidi"/>
            <w:color w:val="000000" w:themeColor="text1"/>
          </w:rPr>
          <w:t>https://www.ssab.com/en/news/2025/06/ssab-postpones-commissioning-of-new-steel-mill-in-lule-by-12-months</w:t>
        </w:r>
      </w:hyperlink>
    </w:p>
    <w:p w14:paraId="254D98AC"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SSAB. (2026). </w:t>
      </w:r>
      <w:r w:rsidRPr="008E4CAB">
        <w:rPr>
          <w:rStyle w:val="Emphasis"/>
          <w:rFonts w:asciiTheme="minorBidi" w:hAnsiTheme="minorBidi" w:cstheme="minorBidi"/>
          <w:b w:val="0"/>
          <w:bCs w:val="0"/>
          <w:color w:val="000000" w:themeColor="text1"/>
        </w:rPr>
        <w:t>Annual report 2025</w:t>
      </w:r>
      <w:r w:rsidRPr="008E4CAB">
        <w:rPr>
          <w:rFonts w:asciiTheme="minorBidi" w:hAnsiTheme="minorBidi" w:cstheme="minorBidi"/>
          <w:color w:val="000000" w:themeColor="text1"/>
        </w:rPr>
        <w:t xml:space="preserve">. </w:t>
      </w:r>
      <w:hyperlink r:id="rId40" w:history="1">
        <w:r w:rsidRPr="008E4CAB">
          <w:rPr>
            <w:rStyle w:val="Hyperlink"/>
            <w:rFonts w:asciiTheme="minorBidi" w:hAnsiTheme="minorBidi" w:cstheme="minorBidi"/>
            <w:color w:val="000000" w:themeColor="text1"/>
          </w:rPr>
          <w:t>https://www.ssab.com/-/media/files/company/investors/annual-reports/2025/ssab-annual-report-2025.pdf</w:t>
        </w:r>
      </w:hyperlink>
    </w:p>
    <w:p w14:paraId="2CE6B2DC"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Testa, F., </w:t>
      </w:r>
      <w:proofErr w:type="spellStart"/>
      <w:r w:rsidRPr="008E4CAB">
        <w:rPr>
          <w:rFonts w:asciiTheme="minorBidi" w:hAnsiTheme="minorBidi" w:cstheme="minorBidi"/>
          <w:color w:val="000000" w:themeColor="text1"/>
        </w:rPr>
        <w:t>Pretner</w:t>
      </w:r>
      <w:proofErr w:type="spellEnd"/>
      <w:r w:rsidRPr="008E4CAB">
        <w:rPr>
          <w:rFonts w:asciiTheme="minorBidi" w:hAnsiTheme="minorBidi" w:cstheme="minorBidi"/>
          <w:color w:val="000000" w:themeColor="text1"/>
        </w:rPr>
        <w:t xml:space="preserve">, G., Iovino, R., Bianchi, G., Tessitore, S., &amp; </w:t>
      </w:r>
      <w:proofErr w:type="spellStart"/>
      <w:r w:rsidRPr="008E4CAB">
        <w:rPr>
          <w:rFonts w:asciiTheme="minorBidi" w:hAnsiTheme="minorBidi" w:cstheme="minorBidi"/>
          <w:color w:val="000000" w:themeColor="text1"/>
        </w:rPr>
        <w:t>Iraldo</w:t>
      </w:r>
      <w:proofErr w:type="spellEnd"/>
      <w:r w:rsidRPr="008E4CAB">
        <w:rPr>
          <w:rFonts w:asciiTheme="minorBidi" w:hAnsiTheme="minorBidi" w:cstheme="minorBidi"/>
          <w:color w:val="000000" w:themeColor="text1"/>
        </w:rPr>
        <w:t xml:space="preserve">, F. (2021). Drivers to green consumption: A systematic review. </w:t>
      </w:r>
      <w:r w:rsidRPr="008E4CAB">
        <w:rPr>
          <w:rStyle w:val="Emphasis"/>
          <w:rFonts w:asciiTheme="minorBidi" w:hAnsiTheme="minorBidi" w:cstheme="minorBidi"/>
          <w:b w:val="0"/>
          <w:bCs w:val="0"/>
          <w:color w:val="000000" w:themeColor="text1"/>
        </w:rPr>
        <w:t>Environment, Development and Sustainability, 23</w:t>
      </w:r>
      <w:r w:rsidRPr="008E4CAB">
        <w:rPr>
          <w:rFonts w:asciiTheme="minorBidi" w:hAnsiTheme="minorBidi" w:cstheme="minorBidi"/>
          <w:color w:val="000000" w:themeColor="text1"/>
        </w:rPr>
        <w:t xml:space="preserve">, 4826–4880. </w:t>
      </w:r>
      <w:hyperlink r:id="rId41" w:history="1">
        <w:r w:rsidRPr="008E4CAB">
          <w:rPr>
            <w:rStyle w:val="Hyperlink"/>
            <w:rFonts w:asciiTheme="minorBidi" w:hAnsiTheme="minorBidi" w:cstheme="minorBidi"/>
            <w:color w:val="000000" w:themeColor="text1"/>
          </w:rPr>
          <w:t>https://link.springer.com/article/10.1007/s10668-020-00844-5</w:t>
        </w:r>
      </w:hyperlink>
    </w:p>
    <w:p w14:paraId="29687A7D"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Vangeli, A., </w:t>
      </w:r>
      <w:proofErr w:type="spellStart"/>
      <w:r w:rsidRPr="008E4CAB">
        <w:rPr>
          <w:rFonts w:asciiTheme="minorBidi" w:hAnsiTheme="minorBidi" w:cstheme="minorBidi"/>
          <w:color w:val="000000" w:themeColor="text1"/>
        </w:rPr>
        <w:t>Małecka</w:t>
      </w:r>
      <w:proofErr w:type="spellEnd"/>
      <w:r w:rsidRPr="008E4CAB">
        <w:rPr>
          <w:rFonts w:asciiTheme="minorBidi" w:hAnsiTheme="minorBidi" w:cstheme="minorBidi"/>
          <w:color w:val="000000" w:themeColor="text1"/>
        </w:rPr>
        <w:t xml:space="preserve">, A., </w:t>
      </w:r>
      <w:proofErr w:type="spellStart"/>
      <w:r w:rsidRPr="008E4CAB">
        <w:rPr>
          <w:rFonts w:asciiTheme="minorBidi" w:hAnsiTheme="minorBidi" w:cstheme="minorBidi"/>
          <w:color w:val="000000" w:themeColor="text1"/>
        </w:rPr>
        <w:t>Mitręga</w:t>
      </w:r>
      <w:proofErr w:type="spellEnd"/>
      <w:r w:rsidRPr="008E4CAB">
        <w:rPr>
          <w:rFonts w:asciiTheme="minorBidi" w:hAnsiTheme="minorBidi" w:cstheme="minorBidi"/>
          <w:color w:val="000000" w:themeColor="text1"/>
        </w:rPr>
        <w:t xml:space="preserve">, M., &amp; </w:t>
      </w:r>
      <w:proofErr w:type="spellStart"/>
      <w:r w:rsidRPr="008E4CAB">
        <w:rPr>
          <w:rFonts w:asciiTheme="minorBidi" w:hAnsiTheme="minorBidi" w:cstheme="minorBidi"/>
          <w:color w:val="000000" w:themeColor="text1"/>
        </w:rPr>
        <w:t>Pfajfar</w:t>
      </w:r>
      <w:proofErr w:type="spellEnd"/>
      <w:r w:rsidRPr="008E4CAB">
        <w:rPr>
          <w:rFonts w:asciiTheme="minorBidi" w:hAnsiTheme="minorBidi" w:cstheme="minorBidi"/>
          <w:color w:val="000000" w:themeColor="text1"/>
        </w:rPr>
        <w:t xml:space="preserve">, G. (2023). From greenwashing to green B2B marketing: A systematic literature review. </w:t>
      </w:r>
      <w:r w:rsidRPr="008E4CAB">
        <w:rPr>
          <w:rStyle w:val="Emphasis"/>
          <w:rFonts w:asciiTheme="minorBidi" w:hAnsiTheme="minorBidi" w:cstheme="minorBidi"/>
          <w:b w:val="0"/>
          <w:bCs w:val="0"/>
          <w:color w:val="000000" w:themeColor="text1"/>
        </w:rPr>
        <w:t>Industrial Marketing Management, 115</w:t>
      </w:r>
      <w:r w:rsidRPr="008E4CAB">
        <w:rPr>
          <w:rFonts w:asciiTheme="minorBidi" w:hAnsiTheme="minorBidi" w:cstheme="minorBidi"/>
          <w:color w:val="000000" w:themeColor="text1"/>
        </w:rPr>
        <w:t xml:space="preserve">, 281–299. </w:t>
      </w:r>
      <w:hyperlink r:id="rId42" w:history="1">
        <w:r w:rsidRPr="008E4CAB">
          <w:rPr>
            <w:rStyle w:val="Hyperlink"/>
            <w:rFonts w:asciiTheme="minorBidi" w:hAnsiTheme="minorBidi" w:cstheme="minorBidi"/>
            <w:color w:val="000000" w:themeColor="text1"/>
          </w:rPr>
          <w:t>https://www.sciencedirect.com/science/article/pii/S001985012300192X</w:t>
        </w:r>
      </w:hyperlink>
    </w:p>
    <w:p w14:paraId="282FDBB6"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Wang, Y., Chen, C., Tao, Y., &amp; Wen, Z. (2025). Uneven renewable energy availability and the decarbonization of direct reduced iron production. </w:t>
      </w:r>
      <w:r w:rsidRPr="008E4CAB">
        <w:rPr>
          <w:rStyle w:val="Emphasis"/>
          <w:rFonts w:asciiTheme="minorBidi" w:hAnsiTheme="minorBidi" w:cstheme="minorBidi"/>
          <w:b w:val="0"/>
          <w:bCs w:val="0"/>
          <w:color w:val="000000" w:themeColor="text1"/>
        </w:rPr>
        <w:t>Nature Communications, 16</w:t>
      </w:r>
      <w:r w:rsidRPr="008E4CAB">
        <w:rPr>
          <w:rFonts w:asciiTheme="minorBidi" w:hAnsiTheme="minorBidi" w:cstheme="minorBidi"/>
          <w:color w:val="000000" w:themeColor="text1"/>
        </w:rPr>
        <w:t xml:space="preserve">, Article 4916. </w:t>
      </w:r>
      <w:hyperlink r:id="rId43" w:history="1">
        <w:r w:rsidRPr="008E4CAB">
          <w:rPr>
            <w:rStyle w:val="Hyperlink"/>
            <w:rFonts w:asciiTheme="minorBidi" w:hAnsiTheme="minorBidi" w:cstheme="minorBidi"/>
            <w:color w:val="000000" w:themeColor="text1"/>
          </w:rPr>
          <w:t>https://www.nature.com/articles/s41467-025-59730-1</w:t>
        </w:r>
      </w:hyperlink>
    </w:p>
    <w:p w14:paraId="4F0CA7D6"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Whittington, R., </w:t>
      </w:r>
      <w:proofErr w:type="spellStart"/>
      <w:r w:rsidRPr="008E4CAB">
        <w:rPr>
          <w:rFonts w:asciiTheme="minorBidi" w:hAnsiTheme="minorBidi" w:cstheme="minorBidi"/>
          <w:color w:val="000000" w:themeColor="text1"/>
        </w:rPr>
        <w:t>Regnér</w:t>
      </w:r>
      <w:proofErr w:type="spellEnd"/>
      <w:r w:rsidRPr="008E4CAB">
        <w:rPr>
          <w:rFonts w:asciiTheme="minorBidi" w:hAnsiTheme="minorBidi" w:cstheme="minorBidi"/>
          <w:color w:val="000000" w:themeColor="text1"/>
        </w:rPr>
        <w:t xml:space="preserve">, P., Angwin, D., Johnson, G., &amp; Scholes, K. (2023). </w:t>
      </w:r>
      <w:r w:rsidRPr="008E4CAB">
        <w:rPr>
          <w:rStyle w:val="Emphasis"/>
          <w:rFonts w:asciiTheme="minorBidi" w:hAnsiTheme="minorBidi" w:cstheme="minorBidi"/>
          <w:b w:val="0"/>
          <w:bCs w:val="0"/>
          <w:color w:val="000000" w:themeColor="text1"/>
        </w:rPr>
        <w:t>Exploring strategy</w:t>
      </w:r>
      <w:r w:rsidRPr="008E4CAB">
        <w:rPr>
          <w:rFonts w:asciiTheme="minorBidi" w:hAnsiTheme="minorBidi" w:cstheme="minorBidi"/>
          <w:color w:val="000000" w:themeColor="text1"/>
        </w:rPr>
        <w:t xml:space="preserve"> (13th ed.). Pearson. </w:t>
      </w:r>
      <w:hyperlink r:id="rId44" w:history="1">
        <w:r w:rsidRPr="008E4CAB">
          <w:rPr>
            <w:rStyle w:val="Hyperlink"/>
            <w:rFonts w:asciiTheme="minorBidi" w:hAnsiTheme="minorBidi" w:cstheme="minorBidi"/>
            <w:color w:val="000000" w:themeColor="text1"/>
          </w:rPr>
          <w:t>https://eu.pearson.com/exploring-strategy/9781292428819R365</w:t>
        </w:r>
      </w:hyperlink>
    </w:p>
    <w:p w14:paraId="338FAAF6" w14:textId="77777777" w:rsidR="0088095A" w:rsidRPr="008E4CAB" w:rsidRDefault="0088095A" w:rsidP="008E4CAB">
      <w:pPr>
        <w:pStyle w:val="NormalWeb"/>
        <w:spacing w:line="360" w:lineRule="auto"/>
        <w:ind w:left="720" w:hanging="720"/>
        <w:jc w:val="both"/>
        <w:rPr>
          <w:rFonts w:asciiTheme="minorBidi" w:hAnsiTheme="minorBidi" w:cstheme="minorBidi"/>
          <w:color w:val="000000" w:themeColor="text1"/>
        </w:rPr>
      </w:pPr>
      <w:r w:rsidRPr="008E4CAB">
        <w:rPr>
          <w:rFonts w:asciiTheme="minorBidi" w:hAnsiTheme="minorBidi" w:cstheme="minorBidi"/>
          <w:color w:val="000000" w:themeColor="text1"/>
        </w:rPr>
        <w:t xml:space="preserve">Wu, X., Meng, J., Liang, X., Sun, L., Coffman, D., </w:t>
      </w:r>
      <w:proofErr w:type="spellStart"/>
      <w:r w:rsidRPr="008E4CAB">
        <w:rPr>
          <w:rFonts w:asciiTheme="minorBidi" w:hAnsiTheme="minorBidi" w:cstheme="minorBidi"/>
          <w:color w:val="000000" w:themeColor="text1"/>
        </w:rPr>
        <w:t>Kontoleon</w:t>
      </w:r>
      <w:proofErr w:type="spellEnd"/>
      <w:r w:rsidRPr="008E4CAB">
        <w:rPr>
          <w:rFonts w:asciiTheme="minorBidi" w:hAnsiTheme="minorBidi" w:cstheme="minorBidi"/>
          <w:color w:val="000000" w:themeColor="text1"/>
        </w:rPr>
        <w:t xml:space="preserve">, A., &amp; Guan, D. (2025). Technological pathways for cost-effective steel decarbonization. </w:t>
      </w:r>
      <w:r w:rsidRPr="008E4CAB">
        <w:rPr>
          <w:rStyle w:val="Emphasis"/>
          <w:rFonts w:asciiTheme="minorBidi" w:hAnsiTheme="minorBidi" w:cstheme="minorBidi"/>
          <w:b w:val="0"/>
          <w:bCs w:val="0"/>
          <w:color w:val="000000" w:themeColor="text1"/>
        </w:rPr>
        <w:t>Nature, 647</w:t>
      </w:r>
      <w:r w:rsidRPr="008E4CAB">
        <w:rPr>
          <w:rFonts w:asciiTheme="minorBidi" w:hAnsiTheme="minorBidi" w:cstheme="minorBidi"/>
          <w:color w:val="000000" w:themeColor="text1"/>
        </w:rPr>
        <w:t xml:space="preserve">, 93–101. </w:t>
      </w:r>
      <w:hyperlink r:id="rId45" w:history="1">
        <w:r w:rsidRPr="008E4CAB">
          <w:rPr>
            <w:rStyle w:val="Hyperlink"/>
            <w:rFonts w:asciiTheme="minorBidi" w:hAnsiTheme="minorBidi" w:cstheme="minorBidi"/>
            <w:color w:val="000000" w:themeColor="text1"/>
          </w:rPr>
          <w:t>https://www.nature.com/articles/s41586-025-09658-9</w:t>
        </w:r>
      </w:hyperlink>
    </w:p>
    <w:p w14:paraId="3C9B077B" w14:textId="77777777" w:rsidR="0088095A" w:rsidRPr="008E4CAB" w:rsidRDefault="0088095A" w:rsidP="008E4CAB">
      <w:pPr>
        <w:spacing w:line="360" w:lineRule="auto"/>
        <w:ind w:firstLine="0"/>
        <w:jc w:val="both"/>
        <w:rPr>
          <w:rFonts w:asciiTheme="minorBidi" w:hAnsiTheme="minorBidi"/>
          <w:color w:val="000000" w:themeColor="text1"/>
          <w:sz w:val="24"/>
          <w:szCs w:val="24"/>
        </w:rPr>
      </w:pPr>
    </w:p>
    <w:sectPr w:rsidR="0088095A" w:rsidRPr="008E4CAB" w:rsidSect="00D873AA">
      <w:footerReference w:type="default" r:id="rId4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151AC" w14:textId="77777777" w:rsidR="00690D16" w:rsidRDefault="00690D16" w:rsidP="00D873AA">
      <w:r>
        <w:separator/>
      </w:r>
    </w:p>
  </w:endnote>
  <w:endnote w:type="continuationSeparator" w:id="0">
    <w:p w14:paraId="43605D48" w14:textId="77777777" w:rsidR="00690D16" w:rsidRDefault="00690D16" w:rsidP="00D8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8E212" w14:textId="55E4D278" w:rsidR="00D873AA" w:rsidRDefault="004C6830">
    <w:pPr>
      <w:pStyle w:val="Footer"/>
    </w:pPr>
    <w:r>
      <w:rPr>
        <w:noProof/>
        <w:color w:val="808080" w:themeColor="background1" w:themeShade="80"/>
        <w:lang w:eastAsia="zh-CN"/>
      </w:rPr>
      <mc:AlternateContent>
        <mc:Choice Requires="wpg">
          <w:drawing>
            <wp:anchor distT="0" distB="0" distL="0" distR="0" simplePos="0" relativeHeight="251658241" behindDoc="0" locked="0" layoutInCell="1" allowOverlap="1" wp14:anchorId="466B18FD" wp14:editId="15AA821F">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12"/>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DD183F" w14:textId="0AC64797" w:rsidR="004C6830" w:rsidRDefault="004C6830">
                            <w:pPr>
                              <w:jc w:val="right"/>
                              <w:rPr>
                                <w:color w:val="7F7F7F" w:themeColor="text1" w:themeTint="80"/>
                              </w:rPr>
                            </w:pPr>
                          </w:p>
                          <w:p w14:paraId="27F82472" w14:textId="77777777" w:rsidR="004C6830" w:rsidRDefault="004C6830">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66B18FD" id="Group 12" o:spid="_x0000_s1026" style="position:absolute;left:0;text-align:left;margin-left:416.8pt;margin-top:0;width:468pt;height:25.2pt;z-index:251658241;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">
              <v:rect id="Rectangle 38" o:spid="_x0000_s1027" style="position:absolute;left:190;width:59436;height:18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&#13;&#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" filled="f" stroked="f" strokeweight=".5pt">
                <v:textbox inset=",,,0">
                  <w:txbxContent>
                    <w:p w14:paraId="67DD183F" w14:textId="0AC64797" w:rsidR="004C6830" w:rsidRDefault="004C6830">
                      <w:pPr>
                        <w:jc w:val="right"/>
                        <w:rPr>
                          <w:color w:val="7F7F7F" w:themeColor="text1" w:themeTint="80"/>
                        </w:rPr>
                      </w:pPr>
                    </w:p>
                    <w:p w14:paraId="27F82472" w14:textId="77777777" w:rsidR="004C6830" w:rsidRDefault="004C6830">
                      <w:pPr>
                        <w:jc w:val="right"/>
                        <w:rPr>
                          <w:color w:val="808080" w:themeColor="background1" w:themeShade="80"/>
                        </w:rPr>
                      </w:pPr>
                    </w:p>
                  </w:txbxContent>
                </v:textbox>
              </v:shape>
              <w10:wrap type="square" anchorx="margin" anchory="margin"/>
            </v:group>
          </w:pict>
        </mc:Fallback>
      </mc:AlternateContent>
    </w:r>
    <w:r>
      <w:rPr>
        <w:noProof/>
        <w:lang w:eastAsia="zh-CN"/>
      </w:rPr>
      <mc:AlternateContent>
        <mc:Choice Requires="wps">
          <w:drawing>
            <wp:anchor distT="0" distB="0" distL="0" distR="0" simplePos="0" relativeHeight="251658240" behindDoc="0" locked="0" layoutInCell="1" allowOverlap="1" wp14:anchorId="494E9B6E" wp14:editId="67AD9F54">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14"/>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1E25B6" w14:textId="77777777" w:rsidR="004C6830" w:rsidRDefault="004C683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4E9B6E" id="Rectangle 14" o:spid="_x0000_s1029" style="position:absolute;left:0;text-align:left;margin-left:0;margin-top:0;width:36pt;height:25.2pt;z-index:25165824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" fillcolor="black [3213]" stroked="f" strokeweight="3pt">
              <v:textbox>
                <w:txbxContent>
                  <w:p w14:paraId="541E25B6" w14:textId="77777777" w:rsidR="004C6830" w:rsidRDefault="004C6830">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D6DFC" w14:textId="77777777" w:rsidR="00690D16" w:rsidRDefault="00690D16" w:rsidP="00D873AA">
      <w:r>
        <w:separator/>
      </w:r>
    </w:p>
  </w:footnote>
  <w:footnote w:type="continuationSeparator" w:id="0">
    <w:p w14:paraId="0B103B3D" w14:textId="77777777" w:rsidR="00690D16" w:rsidRDefault="00690D16" w:rsidP="00D873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72D2E"/>
    <w:multiLevelType w:val="multilevel"/>
    <w:tmpl w:val="08DC1C7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8DE3CA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12694326">
    <w:abstractNumId w:val="0"/>
  </w:num>
  <w:num w:numId="2" w16cid:durableId="679704100">
    <w:abstractNumId w:val="0"/>
  </w:num>
  <w:num w:numId="3" w16cid:durableId="1933775994">
    <w:abstractNumId w:val="0"/>
  </w:num>
  <w:num w:numId="4" w16cid:durableId="915212208">
    <w:abstractNumId w:val="0"/>
  </w:num>
  <w:num w:numId="5" w16cid:durableId="284972919">
    <w:abstractNumId w:val="0"/>
  </w:num>
  <w:num w:numId="6" w16cid:durableId="1384865293">
    <w:abstractNumId w:val="0"/>
  </w:num>
  <w:num w:numId="7" w16cid:durableId="1676224678">
    <w:abstractNumId w:val="0"/>
  </w:num>
  <w:num w:numId="8" w16cid:durableId="1530484186">
    <w:abstractNumId w:val="0"/>
  </w:num>
  <w:num w:numId="9" w16cid:durableId="1872570155">
    <w:abstractNumId w:val="0"/>
  </w:num>
  <w:num w:numId="10" w16cid:durableId="1552112984">
    <w:abstractNumId w:val="0"/>
  </w:num>
  <w:num w:numId="11" w16cid:durableId="1468163324">
    <w:abstractNumId w:val="0"/>
  </w:num>
  <w:num w:numId="12" w16cid:durableId="1532916847">
    <w:abstractNumId w:val="0"/>
  </w:num>
  <w:num w:numId="13" w16cid:durableId="1584292917">
    <w:abstractNumId w:val="0"/>
  </w:num>
  <w:num w:numId="14" w16cid:durableId="155847404">
    <w:abstractNumId w:val="0"/>
  </w:num>
  <w:num w:numId="15" w16cid:durableId="1362323155">
    <w:abstractNumId w:val="0"/>
  </w:num>
  <w:num w:numId="16" w16cid:durableId="2072148079">
    <w:abstractNumId w:val="0"/>
  </w:num>
  <w:num w:numId="17" w16cid:durableId="947812897">
    <w:abstractNumId w:val="0"/>
  </w:num>
  <w:num w:numId="18" w16cid:durableId="737631428">
    <w:abstractNumId w:val="0"/>
  </w:num>
  <w:num w:numId="19" w16cid:durableId="1461146995">
    <w:abstractNumId w:val="0"/>
  </w:num>
  <w:num w:numId="20" w16cid:durableId="871114357">
    <w:abstractNumId w:val="0"/>
  </w:num>
  <w:num w:numId="21" w16cid:durableId="1091507205">
    <w:abstractNumId w:val="1"/>
  </w:num>
  <w:num w:numId="22" w16cid:durableId="2106070478">
    <w:abstractNumId w:val="1"/>
  </w:num>
  <w:num w:numId="23" w16cid:durableId="855538697">
    <w:abstractNumId w:val="1"/>
  </w:num>
  <w:num w:numId="24" w16cid:durableId="651493432">
    <w:abstractNumId w:val="1"/>
  </w:num>
  <w:num w:numId="25" w16cid:durableId="25374986">
    <w:abstractNumId w:val="1"/>
  </w:num>
  <w:num w:numId="26" w16cid:durableId="361446507">
    <w:abstractNumId w:val="1"/>
  </w:num>
  <w:num w:numId="27" w16cid:durableId="267544027">
    <w:abstractNumId w:val="1"/>
  </w:num>
  <w:num w:numId="28" w16cid:durableId="1547831500">
    <w:abstractNumId w:val="1"/>
  </w:num>
  <w:num w:numId="29" w16cid:durableId="442269557">
    <w:abstractNumId w:val="1"/>
  </w:num>
  <w:num w:numId="30" w16cid:durableId="62073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7D0"/>
    <w:rsid w:val="00007E8B"/>
    <w:rsid w:val="000859CB"/>
    <w:rsid w:val="001338C8"/>
    <w:rsid w:val="001A153C"/>
    <w:rsid w:val="001C4BB7"/>
    <w:rsid w:val="001D58E7"/>
    <w:rsid w:val="00251620"/>
    <w:rsid w:val="00292F3B"/>
    <w:rsid w:val="002A2687"/>
    <w:rsid w:val="002B5585"/>
    <w:rsid w:val="003016E1"/>
    <w:rsid w:val="00324258"/>
    <w:rsid w:val="00361F5E"/>
    <w:rsid w:val="00462AD0"/>
    <w:rsid w:val="00465E6C"/>
    <w:rsid w:val="0048713C"/>
    <w:rsid w:val="00494181"/>
    <w:rsid w:val="004A2E03"/>
    <w:rsid w:val="004C6830"/>
    <w:rsid w:val="005067D0"/>
    <w:rsid w:val="005641FE"/>
    <w:rsid w:val="00571DAF"/>
    <w:rsid w:val="00577B07"/>
    <w:rsid w:val="005E6C83"/>
    <w:rsid w:val="00672971"/>
    <w:rsid w:val="006810D5"/>
    <w:rsid w:val="00681CDB"/>
    <w:rsid w:val="00682BC7"/>
    <w:rsid w:val="00690D16"/>
    <w:rsid w:val="00691A1A"/>
    <w:rsid w:val="006B3300"/>
    <w:rsid w:val="006C1159"/>
    <w:rsid w:val="006C5570"/>
    <w:rsid w:val="006F28A9"/>
    <w:rsid w:val="00710A87"/>
    <w:rsid w:val="007D65BD"/>
    <w:rsid w:val="00822527"/>
    <w:rsid w:val="008246D6"/>
    <w:rsid w:val="00830094"/>
    <w:rsid w:val="00834455"/>
    <w:rsid w:val="008626F1"/>
    <w:rsid w:val="008662F6"/>
    <w:rsid w:val="0088095A"/>
    <w:rsid w:val="008A6DE9"/>
    <w:rsid w:val="008B5433"/>
    <w:rsid w:val="008E4CAB"/>
    <w:rsid w:val="00900A29"/>
    <w:rsid w:val="00903294"/>
    <w:rsid w:val="009543AB"/>
    <w:rsid w:val="00957BFE"/>
    <w:rsid w:val="00A14C7D"/>
    <w:rsid w:val="00A39691"/>
    <w:rsid w:val="00B343D7"/>
    <w:rsid w:val="00BB6E6C"/>
    <w:rsid w:val="00BD53C7"/>
    <w:rsid w:val="00C0412F"/>
    <w:rsid w:val="00CA2406"/>
    <w:rsid w:val="00CA4710"/>
    <w:rsid w:val="00CC71E7"/>
    <w:rsid w:val="00CC7794"/>
    <w:rsid w:val="00CE6353"/>
    <w:rsid w:val="00CF490E"/>
    <w:rsid w:val="00D110E1"/>
    <w:rsid w:val="00D873AA"/>
    <w:rsid w:val="00D93ECD"/>
    <w:rsid w:val="00DB18AD"/>
    <w:rsid w:val="00DC3F01"/>
    <w:rsid w:val="00E16879"/>
    <w:rsid w:val="00EA2310"/>
    <w:rsid w:val="00EC1BF5"/>
    <w:rsid w:val="00ED0F1C"/>
    <w:rsid w:val="00EE1786"/>
    <w:rsid w:val="00EF750F"/>
    <w:rsid w:val="00F0108D"/>
    <w:rsid w:val="00F47258"/>
    <w:rsid w:val="00F87EB0"/>
    <w:rsid w:val="00FD28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B6A05"/>
  <w15:chartTrackingRefBased/>
  <w15:docId w15:val="{A1538820-6DCF-0E47-8F4C-1C4F590FF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40" w:line="48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830"/>
  </w:style>
  <w:style w:type="paragraph" w:styleId="Heading1">
    <w:name w:val="heading 1"/>
    <w:basedOn w:val="Normal"/>
    <w:next w:val="Normal"/>
    <w:link w:val="Heading1Char"/>
    <w:uiPriority w:val="9"/>
    <w:qFormat/>
    <w:rsid w:val="004C6830"/>
    <w:pPr>
      <w:numPr>
        <w:numId w:val="30"/>
      </w:numPr>
      <w:spacing w:before="600" w:after="0" w:line="360" w:lineRule="auto"/>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4C6830"/>
    <w:pPr>
      <w:numPr>
        <w:ilvl w:val="1"/>
        <w:numId w:val="30"/>
      </w:numPr>
      <w:spacing w:before="320" w:after="0" w:line="360" w:lineRule="auto"/>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4C6830"/>
    <w:pPr>
      <w:numPr>
        <w:ilvl w:val="2"/>
        <w:numId w:val="30"/>
      </w:numPr>
      <w:spacing w:before="320" w:after="0" w:line="360" w:lineRule="auto"/>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4C6830"/>
    <w:pPr>
      <w:numPr>
        <w:ilvl w:val="3"/>
        <w:numId w:val="30"/>
      </w:numPr>
      <w:spacing w:before="280" w:after="0" w:line="360" w:lineRule="auto"/>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4C6830"/>
    <w:pPr>
      <w:numPr>
        <w:ilvl w:val="4"/>
        <w:numId w:val="30"/>
      </w:numPr>
      <w:spacing w:before="280" w:after="0" w:line="360" w:lineRule="auto"/>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4C6830"/>
    <w:pPr>
      <w:numPr>
        <w:ilvl w:val="5"/>
        <w:numId w:val="30"/>
      </w:numPr>
      <w:spacing w:before="280" w:after="80" w:line="360" w:lineRule="auto"/>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4C6830"/>
    <w:pPr>
      <w:numPr>
        <w:ilvl w:val="6"/>
        <w:numId w:val="30"/>
      </w:numPr>
      <w:spacing w:before="280" w:after="0" w:line="360" w:lineRule="auto"/>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4C6830"/>
    <w:pPr>
      <w:numPr>
        <w:ilvl w:val="7"/>
        <w:numId w:val="30"/>
      </w:numPr>
      <w:spacing w:before="280" w:after="0" w:line="360" w:lineRule="auto"/>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4C6830"/>
    <w:pPr>
      <w:numPr>
        <w:ilvl w:val="8"/>
        <w:numId w:val="30"/>
      </w:numPr>
      <w:spacing w:before="280" w:after="0" w:line="360" w:lineRule="auto"/>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830"/>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4C683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4C6830"/>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4C6830"/>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4C6830"/>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4C6830"/>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4C6830"/>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4C6830"/>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4C6830"/>
    <w:rPr>
      <w:rFonts w:asciiTheme="majorHAnsi" w:eastAsiaTheme="majorEastAsia" w:hAnsiTheme="majorHAnsi" w:cstheme="majorBidi"/>
      <w:i/>
      <w:iCs/>
      <w:sz w:val="18"/>
      <w:szCs w:val="18"/>
    </w:rPr>
  </w:style>
  <w:style w:type="paragraph" w:styleId="Title">
    <w:name w:val="Title"/>
    <w:basedOn w:val="Normal"/>
    <w:next w:val="Normal"/>
    <w:link w:val="TitleChar"/>
    <w:uiPriority w:val="10"/>
    <w:qFormat/>
    <w:rsid w:val="004C6830"/>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4C6830"/>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4C6830"/>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4C6830"/>
    <w:rPr>
      <w:i/>
      <w:iCs/>
      <w:color w:val="808080" w:themeColor="text1" w:themeTint="7F"/>
      <w:spacing w:val="10"/>
      <w:sz w:val="24"/>
      <w:szCs w:val="24"/>
    </w:rPr>
  </w:style>
  <w:style w:type="paragraph" w:styleId="Quote">
    <w:name w:val="Quote"/>
    <w:basedOn w:val="Normal"/>
    <w:next w:val="Normal"/>
    <w:link w:val="QuoteChar"/>
    <w:uiPriority w:val="29"/>
    <w:qFormat/>
    <w:rsid w:val="004C6830"/>
    <w:rPr>
      <w:color w:val="5A5A5A" w:themeColor="text1" w:themeTint="A5"/>
    </w:rPr>
  </w:style>
  <w:style w:type="character" w:customStyle="1" w:styleId="QuoteChar">
    <w:name w:val="Quote Char"/>
    <w:basedOn w:val="DefaultParagraphFont"/>
    <w:link w:val="Quote"/>
    <w:uiPriority w:val="29"/>
    <w:rsid w:val="004C6830"/>
    <w:rPr>
      <w:color w:val="5A5A5A" w:themeColor="text1" w:themeTint="A5"/>
    </w:rPr>
  </w:style>
  <w:style w:type="paragraph" w:styleId="ListParagraph">
    <w:name w:val="List Paragraph"/>
    <w:basedOn w:val="Normal"/>
    <w:uiPriority w:val="34"/>
    <w:qFormat/>
    <w:rsid w:val="004C6830"/>
    <w:pPr>
      <w:ind w:left="720"/>
      <w:contextualSpacing/>
    </w:pPr>
  </w:style>
  <w:style w:type="character" w:styleId="IntenseEmphasis">
    <w:name w:val="Intense Emphasis"/>
    <w:uiPriority w:val="21"/>
    <w:qFormat/>
    <w:rsid w:val="004C6830"/>
    <w:rPr>
      <w:b/>
      <w:bCs/>
      <w:i/>
      <w:iCs/>
      <w:color w:val="auto"/>
      <w:u w:val="single"/>
    </w:rPr>
  </w:style>
  <w:style w:type="paragraph" w:styleId="IntenseQuote">
    <w:name w:val="Intense Quote"/>
    <w:basedOn w:val="Normal"/>
    <w:next w:val="Normal"/>
    <w:link w:val="IntenseQuoteChar"/>
    <w:uiPriority w:val="30"/>
    <w:qFormat/>
    <w:rsid w:val="004C6830"/>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4C6830"/>
    <w:rPr>
      <w:rFonts w:asciiTheme="majorHAnsi" w:eastAsiaTheme="majorEastAsia" w:hAnsiTheme="majorHAnsi" w:cstheme="majorBidi"/>
      <w:i/>
      <w:iCs/>
      <w:sz w:val="20"/>
      <w:szCs w:val="20"/>
    </w:rPr>
  </w:style>
  <w:style w:type="character" w:styleId="IntenseReference">
    <w:name w:val="Intense Reference"/>
    <w:uiPriority w:val="32"/>
    <w:qFormat/>
    <w:rsid w:val="004C6830"/>
    <w:rPr>
      <w:b/>
      <w:bCs/>
      <w:smallCaps/>
      <w:color w:val="auto"/>
    </w:rPr>
  </w:style>
  <w:style w:type="paragraph" w:styleId="Caption">
    <w:name w:val="caption"/>
    <w:basedOn w:val="Normal"/>
    <w:next w:val="Normal"/>
    <w:uiPriority w:val="35"/>
    <w:semiHidden/>
    <w:unhideWhenUsed/>
    <w:qFormat/>
    <w:rsid w:val="004C6830"/>
    <w:rPr>
      <w:b/>
      <w:bCs/>
      <w:sz w:val="18"/>
      <w:szCs w:val="18"/>
    </w:rPr>
  </w:style>
  <w:style w:type="character" w:styleId="Strong">
    <w:name w:val="Strong"/>
    <w:basedOn w:val="DefaultParagraphFont"/>
    <w:uiPriority w:val="22"/>
    <w:qFormat/>
    <w:rsid w:val="004C6830"/>
    <w:rPr>
      <w:b/>
      <w:bCs/>
      <w:spacing w:val="0"/>
    </w:rPr>
  </w:style>
  <w:style w:type="character" w:styleId="Emphasis">
    <w:name w:val="Emphasis"/>
    <w:uiPriority w:val="20"/>
    <w:qFormat/>
    <w:rsid w:val="004C6830"/>
    <w:rPr>
      <w:b/>
      <w:bCs/>
      <w:i/>
      <w:iCs/>
      <w:color w:val="auto"/>
    </w:rPr>
  </w:style>
  <w:style w:type="paragraph" w:styleId="NoSpacing">
    <w:name w:val="No Spacing"/>
    <w:basedOn w:val="Normal"/>
    <w:link w:val="NoSpacingChar"/>
    <w:uiPriority w:val="1"/>
    <w:qFormat/>
    <w:rsid w:val="004C6830"/>
    <w:pPr>
      <w:spacing w:after="0" w:line="240" w:lineRule="auto"/>
      <w:ind w:firstLine="0"/>
    </w:pPr>
  </w:style>
  <w:style w:type="character" w:customStyle="1" w:styleId="NoSpacingChar">
    <w:name w:val="No Spacing Char"/>
    <w:basedOn w:val="DefaultParagraphFont"/>
    <w:link w:val="NoSpacing"/>
    <w:uiPriority w:val="1"/>
    <w:rsid w:val="005641FE"/>
  </w:style>
  <w:style w:type="character" w:styleId="SubtleEmphasis">
    <w:name w:val="Subtle Emphasis"/>
    <w:uiPriority w:val="19"/>
    <w:qFormat/>
    <w:rsid w:val="004C6830"/>
    <w:rPr>
      <w:i/>
      <w:iCs/>
      <w:color w:val="5A5A5A" w:themeColor="text1" w:themeTint="A5"/>
    </w:rPr>
  </w:style>
  <w:style w:type="character" w:styleId="SubtleReference">
    <w:name w:val="Subtle Reference"/>
    <w:uiPriority w:val="31"/>
    <w:qFormat/>
    <w:rsid w:val="004C6830"/>
    <w:rPr>
      <w:smallCaps/>
    </w:rPr>
  </w:style>
  <w:style w:type="character" w:styleId="BookTitle">
    <w:name w:val="Book Title"/>
    <w:uiPriority w:val="33"/>
    <w:qFormat/>
    <w:rsid w:val="004C6830"/>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unhideWhenUsed/>
    <w:qFormat/>
    <w:rsid w:val="004C6830"/>
    <w:pPr>
      <w:outlineLvl w:val="9"/>
    </w:pPr>
  </w:style>
  <w:style w:type="paragraph" w:styleId="Header">
    <w:name w:val="header"/>
    <w:basedOn w:val="Normal"/>
    <w:link w:val="HeaderChar"/>
    <w:uiPriority w:val="99"/>
    <w:unhideWhenUsed/>
    <w:rsid w:val="00D873AA"/>
    <w:pPr>
      <w:tabs>
        <w:tab w:val="center" w:pos="4513"/>
        <w:tab w:val="right" w:pos="9026"/>
      </w:tabs>
    </w:pPr>
  </w:style>
  <w:style w:type="character" w:customStyle="1" w:styleId="HeaderChar">
    <w:name w:val="Header Char"/>
    <w:basedOn w:val="DefaultParagraphFont"/>
    <w:link w:val="Header"/>
    <w:uiPriority w:val="99"/>
    <w:rsid w:val="00D873AA"/>
  </w:style>
  <w:style w:type="paragraph" w:styleId="Footer">
    <w:name w:val="footer"/>
    <w:basedOn w:val="Normal"/>
    <w:link w:val="FooterChar"/>
    <w:uiPriority w:val="99"/>
    <w:unhideWhenUsed/>
    <w:rsid w:val="00D873AA"/>
    <w:pPr>
      <w:tabs>
        <w:tab w:val="center" w:pos="4513"/>
        <w:tab w:val="right" w:pos="9026"/>
      </w:tabs>
    </w:pPr>
  </w:style>
  <w:style w:type="character" w:customStyle="1" w:styleId="FooterChar">
    <w:name w:val="Footer Char"/>
    <w:basedOn w:val="DefaultParagraphFont"/>
    <w:link w:val="Footer"/>
    <w:uiPriority w:val="99"/>
    <w:rsid w:val="00D873AA"/>
  </w:style>
  <w:style w:type="paragraph" w:styleId="NormalWeb">
    <w:name w:val="Normal (Web)"/>
    <w:basedOn w:val="Normal"/>
    <w:uiPriority w:val="99"/>
    <w:unhideWhenUsed/>
    <w:rsid w:val="00D873AA"/>
    <w:pPr>
      <w:spacing w:before="100" w:beforeAutospacing="1" w:after="100" w:afterAutospacing="1"/>
      <w:ind w:firstLine="0"/>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873AA"/>
    <w:rPr>
      <w:color w:val="0000FF"/>
      <w:u w:val="single"/>
    </w:rPr>
  </w:style>
  <w:style w:type="table" w:styleId="ListTable3-Accent4">
    <w:name w:val="List Table 3 Accent 4"/>
    <w:basedOn w:val="TableNormal"/>
    <w:uiPriority w:val="48"/>
    <w:rsid w:val="00710A87"/>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3">
    <w:name w:val="List Table 3 Accent 3"/>
    <w:basedOn w:val="TableNormal"/>
    <w:uiPriority w:val="48"/>
    <w:rsid w:val="00710A87"/>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2">
    <w:name w:val="List Table 3 Accent 2"/>
    <w:basedOn w:val="TableNormal"/>
    <w:uiPriority w:val="48"/>
    <w:rsid w:val="00710A87"/>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5">
    <w:name w:val="List Table 3 Accent 5"/>
    <w:basedOn w:val="TableNormal"/>
    <w:uiPriority w:val="48"/>
    <w:rsid w:val="00710A87"/>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1">
    <w:name w:val="List Table 3 Accent 1"/>
    <w:basedOn w:val="TableNormal"/>
    <w:uiPriority w:val="48"/>
    <w:rsid w:val="00681CDB"/>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OC1">
    <w:name w:val="toc 1"/>
    <w:basedOn w:val="Normal"/>
    <w:next w:val="Normal"/>
    <w:autoRedefine/>
    <w:uiPriority w:val="39"/>
    <w:unhideWhenUsed/>
    <w:rsid w:val="001D58E7"/>
    <w:pPr>
      <w:spacing w:before="120" w:after="0"/>
    </w:pPr>
    <w:rPr>
      <w:rFonts w:cstheme="minorHAnsi"/>
      <w:b/>
      <w:bCs/>
      <w:i/>
      <w:iCs/>
      <w:sz w:val="24"/>
      <w:szCs w:val="28"/>
    </w:rPr>
  </w:style>
  <w:style w:type="paragraph" w:styleId="TOC2">
    <w:name w:val="toc 2"/>
    <w:basedOn w:val="Normal"/>
    <w:next w:val="Normal"/>
    <w:autoRedefine/>
    <w:uiPriority w:val="39"/>
    <w:unhideWhenUsed/>
    <w:rsid w:val="001D58E7"/>
    <w:pPr>
      <w:spacing w:before="120" w:after="0"/>
      <w:ind w:left="220"/>
    </w:pPr>
    <w:rPr>
      <w:rFonts w:cstheme="minorHAnsi"/>
      <w:b/>
      <w:bCs/>
      <w:szCs w:val="26"/>
    </w:rPr>
  </w:style>
  <w:style w:type="paragraph" w:styleId="TOC3">
    <w:name w:val="toc 3"/>
    <w:basedOn w:val="Normal"/>
    <w:next w:val="Normal"/>
    <w:autoRedefine/>
    <w:uiPriority w:val="39"/>
    <w:unhideWhenUsed/>
    <w:rsid w:val="001D58E7"/>
    <w:pPr>
      <w:spacing w:after="0"/>
      <w:ind w:left="440"/>
    </w:pPr>
    <w:rPr>
      <w:rFonts w:cstheme="minorHAnsi"/>
      <w:sz w:val="20"/>
      <w:szCs w:val="24"/>
    </w:rPr>
  </w:style>
  <w:style w:type="paragraph" w:styleId="TOC4">
    <w:name w:val="toc 4"/>
    <w:basedOn w:val="Normal"/>
    <w:next w:val="Normal"/>
    <w:autoRedefine/>
    <w:uiPriority w:val="39"/>
    <w:semiHidden/>
    <w:unhideWhenUsed/>
    <w:rsid w:val="001D58E7"/>
    <w:pPr>
      <w:spacing w:after="0"/>
      <w:ind w:left="660"/>
    </w:pPr>
    <w:rPr>
      <w:rFonts w:cstheme="minorHAnsi"/>
      <w:sz w:val="20"/>
      <w:szCs w:val="24"/>
    </w:rPr>
  </w:style>
  <w:style w:type="paragraph" w:styleId="TOC5">
    <w:name w:val="toc 5"/>
    <w:basedOn w:val="Normal"/>
    <w:next w:val="Normal"/>
    <w:autoRedefine/>
    <w:uiPriority w:val="39"/>
    <w:semiHidden/>
    <w:unhideWhenUsed/>
    <w:rsid w:val="001D58E7"/>
    <w:pPr>
      <w:spacing w:after="0"/>
      <w:ind w:left="880"/>
    </w:pPr>
    <w:rPr>
      <w:rFonts w:cstheme="minorHAnsi"/>
      <w:sz w:val="20"/>
      <w:szCs w:val="24"/>
    </w:rPr>
  </w:style>
  <w:style w:type="paragraph" w:styleId="TOC6">
    <w:name w:val="toc 6"/>
    <w:basedOn w:val="Normal"/>
    <w:next w:val="Normal"/>
    <w:autoRedefine/>
    <w:uiPriority w:val="39"/>
    <w:semiHidden/>
    <w:unhideWhenUsed/>
    <w:rsid w:val="001D58E7"/>
    <w:pPr>
      <w:spacing w:after="0"/>
      <w:ind w:left="1100"/>
    </w:pPr>
    <w:rPr>
      <w:rFonts w:cstheme="minorHAnsi"/>
      <w:sz w:val="20"/>
      <w:szCs w:val="24"/>
    </w:rPr>
  </w:style>
  <w:style w:type="paragraph" w:styleId="TOC7">
    <w:name w:val="toc 7"/>
    <w:basedOn w:val="Normal"/>
    <w:next w:val="Normal"/>
    <w:autoRedefine/>
    <w:uiPriority w:val="39"/>
    <w:semiHidden/>
    <w:unhideWhenUsed/>
    <w:rsid w:val="001D58E7"/>
    <w:pPr>
      <w:spacing w:after="0"/>
      <w:ind w:left="1320"/>
    </w:pPr>
    <w:rPr>
      <w:rFonts w:cstheme="minorHAnsi"/>
      <w:sz w:val="20"/>
      <w:szCs w:val="24"/>
    </w:rPr>
  </w:style>
  <w:style w:type="paragraph" w:styleId="TOC8">
    <w:name w:val="toc 8"/>
    <w:basedOn w:val="Normal"/>
    <w:next w:val="Normal"/>
    <w:autoRedefine/>
    <w:uiPriority w:val="39"/>
    <w:semiHidden/>
    <w:unhideWhenUsed/>
    <w:rsid w:val="001D58E7"/>
    <w:pPr>
      <w:spacing w:after="0"/>
      <w:ind w:left="1540"/>
    </w:pPr>
    <w:rPr>
      <w:rFonts w:cstheme="minorHAnsi"/>
      <w:sz w:val="20"/>
      <w:szCs w:val="24"/>
    </w:rPr>
  </w:style>
  <w:style w:type="paragraph" w:styleId="TOC9">
    <w:name w:val="toc 9"/>
    <w:basedOn w:val="Normal"/>
    <w:next w:val="Normal"/>
    <w:autoRedefine/>
    <w:uiPriority w:val="39"/>
    <w:semiHidden/>
    <w:unhideWhenUsed/>
    <w:rsid w:val="001D58E7"/>
    <w:pPr>
      <w:spacing w:after="0"/>
      <w:ind w:left="1760"/>
    </w:pPr>
    <w:rPr>
      <w:rFonts w:cstheme="minorHAnsi"/>
      <w:sz w:val="20"/>
      <w:szCs w:val="24"/>
    </w:rPr>
  </w:style>
  <w:style w:type="table" w:styleId="GridTable4-Accent5">
    <w:name w:val="Grid Table 4 Accent 5"/>
    <w:basedOn w:val="TableNormal"/>
    <w:uiPriority w:val="49"/>
    <w:rsid w:val="005641FE"/>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5641FE"/>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5641FE"/>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CommentReference">
    <w:name w:val="annotation reference"/>
    <w:basedOn w:val="DefaultParagraphFont"/>
    <w:uiPriority w:val="99"/>
    <w:semiHidden/>
    <w:unhideWhenUsed/>
    <w:rsid w:val="00834455"/>
    <w:rPr>
      <w:sz w:val="16"/>
      <w:szCs w:val="16"/>
    </w:rPr>
  </w:style>
  <w:style w:type="paragraph" w:styleId="CommentText">
    <w:name w:val="annotation text"/>
    <w:basedOn w:val="Normal"/>
    <w:link w:val="CommentTextChar"/>
    <w:uiPriority w:val="99"/>
    <w:unhideWhenUsed/>
    <w:rsid w:val="00834455"/>
    <w:rPr>
      <w:sz w:val="20"/>
      <w:szCs w:val="20"/>
    </w:rPr>
  </w:style>
  <w:style w:type="character" w:customStyle="1" w:styleId="CommentTextChar">
    <w:name w:val="Comment Text Char"/>
    <w:basedOn w:val="DefaultParagraphFont"/>
    <w:link w:val="CommentText"/>
    <w:uiPriority w:val="99"/>
    <w:rsid w:val="00834455"/>
    <w:rPr>
      <w:sz w:val="20"/>
      <w:szCs w:val="20"/>
    </w:rPr>
  </w:style>
  <w:style w:type="paragraph" w:styleId="CommentSubject">
    <w:name w:val="annotation subject"/>
    <w:basedOn w:val="CommentText"/>
    <w:next w:val="CommentText"/>
    <w:link w:val="CommentSubjectChar"/>
    <w:uiPriority w:val="99"/>
    <w:semiHidden/>
    <w:unhideWhenUsed/>
    <w:rsid w:val="00834455"/>
    <w:rPr>
      <w:b/>
      <w:bCs/>
    </w:rPr>
  </w:style>
  <w:style w:type="character" w:customStyle="1" w:styleId="CommentSubjectChar">
    <w:name w:val="Comment Subject Char"/>
    <w:basedOn w:val="CommentTextChar"/>
    <w:link w:val="CommentSubject"/>
    <w:uiPriority w:val="99"/>
    <w:semiHidden/>
    <w:rsid w:val="00834455"/>
    <w:rPr>
      <w:b/>
      <w:bCs/>
      <w:sz w:val="20"/>
      <w:szCs w:val="20"/>
    </w:rPr>
  </w:style>
  <w:style w:type="paragraph" w:styleId="HTMLPreformatted">
    <w:name w:val="HTML Preformatted"/>
    <w:basedOn w:val="Normal"/>
    <w:link w:val="HTMLPreformattedChar"/>
    <w:uiPriority w:val="99"/>
    <w:semiHidden/>
    <w:unhideWhenUsed/>
    <w:rsid w:val="00133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338C8"/>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1338C8"/>
    <w:rPr>
      <w:rFonts w:ascii="Courier New" w:eastAsia="Times New Roman" w:hAnsi="Courier New" w:cs="Courier New"/>
      <w:sz w:val="20"/>
      <w:szCs w:val="20"/>
    </w:rPr>
  </w:style>
  <w:style w:type="table" w:styleId="GridTable4-Accent2">
    <w:name w:val="Grid Table 4 Accent 2"/>
    <w:basedOn w:val="TableNormal"/>
    <w:uiPriority w:val="49"/>
    <w:rsid w:val="0088095A"/>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www.sciencedirect.com/science/article/pii/S0148296322000819" TargetMode="External" /><Relationship Id="rId26" Type="http://schemas.openxmlformats.org/officeDocument/2006/relationships/hyperlink" Target="https://www.sciencedirect.com/science/article/pii/S2210422420300125" TargetMode="External" /><Relationship Id="rId39" Type="http://schemas.openxmlformats.org/officeDocument/2006/relationships/hyperlink" Target="https://www.ssab.com/en/news/2025/06/ssab-postpones-commissioning-of-new-steel-mill-in-lule-by-12-months" TargetMode="External" /><Relationship Id="rId3" Type="http://schemas.openxmlformats.org/officeDocument/2006/relationships/styles" Target="styles.xml" /><Relationship Id="rId21" Type="http://schemas.openxmlformats.org/officeDocument/2006/relationships/hyperlink" Target="https://journals.sagepub.com/doi/10.1177/25148486241238398" TargetMode="External" /><Relationship Id="rId34" Type="http://schemas.openxmlformats.org/officeDocument/2006/relationships/hyperlink" Target="https://journals.aom.org/doi/10.5465/amr.2018.0072" TargetMode="External" /><Relationship Id="rId42" Type="http://schemas.openxmlformats.org/officeDocument/2006/relationships/hyperlink" Target="https://www.sciencedirect.com/science/article/pii/S001985012300192X" TargetMode="External" /><Relationship Id="rId47"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academic.oup.com/rof/issue/26/6" TargetMode="External" /><Relationship Id="rId25" Type="http://schemas.openxmlformats.org/officeDocument/2006/relationships/hyperlink" Target="https://onlinelibrary.wiley.com/doi/full/10.1002/bse.2895" TargetMode="External" /><Relationship Id="rId33" Type="http://schemas.openxmlformats.org/officeDocument/2006/relationships/hyperlink" Target="https://link.springer.com/article/10.1007/s10551-019-04406-2" TargetMode="External" /><Relationship Id="rId38" Type="http://schemas.openxmlformats.org/officeDocument/2006/relationships/hyperlink" Target="https://www.ssab.com/en/news/2025/09/the-deputy-prime-minister-and-ssabs-ceo-broke-ground-on-a-new-steel-mill-in-lule" TargetMode="External" /><Relationship Id="rId46"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nature.com/articles/s41558-026-02635-8" TargetMode="External" /><Relationship Id="rId20" Type="http://schemas.openxmlformats.org/officeDocument/2006/relationships/hyperlink" Target="https://link.springer.com/article/10.1007/s11747-019-00696-0" TargetMode="External" /><Relationship Id="rId29" Type="http://schemas.openxmlformats.org/officeDocument/2006/relationships/hyperlink" Target="https://www.sciencedirect.com/science/article/pii/S0959652622024465" TargetMode="External" /><Relationship Id="rId41" Type="http://schemas.openxmlformats.org/officeDocument/2006/relationships/hyperlink" Target="https://link.springer.com/article/10.1007/s10668-020-00844-5"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nature.com/articles/s41586-023-06901-z" TargetMode="External" /><Relationship Id="rId32" Type="http://schemas.openxmlformats.org/officeDocument/2006/relationships/hyperlink" Target="https://www.nature.com/articles/s41467-025-60652-1" TargetMode="External" /><Relationship Id="rId37" Type="http://schemas.openxmlformats.org/officeDocument/2006/relationships/hyperlink" Target="https://www.ssab.com/en-us/fossil-free-steel/ssab-zero" TargetMode="External" /><Relationship Id="rId40" Type="http://schemas.openxmlformats.org/officeDocument/2006/relationships/hyperlink" Target="https://www.ssab.com/-/media/files/company/investors/annual-reports/2025/ssab-annual-report-2025.pdf" TargetMode="External" /><Relationship Id="rId45" Type="http://schemas.openxmlformats.org/officeDocument/2006/relationships/hyperlink" Target="https://www.nature.com/articles/s41586-025-09658-9" TargetMode="External" /><Relationship Id="rId5" Type="http://schemas.openxmlformats.org/officeDocument/2006/relationships/webSettings" Target="webSettings.xml" /><Relationship Id="rId15" Type="http://schemas.openxmlformats.org/officeDocument/2006/relationships/hyperlink" Target="https://www.sciencedirect.com/science/article/pii/S0959652621033321" TargetMode="External" /><Relationship Id="rId23" Type="http://schemas.openxmlformats.org/officeDocument/2006/relationships/hyperlink" Target="https://www.sciencedirect.com/science/article/pii/S0959652620337860" TargetMode="External" /><Relationship Id="rId28" Type="http://schemas.openxmlformats.org/officeDocument/2006/relationships/hyperlink" Target="https://www.sciencedirect.com/science/article/pii/S2666278723000284" TargetMode="External" /><Relationship Id="rId36" Type="http://schemas.openxmlformats.org/officeDocument/2006/relationships/hyperlink" Target="https://chinafyorigin.ssab.com/en/fossil-free-steel/ssab-zero/epd" TargetMode="External" /><Relationship Id="rId10" Type="http://schemas.openxmlformats.org/officeDocument/2006/relationships/image" Target="media/image3.png" /><Relationship Id="rId19" Type="http://schemas.openxmlformats.org/officeDocument/2006/relationships/hyperlink" Target="https://link.springer.com/article/10.1007/s11142-021-09609-5" TargetMode="External" /><Relationship Id="rId31" Type="http://schemas.openxmlformats.org/officeDocument/2006/relationships/hyperlink" Target="https://www.sciencedirect.com/science/article/pii/S0378720621000082" TargetMode="External" /><Relationship Id="rId44" Type="http://schemas.openxmlformats.org/officeDocument/2006/relationships/hyperlink" Target="https://eu.pearson.com/exploring-strategy/9781292428819R365"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hyperlink" Target="https://www.nature.com/articles/s41467-023-38123-2" TargetMode="External" /><Relationship Id="rId27" Type="http://schemas.openxmlformats.org/officeDocument/2006/relationships/hyperlink" Target="https://www.sciencedirect.com/science/article/pii/S0016236123010724" TargetMode="External" /><Relationship Id="rId30" Type="http://schemas.openxmlformats.org/officeDocument/2006/relationships/hyperlink" Target="https://www.tandfonline.com/doi/full/10.1080/0267257X.2022.2084443" TargetMode="External" /><Relationship Id="rId35" Type="http://schemas.openxmlformats.org/officeDocument/2006/relationships/hyperlink" Target="https://www.mdpi.com/2071-1050/13/13/7266" TargetMode="External" /><Relationship Id="rId43" Type="http://schemas.openxmlformats.org/officeDocument/2006/relationships/hyperlink" Target="https://www.nature.com/articles/s41467-025-59730-1" TargetMode="External" /><Relationship Id="rId4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2CD68-06CF-924F-900E-3C89E50B32B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5640</Words>
  <Characters>32150</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37715</CharactersWithSpaces>
  <SharedDoc>false</SharedDoc>
  <HLinks>
    <vt:vector size="324" baseType="variant">
      <vt:variant>
        <vt:i4>4063275</vt:i4>
      </vt:variant>
      <vt:variant>
        <vt:i4>234</vt:i4>
      </vt:variant>
      <vt:variant>
        <vt:i4>0</vt:i4>
      </vt:variant>
      <vt:variant>
        <vt:i4>5</vt:i4>
      </vt:variant>
      <vt:variant>
        <vt:lpwstr>https://www.nature.com/articles/s41586-025-09658-9</vt:lpwstr>
      </vt:variant>
      <vt:variant>
        <vt:lpwstr/>
      </vt:variant>
      <vt:variant>
        <vt:i4>6881328</vt:i4>
      </vt:variant>
      <vt:variant>
        <vt:i4>231</vt:i4>
      </vt:variant>
      <vt:variant>
        <vt:i4>0</vt:i4>
      </vt:variant>
      <vt:variant>
        <vt:i4>5</vt:i4>
      </vt:variant>
      <vt:variant>
        <vt:lpwstr>https://eu.pearson.com/exploring-strategy/9781292428819R365</vt:lpwstr>
      </vt:variant>
      <vt:variant>
        <vt:lpwstr/>
      </vt:variant>
      <vt:variant>
        <vt:i4>3801123</vt:i4>
      </vt:variant>
      <vt:variant>
        <vt:i4>228</vt:i4>
      </vt:variant>
      <vt:variant>
        <vt:i4>0</vt:i4>
      </vt:variant>
      <vt:variant>
        <vt:i4>5</vt:i4>
      </vt:variant>
      <vt:variant>
        <vt:lpwstr>https://www.nature.com/articles/s41467-025-59730-1</vt:lpwstr>
      </vt:variant>
      <vt:variant>
        <vt:lpwstr/>
      </vt:variant>
      <vt:variant>
        <vt:i4>6946936</vt:i4>
      </vt:variant>
      <vt:variant>
        <vt:i4>225</vt:i4>
      </vt:variant>
      <vt:variant>
        <vt:i4>0</vt:i4>
      </vt:variant>
      <vt:variant>
        <vt:i4>5</vt:i4>
      </vt:variant>
      <vt:variant>
        <vt:lpwstr>https://www.sciencedirect.com/science/article/pii/S001985012300192X</vt:lpwstr>
      </vt:variant>
      <vt:variant>
        <vt:lpwstr/>
      </vt:variant>
      <vt:variant>
        <vt:i4>458763</vt:i4>
      </vt:variant>
      <vt:variant>
        <vt:i4>222</vt:i4>
      </vt:variant>
      <vt:variant>
        <vt:i4>0</vt:i4>
      </vt:variant>
      <vt:variant>
        <vt:i4>5</vt:i4>
      </vt:variant>
      <vt:variant>
        <vt:lpwstr>https://link.springer.com/article/10.1007/s10668-020-00844-5</vt:lpwstr>
      </vt:variant>
      <vt:variant>
        <vt:lpwstr/>
      </vt:variant>
      <vt:variant>
        <vt:i4>1835090</vt:i4>
      </vt:variant>
      <vt:variant>
        <vt:i4>219</vt:i4>
      </vt:variant>
      <vt:variant>
        <vt:i4>0</vt:i4>
      </vt:variant>
      <vt:variant>
        <vt:i4>5</vt:i4>
      </vt:variant>
      <vt:variant>
        <vt:lpwstr>https://www.ssab.com/-/media/files/company/investors/annual-reports/2025/ssab-annual-report-2025.pdf</vt:lpwstr>
      </vt:variant>
      <vt:variant>
        <vt:lpwstr/>
      </vt:variant>
      <vt:variant>
        <vt:i4>4390917</vt:i4>
      </vt:variant>
      <vt:variant>
        <vt:i4>216</vt:i4>
      </vt:variant>
      <vt:variant>
        <vt:i4>0</vt:i4>
      </vt:variant>
      <vt:variant>
        <vt:i4>5</vt:i4>
      </vt:variant>
      <vt:variant>
        <vt:lpwstr>https://www.ssab.com/en/news/2025/06/ssab-postpones-commissioning-of-new-steel-mill-in-lule-by-12-months</vt:lpwstr>
      </vt:variant>
      <vt:variant>
        <vt:lpwstr/>
      </vt:variant>
      <vt:variant>
        <vt:i4>1048665</vt:i4>
      </vt:variant>
      <vt:variant>
        <vt:i4>213</vt:i4>
      </vt:variant>
      <vt:variant>
        <vt:i4>0</vt:i4>
      </vt:variant>
      <vt:variant>
        <vt:i4>5</vt:i4>
      </vt:variant>
      <vt:variant>
        <vt:lpwstr>https://www.ssab.com/en/news/2025/09/the-deputy-prime-minister-and-ssabs-ceo-broke-ground-on-a-new-steel-mill-in-lule</vt:lpwstr>
      </vt:variant>
      <vt:variant>
        <vt:lpwstr/>
      </vt:variant>
      <vt:variant>
        <vt:i4>6619249</vt:i4>
      </vt:variant>
      <vt:variant>
        <vt:i4>210</vt:i4>
      </vt:variant>
      <vt:variant>
        <vt:i4>0</vt:i4>
      </vt:variant>
      <vt:variant>
        <vt:i4>5</vt:i4>
      </vt:variant>
      <vt:variant>
        <vt:lpwstr>https://www.ssab.com/en-us/fossil-free-steel/ssab-zero</vt:lpwstr>
      </vt:variant>
      <vt:variant>
        <vt:lpwstr/>
      </vt:variant>
      <vt:variant>
        <vt:i4>4390999</vt:i4>
      </vt:variant>
      <vt:variant>
        <vt:i4>207</vt:i4>
      </vt:variant>
      <vt:variant>
        <vt:i4>0</vt:i4>
      </vt:variant>
      <vt:variant>
        <vt:i4>5</vt:i4>
      </vt:variant>
      <vt:variant>
        <vt:lpwstr>https://chinafyorigin.ssab.com/en/fossil-free-steel/ssab-zero/epd</vt:lpwstr>
      </vt:variant>
      <vt:variant>
        <vt:lpwstr/>
      </vt:variant>
      <vt:variant>
        <vt:i4>5177350</vt:i4>
      </vt:variant>
      <vt:variant>
        <vt:i4>204</vt:i4>
      </vt:variant>
      <vt:variant>
        <vt:i4>0</vt:i4>
      </vt:variant>
      <vt:variant>
        <vt:i4>5</vt:i4>
      </vt:variant>
      <vt:variant>
        <vt:lpwstr>https://www.mdpi.com/2071-1050/13/13/7266</vt:lpwstr>
      </vt:variant>
      <vt:variant>
        <vt:lpwstr/>
      </vt:variant>
      <vt:variant>
        <vt:i4>3473535</vt:i4>
      </vt:variant>
      <vt:variant>
        <vt:i4>201</vt:i4>
      </vt:variant>
      <vt:variant>
        <vt:i4>0</vt:i4>
      </vt:variant>
      <vt:variant>
        <vt:i4>5</vt:i4>
      </vt:variant>
      <vt:variant>
        <vt:lpwstr>https://journals.aom.org/doi/10.5465/amr.2018.0072</vt:lpwstr>
      </vt:variant>
      <vt:variant>
        <vt:lpwstr/>
      </vt:variant>
      <vt:variant>
        <vt:i4>851979</vt:i4>
      </vt:variant>
      <vt:variant>
        <vt:i4>198</vt:i4>
      </vt:variant>
      <vt:variant>
        <vt:i4>0</vt:i4>
      </vt:variant>
      <vt:variant>
        <vt:i4>5</vt:i4>
      </vt:variant>
      <vt:variant>
        <vt:lpwstr>https://link.springer.com/article/10.1007/s10551-019-04406-2</vt:lpwstr>
      </vt:variant>
      <vt:variant>
        <vt:lpwstr/>
      </vt:variant>
      <vt:variant>
        <vt:i4>3801132</vt:i4>
      </vt:variant>
      <vt:variant>
        <vt:i4>195</vt:i4>
      </vt:variant>
      <vt:variant>
        <vt:i4>0</vt:i4>
      </vt:variant>
      <vt:variant>
        <vt:i4>5</vt:i4>
      </vt:variant>
      <vt:variant>
        <vt:lpwstr>https://www.nature.com/articles/s41467-025-60652-1</vt:lpwstr>
      </vt:variant>
      <vt:variant>
        <vt:lpwstr/>
      </vt:variant>
      <vt:variant>
        <vt:i4>6815857</vt:i4>
      </vt:variant>
      <vt:variant>
        <vt:i4>192</vt:i4>
      </vt:variant>
      <vt:variant>
        <vt:i4>0</vt:i4>
      </vt:variant>
      <vt:variant>
        <vt:i4>5</vt:i4>
      </vt:variant>
      <vt:variant>
        <vt:lpwstr>https://www.sciencedirect.com/science/article/pii/S0378720621000082</vt:lpwstr>
      </vt:variant>
      <vt:variant>
        <vt:lpwstr/>
      </vt:variant>
      <vt:variant>
        <vt:i4>2752568</vt:i4>
      </vt:variant>
      <vt:variant>
        <vt:i4>189</vt:i4>
      </vt:variant>
      <vt:variant>
        <vt:i4>0</vt:i4>
      </vt:variant>
      <vt:variant>
        <vt:i4>5</vt:i4>
      </vt:variant>
      <vt:variant>
        <vt:lpwstr>https://www.tandfonline.com/doi/full/10.1080/0267257X.2022.2084443</vt:lpwstr>
      </vt:variant>
      <vt:variant>
        <vt:lpwstr/>
      </vt:variant>
      <vt:variant>
        <vt:i4>6488184</vt:i4>
      </vt:variant>
      <vt:variant>
        <vt:i4>186</vt:i4>
      </vt:variant>
      <vt:variant>
        <vt:i4>0</vt:i4>
      </vt:variant>
      <vt:variant>
        <vt:i4>5</vt:i4>
      </vt:variant>
      <vt:variant>
        <vt:lpwstr>https://www.sciencedirect.com/science/article/pii/S0959652622024465</vt:lpwstr>
      </vt:variant>
      <vt:variant>
        <vt:lpwstr/>
      </vt:variant>
      <vt:variant>
        <vt:i4>6684798</vt:i4>
      </vt:variant>
      <vt:variant>
        <vt:i4>183</vt:i4>
      </vt:variant>
      <vt:variant>
        <vt:i4>0</vt:i4>
      </vt:variant>
      <vt:variant>
        <vt:i4>5</vt:i4>
      </vt:variant>
      <vt:variant>
        <vt:lpwstr>https://www.sciencedirect.com/science/article/pii/S2666278723000284</vt:lpwstr>
      </vt:variant>
      <vt:variant>
        <vt:lpwstr/>
      </vt:variant>
      <vt:variant>
        <vt:i4>6750334</vt:i4>
      </vt:variant>
      <vt:variant>
        <vt:i4>180</vt:i4>
      </vt:variant>
      <vt:variant>
        <vt:i4>0</vt:i4>
      </vt:variant>
      <vt:variant>
        <vt:i4>5</vt:i4>
      </vt:variant>
      <vt:variant>
        <vt:lpwstr>https://www.sciencedirect.com/science/article/pii/S0016236123010724</vt:lpwstr>
      </vt:variant>
      <vt:variant>
        <vt:lpwstr/>
      </vt:variant>
      <vt:variant>
        <vt:i4>6553722</vt:i4>
      </vt:variant>
      <vt:variant>
        <vt:i4>177</vt:i4>
      </vt:variant>
      <vt:variant>
        <vt:i4>0</vt:i4>
      </vt:variant>
      <vt:variant>
        <vt:i4>5</vt:i4>
      </vt:variant>
      <vt:variant>
        <vt:lpwstr>https://www.sciencedirect.com/science/article/pii/S2210422420300125</vt:lpwstr>
      </vt:variant>
      <vt:variant>
        <vt:lpwstr/>
      </vt:variant>
      <vt:variant>
        <vt:i4>1966084</vt:i4>
      </vt:variant>
      <vt:variant>
        <vt:i4>174</vt:i4>
      </vt:variant>
      <vt:variant>
        <vt:i4>0</vt:i4>
      </vt:variant>
      <vt:variant>
        <vt:i4>5</vt:i4>
      </vt:variant>
      <vt:variant>
        <vt:lpwstr>https://onlinelibrary.wiley.com/doi/full/10.1002/bse.2895</vt:lpwstr>
      </vt:variant>
      <vt:variant>
        <vt:lpwstr/>
      </vt:variant>
      <vt:variant>
        <vt:i4>8192033</vt:i4>
      </vt:variant>
      <vt:variant>
        <vt:i4>171</vt:i4>
      </vt:variant>
      <vt:variant>
        <vt:i4>0</vt:i4>
      </vt:variant>
      <vt:variant>
        <vt:i4>5</vt:i4>
      </vt:variant>
      <vt:variant>
        <vt:lpwstr>https://www.nature.com/articles/s41586-023-06901-z</vt:lpwstr>
      </vt:variant>
      <vt:variant>
        <vt:lpwstr/>
      </vt:variant>
      <vt:variant>
        <vt:i4>6488183</vt:i4>
      </vt:variant>
      <vt:variant>
        <vt:i4>168</vt:i4>
      </vt:variant>
      <vt:variant>
        <vt:i4>0</vt:i4>
      </vt:variant>
      <vt:variant>
        <vt:i4>5</vt:i4>
      </vt:variant>
      <vt:variant>
        <vt:lpwstr>https://www.sciencedirect.com/science/article/pii/S0959652620337860</vt:lpwstr>
      </vt:variant>
      <vt:variant>
        <vt:lpwstr/>
      </vt:variant>
      <vt:variant>
        <vt:i4>3932195</vt:i4>
      </vt:variant>
      <vt:variant>
        <vt:i4>165</vt:i4>
      </vt:variant>
      <vt:variant>
        <vt:i4>0</vt:i4>
      </vt:variant>
      <vt:variant>
        <vt:i4>5</vt:i4>
      </vt:variant>
      <vt:variant>
        <vt:lpwstr>https://www.nature.com/articles/s41467-023-38123-2</vt:lpwstr>
      </vt:variant>
      <vt:variant>
        <vt:lpwstr/>
      </vt:variant>
      <vt:variant>
        <vt:i4>3801137</vt:i4>
      </vt:variant>
      <vt:variant>
        <vt:i4>162</vt:i4>
      </vt:variant>
      <vt:variant>
        <vt:i4>0</vt:i4>
      </vt:variant>
      <vt:variant>
        <vt:i4>5</vt:i4>
      </vt:variant>
      <vt:variant>
        <vt:lpwstr>https://journals.sagepub.com/doi/10.1177/25148486241238398</vt:lpwstr>
      </vt:variant>
      <vt:variant>
        <vt:lpwstr/>
      </vt:variant>
      <vt:variant>
        <vt:i4>589830</vt:i4>
      </vt:variant>
      <vt:variant>
        <vt:i4>159</vt:i4>
      </vt:variant>
      <vt:variant>
        <vt:i4>0</vt:i4>
      </vt:variant>
      <vt:variant>
        <vt:i4>5</vt:i4>
      </vt:variant>
      <vt:variant>
        <vt:lpwstr>https://link.springer.com/article/10.1007/s11747-019-00696-0</vt:lpwstr>
      </vt:variant>
      <vt:variant>
        <vt:lpwstr/>
      </vt:variant>
      <vt:variant>
        <vt:i4>524293</vt:i4>
      </vt:variant>
      <vt:variant>
        <vt:i4>156</vt:i4>
      </vt:variant>
      <vt:variant>
        <vt:i4>0</vt:i4>
      </vt:variant>
      <vt:variant>
        <vt:i4>5</vt:i4>
      </vt:variant>
      <vt:variant>
        <vt:lpwstr>https://link.springer.com/article/10.1007/s11142-021-09609-5</vt:lpwstr>
      </vt:variant>
      <vt:variant>
        <vt:lpwstr/>
      </vt:variant>
      <vt:variant>
        <vt:i4>6357110</vt:i4>
      </vt:variant>
      <vt:variant>
        <vt:i4>153</vt:i4>
      </vt:variant>
      <vt:variant>
        <vt:i4>0</vt:i4>
      </vt:variant>
      <vt:variant>
        <vt:i4>5</vt:i4>
      </vt:variant>
      <vt:variant>
        <vt:lpwstr>https://www.sciencedirect.com/science/article/pii/S0148296322000819</vt:lpwstr>
      </vt:variant>
      <vt:variant>
        <vt:lpwstr/>
      </vt:variant>
      <vt:variant>
        <vt:i4>8323110</vt:i4>
      </vt:variant>
      <vt:variant>
        <vt:i4>150</vt:i4>
      </vt:variant>
      <vt:variant>
        <vt:i4>0</vt:i4>
      </vt:variant>
      <vt:variant>
        <vt:i4>5</vt:i4>
      </vt:variant>
      <vt:variant>
        <vt:lpwstr>https://academic.oup.com/rof/issue/26/6</vt:lpwstr>
      </vt:variant>
      <vt:variant>
        <vt:lpwstr/>
      </vt:variant>
      <vt:variant>
        <vt:i4>4128811</vt:i4>
      </vt:variant>
      <vt:variant>
        <vt:i4>147</vt:i4>
      </vt:variant>
      <vt:variant>
        <vt:i4>0</vt:i4>
      </vt:variant>
      <vt:variant>
        <vt:i4>5</vt:i4>
      </vt:variant>
      <vt:variant>
        <vt:lpwstr>https://www.nature.com/articles/s41558-026-02635-8</vt:lpwstr>
      </vt:variant>
      <vt:variant>
        <vt:lpwstr/>
      </vt:variant>
      <vt:variant>
        <vt:i4>6291581</vt:i4>
      </vt:variant>
      <vt:variant>
        <vt:i4>144</vt:i4>
      </vt:variant>
      <vt:variant>
        <vt:i4>0</vt:i4>
      </vt:variant>
      <vt:variant>
        <vt:i4>5</vt:i4>
      </vt:variant>
      <vt:variant>
        <vt:lpwstr>https://www.sciencedirect.com/science/article/pii/S0959652621033321</vt:lpwstr>
      </vt:variant>
      <vt:variant>
        <vt:lpwstr/>
      </vt:variant>
      <vt:variant>
        <vt:i4>1638449</vt:i4>
      </vt:variant>
      <vt:variant>
        <vt:i4>137</vt:i4>
      </vt:variant>
      <vt:variant>
        <vt:i4>0</vt:i4>
      </vt:variant>
      <vt:variant>
        <vt:i4>5</vt:i4>
      </vt:variant>
      <vt:variant>
        <vt:lpwstr/>
      </vt:variant>
      <vt:variant>
        <vt:lpwstr>_Toc243380890</vt:lpwstr>
      </vt:variant>
      <vt:variant>
        <vt:i4>1572913</vt:i4>
      </vt:variant>
      <vt:variant>
        <vt:i4>131</vt:i4>
      </vt:variant>
      <vt:variant>
        <vt:i4>0</vt:i4>
      </vt:variant>
      <vt:variant>
        <vt:i4>5</vt:i4>
      </vt:variant>
      <vt:variant>
        <vt:lpwstr/>
      </vt:variant>
      <vt:variant>
        <vt:lpwstr>_Toc243380889</vt:lpwstr>
      </vt:variant>
      <vt:variant>
        <vt:i4>1572913</vt:i4>
      </vt:variant>
      <vt:variant>
        <vt:i4>125</vt:i4>
      </vt:variant>
      <vt:variant>
        <vt:i4>0</vt:i4>
      </vt:variant>
      <vt:variant>
        <vt:i4>5</vt:i4>
      </vt:variant>
      <vt:variant>
        <vt:lpwstr/>
      </vt:variant>
      <vt:variant>
        <vt:lpwstr>_Toc243380888</vt:lpwstr>
      </vt:variant>
      <vt:variant>
        <vt:i4>1572913</vt:i4>
      </vt:variant>
      <vt:variant>
        <vt:i4>119</vt:i4>
      </vt:variant>
      <vt:variant>
        <vt:i4>0</vt:i4>
      </vt:variant>
      <vt:variant>
        <vt:i4>5</vt:i4>
      </vt:variant>
      <vt:variant>
        <vt:lpwstr/>
      </vt:variant>
      <vt:variant>
        <vt:lpwstr>_Toc243380887</vt:lpwstr>
      </vt:variant>
      <vt:variant>
        <vt:i4>1572913</vt:i4>
      </vt:variant>
      <vt:variant>
        <vt:i4>113</vt:i4>
      </vt:variant>
      <vt:variant>
        <vt:i4>0</vt:i4>
      </vt:variant>
      <vt:variant>
        <vt:i4>5</vt:i4>
      </vt:variant>
      <vt:variant>
        <vt:lpwstr/>
      </vt:variant>
      <vt:variant>
        <vt:lpwstr>_Toc243380886</vt:lpwstr>
      </vt:variant>
      <vt:variant>
        <vt:i4>1572913</vt:i4>
      </vt:variant>
      <vt:variant>
        <vt:i4>107</vt:i4>
      </vt:variant>
      <vt:variant>
        <vt:i4>0</vt:i4>
      </vt:variant>
      <vt:variant>
        <vt:i4>5</vt:i4>
      </vt:variant>
      <vt:variant>
        <vt:lpwstr/>
      </vt:variant>
      <vt:variant>
        <vt:lpwstr>_Toc243380885</vt:lpwstr>
      </vt:variant>
      <vt:variant>
        <vt:i4>1572913</vt:i4>
      </vt:variant>
      <vt:variant>
        <vt:i4>101</vt:i4>
      </vt:variant>
      <vt:variant>
        <vt:i4>0</vt:i4>
      </vt:variant>
      <vt:variant>
        <vt:i4>5</vt:i4>
      </vt:variant>
      <vt:variant>
        <vt:lpwstr/>
      </vt:variant>
      <vt:variant>
        <vt:lpwstr>_Toc243380884</vt:lpwstr>
      </vt:variant>
      <vt:variant>
        <vt:i4>1572913</vt:i4>
      </vt:variant>
      <vt:variant>
        <vt:i4>95</vt:i4>
      </vt:variant>
      <vt:variant>
        <vt:i4>0</vt:i4>
      </vt:variant>
      <vt:variant>
        <vt:i4>5</vt:i4>
      </vt:variant>
      <vt:variant>
        <vt:lpwstr/>
      </vt:variant>
      <vt:variant>
        <vt:lpwstr>_Toc243380883</vt:lpwstr>
      </vt:variant>
      <vt:variant>
        <vt:i4>1572913</vt:i4>
      </vt:variant>
      <vt:variant>
        <vt:i4>89</vt:i4>
      </vt:variant>
      <vt:variant>
        <vt:i4>0</vt:i4>
      </vt:variant>
      <vt:variant>
        <vt:i4>5</vt:i4>
      </vt:variant>
      <vt:variant>
        <vt:lpwstr/>
      </vt:variant>
      <vt:variant>
        <vt:lpwstr>_Toc243380882</vt:lpwstr>
      </vt:variant>
      <vt:variant>
        <vt:i4>1572913</vt:i4>
      </vt:variant>
      <vt:variant>
        <vt:i4>83</vt:i4>
      </vt:variant>
      <vt:variant>
        <vt:i4>0</vt:i4>
      </vt:variant>
      <vt:variant>
        <vt:i4>5</vt:i4>
      </vt:variant>
      <vt:variant>
        <vt:lpwstr/>
      </vt:variant>
      <vt:variant>
        <vt:lpwstr>_Toc243380881</vt:lpwstr>
      </vt:variant>
      <vt:variant>
        <vt:i4>1572913</vt:i4>
      </vt:variant>
      <vt:variant>
        <vt:i4>77</vt:i4>
      </vt:variant>
      <vt:variant>
        <vt:i4>0</vt:i4>
      </vt:variant>
      <vt:variant>
        <vt:i4>5</vt:i4>
      </vt:variant>
      <vt:variant>
        <vt:lpwstr/>
      </vt:variant>
      <vt:variant>
        <vt:lpwstr>_Toc243380880</vt:lpwstr>
      </vt:variant>
      <vt:variant>
        <vt:i4>1507377</vt:i4>
      </vt:variant>
      <vt:variant>
        <vt:i4>71</vt:i4>
      </vt:variant>
      <vt:variant>
        <vt:i4>0</vt:i4>
      </vt:variant>
      <vt:variant>
        <vt:i4>5</vt:i4>
      </vt:variant>
      <vt:variant>
        <vt:lpwstr/>
      </vt:variant>
      <vt:variant>
        <vt:lpwstr>_Toc243380879</vt:lpwstr>
      </vt:variant>
      <vt:variant>
        <vt:i4>1507377</vt:i4>
      </vt:variant>
      <vt:variant>
        <vt:i4>65</vt:i4>
      </vt:variant>
      <vt:variant>
        <vt:i4>0</vt:i4>
      </vt:variant>
      <vt:variant>
        <vt:i4>5</vt:i4>
      </vt:variant>
      <vt:variant>
        <vt:lpwstr/>
      </vt:variant>
      <vt:variant>
        <vt:lpwstr>_Toc243380878</vt:lpwstr>
      </vt:variant>
      <vt:variant>
        <vt:i4>1507377</vt:i4>
      </vt:variant>
      <vt:variant>
        <vt:i4>59</vt:i4>
      </vt:variant>
      <vt:variant>
        <vt:i4>0</vt:i4>
      </vt:variant>
      <vt:variant>
        <vt:i4>5</vt:i4>
      </vt:variant>
      <vt:variant>
        <vt:lpwstr/>
      </vt:variant>
      <vt:variant>
        <vt:lpwstr>_Toc243380877</vt:lpwstr>
      </vt:variant>
      <vt:variant>
        <vt:i4>1507377</vt:i4>
      </vt:variant>
      <vt:variant>
        <vt:i4>53</vt:i4>
      </vt:variant>
      <vt:variant>
        <vt:i4>0</vt:i4>
      </vt:variant>
      <vt:variant>
        <vt:i4>5</vt:i4>
      </vt:variant>
      <vt:variant>
        <vt:lpwstr/>
      </vt:variant>
      <vt:variant>
        <vt:lpwstr>_Toc243380876</vt:lpwstr>
      </vt:variant>
      <vt:variant>
        <vt:i4>1507377</vt:i4>
      </vt:variant>
      <vt:variant>
        <vt:i4>47</vt:i4>
      </vt:variant>
      <vt:variant>
        <vt:i4>0</vt:i4>
      </vt:variant>
      <vt:variant>
        <vt:i4>5</vt:i4>
      </vt:variant>
      <vt:variant>
        <vt:lpwstr/>
      </vt:variant>
      <vt:variant>
        <vt:lpwstr>_Toc243380875</vt:lpwstr>
      </vt:variant>
      <vt:variant>
        <vt:i4>1507377</vt:i4>
      </vt:variant>
      <vt:variant>
        <vt:i4>41</vt:i4>
      </vt:variant>
      <vt:variant>
        <vt:i4>0</vt:i4>
      </vt:variant>
      <vt:variant>
        <vt:i4>5</vt:i4>
      </vt:variant>
      <vt:variant>
        <vt:lpwstr/>
      </vt:variant>
      <vt:variant>
        <vt:lpwstr>_Toc243380874</vt:lpwstr>
      </vt:variant>
      <vt:variant>
        <vt:i4>1507377</vt:i4>
      </vt:variant>
      <vt:variant>
        <vt:i4>35</vt:i4>
      </vt:variant>
      <vt:variant>
        <vt:i4>0</vt:i4>
      </vt:variant>
      <vt:variant>
        <vt:i4>5</vt:i4>
      </vt:variant>
      <vt:variant>
        <vt:lpwstr/>
      </vt:variant>
      <vt:variant>
        <vt:lpwstr>_Toc243380873</vt:lpwstr>
      </vt:variant>
      <vt:variant>
        <vt:i4>1507377</vt:i4>
      </vt:variant>
      <vt:variant>
        <vt:i4>29</vt:i4>
      </vt:variant>
      <vt:variant>
        <vt:i4>0</vt:i4>
      </vt:variant>
      <vt:variant>
        <vt:i4>5</vt:i4>
      </vt:variant>
      <vt:variant>
        <vt:lpwstr/>
      </vt:variant>
      <vt:variant>
        <vt:lpwstr>_Toc243380872</vt:lpwstr>
      </vt:variant>
      <vt:variant>
        <vt:i4>1507377</vt:i4>
      </vt:variant>
      <vt:variant>
        <vt:i4>23</vt:i4>
      </vt:variant>
      <vt:variant>
        <vt:i4>0</vt:i4>
      </vt:variant>
      <vt:variant>
        <vt:i4>5</vt:i4>
      </vt:variant>
      <vt:variant>
        <vt:lpwstr/>
      </vt:variant>
      <vt:variant>
        <vt:lpwstr>_Toc243380871</vt:lpwstr>
      </vt:variant>
      <vt:variant>
        <vt:i4>1507377</vt:i4>
      </vt:variant>
      <vt:variant>
        <vt:i4>17</vt:i4>
      </vt:variant>
      <vt:variant>
        <vt:i4>0</vt:i4>
      </vt:variant>
      <vt:variant>
        <vt:i4>5</vt:i4>
      </vt:variant>
      <vt:variant>
        <vt:lpwstr/>
      </vt:variant>
      <vt:variant>
        <vt:lpwstr>_Toc243380870</vt:lpwstr>
      </vt:variant>
      <vt:variant>
        <vt:i4>1441841</vt:i4>
      </vt:variant>
      <vt:variant>
        <vt:i4>11</vt:i4>
      </vt:variant>
      <vt:variant>
        <vt:i4>0</vt:i4>
      </vt:variant>
      <vt:variant>
        <vt:i4>5</vt:i4>
      </vt:variant>
      <vt:variant>
        <vt:lpwstr/>
      </vt:variant>
      <vt:variant>
        <vt:lpwstr>_Toc243380869</vt:lpwstr>
      </vt:variant>
      <vt:variant>
        <vt:i4>1441841</vt:i4>
      </vt:variant>
      <vt:variant>
        <vt:i4>5</vt:i4>
      </vt:variant>
      <vt:variant>
        <vt:i4>0</vt:i4>
      </vt:variant>
      <vt:variant>
        <vt:i4>5</vt:i4>
      </vt:variant>
      <vt:variant>
        <vt:lpwstr/>
      </vt:variant>
      <vt:variant>
        <vt:lpwstr>_Toc243380868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LCMB7024 | Marketing Management</dc:creator>
  <cp:keywords/>
  <dc:description/>
  <cp:lastModifiedBy>Hiren Nathabhai Timba (2611854)</cp:lastModifiedBy>
  <cp:revision>2</cp:revision>
  <dcterms:created xsi:type="dcterms:W3CDTF">2026-10-22T10:49:00Z</dcterms:created>
  <dcterms:modified xsi:type="dcterms:W3CDTF">2026-10-22T10:49:00Z</dcterms:modified>
</cp:coreProperties>
</file>