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CE3C6" w14:textId="632311D0" w:rsidR="00B349FD" w:rsidRDefault="4B31E16F" w:rsidP="6AA30C24">
      <w:pPr>
        <w:spacing w:after="165" w:line="360" w:lineRule="auto"/>
        <w:rPr>
          <w:rFonts w:ascii="Aptos" w:eastAsia="Aptos" w:hAnsi="Aptos" w:cs="Aptos"/>
          <w:color w:val="000000" w:themeColor="text1"/>
        </w:rPr>
      </w:pPr>
      <w:r>
        <w:rPr>
          <w:noProof/>
        </w:rPr>
        <w:drawing>
          <wp:inline distT="0" distB="0" distL="0" distR="0" wp14:anchorId="38C50E2A" wp14:editId="0932BA03">
            <wp:extent cx="2219325" cy="742950"/>
            <wp:effectExtent l="0" t="0" r="0" b="0"/>
            <wp:docPr id="1883343626" name="drawing" title="Title: 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343626" name="Picture 1883343626"/>
                    <pic:cNvPicPr/>
                  </pic:nvPicPr>
                  <pic:blipFill>
                    <a:blip r:embed="rId5">
                      <a:extLst>
                        <a:ext uri="{28A0092B-C50C-407E-A947-70E740481C1C}">
                          <a14:useLocalDpi xmlns:a14="http://schemas.microsoft.com/office/drawing/2010/main"/>
                        </a:ext>
                      </a:extLst>
                    </a:blip>
                    <a:stretch>
                      <a:fillRect/>
                    </a:stretch>
                  </pic:blipFill>
                  <pic:spPr>
                    <a:xfrm>
                      <a:off x="0" y="0"/>
                      <a:ext cx="2219325" cy="742950"/>
                    </a:xfrm>
                    <a:prstGeom prst="rect">
                      <a:avLst/>
                    </a:prstGeom>
                  </pic:spPr>
                </pic:pic>
              </a:graphicData>
            </a:graphic>
          </wp:inline>
        </w:drawing>
      </w:r>
    </w:p>
    <w:p w14:paraId="0F39ED03" w14:textId="6836E0DF" w:rsidR="00B349FD" w:rsidRDefault="4B31E16F" w:rsidP="6AA30C24">
      <w:pPr>
        <w:spacing w:after="165" w:line="360" w:lineRule="auto"/>
        <w:jc w:val="center"/>
        <w:rPr>
          <w:rFonts w:ascii="Aptos" w:eastAsia="Aptos" w:hAnsi="Aptos" w:cs="Aptos"/>
          <w:color w:val="000000" w:themeColor="text1"/>
        </w:rPr>
      </w:pPr>
      <w:r w:rsidRPr="6AA30C24">
        <w:rPr>
          <w:rFonts w:ascii="Aptos" w:eastAsia="Aptos" w:hAnsi="Aptos" w:cs="Aptos"/>
          <w:color w:val="000000" w:themeColor="text1"/>
        </w:rPr>
        <w:t>Applied Leadership and Management in the Workplace</w:t>
      </w:r>
      <w:r>
        <w:br/>
      </w:r>
      <w:r w:rsidRPr="6AA30C24">
        <w:rPr>
          <w:rFonts w:ascii="Aptos" w:eastAsia="Aptos" w:hAnsi="Aptos" w:cs="Aptos"/>
          <w:color w:val="000000" w:themeColor="text1"/>
        </w:rPr>
        <w:t xml:space="preserve">Module Assignment Submission </w:t>
      </w:r>
      <w:r>
        <w:br/>
      </w:r>
      <w:r>
        <w:br/>
      </w:r>
      <w:r>
        <w:br/>
      </w:r>
    </w:p>
    <w:tbl>
      <w:tblPr>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3255"/>
        <w:gridCol w:w="5715"/>
      </w:tblGrid>
      <w:tr w:rsidR="6AA30C24" w14:paraId="6BD285F3" w14:textId="77777777" w:rsidTr="6AA30C2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3C746BBC" w14:textId="4BDFE963" w:rsidR="6AA30C24" w:rsidRDefault="6AA30C24" w:rsidP="6AA30C24">
            <w:pPr>
              <w:spacing w:before="120" w:after="120" w:line="360" w:lineRule="auto"/>
              <w:rPr>
                <w:rFonts w:ascii="Aptos" w:eastAsia="Aptos" w:hAnsi="Aptos" w:cs="Aptos"/>
                <w:color w:val="000000" w:themeColor="text1"/>
              </w:rPr>
            </w:pPr>
            <w:r w:rsidRPr="6AA30C24">
              <w:rPr>
                <w:rFonts w:ascii="Aptos" w:eastAsia="Aptos" w:hAnsi="Aptos" w:cs="Aptos"/>
                <w:color w:val="000000" w:themeColor="text1"/>
              </w:rPr>
              <w:t>Student Name:</w:t>
            </w:r>
          </w:p>
        </w:tc>
        <w:tc>
          <w:tcPr>
            <w:tcW w:w="5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DC7E6E0" w14:textId="63078CAA" w:rsidR="6AA30C24" w:rsidRDefault="6AA30C24" w:rsidP="6AA30C24">
            <w:pPr>
              <w:spacing w:before="120" w:after="120" w:line="360" w:lineRule="auto"/>
              <w:rPr>
                <w:rFonts w:ascii="Aptos" w:eastAsia="Aptos" w:hAnsi="Aptos" w:cs="Aptos"/>
              </w:rPr>
            </w:pPr>
            <w:r w:rsidRPr="6AA30C24">
              <w:rPr>
                <w:rFonts w:ascii="Aptos" w:eastAsia="Aptos" w:hAnsi="Aptos" w:cs="Aptos"/>
              </w:rPr>
              <w:t>Tanya Regan.</w:t>
            </w:r>
          </w:p>
        </w:tc>
      </w:tr>
      <w:tr w:rsidR="6AA30C24" w14:paraId="08AE45C9" w14:textId="77777777" w:rsidTr="6AA30C2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3017408D" w14:textId="7973CB3A" w:rsidR="6AA30C24" w:rsidRDefault="6AA30C24" w:rsidP="6AA30C24">
            <w:pPr>
              <w:spacing w:before="120" w:after="120" w:line="360" w:lineRule="auto"/>
              <w:rPr>
                <w:rFonts w:ascii="Aptos" w:eastAsia="Aptos" w:hAnsi="Aptos" w:cs="Aptos"/>
                <w:color w:val="000000" w:themeColor="text1"/>
              </w:rPr>
            </w:pPr>
            <w:r w:rsidRPr="6AA30C24">
              <w:rPr>
                <w:rFonts w:ascii="Aptos" w:eastAsia="Aptos" w:hAnsi="Aptos" w:cs="Aptos"/>
                <w:color w:val="000000" w:themeColor="text1"/>
              </w:rPr>
              <w:t>Student Number:</w:t>
            </w:r>
          </w:p>
        </w:tc>
        <w:tc>
          <w:tcPr>
            <w:tcW w:w="5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E6C6A00" w14:textId="5CF7FFE8" w:rsidR="6AA30C24" w:rsidRDefault="6AA30C24" w:rsidP="6AA30C24">
            <w:pPr>
              <w:spacing w:before="120" w:after="120" w:line="360" w:lineRule="auto"/>
              <w:rPr>
                <w:rFonts w:ascii="Aptos" w:eastAsia="Aptos" w:hAnsi="Aptos" w:cs="Aptos"/>
              </w:rPr>
            </w:pPr>
            <w:r w:rsidRPr="6AA30C24">
              <w:rPr>
                <w:rFonts w:ascii="Aptos" w:eastAsia="Aptos" w:hAnsi="Aptos" w:cs="Aptos"/>
              </w:rPr>
              <w:t>2319051</w:t>
            </w:r>
          </w:p>
        </w:tc>
      </w:tr>
      <w:tr w:rsidR="6AA30C24" w14:paraId="52B7A060" w14:textId="77777777" w:rsidTr="6AA30C24">
        <w:trPr>
          <w:trHeight w:val="28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3A0F62D1" w14:textId="059BE974" w:rsidR="6AA30C24" w:rsidRDefault="6AA30C24" w:rsidP="6AA30C24">
            <w:pPr>
              <w:spacing w:before="120" w:after="120" w:line="360" w:lineRule="auto"/>
              <w:rPr>
                <w:rFonts w:ascii="Aptos" w:eastAsia="Aptos" w:hAnsi="Aptos" w:cs="Aptos"/>
                <w:color w:val="000000" w:themeColor="text1"/>
              </w:rPr>
            </w:pPr>
            <w:r w:rsidRPr="6AA30C24">
              <w:rPr>
                <w:rFonts w:ascii="Aptos" w:eastAsia="Aptos" w:hAnsi="Aptos" w:cs="Aptos"/>
                <w:color w:val="000000" w:themeColor="text1"/>
              </w:rPr>
              <w:t>Module No:</w:t>
            </w:r>
          </w:p>
        </w:tc>
        <w:tc>
          <w:tcPr>
            <w:tcW w:w="5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430358B" w14:textId="452FAE52" w:rsidR="6AA30C24" w:rsidRDefault="6AA30C24" w:rsidP="6AA30C24">
            <w:pPr>
              <w:spacing w:before="120" w:after="120" w:line="360" w:lineRule="auto"/>
              <w:rPr>
                <w:rFonts w:ascii="Aptos" w:eastAsia="Aptos" w:hAnsi="Aptos" w:cs="Aptos"/>
              </w:rPr>
            </w:pPr>
            <w:r w:rsidRPr="6AA30C24">
              <w:rPr>
                <w:rFonts w:ascii="Aptos" w:eastAsia="Aptos" w:hAnsi="Aptos" w:cs="Aptos"/>
              </w:rPr>
              <w:t>BMSK60</w:t>
            </w:r>
            <w:r w:rsidR="14A4FA6D" w:rsidRPr="6AA30C24">
              <w:rPr>
                <w:rFonts w:ascii="Aptos" w:eastAsia="Aptos" w:hAnsi="Aptos" w:cs="Aptos"/>
              </w:rPr>
              <w:t>12</w:t>
            </w:r>
          </w:p>
        </w:tc>
      </w:tr>
      <w:tr w:rsidR="6AA30C24" w14:paraId="659462E9" w14:textId="77777777" w:rsidTr="6AA30C24">
        <w:trPr>
          <w:trHeight w:val="405"/>
        </w:trPr>
        <w:tc>
          <w:tcPr>
            <w:tcW w:w="325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45C0B37D" w14:textId="0F051648" w:rsidR="6AA30C24" w:rsidRDefault="6AA30C24" w:rsidP="6AA30C24">
            <w:pPr>
              <w:spacing w:before="120" w:after="120" w:line="360" w:lineRule="auto"/>
              <w:rPr>
                <w:rFonts w:ascii="Aptos" w:eastAsia="Aptos" w:hAnsi="Aptos" w:cs="Aptos"/>
                <w:color w:val="000000" w:themeColor="text1"/>
              </w:rPr>
            </w:pPr>
            <w:r w:rsidRPr="6AA30C24">
              <w:rPr>
                <w:rFonts w:ascii="Aptos" w:eastAsia="Aptos" w:hAnsi="Aptos" w:cs="Aptos"/>
                <w:color w:val="000000" w:themeColor="text1"/>
              </w:rPr>
              <w:t>Module Title:</w:t>
            </w:r>
          </w:p>
        </w:tc>
        <w:tc>
          <w:tcPr>
            <w:tcW w:w="5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714E71E" w14:textId="510DF1E3" w:rsidR="6AA30C24" w:rsidRPr="00376DAD" w:rsidRDefault="002554EE" w:rsidP="6AA30C24">
            <w:pPr>
              <w:spacing w:before="120" w:after="120" w:line="360" w:lineRule="auto"/>
              <w:rPr>
                <w:rFonts w:ascii="Aptos" w:eastAsia="Aptos" w:hAnsi="Aptos" w:cs="Aptos"/>
                <w:b/>
                <w:bCs/>
              </w:rPr>
            </w:pPr>
            <w:r w:rsidRPr="002554EE">
              <w:rPr>
                <w:rFonts w:ascii="Aptos" w:eastAsia="Aptos" w:hAnsi="Aptos" w:cs="Aptos"/>
                <w:b/>
                <w:bCs/>
              </w:rPr>
              <w:t>Developing Creativity and Innovation for Competitive Advantag</w:t>
            </w:r>
            <w:r>
              <w:rPr>
                <w:rFonts w:ascii="Aptos" w:eastAsia="Aptos" w:hAnsi="Aptos" w:cs="Aptos"/>
                <w:b/>
                <w:bCs/>
              </w:rPr>
              <w:t>e</w:t>
            </w:r>
          </w:p>
        </w:tc>
      </w:tr>
    </w:tbl>
    <w:p w14:paraId="75C4535A" w14:textId="776B67C9" w:rsidR="00B349FD" w:rsidRDefault="4B31E16F" w:rsidP="6AA30C24">
      <w:pPr>
        <w:spacing w:before="120" w:after="120" w:line="360" w:lineRule="auto"/>
        <w:rPr>
          <w:rFonts w:ascii="Aptos" w:eastAsia="Aptos" w:hAnsi="Aptos" w:cs="Aptos"/>
          <w:color w:val="FF0000"/>
        </w:rPr>
      </w:pPr>
      <w:r w:rsidRPr="6AA30C24">
        <w:rPr>
          <w:rFonts w:ascii="Aptos" w:eastAsia="Aptos" w:hAnsi="Aptos" w:cs="Aptos"/>
          <w:color w:val="FF0000"/>
          <w:lang w:val="en-US"/>
        </w:rPr>
        <w:t xml:space="preserve"> </w:t>
      </w:r>
    </w:p>
    <w:p w14:paraId="715E460C" w14:textId="30E3FB47" w:rsidR="00B349FD" w:rsidRDefault="4B31E16F" w:rsidP="6AA30C24">
      <w:pPr>
        <w:spacing w:before="120" w:after="120" w:line="360" w:lineRule="auto"/>
        <w:rPr>
          <w:rFonts w:ascii="Aptos" w:eastAsia="Aptos" w:hAnsi="Aptos" w:cs="Aptos"/>
          <w:color w:val="000000" w:themeColor="text1"/>
        </w:rPr>
      </w:pPr>
      <w:r w:rsidRPr="6AA30C24">
        <w:rPr>
          <w:rFonts w:ascii="Aptos" w:eastAsia="Aptos" w:hAnsi="Aptos" w:cs="Aptos"/>
          <w:b/>
          <w:bCs/>
          <w:color w:val="000000" w:themeColor="text1"/>
        </w:rPr>
        <w:t>Statement of Confirmation of Authenticity</w:t>
      </w:r>
    </w:p>
    <w:p w14:paraId="4CD57BB6" w14:textId="1CAA2022" w:rsidR="00B349FD" w:rsidRDefault="4B31E16F" w:rsidP="6AA30C24">
      <w:pPr>
        <w:spacing w:before="120" w:after="120" w:line="360" w:lineRule="auto"/>
        <w:rPr>
          <w:rFonts w:ascii="Aptos" w:eastAsia="Aptos" w:hAnsi="Aptos" w:cs="Aptos"/>
          <w:color w:val="000000" w:themeColor="text1"/>
        </w:rPr>
      </w:pPr>
      <w:r w:rsidRPr="6AA30C24">
        <w:rPr>
          <w:rFonts w:ascii="Aptos" w:eastAsia="Aptos" w:hAnsi="Aptos" w:cs="Aptos"/>
          <w:color w:val="000000" w:themeColor="text1"/>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5787A5" w14:textId="4FC307A1" w:rsidR="00B349FD" w:rsidRDefault="4B31E16F" w:rsidP="6AA30C24">
      <w:r w:rsidRPr="6AA30C24">
        <w:rPr>
          <w:rFonts w:ascii="Aptos" w:eastAsia="Aptos" w:hAnsi="Aptos" w:cs="Aptos"/>
          <w:color w:val="000000" w:themeColor="text1"/>
        </w:rPr>
        <w:t>Attention is drawn to the plagiarism and unfair practice policies of both the University and of ILM.</w:t>
      </w:r>
    </w:p>
    <w:p w14:paraId="2D752743" w14:textId="1D6DD0FF" w:rsidR="6AA30C24" w:rsidRDefault="6AA30C24">
      <w:r>
        <w:br w:type="page"/>
      </w:r>
    </w:p>
    <w:sdt>
      <w:sdtPr>
        <w:id w:val="574681167"/>
        <w:docPartObj>
          <w:docPartGallery w:val="Table of Contents"/>
          <w:docPartUnique/>
        </w:docPartObj>
      </w:sdtPr>
      <w:sdtContent>
        <w:p w14:paraId="5EEF95A6" w14:textId="2B2556EF" w:rsidR="6AA30C24" w:rsidRDefault="6AA30C24" w:rsidP="3BDF8C04">
          <w:pPr>
            <w:pStyle w:val="TOC1"/>
            <w:tabs>
              <w:tab w:val="right" w:leader="dot" w:pos="9015"/>
            </w:tabs>
          </w:pPr>
          <w:r>
            <w:fldChar w:fldCharType="begin"/>
          </w:r>
          <w:r>
            <w:instrText>TOC \o "1-9" \z \u \h</w:instrText>
          </w:r>
          <w:r>
            <w:fldChar w:fldCharType="separate"/>
          </w:r>
          <w:hyperlink w:anchor="_Toc596613798" w:history="1">
            <w:r w:rsidR="3BDF8C04">
              <w:t>Introduction</w:t>
            </w:r>
            <w:r>
              <w:tab/>
            </w:r>
            <w:r>
              <w:fldChar w:fldCharType="begin"/>
            </w:r>
            <w:r>
              <w:instrText>PAGEREF _Toc596613798 \h</w:instrText>
            </w:r>
            <w:r>
              <w:fldChar w:fldCharType="separate"/>
            </w:r>
            <w:r w:rsidR="3BDF8C04">
              <w:t>2</w:t>
            </w:r>
            <w:r>
              <w:fldChar w:fldCharType="end"/>
            </w:r>
          </w:hyperlink>
        </w:p>
        <w:p w14:paraId="281D7A7C" w14:textId="2CCA3BFE" w:rsidR="6AA30C24" w:rsidRDefault="3BDF8C04" w:rsidP="3BDF8C04">
          <w:pPr>
            <w:pStyle w:val="TOC1"/>
            <w:tabs>
              <w:tab w:val="right" w:leader="dot" w:pos="9015"/>
            </w:tabs>
          </w:pPr>
          <w:hyperlink w:anchor="_Toc129341698" w:history="1">
            <w:r>
              <w:t>Organisations that have successfully created a culture of creativity and innovation</w:t>
            </w:r>
            <w:r w:rsidR="6AA30C24">
              <w:tab/>
            </w:r>
            <w:r w:rsidR="6AA30C24">
              <w:fldChar w:fldCharType="begin"/>
            </w:r>
            <w:r w:rsidR="6AA30C24">
              <w:instrText>PAGEREF _Toc129341698 \h</w:instrText>
            </w:r>
            <w:r w:rsidR="6AA30C24">
              <w:fldChar w:fldCharType="separate"/>
            </w:r>
            <w:r>
              <w:t>3</w:t>
            </w:r>
            <w:r w:rsidR="6AA30C24">
              <w:fldChar w:fldCharType="end"/>
            </w:r>
          </w:hyperlink>
        </w:p>
        <w:p w14:paraId="516DA03C" w14:textId="5E98C270" w:rsidR="6AA30C24" w:rsidRDefault="3BDF8C04" w:rsidP="3BDF8C04">
          <w:pPr>
            <w:pStyle w:val="TOC1"/>
            <w:tabs>
              <w:tab w:val="right" w:leader="dot" w:pos="9015"/>
            </w:tabs>
          </w:pPr>
          <w:hyperlink w:anchor="_Toc525219970" w:history="1">
            <w:r>
              <w:t>Using at least two recognised models of innovation, critically examine the ability of the organisation to innovate effectively.</w:t>
            </w:r>
            <w:r w:rsidR="6AA30C24">
              <w:tab/>
            </w:r>
            <w:r w:rsidR="6AA30C24">
              <w:fldChar w:fldCharType="begin"/>
            </w:r>
            <w:r w:rsidR="6AA30C24">
              <w:instrText>PAGEREF _Toc525219970 \h</w:instrText>
            </w:r>
            <w:r w:rsidR="6AA30C24">
              <w:fldChar w:fldCharType="separate"/>
            </w:r>
            <w:r>
              <w:t>3</w:t>
            </w:r>
            <w:r w:rsidR="6AA30C24">
              <w:fldChar w:fldCharType="end"/>
            </w:r>
          </w:hyperlink>
        </w:p>
        <w:p w14:paraId="6E50E0C9" w14:textId="4CC18F30" w:rsidR="6AA30C24" w:rsidRDefault="3BDF8C04" w:rsidP="3BDF8C04">
          <w:pPr>
            <w:pStyle w:val="TOC2"/>
            <w:tabs>
              <w:tab w:val="right" w:leader="dot" w:pos="9015"/>
            </w:tabs>
          </w:pPr>
          <w:hyperlink w:anchor="_Toc412002938" w:history="1">
            <w:r>
              <w:t>Recognised innovate leadership models</w:t>
            </w:r>
            <w:r w:rsidR="6AA30C24">
              <w:tab/>
            </w:r>
            <w:r w:rsidR="6AA30C24">
              <w:fldChar w:fldCharType="begin"/>
            </w:r>
            <w:r w:rsidR="6AA30C24">
              <w:instrText>PAGEREF _Toc412002938 \h</w:instrText>
            </w:r>
            <w:r w:rsidR="6AA30C24">
              <w:fldChar w:fldCharType="separate"/>
            </w:r>
            <w:r>
              <w:t>3</w:t>
            </w:r>
            <w:r w:rsidR="6AA30C24">
              <w:fldChar w:fldCharType="end"/>
            </w:r>
          </w:hyperlink>
        </w:p>
        <w:p w14:paraId="1C88991E" w14:textId="7BFE2DF8" w:rsidR="6AA30C24" w:rsidRDefault="3BDF8C04" w:rsidP="3BDF8C04">
          <w:pPr>
            <w:pStyle w:val="TOC3"/>
            <w:tabs>
              <w:tab w:val="right" w:leader="dot" w:pos="9015"/>
            </w:tabs>
          </w:pPr>
          <w:hyperlink w:anchor="_Toc1063718820" w:history="1">
            <w:r>
              <w:t>Stage gate model.</w:t>
            </w:r>
            <w:r w:rsidR="6AA30C24">
              <w:tab/>
            </w:r>
            <w:r w:rsidR="6AA30C24">
              <w:fldChar w:fldCharType="begin"/>
            </w:r>
            <w:r w:rsidR="6AA30C24">
              <w:instrText>PAGEREF _Toc1063718820 \h</w:instrText>
            </w:r>
            <w:r w:rsidR="6AA30C24">
              <w:fldChar w:fldCharType="separate"/>
            </w:r>
            <w:r>
              <w:t>4</w:t>
            </w:r>
            <w:r w:rsidR="6AA30C24">
              <w:fldChar w:fldCharType="end"/>
            </w:r>
          </w:hyperlink>
        </w:p>
        <w:p w14:paraId="496DABD2" w14:textId="0D569D63" w:rsidR="42900A9B" w:rsidRDefault="3BDF8C04" w:rsidP="3BDF8C04">
          <w:pPr>
            <w:pStyle w:val="TOC3"/>
            <w:tabs>
              <w:tab w:val="right" w:leader="dot" w:pos="9015"/>
            </w:tabs>
          </w:pPr>
          <w:hyperlink w:anchor="_Toc403848666" w:history="1">
            <w:r>
              <w:t>Conclusion</w:t>
            </w:r>
            <w:r w:rsidR="42900A9B">
              <w:tab/>
            </w:r>
            <w:r w:rsidR="42900A9B">
              <w:fldChar w:fldCharType="begin"/>
            </w:r>
            <w:r w:rsidR="42900A9B">
              <w:instrText>PAGEREF _Toc403848666 \h</w:instrText>
            </w:r>
            <w:r w:rsidR="42900A9B">
              <w:fldChar w:fldCharType="separate"/>
            </w:r>
            <w:r>
              <w:t>5</w:t>
            </w:r>
            <w:r w:rsidR="42900A9B">
              <w:fldChar w:fldCharType="end"/>
            </w:r>
          </w:hyperlink>
        </w:p>
        <w:p w14:paraId="45B0CC96" w14:textId="468CC82D" w:rsidR="42900A9B" w:rsidRDefault="3BDF8C04" w:rsidP="3BDF8C04">
          <w:pPr>
            <w:pStyle w:val="TOC3"/>
            <w:tabs>
              <w:tab w:val="right" w:leader="dot" w:pos="9015"/>
            </w:tabs>
          </w:pPr>
          <w:hyperlink w:anchor="_Toc165650520" w:history="1">
            <w:r>
              <w:t>Pearson's Uncertainty Map</w:t>
            </w:r>
            <w:r w:rsidR="42900A9B">
              <w:tab/>
            </w:r>
            <w:r w:rsidR="42900A9B">
              <w:fldChar w:fldCharType="begin"/>
            </w:r>
            <w:r w:rsidR="42900A9B">
              <w:instrText>PAGEREF _Toc165650520 \h</w:instrText>
            </w:r>
            <w:r w:rsidR="42900A9B">
              <w:fldChar w:fldCharType="separate"/>
            </w:r>
            <w:r>
              <w:t>5</w:t>
            </w:r>
            <w:r w:rsidR="42900A9B">
              <w:fldChar w:fldCharType="end"/>
            </w:r>
          </w:hyperlink>
        </w:p>
        <w:p w14:paraId="5B810C3D" w14:textId="7A631275" w:rsidR="42900A9B" w:rsidRDefault="3BDF8C04" w:rsidP="3BDF8C04">
          <w:pPr>
            <w:pStyle w:val="TOC3"/>
            <w:tabs>
              <w:tab w:val="right" w:leader="dot" w:pos="9015"/>
            </w:tabs>
          </w:pPr>
          <w:hyperlink w:anchor="_Toc1436451951" w:history="1">
            <w:r>
              <w:t>Conclusion</w:t>
            </w:r>
            <w:r w:rsidR="42900A9B">
              <w:tab/>
            </w:r>
            <w:r w:rsidR="42900A9B">
              <w:fldChar w:fldCharType="begin"/>
            </w:r>
            <w:r w:rsidR="42900A9B">
              <w:instrText>PAGEREF _Toc1436451951 \h</w:instrText>
            </w:r>
            <w:r w:rsidR="42900A9B">
              <w:fldChar w:fldCharType="separate"/>
            </w:r>
            <w:r>
              <w:t>6</w:t>
            </w:r>
            <w:r w:rsidR="42900A9B">
              <w:fldChar w:fldCharType="end"/>
            </w:r>
          </w:hyperlink>
        </w:p>
        <w:p w14:paraId="1FCA2C80" w14:textId="323F8EAB" w:rsidR="2AD22373" w:rsidRDefault="3BDF8C04" w:rsidP="3BDF8C04">
          <w:pPr>
            <w:pStyle w:val="TOC2"/>
            <w:tabs>
              <w:tab w:val="right" w:leader="dot" w:pos="9015"/>
            </w:tabs>
          </w:pPr>
          <w:hyperlink w:anchor="_Toc1544477542" w:history="1">
            <w:r>
              <w:t>Stage gate, uncertainty map conclusion</w:t>
            </w:r>
            <w:r w:rsidR="2AD22373">
              <w:tab/>
            </w:r>
            <w:r w:rsidR="2AD22373">
              <w:fldChar w:fldCharType="begin"/>
            </w:r>
            <w:r w:rsidR="2AD22373">
              <w:instrText>PAGEREF _Toc1544477542 \h</w:instrText>
            </w:r>
            <w:r w:rsidR="2AD22373">
              <w:fldChar w:fldCharType="separate"/>
            </w:r>
            <w:r>
              <w:t>6</w:t>
            </w:r>
            <w:r w:rsidR="2AD22373">
              <w:fldChar w:fldCharType="end"/>
            </w:r>
          </w:hyperlink>
        </w:p>
        <w:p w14:paraId="12B21628" w14:textId="64582218" w:rsidR="2AD22373" w:rsidRDefault="3BDF8C04" w:rsidP="3BDF8C04">
          <w:pPr>
            <w:pStyle w:val="TOC1"/>
            <w:tabs>
              <w:tab w:val="right" w:leader="dot" w:pos="9015"/>
            </w:tabs>
          </w:pPr>
          <w:hyperlink w:anchor="_Toc1709156144" w:history="1">
            <w:r>
              <w:t>Evaluate an organisations’ ability to harness creativity and foster a creative culture in the workplace</w:t>
            </w:r>
            <w:r w:rsidR="2AD22373">
              <w:tab/>
            </w:r>
            <w:r w:rsidR="2AD22373">
              <w:fldChar w:fldCharType="begin"/>
            </w:r>
            <w:r w:rsidR="2AD22373">
              <w:instrText>PAGEREF _Toc1709156144 \h</w:instrText>
            </w:r>
            <w:r w:rsidR="2AD22373">
              <w:fldChar w:fldCharType="separate"/>
            </w:r>
            <w:r>
              <w:t>6</w:t>
            </w:r>
            <w:r w:rsidR="2AD22373">
              <w:fldChar w:fldCharType="end"/>
            </w:r>
          </w:hyperlink>
        </w:p>
        <w:p w14:paraId="6C40951B" w14:textId="180A53E3" w:rsidR="2AD22373" w:rsidRDefault="3BDF8C04" w:rsidP="3BDF8C04">
          <w:pPr>
            <w:pStyle w:val="TOC2"/>
            <w:tabs>
              <w:tab w:val="right" w:leader="dot" w:pos="9015"/>
            </w:tabs>
          </w:pPr>
          <w:hyperlink w:anchor="_Toc865170533" w:history="1">
            <w:r>
              <w:t>Introduction to creativity in the work place</w:t>
            </w:r>
            <w:r w:rsidR="2AD22373">
              <w:tab/>
            </w:r>
            <w:r w:rsidR="2AD22373">
              <w:fldChar w:fldCharType="begin"/>
            </w:r>
            <w:r w:rsidR="2AD22373">
              <w:instrText>PAGEREF _Toc865170533 \h</w:instrText>
            </w:r>
            <w:r w:rsidR="2AD22373">
              <w:fldChar w:fldCharType="separate"/>
            </w:r>
            <w:r>
              <w:t>7</w:t>
            </w:r>
            <w:r w:rsidR="2AD22373">
              <w:fldChar w:fldCharType="end"/>
            </w:r>
          </w:hyperlink>
        </w:p>
        <w:p w14:paraId="15BB26C5" w14:textId="72A39E6E" w:rsidR="2AD22373" w:rsidRDefault="3BDF8C04" w:rsidP="3BDF8C04">
          <w:pPr>
            <w:pStyle w:val="TOC2"/>
            <w:tabs>
              <w:tab w:val="right" w:leader="dot" w:pos="9015"/>
            </w:tabs>
          </w:pPr>
          <w:hyperlink w:anchor="_Toc848652293" w:history="1">
            <w:r>
              <w:t>DVLAs ability of harnessing creativity</w:t>
            </w:r>
            <w:r w:rsidR="2AD22373">
              <w:tab/>
            </w:r>
            <w:r w:rsidR="2AD22373">
              <w:fldChar w:fldCharType="begin"/>
            </w:r>
            <w:r w:rsidR="2AD22373">
              <w:instrText>PAGEREF _Toc848652293 \h</w:instrText>
            </w:r>
            <w:r w:rsidR="2AD22373">
              <w:fldChar w:fldCharType="separate"/>
            </w:r>
            <w:r>
              <w:t>7</w:t>
            </w:r>
            <w:r w:rsidR="2AD22373">
              <w:fldChar w:fldCharType="end"/>
            </w:r>
          </w:hyperlink>
        </w:p>
        <w:p w14:paraId="70D4489B" w14:textId="3F9E21CC" w:rsidR="2AD22373" w:rsidRDefault="3BDF8C04" w:rsidP="3BDF8C04">
          <w:pPr>
            <w:pStyle w:val="TOC3"/>
            <w:tabs>
              <w:tab w:val="right" w:leader="dot" w:pos="9015"/>
            </w:tabs>
          </w:pPr>
          <w:hyperlink w:anchor="_Toc726720237" w:history="1">
            <w:r>
              <w:t>Conclusion</w:t>
            </w:r>
            <w:r w:rsidR="2AD22373">
              <w:tab/>
            </w:r>
            <w:r w:rsidR="2AD22373">
              <w:fldChar w:fldCharType="begin"/>
            </w:r>
            <w:r w:rsidR="2AD22373">
              <w:instrText>PAGEREF _Toc726720237 \h</w:instrText>
            </w:r>
            <w:r w:rsidR="2AD22373">
              <w:fldChar w:fldCharType="separate"/>
            </w:r>
            <w:r>
              <w:t>8</w:t>
            </w:r>
            <w:r w:rsidR="2AD22373">
              <w:fldChar w:fldCharType="end"/>
            </w:r>
          </w:hyperlink>
        </w:p>
        <w:p w14:paraId="16C1FDB9" w14:textId="201E6DDD" w:rsidR="2AD22373" w:rsidRDefault="3BDF8C04" w:rsidP="3BDF8C04">
          <w:pPr>
            <w:pStyle w:val="TOC2"/>
            <w:tabs>
              <w:tab w:val="right" w:leader="dot" w:pos="9015"/>
            </w:tabs>
          </w:pPr>
          <w:hyperlink w:anchor="_Toc1232270278" w:history="1">
            <w:r>
              <w:t>How DVLA fosters creativity and exploring the current culture</w:t>
            </w:r>
            <w:r w:rsidR="2AD22373">
              <w:tab/>
            </w:r>
            <w:r w:rsidR="2AD22373">
              <w:fldChar w:fldCharType="begin"/>
            </w:r>
            <w:r w:rsidR="2AD22373">
              <w:instrText>PAGEREF _Toc1232270278 \h</w:instrText>
            </w:r>
            <w:r w:rsidR="2AD22373">
              <w:fldChar w:fldCharType="separate"/>
            </w:r>
            <w:r>
              <w:t>9</w:t>
            </w:r>
            <w:r w:rsidR="2AD22373">
              <w:fldChar w:fldCharType="end"/>
            </w:r>
          </w:hyperlink>
        </w:p>
        <w:p w14:paraId="5244BF08" w14:textId="120F87BF" w:rsidR="2AD22373" w:rsidRDefault="3BDF8C04" w:rsidP="3BDF8C04">
          <w:pPr>
            <w:pStyle w:val="TOC2"/>
            <w:tabs>
              <w:tab w:val="right" w:leader="dot" w:pos="9015"/>
            </w:tabs>
          </w:pPr>
          <w:hyperlink w:anchor="_Toc191660578" w:history="1">
            <w:r>
              <w:t>Ways to improve DVLA's culture for creativity</w:t>
            </w:r>
            <w:r w:rsidR="2AD22373">
              <w:tab/>
            </w:r>
            <w:r w:rsidR="2AD22373">
              <w:fldChar w:fldCharType="begin"/>
            </w:r>
            <w:r w:rsidR="2AD22373">
              <w:instrText>PAGEREF _Toc191660578 \h</w:instrText>
            </w:r>
            <w:r w:rsidR="2AD22373">
              <w:fldChar w:fldCharType="separate"/>
            </w:r>
            <w:r>
              <w:t>9</w:t>
            </w:r>
            <w:r w:rsidR="2AD22373">
              <w:fldChar w:fldCharType="end"/>
            </w:r>
          </w:hyperlink>
        </w:p>
        <w:p w14:paraId="7619551F" w14:textId="3A7FDBB7" w:rsidR="3BDF8C04" w:rsidRDefault="3BDF8C04" w:rsidP="3BDF8C04">
          <w:pPr>
            <w:pStyle w:val="TOC3"/>
            <w:tabs>
              <w:tab w:val="right" w:leader="dot" w:pos="9015"/>
            </w:tabs>
          </w:pPr>
          <w:hyperlink w:anchor="_Toc1024711187" w:history="1">
            <w:r>
              <w:t>Conclusion</w:t>
            </w:r>
            <w:r>
              <w:tab/>
            </w:r>
            <w:r>
              <w:fldChar w:fldCharType="begin"/>
            </w:r>
            <w:r>
              <w:instrText>PAGEREF _Toc1024711187 \h</w:instrText>
            </w:r>
            <w:r>
              <w:fldChar w:fldCharType="separate"/>
            </w:r>
            <w:r>
              <w:t>10</w:t>
            </w:r>
            <w:r>
              <w:fldChar w:fldCharType="end"/>
            </w:r>
          </w:hyperlink>
        </w:p>
        <w:p w14:paraId="27BF5CDF" w14:textId="691FA9DB" w:rsidR="3BDF8C04" w:rsidRDefault="3BDF8C04" w:rsidP="3BDF8C04">
          <w:pPr>
            <w:pStyle w:val="TOC2"/>
            <w:tabs>
              <w:tab w:val="right" w:leader="dot" w:pos="9015"/>
            </w:tabs>
          </w:pPr>
          <w:hyperlink w:anchor="_Toc1721060320" w:history="1">
            <w:r>
              <w:t>Interorganisational working, how does this create a creative culture?</w:t>
            </w:r>
            <w:r>
              <w:tab/>
            </w:r>
            <w:r>
              <w:fldChar w:fldCharType="begin"/>
            </w:r>
            <w:r>
              <w:instrText>PAGEREF _Toc1721060320 \h</w:instrText>
            </w:r>
            <w:r>
              <w:fldChar w:fldCharType="separate"/>
            </w:r>
            <w:r>
              <w:t>11</w:t>
            </w:r>
            <w:r>
              <w:fldChar w:fldCharType="end"/>
            </w:r>
          </w:hyperlink>
        </w:p>
        <w:p w14:paraId="3929860B" w14:textId="1B19A685" w:rsidR="3BDF8C04" w:rsidRDefault="3BDF8C04" w:rsidP="3BDF8C04">
          <w:pPr>
            <w:pStyle w:val="TOC3"/>
            <w:tabs>
              <w:tab w:val="right" w:leader="dot" w:pos="9015"/>
            </w:tabs>
          </w:pPr>
          <w:hyperlink w:anchor="_Toc548172555" w:history="1">
            <w:r>
              <w:t>How this could help DVLA</w:t>
            </w:r>
            <w:r>
              <w:tab/>
            </w:r>
            <w:r>
              <w:fldChar w:fldCharType="begin"/>
            </w:r>
            <w:r>
              <w:instrText>PAGEREF _Toc548172555 \h</w:instrText>
            </w:r>
            <w:r>
              <w:fldChar w:fldCharType="separate"/>
            </w:r>
            <w:r>
              <w:t>11</w:t>
            </w:r>
            <w:r>
              <w:fldChar w:fldCharType="end"/>
            </w:r>
          </w:hyperlink>
        </w:p>
        <w:p w14:paraId="62B6E35E" w14:textId="7EEABEE6" w:rsidR="6AA30C24" w:rsidRDefault="6AA30C24">
          <w:r>
            <w:fldChar w:fldCharType="end"/>
          </w:r>
        </w:p>
      </w:sdtContent>
    </w:sdt>
    <w:p w14:paraId="6A1D8AF7" w14:textId="125A3541" w:rsidR="6AA30C24" w:rsidRDefault="6AA30C24" w:rsidP="6AA30C24">
      <w:pPr>
        <w:rPr>
          <w:rFonts w:ascii="Aptos" w:eastAsia="Aptos" w:hAnsi="Aptos" w:cs="Aptos"/>
          <w:color w:val="000000" w:themeColor="text1"/>
        </w:rPr>
      </w:pPr>
    </w:p>
    <w:p w14:paraId="572B1E16" w14:textId="7839C743" w:rsidR="6AA30C24" w:rsidRDefault="6AA30C24">
      <w:r>
        <w:br w:type="page"/>
      </w:r>
    </w:p>
    <w:p w14:paraId="5583E7DB" w14:textId="114194FF" w:rsidR="5BB32F81" w:rsidRDefault="5BB32F81" w:rsidP="3BDF8C04">
      <w:pPr>
        <w:pStyle w:val="Heading1"/>
      </w:pPr>
      <w:bookmarkStart w:id="0" w:name="_Toc596613798"/>
      <w:r w:rsidRPr="3BDF8C04">
        <w:rPr>
          <w:color w:val="auto"/>
        </w:rPr>
        <w:lastRenderedPageBreak/>
        <w:t>Introduction</w:t>
      </w:r>
      <w:bookmarkEnd w:id="0"/>
    </w:p>
    <w:p w14:paraId="5285CDAD" w14:textId="7462F938" w:rsidR="01E45CB0" w:rsidRDefault="01E45CB0" w:rsidP="3BDF8C04">
      <w:r w:rsidRPr="3BDF8C04">
        <w:rPr>
          <w:rFonts w:ascii="Calibri" w:eastAsia="Calibri" w:hAnsi="Calibri" w:cs="Calibri"/>
        </w:rPr>
        <w:t>I</w:t>
      </w:r>
      <w:r w:rsidRPr="3BDF8C04">
        <w:t xml:space="preserve">nnovation and creativity are important to organisations because they can improve performance, respond to changing customer needs and create more effective ways of working. </w:t>
      </w:r>
    </w:p>
    <w:p w14:paraId="0283BE50" w14:textId="220172F5" w:rsidR="3A0998E9" w:rsidRDefault="3A0998E9" w:rsidP="3BDF8C04">
      <w:r w:rsidRPr="3BDF8C04">
        <w:t xml:space="preserve">Creativity can be defined as the creation of valuable and useful new ideas, products, services, procedures or processes by individuals working together within an organisation (Woodman et al., 1993). Innovation, however, goes further than generating an idea. The OECD (2018) defines innovation as a new or improved product or process that is significantly different from what was previously used and has been implemented or made available for use. Therefore, creativity can be viewed as generating new and useful ideas, while innovation involves turning those ideas into something that is </w:t>
      </w:r>
      <w:proofErr w:type="gramStart"/>
      <w:r w:rsidRPr="3BDF8C04">
        <w:t>actuall</w:t>
      </w:r>
      <w:r w:rsidR="00376DAD">
        <w:t xml:space="preserve">y </w:t>
      </w:r>
      <w:r w:rsidRPr="3BDF8C04">
        <w:t>implemented</w:t>
      </w:r>
      <w:proofErr w:type="gramEnd"/>
      <w:r w:rsidRPr="3BDF8C04">
        <w:t>.</w:t>
      </w:r>
    </w:p>
    <w:p w14:paraId="5D86751D" w14:textId="10B72EE5" w:rsidR="01E45CB0" w:rsidRDefault="01E45CB0" w:rsidP="3BDF8C04">
      <w:pPr>
        <w:rPr>
          <w:rFonts w:ascii="Aptos" w:eastAsia="Aptos" w:hAnsi="Aptos" w:cs="Aptos"/>
        </w:rPr>
      </w:pPr>
      <w:r w:rsidRPr="3BDF8C04">
        <w:t>This assignment will critically examine DVLA's ability to innovate, harness creativity and develop a creative culture, using examples from my experience within the organisation. The first section will compare Cooper's Stage-Gate model and Pearson's Uncertainty Map, considering their strengths and limitations within the DVLA, particularly the fast</w:t>
      </w:r>
      <w:r w:rsidRPr="3BDF8C04">
        <w:rPr>
          <w:rFonts w:ascii="Aptos" w:eastAsia="Aptos" w:hAnsi="Aptos" w:cs="Aptos"/>
        </w:rPr>
        <w:t>-paced call centre environment. The second section will explore how DVLA currently encourages creativity through employee forums, workshops, suggestion systems and collaboration, while considering the barriers created by policies, budgets and government processes. The discussion will draw on theories including Amabile's Componential Theory of Creativity, De Bono's Six Thinking Hats and Tidd and Bessant's model of interorganisational collaboration, alongside examples from organisations such as Whirlpool and Kodak. Finally, the assignment will consider how leadership, organisational culture and collaboration can help turn employee ideas into practical improvements, and why creating an environment where creativity is encouraged is important for employee engagement, innovation and improved workplace performance.</w:t>
      </w:r>
    </w:p>
    <w:p w14:paraId="11CCEA7B" w14:textId="480B41D2" w:rsidR="6AA30C24" w:rsidRDefault="5BB32F81" w:rsidP="3BDF8C04">
      <w:pPr>
        <w:pStyle w:val="Heading1"/>
        <w:rPr>
          <w:color w:val="auto"/>
        </w:rPr>
      </w:pPr>
      <w:bookmarkStart w:id="1" w:name="_Toc129341698"/>
      <w:r w:rsidRPr="3BDF8C04">
        <w:rPr>
          <w:color w:val="auto"/>
        </w:rPr>
        <w:t xml:space="preserve">Organisations that have </w:t>
      </w:r>
      <w:r w:rsidR="176643DB" w:rsidRPr="3BDF8C04">
        <w:rPr>
          <w:color w:val="auto"/>
        </w:rPr>
        <w:t>successfully</w:t>
      </w:r>
      <w:r w:rsidRPr="3BDF8C04">
        <w:rPr>
          <w:color w:val="auto"/>
        </w:rPr>
        <w:t xml:space="preserve"> created a culture of creativity and innovation</w:t>
      </w:r>
      <w:bookmarkEnd w:id="1"/>
    </w:p>
    <w:p w14:paraId="4A3E6BCE" w14:textId="1CE3CF2E" w:rsidR="6AA30C24" w:rsidRDefault="41C2057C" w:rsidP="6AA30C24">
      <w:r w:rsidRPr="3BDF8C04">
        <w:rPr>
          <w:rFonts w:ascii="Aptos" w:eastAsia="Aptos" w:hAnsi="Aptos" w:cs="Aptos"/>
        </w:rPr>
        <w:t xml:space="preserve">Whirlpool provides a useful example of an organisation that successfully made creativity and innovation part of its workplace culture. The company made innovation a key part of leadership development, invested in innovative projects, trained over 600 innovation mentors and provided innovation training to employees. Innovation was also included in senior management rewards, showing that creativity was supported through leadership, training, resources and incentives (Hamel, 2007). This demonstrates that creating a culture of innovation requires more than simply asking </w:t>
      </w:r>
      <w:r w:rsidRPr="3BDF8C04">
        <w:rPr>
          <w:rFonts w:ascii="Aptos" w:eastAsia="Aptos" w:hAnsi="Aptos" w:cs="Aptos"/>
        </w:rPr>
        <w:lastRenderedPageBreak/>
        <w:t>employees to generate ideas; organisations need to provide the support and opportunities to develop them</w:t>
      </w:r>
    </w:p>
    <w:p w14:paraId="18197556" w14:textId="1E2DA495" w:rsidR="6AA30C24" w:rsidRDefault="4D753F81" w:rsidP="6AA30C24">
      <w:r w:rsidRPr="3BDF8C04">
        <w:rPr>
          <w:rFonts w:ascii="Aptos" w:eastAsia="Aptos" w:hAnsi="Aptos" w:cs="Aptos"/>
        </w:rPr>
        <w:t xml:space="preserve">Google provides another example of how an organisation can create a culture that supports creativity and innovation. Google introduced its </w:t>
      </w:r>
      <w:proofErr w:type="gramStart"/>
      <w:r w:rsidRPr="3BDF8C04">
        <w:rPr>
          <w:rFonts w:ascii="Aptos" w:eastAsia="Aptos" w:hAnsi="Aptos" w:cs="Aptos"/>
        </w:rPr>
        <w:t>20% time</w:t>
      </w:r>
      <w:proofErr w:type="gramEnd"/>
      <w:r w:rsidRPr="3BDF8C04">
        <w:rPr>
          <w:rFonts w:ascii="Aptos" w:eastAsia="Aptos" w:hAnsi="Aptos" w:cs="Aptos"/>
        </w:rPr>
        <w:t xml:space="preserve"> approach, allowing employees to use part of their working time to explore projects of their own choice that could benefit the organisation. Research by Krasteva et al. (2015) found that this approach supported employee exploration and contributed to successful innovations such as Gmail, Google News and AdSense. This demonstrates how giving </w:t>
      </w:r>
      <w:proofErr w:type="gramStart"/>
      <w:r w:rsidRPr="3BDF8C04">
        <w:rPr>
          <w:rFonts w:ascii="Aptos" w:eastAsia="Aptos" w:hAnsi="Aptos" w:cs="Aptos"/>
        </w:rPr>
        <w:t>employees</w:t>
      </w:r>
      <w:proofErr w:type="gramEnd"/>
      <w:r w:rsidRPr="3BDF8C04">
        <w:rPr>
          <w:rFonts w:ascii="Aptos" w:eastAsia="Aptos" w:hAnsi="Aptos" w:cs="Aptos"/>
        </w:rPr>
        <w:t xml:space="preserve"> freedom and time to explore ideas can help create a culture where creativity is encouraged. </w:t>
      </w:r>
    </w:p>
    <w:p w14:paraId="44FC48D0" w14:textId="7ACED58F" w:rsidR="6AA30C24" w:rsidRDefault="4F95BD4D" w:rsidP="6AA30C24">
      <w:r w:rsidRPr="3BDF8C04">
        <w:rPr>
          <w:rFonts w:ascii="Aptos" w:eastAsia="Aptos" w:hAnsi="Aptos" w:cs="Aptos"/>
        </w:rPr>
        <w:t xml:space="preserve">Kodak provides an example of an organisation that struggled to turn creativity and innovation into successful change. Lucas and Goh (2009) found that Kodak's culture and rigid bureaucratic structure limited its ability to respond quickly to digital technology, even though the company had developed digital innovations itself. This demonstrates that having creative ideas is not enough; organisations also need a culture and structure that allows those ideas to be developed and implemented. </w:t>
      </w:r>
    </w:p>
    <w:p w14:paraId="1847C7CA" w14:textId="3262885E" w:rsidR="6AA30C24" w:rsidRDefault="24DB9C25" w:rsidP="3BDF8C04">
      <w:pPr>
        <w:pStyle w:val="Heading1"/>
      </w:pPr>
      <w:bookmarkStart w:id="2" w:name="_Toc525219970"/>
      <w:r w:rsidRPr="3BDF8C04">
        <w:rPr>
          <w:color w:val="auto"/>
        </w:rPr>
        <w:t>Using at least two recognised models of innovation, critically examine the ability of the organisation to innovate effectively.</w:t>
      </w:r>
      <w:bookmarkEnd w:id="2"/>
      <w:r w:rsidRPr="3BDF8C04">
        <w:rPr>
          <w:color w:val="auto"/>
        </w:rPr>
        <w:t xml:space="preserve"> </w:t>
      </w:r>
    </w:p>
    <w:p w14:paraId="5CF8175C" w14:textId="3E8DD6FD" w:rsidR="35B573AF" w:rsidRDefault="35B573AF" w:rsidP="6AA30C24">
      <w:pPr>
        <w:pStyle w:val="Heading2"/>
      </w:pPr>
      <w:bookmarkStart w:id="3" w:name="_Toc412002938"/>
      <w:r w:rsidRPr="3BDF8C04">
        <w:t>Recognised innovate leadership models</w:t>
      </w:r>
      <w:bookmarkEnd w:id="3"/>
    </w:p>
    <w:p w14:paraId="08B925C9" w14:textId="16CF3615" w:rsidR="18762CF4" w:rsidRDefault="18762CF4" w:rsidP="6AA30C24">
      <w:pPr>
        <w:pStyle w:val="Heading3"/>
      </w:pPr>
      <w:bookmarkStart w:id="4" w:name="_Toc1063718820"/>
      <w:r w:rsidRPr="3BDF8C04">
        <w:t>Stage gate</w:t>
      </w:r>
      <w:r w:rsidR="2DFB25A7" w:rsidRPr="3BDF8C04">
        <w:t xml:space="preserve"> model.</w:t>
      </w:r>
      <w:bookmarkEnd w:id="4"/>
      <w:r w:rsidR="2DFB25A7" w:rsidRPr="3BDF8C04">
        <w:t xml:space="preserve"> </w:t>
      </w:r>
    </w:p>
    <w:p w14:paraId="7ED4767F" w14:textId="3FCBCC81" w:rsidR="1652DFD9" w:rsidRDefault="1652DFD9" w:rsidP="6AA30C24">
      <w:r w:rsidRPr="6AA30C24">
        <w:rPr>
          <w:rFonts w:ascii="Aptos" w:eastAsia="Aptos" w:hAnsi="Aptos" w:cs="Aptos"/>
        </w:rPr>
        <w:t>The first model used to examine DVLA's ability to innovate effectively is Cooper's Stage-Gate model. Cooper (1990) developed the model as a structured process for managing innovation from the initial idea through to implementation. It divides innovation into a series of stages, with decision-making gates between each stage where the organisation can assess progress and decide whether to continue, change or stop the project. This provides organisations with greater control over resources, risk and decision-making. The model is particularly relevant to DVLA because innovation within a large public organisation needs to balance new ideas with governance, cost and risk. However, its structured nature may also create challenges if innovation requires flexibility or rapid experimentation.</w:t>
      </w:r>
    </w:p>
    <w:p w14:paraId="5F407FD6" w14:textId="589900A5" w:rsidR="0D351D28" w:rsidRDefault="0D351D28" w:rsidP="6AA30C24">
      <w:r w:rsidRPr="6AA30C24">
        <w:rPr>
          <w:rFonts w:ascii="Aptos" w:eastAsia="Aptos" w:hAnsi="Aptos" w:cs="Aptos"/>
        </w:rPr>
        <w:t xml:space="preserve">Although Stage-Gate provides structure and control, it has been criticised for being less suitable for highly uncertain innovation. Trott et al. (2022) argue that the model can be limited when innovation requires significant changes to the original concept or direction </w:t>
      </w:r>
      <w:r w:rsidRPr="6AA30C24">
        <w:rPr>
          <w:rFonts w:ascii="Aptos" w:eastAsia="Aptos" w:hAnsi="Aptos" w:cs="Aptos"/>
        </w:rPr>
        <w:lastRenderedPageBreak/>
        <w:t>during development. This suggests that while Stage-Gate may support DVLA by providing governance and reducing risk, a highly structured process could also limit flexibility where innovative ideas need to develop through experimentation and learning.</w:t>
      </w:r>
    </w:p>
    <w:p w14:paraId="64180D75" w14:textId="2BD5A3AB" w:rsidR="78941752" w:rsidRDefault="78941752" w:rsidP="6AA30C24">
      <w:r w:rsidRPr="6AA30C24">
        <w:rPr>
          <w:rFonts w:ascii="Aptos" w:eastAsia="Aptos" w:hAnsi="Aptos" w:cs="Aptos"/>
        </w:rPr>
        <w:t>Evidence supports the use of the Stage-Gate model in organisations. O'Connor (1994) examined how several companies used Stage-Gate and found that it provided a useful structure for managing innovation and new product development. However, the research also identified challenges when introducing the process, showing that organisations need to adapt it to work effectively. This suggests that Stage-Gate can help organisations manage innovation in a more organised way, but its success depends on how well the organisation implements and uses the model.</w:t>
      </w:r>
    </w:p>
    <w:p w14:paraId="7DE4BE5A" w14:textId="79D8D3BC" w:rsidR="6A352757" w:rsidRDefault="6A352757" w:rsidP="6AA30C24">
      <w:r w:rsidRPr="3BDF8C04">
        <w:rPr>
          <w:rFonts w:ascii="Aptos" w:eastAsia="Aptos" w:hAnsi="Aptos" w:cs="Aptos"/>
        </w:rPr>
        <w:t xml:space="preserve">A DVLA call centre is a fast-paced environment where processes and customer needs can change quickly. For example, a new process may need to be introduced quickly to improve call handling or respond to changes in customer demand. Stage-Gate could be useful because it provides a clear structure and allows changes to be checked for risks and potential problems before being introduced. This is important at DVLA, where changes can affect both staff and customers. However, the model may not work as well for quick changes in a call centre because it involves several stages and decision-making gates. This could slow down the process when an immediate response is needed. There is also limited flexibility if a change needs to go back to an earlier stage or move forward quickly, as it must normally progress through each gate. O'Connor (1994) identified challenges when organisations introduced Stage-Gate, showing that how the model is implemented can affect its success. </w:t>
      </w:r>
      <w:r w:rsidR="04761396" w:rsidRPr="3BDF8C04">
        <w:rPr>
          <w:rFonts w:ascii="Aptos" w:eastAsia="Aptos" w:hAnsi="Aptos" w:cs="Aptos"/>
        </w:rPr>
        <w:t>Therefore, in</w:t>
      </w:r>
      <w:r w:rsidRPr="3BDF8C04">
        <w:rPr>
          <w:rFonts w:ascii="Aptos" w:eastAsia="Aptos" w:hAnsi="Aptos" w:cs="Aptos"/>
        </w:rPr>
        <w:t xml:space="preserve"> my opinion </w:t>
      </w:r>
      <w:r w:rsidR="04524493" w:rsidRPr="3BDF8C04">
        <w:rPr>
          <w:rFonts w:ascii="Aptos" w:eastAsia="Aptos" w:hAnsi="Aptos" w:cs="Aptos"/>
        </w:rPr>
        <w:t>based</w:t>
      </w:r>
      <w:r w:rsidRPr="3BDF8C04">
        <w:rPr>
          <w:rFonts w:ascii="Aptos" w:eastAsia="Aptos" w:hAnsi="Aptos" w:cs="Aptos"/>
        </w:rPr>
        <w:t xml:space="preserve"> on the evidence Stage-Gate may work better for larger DVLA projects that require careful planning and risk assessment, rather than smaller changes that need to happen quickly.</w:t>
      </w:r>
    </w:p>
    <w:p w14:paraId="09335808" w14:textId="19E3B55A" w:rsidR="24E8AB92" w:rsidRDefault="24E8AB92" w:rsidP="3BDF8C04">
      <w:r w:rsidRPr="3BDF8C04">
        <w:rPr>
          <w:rFonts w:ascii="Aptos" w:eastAsia="Aptos" w:hAnsi="Aptos" w:cs="Aptos"/>
        </w:rPr>
        <w:t>Whirlpool and Kodak provide contrasting examples of how organisations have used structured approaches to innovation. Whirlpool encouraged employees across the organisation to generate ideas and used a staged process to develop and assess them, showing how structure can support creativity (Hutchins &amp; Sinha, 2012). In contrast, Kodak had formal processes for developing new products but struggled to respond effectively to digital innovation, showing that having a process does not guarantee successful innovation (Lucas &amp; Goh, 2009). This suggests that DVLA could benefit from structured innovation, but it must remain flexible enough to allow ideas to develop and respond to change.</w:t>
      </w:r>
    </w:p>
    <w:p w14:paraId="26AE1A73" w14:textId="574A992B" w:rsidR="35B573AF" w:rsidRDefault="35B573AF" w:rsidP="3BDF8C04">
      <w:pPr>
        <w:pStyle w:val="Heading3"/>
      </w:pPr>
      <w:bookmarkStart w:id="5" w:name="_Toc403848666"/>
      <w:r w:rsidRPr="3BDF8C04">
        <w:t>Conclusion</w:t>
      </w:r>
      <w:bookmarkEnd w:id="5"/>
    </w:p>
    <w:p w14:paraId="013C015C" w14:textId="69D7BE77" w:rsidR="17A8B2C2" w:rsidRDefault="17A8B2C2" w:rsidP="6AA30C24">
      <w:r w:rsidRPr="6AA30C24">
        <w:rPr>
          <w:rFonts w:ascii="Aptos" w:eastAsia="Aptos" w:hAnsi="Aptos" w:cs="Aptos"/>
        </w:rPr>
        <w:t xml:space="preserve">Overall, Stage-Gate provides DVLA with a clear and controlled approach to innovation, which can be valuable for larger and higher-risk projects. However, its structured and </w:t>
      </w:r>
      <w:r w:rsidRPr="6AA30C24">
        <w:rPr>
          <w:rFonts w:ascii="Aptos" w:eastAsia="Aptos" w:hAnsi="Aptos" w:cs="Aptos"/>
        </w:rPr>
        <w:lastRenderedPageBreak/>
        <w:t>time-consuming process may be less suitable for the fast-paced call centre environment, where changes often need to be made quickly and flexibly. Therefore, its effectiveness depends on the type and scale of innovation being considered.</w:t>
      </w:r>
    </w:p>
    <w:p w14:paraId="582F97EE" w14:textId="2B0F2952" w:rsidR="6AA30C24" w:rsidRDefault="6AA30C24" w:rsidP="6AA30C24"/>
    <w:p w14:paraId="6915CAC9" w14:textId="61C0EB85" w:rsidR="43540AEE" w:rsidRDefault="43540AEE" w:rsidP="6AA30C24">
      <w:pPr>
        <w:pStyle w:val="Heading3"/>
        <w:rPr>
          <w:rFonts w:ascii="Aptos" w:eastAsia="Aptos" w:hAnsi="Aptos" w:cs="Aptos"/>
          <w:sz w:val="24"/>
          <w:szCs w:val="24"/>
        </w:rPr>
      </w:pPr>
      <w:bookmarkStart w:id="6" w:name="_Toc165650520"/>
      <w:r w:rsidRPr="3BDF8C04">
        <w:t>Pearson's Uncertainty Map</w:t>
      </w:r>
      <w:bookmarkEnd w:id="6"/>
    </w:p>
    <w:p w14:paraId="7D9BF954" w14:textId="75D2EE1D" w:rsidR="43540AEE" w:rsidRDefault="43540AEE" w:rsidP="6AA30C24">
      <w:r w:rsidRPr="6AA30C24">
        <w:rPr>
          <w:rFonts w:ascii="Aptos" w:eastAsia="Aptos" w:hAnsi="Aptos" w:cs="Aptos"/>
        </w:rPr>
        <w:t>The second model used to examine DVLA's ability to innovate is Pearson's Uncertainty Map. Pearson (1990) developed the model to recognise that different innovation projects have different levels of uncertainty. It considers two factors: how clear the organisation is about what it wants to achieve (ends) and how clear it is about how to achieve it (means). This creates four different types of innovation, ranging from exploratory research, where both the outcome and process are uncertain, to projects where both are clearly understood. The model is useful because it suggests that innovation should be managed according to its level of uncertainty rather than using the same process for every project. This provides a useful comparison with Stage-Gate, particularly when considering the fast-changing environment of the DVLA call centre.</w:t>
      </w:r>
    </w:p>
    <w:p w14:paraId="32A4F0A8" w14:textId="1AADAB67" w:rsidR="22F22F31" w:rsidRDefault="22F22F31" w:rsidP="6AA30C24">
      <w:r w:rsidRPr="42900A9B">
        <w:rPr>
          <w:rFonts w:ascii="Aptos" w:eastAsia="Aptos" w:hAnsi="Aptos" w:cs="Aptos"/>
        </w:rPr>
        <w:t>Pearson (1990) developed the Uncertainty Map to help organisations understand innovation projects by considering how clear the desired outcome is and how much is known about achieving it. The model suggests that different levels of uncertainty require different approaches to managing innovation. Further research by Pearson and Brockhoff (1994) supports this approach, finding that the uncertainty map can be a valuable tool for project managers, particularly when managing research and development projects. This suggests that the model has practical value because it helps managers consider the level of uncertainty before deciding how an innovation should be managed.</w:t>
      </w:r>
    </w:p>
    <w:p w14:paraId="745778A6" w14:textId="396EF6FF" w:rsidR="097F9A68" w:rsidRDefault="097F9A68" w:rsidP="42900A9B">
      <w:r w:rsidRPr="42900A9B">
        <w:rPr>
          <w:rFonts w:ascii="Aptos" w:eastAsia="Aptos" w:hAnsi="Aptos" w:cs="Aptos"/>
        </w:rPr>
        <w:t xml:space="preserve">However, Pearson's model can be criticised for simplifying innovation into two areas of uncertainty: the uncertainty about what the organisation wants to achieve and how it will achieve it. Trott (2017) highlights that uncertainty can change throughout an innovation project and that managers often </w:t>
      </w:r>
      <w:proofErr w:type="gramStart"/>
      <w:r w:rsidRPr="42900A9B">
        <w:rPr>
          <w:rFonts w:ascii="Aptos" w:eastAsia="Aptos" w:hAnsi="Aptos" w:cs="Aptos"/>
        </w:rPr>
        <w:t>have to</w:t>
      </w:r>
      <w:proofErr w:type="gramEnd"/>
      <w:r w:rsidRPr="42900A9B">
        <w:rPr>
          <w:rFonts w:ascii="Aptos" w:eastAsia="Aptos" w:hAnsi="Aptos" w:cs="Aptos"/>
        </w:rPr>
        <w:t xml:space="preserve"> make decisions using incomplete information. This suggests that while Pearson's model is useful for identifying the level of uncertainty, it may not fully capture the complexity of innovation or the other factors that can influence how a project develops.</w:t>
      </w:r>
    </w:p>
    <w:p w14:paraId="6D3888DC" w14:textId="6CFEAEC9" w:rsidR="0928AB3E" w:rsidRDefault="0928AB3E" w:rsidP="42900A9B">
      <w:pPr>
        <w:pStyle w:val="Heading3"/>
      </w:pPr>
      <w:bookmarkStart w:id="7" w:name="_Toc1436451951"/>
      <w:r w:rsidRPr="3BDF8C04">
        <w:t>Conclusion</w:t>
      </w:r>
      <w:bookmarkEnd w:id="7"/>
      <w:r w:rsidRPr="3BDF8C04">
        <w:t xml:space="preserve"> </w:t>
      </w:r>
    </w:p>
    <w:p w14:paraId="6CCB6B40" w14:textId="6A5E7509" w:rsidR="3A74F116" w:rsidRDefault="3A74F116" w:rsidP="42900A9B">
      <w:r w:rsidRPr="42900A9B">
        <w:rPr>
          <w:rFonts w:ascii="Aptos" w:eastAsia="Aptos" w:hAnsi="Aptos" w:cs="Aptos"/>
        </w:rPr>
        <w:t xml:space="preserve">In a DVLA call centre, Pearson's model could be useful when introducing a new process because it recognises that different changes have different levels of uncertainty. For example, a new call-handling process may have a clear outcome but require testing to find the best way to achieve it. However, the fast-paced nature of the call centre means that customer needs and operational priorities can change quickly. Trott (2017) </w:t>
      </w:r>
      <w:r w:rsidRPr="42900A9B">
        <w:rPr>
          <w:rFonts w:ascii="Aptos" w:eastAsia="Aptos" w:hAnsi="Aptos" w:cs="Aptos"/>
        </w:rPr>
        <w:lastRenderedPageBreak/>
        <w:t>highlights that uncertainty can change throughout an innovation project, suggesting that Pearson's model may not fully capture how quickly a workplace change can develop. Therefore, in my opinion the model could help DVLA identify the level of uncertainty at the start of a project, but it may need to be supported by a more flexible approach as the change progresses.</w:t>
      </w:r>
    </w:p>
    <w:p w14:paraId="65C38EBE" w14:textId="117079D0" w:rsidR="5E8BB850" w:rsidRDefault="5E8BB850" w:rsidP="42900A9B">
      <w:pPr>
        <w:pStyle w:val="Heading2"/>
      </w:pPr>
      <w:bookmarkStart w:id="8" w:name="_Toc1544477542"/>
      <w:r w:rsidRPr="3BDF8C04">
        <w:t>Stage</w:t>
      </w:r>
      <w:r w:rsidR="72340501" w:rsidRPr="3BDF8C04">
        <w:t xml:space="preserve"> </w:t>
      </w:r>
      <w:r w:rsidRPr="3BDF8C04">
        <w:t xml:space="preserve">gate, </w:t>
      </w:r>
      <w:r w:rsidR="28A0E8EE" w:rsidRPr="3BDF8C04">
        <w:t>uncertainty</w:t>
      </w:r>
      <w:r w:rsidRPr="3BDF8C04">
        <w:t xml:space="preserve"> map conclusion</w:t>
      </w:r>
      <w:bookmarkEnd w:id="8"/>
    </w:p>
    <w:p w14:paraId="194A570E" w14:textId="11DFFF83" w:rsidR="56591745" w:rsidRDefault="56591745" w:rsidP="42900A9B">
      <w:r w:rsidRPr="42900A9B">
        <w:rPr>
          <w:rFonts w:ascii="Aptos" w:eastAsia="Aptos" w:hAnsi="Aptos" w:cs="Aptos"/>
        </w:rPr>
        <w:t>Overall, both models can support innovation and workplace performance, but in different ways. Effective innovation can improve performance by making processes more efficient, reducing delays and helping employees respond to changing customer needs. Stage-Gate can support this by providing clear stages and checks, helping DVLA manage risks and ensure that changes are properly tested before implementation. However, if the process becomes too slow or restrictive, it could delay improvements and negatively affect performance in a fast-paced call centre. Pearson's model can support performance by helping managers consider the level of uncertainty and choose an approach that suits the type of innovation. This could allow smaller or less uncertain changes to be introduced more quickly, while more complex changes receive greater consideration. Therefore, both models can contribute to improved performance, but their effectiveness depends on using the right approach for the type and pace of innovation required.</w:t>
      </w:r>
    </w:p>
    <w:p w14:paraId="0AB48124" w14:textId="58C3895B" w:rsidR="24DB9C25" w:rsidRDefault="24DB9C25" w:rsidP="6AA30C24">
      <w:pPr>
        <w:pStyle w:val="Heading1"/>
        <w:rPr>
          <w:color w:val="auto"/>
        </w:rPr>
      </w:pPr>
      <w:bookmarkStart w:id="9" w:name="_Toc1709156144"/>
      <w:r w:rsidRPr="3BDF8C04">
        <w:rPr>
          <w:color w:val="auto"/>
        </w:rPr>
        <w:t>Evaluate an organisations’ ability to harness creativity and foster a creative culture in the workplace</w:t>
      </w:r>
      <w:bookmarkEnd w:id="9"/>
    </w:p>
    <w:p w14:paraId="757C264F" w14:textId="34FB7AB7" w:rsidR="6AA30C24" w:rsidRDefault="5EBE76D5" w:rsidP="2AD22373">
      <w:pPr>
        <w:pStyle w:val="Heading2"/>
      </w:pPr>
      <w:bookmarkStart w:id="10" w:name="_Toc865170533"/>
      <w:r w:rsidRPr="3BDF8C04">
        <w:t xml:space="preserve">Introduction to creativity in the </w:t>
      </w:r>
      <w:r w:rsidR="1F31CCBE" w:rsidRPr="3BDF8C04">
        <w:t>workplace</w:t>
      </w:r>
      <w:bookmarkEnd w:id="10"/>
    </w:p>
    <w:p w14:paraId="7FC73F12" w14:textId="3F13F8DA" w:rsidR="5EBE76D5" w:rsidRDefault="5EBE76D5" w:rsidP="2AD22373">
      <w:r w:rsidRPr="2AD22373">
        <w:rPr>
          <w:rFonts w:ascii="Aptos" w:eastAsia="Aptos" w:hAnsi="Aptos" w:cs="Aptos"/>
        </w:rPr>
        <w:t>Creativity in the workplace can be understood as the ability of employees to produce new and useful ideas, processes or solutions that can benefit the organisation. Woodman, Sawyer and Griffin (1993) define organisational creativity as the creation of valuable and useful new ideas, products, services or processes by people working together within an organisation. This shows that workplace creativity is not only an individual skill but can also develop through employees working together and sharing ideas.</w:t>
      </w:r>
    </w:p>
    <w:p w14:paraId="5E9BA608" w14:textId="351D8374" w:rsidR="770F317E" w:rsidRDefault="770F317E" w:rsidP="2AD22373">
      <w:r w:rsidRPr="2AD22373">
        <w:rPr>
          <w:rFonts w:ascii="Aptos" w:eastAsia="Aptos" w:hAnsi="Aptos" w:cs="Aptos"/>
        </w:rPr>
        <w:t>In my opinion, workplace creativity also involves allowing employees to express different ways of working and creating an environment where people are open-minded and willing to listen to different viewpoints and ideas. creativity should not only be seen as producing completely new ideas, but also as giving employees the opportunity to question existing processes and suggest better ways of working.</w:t>
      </w:r>
    </w:p>
    <w:p w14:paraId="3E4AF5BA" w14:textId="771D8082" w:rsidR="2AD22373" w:rsidRDefault="2AD22373" w:rsidP="2AD22373">
      <w:pPr>
        <w:rPr>
          <w:rFonts w:ascii="Aptos" w:eastAsia="Aptos" w:hAnsi="Aptos" w:cs="Aptos"/>
        </w:rPr>
      </w:pPr>
    </w:p>
    <w:p w14:paraId="7996AC6A" w14:textId="66618673" w:rsidR="4953E3A4" w:rsidRDefault="4953E3A4" w:rsidP="2AD22373">
      <w:pPr>
        <w:pStyle w:val="Heading2"/>
      </w:pPr>
      <w:bookmarkStart w:id="11" w:name="_Toc848652293"/>
      <w:r w:rsidRPr="3BDF8C04">
        <w:lastRenderedPageBreak/>
        <w:t>DVLAs ability of harnessing creativity</w:t>
      </w:r>
      <w:bookmarkEnd w:id="11"/>
    </w:p>
    <w:p w14:paraId="1E3FC8BD" w14:textId="57ADC4A8" w:rsidR="0EC5A0BB" w:rsidRDefault="0EC5A0BB" w:rsidP="3BDF8C04">
      <w:pPr>
        <w:spacing w:before="240" w:after="240"/>
      </w:pPr>
      <w:r w:rsidRPr="3BDF8C04">
        <w:rPr>
          <w:rFonts w:ascii="Aptos" w:eastAsia="Aptos" w:hAnsi="Aptos" w:cs="Aptos"/>
        </w:rPr>
        <w:t>Leadership style can strongly influence workplace creativity. Lee et al. (2019) reviewed 266 studies and found links between leadership, employee creativity and innovation, with authentic, empowering and entrepreneurial leadership showing particularly strong links with creative performance. Amabile et al. (2004) also found that employees who felt supported by their leaders demonstrated higher creativity. This suggests that trusting employees, listening to their ideas and providing support can create better conditions for creativity, although leaders must adapt their approach to the needs of employees and the working environment.</w:t>
      </w:r>
    </w:p>
    <w:p w14:paraId="4E3EE51E" w14:textId="16E39BDB" w:rsidR="0EC5A0BB" w:rsidRDefault="0EC5A0BB" w:rsidP="3BDF8C04">
      <w:pPr>
        <w:spacing w:before="240" w:after="240"/>
      </w:pPr>
      <w:r w:rsidRPr="3BDF8C04">
        <w:rPr>
          <w:rFonts w:ascii="Aptos" w:eastAsia="Aptos" w:hAnsi="Aptos" w:cs="Aptos"/>
        </w:rPr>
        <w:t xml:space="preserve">This is relevant to the DVLA call centre, where employees have direct experience of customer queries and existing processes. An empowering approach could encourage advisors to suggest improvements, such as simpler ways of dealing with common customer issues. However, DVLA's structured environment means ideas must meet policy, security and operational requirements. Leadership can therefore help harness </w:t>
      </w:r>
      <w:proofErr w:type="gramStart"/>
      <w:r w:rsidRPr="3BDF8C04">
        <w:rPr>
          <w:rFonts w:ascii="Aptos" w:eastAsia="Aptos" w:hAnsi="Aptos" w:cs="Aptos"/>
        </w:rPr>
        <w:t>creativity, but</w:t>
      </w:r>
      <w:proofErr w:type="gramEnd"/>
      <w:r w:rsidRPr="3BDF8C04">
        <w:rPr>
          <w:rFonts w:ascii="Aptos" w:eastAsia="Aptos" w:hAnsi="Aptos" w:cs="Aptos"/>
        </w:rPr>
        <w:t xml:space="preserve"> must balance employee freedom with the controls required within a public-sector organisation.</w:t>
      </w:r>
    </w:p>
    <w:p w14:paraId="10027C6A" w14:textId="11B6B2CF" w:rsidR="0EC5A0BB" w:rsidRDefault="0EC5A0BB" w:rsidP="3BDF8C04">
      <w:pPr>
        <w:spacing w:before="240" w:after="240"/>
      </w:pPr>
      <w:r w:rsidRPr="3BDF8C04">
        <w:rPr>
          <w:rFonts w:ascii="Aptos" w:eastAsia="Aptos" w:hAnsi="Aptos" w:cs="Aptos"/>
        </w:rPr>
        <w:t xml:space="preserve">Amabile et al. (1996) developed the KEYS framework, identifying factors that can support or restrict creativity within organisations. Their research found differences between high- and low-creativity work environments, highlighting the importance of management support and the wider working environment. The six factors are </w:t>
      </w:r>
      <w:r w:rsidRPr="00E40134">
        <w:rPr>
          <w:rFonts w:ascii="Aptos" w:eastAsia="Aptos" w:hAnsi="Aptos" w:cs="Aptos"/>
        </w:rPr>
        <w:t>challenge, freedom, resources, work-group features, supervisory encouragement and organisational support</w:t>
      </w:r>
      <w:r w:rsidRPr="3BDF8C04">
        <w:rPr>
          <w:rFonts w:ascii="Aptos" w:eastAsia="Aptos" w:hAnsi="Aptos" w:cs="Aptos"/>
        </w:rPr>
        <w:t>. Within DVLA, supportive teams and management encouragement can promote creativity, but strict processes, performance targets and limited freedom may restrict employees' ability to develop their ideas.</w:t>
      </w:r>
    </w:p>
    <w:p w14:paraId="5FC26BC5" w14:textId="6AACEFA8" w:rsidR="0EC5A0BB" w:rsidRDefault="0EC5A0BB" w:rsidP="3BDF8C04">
      <w:pPr>
        <w:spacing w:before="240" w:after="240"/>
      </w:pPr>
      <w:r w:rsidRPr="3BDF8C04">
        <w:rPr>
          <w:rFonts w:ascii="Aptos" w:eastAsia="Aptos" w:hAnsi="Aptos" w:cs="Aptos"/>
        </w:rPr>
        <w:t>Amabile and Pratt (2016) later revisited the original model following 28 years of research, arguing that creativity and innovation are more dynamic than the original model suggested. They added factors including meaningful work, progress, emotions and extrinsic motivation. This suggests that Amabile's original six factors remain useful for identifying conditions that support creativity, but do not fully capture the changing and complex nature of creativity within the workplace.</w:t>
      </w:r>
    </w:p>
    <w:p w14:paraId="6CEE69EE" w14:textId="118E3CF8" w:rsidR="0D49A84A" w:rsidRDefault="0D49A84A" w:rsidP="2AD22373">
      <w:pPr>
        <w:pStyle w:val="Heading3"/>
      </w:pPr>
      <w:bookmarkStart w:id="12" w:name="_Toc726720237"/>
      <w:r w:rsidRPr="3BDF8C04">
        <w:t>Conclusion</w:t>
      </w:r>
      <w:bookmarkEnd w:id="12"/>
    </w:p>
    <w:p w14:paraId="0C758C14" w14:textId="381AC96C" w:rsidR="0D49A84A" w:rsidRDefault="0D49A84A" w:rsidP="2AD22373">
      <w:r w:rsidRPr="2AD22373">
        <w:rPr>
          <w:rFonts w:ascii="Aptos" w:eastAsia="Aptos" w:hAnsi="Aptos" w:cs="Aptos"/>
        </w:rPr>
        <w:t xml:space="preserve">Overall, research shows that organisations can harness creativity by giving employees support, encouragement and opportunities to share ideas. My view is that DVLA has opportunities to use employee creativity, particularly within the call centre, where staff have direct experience of customer issues and can identify improvements. However, strict procedures, targets and limited freedom can sometimes restrict this. Amabile et </w:t>
      </w:r>
      <w:r w:rsidRPr="2AD22373">
        <w:rPr>
          <w:rFonts w:ascii="Aptos" w:eastAsia="Aptos" w:hAnsi="Aptos" w:cs="Aptos"/>
        </w:rPr>
        <w:lastRenderedPageBreak/>
        <w:t>al. (1996) found that work environments differed between high- and low-creativity projects, supporting my view that the workplace environment can influence creativity. Amabile and Pratt (2016) also highlight that organisational factors can influence creativity and innovation over time. Therefore, I believe that developing a positive creative culture at DVLA could improve performance by encouraging employees to find more efficient ways of working, improve customer service and support continuous improvement.</w:t>
      </w:r>
    </w:p>
    <w:p w14:paraId="12B984EB" w14:textId="1CC1FEE9" w:rsidR="3C88ADC8" w:rsidRDefault="3C88ADC8" w:rsidP="2AD22373">
      <w:pPr>
        <w:pStyle w:val="Heading2"/>
      </w:pPr>
      <w:bookmarkStart w:id="13" w:name="_Toc1232270278"/>
      <w:r w:rsidRPr="3BDF8C04">
        <w:t xml:space="preserve">How </w:t>
      </w:r>
      <w:r w:rsidR="0DA0CE31" w:rsidRPr="3BDF8C04">
        <w:t xml:space="preserve">DVLA </w:t>
      </w:r>
      <w:r w:rsidRPr="3BDF8C04">
        <w:t>fosters creativity and exploring the current culture</w:t>
      </w:r>
      <w:bookmarkEnd w:id="13"/>
    </w:p>
    <w:p w14:paraId="4B668971" w14:textId="2B1D42A0" w:rsidR="1A6915A7" w:rsidRDefault="1A6915A7" w:rsidP="2AD22373">
      <w:r w:rsidRPr="2AD22373">
        <w:rPr>
          <w:rFonts w:ascii="Aptos" w:eastAsia="Aptos" w:hAnsi="Aptos" w:cs="Aptos"/>
        </w:rPr>
        <w:t>The next section will examine how DVLA currently fosters creativity within the workplace, considering the practices, leadership and culture it uses to encourage employees to share and develop new ideas. It will also consider how effective these approaches are in supporting a positive creative culture.</w:t>
      </w:r>
    </w:p>
    <w:p w14:paraId="25CEB728" w14:textId="75C93B92" w:rsidR="45F70F11" w:rsidRDefault="45F70F11" w:rsidP="2AD22373">
      <w:r w:rsidRPr="2AD22373">
        <w:rPr>
          <w:rFonts w:ascii="Aptos" w:eastAsia="Aptos" w:hAnsi="Aptos" w:cs="Aptos"/>
        </w:rPr>
        <w:t>DVLA currently provides several opportunities for employees to contribute ideas, including forums, staff sessions, suggestion boxes, manager seminars, panels and workshops focused on developing new ideas. These approaches demonstrate that the organisation actively encourages employees to share their views and contribute to improving how work is carried out. However, generating ideas does not necessarily mean they will be implemented. In my experience, many suggestions face barriers such as government processes, limited budgets and competing operational demands. This can create frustration for employees and may reduce their motivation to continue contributing ideas if they feel that their suggestions rarely lead to change. Therefore, although DVLA has processes in place to encourage creativity, its ability to turn employee ideas into practical improvements may be more limited.</w:t>
      </w:r>
    </w:p>
    <w:p w14:paraId="2D36CCD1" w14:textId="09BFBC53" w:rsidR="53ACA5C9" w:rsidRDefault="53ACA5C9" w:rsidP="2AD22373">
      <w:r w:rsidRPr="2AD22373">
        <w:rPr>
          <w:rFonts w:ascii="Aptos" w:eastAsia="Aptos" w:hAnsi="Aptos" w:cs="Aptos"/>
        </w:rPr>
        <w:t xml:space="preserve">Although DVLA provides several ways for employees to share ideas, there is a risk that creativity can be reduced if employees feel their suggestions are not acted upon. Fairbank and Williams (2001) found that suggestion systems can help organisations obtain employees' creative </w:t>
      </w:r>
      <w:r w:rsidR="414E6753" w:rsidRPr="2AD22373">
        <w:rPr>
          <w:rFonts w:ascii="Aptos" w:eastAsia="Aptos" w:hAnsi="Aptos" w:cs="Aptos"/>
        </w:rPr>
        <w:t>ideas but</w:t>
      </w:r>
      <w:r w:rsidRPr="2AD22373">
        <w:rPr>
          <w:rFonts w:ascii="Aptos" w:eastAsia="Aptos" w:hAnsi="Aptos" w:cs="Aptos"/>
        </w:rPr>
        <w:t xml:space="preserve"> identified employee motivation to participate as a common weakness. This is relevant to DVLA because many ideas generated through forums, workshops and suggestion systems are not implemented due to factors such as budgets, government processes and operational demands. In my view, if employees repeatedly see their ideas going nowhere, they may become less motivated to contribute </w:t>
      </w:r>
      <w:proofErr w:type="gramStart"/>
      <w:r w:rsidRPr="2AD22373">
        <w:rPr>
          <w:rFonts w:ascii="Aptos" w:eastAsia="Aptos" w:hAnsi="Aptos" w:cs="Aptos"/>
        </w:rPr>
        <w:t>in</w:t>
      </w:r>
      <w:proofErr w:type="gramEnd"/>
      <w:r w:rsidRPr="2AD22373">
        <w:rPr>
          <w:rFonts w:ascii="Aptos" w:eastAsia="Aptos" w:hAnsi="Aptos" w:cs="Aptos"/>
        </w:rPr>
        <w:t xml:space="preserve"> the future. This could weaken a culture of creativity, even though the organisation has systems in place to encourage it.</w:t>
      </w:r>
    </w:p>
    <w:p w14:paraId="72161032" w14:textId="20840B11" w:rsidR="2AD22373" w:rsidRDefault="2AD22373" w:rsidP="2AD22373">
      <w:pPr>
        <w:rPr>
          <w:rFonts w:ascii="Aptos" w:eastAsia="Aptos" w:hAnsi="Aptos" w:cs="Aptos"/>
        </w:rPr>
      </w:pPr>
    </w:p>
    <w:p w14:paraId="55128C4B" w14:textId="361D8832" w:rsidR="2AD22373" w:rsidRDefault="2AD22373">
      <w:r>
        <w:br w:type="page"/>
      </w:r>
    </w:p>
    <w:p w14:paraId="07A439E6" w14:textId="535064F7" w:rsidR="2595CB8E" w:rsidRDefault="2595CB8E" w:rsidP="2AD22373">
      <w:pPr>
        <w:pStyle w:val="Heading2"/>
      </w:pPr>
      <w:bookmarkStart w:id="14" w:name="_Toc191660578"/>
      <w:r w:rsidRPr="3BDF8C04">
        <w:lastRenderedPageBreak/>
        <w:t>Ways to improve DVLA's culture for creativity</w:t>
      </w:r>
      <w:bookmarkEnd w:id="14"/>
    </w:p>
    <w:p w14:paraId="675A0922" w14:textId="459D6BF6" w:rsidR="2595CB8E" w:rsidRDefault="2595CB8E" w:rsidP="2AD22373">
      <w:r w:rsidRPr="2AD22373">
        <w:rPr>
          <w:rFonts w:ascii="Aptos" w:eastAsia="Aptos" w:hAnsi="Aptos" w:cs="Aptos"/>
        </w:rPr>
        <w:t>De Bono's (1985) Six Thinking Hats model could help DVLA create a stronger culture of creativity by giving employees a structured way to explore ideas from different perspectives. This could be particularly useful in staff forums and workshops, where employees already share suggestions for improving processes. For example, the green hat encourages creative ideas, while the black and yellow hats help teams consider risks and benefits before making decisions. Research by Göçmen and Coşkun (2019) found that using the green hat increased both the number and originality of ideas, suggesting that the model can support creative thinking. However, they also recognised that there is limited evidence explaining exactly how the model influences creativity. This suggests that while the Six Thinking Hats could encourage more open and balanced discussions at DVLA, its success would still depend on leaders supporting ideas and the organisation acting on them where possible.</w:t>
      </w:r>
    </w:p>
    <w:p w14:paraId="6C7EF8BD" w14:textId="0FB1379E" w:rsidR="589832C5" w:rsidRDefault="589832C5" w:rsidP="2AD22373">
      <w:r w:rsidRPr="2AD22373">
        <w:rPr>
          <w:rFonts w:ascii="Aptos" w:eastAsia="Aptos" w:hAnsi="Aptos" w:cs="Aptos"/>
        </w:rPr>
        <w:t>This challenge is particularly relevant to DVLA as a government organisation, where employees must work within policies, procedures and legal requirements. Houtgraaf and Ropes (2024) found that public-sector employees can experience a conflict between being encouraged to think creatively while also working within formal rules, which can reduce motivation and limit creativity. However, research by Fleischer and Wanckel (2024), involving government officials in Germany, Italy and Norway, found that a stronger culture of innovation was linked to greater creativity. They found that creativity was encouraged when managers supported new ideas, were open to changes in procedures and employees at different levels were encouraged to contribute. DVLA could consider a similar approach by maintaining the controls needed in government while giving employees more opportunities to suggest and develop ideas. This could help create a better balance between necessary policies and a culture that supports creativity.</w:t>
      </w:r>
    </w:p>
    <w:p w14:paraId="4364A352" w14:textId="18E68F63" w:rsidR="06E9FC3F" w:rsidRDefault="06E9FC3F" w:rsidP="2AD22373">
      <w:r w:rsidRPr="2AD22373">
        <w:rPr>
          <w:rFonts w:ascii="Aptos" w:eastAsia="Aptos" w:hAnsi="Aptos" w:cs="Aptos"/>
        </w:rPr>
        <w:t>Creativity in the workplace is influenced by both motivation and how employees approach problems. Fleischer and Wanckel (2024) highlight the importance of intrinsic motivation, where employees are motivated by finding their work meaningful or interesting. This is supported by da Costa et al. (2015), whose meta-analysis found positive links between intrinsic motivation and creativity. Creativity also involves divergent thinking, where employees generate a range of possible ideas, followed by convergent thinking, where these ideas are assessed and the most suitable solution is selected (Guilford, 1967). Within DVLA, employees could therefore be encouraged to find meaningful solutions to workplace problems, generate several possible improvements and then identify which idea is most practical. This could help turn employee creativity into useful improvements in performance.</w:t>
      </w:r>
    </w:p>
    <w:p w14:paraId="4133DE0F" w14:textId="5F741F82" w:rsidR="5930B467" w:rsidRDefault="5930B467" w:rsidP="3BDF8C04">
      <w:pPr>
        <w:pStyle w:val="Heading3"/>
      </w:pPr>
      <w:bookmarkStart w:id="15" w:name="_Toc1024711187"/>
      <w:r w:rsidRPr="3BDF8C04">
        <w:lastRenderedPageBreak/>
        <w:t>Conclusion</w:t>
      </w:r>
      <w:bookmarkEnd w:id="15"/>
    </w:p>
    <w:p w14:paraId="3E0B9DD3" w14:textId="2E178CCE" w:rsidR="2AD22373" w:rsidRDefault="72B77521" w:rsidP="3BDF8C04">
      <w:r w:rsidRPr="3BDF8C04">
        <w:rPr>
          <w:rFonts w:ascii="Aptos" w:eastAsia="Aptos" w:hAnsi="Aptos" w:cs="Aptos"/>
        </w:rPr>
        <w:t xml:space="preserve">Overall, I believe DVLA could improve its creative culture by focusing not only on generating ideas but also on helping employees understand what can and cannot be changed. Research shows that formal rules and procedures can restrict creativity in public organisations, while a stronger climate for innovation can encourage employees to develop new ideas. In my opinion, DVLA should explore where policies can be changed or adapted, while being transparent when an idea cannot be implemented because legislation or government requirements prevent it. Rather than giving employees a generic “no”, explaining the reason behind the decision could help them understand the limitations and encourage them to find alternative solutions. This could create a more open culture where employees continue to contribute ideas, while recognising the controls that are necessary within a government organisation. The UK Government's own Policy System Framework </w:t>
      </w:r>
      <w:r w:rsidR="37AC082C" w:rsidRPr="3BDF8C04">
        <w:rPr>
          <w:rFonts w:ascii="Times New Roman" w:eastAsia="Times New Roman" w:hAnsi="Times New Roman" w:cs="Times New Roman"/>
        </w:rPr>
        <w:t>(Policy Profession, 2024)</w:t>
      </w:r>
      <w:r w:rsidR="37AC082C" w:rsidRPr="3BDF8C04">
        <w:rPr>
          <w:rFonts w:ascii="Aptos" w:eastAsia="Aptos" w:hAnsi="Aptos" w:cs="Aptos"/>
        </w:rPr>
        <w:t xml:space="preserve"> </w:t>
      </w:r>
      <w:r w:rsidRPr="3BDF8C04">
        <w:rPr>
          <w:rFonts w:ascii="Aptos" w:eastAsia="Aptos" w:hAnsi="Aptos" w:cs="Aptos"/>
        </w:rPr>
        <w:t>supports this type of approach, identifying openness and transparency, empowerment, appropriate risk-taking and support for creativity and innovative problem solving as important aspects of organisational culture.</w:t>
      </w:r>
      <w:r w:rsidR="3D36EF7A" w:rsidRPr="3BDF8C04">
        <w:rPr>
          <w:rFonts w:ascii="Aptos" w:eastAsia="Aptos" w:hAnsi="Aptos" w:cs="Aptos"/>
        </w:rPr>
        <w:t xml:space="preserve"> </w:t>
      </w:r>
    </w:p>
    <w:p w14:paraId="69CDFC77" w14:textId="0E41DA07" w:rsidR="294B6C08" w:rsidRDefault="294B6C08" w:rsidP="3BDF8C04">
      <w:pPr>
        <w:pStyle w:val="Heading2"/>
        <w:rPr>
          <w:rFonts w:asciiTheme="minorHAnsi" w:eastAsiaTheme="minorEastAsia" w:hAnsiTheme="minorHAnsi" w:cstheme="minorBidi"/>
        </w:rPr>
      </w:pPr>
      <w:bookmarkStart w:id="16" w:name="_Toc1721060320"/>
      <w:r w:rsidRPr="3BDF8C04">
        <w:rPr>
          <w:rFonts w:asciiTheme="minorHAnsi" w:eastAsiaTheme="minorEastAsia" w:hAnsiTheme="minorHAnsi" w:cstheme="minorBidi"/>
        </w:rPr>
        <w:t>Interorganisational working, how does this create a creative culture?</w:t>
      </w:r>
      <w:bookmarkEnd w:id="16"/>
    </w:p>
    <w:p w14:paraId="795FF130" w14:textId="60FE4876" w:rsidR="63D99D77" w:rsidRDefault="63D99D77" w:rsidP="3BDF8C04">
      <w:pPr>
        <w:spacing w:before="240" w:after="240"/>
      </w:pPr>
      <w:r w:rsidRPr="3BDF8C04">
        <w:t xml:space="preserve">Tidd and Bessant (2018) highlight interorganisational collaboration as an approach that can support innovation by bringing organisations together to share knowledge, skills and different perspectives. This can help creativity because ideas can be developed by combining knowledge from people and organisations with different experiences. For DVLA, this could involve working with other government departments, external partners or service users to identify different ways of improving services. Research also suggests that collaboration can increase access to knowledge and creative working practices, supporting innovation and productivity (Martins &amp; Ling, 2017). </w:t>
      </w:r>
    </w:p>
    <w:p w14:paraId="5D8503AA" w14:textId="0153719E" w:rsidR="63D99D77" w:rsidRDefault="63D99D77" w:rsidP="3BDF8C04">
      <w:pPr>
        <w:pStyle w:val="Heading3"/>
        <w:rPr>
          <w:rFonts w:eastAsiaTheme="minorEastAsia" w:cstheme="minorBidi"/>
          <w:b/>
          <w:bCs/>
          <w:sz w:val="24"/>
          <w:szCs w:val="24"/>
        </w:rPr>
      </w:pPr>
      <w:bookmarkStart w:id="17" w:name="_Toc548172555"/>
      <w:r w:rsidRPr="3BDF8C04">
        <w:t>How this could help DVLA</w:t>
      </w:r>
      <w:bookmarkEnd w:id="17"/>
    </w:p>
    <w:p w14:paraId="1F0FD23E" w14:textId="2705B44C" w:rsidR="63D99D77" w:rsidRDefault="63D99D77" w:rsidP="3BDF8C04">
      <w:pPr>
        <w:spacing w:before="240" w:after="240"/>
      </w:pPr>
      <w:r w:rsidRPr="3BDF8C04">
        <w:t>This approach could help DVLA overcome some of the limitations of relying only on internal ideas. For example, bringing together DVLA employees with external partners could provide different perspectives on customer service, technology and processes. This could encourage employees to challenge existing ways of working and develop ideas that may not have been considered internally. However, collaboration also requires trust, clear responsibilities and effective communication, meaning it would need to be managed carefully to produce useful outcomes. Research into interorganisational collaboration has identified trust and confidence as important factors in achieving successful collaboration.</w:t>
      </w:r>
    </w:p>
    <w:p w14:paraId="6C99AA3D" w14:textId="6158F465" w:rsidR="57FC6B9A" w:rsidRDefault="57FC6B9A" w:rsidP="3BDF8C04">
      <w:pPr>
        <w:spacing w:before="240" w:after="240"/>
      </w:pPr>
      <w:r w:rsidRPr="3BDF8C04">
        <w:rPr>
          <w:rFonts w:ascii="Aptos" w:eastAsia="Aptos" w:hAnsi="Aptos" w:cs="Aptos"/>
        </w:rPr>
        <w:lastRenderedPageBreak/>
        <w:t>Tidd and Bessant's (2018) model of interorganisational collaboration shows how working with other organisations can help share knowledge and support innovation. I experienced this at DVLA when I attended a seminar at Bristol University focused on improving services for transgender customers. This gave me knowledge and different perspectives that could be brought back into DVLA. I shared the learning with senior managers, which contributed to changes to some processes and procedures. In my view, this demonstrates the value of collaboration, as DVLA was able to use knowledge from outside the organisation to improve its services. It also shows that collaboration can support creativity and performance when new ideas are shared and successfully put into practice.</w:t>
      </w:r>
    </w:p>
    <w:p w14:paraId="7B82BF5A" w14:textId="1BB8ECD3" w:rsidR="54C26016" w:rsidRDefault="54C26016" w:rsidP="3BDF8C04">
      <w:pPr>
        <w:spacing w:before="240" w:after="240"/>
      </w:pPr>
      <w:r w:rsidRPr="3BDF8C04">
        <w:rPr>
          <w:rFonts w:ascii="Aptos" w:eastAsia="Aptos" w:hAnsi="Aptos" w:cs="Aptos"/>
        </w:rPr>
        <w:t>Although inter-organisational collaboration can support creativity by bringing different knowledge and ideas together, it can also create challenges. Research found that collaboration can increase the number of useful ideas but may also lead to delays, additional coordination and less efficient decision-making (Griffin et al., 2011). This is relevant to DVLA because working with external organisations can provide valuable knowledge, as shown by my experience with Bristol University, but involving different organisations may also make changes slower due to different processes, priorities and approval requirements. Therefore, collaboration can support creativity, but it needs to be well managed to ensure that new ideas are not lost through delays or complex decision-making.</w:t>
      </w:r>
    </w:p>
    <w:p w14:paraId="67F6A971" w14:textId="632EE2A1" w:rsidR="2B791C04" w:rsidRDefault="2B791C04" w:rsidP="3BDF8C04">
      <w:pPr>
        <w:pStyle w:val="Heading1"/>
        <w:rPr>
          <w:rFonts w:ascii="Calibri" w:eastAsia="Calibri" w:hAnsi="Calibri" w:cs="Calibri"/>
          <w:b/>
          <w:bCs/>
          <w:sz w:val="24"/>
          <w:szCs w:val="24"/>
        </w:rPr>
      </w:pPr>
      <w:r w:rsidRPr="3BDF8C04">
        <w:t>Conclusion – How does an organisation create a culture and why is it important?</w:t>
      </w:r>
    </w:p>
    <w:p w14:paraId="41AD457F" w14:textId="6BFD3003" w:rsidR="2B791C04" w:rsidRDefault="2B791C04" w:rsidP="3BDF8C04">
      <w:pPr>
        <w:spacing w:before="240" w:after="240"/>
      </w:pPr>
      <w:r w:rsidRPr="3BDF8C04">
        <w:t xml:space="preserve">Overall, an organisation creates a positive culture through its leadership, communication, support, shared values and the opportunities it gives employees to contribute. The evidence considered throughout this section shows that creativity is more likely when employees feel supported, have some freedom and are encouraged to share ideas (Amabile et al., 1996; Lee et al., 2019). Examples from organisations such as Whirlpool also demonstrate that creativity can be strengthened when innovation is supported through leadership, training and clear processes. In my view, DVLA has many of these elements in place through forums, workshops, staff sessions and opportunities to share ideas. However, its ability to turn creativity into innovation can be limited by government policies, budgets and operational demands. I believe that creating a culture where employees understand these limitations, rather than simply receiving a generic 'no', would encourage them to continue contributing. A strong creative culture is important because it can improve performance by helping organisations find more efficient ways of working, respond to change and improve services. For DVLA, successfully combining the necessary controls of a public </w:t>
      </w:r>
      <w:r w:rsidRPr="3BDF8C04">
        <w:lastRenderedPageBreak/>
        <w:t>organisation with an open and supportive culture could help turn employee creativity into meaningful improvements.</w:t>
      </w:r>
    </w:p>
    <w:p w14:paraId="10D42930" w14:textId="0ACBF9B8" w:rsidR="3BDF8C04" w:rsidRDefault="3BDF8C04">
      <w:r>
        <w:br w:type="page"/>
      </w:r>
    </w:p>
    <w:p w14:paraId="7920F4A8" w14:textId="0AD596D2" w:rsidR="6CE557A6" w:rsidRDefault="6CE557A6" w:rsidP="3BDF8C04">
      <w:pPr>
        <w:pStyle w:val="Heading1"/>
      </w:pPr>
      <w:r w:rsidRPr="3BDF8C04">
        <w:lastRenderedPageBreak/>
        <w:t>References</w:t>
      </w:r>
    </w:p>
    <w:p w14:paraId="6F5BE531" w14:textId="2765A659" w:rsidR="6CE557A6" w:rsidRDefault="6CE557A6" w:rsidP="3BDF8C04">
      <w:pPr>
        <w:pStyle w:val="Heading1"/>
        <w:spacing w:before="0" w:after="0" w:line="480" w:lineRule="auto"/>
        <w:jc w:val="center"/>
      </w:pPr>
      <w:r w:rsidRPr="3BDF8C04">
        <w:rPr>
          <w:rFonts w:ascii="Times New Roman" w:eastAsia="Times New Roman" w:hAnsi="Times New Roman" w:cs="Times New Roman"/>
          <w:b/>
          <w:bCs/>
          <w:sz w:val="24"/>
          <w:szCs w:val="24"/>
        </w:rPr>
        <w:t>References</w:t>
      </w:r>
    </w:p>
    <w:p w14:paraId="5217EC21" w14:textId="2FD97CD1" w:rsidR="6CE557A6" w:rsidRDefault="6CE557A6" w:rsidP="3BDF8C04">
      <w:pPr>
        <w:spacing w:after="0" w:line="480" w:lineRule="auto"/>
        <w:ind w:left="720" w:hanging="720"/>
      </w:pPr>
      <w:r w:rsidRPr="3BDF8C04">
        <w:rPr>
          <w:rFonts w:ascii="Times New Roman" w:eastAsia="Times New Roman" w:hAnsi="Times New Roman" w:cs="Times New Roman"/>
        </w:rPr>
        <w:t xml:space="preserve">Amabile, T. M. (1996). Assessing the work environment for creativity. </w:t>
      </w:r>
      <w:r w:rsidRPr="3BDF8C04">
        <w:rPr>
          <w:rFonts w:ascii="Times New Roman" w:eastAsia="Times New Roman" w:hAnsi="Times New Roman" w:cs="Times New Roman"/>
          <w:i/>
          <w:iCs/>
        </w:rPr>
        <w:t>Academy of Management Journal</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39</w:t>
      </w:r>
      <w:r w:rsidRPr="3BDF8C04">
        <w:rPr>
          <w:rFonts w:ascii="Times New Roman" w:eastAsia="Times New Roman" w:hAnsi="Times New Roman" w:cs="Times New Roman"/>
        </w:rPr>
        <w:t xml:space="preserve">(5), 1154–1184. </w:t>
      </w:r>
      <w:hyperlink r:id="rId6">
        <w:r w:rsidRPr="3BDF8C04">
          <w:rPr>
            <w:rStyle w:val="Hyperlink"/>
          </w:rPr>
          <w:t>https://people.wku.edu/richard.miller/amabile.pdf</w:t>
        </w:r>
      </w:hyperlink>
    </w:p>
    <w:p w14:paraId="016C4D13" w14:textId="1C1A37C8" w:rsidR="6CE557A6" w:rsidRDefault="6CE557A6" w:rsidP="3BDF8C04">
      <w:pPr>
        <w:spacing w:after="0" w:line="480" w:lineRule="auto"/>
        <w:ind w:left="720" w:hanging="720"/>
      </w:pPr>
      <w:r w:rsidRPr="3BDF8C04">
        <w:rPr>
          <w:rFonts w:ascii="Times New Roman" w:eastAsia="Times New Roman" w:hAnsi="Times New Roman" w:cs="Times New Roman"/>
        </w:rPr>
        <w:t xml:space="preserve">Amabile, T. M., &amp; Pratt, M. G. (2016). The dynamic componential model of creativity and innovation in organizations: Making progress, making meaning. </w:t>
      </w:r>
      <w:r w:rsidRPr="3BDF8C04">
        <w:rPr>
          <w:rFonts w:ascii="Times New Roman" w:eastAsia="Times New Roman" w:hAnsi="Times New Roman" w:cs="Times New Roman"/>
          <w:i/>
          <w:iCs/>
        </w:rPr>
        <w:t>Research in Organizational Behavior</w:t>
      </w:r>
      <w:r w:rsidRPr="3BDF8C04">
        <w:rPr>
          <w:rFonts w:ascii="Times New Roman" w:eastAsia="Times New Roman" w:hAnsi="Times New Roman" w:cs="Times New Roman"/>
        </w:rPr>
        <w:t xml:space="preserve">. </w:t>
      </w:r>
      <w:hyperlink r:id="rId7">
        <w:r w:rsidRPr="3BDF8C04">
          <w:rPr>
            <w:rStyle w:val="Hyperlink"/>
          </w:rPr>
          <w:t>https://www.sciencedirect.com/science/article/pii/S0191308516300053?via%3Dihub</w:t>
        </w:r>
      </w:hyperlink>
    </w:p>
    <w:p w14:paraId="31C3DAFD" w14:textId="6FB6166F" w:rsidR="6CE557A6" w:rsidRDefault="6CE557A6" w:rsidP="3BDF8C04">
      <w:pPr>
        <w:spacing w:after="0" w:line="480" w:lineRule="auto"/>
        <w:ind w:left="720" w:hanging="720"/>
      </w:pPr>
      <w:r w:rsidRPr="3BDF8C04">
        <w:rPr>
          <w:rFonts w:ascii="Times New Roman" w:eastAsia="Times New Roman" w:hAnsi="Times New Roman" w:cs="Times New Roman"/>
        </w:rPr>
        <w:t xml:space="preserve">Amabile, T. M., Schatzel, E. A., Moneta, G. B., &amp; Kramer, S. J. (2004). Leader behaviors and the work environment for creativity: Perceived leader support. </w:t>
      </w:r>
      <w:r w:rsidRPr="3BDF8C04">
        <w:rPr>
          <w:rFonts w:ascii="Times New Roman" w:eastAsia="Times New Roman" w:hAnsi="Times New Roman" w:cs="Times New Roman"/>
          <w:i/>
          <w:iCs/>
        </w:rPr>
        <w:t>The Leadership Quarterly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15</w:t>
      </w:r>
      <w:r w:rsidRPr="3BDF8C04">
        <w:rPr>
          <w:rFonts w:ascii="Times New Roman" w:eastAsia="Times New Roman" w:hAnsi="Times New Roman" w:cs="Times New Roman"/>
        </w:rPr>
        <w:t xml:space="preserve">(1), 5–32. </w:t>
      </w:r>
      <w:hyperlink r:id="rId8">
        <w:r w:rsidRPr="3BDF8C04">
          <w:rPr>
            <w:rStyle w:val="Hyperlink"/>
          </w:rPr>
          <w:t>https://doi.org/10.1016/j.leaqua.2003.12.003</w:t>
        </w:r>
      </w:hyperlink>
    </w:p>
    <w:p w14:paraId="41B02E38" w14:textId="07898741" w:rsidR="6CE557A6" w:rsidRDefault="6CE557A6" w:rsidP="3BDF8C04">
      <w:pPr>
        <w:spacing w:after="0" w:line="480" w:lineRule="auto"/>
        <w:ind w:left="720" w:hanging="720"/>
      </w:pPr>
      <w:r w:rsidRPr="3BDF8C04">
        <w:rPr>
          <w:rFonts w:ascii="Times New Roman" w:eastAsia="Times New Roman" w:hAnsi="Times New Roman" w:cs="Times New Roman"/>
        </w:rPr>
        <w:t xml:space="preserve">Cooper, R. G., &amp; Edgett, S. J. (2009). </w:t>
      </w:r>
      <w:r w:rsidRPr="3BDF8C04">
        <w:rPr>
          <w:rFonts w:ascii="Times New Roman" w:eastAsia="Times New Roman" w:hAnsi="Times New Roman" w:cs="Times New Roman"/>
          <w:i/>
          <w:iCs/>
        </w:rPr>
        <w:t>Product innovation and technology strategy</w:t>
      </w:r>
      <w:r w:rsidRPr="3BDF8C04">
        <w:rPr>
          <w:rFonts w:ascii="Times New Roman" w:eastAsia="Times New Roman" w:hAnsi="Times New Roman" w:cs="Times New Roman"/>
        </w:rPr>
        <w:t>. Stage-Gate International.</w:t>
      </w:r>
    </w:p>
    <w:p w14:paraId="6DEBF862" w14:textId="3BA6BF2B" w:rsidR="6CE557A6" w:rsidRDefault="6CE557A6" w:rsidP="3BDF8C04">
      <w:pPr>
        <w:spacing w:after="0" w:line="480" w:lineRule="auto"/>
        <w:ind w:left="720" w:hanging="720"/>
      </w:pPr>
      <w:r w:rsidRPr="3BDF8C04">
        <w:rPr>
          <w:rFonts w:ascii="Times New Roman" w:eastAsia="Times New Roman" w:hAnsi="Times New Roman" w:cs="Times New Roman"/>
        </w:rPr>
        <w:t xml:space="preserve">Cuijpers, M., Guenter, H., &amp; Hussinger, K. (2011). Costs and benefits of inter-departmental innovation collaboration. </w:t>
      </w:r>
      <w:r w:rsidRPr="3BDF8C04">
        <w:rPr>
          <w:rFonts w:ascii="Times New Roman" w:eastAsia="Times New Roman" w:hAnsi="Times New Roman" w:cs="Times New Roman"/>
          <w:i/>
          <w:iCs/>
        </w:rPr>
        <w:t>Research Policy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40</w:t>
      </w:r>
      <w:r w:rsidRPr="3BDF8C04">
        <w:rPr>
          <w:rFonts w:ascii="Times New Roman" w:eastAsia="Times New Roman" w:hAnsi="Times New Roman" w:cs="Times New Roman"/>
        </w:rPr>
        <w:t xml:space="preserve">(4), 565–575. </w:t>
      </w:r>
      <w:hyperlink r:id="rId9">
        <w:r w:rsidRPr="3BDF8C04">
          <w:rPr>
            <w:rStyle w:val="Hyperlink"/>
          </w:rPr>
          <w:t>https://doi.org/10.1016/j.respol.2010.12.004</w:t>
        </w:r>
      </w:hyperlink>
    </w:p>
    <w:p w14:paraId="7AD8A245" w14:textId="7071DD09" w:rsidR="6CE557A6" w:rsidRDefault="6CE557A6" w:rsidP="3BDF8C04">
      <w:pPr>
        <w:spacing w:after="0" w:line="480" w:lineRule="auto"/>
        <w:ind w:left="720" w:hanging="720"/>
      </w:pPr>
      <w:r w:rsidRPr="3BDF8C04">
        <w:rPr>
          <w:rFonts w:ascii="Times New Roman" w:eastAsia="Times New Roman" w:hAnsi="Times New Roman" w:cs="Times New Roman"/>
        </w:rPr>
        <w:t xml:space="preserve">da Costa, S., Páez, D., Sánchez, F., Garaigordobil, M., &amp; Gondim, S. (2015). Personal factors of creativity: A second order meta-analysis. </w:t>
      </w:r>
      <w:r w:rsidRPr="3BDF8C04">
        <w:rPr>
          <w:rFonts w:ascii="Times New Roman" w:eastAsia="Times New Roman" w:hAnsi="Times New Roman" w:cs="Times New Roman"/>
          <w:i/>
          <w:iCs/>
        </w:rPr>
        <w:t>Revista de Psicología Del Trabajo Y de Las Organizaciones</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31</w:t>
      </w:r>
      <w:r w:rsidRPr="3BDF8C04">
        <w:rPr>
          <w:rFonts w:ascii="Times New Roman" w:eastAsia="Times New Roman" w:hAnsi="Times New Roman" w:cs="Times New Roman"/>
        </w:rPr>
        <w:t xml:space="preserve">(3), 165–173. </w:t>
      </w:r>
      <w:hyperlink r:id="rId10">
        <w:r w:rsidRPr="3BDF8C04">
          <w:rPr>
            <w:rStyle w:val="Hyperlink"/>
          </w:rPr>
          <w:t>https://doi.org/10.1016/j.rpto.2015.06.002</w:t>
        </w:r>
      </w:hyperlink>
    </w:p>
    <w:p w14:paraId="6E2FAFF6" w14:textId="209AEA13" w:rsidR="6CE557A6" w:rsidRDefault="6CE557A6" w:rsidP="3BDF8C04">
      <w:pPr>
        <w:spacing w:after="0" w:line="480" w:lineRule="auto"/>
        <w:ind w:left="720" w:hanging="720"/>
      </w:pPr>
      <w:r w:rsidRPr="3BDF8C04">
        <w:rPr>
          <w:rFonts w:ascii="Times New Roman" w:eastAsia="Times New Roman" w:hAnsi="Times New Roman" w:cs="Times New Roman"/>
        </w:rPr>
        <w:t xml:space="preserve">Edward De Bono. (1985). </w:t>
      </w:r>
      <w:r w:rsidRPr="3BDF8C04">
        <w:rPr>
          <w:rFonts w:ascii="Times New Roman" w:eastAsia="Times New Roman" w:hAnsi="Times New Roman" w:cs="Times New Roman"/>
          <w:i/>
          <w:iCs/>
        </w:rPr>
        <w:t>Six thinking hats</w:t>
      </w:r>
      <w:r w:rsidRPr="3BDF8C04">
        <w:rPr>
          <w:rFonts w:ascii="Times New Roman" w:eastAsia="Times New Roman" w:hAnsi="Times New Roman" w:cs="Times New Roman"/>
        </w:rPr>
        <w:t>. Penguin. (Original work published 1985)</w:t>
      </w:r>
    </w:p>
    <w:p w14:paraId="54308648" w14:textId="1258F44D" w:rsidR="6CE557A6" w:rsidRDefault="6CE557A6" w:rsidP="3BDF8C04">
      <w:pPr>
        <w:spacing w:after="0" w:line="480" w:lineRule="auto"/>
        <w:ind w:left="720" w:hanging="720"/>
      </w:pPr>
      <w:r w:rsidRPr="3BDF8C04">
        <w:rPr>
          <w:rFonts w:ascii="Times New Roman" w:eastAsia="Times New Roman" w:hAnsi="Times New Roman" w:cs="Times New Roman"/>
        </w:rPr>
        <w:t xml:space="preserve">Fairbank, J. F., &amp; Williams, S. D. (2001). Motivating creativity and enhancing innovation through employee suggestion system technology. </w:t>
      </w:r>
      <w:r w:rsidRPr="3BDF8C04">
        <w:rPr>
          <w:rFonts w:ascii="Times New Roman" w:eastAsia="Times New Roman" w:hAnsi="Times New Roman" w:cs="Times New Roman"/>
          <w:i/>
          <w:iCs/>
        </w:rPr>
        <w:t>Creativity and Innovation Management</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10</w:t>
      </w:r>
      <w:r w:rsidRPr="3BDF8C04">
        <w:rPr>
          <w:rFonts w:ascii="Times New Roman" w:eastAsia="Times New Roman" w:hAnsi="Times New Roman" w:cs="Times New Roman"/>
        </w:rPr>
        <w:t xml:space="preserve">(2), 68–74. </w:t>
      </w:r>
      <w:hyperlink r:id="rId11">
        <w:r w:rsidRPr="3BDF8C04">
          <w:rPr>
            <w:rStyle w:val="Hyperlink"/>
          </w:rPr>
          <w:t>https://doi.org/10.1111/1467-8691.00204</w:t>
        </w:r>
      </w:hyperlink>
    </w:p>
    <w:p w14:paraId="539AC23F" w14:textId="29330CA0" w:rsidR="6CE557A6" w:rsidRDefault="6CE557A6" w:rsidP="3BDF8C04">
      <w:pPr>
        <w:spacing w:after="0" w:line="480" w:lineRule="auto"/>
        <w:ind w:left="720" w:hanging="720"/>
      </w:pPr>
      <w:r w:rsidRPr="3BDF8C04">
        <w:rPr>
          <w:rFonts w:ascii="Times New Roman" w:eastAsia="Times New Roman" w:hAnsi="Times New Roman" w:cs="Times New Roman"/>
        </w:rPr>
        <w:lastRenderedPageBreak/>
        <w:t xml:space="preserve">Fleischer, J., &amp; Wanckel, C. (2023). Creativity in policy capacity: Organizational and individual determinants. </w:t>
      </w:r>
      <w:r w:rsidRPr="3BDF8C04">
        <w:rPr>
          <w:rFonts w:ascii="Times New Roman" w:eastAsia="Times New Roman" w:hAnsi="Times New Roman" w:cs="Times New Roman"/>
          <w:i/>
          <w:iCs/>
        </w:rPr>
        <w:t>PAR. Public Administration Review/Public Administration Review</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84</w:t>
      </w:r>
      <w:r w:rsidRPr="3BDF8C04">
        <w:rPr>
          <w:rFonts w:ascii="Times New Roman" w:eastAsia="Times New Roman" w:hAnsi="Times New Roman" w:cs="Times New Roman"/>
        </w:rPr>
        <w:t xml:space="preserve">(2), 218–232. </w:t>
      </w:r>
      <w:hyperlink r:id="rId12">
        <w:r w:rsidRPr="3BDF8C04">
          <w:rPr>
            <w:rStyle w:val="Hyperlink"/>
          </w:rPr>
          <w:t>https://doi.org/10.1111/puar.13676</w:t>
        </w:r>
      </w:hyperlink>
    </w:p>
    <w:p w14:paraId="73766D61" w14:textId="7D8C17C9" w:rsidR="6CE557A6" w:rsidRDefault="6CE557A6" w:rsidP="3BDF8C04">
      <w:pPr>
        <w:spacing w:after="0" w:line="480" w:lineRule="auto"/>
        <w:ind w:left="720" w:hanging="720"/>
      </w:pPr>
      <w:r w:rsidRPr="3BDF8C04">
        <w:rPr>
          <w:rFonts w:ascii="Times New Roman" w:eastAsia="Times New Roman" w:hAnsi="Times New Roman" w:cs="Times New Roman"/>
        </w:rPr>
        <w:t xml:space="preserve">GUILFORD, J. P. (1967). Creativity: Yesterday, today and tomorrow. </w:t>
      </w:r>
      <w:r w:rsidRPr="3BDF8C04">
        <w:rPr>
          <w:rFonts w:ascii="Times New Roman" w:eastAsia="Times New Roman" w:hAnsi="Times New Roman" w:cs="Times New Roman"/>
          <w:i/>
          <w:iCs/>
        </w:rPr>
        <w:t>The Journal of Creative Behavior</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w:t>
      </w:r>
      <w:r w:rsidRPr="3BDF8C04">
        <w:rPr>
          <w:rFonts w:ascii="Times New Roman" w:eastAsia="Times New Roman" w:hAnsi="Times New Roman" w:cs="Times New Roman"/>
        </w:rPr>
        <w:t xml:space="preserve">(1), 3–14. </w:t>
      </w:r>
      <w:hyperlink r:id="rId13">
        <w:r w:rsidRPr="3BDF8C04">
          <w:rPr>
            <w:rStyle w:val="Hyperlink"/>
          </w:rPr>
          <w:t>https://doi.org/10.1002/j.2162-6057.1967.tb00002.x</w:t>
        </w:r>
      </w:hyperlink>
    </w:p>
    <w:p w14:paraId="6E6FBD6D" w14:textId="55DC9F3F" w:rsidR="6CE557A6" w:rsidRDefault="6CE557A6" w:rsidP="3BDF8C04">
      <w:pPr>
        <w:spacing w:after="0" w:line="480" w:lineRule="auto"/>
        <w:ind w:left="720" w:hanging="720"/>
      </w:pPr>
      <w:r w:rsidRPr="3BDF8C04">
        <w:rPr>
          <w:rFonts w:ascii="Times New Roman" w:eastAsia="Times New Roman" w:hAnsi="Times New Roman" w:cs="Times New Roman"/>
        </w:rPr>
        <w:t xml:space="preserve">Göçmen, Ö., &amp; Coşkun, H. (2019). The effects of the six thinking hats and speed on creativity in brainstorming. </w:t>
      </w:r>
      <w:r w:rsidRPr="3BDF8C04">
        <w:rPr>
          <w:rFonts w:ascii="Times New Roman" w:eastAsia="Times New Roman" w:hAnsi="Times New Roman" w:cs="Times New Roman"/>
          <w:i/>
          <w:iCs/>
        </w:rPr>
        <w:t>Thinking Skills and Creativity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31</w:t>
      </w:r>
      <w:r w:rsidRPr="3BDF8C04">
        <w:rPr>
          <w:rFonts w:ascii="Times New Roman" w:eastAsia="Times New Roman" w:hAnsi="Times New Roman" w:cs="Times New Roman"/>
        </w:rPr>
        <w:t xml:space="preserve">, 284–295. </w:t>
      </w:r>
      <w:hyperlink r:id="rId14">
        <w:r w:rsidRPr="3BDF8C04">
          <w:rPr>
            <w:rStyle w:val="Hyperlink"/>
          </w:rPr>
          <w:t>https://doi.org/10.1016/j.tsc.2019.02.006</w:t>
        </w:r>
      </w:hyperlink>
    </w:p>
    <w:p w14:paraId="09A6AF8D" w14:textId="0F2B7F88" w:rsidR="6CE557A6" w:rsidRDefault="6CE557A6" w:rsidP="3BDF8C04">
      <w:pPr>
        <w:spacing w:after="0" w:line="480" w:lineRule="auto"/>
        <w:ind w:left="720" w:hanging="720"/>
      </w:pPr>
      <w:r w:rsidRPr="3BDF8C04">
        <w:rPr>
          <w:rFonts w:ascii="Times New Roman" w:eastAsia="Times New Roman" w:hAnsi="Times New Roman" w:cs="Times New Roman"/>
        </w:rPr>
        <w:t xml:space="preserve">Houtgraaf, G., &amp; Ropes, E. (2024a). Thinking “outside the box” whilst remaining “inside the box”: Do rules and procedures demotivate creativity and innovation in the public sector? </w:t>
      </w:r>
      <w:r w:rsidRPr="3BDF8C04">
        <w:rPr>
          <w:rFonts w:ascii="Times New Roman" w:eastAsia="Times New Roman" w:hAnsi="Times New Roman" w:cs="Times New Roman"/>
          <w:i/>
          <w:iCs/>
        </w:rPr>
        <w:t>Review of Public Personnel Administration</w:t>
      </w:r>
      <w:r w:rsidRPr="3BDF8C04">
        <w:rPr>
          <w:rFonts w:ascii="Times New Roman" w:eastAsia="Times New Roman" w:hAnsi="Times New Roman" w:cs="Times New Roman"/>
        </w:rPr>
        <w:t xml:space="preserve">. </w:t>
      </w:r>
      <w:hyperlink r:id="rId15">
        <w:r w:rsidRPr="3BDF8C04">
          <w:rPr>
            <w:rStyle w:val="Hyperlink"/>
          </w:rPr>
          <w:t>https://doi.org/10.1177/0734371x241266117</w:t>
        </w:r>
      </w:hyperlink>
    </w:p>
    <w:p w14:paraId="6186E8F2" w14:textId="57B0544C" w:rsidR="6CE557A6" w:rsidRDefault="6CE557A6" w:rsidP="3BDF8C04">
      <w:pPr>
        <w:spacing w:after="0" w:line="480" w:lineRule="auto"/>
        <w:ind w:left="720" w:hanging="720"/>
      </w:pPr>
      <w:r w:rsidRPr="3BDF8C04">
        <w:rPr>
          <w:rFonts w:ascii="Times New Roman" w:eastAsia="Times New Roman" w:hAnsi="Times New Roman" w:cs="Times New Roman"/>
        </w:rPr>
        <w:t xml:space="preserve">Houtgraaf, G., &amp; Ropes, E. (2024b). Thinking “outside the box” whilst remaining “inside the box”: Do rules and procedures demotivate creativity and innovation in the public sector? </w:t>
      </w:r>
      <w:r w:rsidRPr="3BDF8C04">
        <w:rPr>
          <w:rFonts w:ascii="Times New Roman" w:eastAsia="Times New Roman" w:hAnsi="Times New Roman" w:cs="Times New Roman"/>
          <w:i/>
          <w:iCs/>
        </w:rPr>
        <w:t>Review of Public Personnel Administration</w:t>
      </w:r>
      <w:r w:rsidRPr="3BDF8C04">
        <w:rPr>
          <w:rFonts w:ascii="Times New Roman" w:eastAsia="Times New Roman" w:hAnsi="Times New Roman" w:cs="Times New Roman"/>
        </w:rPr>
        <w:t xml:space="preserve">. </w:t>
      </w:r>
      <w:hyperlink r:id="rId16">
        <w:r w:rsidRPr="3BDF8C04">
          <w:rPr>
            <w:rStyle w:val="Hyperlink"/>
          </w:rPr>
          <w:t>https://doi.org/10.1177/0734371x241266117</w:t>
        </w:r>
      </w:hyperlink>
    </w:p>
    <w:p w14:paraId="6778EAA6" w14:textId="78A45FE2" w:rsidR="6CE557A6" w:rsidRDefault="6CE557A6" w:rsidP="3BDF8C04">
      <w:pPr>
        <w:spacing w:after="0" w:line="480" w:lineRule="auto"/>
        <w:ind w:left="720" w:hanging="720"/>
      </w:pPr>
      <w:r w:rsidRPr="3BDF8C04">
        <w:rPr>
          <w:rFonts w:ascii="Times New Roman" w:eastAsia="Times New Roman" w:hAnsi="Times New Roman" w:cs="Times New Roman"/>
        </w:rPr>
        <w:t xml:space="preserve">Hutchins, N., &amp; Muller, A. (2012). Beyond stage‐gate: Restoring learning and adaptability to commercialization. </w:t>
      </w:r>
      <w:r w:rsidRPr="3BDF8C04">
        <w:rPr>
          <w:rFonts w:ascii="Times New Roman" w:eastAsia="Times New Roman" w:hAnsi="Times New Roman" w:cs="Times New Roman"/>
          <w:i/>
          <w:iCs/>
        </w:rPr>
        <w:t>Strategy &amp; Leadership</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40</w:t>
      </w:r>
      <w:r w:rsidRPr="3BDF8C04">
        <w:rPr>
          <w:rFonts w:ascii="Times New Roman" w:eastAsia="Times New Roman" w:hAnsi="Times New Roman" w:cs="Times New Roman"/>
        </w:rPr>
        <w:t xml:space="preserve">(3), 30–35. </w:t>
      </w:r>
      <w:hyperlink r:id="rId17">
        <w:r w:rsidRPr="3BDF8C04">
          <w:rPr>
            <w:rStyle w:val="Hyperlink"/>
          </w:rPr>
          <w:t>https://doi.org/10.1108/10878571211221194</w:t>
        </w:r>
      </w:hyperlink>
    </w:p>
    <w:p w14:paraId="03A27D4D" w14:textId="558B6E64" w:rsidR="6CE557A6" w:rsidRDefault="6CE557A6" w:rsidP="3BDF8C04">
      <w:pPr>
        <w:spacing w:after="0" w:line="480" w:lineRule="auto"/>
        <w:ind w:left="720" w:hanging="720"/>
      </w:pPr>
      <w:r w:rsidRPr="3BDF8C04">
        <w:rPr>
          <w:rFonts w:ascii="Times New Roman" w:eastAsia="Times New Roman" w:hAnsi="Times New Roman" w:cs="Times New Roman"/>
        </w:rPr>
        <w:t xml:space="preserve">Högman, U., &amp; Johannesson, H. (2013). Applying stage-gate processes to technology development—Experience from six hardware-oriented companies. </w:t>
      </w:r>
      <w:r w:rsidRPr="3BDF8C04">
        <w:rPr>
          <w:rFonts w:ascii="Times New Roman" w:eastAsia="Times New Roman" w:hAnsi="Times New Roman" w:cs="Times New Roman"/>
          <w:i/>
          <w:iCs/>
        </w:rPr>
        <w:t>Journal of Engineering and Technology Management</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30</w:t>
      </w:r>
      <w:r w:rsidRPr="3BDF8C04">
        <w:rPr>
          <w:rFonts w:ascii="Times New Roman" w:eastAsia="Times New Roman" w:hAnsi="Times New Roman" w:cs="Times New Roman"/>
        </w:rPr>
        <w:t xml:space="preserve">(3), 264–287. </w:t>
      </w:r>
      <w:hyperlink r:id="rId18">
        <w:r w:rsidRPr="3BDF8C04">
          <w:rPr>
            <w:rStyle w:val="Hyperlink"/>
          </w:rPr>
          <w:t>https://doi.org/10.1016/j.jengtecman.2013.05.002</w:t>
        </w:r>
      </w:hyperlink>
    </w:p>
    <w:p w14:paraId="0F775C78" w14:textId="3E27166B" w:rsidR="6CE557A6" w:rsidRDefault="6CE557A6" w:rsidP="3BDF8C04">
      <w:pPr>
        <w:spacing w:after="0" w:line="480" w:lineRule="auto"/>
        <w:ind w:left="720" w:hanging="720"/>
      </w:pPr>
      <w:r w:rsidRPr="3BDF8C04">
        <w:rPr>
          <w:rFonts w:ascii="Times New Roman" w:eastAsia="Times New Roman" w:hAnsi="Times New Roman" w:cs="Times New Roman"/>
        </w:rPr>
        <w:lastRenderedPageBreak/>
        <w:t xml:space="preserve">Krause, D. E. (2004). Influence-based leadership as a determinant of the inclination to innovate and of innovation-related behaviors: An empirical investigation. </w:t>
      </w:r>
      <w:r w:rsidRPr="3BDF8C04">
        <w:rPr>
          <w:rFonts w:ascii="Times New Roman" w:eastAsia="Times New Roman" w:hAnsi="Times New Roman" w:cs="Times New Roman"/>
          <w:i/>
          <w:iCs/>
        </w:rPr>
        <w:t>The Leadership Quarterly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15</w:t>
      </w:r>
      <w:r w:rsidRPr="3BDF8C04">
        <w:rPr>
          <w:rFonts w:ascii="Times New Roman" w:eastAsia="Times New Roman" w:hAnsi="Times New Roman" w:cs="Times New Roman"/>
        </w:rPr>
        <w:t xml:space="preserve">(1), 79–102. </w:t>
      </w:r>
      <w:hyperlink r:id="rId19">
        <w:r w:rsidRPr="3BDF8C04">
          <w:rPr>
            <w:rStyle w:val="Hyperlink"/>
          </w:rPr>
          <w:t>https://doi.org/10.1016/j.leaqua.2003.12.006</w:t>
        </w:r>
      </w:hyperlink>
    </w:p>
    <w:p w14:paraId="733BE633" w14:textId="24119295" w:rsidR="6CE557A6" w:rsidRDefault="6CE557A6" w:rsidP="3BDF8C04">
      <w:pPr>
        <w:spacing w:after="0" w:line="480" w:lineRule="auto"/>
        <w:ind w:left="720" w:hanging="720"/>
      </w:pPr>
      <w:r w:rsidRPr="3BDF8C04">
        <w:rPr>
          <w:rFonts w:ascii="Times New Roman" w:eastAsia="Times New Roman" w:hAnsi="Times New Roman" w:cs="Times New Roman"/>
        </w:rPr>
        <w:t xml:space="preserve">Lee, A., Legood, A., Hughes, D., Tian, A. W., Newman, A., &amp; Knight, C. (2019). Leadership, creativity and innovation: A meta-analytic review. </w:t>
      </w:r>
      <w:r w:rsidRPr="3BDF8C04">
        <w:rPr>
          <w:rFonts w:ascii="Times New Roman" w:eastAsia="Times New Roman" w:hAnsi="Times New Roman" w:cs="Times New Roman"/>
          <w:i/>
          <w:iCs/>
        </w:rPr>
        <w:t>European Journal of Work and Organizational Psychology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29</w:t>
      </w:r>
      <w:r w:rsidRPr="3BDF8C04">
        <w:rPr>
          <w:rFonts w:ascii="Times New Roman" w:eastAsia="Times New Roman" w:hAnsi="Times New Roman" w:cs="Times New Roman"/>
        </w:rPr>
        <w:t xml:space="preserve">(1), 1–35. </w:t>
      </w:r>
      <w:hyperlink r:id="rId20">
        <w:r w:rsidRPr="3BDF8C04">
          <w:rPr>
            <w:rStyle w:val="Hyperlink"/>
          </w:rPr>
          <w:t>https://doi.org/https://doi.org/10.1080/1359432X.2019.1661837</w:t>
        </w:r>
      </w:hyperlink>
    </w:p>
    <w:p w14:paraId="59476B8F" w14:textId="0022ED58" w:rsidR="6CE557A6" w:rsidRDefault="6CE557A6" w:rsidP="3BDF8C04">
      <w:pPr>
        <w:spacing w:after="0" w:line="480" w:lineRule="auto"/>
        <w:ind w:left="720" w:hanging="720"/>
      </w:pPr>
      <w:r w:rsidRPr="3BDF8C04">
        <w:rPr>
          <w:rFonts w:ascii="Times New Roman" w:eastAsia="Times New Roman" w:hAnsi="Times New Roman" w:cs="Times New Roman"/>
        </w:rPr>
        <w:t xml:space="preserve">Leung, T. C. (2015). Music piracy: Bad for record sales but good for the iPod? </w:t>
      </w:r>
      <w:r w:rsidRPr="3BDF8C04">
        <w:rPr>
          <w:rFonts w:ascii="Times New Roman" w:eastAsia="Times New Roman" w:hAnsi="Times New Roman" w:cs="Times New Roman"/>
          <w:i/>
          <w:iCs/>
        </w:rPr>
        <w:t>Information Economics and Policy</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31</w:t>
      </w:r>
      <w:r w:rsidRPr="3BDF8C04">
        <w:rPr>
          <w:rFonts w:ascii="Times New Roman" w:eastAsia="Times New Roman" w:hAnsi="Times New Roman" w:cs="Times New Roman"/>
        </w:rPr>
        <w:t xml:space="preserve">, 1–12. </w:t>
      </w:r>
      <w:hyperlink r:id="rId21">
        <w:r w:rsidRPr="3BDF8C04">
          <w:rPr>
            <w:rStyle w:val="Hyperlink"/>
          </w:rPr>
          <w:t>https://doi.org/10.1016/j.infoecopol.2015.04.001</w:t>
        </w:r>
      </w:hyperlink>
    </w:p>
    <w:p w14:paraId="0A274CE8" w14:textId="13A67385" w:rsidR="6CE557A6" w:rsidRDefault="6CE557A6" w:rsidP="3BDF8C04">
      <w:pPr>
        <w:spacing w:after="0" w:line="480" w:lineRule="auto"/>
        <w:ind w:left="720" w:hanging="720"/>
      </w:pPr>
      <w:r w:rsidRPr="3BDF8C04">
        <w:rPr>
          <w:rFonts w:ascii="Times New Roman" w:eastAsia="Times New Roman" w:hAnsi="Times New Roman" w:cs="Times New Roman"/>
        </w:rPr>
        <w:t xml:space="preserve">Lucas, H. C., &amp; Goh, J. M. (2009a). Disruptive technology: How Kodak missed the digital photography revolution. </w:t>
      </w:r>
      <w:r w:rsidRPr="3BDF8C04">
        <w:rPr>
          <w:rFonts w:ascii="Times New Roman" w:eastAsia="Times New Roman" w:hAnsi="Times New Roman" w:cs="Times New Roman"/>
          <w:i/>
          <w:iCs/>
        </w:rPr>
        <w:t>The Journal of Strategic Information Systems</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18</w:t>
      </w:r>
      <w:r w:rsidRPr="3BDF8C04">
        <w:rPr>
          <w:rFonts w:ascii="Times New Roman" w:eastAsia="Times New Roman" w:hAnsi="Times New Roman" w:cs="Times New Roman"/>
        </w:rPr>
        <w:t xml:space="preserve">(1), 46–55. </w:t>
      </w:r>
      <w:hyperlink r:id="rId22">
        <w:r w:rsidRPr="3BDF8C04">
          <w:rPr>
            <w:rStyle w:val="Hyperlink"/>
          </w:rPr>
          <w:t>https://doi.org/10.1016/j.jsis.2009.01.002</w:t>
        </w:r>
      </w:hyperlink>
    </w:p>
    <w:p w14:paraId="31B1413C" w14:textId="0FCA1D90" w:rsidR="6CE557A6" w:rsidRDefault="6CE557A6" w:rsidP="3BDF8C04">
      <w:pPr>
        <w:spacing w:after="0" w:line="480" w:lineRule="auto"/>
        <w:ind w:left="720" w:hanging="720"/>
      </w:pPr>
      <w:r w:rsidRPr="3BDF8C04">
        <w:rPr>
          <w:rFonts w:ascii="Times New Roman" w:eastAsia="Times New Roman" w:hAnsi="Times New Roman" w:cs="Times New Roman"/>
        </w:rPr>
        <w:t xml:space="preserve">Lucas, H. C., &amp; Goh, J. M. (2009b). Disruptive technology: How Kodak missed the digital photography revolution. </w:t>
      </w:r>
      <w:r w:rsidRPr="3BDF8C04">
        <w:rPr>
          <w:rFonts w:ascii="Times New Roman" w:eastAsia="Times New Roman" w:hAnsi="Times New Roman" w:cs="Times New Roman"/>
          <w:i/>
          <w:iCs/>
        </w:rPr>
        <w:t>The Journal of Strategic Information Systems</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18</w:t>
      </w:r>
      <w:r w:rsidRPr="3BDF8C04">
        <w:rPr>
          <w:rFonts w:ascii="Times New Roman" w:eastAsia="Times New Roman" w:hAnsi="Times New Roman" w:cs="Times New Roman"/>
        </w:rPr>
        <w:t xml:space="preserve">(1), 46–55. </w:t>
      </w:r>
      <w:hyperlink r:id="rId23">
        <w:r w:rsidRPr="3BDF8C04">
          <w:rPr>
            <w:rStyle w:val="Hyperlink"/>
          </w:rPr>
          <w:t>https://doi.org/10.1016/j.jsis.2009.01.002</w:t>
        </w:r>
      </w:hyperlink>
    </w:p>
    <w:p w14:paraId="1EB7B46E" w14:textId="0F7B36F7" w:rsidR="6CE557A6" w:rsidRDefault="6CE557A6" w:rsidP="3BDF8C04">
      <w:pPr>
        <w:spacing w:after="0" w:line="480" w:lineRule="auto"/>
        <w:ind w:left="720" w:hanging="720"/>
      </w:pPr>
      <w:r w:rsidRPr="3BDF8C04">
        <w:rPr>
          <w:rFonts w:ascii="Times New Roman" w:eastAsia="Times New Roman" w:hAnsi="Times New Roman" w:cs="Times New Roman"/>
        </w:rPr>
        <w:t xml:space="preserve">O’Connor, P. (2003). Implementing a stage-gate process: A multi-company perspective. </w:t>
      </w:r>
      <w:r w:rsidRPr="3BDF8C04">
        <w:rPr>
          <w:rFonts w:ascii="Times New Roman" w:eastAsia="Times New Roman" w:hAnsi="Times New Roman" w:cs="Times New Roman"/>
          <w:i/>
          <w:iCs/>
        </w:rPr>
        <w:t>Journal of Product Innovation Management</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11</w:t>
      </w:r>
      <w:r w:rsidRPr="3BDF8C04">
        <w:rPr>
          <w:rFonts w:ascii="Times New Roman" w:eastAsia="Times New Roman" w:hAnsi="Times New Roman" w:cs="Times New Roman"/>
        </w:rPr>
        <w:t xml:space="preserve">(3), 183–200. </w:t>
      </w:r>
      <w:hyperlink r:id="rId24">
        <w:r w:rsidRPr="3BDF8C04">
          <w:rPr>
            <w:rStyle w:val="Hyperlink"/>
          </w:rPr>
          <w:t>https://doi.org/10.1111/1540-5885.1130183</w:t>
        </w:r>
      </w:hyperlink>
    </w:p>
    <w:p w14:paraId="62A54B63" w14:textId="41C2A8AB" w:rsidR="6CE557A6" w:rsidRDefault="6CE557A6" w:rsidP="3BDF8C04">
      <w:pPr>
        <w:spacing w:after="0" w:line="480" w:lineRule="auto"/>
        <w:ind w:left="720" w:hanging="720"/>
      </w:pPr>
      <w:r w:rsidRPr="3BDF8C04">
        <w:rPr>
          <w:rFonts w:ascii="Times New Roman" w:eastAsia="Times New Roman" w:hAnsi="Times New Roman" w:cs="Times New Roman"/>
        </w:rPr>
        <w:t xml:space="preserve">OECD. (2018). </w:t>
      </w:r>
      <w:r w:rsidRPr="3BDF8C04">
        <w:rPr>
          <w:rFonts w:ascii="Times New Roman" w:eastAsia="Times New Roman" w:hAnsi="Times New Roman" w:cs="Times New Roman"/>
          <w:i/>
          <w:iCs/>
        </w:rPr>
        <w:t>Oslo manual 2018</w:t>
      </w:r>
      <w:r w:rsidRPr="3BDF8C04">
        <w:rPr>
          <w:rFonts w:ascii="Times New Roman" w:eastAsia="Times New Roman" w:hAnsi="Times New Roman" w:cs="Times New Roman"/>
        </w:rPr>
        <w:t xml:space="preserve">. OECD. </w:t>
      </w:r>
      <w:hyperlink r:id="rId25">
        <w:r w:rsidRPr="3BDF8C04">
          <w:rPr>
            <w:rStyle w:val="Hyperlink"/>
          </w:rPr>
          <w:t>https://www.oecd.org/en/publications/oslo-manual-2018_9789264304604-en.html</w:t>
        </w:r>
      </w:hyperlink>
    </w:p>
    <w:p w14:paraId="7D7244FE" w14:textId="0D227D55" w:rsidR="6CE557A6" w:rsidRDefault="6CE557A6" w:rsidP="3BDF8C04">
      <w:pPr>
        <w:spacing w:after="0" w:line="480" w:lineRule="auto"/>
        <w:ind w:left="720" w:hanging="720"/>
      </w:pPr>
      <w:r w:rsidRPr="3BDF8C04">
        <w:rPr>
          <w:rFonts w:ascii="Times New Roman" w:eastAsia="Times New Roman" w:hAnsi="Times New Roman" w:cs="Times New Roman"/>
        </w:rPr>
        <w:t xml:space="preserve">Pearson, A., &amp; Brockhoff, K. (1994). The uncertainty map and project management. </w:t>
      </w:r>
      <w:r w:rsidRPr="3BDF8C04">
        <w:rPr>
          <w:rFonts w:ascii="Times New Roman" w:eastAsia="Times New Roman" w:hAnsi="Times New Roman" w:cs="Times New Roman"/>
          <w:i/>
          <w:iCs/>
        </w:rPr>
        <w:t>Project Appraisal</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9</w:t>
      </w:r>
      <w:r w:rsidRPr="3BDF8C04">
        <w:rPr>
          <w:rFonts w:ascii="Times New Roman" w:eastAsia="Times New Roman" w:hAnsi="Times New Roman" w:cs="Times New Roman"/>
        </w:rPr>
        <w:t xml:space="preserve">(3), 211–215. </w:t>
      </w:r>
      <w:hyperlink r:id="rId26">
        <w:r w:rsidRPr="3BDF8C04">
          <w:rPr>
            <w:rStyle w:val="Hyperlink"/>
          </w:rPr>
          <w:t>https://doi.org/10.1080/02688867.1994.9726951</w:t>
        </w:r>
      </w:hyperlink>
    </w:p>
    <w:p w14:paraId="6303479A" w14:textId="26776570" w:rsidR="6CE557A6" w:rsidRDefault="6CE557A6" w:rsidP="3BDF8C04">
      <w:pPr>
        <w:spacing w:after="0" w:line="480" w:lineRule="auto"/>
        <w:ind w:left="720" w:hanging="720"/>
      </w:pPr>
      <w:r w:rsidRPr="3BDF8C04">
        <w:rPr>
          <w:rFonts w:ascii="Times New Roman" w:eastAsia="Times New Roman" w:hAnsi="Times New Roman" w:cs="Times New Roman"/>
        </w:rPr>
        <w:lastRenderedPageBreak/>
        <w:t xml:space="preserve">Pearson, A. W. (1990). Innovation strategy. </w:t>
      </w:r>
      <w:r w:rsidRPr="3BDF8C04">
        <w:rPr>
          <w:rFonts w:ascii="Times New Roman" w:eastAsia="Times New Roman" w:hAnsi="Times New Roman" w:cs="Times New Roman"/>
          <w:i/>
          <w:iCs/>
        </w:rPr>
        <w:t>Technovation</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10</w:t>
      </w:r>
      <w:r w:rsidRPr="3BDF8C04">
        <w:rPr>
          <w:rFonts w:ascii="Times New Roman" w:eastAsia="Times New Roman" w:hAnsi="Times New Roman" w:cs="Times New Roman"/>
        </w:rPr>
        <w:t xml:space="preserve">(3), 185–192. </w:t>
      </w:r>
      <w:hyperlink r:id="rId27">
        <w:r w:rsidRPr="3BDF8C04">
          <w:rPr>
            <w:rStyle w:val="Hyperlink"/>
          </w:rPr>
          <w:t>https://doi.org/10.1016/0166-4972(90)90023-d</w:t>
        </w:r>
      </w:hyperlink>
    </w:p>
    <w:p w14:paraId="4D488EAB" w14:textId="1C4C7B39" w:rsidR="6CE557A6" w:rsidRDefault="6CE557A6" w:rsidP="3BDF8C04">
      <w:pPr>
        <w:spacing w:after="0" w:line="480" w:lineRule="auto"/>
        <w:ind w:left="720" w:hanging="720"/>
      </w:pPr>
      <w:r w:rsidRPr="3BDF8C04">
        <w:rPr>
          <w:rFonts w:ascii="Times New Roman" w:eastAsia="Times New Roman" w:hAnsi="Times New Roman" w:cs="Times New Roman"/>
        </w:rPr>
        <w:t xml:space="preserve">Pearson, A. W. (2002). Innovation strategy. </w:t>
      </w:r>
      <w:r w:rsidRPr="3BDF8C04">
        <w:rPr>
          <w:rFonts w:ascii="Times New Roman" w:eastAsia="Times New Roman" w:hAnsi="Times New Roman" w:cs="Times New Roman"/>
          <w:i/>
          <w:iCs/>
        </w:rPr>
        <w:t>Technovation</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10</w:t>
      </w:r>
      <w:r w:rsidRPr="3BDF8C04">
        <w:rPr>
          <w:rFonts w:ascii="Times New Roman" w:eastAsia="Times New Roman" w:hAnsi="Times New Roman" w:cs="Times New Roman"/>
        </w:rPr>
        <w:t xml:space="preserve">(3), 185–192. </w:t>
      </w:r>
      <w:hyperlink r:id="rId28">
        <w:r w:rsidRPr="3BDF8C04">
          <w:rPr>
            <w:rStyle w:val="Hyperlink"/>
          </w:rPr>
          <w:t>https://doi.org/10.1016/0166-4972(90)90023-D</w:t>
        </w:r>
      </w:hyperlink>
    </w:p>
    <w:p w14:paraId="3B28CC96" w14:textId="2BE0F39E" w:rsidR="6CE557A6" w:rsidRDefault="6CE557A6" w:rsidP="3BDF8C04">
      <w:pPr>
        <w:spacing w:after="0" w:line="480" w:lineRule="auto"/>
        <w:ind w:left="720" w:hanging="720"/>
      </w:pPr>
      <w:r w:rsidRPr="3BDF8C04">
        <w:rPr>
          <w:rFonts w:ascii="Times New Roman" w:eastAsia="Times New Roman" w:hAnsi="Times New Roman" w:cs="Times New Roman"/>
        </w:rPr>
        <w:t xml:space="preserve">Policy Profession. (2024, March 27). </w:t>
      </w:r>
      <w:r w:rsidRPr="3BDF8C04">
        <w:rPr>
          <w:rFonts w:ascii="Times New Roman" w:eastAsia="Times New Roman" w:hAnsi="Times New Roman" w:cs="Times New Roman"/>
          <w:i/>
          <w:iCs/>
        </w:rPr>
        <w:t>Policy system framework</w:t>
      </w:r>
      <w:r w:rsidRPr="3BDF8C04">
        <w:rPr>
          <w:rFonts w:ascii="Times New Roman" w:eastAsia="Times New Roman" w:hAnsi="Times New Roman" w:cs="Times New Roman"/>
        </w:rPr>
        <w:t xml:space="preserve">. GOV.UK. </w:t>
      </w:r>
      <w:hyperlink r:id="rId29">
        <w:r w:rsidRPr="3BDF8C04">
          <w:rPr>
            <w:rStyle w:val="Hyperlink"/>
          </w:rPr>
          <w:t>https://www.gov.uk/government/publications/policy-system-framework/policy-system-framework</w:t>
        </w:r>
      </w:hyperlink>
      <w:r w:rsidRPr="3BDF8C04">
        <w:rPr>
          <w:rFonts w:ascii="Times New Roman" w:eastAsia="Times New Roman" w:hAnsi="Times New Roman" w:cs="Times New Roman"/>
        </w:rPr>
        <w:t>?</w:t>
      </w:r>
    </w:p>
    <w:p w14:paraId="6EA74863" w14:textId="306B6E6F" w:rsidR="6CE557A6" w:rsidRDefault="6CE557A6" w:rsidP="3BDF8C04">
      <w:pPr>
        <w:spacing w:after="0" w:line="480" w:lineRule="auto"/>
        <w:ind w:left="720" w:hanging="720"/>
      </w:pPr>
      <w:r w:rsidRPr="3BDF8C04">
        <w:rPr>
          <w:rFonts w:ascii="Times New Roman" w:eastAsia="Times New Roman" w:hAnsi="Times New Roman" w:cs="Times New Roman"/>
        </w:rPr>
        <w:t xml:space="preserve">Tidd, J., &amp; Bessant, J. (2020). </w:t>
      </w:r>
      <w:r w:rsidRPr="3BDF8C04">
        <w:rPr>
          <w:rFonts w:ascii="Times New Roman" w:eastAsia="Times New Roman" w:hAnsi="Times New Roman" w:cs="Times New Roman"/>
          <w:i/>
          <w:iCs/>
        </w:rPr>
        <w:t xml:space="preserve">Managing </w:t>
      </w:r>
      <w:proofErr w:type="gramStart"/>
      <w:r w:rsidRPr="3BDF8C04">
        <w:rPr>
          <w:rFonts w:ascii="Times New Roman" w:eastAsia="Times New Roman" w:hAnsi="Times New Roman" w:cs="Times New Roman"/>
          <w:i/>
          <w:iCs/>
        </w:rPr>
        <w:t>innovation :</w:t>
      </w:r>
      <w:proofErr w:type="gramEnd"/>
      <w:r w:rsidRPr="3BDF8C04">
        <w:rPr>
          <w:rFonts w:ascii="Times New Roman" w:eastAsia="Times New Roman" w:hAnsi="Times New Roman" w:cs="Times New Roman"/>
          <w:i/>
          <w:iCs/>
        </w:rPr>
        <w:t xml:space="preserve"> Integrating technological, market and organizational change</w:t>
      </w:r>
      <w:r w:rsidRPr="3BDF8C04">
        <w:rPr>
          <w:rFonts w:ascii="Times New Roman" w:eastAsia="Times New Roman" w:hAnsi="Times New Roman" w:cs="Times New Roman"/>
        </w:rPr>
        <w:t xml:space="preserve"> (7th edn). Wiley.</w:t>
      </w:r>
    </w:p>
    <w:p w14:paraId="38A185AC" w14:textId="6AED5778" w:rsidR="6CE557A6" w:rsidRDefault="6CE557A6" w:rsidP="3BDF8C04">
      <w:pPr>
        <w:spacing w:after="0" w:line="480" w:lineRule="auto"/>
        <w:ind w:left="720" w:hanging="720"/>
      </w:pPr>
      <w:r w:rsidRPr="3BDF8C04">
        <w:rPr>
          <w:rFonts w:ascii="Times New Roman" w:eastAsia="Times New Roman" w:hAnsi="Times New Roman" w:cs="Times New Roman"/>
        </w:rPr>
        <w:t xml:space="preserve">Trott, P. (2021). </w:t>
      </w:r>
      <w:r w:rsidRPr="3BDF8C04">
        <w:rPr>
          <w:rFonts w:ascii="Times New Roman" w:eastAsia="Times New Roman" w:hAnsi="Times New Roman" w:cs="Times New Roman"/>
          <w:i/>
          <w:iCs/>
        </w:rPr>
        <w:t>Innovation management and new product development</w:t>
      </w:r>
      <w:r w:rsidRPr="3BDF8C04">
        <w:rPr>
          <w:rFonts w:ascii="Times New Roman" w:eastAsia="Times New Roman" w:hAnsi="Times New Roman" w:cs="Times New Roman"/>
        </w:rPr>
        <w:t xml:space="preserve"> (7th edn). Pearson Education Limited.</w:t>
      </w:r>
    </w:p>
    <w:p w14:paraId="1C475126" w14:textId="4987B5D5" w:rsidR="6CE557A6" w:rsidRDefault="6CE557A6" w:rsidP="3BDF8C04">
      <w:pPr>
        <w:spacing w:after="0" w:line="480" w:lineRule="auto"/>
        <w:ind w:left="720" w:hanging="720"/>
      </w:pPr>
      <w:r w:rsidRPr="3BDF8C04">
        <w:rPr>
          <w:rFonts w:ascii="Times New Roman" w:eastAsia="Times New Roman" w:hAnsi="Times New Roman" w:cs="Times New Roman"/>
        </w:rPr>
        <w:t xml:space="preserve">Trott, P., Baxter, D., Ellwood, P., &amp; van der Duin, P. (2022). The changing context of innovation management: A critique of the relevance of the stage-gate approach to current organizations. </w:t>
      </w:r>
      <w:r w:rsidRPr="3BDF8C04">
        <w:rPr>
          <w:rFonts w:ascii="Times New Roman" w:eastAsia="Times New Roman" w:hAnsi="Times New Roman" w:cs="Times New Roman"/>
          <w:i/>
          <w:iCs/>
        </w:rPr>
        <w:t>Prometheus</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38</w:t>
      </w:r>
      <w:r w:rsidRPr="3BDF8C04">
        <w:rPr>
          <w:rFonts w:ascii="Times New Roman" w:eastAsia="Times New Roman" w:hAnsi="Times New Roman" w:cs="Times New Roman"/>
        </w:rPr>
        <w:t xml:space="preserve">(2). </w:t>
      </w:r>
      <w:hyperlink r:id="rId30">
        <w:r w:rsidRPr="3BDF8C04">
          <w:rPr>
            <w:rStyle w:val="Hyperlink"/>
          </w:rPr>
          <w:t>https://doi.org/10.13169/prometheus.38.2.0207</w:t>
        </w:r>
      </w:hyperlink>
    </w:p>
    <w:p w14:paraId="2FB47AD0" w14:textId="59DFF7F9" w:rsidR="6CE557A6" w:rsidRDefault="6CE557A6" w:rsidP="3BDF8C04">
      <w:pPr>
        <w:spacing w:after="0" w:line="480" w:lineRule="auto"/>
        <w:ind w:left="720" w:hanging="720"/>
      </w:pPr>
      <w:r w:rsidRPr="3BDF8C04">
        <w:rPr>
          <w:rFonts w:ascii="Times New Roman" w:eastAsia="Times New Roman" w:hAnsi="Times New Roman" w:cs="Times New Roman"/>
        </w:rPr>
        <w:t xml:space="preserve">Woodman, R. W., Sawyer, J. E., &amp; Griffin, R. W. (1993a). Toward a theory of organizational creativity. </w:t>
      </w:r>
      <w:r w:rsidRPr="3BDF8C04">
        <w:rPr>
          <w:rFonts w:ascii="Times New Roman" w:eastAsia="Times New Roman" w:hAnsi="Times New Roman" w:cs="Times New Roman"/>
          <w:i/>
          <w:iCs/>
        </w:rPr>
        <w:t>The Academy of Management Review</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18</w:t>
      </w:r>
      <w:r w:rsidRPr="3BDF8C04">
        <w:rPr>
          <w:rFonts w:ascii="Times New Roman" w:eastAsia="Times New Roman" w:hAnsi="Times New Roman" w:cs="Times New Roman"/>
        </w:rPr>
        <w:t xml:space="preserve">(2), 293–321. </w:t>
      </w:r>
      <w:hyperlink r:id="rId31">
        <w:r w:rsidRPr="3BDF8C04">
          <w:rPr>
            <w:rStyle w:val="Hyperlink"/>
          </w:rPr>
          <w:t>https://doi.org/10.2307/258761</w:t>
        </w:r>
      </w:hyperlink>
    </w:p>
    <w:p w14:paraId="132AEDCB" w14:textId="285D8F63" w:rsidR="6CE557A6" w:rsidRDefault="6CE557A6" w:rsidP="3BDF8C04">
      <w:pPr>
        <w:spacing w:after="0" w:line="480" w:lineRule="auto"/>
        <w:ind w:left="720" w:hanging="720"/>
      </w:pPr>
      <w:r w:rsidRPr="3BDF8C04">
        <w:rPr>
          <w:rFonts w:ascii="Times New Roman" w:eastAsia="Times New Roman" w:hAnsi="Times New Roman" w:cs="Times New Roman"/>
        </w:rPr>
        <w:t xml:space="preserve">Woodman, R. W., Sawyer, J. E., &amp; Griffin, R. W. (1993b). Toward a theory of organizational creativity. </w:t>
      </w:r>
      <w:r w:rsidRPr="3BDF8C04">
        <w:rPr>
          <w:rFonts w:ascii="Times New Roman" w:eastAsia="Times New Roman" w:hAnsi="Times New Roman" w:cs="Times New Roman"/>
          <w:i/>
          <w:iCs/>
        </w:rPr>
        <w:t>The Academy of Management Review</w:t>
      </w:r>
      <w:r w:rsidRPr="3BDF8C04">
        <w:rPr>
          <w:rFonts w:ascii="Times New Roman" w:eastAsia="Times New Roman" w:hAnsi="Times New Roman" w:cs="Times New Roman"/>
        </w:rPr>
        <w:t xml:space="preserve">, </w:t>
      </w:r>
      <w:r w:rsidRPr="3BDF8C04">
        <w:rPr>
          <w:rFonts w:ascii="Times New Roman" w:eastAsia="Times New Roman" w:hAnsi="Times New Roman" w:cs="Times New Roman"/>
          <w:i/>
          <w:iCs/>
        </w:rPr>
        <w:t>18</w:t>
      </w:r>
      <w:r w:rsidRPr="3BDF8C04">
        <w:rPr>
          <w:rFonts w:ascii="Times New Roman" w:eastAsia="Times New Roman" w:hAnsi="Times New Roman" w:cs="Times New Roman"/>
        </w:rPr>
        <w:t xml:space="preserve">(2), 293–321. </w:t>
      </w:r>
      <w:hyperlink r:id="rId32">
        <w:r w:rsidRPr="3BDF8C04">
          <w:rPr>
            <w:rStyle w:val="Hyperlink"/>
          </w:rPr>
          <w:t>https://doi.org/10.2307/258761</w:t>
        </w:r>
      </w:hyperlink>
    </w:p>
    <w:p w14:paraId="70483DE7" w14:textId="0E2267BC" w:rsidR="3BDF8C04" w:rsidRDefault="3BDF8C04" w:rsidP="3BDF8C04">
      <w:pPr>
        <w:spacing w:before="240" w:after="240"/>
      </w:pPr>
    </w:p>
    <w:p w14:paraId="62134E2D" w14:textId="71BBF912" w:rsidR="3BDF8C04" w:rsidRDefault="3BDF8C04" w:rsidP="3BDF8C04">
      <w:pPr>
        <w:spacing w:after="0"/>
        <w:rPr>
          <w:rFonts w:ascii="Calibri" w:eastAsia="Calibri" w:hAnsi="Calibri" w:cs="Calibri"/>
          <w:color w:val="000000" w:themeColor="text1"/>
          <w:sz w:val="36"/>
          <w:szCs w:val="36"/>
        </w:rPr>
      </w:pPr>
    </w:p>
    <w:p w14:paraId="46FED1DD" w14:textId="322C52E8" w:rsidR="6AA30C24" w:rsidRDefault="6AA30C24" w:rsidP="6AA30C24">
      <w:pPr>
        <w:rPr>
          <w:rFonts w:ascii="Aptos" w:eastAsia="Aptos" w:hAnsi="Aptos" w:cs="Aptos"/>
          <w:color w:val="000000" w:themeColor="text1"/>
        </w:rPr>
      </w:pPr>
    </w:p>
    <w:sectPr w:rsidR="6AA30C2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A37DD8"/>
    <w:multiLevelType w:val="hybridMultilevel"/>
    <w:tmpl w:val="9392AC28"/>
    <w:lvl w:ilvl="0" w:tplc="EE363FA0">
      <w:start w:val="1"/>
      <w:numFmt w:val="bullet"/>
      <w:lvlText w:val=""/>
      <w:lvlJc w:val="left"/>
      <w:pPr>
        <w:ind w:left="720" w:hanging="360"/>
      </w:pPr>
      <w:rPr>
        <w:rFonts w:ascii="Symbol" w:hAnsi="Symbol" w:hint="default"/>
      </w:rPr>
    </w:lvl>
    <w:lvl w:ilvl="1" w:tplc="4582E490">
      <w:start w:val="1"/>
      <w:numFmt w:val="bullet"/>
      <w:lvlText w:val="o"/>
      <w:lvlJc w:val="left"/>
      <w:pPr>
        <w:ind w:left="1440" w:hanging="360"/>
      </w:pPr>
      <w:rPr>
        <w:rFonts w:ascii="Courier New" w:hAnsi="Courier New" w:hint="default"/>
      </w:rPr>
    </w:lvl>
    <w:lvl w:ilvl="2" w:tplc="F1C845EA">
      <w:start w:val="1"/>
      <w:numFmt w:val="bullet"/>
      <w:lvlText w:val=""/>
      <w:lvlJc w:val="left"/>
      <w:pPr>
        <w:ind w:left="2160" w:hanging="360"/>
      </w:pPr>
      <w:rPr>
        <w:rFonts w:ascii="Wingdings" w:hAnsi="Wingdings" w:hint="default"/>
      </w:rPr>
    </w:lvl>
    <w:lvl w:ilvl="3" w:tplc="9DDA60AC">
      <w:start w:val="1"/>
      <w:numFmt w:val="bullet"/>
      <w:lvlText w:val=""/>
      <w:lvlJc w:val="left"/>
      <w:pPr>
        <w:ind w:left="2880" w:hanging="360"/>
      </w:pPr>
      <w:rPr>
        <w:rFonts w:ascii="Symbol" w:hAnsi="Symbol" w:hint="default"/>
      </w:rPr>
    </w:lvl>
    <w:lvl w:ilvl="4" w:tplc="02281D8E">
      <w:start w:val="1"/>
      <w:numFmt w:val="bullet"/>
      <w:lvlText w:val="o"/>
      <w:lvlJc w:val="left"/>
      <w:pPr>
        <w:ind w:left="3600" w:hanging="360"/>
      </w:pPr>
      <w:rPr>
        <w:rFonts w:ascii="Courier New" w:hAnsi="Courier New" w:hint="default"/>
      </w:rPr>
    </w:lvl>
    <w:lvl w:ilvl="5" w:tplc="2CBA2904">
      <w:start w:val="1"/>
      <w:numFmt w:val="bullet"/>
      <w:lvlText w:val=""/>
      <w:lvlJc w:val="left"/>
      <w:pPr>
        <w:ind w:left="4320" w:hanging="360"/>
      </w:pPr>
      <w:rPr>
        <w:rFonts w:ascii="Wingdings" w:hAnsi="Wingdings" w:hint="default"/>
      </w:rPr>
    </w:lvl>
    <w:lvl w:ilvl="6" w:tplc="C89C7E12">
      <w:start w:val="1"/>
      <w:numFmt w:val="bullet"/>
      <w:lvlText w:val=""/>
      <w:lvlJc w:val="left"/>
      <w:pPr>
        <w:ind w:left="5040" w:hanging="360"/>
      </w:pPr>
      <w:rPr>
        <w:rFonts w:ascii="Symbol" w:hAnsi="Symbol" w:hint="default"/>
      </w:rPr>
    </w:lvl>
    <w:lvl w:ilvl="7" w:tplc="17DA5C78">
      <w:start w:val="1"/>
      <w:numFmt w:val="bullet"/>
      <w:lvlText w:val="o"/>
      <w:lvlJc w:val="left"/>
      <w:pPr>
        <w:ind w:left="5760" w:hanging="360"/>
      </w:pPr>
      <w:rPr>
        <w:rFonts w:ascii="Courier New" w:hAnsi="Courier New" w:hint="default"/>
      </w:rPr>
    </w:lvl>
    <w:lvl w:ilvl="8" w:tplc="C6C02680">
      <w:start w:val="1"/>
      <w:numFmt w:val="bullet"/>
      <w:lvlText w:val=""/>
      <w:lvlJc w:val="left"/>
      <w:pPr>
        <w:ind w:left="6480" w:hanging="360"/>
      </w:pPr>
      <w:rPr>
        <w:rFonts w:ascii="Wingdings" w:hAnsi="Wingdings" w:hint="default"/>
      </w:rPr>
    </w:lvl>
  </w:abstractNum>
  <w:num w:numId="1" w16cid:durableId="461844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E7EFF0"/>
    <w:rsid w:val="000B1EE5"/>
    <w:rsid w:val="002554EE"/>
    <w:rsid w:val="00376DAD"/>
    <w:rsid w:val="007A5126"/>
    <w:rsid w:val="0088A22E"/>
    <w:rsid w:val="00B349FD"/>
    <w:rsid w:val="00E40134"/>
    <w:rsid w:val="01E45CB0"/>
    <w:rsid w:val="02EB6C6F"/>
    <w:rsid w:val="03ACCABB"/>
    <w:rsid w:val="04524493"/>
    <w:rsid w:val="0468859D"/>
    <w:rsid w:val="04761396"/>
    <w:rsid w:val="0556A5B5"/>
    <w:rsid w:val="06792973"/>
    <w:rsid w:val="06C996E6"/>
    <w:rsid w:val="06E9FC3F"/>
    <w:rsid w:val="08C780A0"/>
    <w:rsid w:val="08E847B4"/>
    <w:rsid w:val="0928AB3E"/>
    <w:rsid w:val="097F9A68"/>
    <w:rsid w:val="09871803"/>
    <w:rsid w:val="09DBF51D"/>
    <w:rsid w:val="0BC6F22D"/>
    <w:rsid w:val="0C6DD030"/>
    <w:rsid w:val="0CCBBBBC"/>
    <w:rsid w:val="0CD1F4D7"/>
    <w:rsid w:val="0D351D28"/>
    <w:rsid w:val="0D49A84A"/>
    <w:rsid w:val="0DA0CE31"/>
    <w:rsid w:val="0DAE9118"/>
    <w:rsid w:val="0EC5A0BB"/>
    <w:rsid w:val="10D5F155"/>
    <w:rsid w:val="10FC17CD"/>
    <w:rsid w:val="115A942A"/>
    <w:rsid w:val="126E276F"/>
    <w:rsid w:val="14A4FA6D"/>
    <w:rsid w:val="14E801AC"/>
    <w:rsid w:val="14FF381F"/>
    <w:rsid w:val="1652DFD9"/>
    <w:rsid w:val="1724551B"/>
    <w:rsid w:val="176643DB"/>
    <w:rsid w:val="17A8B2C2"/>
    <w:rsid w:val="17E7EFF0"/>
    <w:rsid w:val="18762CF4"/>
    <w:rsid w:val="1884818F"/>
    <w:rsid w:val="18B75DF4"/>
    <w:rsid w:val="1964ADF5"/>
    <w:rsid w:val="19F6DBEC"/>
    <w:rsid w:val="1A6915A7"/>
    <w:rsid w:val="1A9C9B39"/>
    <w:rsid w:val="1BB2DBE3"/>
    <w:rsid w:val="1BBAE412"/>
    <w:rsid w:val="1BDE31E8"/>
    <w:rsid w:val="1CAD9617"/>
    <w:rsid w:val="1CF71797"/>
    <w:rsid w:val="1E1ECB40"/>
    <w:rsid w:val="1F31CCBE"/>
    <w:rsid w:val="1F34EF80"/>
    <w:rsid w:val="1FAEE6D4"/>
    <w:rsid w:val="20D9D284"/>
    <w:rsid w:val="21639841"/>
    <w:rsid w:val="21ECDE56"/>
    <w:rsid w:val="22078F8E"/>
    <w:rsid w:val="229906D0"/>
    <w:rsid w:val="22D1656C"/>
    <w:rsid w:val="22F22F31"/>
    <w:rsid w:val="23B3986D"/>
    <w:rsid w:val="23DAD324"/>
    <w:rsid w:val="248FB1F3"/>
    <w:rsid w:val="24DB9C25"/>
    <w:rsid w:val="24E8AB92"/>
    <w:rsid w:val="252F1494"/>
    <w:rsid w:val="2595CB8E"/>
    <w:rsid w:val="26C6127F"/>
    <w:rsid w:val="28084F02"/>
    <w:rsid w:val="283ED074"/>
    <w:rsid w:val="28A0E8EE"/>
    <w:rsid w:val="291F34B4"/>
    <w:rsid w:val="294B6C08"/>
    <w:rsid w:val="29813B1E"/>
    <w:rsid w:val="29F440B4"/>
    <w:rsid w:val="2A1A8E7C"/>
    <w:rsid w:val="2AD22373"/>
    <w:rsid w:val="2B791C04"/>
    <w:rsid w:val="2CF987B3"/>
    <w:rsid w:val="2DFB25A7"/>
    <w:rsid w:val="2E0813CF"/>
    <w:rsid w:val="2ED2428A"/>
    <w:rsid w:val="2F91C430"/>
    <w:rsid w:val="30AD20FE"/>
    <w:rsid w:val="31A05E65"/>
    <w:rsid w:val="32EF91DF"/>
    <w:rsid w:val="33811448"/>
    <w:rsid w:val="33C91D5C"/>
    <w:rsid w:val="35413E17"/>
    <w:rsid w:val="35B573AF"/>
    <w:rsid w:val="37AC082C"/>
    <w:rsid w:val="38504AE4"/>
    <w:rsid w:val="3953F074"/>
    <w:rsid w:val="3A0998E9"/>
    <w:rsid w:val="3A19D5F0"/>
    <w:rsid w:val="3A2215D0"/>
    <w:rsid w:val="3A454730"/>
    <w:rsid w:val="3A74F116"/>
    <w:rsid w:val="3AD1EAF3"/>
    <w:rsid w:val="3BDF8C04"/>
    <w:rsid w:val="3C218F68"/>
    <w:rsid w:val="3C5EF391"/>
    <w:rsid w:val="3C88ADC8"/>
    <w:rsid w:val="3D36EF7A"/>
    <w:rsid w:val="3EE25B5F"/>
    <w:rsid w:val="3F183999"/>
    <w:rsid w:val="3F70CAA9"/>
    <w:rsid w:val="403B20A8"/>
    <w:rsid w:val="414E6753"/>
    <w:rsid w:val="41C2057C"/>
    <w:rsid w:val="420636A5"/>
    <w:rsid w:val="42432081"/>
    <w:rsid w:val="42900A9B"/>
    <w:rsid w:val="42D38E1F"/>
    <w:rsid w:val="42DCBDF1"/>
    <w:rsid w:val="43302647"/>
    <w:rsid w:val="43540AEE"/>
    <w:rsid w:val="43579ED0"/>
    <w:rsid w:val="45328174"/>
    <w:rsid w:val="45A92B37"/>
    <w:rsid w:val="45E0B128"/>
    <w:rsid w:val="45F70F11"/>
    <w:rsid w:val="466095D0"/>
    <w:rsid w:val="46A984C1"/>
    <w:rsid w:val="47A67075"/>
    <w:rsid w:val="48DFFB39"/>
    <w:rsid w:val="48EB5E8B"/>
    <w:rsid w:val="4953E3A4"/>
    <w:rsid w:val="4A67F3CD"/>
    <w:rsid w:val="4A9CB27B"/>
    <w:rsid w:val="4B31E16F"/>
    <w:rsid w:val="4BB84C77"/>
    <w:rsid w:val="4D557C29"/>
    <w:rsid w:val="4D753F81"/>
    <w:rsid w:val="4E006B5A"/>
    <w:rsid w:val="4EA88F01"/>
    <w:rsid w:val="4EF65EE1"/>
    <w:rsid w:val="4F258D8B"/>
    <w:rsid w:val="4F957C04"/>
    <w:rsid w:val="4F95BD4D"/>
    <w:rsid w:val="50EB0DF6"/>
    <w:rsid w:val="527D3964"/>
    <w:rsid w:val="527F3054"/>
    <w:rsid w:val="52A00E92"/>
    <w:rsid w:val="53156384"/>
    <w:rsid w:val="537BCBCB"/>
    <w:rsid w:val="53ACA5C9"/>
    <w:rsid w:val="53BFFAE5"/>
    <w:rsid w:val="54C26016"/>
    <w:rsid w:val="550FBAFF"/>
    <w:rsid w:val="56591745"/>
    <w:rsid w:val="567373DD"/>
    <w:rsid w:val="57EFF0AD"/>
    <w:rsid w:val="57FC6B9A"/>
    <w:rsid w:val="58712D82"/>
    <w:rsid w:val="589832C5"/>
    <w:rsid w:val="58E7267E"/>
    <w:rsid w:val="5930B467"/>
    <w:rsid w:val="5A39C467"/>
    <w:rsid w:val="5BB32F81"/>
    <w:rsid w:val="5D49568E"/>
    <w:rsid w:val="5D702071"/>
    <w:rsid w:val="5E34BC00"/>
    <w:rsid w:val="5E8BB850"/>
    <w:rsid w:val="5EBE76D5"/>
    <w:rsid w:val="6135137B"/>
    <w:rsid w:val="62422CD2"/>
    <w:rsid w:val="63D99D77"/>
    <w:rsid w:val="65C8028E"/>
    <w:rsid w:val="66BEB6A9"/>
    <w:rsid w:val="676051C7"/>
    <w:rsid w:val="6801EB19"/>
    <w:rsid w:val="686648C3"/>
    <w:rsid w:val="6874D976"/>
    <w:rsid w:val="6898835C"/>
    <w:rsid w:val="68C86B4E"/>
    <w:rsid w:val="6A352757"/>
    <w:rsid w:val="6A8B1190"/>
    <w:rsid w:val="6AA30C24"/>
    <w:rsid w:val="6C34D24A"/>
    <w:rsid w:val="6C4F45C7"/>
    <w:rsid w:val="6CE557A6"/>
    <w:rsid w:val="6D3751AE"/>
    <w:rsid w:val="6E816EBB"/>
    <w:rsid w:val="6FE9A1ED"/>
    <w:rsid w:val="711FFF2D"/>
    <w:rsid w:val="72340501"/>
    <w:rsid w:val="72446464"/>
    <w:rsid w:val="72B77521"/>
    <w:rsid w:val="7411108D"/>
    <w:rsid w:val="7680C442"/>
    <w:rsid w:val="770F317E"/>
    <w:rsid w:val="78941752"/>
    <w:rsid w:val="78D7C8D5"/>
    <w:rsid w:val="7965FC66"/>
    <w:rsid w:val="79AA190A"/>
    <w:rsid w:val="79BA4E50"/>
    <w:rsid w:val="7ABF1F9E"/>
    <w:rsid w:val="7B8E238A"/>
    <w:rsid w:val="7C5BCBC7"/>
    <w:rsid w:val="7C9646C6"/>
    <w:rsid w:val="7D743B47"/>
    <w:rsid w:val="7F05769A"/>
    <w:rsid w:val="7F7E35BE"/>
    <w:rsid w:val="7F8A1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1292"/>
  <w15:chartTrackingRefBased/>
  <w15:docId w15:val="{95F6F18A-272A-4293-8EE7-0775847A8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AA30C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AA30C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AA30C2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AA30C24"/>
    <w:rPr>
      <w:color w:val="467886"/>
      <w:u w:val="single"/>
    </w:rPr>
  </w:style>
  <w:style w:type="paragraph" w:styleId="TOC1">
    <w:name w:val="toc 1"/>
    <w:basedOn w:val="Normal"/>
    <w:next w:val="Normal"/>
    <w:uiPriority w:val="39"/>
    <w:unhideWhenUsed/>
    <w:rsid w:val="6AA30C24"/>
    <w:pPr>
      <w:spacing w:after="100"/>
    </w:pPr>
  </w:style>
  <w:style w:type="paragraph" w:styleId="TOC2">
    <w:name w:val="toc 2"/>
    <w:basedOn w:val="Normal"/>
    <w:next w:val="Normal"/>
    <w:uiPriority w:val="39"/>
    <w:unhideWhenUsed/>
    <w:rsid w:val="6AA30C24"/>
    <w:pPr>
      <w:spacing w:after="100"/>
      <w:ind w:left="220"/>
    </w:pPr>
  </w:style>
  <w:style w:type="paragraph" w:styleId="TOC3">
    <w:name w:val="toc 3"/>
    <w:basedOn w:val="Normal"/>
    <w:next w:val="Normal"/>
    <w:uiPriority w:val="39"/>
    <w:unhideWhenUsed/>
    <w:rsid w:val="6AA30C24"/>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03.12.003" TargetMode="External"/><Relationship Id="rId13" Type="http://schemas.openxmlformats.org/officeDocument/2006/relationships/hyperlink" Target="https://doi.org/10.1002/j.2162-6057.1967.tb00002.x" TargetMode="External"/><Relationship Id="rId18" Type="http://schemas.openxmlformats.org/officeDocument/2006/relationships/hyperlink" Target="https://doi.org/10.1016/j.jengtecman.2013.05.002" TargetMode="External"/><Relationship Id="rId26" Type="http://schemas.openxmlformats.org/officeDocument/2006/relationships/hyperlink" Target="https://doi.org/10.1080/02688867.1994.9726951" TargetMode="External"/><Relationship Id="rId3" Type="http://schemas.openxmlformats.org/officeDocument/2006/relationships/settings" Target="settings.xml"/><Relationship Id="rId21" Type="http://schemas.openxmlformats.org/officeDocument/2006/relationships/hyperlink" Target="https://doi.org/10.1016/j.infoecopol.2015.04.001" TargetMode="External"/><Relationship Id="rId34" Type="http://schemas.openxmlformats.org/officeDocument/2006/relationships/theme" Target="theme/theme1.xml"/><Relationship Id="rId7" Type="http://schemas.openxmlformats.org/officeDocument/2006/relationships/hyperlink" Target="https://www.sciencedirect.com/science/article/pii/S0191308516300053?via%3Dihub" TargetMode="External"/><Relationship Id="rId12" Type="http://schemas.openxmlformats.org/officeDocument/2006/relationships/hyperlink" Target="https://doi.org/10.1111/puar.13676" TargetMode="External"/><Relationship Id="rId17" Type="http://schemas.openxmlformats.org/officeDocument/2006/relationships/hyperlink" Target="https://doi.org/10.1108/10878571211221194" TargetMode="External"/><Relationship Id="rId25" Type="http://schemas.openxmlformats.org/officeDocument/2006/relationships/hyperlink" Target="https://www.oecd.org/en/publications/oslo-manual-2018_9789264304604-en.htm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0734371x241266117" TargetMode="External"/><Relationship Id="rId20" Type="http://schemas.openxmlformats.org/officeDocument/2006/relationships/hyperlink" Target="https://doi.org/https://doi.org/10.1080/1359432X.2019.1661837" TargetMode="External"/><Relationship Id="rId29" Type="http://schemas.openxmlformats.org/officeDocument/2006/relationships/hyperlink" Target="https://www.gov.uk/government/publications/policy-system-framework/policy-system-framework" TargetMode="External"/><Relationship Id="rId1" Type="http://schemas.openxmlformats.org/officeDocument/2006/relationships/numbering" Target="numbering.xml"/><Relationship Id="rId6" Type="http://schemas.openxmlformats.org/officeDocument/2006/relationships/hyperlink" Target="https://people.wku.edu/richard.miller/amabile.pdf" TargetMode="External"/><Relationship Id="rId11" Type="http://schemas.openxmlformats.org/officeDocument/2006/relationships/hyperlink" Target="https://doi.org/10.1111/1467-8691.00204" TargetMode="External"/><Relationship Id="rId24" Type="http://schemas.openxmlformats.org/officeDocument/2006/relationships/hyperlink" Target="https://doi.org/10.1111/1540-5885.1130183" TargetMode="External"/><Relationship Id="rId32" Type="http://schemas.openxmlformats.org/officeDocument/2006/relationships/hyperlink" Target="https://doi.org/10.2307/258761" TargetMode="External"/><Relationship Id="rId5" Type="http://schemas.openxmlformats.org/officeDocument/2006/relationships/image" Target="media/image1.png"/><Relationship Id="rId15" Type="http://schemas.openxmlformats.org/officeDocument/2006/relationships/hyperlink" Target="https://doi.org/10.1177/0734371x241266117" TargetMode="External"/><Relationship Id="rId23" Type="http://schemas.openxmlformats.org/officeDocument/2006/relationships/hyperlink" Target="https://doi.org/10.1016/j.jsis.2009.01.002" TargetMode="External"/><Relationship Id="rId28" Type="http://schemas.openxmlformats.org/officeDocument/2006/relationships/hyperlink" Target="https://doi.org/10.1016/0166-4972(90)90023-D" TargetMode="External"/><Relationship Id="rId10" Type="http://schemas.openxmlformats.org/officeDocument/2006/relationships/hyperlink" Target="https://doi.org/10.1016/j.rpto.2015.06.002" TargetMode="External"/><Relationship Id="rId19" Type="http://schemas.openxmlformats.org/officeDocument/2006/relationships/hyperlink" Target="https://doi.org/10.1016/j.leaqua.2003.12.006" TargetMode="External"/><Relationship Id="rId31" Type="http://schemas.openxmlformats.org/officeDocument/2006/relationships/hyperlink" Target="https://doi.org/10.2307/258761" TargetMode="External"/><Relationship Id="rId4" Type="http://schemas.openxmlformats.org/officeDocument/2006/relationships/webSettings" Target="webSettings.xml"/><Relationship Id="rId9" Type="http://schemas.openxmlformats.org/officeDocument/2006/relationships/hyperlink" Target="https://doi.org/10.1016/j.respol.2010.12.004" TargetMode="External"/><Relationship Id="rId14" Type="http://schemas.openxmlformats.org/officeDocument/2006/relationships/hyperlink" Target="https://doi.org/10.1016/j.tsc.2019.02.006" TargetMode="External"/><Relationship Id="rId22" Type="http://schemas.openxmlformats.org/officeDocument/2006/relationships/hyperlink" Target="https://doi.org/10.1016/j.jsis.2009.01.002" TargetMode="External"/><Relationship Id="rId27" Type="http://schemas.openxmlformats.org/officeDocument/2006/relationships/hyperlink" Target="https://doi.org/10.1016/0166-4972(90)90023-d" TargetMode="External"/><Relationship Id="rId30" Type="http://schemas.openxmlformats.org/officeDocument/2006/relationships/hyperlink" Target="https://doi.org/10.13169/prometheus.38.2.02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5614</Words>
  <Characters>32006</Characters>
  <Application>Microsoft Office Word</Application>
  <DocSecurity>0</DocSecurity>
  <Lines>266</Lines>
  <Paragraphs>75</Paragraphs>
  <ScaleCrop>false</ScaleCrop>
  <Company/>
  <LinksUpToDate>false</LinksUpToDate>
  <CharactersWithSpaces>37545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Regan (2319051)</dc:creator>
  <cp:keywords/>
  <dc:description/>
  <cp:lastModifiedBy>Tanya Regan</cp:lastModifiedBy>
  <cp:revision>8</cp:revision>
  <dcterms:created xsi:type="dcterms:W3CDTF">2026-08-07T13:32:00Z</dcterms:created>
  <dcterms:modified xsi:type="dcterms:W3CDTF">2026-08-28T18:33:00Z</dcterms:modified>
</cp:coreProperties>
</file>