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p>
    <w:p>
      <w:pPr>
        <w:pStyle w:val="style0"/>
        <w:spacing w:lineRule="auto" w:line="360"/>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rPr>
        <w:t>Programme: BA Business Management</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Module: International Financial Management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Module code: LCBB6002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Student Id:</w:t>
      </w:r>
      <w:r>
        <w:rPr>
          <w:rFonts w:ascii="Times New Roman" w:cs="Times New Roman" w:eastAsia="Times New Roman" w:hAnsi="Times New Roman"/>
          <w:sz w:val="24"/>
          <w:szCs w:val="24"/>
          <w:lang w:val="en-US"/>
        </w:rPr>
        <w:t>2130469</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lang w:val="en-US"/>
        </w:rPr>
        <w:t xml:space="preserve">Student name:Tankitsa Yankova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lang w:val="en-US"/>
        </w:rPr>
        <w:t>Lecture: Dr Amandeep Sahota</w:t>
      </w:r>
    </w:p>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p>
      <w:pPr>
        <w:pStyle w:val="style266"/>
        <w:spacing w:lineRule="auto" w:line="360"/>
        <w:jc w:val="center"/>
        <w:rPr>
          <w:rFonts w:ascii="Times New Roman" w:cs="Times New Roman" w:hAnsi="Times New Roman"/>
          <w:b/>
          <w:bCs/>
          <w:color w:val="0d0d0d"/>
          <w:sz w:val="24"/>
          <w:szCs w:val="24"/>
        </w:rPr>
      </w:pPr>
      <w:r>
        <w:rPr>
          <w:rFonts w:ascii="Times New Roman" w:cs="Times New Roman" w:hAnsi="Times New Roman"/>
          <w:b/>
          <w:bCs/>
          <w:color w:val="0d0d0d"/>
          <w:sz w:val="24"/>
          <w:szCs w:val="24"/>
        </w:rPr>
        <w:t>Table of Contents</w:t>
      </w:r>
    </w:p>
    <w:p>
      <w:pPr>
        <w:pStyle w:val="style19"/>
        <w:tabs>
          <w:tab w:val="right" w:leader="dot" w:pos="9019"/>
        </w:tabs>
        <w:spacing w:lineRule="auto" w:line="360"/>
        <w:jc w:val="both"/>
        <w:rPr>
          <w:rFonts w:ascii="Times New Roman" w:cs="Times New Roman" w:hAnsi="Times New Roman"/>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"_Toc173005224" </w:instrText>
      </w:r>
      <w:r>
        <w:rPr/>
        <w:fldChar w:fldCharType="separate"/>
      </w:r>
      <w:r>
        <w:rPr>
          <w:rStyle w:val="style85"/>
          <w:rFonts w:ascii="Times New Roman" w:cs="Times New Roman" w:eastAsia="Times New Roman" w:hAnsi="Times New Roman"/>
          <w:noProof/>
          <w:sz w:val="24"/>
          <w:szCs w:val="24"/>
        </w:rPr>
        <w:t>1. 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_Toc173005224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"_Toc173005225" </w:instrText>
      </w:r>
      <w:r>
        <w:rPr/>
        <w:fldChar w:fldCharType="separate"/>
      </w:r>
      <w:r>
        <w:rPr>
          <w:rStyle w:val="style85"/>
          <w:rFonts w:ascii="Times New Roman" w:cs="Times New Roman" w:eastAsia="Times New Roman" w:hAnsi="Times New Roman"/>
          <w:noProof/>
          <w:sz w:val="24"/>
          <w:szCs w:val="24"/>
        </w:rPr>
        <w:t>2. Discussion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_Toc173005225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"_Toc173005226" </w:instrText>
      </w:r>
      <w:r>
        <w:rPr/>
        <w:fldChar w:fldCharType="separate"/>
      </w:r>
      <w:r>
        <w:rPr>
          <w:rStyle w:val="style85"/>
          <w:rFonts w:ascii="Times New Roman" w:cs="Times New Roman" w:eastAsia="Times New Roman" w:hAnsi="Times New Roman"/>
          <w:noProof/>
          <w:sz w:val="24"/>
          <w:szCs w:val="24"/>
        </w:rPr>
        <w:t>2.1 International Financial Management (IFM) Theories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_Toc173005226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20"/>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"_Toc173005227" </w:instrText>
      </w:r>
      <w:r>
        <w:rPr/>
        <w:fldChar w:fldCharType="separate"/>
      </w:r>
      <w:r>
        <w:rPr>
          <w:rStyle w:val="style85"/>
          <w:rFonts w:ascii="Times New Roman" w:cs="Times New Roman" w:eastAsia="Times New Roman" w:hAnsi="Times New Roman"/>
          <w:noProof/>
          <w:sz w:val="24"/>
          <w:szCs w:val="24"/>
        </w:rPr>
        <w:t>2.2 Different strategies for multinational corporations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_Toc173005227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"_Toc173005228" </w:instrText>
      </w:r>
      <w:r>
        <w:rPr/>
        <w:fldChar w:fldCharType="separate"/>
      </w:r>
      <w:r>
        <w:rPr>
          <w:rStyle w:val="style85"/>
          <w:rFonts w:ascii="Times New Roman" w:cs="Times New Roman" w:eastAsia="Times New Roman" w:hAnsi="Times New Roman"/>
          <w:noProof/>
          <w:sz w:val="24"/>
          <w:szCs w:val="24"/>
        </w:rPr>
        <w:t>3. 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_Toc173005228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7</w:t>
      </w:r>
      <w:r>
        <w:rPr>
          <w:rFonts w:ascii="Times New Roman" w:cs="Times New Roman" w:hAnsi="Times New Roman"/>
          <w:noProof/>
          <w:webHidden/>
          <w:sz w:val="24"/>
          <w:szCs w:val="24"/>
        </w:rPr>
        <w:fldChar w:fldCharType="end"/>
      </w:r>
      <w:r>
        <w:rPr/>
        <w:fldChar w:fldCharType="end"/>
      </w:r>
    </w:p>
    <w:p>
      <w:pPr>
        <w:pStyle w:val="style19"/>
        <w:tabs>
          <w:tab w:val="right" w:leader="dot" w:pos="9019"/>
        </w:tabs>
        <w:spacing w:lineRule="auto" w:line="360"/>
        <w:jc w:val="both"/>
        <w:rPr>
          <w:rFonts w:ascii="Times New Roman" w:cs="Times New Roman" w:hAnsi="Times New Roman"/>
          <w:noProof/>
          <w:sz w:val="24"/>
          <w:szCs w:val="24"/>
        </w:rPr>
      </w:pPr>
      <w:r>
        <w:rPr/>
        <w:fldChar w:fldCharType="begin"/>
      </w:r>
      <w:r>
        <w:instrText xml:space="preserve"> HYPERLINK \l "_Toc173005229" </w:instrText>
      </w:r>
      <w:r>
        <w:rPr/>
        <w:fldChar w:fldCharType="separate"/>
      </w:r>
      <w:r>
        <w:rPr>
          <w:rStyle w:val="style85"/>
          <w:rFonts w:ascii="Times New Roman" w:cs="Times New Roman" w:eastAsia="Times New Roman" w:hAnsi="Times New Roman"/>
          <w:noProof/>
          <w:sz w:val="24"/>
          <w:szCs w:val="24"/>
        </w:rPr>
        <w:t>4. 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_Toc173005229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0"/>
        <w:spacing w:lineRule="auto" w:line="360"/>
        <w:jc w:val="both"/>
        <w:rPr/>
      </w:pPr>
      <w:r>
        <w:rPr>
          <w:rFonts w:ascii="Times New Roman" w:cs="Times New Roman" w:hAnsi="Times New Roman"/>
          <w:noProof/>
          <w:sz w:val="24"/>
          <w:szCs w:val="24"/>
        </w:rPr>
        <w:fldChar w:fldCharType="end"/>
      </w:r>
    </w:p>
    <w:p>
      <w:pPr>
        <w:pStyle w:val="style0"/>
        <w:spacing w:lineRule="auto" w:line="360"/>
        <w:rPr/>
      </w:pPr>
      <w:r>
        <w:br w:type="page"/>
      </w:r>
    </w:p>
    <w:bookmarkStart w:id="0" w:name="_hxb3crwyjscm" w:colFirst="0" w:colLast="0"/>
    <w:bookmarkStart w:id="1" w:name="_Toc173005224"/>
    <w:bookmarkEnd w:id="0"/>
    <w:p>
      <w:pPr>
        <w:pStyle w:val="style1"/>
        <w:spacing w:before="0" w:after="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1. Introduction</w:t>
      </w:r>
      <w:bookmarkEnd w:id="1"/>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overarching objective of international financial management is to maximise wealth for all stakeholders, including shareholders, by the prudent allocation of acquired funds to the most advantageous assets. This report talks about two major ideas related to International Financial Management (IFM) are the International Fisher Effect and Purchasing Power Parity. Global companies like Coca-Cola, Apple, Unilever, and Nestlé use strategies like netting, hedging, and currency diversity to handle foreign exchange risk. These businesses' E cases are given.</w:t>
      </w:r>
    </w:p>
    <w:bookmarkStart w:id="2" w:name="_ke6dbcu6rwmw" w:colFirst="0" w:colLast="0"/>
    <w:bookmarkStart w:id="3" w:name="_Toc173005225"/>
    <w:bookmarkEnd w:id="2"/>
    <w:p>
      <w:pPr>
        <w:pStyle w:val="style1"/>
        <w:spacing w:before="0" w:after="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2. Discussion</w:t>
      </w:r>
      <w:bookmarkEnd w:id="3"/>
      <w:r>
        <w:rPr>
          <w:rFonts w:ascii="Times New Roman" w:cs="Times New Roman" w:eastAsia="Times New Roman" w:hAnsi="Times New Roman"/>
          <w:b/>
          <w:sz w:val="24"/>
          <w:szCs w:val="24"/>
        </w:rPr>
        <w:t xml:space="preserve"> </w:t>
      </w:r>
    </w:p>
    <w:bookmarkStart w:id="4" w:name="_896zk9kyw0a" w:colFirst="0" w:colLast="0"/>
    <w:bookmarkStart w:id="5" w:name="_Toc173005226"/>
    <w:bookmarkEnd w:id="4"/>
    <w:p>
      <w:pPr>
        <w:pStyle w:val="style2"/>
        <w:spacing w:before="0" w:after="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2.1 International Financial Management (IFM) Theories</w:t>
      </w:r>
      <w:bookmarkEnd w:id="5"/>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Concept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International Financial Management focuses on the </w:t>
      </w:r>
      <w:r>
        <w:rPr>
          <w:rFonts w:ascii="Times New Roman" w:cs="Times New Roman" w:eastAsia="Times New Roman" w:hAnsi="Times New Roman"/>
          <w:b/>
          <w:i/>
          <w:sz w:val="24"/>
          <w:szCs w:val="24"/>
        </w:rPr>
        <w:t>efficient</w:t>
      </w:r>
      <w:r>
        <w:rPr>
          <w:rFonts w:ascii="Times New Roman" w:cs="Times New Roman" w:eastAsia="Times New Roman" w:hAnsi="Times New Roman"/>
          <w:sz w:val="24"/>
          <w:szCs w:val="24"/>
        </w:rPr>
        <w:t xml:space="preserve"> and </w:t>
      </w:r>
      <w:r>
        <w:rPr>
          <w:rFonts w:ascii="Times New Roman" w:cs="Times New Roman" w:eastAsia="Times New Roman" w:hAnsi="Times New Roman"/>
          <w:b/>
          <w:i/>
          <w:sz w:val="24"/>
          <w:szCs w:val="24"/>
        </w:rPr>
        <w:t>successful management</w:t>
      </w:r>
      <w:r>
        <w:rPr>
          <w:rFonts w:ascii="Times New Roman" w:cs="Times New Roman" w:eastAsia="Times New Roman" w:hAnsi="Times New Roman"/>
          <w:sz w:val="24"/>
          <w:szCs w:val="24"/>
        </w:rPr>
        <w:t xml:space="preserve"> of financial resources in a global context (</w:t>
      </w:r>
      <w:r>
        <w:rPr>
          <w:rFonts w:ascii="Times New Roman" w:cs="Times New Roman" w:eastAsia="Times New Roman" w:hAnsi="Times New Roman"/>
          <w:color w:val="222222"/>
          <w:sz w:val="24"/>
          <w:szCs w:val="24"/>
          <w:highlight w:val="white"/>
        </w:rPr>
        <w:t>Semlambo</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It comprises making monetary decisions in a context where global markets, currency exchange rates, and foreign investment all play significant roles (</w:t>
      </w:r>
      <w:r>
        <w:rPr>
          <w:rFonts w:ascii="Times New Roman" w:cs="Times New Roman" w:eastAsia="Times New Roman" w:hAnsi="Times New Roman"/>
          <w:color w:val="222222"/>
          <w:sz w:val="24"/>
          <w:szCs w:val="24"/>
          <w:highlight w:val="white"/>
        </w:rPr>
        <w:t xml:space="preserve">Tartan and </w:t>
      </w:r>
      <w:r>
        <w:rPr>
          <w:rFonts w:ascii="Times New Roman" w:cs="Times New Roman" w:eastAsia="Times New Roman" w:hAnsi="Times New Roman"/>
          <w:color w:val="222222"/>
          <w:sz w:val="24"/>
          <w:szCs w:val="24"/>
          <w:highlight w:val="white"/>
        </w:rPr>
        <w:t>Tetik</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w:t>
      </w:r>
      <w:r>
        <w:rPr>
          <w:rFonts w:ascii="Times New Roman" w:cs="Times New Roman" w:eastAsia="Times New Roman" w:hAnsi="Times New Roman"/>
          <w:b/>
          <w:i/>
          <w:sz w:val="24"/>
          <w:szCs w:val="24"/>
        </w:rPr>
        <w:t xml:space="preserve"> IFM </w:t>
      </w:r>
      <w:r>
        <w:rPr>
          <w:rFonts w:ascii="Times New Roman" w:cs="Times New Roman" w:eastAsia="Times New Roman" w:hAnsi="Times New Roman"/>
          <w:sz w:val="24"/>
          <w:szCs w:val="24"/>
        </w:rPr>
        <w:t>seeks to optimise shareholder value by taking advantage of international opportunities and mitigating the risks associated with cross-border transactions (</w:t>
      </w:r>
      <w:r>
        <w:rPr>
          <w:rFonts w:ascii="Times New Roman" w:cs="Times New Roman" w:eastAsia="Times New Roman" w:hAnsi="Times New Roman"/>
          <w:color w:val="222222"/>
          <w:sz w:val="24"/>
          <w:szCs w:val="24"/>
          <w:highlight w:val="white"/>
        </w:rPr>
        <w:t xml:space="preserve">Pons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Because a corporation can reach an equivalent level of effectiveness and efficiency across all markets by </w:t>
      </w:r>
      <w:r>
        <w:rPr>
          <w:rFonts w:ascii="Times New Roman" w:cs="Times New Roman" w:eastAsia="Times New Roman" w:hAnsi="Times New Roman"/>
          <w:b/>
          <w:i/>
          <w:sz w:val="24"/>
          <w:szCs w:val="24"/>
        </w:rPr>
        <w:t>diligent management</w:t>
      </w:r>
      <w:r>
        <w:rPr>
          <w:rFonts w:ascii="Times New Roman" w:cs="Times New Roman" w:eastAsia="Times New Roman" w:hAnsi="Times New Roman"/>
          <w:sz w:val="24"/>
          <w:szCs w:val="24"/>
        </w:rPr>
        <w:t xml:space="preserve"> of its international finances, this is the case (</w:t>
      </w:r>
      <w:r>
        <w:rPr>
          <w:rFonts w:ascii="Times New Roman" w:cs="Times New Roman" w:eastAsia="Times New Roman" w:hAnsi="Times New Roman"/>
          <w:sz w:val="24"/>
          <w:szCs w:val="24"/>
        </w:rPr>
        <w:t>Ntembo</w:t>
      </w:r>
      <w:r>
        <w:rPr>
          <w:rFonts w:ascii="Times New Roman" w:cs="Times New Roman" w:eastAsia="Times New Roman" w:hAnsi="Times New Roman"/>
          <w:sz w:val="24"/>
          <w:szCs w:val="24"/>
        </w:rPr>
        <w:t xml:space="preserve"> and Casmir, 2023). A company could find it difficult to stay in operation if IFM is not in place. In comparison to their </w:t>
      </w:r>
      <w:r>
        <w:rPr>
          <w:rFonts w:ascii="Times New Roman" w:cs="Times New Roman" w:eastAsia="Times New Roman" w:hAnsi="Times New Roman"/>
          <w:b/>
          <w:i/>
          <w:sz w:val="24"/>
          <w:szCs w:val="24"/>
        </w:rPr>
        <w:t>domestic markets</w:t>
      </w:r>
      <w:r>
        <w:rPr>
          <w:rFonts w:ascii="Times New Roman" w:cs="Times New Roman" w:eastAsia="Times New Roman" w:hAnsi="Times New Roman"/>
          <w:sz w:val="24"/>
          <w:szCs w:val="24"/>
        </w:rPr>
        <w:t>, their foreign production capabilities are significantly inferior (</w:t>
      </w:r>
      <w:r>
        <w:rPr>
          <w:rFonts w:ascii="Times New Roman" w:cs="Times New Roman" w:eastAsia="Times New Roman" w:hAnsi="Times New Roman"/>
          <w:color w:val="222222"/>
          <w:sz w:val="24"/>
          <w:szCs w:val="24"/>
          <w:highlight w:val="white"/>
        </w:rPr>
        <w:t xml:space="preserve">Haji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Trading constitutes financial management in the context of international trade since it entails making a profit from the exchange of foreign currencies (</w:t>
      </w:r>
      <w:r>
        <w:rPr>
          <w:rFonts w:ascii="Times New Roman" w:cs="Times New Roman" w:eastAsia="Times New Roman" w:hAnsi="Times New Roman"/>
          <w:color w:val="222222"/>
          <w:sz w:val="24"/>
          <w:szCs w:val="24"/>
          <w:highlight w:val="white"/>
        </w:rPr>
        <w:t>Mbzibain</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2023</w:t>
      </w:r>
      <w:r>
        <w:rPr>
          <w:rFonts w:ascii="Times New Roman" w:cs="Times New Roman" w:eastAsia="Times New Roman" w:hAnsi="Times New Roman"/>
          <w:sz w:val="24"/>
          <w:szCs w:val="24"/>
        </w:rPr>
        <w:t xml:space="preserve">). </w:t>
      </w:r>
      <w:r>
        <w:rPr>
          <w:rFonts w:ascii="Times New Roman" w:cs="Times New Roman" w:eastAsia="Times New Roman" w:hAnsi="Times New Roman"/>
          <w:b/>
          <w:i/>
          <w:sz w:val="24"/>
          <w:szCs w:val="24"/>
        </w:rPr>
        <w:t>International financ</w:t>
      </w:r>
      <w:r>
        <w:rPr>
          <w:rFonts w:ascii="Times New Roman" w:cs="Times New Roman" w:eastAsia="Times New Roman" w:hAnsi="Times New Roman"/>
          <w:sz w:val="24"/>
          <w:szCs w:val="24"/>
        </w:rPr>
        <w:t>e and</w:t>
      </w:r>
      <w:r>
        <w:rPr>
          <w:rFonts w:ascii="Times New Roman" w:cs="Times New Roman" w:eastAsia="Times New Roman" w:hAnsi="Times New Roman"/>
          <w:b/>
          <w:i/>
          <w:sz w:val="24"/>
          <w:szCs w:val="24"/>
        </w:rPr>
        <w:t xml:space="preserve"> international financial management </w:t>
      </w:r>
      <w:r>
        <w:rPr>
          <w:rFonts w:ascii="Times New Roman" w:cs="Times New Roman" w:eastAsia="Times New Roman" w:hAnsi="Times New Roman"/>
          <w:sz w:val="24"/>
          <w:szCs w:val="24"/>
        </w:rPr>
        <w:t xml:space="preserve">are terms that are occasionally used to describe this circumstance.  </w:t>
      </w:r>
    </w:p>
    <w:p>
      <w:pPr>
        <w:pStyle w:val="style0"/>
        <w:spacing w:lineRule="auto" w:line="360"/>
        <w:jc w:val="center"/>
        <w:rPr>
          <w:rFonts w:ascii="Times New Roman" w:cs="Times New Roman" w:eastAsia="Times New Roman" w:hAnsi="Times New Roman"/>
          <w:sz w:val="24"/>
          <w:szCs w:val="24"/>
        </w:rPr>
      </w:pPr>
      <w:r>
        <w:rPr>
          <w:noProof/>
        </w:rPr>
        <w:drawing>
          <wp:inline distL="0" distT="0" distB="0" distR="0">
            <wp:extent cx="3295650" cy="2471829"/>
            <wp:effectExtent l="76200" t="76200" r="133350" b="138430"/>
            <wp:docPr id="1026" name="Picture 1" descr="International Financial Management - ppt video online downloa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295650" cy="2471829"/>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bCs/>
          <w:sz w:val="24"/>
          <w:szCs w:val="24"/>
        </w:rPr>
        <w:t xml:space="preserve">Figure 1: </w:t>
      </w:r>
      <w:r>
        <w:rPr>
          <w:rFonts w:ascii="Times New Roman" w:cs="Times New Roman" w:eastAsia="Times New Roman" w:hAnsi="Times New Roman"/>
          <w:b/>
          <w:sz w:val="24"/>
          <w:szCs w:val="24"/>
        </w:rPr>
        <w:t>International Financial Management</w:t>
      </w:r>
    </w:p>
    <w:p>
      <w:pPr>
        <w:pStyle w:val="style0"/>
        <w:spacing w:lineRule="auto" w:line="360"/>
        <w:jc w:val="center"/>
        <w:rPr>
          <w:rFonts w:ascii="Times New Roman" w:cs="Times New Roman" w:eastAsia="Times New Roman" w:hAnsi="Times New Roman"/>
          <w:bCs/>
          <w:sz w:val="24"/>
          <w:szCs w:val="24"/>
        </w:rPr>
      </w:pPr>
      <w:r>
        <w:rPr>
          <w:rFonts w:ascii="Times New Roman" w:cs="Times New Roman" w:eastAsia="Times New Roman" w:hAnsi="Times New Roman"/>
          <w:bCs/>
          <w:sz w:val="24"/>
          <w:szCs w:val="24"/>
        </w:rPr>
        <w:t xml:space="preserve">(Source: </w:t>
      </w:r>
      <w:r>
        <w:rPr>
          <w:rFonts w:ascii="Times New Roman" w:cs="Times New Roman" w:eastAsia="Times New Roman" w:hAnsi="Times New Roman"/>
          <w:color w:val="222222"/>
          <w:sz w:val="24"/>
          <w:szCs w:val="24"/>
          <w:highlight w:val="white"/>
        </w:rPr>
        <w:t>Semlambo</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bCs/>
          <w:sz w:val="24"/>
          <w:szCs w:val="24"/>
        </w:rPr>
        <w: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main objective of international financial management is to arrange sufficient funds to accomplish an organization's short- and </w:t>
      </w:r>
      <w:r>
        <w:rPr>
          <w:rFonts w:ascii="Times New Roman" w:cs="Times New Roman" w:eastAsia="Times New Roman" w:hAnsi="Times New Roman"/>
          <w:b/>
          <w:i/>
          <w:sz w:val="24"/>
          <w:szCs w:val="24"/>
        </w:rPr>
        <w:t xml:space="preserve">long-term goals </w:t>
      </w:r>
      <w:r>
        <w:rPr>
          <w:rFonts w:ascii="Times New Roman" w:cs="Times New Roman" w:eastAsia="Times New Roman" w:hAnsi="Times New Roman"/>
          <w:sz w:val="24"/>
          <w:szCs w:val="24"/>
        </w:rPr>
        <w:t>(</w:t>
      </w:r>
      <w:r>
        <w:rPr>
          <w:rFonts w:ascii="Times New Roman" w:cs="Times New Roman" w:eastAsia="Times New Roman" w:hAnsi="Times New Roman"/>
          <w:color w:val="222222"/>
          <w:sz w:val="24"/>
          <w:szCs w:val="24"/>
          <w:highlight w:val="white"/>
        </w:rPr>
        <w:t>Clark and O’Neill, 2023</w:t>
      </w:r>
      <w:r>
        <w:rPr>
          <w:rFonts w:ascii="Times New Roman" w:cs="Times New Roman" w:eastAsia="Times New Roman" w:hAnsi="Times New Roman"/>
          <w:sz w:val="24"/>
          <w:szCs w:val="24"/>
        </w:rPr>
        <w:t>). It is the principal responsibility of the international finance manager to estimate the company's financial requirements, both in the short and long term (</w:t>
      </w:r>
      <w:r>
        <w:rPr>
          <w:rFonts w:ascii="Times New Roman" w:cs="Times New Roman" w:eastAsia="Times New Roman" w:hAnsi="Times New Roman"/>
          <w:color w:val="222222"/>
          <w:sz w:val="24"/>
          <w:szCs w:val="24"/>
          <w:highlight w:val="white"/>
        </w:rPr>
        <w:t xml:space="preserve">Haya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xml:space="preserve">). A financial strategy for the present and </w:t>
      </w:r>
      <w:r>
        <w:rPr>
          <w:rFonts w:ascii="Times New Roman" w:cs="Times New Roman" w:eastAsia="Times New Roman" w:hAnsi="Times New Roman"/>
          <w:b/>
          <w:i/>
          <w:sz w:val="24"/>
          <w:szCs w:val="24"/>
        </w:rPr>
        <w:t xml:space="preserve">future </w:t>
      </w:r>
      <w:r>
        <w:rPr>
          <w:rFonts w:ascii="Times New Roman" w:cs="Times New Roman" w:eastAsia="Times New Roman" w:hAnsi="Times New Roman"/>
          <w:sz w:val="24"/>
          <w:szCs w:val="24"/>
        </w:rPr>
        <w:t xml:space="preserve">must be developed by the finance manager using the company's prior </w:t>
      </w:r>
      <w:r>
        <w:rPr>
          <w:rFonts w:ascii="Times New Roman" w:cs="Times New Roman" w:eastAsia="Times New Roman" w:hAnsi="Times New Roman"/>
          <w:b/>
          <w:i/>
          <w:sz w:val="24"/>
          <w:szCs w:val="24"/>
        </w:rPr>
        <w:t xml:space="preserve">financial data </w:t>
      </w:r>
      <w:r>
        <w:rPr>
          <w:rFonts w:ascii="Times New Roman" w:cs="Times New Roman" w:eastAsia="Times New Roman" w:hAnsi="Times New Roman"/>
          <w:sz w:val="24"/>
          <w:szCs w:val="24"/>
        </w:rPr>
        <w:t xml:space="preserve">(Tartan and </w:t>
      </w:r>
      <w:r>
        <w:rPr>
          <w:rFonts w:ascii="Times New Roman" w:cs="Times New Roman" w:eastAsia="Times New Roman" w:hAnsi="Times New Roman"/>
          <w:sz w:val="24"/>
          <w:szCs w:val="24"/>
        </w:rPr>
        <w:t>Tetik</w:t>
      </w:r>
      <w:r>
        <w:rPr>
          <w:rFonts w:ascii="Times New Roman" w:cs="Times New Roman" w:eastAsia="Times New Roman" w:hAnsi="Times New Roman"/>
          <w:sz w:val="24"/>
          <w:szCs w:val="24"/>
        </w:rPr>
        <w:t xml:space="preserve">, 2023). This process includes estimating the amount required for purchasing fixed assets and </w:t>
      </w:r>
      <w:r>
        <w:rPr>
          <w:rFonts w:ascii="Times New Roman" w:cs="Times New Roman" w:eastAsia="Times New Roman" w:hAnsi="Times New Roman"/>
          <w:b/>
          <w:i/>
          <w:sz w:val="24"/>
          <w:szCs w:val="24"/>
        </w:rPr>
        <w:t>working capital</w:t>
      </w:r>
      <w:r>
        <w:rPr>
          <w:rFonts w:ascii="Times New Roman" w:cs="Times New Roman" w:eastAsia="Times New Roman" w:hAnsi="Times New Roman"/>
          <w:sz w:val="24"/>
          <w:szCs w:val="24"/>
        </w:rPr>
        <w:t>.</w:t>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Theories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That is feasible to classify financial theories according to the areas of focus and areas of application (</w:t>
      </w:r>
      <w:r>
        <w:rPr>
          <w:rFonts w:ascii="Times New Roman" w:cs="Times New Roman" w:eastAsia="Times New Roman" w:hAnsi="Times New Roman"/>
          <w:color w:val="222222"/>
          <w:sz w:val="24"/>
          <w:szCs w:val="24"/>
          <w:highlight w:val="white"/>
        </w:rPr>
        <w:t>Alami</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Organisational theories encompass a wide range of theories within financial theory, including classical management, bureaucracy, human relations theory, systems theory, politics, institutionalism, agency, resources, and capacities (</w:t>
      </w:r>
      <w:r>
        <w:rPr>
          <w:rFonts w:ascii="Times New Roman" w:cs="Times New Roman" w:eastAsia="Times New Roman" w:hAnsi="Times New Roman"/>
          <w:color w:val="222222"/>
          <w:sz w:val="24"/>
          <w:szCs w:val="24"/>
          <w:highlight w:val="white"/>
        </w:rPr>
        <w:t xml:space="preserve">Tartan and </w:t>
      </w:r>
      <w:r>
        <w:rPr>
          <w:rFonts w:ascii="Times New Roman" w:cs="Times New Roman" w:eastAsia="Times New Roman" w:hAnsi="Times New Roman"/>
          <w:color w:val="222222"/>
          <w:sz w:val="24"/>
          <w:szCs w:val="24"/>
          <w:highlight w:val="white"/>
        </w:rPr>
        <w:t>Tetik</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 Another group of theories deals with the methods by which businesses manage their money. These theories include the pecking order theory, trade-off theory, and free cash flow theory.</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Some of the issues that have their own specific theories include capital budgeting, capital structure, financial behaviour, asset valuation, and international finance (</w:t>
      </w:r>
      <w:r>
        <w:rPr>
          <w:rFonts w:ascii="Times New Roman" w:cs="Times New Roman" w:eastAsia="Times New Roman" w:hAnsi="Times New Roman"/>
          <w:color w:val="222222"/>
          <w:sz w:val="24"/>
          <w:szCs w:val="24"/>
          <w:highlight w:val="white"/>
        </w:rPr>
        <w:t xml:space="preserve">El Khoury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When compared to neoclassical financial theory, which centres on rational economic actors and objective probability, behavioural finance considers the psychological effects and decision-making under uncertainty (</w:t>
      </w:r>
      <w:r>
        <w:rPr>
          <w:rFonts w:ascii="Times New Roman" w:cs="Times New Roman" w:eastAsia="Times New Roman" w:hAnsi="Times New Roman"/>
          <w:color w:val="222222"/>
          <w:sz w:val="24"/>
          <w:szCs w:val="24"/>
          <w:highlight w:val="white"/>
        </w:rPr>
        <w:t xml:space="preserve">Tartan and </w:t>
      </w:r>
      <w:r>
        <w:rPr>
          <w:rFonts w:ascii="Times New Roman" w:cs="Times New Roman" w:eastAsia="Times New Roman" w:hAnsi="Times New Roman"/>
          <w:color w:val="222222"/>
          <w:sz w:val="24"/>
          <w:szCs w:val="24"/>
          <w:highlight w:val="white"/>
        </w:rPr>
        <w:t>Tetik</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 xml:space="preserve">). Models like the castle-in-the-air, </w:t>
      </w:r>
      <w:r>
        <w:rPr>
          <w:rFonts w:ascii="Times New Roman" w:cs="Times New Roman" w:eastAsia="Times New Roman" w:hAnsi="Times New Roman"/>
          <w:sz w:val="24"/>
          <w:szCs w:val="24"/>
        </w:rPr>
        <w:t xml:space="preserve">theory of investment value, theory of firm foundation, and theory of games and economic behaviour are all part of investing theories, the last group.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This theory can be broken down into 5 sub-theories. Consisting of five sub-theories, this theory is called the International Fisher Effect, Purchasing Power Effect, Interest Rate Effect, and Expectation Theory (</w:t>
      </w:r>
      <w:r>
        <w:rPr>
          <w:rFonts w:ascii="Times New Roman" w:cs="Times New Roman" w:eastAsia="Times New Roman" w:hAnsi="Times New Roman"/>
          <w:color w:val="222222"/>
          <w:sz w:val="24"/>
          <w:szCs w:val="24"/>
          <w:highlight w:val="white"/>
        </w:rPr>
        <w:t>Igatanyi</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 The "Interest Rate Parity" principle states that any disparity in interest rates between two countries, in this example the US dollar and the Indian rupee, should result in an equal amount of exchange risk (</w:t>
      </w:r>
      <w:r>
        <w:rPr>
          <w:rFonts w:ascii="Times New Roman" w:cs="Times New Roman" w:eastAsia="Times New Roman" w:hAnsi="Times New Roman"/>
          <w:color w:val="222222"/>
          <w:sz w:val="24"/>
          <w:szCs w:val="24"/>
          <w:highlight w:val="white"/>
        </w:rPr>
        <w:t>Luyali</w:t>
      </w:r>
      <w:r>
        <w:rPr>
          <w:rFonts w:ascii="Times New Roman" w:cs="Times New Roman" w:eastAsia="Times New Roman" w:hAnsi="Times New Roman"/>
          <w:color w:val="222222"/>
          <w:sz w:val="24"/>
          <w:szCs w:val="24"/>
          <w:highlight w:val="white"/>
        </w:rPr>
        <w:t>, 2024</w:t>
      </w:r>
      <w:r>
        <w:rPr>
          <w:rFonts w:ascii="Times New Roman" w:cs="Times New Roman" w:eastAsia="Times New Roman" w:hAnsi="Times New Roman"/>
          <w:sz w:val="24"/>
          <w:szCs w:val="24"/>
        </w:rPr>
        <w:t>). In percentage terms, the spread between the forward and spot exchange rates ought should be identical (</w:t>
      </w:r>
      <w:r>
        <w:rPr>
          <w:rFonts w:ascii="Times New Roman" w:cs="Times New Roman" w:eastAsia="Times New Roman" w:hAnsi="Times New Roman"/>
          <w:color w:val="222222"/>
          <w:sz w:val="24"/>
          <w:szCs w:val="24"/>
          <w:highlight w:val="white"/>
        </w:rPr>
        <w:t>Stewart, 2023</w:t>
      </w:r>
      <w:r>
        <w:rPr>
          <w:rFonts w:ascii="Times New Roman" w:cs="Times New Roman" w:eastAsia="Times New Roman" w:hAnsi="Times New Roman"/>
          <w:sz w:val="24"/>
          <w:szCs w:val="24"/>
        </w:rPr>
        <w:t>). The "IRP theory," as we have seen, is the primary approach to calculating the Forward Rate. But nobody has said anything about how to figure out the spot rate (</w:t>
      </w:r>
      <w:r>
        <w:rPr>
          <w:rFonts w:ascii="Times New Roman" w:cs="Times New Roman" w:eastAsia="Times New Roman" w:hAnsi="Times New Roman"/>
          <w:color w:val="222222"/>
          <w:sz w:val="24"/>
          <w:szCs w:val="24"/>
          <w:highlight w:val="white"/>
        </w:rPr>
        <w:t>Byusa</w:t>
      </w:r>
      <w:r>
        <w:rPr>
          <w:rFonts w:ascii="Times New Roman" w:cs="Times New Roman" w:eastAsia="Times New Roman" w:hAnsi="Times New Roman"/>
          <w:color w:val="222222"/>
          <w:sz w:val="24"/>
          <w:szCs w:val="24"/>
          <w:highlight w:val="white"/>
        </w:rPr>
        <w:t>, 2024</w:t>
      </w:r>
      <w:r>
        <w:rPr>
          <w:rFonts w:ascii="Times New Roman" w:cs="Times New Roman" w:eastAsia="Times New Roman" w:hAnsi="Times New Roman"/>
          <w:sz w:val="24"/>
          <w:szCs w:val="24"/>
        </w:rPr>
        <w:t>). This theory is helpful in resolving the issue. The fundamental tenet of this theory is that a commodity or service costs the same regardless of the currency or location of purchase.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According to the Fisher Effect theory, a change in the expected nominal interest rate causes a proportionate change in the nominal interest rate but has no influence on the required actual inflation rate (</w:t>
      </w:r>
      <w:r>
        <w:rPr>
          <w:rFonts w:ascii="Times New Roman" w:cs="Times New Roman" w:eastAsia="Times New Roman" w:hAnsi="Times New Roman"/>
          <w:color w:val="222222"/>
          <w:sz w:val="24"/>
          <w:szCs w:val="24"/>
          <w:highlight w:val="white"/>
        </w:rPr>
        <w:t>Luyali</w:t>
      </w:r>
      <w:r>
        <w:rPr>
          <w:rFonts w:ascii="Times New Roman" w:cs="Times New Roman" w:eastAsia="Times New Roman" w:hAnsi="Times New Roman"/>
          <w:color w:val="222222"/>
          <w:sz w:val="24"/>
          <w:szCs w:val="24"/>
          <w:highlight w:val="white"/>
        </w:rPr>
        <w:t>, 2024</w:t>
      </w:r>
      <w:r>
        <w:rPr>
          <w:rFonts w:ascii="Times New Roman" w:cs="Times New Roman" w:eastAsia="Times New Roman" w:hAnsi="Times New Roman"/>
          <w:sz w:val="24"/>
          <w:szCs w:val="24"/>
        </w:rPr>
        <w:t>). The interplay between inflation, real and nominal rates, and "Purchasing Power Parity theory" is defined. Because of this theory, users can look at the link between interest rates and inflation more closely (</w:t>
      </w:r>
      <w:r>
        <w:rPr>
          <w:rFonts w:ascii="Times New Roman" w:cs="Times New Roman" w:eastAsia="Times New Roman" w:hAnsi="Times New Roman"/>
          <w:color w:val="222222"/>
          <w:sz w:val="24"/>
          <w:szCs w:val="24"/>
          <w:highlight w:val="white"/>
        </w:rPr>
        <w:t>Anyona</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xml:space="preserve">). The "International Fisher Effect" is based on the idea that when interest rates are high, the value of a country's currency depreciates as a result of inflation.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theoretical terms, this relationship is represented as an equality between the expected percentage change in the exchange rate and the difference between the interest rates of the two countries, divided by one plus the interest rate of the second country (</w:t>
      </w:r>
      <w:r>
        <w:rPr>
          <w:rFonts w:ascii="Times New Roman" w:cs="Times New Roman" w:eastAsia="Times New Roman" w:hAnsi="Times New Roman"/>
          <w:color w:val="222222"/>
          <w:sz w:val="24"/>
          <w:szCs w:val="24"/>
          <w:highlight w:val="white"/>
        </w:rPr>
        <w:t>Igatanyi</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 When it comes to "Expectation Theory," "today's forward rate" is what we should be looking at as the "future spot rate” (</w:t>
      </w:r>
      <w:r>
        <w:rPr>
          <w:rFonts w:ascii="Times New Roman" w:cs="Times New Roman" w:eastAsia="Times New Roman" w:hAnsi="Times New Roman"/>
          <w:color w:val="222222"/>
          <w:sz w:val="24"/>
          <w:szCs w:val="24"/>
          <w:highlight w:val="white"/>
        </w:rPr>
        <w:t>Stewart, 2023</w:t>
      </w:r>
      <w:r>
        <w:rPr>
          <w:rFonts w:ascii="Times New Roman" w:cs="Times New Roman" w:eastAsia="Times New Roman" w:hAnsi="Times New Roman"/>
          <w:sz w:val="24"/>
          <w:szCs w:val="24"/>
        </w:rPr>
        <w:t xml:space="preserve">). Given this assumption, FR = E (S) scholars and economists have noticed that forward rates also overstate the likely change in the spot rate based on their experience and research over the period. </w:t>
      </w:r>
    </w:p>
    <w:bookmarkStart w:id="6" w:name="_okldi14lzs2z" w:colFirst="0" w:colLast="0"/>
    <w:bookmarkStart w:id="7" w:name="_Toc173005227"/>
    <w:bookmarkEnd w:id="6"/>
    <w:p>
      <w:pPr>
        <w:pStyle w:val="style2"/>
        <w:spacing w:before="0" w:after="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2.2 Different strategies for multinational corporations</w:t>
      </w:r>
      <w:bookmarkEnd w:id="7"/>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According to a </w:t>
      </w:r>
      <w:r>
        <w:rPr>
          <w:rFonts w:ascii="Times New Roman" w:cs="Times New Roman" w:eastAsia="Times New Roman" w:hAnsi="Times New Roman"/>
          <w:b/>
          <w:i/>
          <w:sz w:val="24"/>
          <w:szCs w:val="24"/>
        </w:rPr>
        <w:t>World Bank report</w:t>
      </w:r>
      <w:r>
        <w:rPr>
          <w:rFonts w:ascii="Times New Roman" w:cs="Times New Roman" w:eastAsia="Times New Roman" w:hAnsi="Times New Roman"/>
          <w:sz w:val="24"/>
          <w:szCs w:val="24"/>
        </w:rPr>
        <w:t xml:space="preserve">, the </w:t>
      </w:r>
      <w:r>
        <w:rPr>
          <w:rFonts w:ascii="Times New Roman" w:cs="Times New Roman" w:eastAsia="Times New Roman" w:hAnsi="Times New Roman"/>
          <w:b/>
          <w:i/>
          <w:sz w:val="24"/>
          <w:szCs w:val="24"/>
        </w:rPr>
        <w:t>global economy</w:t>
      </w:r>
      <w:r>
        <w:rPr>
          <w:rFonts w:ascii="Times New Roman" w:cs="Times New Roman" w:eastAsia="Times New Roman" w:hAnsi="Times New Roman"/>
          <w:sz w:val="24"/>
          <w:szCs w:val="24"/>
        </w:rPr>
        <w:t xml:space="preserve"> would rebound to 4% in 2021, when the pandemic was still in full force (</w:t>
      </w:r>
      <w:r>
        <w:rPr>
          <w:rFonts w:ascii="Times New Roman" w:cs="Times New Roman" w:eastAsia="Times New Roman" w:hAnsi="Times New Roman"/>
          <w:color w:val="222222"/>
          <w:sz w:val="24"/>
          <w:szCs w:val="24"/>
          <w:highlight w:val="white"/>
        </w:rPr>
        <w:t>Kelkar, 2024</w:t>
      </w:r>
      <w:r>
        <w:rPr>
          <w:rFonts w:ascii="Times New Roman" w:cs="Times New Roman" w:eastAsia="Times New Roman" w:hAnsi="Times New Roman"/>
          <w:sz w:val="24"/>
          <w:szCs w:val="24"/>
        </w:rPr>
        <w:t>). It did, giving businesses and individuals opportunities to benefit from the market's revival. Still, with the global economy subject to its fair share of ups and downs, it's crucial to be able to manage money on a global scale (</w:t>
      </w:r>
      <w:r>
        <w:rPr>
          <w:rFonts w:ascii="Times New Roman" w:cs="Times New Roman" w:eastAsia="Times New Roman" w:hAnsi="Times New Roman"/>
          <w:color w:val="222222"/>
          <w:sz w:val="24"/>
          <w:szCs w:val="24"/>
          <w:highlight w:val="white"/>
        </w:rPr>
        <w:t>Cottrell, 2023</w:t>
      </w:r>
      <w:r>
        <w:rPr>
          <w:rFonts w:ascii="Times New Roman" w:cs="Times New Roman" w:eastAsia="Times New Roman" w:hAnsi="Times New Roman"/>
          <w:sz w:val="24"/>
          <w:szCs w:val="24"/>
        </w:rPr>
        <w:t>). Multinational corporations frequently use several exchange strategies to lessen their exposure to foreign exchange risks (</w:t>
      </w:r>
      <w:r>
        <w:rPr>
          <w:rFonts w:ascii="Times New Roman" w:cs="Times New Roman" w:eastAsia="Times New Roman" w:hAnsi="Times New Roman"/>
          <w:color w:val="222222"/>
          <w:sz w:val="24"/>
          <w:szCs w:val="24"/>
          <w:highlight w:val="white"/>
        </w:rPr>
        <w:t xml:space="preserve">Pickard and </w:t>
      </w:r>
      <w:r>
        <w:rPr>
          <w:rFonts w:ascii="Times New Roman" w:cs="Times New Roman" w:eastAsia="Times New Roman" w:hAnsi="Times New Roman"/>
          <w:color w:val="222222"/>
          <w:sz w:val="24"/>
          <w:szCs w:val="24"/>
          <w:highlight w:val="white"/>
        </w:rPr>
        <w:t>Lawryshyn</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 xml:space="preserve">). </w:t>
      </w:r>
      <w:r>
        <w:rPr>
          <w:rFonts w:ascii="Times New Roman" w:cs="Times New Roman" w:eastAsia="Times New Roman" w:hAnsi="Times New Roman"/>
          <w:b/>
          <w:i/>
          <w:sz w:val="24"/>
          <w:szCs w:val="24"/>
        </w:rPr>
        <w:t>Foreign exchange risk</w:t>
      </w:r>
      <w:r>
        <w:rPr>
          <w:rFonts w:ascii="Times New Roman" w:cs="Times New Roman" w:eastAsia="Times New Roman" w:hAnsi="Times New Roman"/>
          <w:sz w:val="24"/>
          <w:szCs w:val="24"/>
        </w:rPr>
        <w:t xml:space="preserve"> refers to the possibility of financial losses brought on by fluctuations in currency exchange </w:t>
      </w:r>
      <w:r>
        <w:rPr>
          <w:rFonts w:ascii="Times New Roman" w:cs="Times New Roman" w:eastAsia="Times New Roman" w:hAnsi="Times New Roman"/>
          <w:sz w:val="24"/>
          <w:szCs w:val="24"/>
        </w:rPr>
        <w:t>rates (</w:t>
      </w:r>
      <w:r>
        <w:rPr>
          <w:rFonts w:ascii="Times New Roman" w:cs="Times New Roman" w:eastAsia="Times New Roman" w:hAnsi="Times New Roman"/>
          <w:color w:val="222222"/>
          <w:sz w:val="24"/>
          <w:szCs w:val="24"/>
          <w:highlight w:val="white"/>
        </w:rPr>
        <w:t>Cottrell, 2023</w:t>
      </w:r>
      <w:r>
        <w:rPr>
          <w:rFonts w:ascii="Times New Roman" w:cs="Times New Roman" w:eastAsia="Times New Roman" w:hAnsi="Times New Roman"/>
          <w:sz w:val="24"/>
          <w:szCs w:val="24"/>
        </w:rPr>
        <w:t>).</w:t>
      </w:r>
      <w:r>
        <w:rPr>
          <w:rFonts w:ascii="Times New Roman" w:cs="Times New Roman" w:eastAsia="Times New Roman" w:hAnsi="Times New Roman"/>
          <w:b/>
          <w:i/>
          <w:sz w:val="24"/>
          <w:szCs w:val="24"/>
        </w:rPr>
        <w:t xml:space="preserve"> </w:t>
      </w:r>
      <w:r>
        <w:rPr>
          <w:rFonts w:ascii="Times New Roman" w:cs="Times New Roman" w:eastAsia="Times New Roman" w:hAnsi="Times New Roman"/>
          <w:sz w:val="24"/>
          <w:szCs w:val="24"/>
        </w:rPr>
        <w:t xml:space="preserve">For example, </w:t>
      </w:r>
      <w:r>
        <w:rPr>
          <w:rFonts w:ascii="Times New Roman" w:cs="Times New Roman" w:eastAsia="Times New Roman" w:hAnsi="Times New Roman"/>
          <w:b/>
          <w:i/>
          <w:sz w:val="24"/>
          <w:szCs w:val="24"/>
        </w:rPr>
        <w:t>Coca-Cola</w:t>
      </w:r>
      <w:r>
        <w:rPr>
          <w:rFonts w:ascii="Times New Roman" w:cs="Times New Roman" w:eastAsia="Times New Roman" w:hAnsi="Times New Roman"/>
          <w:sz w:val="24"/>
          <w:szCs w:val="24"/>
        </w:rPr>
        <w:t xml:space="preserve"> locks in exchange rates for future transactions by buying currency forwards (</w:t>
      </w:r>
      <w:r>
        <w:rPr>
          <w:rFonts w:ascii="Times New Roman" w:cs="Times New Roman" w:eastAsia="Times New Roman" w:hAnsi="Times New Roman"/>
          <w:color w:val="222222"/>
          <w:sz w:val="24"/>
          <w:szCs w:val="24"/>
          <w:highlight w:val="white"/>
        </w:rPr>
        <w:t>Coca-Cola Company, 2023</w:t>
      </w:r>
      <w:r>
        <w:rPr>
          <w:rFonts w:ascii="Times New Roman" w:cs="Times New Roman" w:eastAsia="Times New Roman" w:hAnsi="Times New Roman"/>
          <w:sz w:val="24"/>
          <w:szCs w:val="24"/>
        </w:rPr>
        <w:t xml:space="preserve">). Set fixed exchange rates so that Coca-Cola doesn't have to deal with bad changes in currency values when it moves money from other countries to its own. </w:t>
      </w:r>
      <w:r>
        <w:rPr>
          <w:rFonts w:ascii="Times New Roman" w:cs="Times New Roman" w:eastAsia="Times New Roman" w:hAnsi="Times New Roman"/>
          <w:b/>
          <w:i/>
          <w:sz w:val="24"/>
          <w:szCs w:val="24"/>
        </w:rPr>
        <w:t>Hedging techniques</w:t>
      </w:r>
      <w:r>
        <w:rPr>
          <w:rFonts w:ascii="Times New Roman" w:cs="Times New Roman" w:eastAsia="Times New Roman" w:hAnsi="Times New Roman"/>
          <w:sz w:val="24"/>
          <w:szCs w:val="24"/>
        </w:rPr>
        <w:t xml:space="preserve"> like currency forwards, options, and futures can be used to reduce this risk (</w:t>
      </w:r>
      <w:r>
        <w:rPr>
          <w:rFonts w:ascii="Times New Roman" w:cs="Times New Roman" w:eastAsia="Times New Roman" w:hAnsi="Times New Roman"/>
          <w:sz w:val="24"/>
          <w:szCs w:val="24"/>
        </w:rPr>
        <w:t>Pagnottoni</w:t>
      </w:r>
      <w:r>
        <w:rPr>
          <w:rFonts w:ascii="Times New Roman" w:cs="Times New Roman" w:eastAsia="Times New Roman" w:hAnsi="Times New Roman"/>
          <w:sz w:val="24"/>
          <w:szCs w:val="24"/>
        </w:rPr>
        <w:t xml:space="preserve"> and </w:t>
      </w:r>
      <w:r>
        <w:rPr>
          <w:rFonts w:ascii="Times New Roman" w:cs="Times New Roman" w:eastAsia="Times New Roman" w:hAnsi="Times New Roman"/>
          <w:sz w:val="24"/>
          <w:szCs w:val="24"/>
        </w:rPr>
        <w:t>Spelta</w:t>
      </w:r>
      <w:r>
        <w:rPr>
          <w:rFonts w:ascii="Times New Roman" w:cs="Times New Roman" w:eastAsia="Times New Roman" w:hAnsi="Times New Roman"/>
          <w:sz w:val="24"/>
          <w:szCs w:val="24"/>
        </w:rPr>
        <w:t>, 2024). As evident,</w:t>
      </w:r>
      <w:r>
        <w:rPr>
          <w:rFonts w:ascii="Times New Roman" w:cs="Times New Roman" w:eastAsia="Times New Roman" w:hAnsi="Times New Roman"/>
          <w:b/>
          <w:i/>
          <w:sz w:val="24"/>
          <w:szCs w:val="24"/>
        </w:rPr>
        <w:t xml:space="preserve"> Apple Inc.</w:t>
      </w:r>
      <w:r>
        <w:rPr>
          <w:rFonts w:ascii="Times New Roman" w:cs="Times New Roman" w:eastAsia="Times New Roman" w:hAnsi="Times New Roman"/>
          <w:sz w:val="24"/>
          <w:szCs w:val="24"/>
        </w:rPr>
        <w:t xml:space="preserve"> uses currency options. It can change exchange rates however it wants and still have the chance to make money from changes for the better (</w:t>
      </w:r>
      <w:r>
        <w:rPr>
          <w:rFonts w:ascii="Times New Roman" w:cs="Times New Roman" w:eastAsia="Times New Roman" w:hAnsi="Times New Roman"/>
          <w:color w:val="222222"/>
          <w:sz w:val="24"/>
          <w:szCs w:val="24"/>
          <w:highlight w:val="white"/>
        </w:rPr>
        <w:t>SEC.GOV, 2024</w:t>
      </w:r>
      <w:r>
        <w:rPr>
          <w:rFonts w:ascii="Times New Roman" w:cs="Times New Roman" w:eastAsia="Times New Roman" w:hAnsi="Times New Roman"/>
          <w:sz w:val="24"/>
          <w:szCs w:val="24"/>
        </w:rPr>
        <w:t xml:space="preserve">). With this strategy, Apple benefited from changes in the value of the currency while also protecting itself from potential losses. Risk, business, and finance are viewed differently in different cultures. Organisations can solve this challenge by investing in </w:t>
      </w:r>
      <w:r>
        <w:rPr>
          <w:rFonts w:ascii="Times New Roman" w:cs="Times New Roman" w:eastAsia="Times New Roman" w:hAnsi="Times New Roman"/>
          <w:b/>
          <w:i/>
          <w:sz w:val="24"/>
          <w:szCs w:val="24"/>
        </w:rPr>
        <w:t>staff members</w:t>
      </w:r>
      <w:r>
        <w:rPr>
          <w:rFonts w:ascii="Times New Roman" w:cs="Times New Roman" w:eastAsia="Times New Roman" w:hAnsi="Times New Roman"/>
          <w:sz w:val="24"/>
          <w:szCs w:val="24"/>
        </w:rPr>
        <w:t xml:space="preserve">' </w:t>
      </w:r>
      <w:r>
        <w:rPr>
          <w:rFonts w:ascii="Times New Roman" w:cs="Times New Roman" w:eastAsia="Times New Roman" w:hAnsi="Times New Roman"/>
          <w:b/>
          <w:i/>
          <w:sz w:val="24"/>
          <w:szCs w:val="24"/>
        </w:rPr>
        <w:t>cross-cultural</w:t>
      </w:r>
      <w:r>
        <w:rPr>
          <w:rFonts w:ascii="Times New Roman" w:cs="Times New Roman" w:eastAsia="Times New Roman" w:hAnsi="Times New Roman"/>
          <w:sz w:val="24"/>
          <w:szCs w:val="24"/>
        </w:rPr>
        <w:t xml:space="preserve"> </w:t>
      </w:r>
      <w:r>
        <w:rPr>
          <w:rFonts w:ascii="Times New Roman" w:cs="Times New Roman" w:eastAsia="Times New Roman" w:hAnsi="Times New Roman"/>
          <w:b/>
          <w:i/>
          <w:sz w:val="24"/>
          <w:szCs w:val="24"/>
        </w:rPr>
        <w:t>training</w:t>
      </w:r>
      <w:r>
        <w:rPr>
          <w:rFonts w:ascii="Times New Roman" w:cs="Times New Roman" w:eastAsia="Times New Roman" w:hAnsi="Times New Roman"/>
          <w:sz w:val="24"/>
          <w:szCs w:val="24"/>
        </w:rPr>
        <w:t xml:space="preserve"> and by improving their cultural intelligence.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There are a variety of actions that businesses can take to mitigate the risk of foreign exchange rate volatility. </w:t>
      </w:r>
      <w:r>
        <w:rPr>
          <w:rFonts w:ascii="Times New Roman" w:cs="Times New Roman" w:eastAsia="Times New Roman" w:hAnsi="Times New Roman"/>
          <w:b/>
          <w:i/>
          <w:sz w:val="24"/>
          <w:szCs w:val="24"/>
        </w:rPr>
        <w:t xml:space="preserve">Hedging </w:t>
      </w:r>
      <w:r>
        <w:rPr>
          <w:rFonts w:ascii="Times New Roman" w:cs="Times New Roman" w:eastAsia="Times New Roman" w:hAnsi="Times New Roman"/>
          <w:sz w:val="24"/>
          <w:szCs w:val="24"/>
        </w:rPr>
        <w:t>is the practice of joining the currency market with the goal of balancing any losses caused by fluctuations in the exchange rate (</w:t>
      </w:r>
      <w:r>
        <w:rPr>
          <w:rFonts w:ascii="Times New Roman" w:cs="Times New Roman" w:eastAsia="Times New Roman" w:hAnsi="Times New Roman"/>
          <w:color w:val="222222"/>
          <w:sz w:val="24"/>
          <w:szCs w:val="24"/>
          <w:highlight w:val="white"/>
        </w:rPr>
        <w:t xml:space="preserve">Pettersen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xml:space="preserve">). Through </w:t>
      </w:r>
      <w:r>
        <w:rPr>
          <w:rFonts w:ascii="Times New Roman" w:cs="Times New Roman" w:eastAsia="Times New Roman" w:hAnsi="Times New Roman"/>
          <w:b/>
          <w:i/>
          <w:sz w:val="24"/>
          <w:szCs w:val="24"/>
        </w:rPr>
        <w:t>currency futures</w:t>
      </w:r>
      <w:r>
        <w:rPr>
          <w:rFonts w:ascii="Times New Roman" w:cs="Times New Roman" w:eastAsia="Times New Roman" w:hAnsi="Times New Roman"/>
          <w:sz w:val="24"/>
          <w:szCs w:val="24"/>
        </w:rPr>
        <w:t>, options, and forwards, they can reduce exchange rate volatility (</w:t>
      </w:r>
      <w:r>
        <w:rPr>
          <w:rFonts w:ascii="Times New Roman" w:cs="Times New Roman" w:eastAsia="Times New Roman" w:hAnsi="Times New Roman"/>
          <w:color w:val="222222"/>
          <w:sz w:val="24"/>
          <w:szCs w:val="24"/>
          <w:highlight w:val="white"/>
        </w:rPr>
        <w:t xml:space="preserve">Pickard and </w:t>
      </w:r>
      <w:r>
        <w:rPr>
          <w:rFonts w:ascii="Times New Roman" w:cs="Times New Roman" w:eastAsia="Times New Roman" w:hAnsi="Times New Roman"/>
          <w:color w:val="222222"/>
          <w:sz w:val="24"/>
          <w:szCs w:val="24"/>
          <w:highlight w:val="white"/>
        </w:rPr>
        <w:t>Lawryshyn</w:t>
      </w:r>
      <w:r>
        <w:rPr>
          <w:rFonts w:ascii="Times New Roman" w:cs="Times New Roman" w:eastAsia="Times New Roman" w:hAnsi="Times New Roman"/>
          <w:color w:val="222222"/>
          <w:sz w:val="24"/>
          <w:szCs w:val="24"/>
          <w:highlight w:val="white"/>
        </w:rPr>
        <w:t>, 2023</w:t>
      </w:r>
      <w:r>
        <w:rPr>
          <w:rFonts w:ascii="Times New Roman" w:cs="Times New Roman" w:eastAsia="Times New Roman" w:hAnsi="Times New Roman"/>
          <w:sz w:val="24"/>
          <w:szCs w:val="24"/>
        </w:rPr>
        <w:t>). The practice of modifying the values of accounts receivable and payable in different currencies is known as "</w:t>
      </w:r>
      <w:r>
        <w:rPr>
          <w:rFonts w:ascii="Times New Roman" w:cs="Times New Roman" w:eastAsia="Times New Roman" w:hAnsi="Times New Roman"/>
          <w:b/>
          <w:i/>
          <w:sz w:val="24"/>
          <w:szCs w:val="24"/>
        </w:rPr>
        <w:t>netting</w:t>
      </w:r>
      <w:r>
        <w:rPr>
          <w:rFonts w:ascii="Times New Roman" w:cs="Times New Roman" w:eastAsia="Times New Roman" w:hAnsi="Times New Roman"/>
          <w:sz w:val="24"/>
          <w:szCs w:val="24"/>
        </w:rPr>
        <w:t>" (</w:t>
      </w:r>
      <w:r>
        <w:rPr>
          <w:rFonts w:ascii="Times New Roman" w:cs="Times New Roman" w:eastAsia="Times New Roman" w:hAnsi="Times New Roman"/>
          <w:color w:val="222222"/>
          <w:sz w:val="24"/>
          <w:szCs w:val="24"/>
          <w:highlight w:val="white"/>
        </w:rPr>
        <w:t xml:space="preserve">Meier </w:t>
      </w:r>
      <w:r>
        <w:rPr>
          <w:rFonts w:ascii="Times New Roman" w:cs="Times New Roman" w:eastAsia="Times New Roman" w:hAnsi="Times New Roman"/>
          <w:i/>
          <w:color w:val="222222"/>
          <w:sz w:val="24"/>
          <w:szCs w:val="24"/>
          <w:highlight w:val="white"/>
        </w:rPr>
        <w:t>et al.</w:t>
      </w:r>
      <w:r>
        <w:rPr>
          <w:rFonts w:ascii="Times New Roman" w:cs="Times New Roman" w:eastAsia="Times New Roman" w:hAnsi="Times New Roman"/>
          <w:color w:val="222222"/>
          <w:sz w:val="24"/>
          <w:szCs w:val="24"/>
          <w:highlight w:val="white"/>
        </w:rPr>
        <w:t xml:space="preserve"> 2023</w:t>
      </w:r>
      <w:r>
        <w:rPr>
          <w:rFonts w:ascii="Times New Roman" w:cs="Times New Roman" w:eastAsia="Times New Roman" w:hAnsi="Times New Roman"/>
          <w:sz w:val="24"/>
          <w:szCs w:val="24"/>
        </w:rPr>
        <w:t xml:space="preserve">). All of </w:t>
      </w:r>
      <w:r>
        <w:rPr>
          <w:rFonts w:ascii="Times New Roman" w:cs="Times New Roman" w:eastAsia="Times New Roman" w:hAnsi="Times New Roman"/>
          <w:b/>
          <w:i/>
          <w:sz w:val="24"/>
          <w:szCs w:val="24"/>
        </w:rPr>
        <w:t>Unilever's</w:t>
      </w:r>
      <w:r>
        <w:rPr>
          <w:rFonts w:ascii="Times New Roman" w:cs="Times New Roman" w:eastAsia="Times New Roman" w:hAnsi="Times New Roman"/>
          <w:sz w:val="24"/>
          <w:szCs w:val="24"/>
        </w:rPr>
        <w:t xml:space="preserve"> activities around the world use a netting system to keep its payables and receivables in different currencies in balance (</w:t>
      </w:r>
      <w:r>
        <w:rPr>
          <w:rFonts w:ascii="Times New Roman" w:cs="Times New Roman" w:eastAsia="Times New Roman" w:hAnsi="Times New Roman"/>
          <w:color w:val="222222"/>
          <w:sz w:val="24"/>
          <w:szCs w:val="24"/>
          <w:highlight w:val="white"/>
        </w:rPr>
        <w:t>Unilever Annual Report, 2023</w:t>
      </w:r>
      <w:r>
        <w:rPr>
          <w:rFonts w:ascii="Times New Roman" w:cs="Times New Roman" w:eastAsia="Times New Roman" w:hAnsi="Times New Roman"/>
          <w:sz w:val="24"/>
          <w:szCs w:val="24"/>
        </w:rPr>
        <w:t xml:space="preserve">). By combining its foreign currency exposures, </w:t>
      </w:r>
      <w:r>
        <w:rPr>
          <w:rFonts w:ascii="Times New Roman" w:cs="Times New Roman" w:eastAsia="Times New Roman" w:hAnsi="Times New Roman"/>
          <w:b/>
          <w:i/>
          <w:sz w:val="24"/>
          <w:szCs w:val="24"/>
        </w:rPr>
        <w:t>Unilever</w:t>
      </w:r>
      <w:r>
        <w:rPr>
          <w:rFonts w:ascii="Times New Roman" w:cs="Times New Roman" w:eastAsia="Times New Roman" w:hAnsi="Times New Roman"/>
          <w:sz w:val="24"/>
          <w:szCs w:val="24"/>
        </w:rPr>
        <w:t xml:space="preserve"> can reduce transaction costs and the possibility of foreign currency fluctuations hurting its cash flows.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This helps to reduce the chance of default in addition to making sure a business has adequate cash on hand to run effectively. Organisations can take advantage of </w:t>
      </w:r>
      <w:r>
        <w:rPr>
          <w:rFonts w:ascii="Times New Roman" w:cs="Times New Roman" w:eastAsia="Times New Roman" w:hAnsi="Times New Roman"/>
          <w:b/>
          <w:i/>
          <w:sz w:val="24"/>
          <w:szCs w:val="24"/>
        </w:rPr>
        <w:t>natural hedges</w:t>
      </w:r>
      <w:r>
        <w:rPr>
          <w:rFonts w:ascii="Times New Roman" w:cs="Times New Roman" w:eastAsia="Times New Roman" w:hAnsi="Times New Roman"/>
          <w:sz w:val="24"/>
          <w:szCs w:val="24"/>
        </w:rPr>
        <w:t xml:space="preserve"> when their revenue and expenses are calculated in the same currency (</w:t>
      </w:r>
      <w:r>
        <w:rPr>
          <w:rFonts w:ascii="Times New Roman" w:cs="Times New Roman" w:eastAsia="Times New Roman" w:hAnsi="Times New Roman"/>
          <w:color w:val="222222"/>
          <w:sz w:val="24"/>
          <w:szCs w:val="24"/>
          <w:highlight w:val="white"/>
        </w:rPr>
        <w:t>Boubaker</w:t>
      </w:r>
      <w:r>
        <w:rPr>
          <w:rFonts w:ascii="Times New Roman" w:cs="Times New Roman" w:eastAsia="Times New Roman" w:hAnsi="Times New Roman"/>
          <w:color w:val="222222"/>
          <w:sz w:val="24"/>
          <w:szCs w:val="24"/>
          <w:highlight w:val="white"/>
        </w:rPr>
        <w:t xml:space="preserve"> and </w:t>
      </w:r>
      <w:r>
        <w:rPr>
          <w:rFonts w:ascii="Times New Roman" w:cs="Times New Roman" w:eastAsia="Times New Roman" w:hAnsi="Times New Roman"/>
          <w:color w:val="222222"/>
          <w:sz w:val="24"/>
          <w:szCs w:val="24"/>
          <w:highlight w:val="white"/>
        </w:rPr>
        <w:t>Zorgati</w:t>
      </w:r>
      <w:r>
        <w:rPr>
          <w:rFonts w:ascii="Times New Roman" w:cs="Times New Roman" w:eastAsia="Times New Roman" w:hAnsi="Times New Roman"/>
          <w:color w:val="222222"/>
          <w:sz w:val="24"/>
          <w:szCs w:val="24"/>
          <w:highlight w:val="white"/>
        </w:rPr>
        <w:t>, 2024</w:t>
      </w:r>
      <w:r>
        <w:rPr>
          <w:rFonts w:ascii="Times New Roman" w:cs="Times New Roman" w:eastAsia="Times New Roman" w:hAnsi="Times New Roman"/>
          <w:sz w:val="24"/>
          <w:szCs w:val="24"/>
        </w:rPr>
        <w:t xml:space="preserve">). For example, </w:t>
      </w:r>
      <w:r>
        <w:rPr>
          <w:rFonts w:ascii="Times New Roman" w:cs="Times New Roman" w:eastAsia="Times New Roman" w:hAnsi="Times New Roman"/>
          <w:b/>
          <w:i/>
          <w:sz w:val="24"/>
          <w:szCs w:val="24"/>
        </w:rPr>
        <w:t>Nestlé naturally hedges</w:t>
      </w:r>
      <w:r>
        <w:rPr>
          <w:rFonts w:ascii="Times New Roman" w:cs="Times New Roman" w:eastAsia="Times New Roman" w:hAnsi="Times New Roman"/>
          <w:sz w:val="24"/>
          <w:szCs w:val="24"/>
        </w:rPr>
        <w:t xml:space="preserve"> its risks by keeping its costs and income in the same currency (</w:t>
      </w:r>
      <w:r>
        <w:rPr>
          <w:rFonts w:ascii="Times New Roman" w:cs="Times New Roman" w:eastAsia="Times New Roman" w:hAnsi="Times New Roman"/>
          <w:color w:val="222222"/>
          <w:sz w:val="24"/>
          <w:szCs w:val="24"/>
          <w:highlight w:val="white"/>
        </w:rPr>
        <w:t>Nestle Financial statements, 2023</w:t>
      </w:r>
      <w:r>
        <w:rPr>
          <w:rFonts w:ascii="Times New Roman" w:cs="Times New Roman" w:eastAsia="Times New Roman" w:hAnsi="Times New Roman"/>
          <w:sz w:val="24"/>
          <w:szCs w:val="24"/>
        </w:rPr>
        <w:t>). Nestlé mitigates the risk associated with fluctuations in the Euro - Dollar exchange rate by receiving revenue in Euros from its European businesses and paying expenses in Euros.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 company is naturally hedged against fluctuations in the </w:t>
      </w:r>
      <w:r>
        <w:rPr>
          <w:rFonts w:ascii="Times New Roman" w:cs="Times New Roman" w:eastAsia="Times New Roman" w:hAnsi="Times New Roman"/>
          <w:b/>
          <w:i/>
          <w:sz w:val="24"/>
          <w:szCs w:val="24"/>
        </w:rPr>
        <w:t>Dollar Exchange Rate</w:t>
      </w:r>
      <w:r>
        <w:rPr>
          <w:rFonts w:ascii="Times New Roman" w:cs="Times New Roman" w:eastAsia="Times New Roman" w:hAnsi="Times New Roman"/>
          <w:sz w:val="24"/>
          <w:szCs w:val="24"/>
        </w:rPr>
        <w:t xml:space="preserve"> if it pays all of its bills and receives all of its profits in Euros (</w:t>
      </w:r>
      <w:r>
        <w:rPr>
          <w:rFonts w:ascii="Times New Roman" w:cs="Times New Roman" w:eastAsia="Times New Roman" w:hAnsi="Times New Roman"/>
          <w:color w:val="222222"/>
          <w:sz w:val="24"/>
          <w:szCs w:val="24"/>
          <w:highlight w:val="white"/>
        </w:rPr>
        <w:t>Kelkar, 2024</w:t>
      </w:r>
      <w:r>
        <w:rPr>
          <w:rFonts w:ascii="Times New Roman" w:cs="Times New Roman" w:eastAsia="Times New Roman" w:hAnsi="Times New Roman"/>
          <w:sz w:val="24"/>
          <w:szCs w:val="24"/>
        </w:rPr>
        <w:t xml:space="preserve">). By spreading their currency holdings out over multiple currencies, businesses can reduce their exposure to foreign exchange risk. </w:t>
      </w:r>
      <w:r>
        <w:rPr>
          <w:rFonts w:ascii="Times New Roman" w:cs="Times New Roman" w:eastAsia="Times New Roman" w:hAnsi="Times New Roman"/>
          <w:b/>
          <w:i/>
          <w:sz w:val="24"/>
          <w:szCs w:val="24"/>
        </w:rPr>
        <w:t>Currency Diversification</w:t>
      </w:r>
      <w:r>
        <w:rPr>
          <w:rFonts w:ascii="Times New Roman" w:cs="Times New Roman" w:eastAsia="Times New Roman" w:hAnsi="Times New Roman"/>
          <w:sz w:val="24"/>
          <w:szCs w:val="24"/>
        </w:rPr>
        <w:t xml:space="preserve"> and </w:t>
      </w:r>
      <w:r>
        <w:rPr>
          <w:rFonts w:ascii="Times New Roman" w:cs="Times New Roman" w:eastAsia="Times New Roman" w:hAnsi="Times New Roman"/>
          <w:b/>
          <w:i/>
          <w:sz w:val="24"/>
          <w:szCs w:val="24"/>
        </w:rPr>
        <w:t>currency fluctuations</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can not</w:t>
      </w:r>
      <w:r>
        <w:rPr>
          <w:rFonts w:ascii="Times New Roman" w:cs="Times New Roman" w:eastAsia="Times New Roman" w:hAnsi="Times New Roman"/>
          <w:sz w:val="24"/>
          <w:szCs w:val="24"/>
        </w:rPr>
        <w:t xml:space="preserve"> have as much of an impact as they otherwise would (</w:t>
      </w:r>
      <w:r>
        <w:rPr>
          <w:rFonts w:ascii="Times New Roman" w:cs="Times New Roman" w:eastAsia="Times New Roman" w:hAnsi="Times New Roman"/>
          <w:color w:val="222222"/>
          <w:sz w:val="24"/>
          <w:szCs w:val="24"/>
          <w:highlight w:val="white"/>
        </w:rPr>
        <w:t>Cottrell, 2023</w:t>
      </w:r>
      <w:r>
        <w:rPr>
          <w:rFonts w:ascii="Times New Roman" w:cs="Times New Roman" w:eastAsia="Times New Roman" w:hAnsi="Times New Roman"/>
          <w:sz w:val="24"/>
          <w:szCs w:val="24"/>
        </w:rPr>
        <w:t xml:space="preserve">). Businesses can mitigate their exposure to foreign </w:t>
      </w:r>
      <w:r>
        <w:rPr>
          <w:rFonts w:ascii="Times New Roman" w:cs="Times New Roman" w:eastAsia="Times New Roman" w:hAnsi="Times New Roman"/>
          <w:sz w:val="24"/>
          <w:szCs w:val="24"/>
        </w:rPr>
        <w:t>exchange change risk by keeping a close check on their financial flows. Alterations to their risk-mitigation strategies can also help them do this.</w:t>
      </w:r>
    </w:p>
    <w:bookmarkStart w:id="8" w:name="_uiez5ywzbm3l" w:colFirst="0" w:colLast="0"/>
    <w:bookmarkStart w:id="9" w:name="_Toc173005228"/>
    <w:bookmarkEnd w:id="8"/>
    <w:p>
      <w:pPr>
        <w:pStyle w:val="style1"/>
        <w:spacing w:before="0" w:after="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3. Conclusion</w:t>
      </w:r>
      <w:bookmarkEnd w:id="9"/>
      <w:r>
        <w:rPr>
          <w:rFonts w:ascii="Times New Roman" w:cs="Times New Roman" w:eastAsia="Times New Roman" w:hAnsi="Times New Roman"/>
          <w:b/>
          <w:sz w:val="24"/>
          <w:szCs w:val="24"/>
        </w:rP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conclusion, IFM is essential for managing financial resources globally and maximising shareholder value. When businesses use concepts like the International Fisher Effect and Purchasing Power Parity, they can better handle issues involving currency exchange and investments. Coca-Cola, Apple, Unilever, and Nestlé are just a few of the big companies that use netting, hedging, and currency diversity to lower their foreign exchange risk. These habits maintain financial stability and aid in the achievement of long-term strategy goals, even when the world economy changes. In international markets, it is essential to implement strong IFM strategies to maximise wealth and maintain operational efficiency.</w:t>
      </w:r>
    </w:p>
    <w:bookmarkStart w:id="10" w:name="_gv24wogy4bz5" w:colFirst="0" w:colLast="0"/>
    <w:bookmarkEnd w:id="10"/>
    <w:p>
      <w:pPr>
        <w:pStyle w:val="style0"/>
        <w:spacing w:lineRule="auto" w:line="360"/>
        <w:rPr>
          <w:rFonts w:ascii="Times New Roman" w:cs="Times New Roman" w:eastAsia="Times New Roman" w:hAnsi="Times New Roman"/>
          <w:b/>
          <w:sz w:val="24"/>
          <w:szCs w:val="24"/>
        </w:rPr>
      </w:pPr>
      <w:r>
        <w:rPr>
          <w:rFonts w:ascii="Times New Roman" w:cs="Times New Roman" w:eastAsia="Times New Roman" w:hAnsi="Times New Roman"/>
          <w:b/>
          <w:sz w:val="24"/>
          <w:szCs w:val="24"/>
        </w:rPr>
        <w:br w:type="page"/>
      </w:r>
    </w:p>
    <w:bookmarkStart w:id="11" w:name="_Toc173005229"/>
    <w:p>
      <w:pPr>
        <w:pStyle w:val="style1"/>
        <w:spacing w:before="0" w:after="0"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4. References</w:t>
      </w:r>
      <w:bookmarkEnd w:id="11"/>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Alami</w:t>
      </w:r>
      <w:r>
        <w:rPr>
          <w:rFonts w:ascii="Times New Roman" w:cs="Times New Roman" w:eastAsia="Times New Roman" w:hAnsi="Times New Roman"/>
          <w:color w:val="222222"/>
          <w:sz w:val="24"/>
          <w:szCs w:val="24"/>
          <w:highlight w:val="white"/>
        </w:rPr>
        <w:t xml:space="preserve">, I., Alves, C., </w:t>
      </w:r>
      <w:r>
        <w:rPr>
          <w:rFonts w:ascii="Times New Roman" w:cs="Times New Roman" w:eastAsia="Times New Roman" w:hAnsi="Times New Roman"/>
          <w:color w:val="222222"/>
          <w:sz w:val="24"/>
          <w:szCs w:val="24"/>
          <w:highlight w:val="white"/>
        </w:rPr>
        <w:t>Bonizzi</w:t>
      </w:r>
      <w:r>
        <w:rPr>
          <w:rFonts w:ascii="Times New Roman" w:cs="Times New Roman" w:eastAsia="Times New Roman" w:hAnsi="Times New Roman"/>
          <w:color w:val="222222"/>
          <w:sz w:val="24"/>
          <w:szCs w:val="24"/>
          <w:highlight w:val="white"/>
        </w:rPr>
        <w:t xml:space="preserve">, B., Kaltenbrunner, A., </w:t>
      </w:r>
      <w:r>
        <w:rPr>
          <w:rFonts w:ascii="Times New Roman" w:cs="Times New Roman" w:eastAsia="Times New Roman" w:hAnsi="Times New Roman"/>
          <w:color w:val="222222"/>
          <w:sz w:val="24"/>
          <w:szCs w:val="24"/>
          <w:highlight w:val="white"/>
        </w:rPr>
        <w:t>Koddenbrock</w:t>
      </w:r>
      <w:r>
        <w:rPr>
          <w:rFonts w:ascii="Times New Roman" w:cs="Times New Roman" w:eastAsia="Times New Roman" w:hAnsi="Times New Roman"/>
          <w:color w:val="222222"/>
          <w:sz w:val="24"/>
          <w:szCs w:val="24"/>
          <w:highlight w:val="white"/>
        </w:rPr>
        <w:t xml:space="preserve">, K., </w:t>
      </w:r>
      <w:r>
        <w:rPr>
          <w:rFonts w:ascii="Times New Roman" w:cs="Times New Roman" w:eastAsia="Times New Roman" w:hAnsi="Times New Roman"/>
          <w:color w:val="222222"/>
          <w:sz w:val="24"/>
          <w:szCs w:val="24"/>
          <w:highlight w:val="white"/>
        </w:rPr>
        <w:t>Kvangraven</w:t>
      </w:r>
      <w:r>
        <w:rPr>
          <w:rFonts w:ascii="Times New Roman" w:cs="Times New Roman" w:eastAsia="Times New Roman" w:hAnsi="Times New Roman"/>
          <w:color w:val="222222"/>
          <w:sz w:val="24"/>
          <w:szCs w:val="24"/>
          <w:highlight w:val="white"/>
        </w:rPr>
        <w:t xml:space="preserve">, I. and Powell, J., 2023. International financial subordination: a critical research agenda. </w:t>
      </w:r>
      <w:r>
        <w:rPr>
          <w:rFonts w:ascii="Times New Roman" w:cs="Times New Roman" w:eastAsia="Times New Roman" w:hAnsi="Times New Roman"/>
          <w:i/>
          <w:color w:val="222222"/>
          <w:sz w:val="24"/>
          <w:szCs w:val="24"/>
          <w:highlight w:val="white"/>
        </w:rPr>
        <w:t>Review of International Political Economy</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30</w:t>
      </w:r>
      <w:r>
        <w:rPr>
          <w:rFonts w:ascii="Times New Roman" w:cs="Times New Roman" w:eastAsia="Times New Roman" w:hAnsi="Times New Roman"/>
          <w:color w:val="222222"/>
          <w:sz w:val="24"/>
          <w:szCs w:val="24"/>
          <w:highlight w:val="white"/>
        </w:rPr>
        <w:t>(4), pp.1360-1386.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Anyona</w:t>
      </w:r>
      <w:r>
        <w:rPr>
          <w:rFonts w:ascii="Times New Roman" w:cs="Times New Roman" w:eastAsia="Times New Roman" w:hAnsi="Times New Roman"/>
          <w:color w:val="222222"/>
          <w:sz w:val="24"/>
          <w:szCs w:val="24"/>
          <w:highlight w:val="white"/>
        </w:rPr>
        <w:t xml:space="preserve">, A.O., </w:t>
      </w:r>
      <w:r>
        <w:rPr>
          <w:rFonts w:ascii="Times New Roman" w:cs="Times New Roman" w:eastAsia="Times New Roman" w:hAnsi="Times New Roman"/>
          <w:color w:val="222222"/>
          <w:sz w:val="24"/>
          <w:szCs w:val="24"/>
          <w:highlight w:val="white"/>
        </w:rPr>
        <w:t>Matanda</w:t>
      </w:r>
      <w:r>
        <w:rPr>
          <w:rFonts w:ascii="Times New Roman" w:cs="Times New Roman" w:eastAsia="Times New Roman" w:hAnsi="Times New Roman"/>
          <w:color w:val="222222"/>
          <w:sz w:val="24"/>
          <w:szCs w:val="24"/>
          <w:highlight w:val="white"/>
        </w:rPr>
        <w:t xml:space="preserve">, J. and Maina, K., 2023. Macroeconomic factors and financial performance of Kenya Tea Development Agency managed factories in Western Rift of Kenya. </w:t>
      </w:r>
      <w:r>
        <w:rPr>
          <w:rFonts w:ascii="Times New Roman" w:cs="Times New Roman" w:eastAsia="Times New Roman" w:hAnsi="Times New Roman"/>
          <w:i/>
          <w:color w:val="222222"/>
          <w:sz w:val="24"/>
          <w:szCs w:val="24"/>
          <w:highlight w:val="white"/>
        </w:rPr>
        <w:t>International Academic Journal of Economics and Finance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3</w:t>
      </w:r>
      <w:r>
        <w:rPr>
          <w:rFonts w:ascii="Times New Roman" w:cs="Times New Roman" w:eastAsia="Times New Roman" w:hAnsi="Times New Roman"/>
          <w:color w:val="222222"/>
          <w:sz w:val="24"/>
          <w:szCs w:val="24"/>
          <w:highlight w:val="white"/>
        </w:rPr>
        <w:t>(10), pp.199-236.</w:t>
      </w:r>
    </w:p>
    <w:p>
      <w:pPr>
        <w:pStyle w:val="style0"/>
        <w:spacing w:lineRule="auto" w:line="360"/>
        <w:rPr/>
      </w:pPr>
      <w:r>
        <w:rPr>
          <w:rFonts w:ascii="Times New Roman" w:cs="Times New Roman" w:eastAsia="Times New Roman" w:hAnsi="Times New Roman"/>
          <w:color w:val="222222"/>
          <w:sz w:val="24"/>
          <w:szCs w:val="24"/>
          <w:highlight w:val="white"/>
        </w:rPr>
        <w:t>Boubaker</w:t>
      </w:r>
      <w:r>
        <w:rPr>
          <w:rFonts w:ascii="Times New Roman" w:cs="Times New Roman" w:eastAsia="Times New Roman" w:hAnsi="Times New Roman"/>
          <w:color w:val="222222"/>
          <w:sz w:val="24"/>
          <w:szCs w:val="24"/>
          <w:highlight w:val="white"/>
        </w:rPr>
        <w:t xml:space="preserve">, H. and </w:t>
      </w:r>
      <w:r>
        <w:rPr>
          <w:rFonts w:ascii="Times New Roman" w:cs="Times New Roman" w:eastAsia="Times New Roman" w:hAnsi="Times New Roman"/>
          <w:color w:val="222222"/>
          <w:sz w:val="24"/>
          <w:szCs w:val="24"/>
          <w:highlight w:val="white"/>
        </w:rPr>
        <w:t>Zorgati</w:t>
      </w:r>
      <w:r>
        <w:rPr>
          <w:rFonts w:ascii="Times New Roman" w:cs="Times New Roman" w:eastAsia="Times New Roman" w:hAnsi="Times New Roman"/>
          <w:color w:val="222222"/>
          <w:sz w:val="24"/>
          <w:szCs w:val="24"/>
          <w:highlight w:val="white"/>
        </w:rPr>
        <w:t xml:space="preserve">, M.B.S., 2024. Hedging crude oil and currencies fluctuations. </w:t>
      </w:r>
      <w:r>
        <w:rPr>
          <w:rFonts w:ascii="Times New Roman" w:cs="Times New Roman" w:eastAsia="Times New Roman" w:hAnsi="Times New Roman"/>
          <w:i/>
          <w:color w:val="222222"/>
          <w:sz w:val="24"/>
          <w:szCs w:val="24"/>
          <w:highlight w:val="white"/>
        </w:rPr>
        <w:t>Journal of Infrastructure, Policy and Development</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8</w:t>
      </w:r>
      <w:r>
        <w:rPr>
          <w:rFonts w:ascii="Times New Roman" w:cs="Times New Roman" w:eastAsia="Times New Roman" w:hAnsi="Times New Roman"/>
          <w:color w:val="222222"/>
          <w:sz w:val="24"/>
          <w:szCs w:val="24"/>
          <w:highlight w:val="white"/>
        </w:rPr>
        <w:t>(5), p.4238.</w:t>
      </w:r>
      <w:r>
        <w:t xml:space="preserve"> </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Byusa</w:t>
      </w:r>
      <w:r>
        <w:rPr>
          <w:rFonts w:ascii="Times New Roman" w:cs="Times New Roman" w:eastAsia="Times New Roman" w:hAnsi="Times New Roman"/>
          <w:color w:val="222222"/>
          <w:sz w:val="24"/>
          <w:szCs w:val="24"/>
          <w:highlight w:val="white"/>
        </w:rPr>
        <w:t xml:space="preserve">, V., 2024. </w:t>
      </w:r>
      <w:r>
        <w:rPr>
          <w:rFonts w:ascii="Times New Roman" w:cs="Times New Roman" w:eastAsia="Times New Roman" w:hAnsi="Times New Roman"/>
          <w:i/>
          <w:color w:val="222222"/>
          <w:sz w:val="24"/>
          <w:szCs w:val="24"/>
          <w:highlight w:val="white"/>
        </w:rPr>
        <w:t>Money demand, real effective exchange rates, and uncertainty</w:t>
      </w:r>
      <w:r>
        <w:rPr>
          <w:rFonts w:ascii="Times New Roman" w:cs="Times New Roman" w:eastAsia="Times New Roman" w:hAnsi="Times New Roman"/>
          <w:color w:val="222222"/>
          <w:sz w:val="24"/>
          <w:szCs w:val="24"/>
          <w:highlight w:val="white"/>
        </w:rPr>
        <w:t xml:space="preserve"> (Doctoral dissertation, Jönköping University, Jönköping International Business School).</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Clark, G.L. and O’Neill, P., 2023. An economic and financial geography of the Australian superannuation industry. </w:t>
      </w:r>
      <w:r>
        <w:rPr>
          <w:rFonts w:ascii="Times New Roman" w:cs="Times New Roman" w:eastAsia="Times New Roman" w:hAnsi="Times New Roman"/>
          <w:i/>
          <w:color w:val="222222"/>
          <w:sz w:val="24"/>
          <w:szCs w:val="24"/>
          <w:highlight w:val="white"/>
        </w:rPr>
        <w:t>Geographical Research</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61</w:t>
      </w:r>
      <w:r>
        <w:rPr>
          <w:rFonts w:ascii="Times New Roman" w:cs="Times New Roman" w:eastAsia="Times New Roman" w:hAnsi="Times New Roman"/>
          <w:color w:val="222222"/>
          <w:sz w:val="24"/>
          <w:szCs w:val="24"/>
          <w:highlight w:val="white"/>
        </w:rPr>
        <w:t>(4), pp.443-457.</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Coca-Cola Company (2024) </w:t>
      </w:r>
      <w:r>
        <w:rPr>
          <w:rFonts w:ascii="Times New Roman" w:cs="Times New Roman" w:eastAsia="Times New Roman" w:hAnsi="Times New Roman"/>
          <w:i/>
          <w:color w:val="222222"/>
          <w:sz w:val="24"/>
          <w:szCs w:val="24"/>
          <w:highlight w:val="white"/>
        </w:rPr>
        <w:t>The Coca-Cola Company Quarterly Report pursuant to Section 13 or 15(d)</w:t>
      </w:r>
      <w:r>
        <w:rPr>
          <w:rFonts w:ascii="Times New Roman" w:cs="Times New Roman" w:eastAsia="Times New Roman" w:hAnsi="Times New Roman"/>
          <w:color w:val="222222"/>
          <w:sz w:val="24"/>
          <w:szCs w:val="24"/>
          <w:highlight w:val="white"/>
        </w:rPr>
        <w:t xml:space="preserve">. Available at: https://investors.coca-colacompany.com/filings-reports/all-sec-filings/xbrl_doc_only/2224 (Accessed: 18 July 2024). </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Cottrell, H.L., 2023. </w:t>
      </w:r>
      <w:r>
        <w:rPr>
          <w:rFonts w:ascii="Times New Roman" w:cs="Times New Roman" w:eastAsia="Times New Roman" w:hAnsi="Times New Roman"/>
          <w:i/>
          <w:color w:val="222222"/>
          <w:sz w:val="24"/>
          <w:szCs w:val="24"/>
          <w:highlight w:val="white"/>
        </w:rPr>
        <w:t>The horizon’s limits: becoming the global middle class in two UK international schools</w:t>
      </w:r>
      <w:r>
        <w:rPr>
          <w:rFonts w:ascii="Times New Roman" w:cs="Times New Roman" w:eastAsia="Times New Roman" w:hAnsi="Times New Roman"/>
          <w:color w:val="222222"/>
          <w:sz w:val="24"/>
          <w:szCs w:val="24"/>
          <w:highlight w:val="white"/>
        </w:rPr>
        <w:t xml:space="preserve"> (Doctoral dissertation, London School of Economics and Political Science).</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El Khoury, R., Nasrallah, N., </w:t>
      </w:r>
      <w:r>
        <w:rPr>
          <w:rFonts w:ascii="Times New Roman" w:cs="Times New Roman" w:eastAsia="Times New Roman" w:hAnsi="Times New Roman"/>
          <w:color w:val="222222"/>
          <w:sz w:val="24"/>
          <w:szCs w:val="24"/>
          <w:highlight w:val="white"/>
        </w:rPr>
        <w:t>Hussainey</w:t>
      </w:r>
      <w:r>
        <w:rPr>
          <w:rFonts w:ascii="Times New Roman" w:cs="Times New Roman" w:eastAsia="Times New Roman" w:hAnsi="Times New Roman"/>
          <w:color w:val="222222"/>
          <w:sz w:val="24"/>
          <w:szCs w:val="24"/>
          <w:highlight w:val="white"/>
        </w:rPr>
        <w:t xml:space="preserve">, K. and Assaf, R., 2023. Spillover analysis across FinTech, ESG, and renewable energy indices before and during the Russia–Ukraine war: International evidence. </w:t>
      </w:r>
      <w:r>
        <w:rPr>
          <w:rFonts w:ascii="Times New Roman" w:cs="Times New Roman" w:eastAsia="Times New Roman" w:hAnsi="Times New Roman"/>
          <w:i/>
          <w:color w:val="222222"/>
          <w:sz w:val="24"/>
          <w:szCs w:val="24"/>
          <w:highlight w:val="white"/>
        </w:rPr>
        <w:t>Journal of International Financial Management &amp; Accounting</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34</w:t>
      </w:r>
      <w:r>
        <w:rPr>
          <w:rFonts w:ascii="Times New Roman" w:cs="Times New Roman" w:eastAsia="Times New Roman" w:hAnsi="Times New Roman"/>
          <w:color w:val="222222"/>
          <w:sz w:val="24"/>
          <w:szCs w:val="24"/>
          <w:highlight w:val="white"/>
        </w:rPr>
        <w:t>(2), pp.279-317.</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Haji, M., </w:t>
      </w:r>
      <w:r>
        <w:rPr>
          <w:rFonts w:ascii="Times New Roman" w:cs="Times New Roman" w:eastAsia="Times New Roman" w:hAnsi="Times New Roman"/>
          <w:color w:val="222222"/>
          <w:sz w:val="24"/>
          <w:szCs w:val="24"/>
          <w:highlight w:val="white"/>
        </w:rPr>
        <w:t>Kerbache</w:t>
      </w:r>
      <w:r>
        <w:rPr>
          <w:rFonts w:ascii="Times New Roman" w:cs="Times New Roman" w:eastAsia="Times New Roman" w:hAnsi="Times New Roman"/>
          <w:color w:val="222222"/>
          <w:sz w:val="24"/>
          <w:szCs w:val="24"/>
          <w:highlight w:val="white"/>
        </w:rPr>
        <w:t xml:space="preserve">, L. and Al-Ansari, T., 2023. Development of Risk Management Mitigation Plans for the Infant Formula Milk Supply Chain Using an AHP Model. </w:t>
      </w:r>
      <w:r>
        <w:rPr>
          <w:rFonts w:ascii="Times New Roman" w:cs="Times New Roman" w:eastAsia="Times New Roman" w:hAnsi="Times New Roman"/>
          <w:i/>
          <w:color w:val="222222"/>
          <w:sz w:val="24"/>
          <w:szCs w:val="24"/>
          <w:highlight w:val="white"/>
        </w:rPr>
        <w:t>Applied Sciences</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13</w:t>
      </w:r>
      <w:r>
        <w:rPr>
          <w:rFonts w:ascii="Times New Roman" w:cs="Times New Roman" w:eastAsia="Times New Roman" w:hAnsi="Times New Roman"/>
          <w:color w:val="222222"/>
          <w:sz w:val="24"/>
          <w:szCs w:val="24"/>
          <w:highlight w:val="white"/>
        </w:rPr>
        <w:t>(13), p.7686.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Haya, B.K., Evans, S., Brown, L., </w:t>
      </w:r>
      <w:r>
        <w:rPr>
          <w:rFonts w:ascii="Times New Roman" w:cs="Times New Roman" w:eastAsia="Times New Roman" w:hAnsi="Times New Roman"/>
          <w:color w:val="222222"/>
          <w:sz w:val="24"/>
          <w:szCs w:val="24"/>
          <w:highlight w:val="white"/>
        </w:rPr>
        <w:t>Bukoski</w:t>
      </w:r>
      <w:r>
        <w:rPr>
          <w:rFonts w:ascii="Times New Roman" w:cs="Times New Roman" w:eastAsia="Times New Roman" w:hAnsi="Times New Roman"/>
          <w:color w:val="222222"/>
          <w:sz w:val="24"/>
          <w:szCs w:val="24"/>
          <w:highlight w:val="white"/>
        </w:rPr>
        <w:t xml:space="preserve">, J., </w:t>
      </w:r>
      <w:r>
        <w:rPr>
          <w:rFonts w:ascii="Times New Roman" w:cs="Times New Roman" w:eastAsia="Times New Roman" w:hAnsi="Times New Roman"/>
          <w:color w:val="222222"/>
          <w:sz w:val="24"/>
          <w:szCs w:val="24"/>
          <w:highlight w:val="white"/>
        </w:rPr>
        <w:t>Butsic</w:t>
      </w:r>
      <w:r>
        <w:rPr>
          <w:rFonts w:ascii="Times New Roman" w:cs="Times New Roman" w:eastAsia="Times New Roman" w:hAnsi="Times New Roman"/>
          <w:color w:val="222222"/>
          <w:sz w:val="24"/>
          <w:szCs w:val="24"/>
          <w:highlight w:val="white"/>
        </w:rPr>
        <w:t xml:space="preserve">, V., </w:t>
      </w:r>
      <w:r>
        <w:rPr>
          <w:rFonts w:ascii="Times New Roman" w:cs="Times New Roman" w:eastAsia="Times New Roman" w:hAnsi="Times New Roman"/>
          <w:color w:val="222222"/>
          <w:sz w:val="24"/>
          <w:szCs w:val="24"/>
          <w:highlight w:val="white"/>
        </w:rPr>
        <w:t>Cabiyo</w:t>
      </w:r>
      <w:r>
        <w:rPr>
          <w:rFonts w:ascii="Times New Roman" w:cs="Times New Roman" w:eastAsia="Times New Roman" w:hAnsi="Times New Roman"/>
          <w:color w:val="222222"/>
          <w:sz w:val="24"/>
          <w:szCs w:val="24"/>
          <w:highlight w:val="white"/>
        </w:rPr>
        <w:t xml:space="preserve">, B., Jacobson, R., Kerr, A., Potts, M. and Sanchez, D.L., 2023. Comprehensive review of carbon quantification by improved forest management offset protocols. </w:t>
      </w:r>
      <w:r>
        <w:rPr>
          <w:rFonts w:ascii="Times New Roman" w:cs="Times New Roman" w:eastAsia="Times New Roman" w:hAnsi="Times New Roman"/>
          <w:i/>
          <w:color w:val="222222"/>
          <w:sz w:val="24"/>
          <w:szCs w:val="24"/>
          <w:highlight w:val="white"/>
        </w:rPr>
        <w:t>Frontiers in Forests and Global Change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6</w:t>
      </w:r>
      <w:r>
        <w:rPr>
          <w:rFonts w:ascii="Times New Roman" w:cs="Times New Roman" w:eastAsia="Times New Roman" w:hAnsi="Times New Roman"/>
          <w:color w:val="222222"/>
          <w:sz w:val="24"/>
          <w:szCs w:val="24"/>
          <w:highlight w:val="white"/>
        </w:rPr>
        <w:t>, p.958879.</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Igatanyi</w:t>
      </w:r>
      <w:r>
        <w:rPr>
          <w:rFonts w:ascii="Times New Roman" w:cs="Times New Roman" w:eastAsia="Times New Roman" w:hAnsi="Times New Roman"/>
          <w:color w:val="222222"/>
          <w:sz w:val="24"/>
          <w:szCs w:val="24"/>
          <w:highlight w:val="white"/>
        </w:rPr>
        <w:t xml:space="preserve">, G.L., 2023. </w:t>
      </w:r>
      <w:r>
        <w:rPr>
          <w:rFonts w:ascii="Times New Roman" w:cs="Times New Roman" w:eastAsia="Times New Roman" w:hAnsi="Times New Roman"/>
          <w:i/>
          <w:color w:val="222222"/>
          <w:sz w:val="24"/>
          <w:szCs w:val="24"/>
          <w:highlight w:val="white"/>
        </w:rPr>
        <w:t>Effect of Foreign Exchange Rate Risk on Financial Performance of Listed Firms at the Nairobi Securities Exchange, Kenya</w:t>
      </w:r>
      <w:r>
        <w:rPr>
          <w:rFonts w:ascii="Times New Roman" w:cs="Times New Roman" w:eastAsia="Times New Roman" w:hAnsi="Times New Roman"/>
          <w:color w:val="222222"/>
          <w:sz w:val="24"/>
          <w:szCs w:val="24"/>
          <w:highlight w:val="white"/>
        </w:rPr>
        <w:t xml:space="preserve"> (Doctoral dissertation, University of Nairobi).</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Kelkar, G. (2024) </w:t>
      </w:r>
      <w:r>
        <w:rPr>
          <w:rFonts w:ascii="Times New Roman" w:cs="Times New Roman" w:eastAsia="Times New Roman" w:hAnsi="Times New Roman"/>
          <w:i/>
          <w:color w:val="222222"/>
          <w:sz w:val="24"/>
          <w:szCs w:val="24"/>
          <w:highlight w:val="white"/>
        </w:rPr>
        <w:t>Master International Financial Management for success in a global economy</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Emeritus Online Courses</w:t>
      </w:r>
      <w:r>
        <w:rPr>
          <w:rFonts w:ascii="Times New Roman" w:cs="Times New Roman" w:eastAsia="Times New Roman" w:hAnsi="Times New Roman"/>
          <w:color w:val="222222"/>
          <w:sz w:val="24"/>
          <w:szCs w:val="24"/>
          <w:highlight w:val="white"/>
        </w:rPr>
        <w:t xml:space="preserve">. Available at: https://emeritus.org/blog/finance-international-financial-management/ (Accessed: 17 July 2024). </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Luyali</w:t>
      </w:r>
      <w:r>
        <w:rPr>
          <w:rFonts w:ascii="Times New Roman" w:cs="Times New Roman" w:eastAsia="Times New Roman" w:hAnsi="Times New Roman"/>
          <w:color w:val="222222"/>
          <w:sz w:val="24"/>
          <w:szCs w:val="24"/>
          <w:highlight w:val="white"/>
        </w:rPr>
        <w:t xml:space="preserve">, N.C., 2024. </w:t>
      </w:r>
      <w:r>
        <w:rPr>
          <w:rFonts w:ascii="Times New Roman" w:cs="Times New Roman" w:eastAsia="Times New Roman" w:hAnsi="Times New Roman"/>
          <w:i/>
          <w:color w:val="222222"/>
          <w:sz w:val="24"/>
          <w:szCs w:val="24"/>
          <w:highlight w:val="white"/>
        </w:rPr>
        <w:t>Macroeconomic Factors and Mortgage Growth Financing by Commercial Banks in Kenya</w:t>
      </w:r>
      <w:r>
        <w:rPr>
          <w:rFonts w:ascii="Times New Roman" w:cs="Times New Roman" w:eastAsia="Times New Roman" w:hAnsi="Times New Roman"/>
          <w:color w:val="222222"/>
          <w:sz w:val="24"/>
          <w:szCs w:val="24"/>
          <w:highlight w:val="white"/>
        </w:rPr>
        <w:t xml:space="preserve"> (Doctoral dissertation).</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Mbzibain</w:t>
      </w:r>
      <w:r>
        <w:rPr>
          <w:rFonts w:ascii="Times New Roman" w:cs="Times New Roman" w:eastAsia="Times New Roman" w:hAnsi="Times New Roman"/>
          <w:color w:val="222222"/>
          <w:sz w:val="24"/>
          <w:szCs w:val="24"/>
          <w:highlight w:val="white"/>
        </w:rPr>
        <w:t xml:space="preserve">, A., </w:t>
      </w:r>
      <w:r>
        <w:rPr>
          <w:rFonts w:ascii="Times New Roman" w:cs="Times New Roman" w:eastAsia="Times New Roman" w:hAnsi="Times New Roman"/>
          <w:color w:val="222222"/>
          <w:sz w:val="24"/>
          <w:szCs w:val="24"/>
          <w:highlight w:val="white"/>
        </w:rPr>
        <w:t>Niyrenda</w:t>
      </w:r>
      <w:r>
        <w:rPr>
          <w:rFonts w:ascii="Times New Roman" w:cs="Times New Roman" w:eastAsia="Times New Roman" w:hAnsi="Times New Roman"/>
          <w:color w:val="222222"/>
          <w:sz w:val="24"/>
          <w:szCs w:val="24"/>
          <w:highlight w:val="white"/>
        </w:rPr>
        <w:t xml:space="preserve">, R., Soh, L.W. and </w:t>
      </w:r>
      <w:r>
        <w:rPr>
          <w:rFonts w:ascii="Times New Roman" w:cs="Times New Roman" w:eastAsia="Times New Roman" w:hAnsi="Times New Roman"/>
          <w:color w:val="222222"/>
          <w:sz w:val="24"/>
          <w:szCs w:val="24"/>
          <w:highlight w:val="white"/>
        </w:rPr>
        <w:t>Djiegni</w:t>
      </w:r>
      <w:r>
        <w:rPr>
          <w:rFonts w:ascii="Times New Roman" w:cs="Times New Roman" w:eastAsia="Times New Roman" w:hAnsi="Times New Roman"/>
          <w:color w:val="222222"/>
          <w:sz w:val="24"/>
          <w:szCs w:val="24"/>
          <w:highlight w:val="white"/>
        </w:rPr>
        <w:t xml:space="preserve">, F.K., 2023. </w:t>
      </w:r>
      <w:r>
        <w:rPr>
          <w:rFonts w:ascii="Times New Roman" w:cs="Times New Roman" w:eastAsia="Times New Roman" w:hAnsi="Times New Roman"/>
          <w:color w:val="222222"/>
          <w:sz w:val="24"/>
          <w:szCs w:val="24"/>
          <w:highlight w:val="white"/>
        </w:rPr>
        <w:t>Govering</w:t>
      </w:r>
      <w:r>
        <w:rPr>
          <w:rFonts w:ascii="Times New Roman" w:cs="Times New Roman" w:eastAsia="Times New Roman" w:hAnsi="Times New Roman"/>
          <w:color w:val="222222"/>
          <w:sz w:val="24"/>
          <w:szCs w:val="24"/>
          <w:highlight w:val="white"/>
        </w:rPr>
        <w:t xml:space="preserve"> independent monitoring: from theory to practice. In </w:t>
      </w:r>
      <w:r>
        <w:rPr>
          <w:rFonts w:ascii="Times New Roman" w:cs="Times New Roman" w:eastAsia="Times New Roman" w:hAnsi="Times New Roman"/>
          <w:i/>
          <w:color w:val="222222"/>
          <w:sz w:val="24"/>
          <w:szCs w:val="24"/>
          <w:highlight w:val="white"/>
        </w:rPr>
        <w:t>Power dynamics in African forests: The politics of sustainability</w:t>
      </w:r>
      <w:r>
        <w:rPr>
          <w:rFonts w:ascii="Times New Roman" w:cs="Times New Roman" w:eastAsia="Times New Roman" w:hAnsi="Times New Roman"/>
          <w:color w:val="222222"/>
          <w:sz w:val="24"/>
          <w:szCs w:val="24"/>
          <w:highlight w:val="white"/>
        </w:rPr>
        <w:t xml:space="preserve"> (pp. 109-131). Routledge, Taylor &amp; Francis.</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Meier, H.B., </w:t>
      </w:r>
      <w:r>
        <w:rPr>
          <w:rFonts w:ascii="Times New Roman" w:cs="Times New Roman" w:eastAsia="Times New Roman" w:hAnsi="Times New Roman"/>
          <w:color w:val="222222"/>
          <w:sz w:val="24"/>
          <w:szCs w:val="24"/>
          <w:highlight w:val="white"/>
        </w:rPr>
        <w:t>Marthinsen</w:t>
      </w:r>
      <w:r>
        <w:rPr>
          <w:rFonts w:ascii="Times New Roman" w:cs="Times New Roman" w:eastAsia="Times New Roman" w:hAnsi="Times New Roman"/>
          <w:color w:val="222222"/>
          <w:sz w:val="24"/>
          <w:szCs w:val="24"/>
          <w:highlight w:val="white"/>
        </w:rPr>
        <w:t xml:space="preserve">, J.E., </w:t>
      </w:r>
      <w:r>
        <w:rPr>
          <w:rFonts w:ascii="Times New Roman" w:cs="Times New Roman" w:eastAsia="Times New Roman" w:hAnsi="Times New Roman"/>
          <w:color w:val="222222"/>
          <w:sz w:val="24"/>
          <w:szCs w:val="24"/>
          <w:highlight w:val="white"/>
        </w:rPr>
        <w:t>Gantenbein</w:t>
      </w:r>
      <w:r>
        <w:rPr>
          <w:rFonts w:ascii="Times New Roman" w:cs="Times New Roman" w:eastAsia="Times New Roman" w:hAnsi="Times New Roman"/>
          <w:color w:val="222222"/>
          <w:sz w:val="24"/>
          <w:szCs w:val="24"/>
          <w:highlight w:val="white"/>
        </w:rPr>
        <w:t xml:space="preserve">, P.A. and Weber, S.S., 2023. Swiss Derivative Markets. In </w:t>
      </w:r>
      <w:r>
        <w:rPr>
          <w:rFonts w:ascii="Times New Roman" w:cs="Times New Roman" w:eastAsia="Times New Roman" w:hAnsi="Times New Roman"/>
          <w:i/>
          <w:color w:val="222222"/>
          <w:sz w:val="24"/>
          <w:szCs w:val="24"/>
          <w:highlight w:val="white"/>
        </w:rPr>
        <w:t>Swiss Finance: Banking, Finance, and Digitalization</w:t>
      </w:r>
      <w:r>
        <w:rPr>
          <w:rFonts w:ascii="Times New Roman" w:cs="Times New Roman" w:eastAsia="Times New Roman" w:hAnsi="Times New Roman"/>
          <w:color w:val="222222"/>
          <w:sz w:val="24"/>
          <w:szCs w:val="24"/>
          <w:highlight w:val="white"/>
        </w:rPr>
        <w:t xml:space="preserve"> (pp. 501-526). Cham: Springer International Publishing.</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Munandar</w:t>
      </w:r>
      <w:r>
        <w:rPr>
          <w:rFonts w:ascii="Times New Roman" w:cs="Times New Roman" w:eastAsia="Times New Roman" w:hAnsi="Times New Roman"/>
          <w:color w:val="222222"/>
          <w:sz w:val="24"/>
          <w:szCs w:val="24"/>
          <w:highlight w:val="white"/>
        </w:rPr>
        <w:t xml:space="preserve">, A., Fatimah, S., </w:t>
      </w:r>
      <w:r>
        <w:rPr>
          <w:rFonts w:ascii="Times New Roman" w:cs="Times New Roman" w:eastAsia="Times New Roman" w:hAnsi="Times New Roman"/>
          <w:color w:val="222222"/>
          <w:sz w:val="24"/>
          <w:szCs w:val="24"/>
          <w:highlight w:val="white"/>
        </w:rPr>
        <w:t>Cakranegara</w:t>
      </w:r>
      <w:r>
        <w:rPr>
          <w:rFonts w:ascii="Times New Roman" w:cs="Times New Roman" w:eastAsia="Times New Roman" w:hAnsi="Times New Roman"/>
          <w:color w:val="222222"/>
          <w:sz w:val="24"/>
          <w:szCs w:val="24"/>
          <w:highlight w:val="white"/>
        </w:rPr>
        <w:t xml:space="preserve">, P.A., </w:t>
      </w:r>
      <w:r>
        <w:rPr>
          <w:rFonts w:ascii="Times New Roman" w:cs="Times New Roman" w:eastAsia="Times New Roman" w:hAnsi="Times New Roman"/>
          <w:color w:val="222222"/>
          <w:sz w:val="24"/>
          <w:szCs w:val="24"/>
          <w:highlight w:val="white"/>
        </w:rPr>
        <w:t>Kunda</w:t>
      </w:r>
      <w:r>
        <w:rPr>
          <w:rFonts w:ascii="Times New Roman" w:cs="Times New Roman" w:eastAsia="Times New Roman" w:hAnsi="Times New Roman"/>
          <w:color w:val="222222"/>
          <w:sz w:val="24"/>
          <w:szCs w:val="24"/>
          <w:highlight w:val="white"/>
        </w:rPr>
        <w:t xml:space="preserve">, A. and Putri, P.A.N., 2023. EXAMINING THE IMPACT MANAGERIAL OWNERSHIP AND FINANCIAL PERFORMANCE ON DIVIDEND POLICY. </w:t>
      </w:r>
      <w:r>
        <w:rPr>
          <w:rFonts w:ascii="Times New Roman" w:cs="Times New Roman" w:eastAsia="Times New Roman" w:hAnsi="Times New Roman"/>
          <w:i/>
          <w:color w:val="222222"/>
          <w:sz w:val="24"/>
          <w:szCs w:val="24"/>
          <w:highlight w:val="white"/>
        </w:rPr>
        <w:t>Jurnal</w:t>
      </w:r>
      <w:r>
        <w:rPr>
          <w:rFonts w:ascii="Times New Roman" w:cs="Times New Roman" w:eastAsia="Times New Roman" w:hAnsi="Times New Roman"/>
          <w:i/>
          <w:color w:val="222222"/>
          <w:sz w:val="24"/>
          <w:szCs w:val="24"/>
          <w:highlight w:val="white"/>
        </w:rPr>
        <w:t xml:space="preserve"> Ekonomi</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12</w:t>
      </w:r>
      <w:r>
        <w:rPr>
          <w:rFonts w:ascii="Times New Roman" w:cs="Times New Roman" w:eastAsia="Times New Roman" w:hAnsi="Times New Roman"/>
          <w:color w:val="222222"/>
          <w:sz w:val="24"/>
          <w:szCs w:val="24"/>
          <w:highlight w:val="white"/>
        </w:rPr>
        <w:t>(01), pp.66-70.</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Nestle Financial statements (2023) </w:t>
      </w:r>
      <w:r>
        <w:rPr>
          <w:rFonts w:ascii="Times New Roman" w:cs="Times New Roman" w:eastAsia="Times New Roman" w:hAnsi="Times New Roman"/>
          <w:i/>
          <w:color w:val="222222"/>
          <w:sz w:val="24"/>
          <w:szCs w:val="24"/>
          <w:highlight w:val="white"/>
        </w:rPr>
        <w:t>Financial statements 2023</w:t>
      </w:r>
      <w:r>
        <w:rPr>
          <w:rFonts w:ascii="Times New Roman" w:cs="Times New Roman" w:eastAsia="Times New Roman" w:hAnsi="Times New Roman"/>
          <w:color w:val="222222"/>
          <w:sz w:val="24"/>
          <w:szCs w:val="24"/>
          <w:highlight w:val="white"/>
        </w:rPr>
        <w:t xml:space="preserve">. Available at: https://www.nestle.com/sites/default/files/2024-02/2023-financial-statements-en.pdf (Accessed: 21 July 2024). </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Ntembo</w:t>
      </w:r>
      <w:r>
        <w:rPr>
          <w:rFonts w:ascii="Times New Roman" w:cs="Times New Roman" w:eastAsia="Times New Roman" w:hAnsi="Times New Roman"/>
          <w:color w:val="222222"/>
          <w:sz w:val="24"/>
          <w:szCs w:val="24"/>
          <w:highlight w:val="white"/>
        </w:rPr>
        <w:t xml:space="preserve">, F.N. and Casmir, R., 2023. The Driving Forces for the Involvement of Higher Learning Institution’s Students in Cybercrime Acts. A Case of Selected Higher Learning Institutions in Tanzania. </w:t>
      </w:r>
      <w:r>
        <w:rPr>
          <w:rFonts w:ascii="Times New Roman" w:cs="Times New Roman" w:eastAsia="Times New Roman" w:hAnsi="Times New Roman"/>
          <w:i/>
          <w:color w:val="222222"/>
          <w:sz w:val="24"/>
          <w:szCs w:val="24"/>
          <w:highlight w:val="white"/>
        </w:rPr>
        <w:t>European Journal of Theoretical and Applied Sciences</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w:t>
      </w:r>
      <w:r>
        <w:rPr>
          <w:rFonts w:ascii="Times New Roman" w:cs="Times New Roman" w:eastAsia="Times New Roman" w:hAnsi="Times New Roman"/>
          <w:color w:val="222222"/>
          <w:sz w:val="24"/>
          <w:szCs w:val="24"/>
          <w:highlight w:val="white"/>
        </w:rPr>
        <w:t>(4), pp.911-922.</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Pagnottoni</w:t>
      </w:r>
      <w:r>
        <w:rPr>
          <w:rFonts w:ascii="Times New Roman" w:cs="Times New Roman" w:eastAsia="Times New Roman" w:hAnsi="Times New Roman"/>
          <w:color w:val="222222"/>
          <w:sz w:val="24"/>
          <w:szCs w:val="24"/>
          <w:highlight w:val="white"/>
        </w:rPr>
        <w:t xml:space="preserve">, P. and </w:t>
      </w:r>
      <w:r>
        <w:rPr>
          <w:rFonts w:ascii="Times New Roman" w:cs="Times New Roman" w:eastAsia="Times New Roman" w:hAnsi="Times New Roman"/>
          <w:color w:val="222222"/>
          <w:sz w:val="24"/>
          <w:szCs w:val="24"/>
          <w:highlight w:val="white"/>
        </w:rPr>
        <w:t>Spelta</w:t>
      </w:r>
      <w:r>
        <w:rPr>
          <w:rFonts w:ascii="Times New Roman" w:cs="Times New Roman" w:eastAsia="Times New Roman" w:hAnsi="Times New Roman"/>
          <w:color w:val="222222"/>
          <w:sz w:val="24"/>
          <w:szCs w:val="24"/>
          <w:highlight w:val="white"/>
        </w:rPr>
        <w:t xml:space="preserve">, A., 2024. Hedging global currency risk: A dynamic machine learning approach. </w:t>
      </w:r>
      <w:r>
        <w:rPr>
          <w:rFonts w:ascii="Times New Roman" w:cs="Times New Roman" w:eastAsia="Times New Roman" w:hAnsi="Times New Roman"/>
          <w:i/>
          <w:color w:val="222222"/>
          <w:sz w:val="24"/>
          <w:szCs w:val="24"/>
          <w:highlight w:val="white"/>
        </w:rPr>
        <w:t>Physica</w:t>
      </w:r>
      <w:r>
        <w:rPr>
          <w:rFonts w:ascii="Times New Roman" w:cs="Times New Roman" w:eastAsia="Times New Roman" w:hAnsi="Times New Roman"/>
          <w:i/>
          <w:color w:val="222222"/>
          <w:sz w:val="24"/>
          <w:szCs w:val="24"/>
          <w:highlight w:val="white"/>
        </w:rPr>
        <w:t xml:space="preserve"> A: Statistical Mechanics and its Applications</w:t>
      </w:r>
      <w:r>
        <w:rPr>
          <w:rFonts w:ascii="Times New Roman" w:cs="Times New Roman" w:eastAsia="Times New Roman" w:hAnsi="Times New Roman"/>
          <w:color w:val="222222"/>
          <w:sz w:val="24"/>
          <w:szCs w:val="24"/>
          <w:highlight w:val="white"/>
        </w:rPr>
        <w:t>, p.129948.</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Pettersen, I.B., </w:t>
      </w:r>
      <w:r>
        <w:rPr>
          <w:rFonts w:ascii="Times New Roman" w:cs="Times New Roman" w:eastAsia="Times New Roman" w:hAnsi="Times New Roman"/>
          <w:color w:val="222222"/>
          <w:sz w:val="24"/>
          <w:szCs w:val="24"/>
          <w:highlight w:val="white"/>
        </w:rPr>
        <w:t>Kubberød</w:t>
      </w:r>
      <w:r>
        <w:rPr>
          <w:rFonts w:ascii="Times New Roman" w:cs="Times New Roman" w:eastAsia="Times New Roman" w:hAnsi="Times New Roman"/>
          <w:color w:val="222222"/>
          <w:sz w:val="24"/>
          <w:szCs w:val="24"/>
          <w:highlight w:val="white"/>
        </w:rPr>
        <w:t xml:space="preserve">, E., Van der </w:t>
      </w:r>
      <w:r>
        <w:rPr>
          <w:rFonts w:ascii="Times New Roman" w:cs="Times New Roman" w:eastAsia="Times New Roman" w:hAnsi="Times New Roman"/>
          <w:color w:val="222222"/>
          <w:sz w:val="24"/>
          <w:szCs w:val="24"/>
          <w:highlight w:val="white"/>
        </w:rPr>
        <w:t>Lingen</w:t>
      </w:r>
      <w:r>
        <w:rPr>
          <w:rFonts w:ascii="Times New Roman" w:cs="Times New Roman" w:eastAsia="Times New Roman" w:hAnsi="Times New Roman"/>
          <w:color w:val="222222"/>
          <w:sz w:val="24"/>
          <w:szCs w:val="24"/>
          <w:highlight w:val="white"/>
        </w:rPr>
        <w:t xml:space="preserve">, E. and Neethling, A.C., 2023. Students' entrepreneurial learning through an internship abroad: A cross-cultural experience. </w:t>
      </w:r>
      <w:r>
        <w:rPr>
          <w:rFonts w:ascii="Times New Roman" w:cs="Times New Roman" w:eastAsia="Times New Roman" w:hAnsi="Times New Roman"/>
          <w:i/>
          <w:color w:val="222222"/>
          <w:sz w:val="24"/>
          <w:szCs w:val="24"/>
          <w:highlight w:val="white"/>
        </w:rPr>
        <w:t>Southern African Journal of Entrepreneurship and Small Business Management</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15</w:t>
      </w:r>
      <w:r>
        <w:rPr>
          <w:rFonts w:ascii="Times New Roman" w:cs="Times New Roman" w:eastAsia="Times New Roman" w:hAnsi="Times New Roman"/>
          <w:color w:val="222222"/>
          <w:sz w:val="24"/>
          <w:szCs w:val="24"/>
          <w:highlight w:val="white"/>
        </w:rPr>
        <w:t>(1), pp.1-11.</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Pickard, R. and </w:t>
      </w:r>
      <w:r>
        <w:rPr>
          <w:rFonts w:ascii="Times New Roman" w:cs="Times New Roman" w:eastAsia="Times New Roman" w:hAnsi="Times New Roman"/>
          <w:color w:val="222222"/>
          <w:sz w:val="24"/>
          <w:szCs w:val="24"/>
          <w:highlight w:val="white"/>
        </w:rPr>
        <w:t>Lawryshyn</w:t>
      </w:r>
      <w:r>
        <w:rPr>
          <w:rFonts w:ascii="Times New Roman" w:cs="Times New Roman" w:eastAsia="Times New Roman" w:hAnsi="Times New Roman"/>
          <w:color w:val="222222"/>
          <w:sz w:val="24"/>
          <w:szCs w:val="24"/>
          <w:highlight w:val="white"/>
        </w:rPr>
        <w:t xml:space="preserve">, Y., 2023. Deep Reinforcement Learning for Dynamic Stock Option Hedging: A Review. </w:t>
      </w:r>
      <w:r>
        <w:rPr>
          <w:rFonts w:ascii="Times New Roman" w:cs="Times New Roman" w:eastAsia="Times New Roman" w:hAnsi="Times New Roman"/>
          <w:i/>
          <w:color w:val="222222"/>
          <w:sz w:val="24"/>
          <w:szCs w:val="24"/>
          <w:highlight w:val="white"/>
        </w:rPr>
        <w:t>Mathematics</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11</w:t>
      </w:r>
      <w:r>
        <w:rPr>
          <w:rFonts w:ascii="Times New Roman" w:cs="Times New Roman" w:eastAsia="Times New Roman" w:hAnsi="Times New Roman"/>
          <w:color w:val="222222"/>
          <w:sz w:val="24"/>
          <w:szCs w:val="24"/>
          <w:highlight w:val="white"/>
        </w:rPr>
        <w:t>(24), p.4943.</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Pons, A., Cristobal-</w:t>
      </w:r>
      <w:r>
        <w:rPr>
          <w:rFonts w:ascii="Times New Roman" w:cs="Times New Roman" w:eastAsia="Times New Roman" w:hAnsi="Times New Roman"/>
          <w:color w:val="222222"/>
          <w:sz w:val="24"/>
          <w:szCs w:val="24"/>
          <w:highlight w:val="white"/>
        </w:rPr>
        <w:t>Fransi</w:t>
      </w:r>
      <w:r>
        <w:rPr>
          <w:rFonts w:ascii="Times New Roman" w:cs="Times New Roman" w:eastAsia="Times New Roman" w:hAnsi="Times New Roman"/>
          <w:color w:val="222222"/>
          <w:sz w:val="24"/>
          <w:szCs w:val="24"/>
          <w:highlight w:val="white"/>
        </w:rPr>
        <w:t xml:space="preserve">, E., </w:t>
      </w:r>
      <w:r>
        <w:rPr>
          <w:rFonts w:ascii="Times New Roman" w:cs="Times New Roman" w:eastAsia="Times New Roman" w:hAnsi="Times New Roman"/>
          <w:color w:val="222222"/>
          <w:sz w:val="24"/>
          <w:szCs w:val="24"/>
          <w:highlight w:val="white"/>
        </w:rPr>
        <w:t>Vintrò</w:t>
      </w:r>
      <w:r>
        <w:rPr>
          <w:rFonts w:ascii="Times New Roman" w:cs="Times New Roman" w:eastAsia="Times New Roman" w:hAnsi="Times New Roman"/>
          <w:color w:val="222222"/>
          <w:sz w:val="24"/>
          <w:szCs w:val="24"/>
          <w:highlight w:val="white"/>
        </w:rPr>
        <w:t xml:space="preserve">, C., </w:t>
      </w:r>
      <w:r>
        <w:rPr>
          <w:rFonts w:ascii="Times New Roman" w:cs="Times New Roman" w:eastAsia="Times New Roman" w:hAnsi="Times New Roman"/>
          <w:color w:val="222222"/>
          <w:sz w:val="24"/>
          <w:szCs w:val="24"/>
          <w:highlight w:val="white"/>
        </w:rPr>
        <w:t>Rius</w:t>
      </w:r>
      <w:r>
        <w:rPr>
          <w:rFonts w:ascii="Times New Roman" w:cs="Times New Roman" w:eastAsia="Times New Roman" w:hAnsi="Times New Roman"/>
          <w:color w:val="222222"/>
          <w:sz w:val="24"/>
          <w:szCs w:val="24"/>
          <w:highlight w:val="white"/>
        </w:rPr>
        <w:t xml:space="preserve">, J., Querol, O. and </w:t>
      </w:r>
      <w:r>
        <w:rPr>
          <w:rFonts w:ascii="Times New Roman" w:cs="Times New Roman" w:eastAsia="Times New Roman" w:hAnsi="Times New Roman"/>
          <w:color w:val="222222"/>
          <w:sz w:val="24"/>
          <w:szCs w:val="24"/>
          <w:highlight w:val="white"/>
        </w:rPr>
        <w:t>Vilaplana</w:t>
      </w:r>
      <w:r>
        <w:rPr>
          <w:rFonts w:ascii="Times New Roman" w:cs="Times New Roman" w:eastAsia="Times New Roman" w:hAnsi="Times New Roman"/>
          <w:color w:val="222222"/>
          <w:sz w:val="24"/>
          <w:szCs w:val="24"/>
          <w:highlight w:val="white"/>
        </w:rPr>
        <w:t xml:space="preserve">, J., 2023. An Application of the IFM Method for the Risk Assessment of Financial Instruments. </w:t>
      </w:r>
      <w:r>
        <w:rPr>
          <w:rFonts w:ascii="Times New Roman" w:cs="Times New Roman" w:eastAsia="Times New Roman" w:hAnsi="Times New Roman"/>
          <w:i/>
          <w:color w:val="222222"/>
          <w:sz w:val="24"/>
          <w:szCs w:val="24"/>
          <w:highlight w:val="white"/>
        </w:rPr>
        <w:t>Computational Economics</w:t>
      </w:r>
      <w:r>
        <w:rPr>
          <w:rFonts w:ascii="Times New Roman" w:cs="Times New Roman" w:eastAsia="Times New Roman" w:hAnsi="Times New Roman"/>
          <w:color w:val="222222"/>
          <w:sz w:val="24"/>
          <w:szCs w:val="24"/>
          <w:highlight w:val="white"/>
        </w:rPr>
        <w:t>, pp.1-21.</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SEC.GOV (2024) </w:t>
      </w:r>
      <w:r>
        <w:rPr>
          <w:rFonts w:ascii="Times New Roman" w:cs="Times New Roman" w:eastAsia="Times New Roman" w:hAnsi="Times New Roman"/>
          <w:i/>
          <w:color w:val="222222"/>
          <w:sz w:val="24"/>
          <w:szCs w:val="24"/>
          <w:highlight w:val="white"/>
        </w:rPr>
        <w:t>Document</w:t>
      </w:r>
      <w:r>
        <w:rPr>
          <w:rFonts w:ascii="Times New Roman" w:cs="Times New Roman" w:eastAsia="Times New Roman" w:hAnsi="Times New Roman"/>
          <w:color w:val="222222"/>
          <w:sz w:val="24"/>
          <w:szCs w:val="24"/>
          <w:highlight w:val="white"/>
        </w:rPr>
        <w:t xml:space="preserve">. Available at: https://www.sec.gov/Archives/edgar/data/320193/000162828016020309/a201610-k9242016.htm (Accessed: 19 July 2024). </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Semlambo</w:t>
      </w:r>
      <w:r>
        <w:rPr>
          <w:rFonts w:ascii="Times New Roman" w:cs="Times New Roman" w:eastAsia="Times New Roman" w:hAnsi="Times New Roman"/>
          <w:color w:val="222222"/>
          <w:sz w:val="24"/>
          <w:szCs w:val="24"/>
          <w:highlight w:val="white"/>
        </w:rPr>
        <w:t xml:space="preserve">, A.A., </w:t>
      </w:r>
      <w:r>
        <w:rPr>
          <w:rFonts w:ascii="Times New Roman" w:cs="Times New Roman" w:eastAsia="Times New Roman" w:hAnsi="Times New Roman"/>
          <w:color w:val="222222"/>
          <w:sz w:val="24"/>
          <w:szCs w:val="24"/>
          <w:highlight w:val="white"/>
        </w:rPr>
        <w:t>Lubua</w:t>
      </w:r>
      <w:r>
        <w:rPr>
          <w:rFonts w:ascii="Times New Roman" w:cs="Times New Roman" w:eastAsia="Times New Roman" w:hAnsi="Times New Roman"/>
          <w:color w:val="222222"/>
          <w:sz w:val="24"/>
          <w:szCs w:val="24"/>
          <w:highlight w:val="white"/>
        </w:rPr>
        <w:t xml:space="preserve">, E.W. and </w:t>
      </w:r>
      <w:r>
        <w:rPr>
          <w:rFonts w:ascii="Times New Roman" w:cs="Times New Roman" w:eastAsia="Times New Roman" w:hAnsi="Times New Roman"/>
          <w:color w:val="222222"/>
          <w:sz w:val="24"/>
          <w:szCs w:val="24"/>
          <w:highlight w:val="white"/>
        </w:rPr>
        <w:t>Mkude</w:t>
      </w:r>
      <w:r>
        <w:rPr>
          <w:rFonts w:ascii="Times New Roman" w:cs="Times New Roman" w:eastAsia="Times New Roman" w:hAnsi="Times New Roman"/>
          <w:color w:val="222222"/>
          <w:sz w:val="24"/>
          <w:szCs w:val="24"/>
          <w:highlight w:val="white"/>
        </w:rPr>
        <w:t xml:space="preserve">, C.G., 2023. The Quality of Information Systems Security Policies in Addressing Security Challenges in Public Learning Institutions of Tanzania. </w:t>
      </w:r>
      <w:r>
        <w:rPr>
          <w:rFonts w:ascii="Times New Roman" w:cs="Times New Roman" w:eastAsia="Times New Roman" w:hAnsi="Times New Roman"/>
          <w:i/>
          <w:color w:val="222222"/>
          <w:sz w:val="24"/>
          <w:szCs w:val="24"/>
          <w:highlight w:val="white"/>
        </w:rPr>
        <w:t>International Journal of Technology and Management</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8</w:t>
      </w:r>
      <w:r>
        <w:rPr>
          <w:rFonts w:ascii="Times New Roman" w:cs="Times New Roman" w:eastAsia="Times New Roman" w:hAnsi="Times New Roman"/>
          <w:color w:val="222222"/>
          <w:sz w:val="24"/>
          <w:szCs w:val="24"/>
          <w:highlight w:val="white"/>
        </w:rPr>
        <w:t>(1), pp.1-22.</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Stewart, C., 2023. Re-evaluating whether absolute or relative purchasing power parity is being tested when using price indices.</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Tartan, S. and </w:t>
      </w:r>
      <w:r>
        <w:rPr>
          <w:rFonts w:ascii="Times New Roman" w:cs="Times New Roman" w:eastAsia="Times New Roman" w:hAnsi="Times New Roman"/>
          <w:color w:val="222222"/>
          <w:sz w:val="24"/>
          <w:szCs w:val="24"/>
          <w:highlight w:val="white"/>
        </w:rPr>
        <w:t>Tetik</w:t>
      </w:r>
      <w:r>
        <w:rPr>
          <w:rFonts w:ascii="Times New Roman" w:cs="Times New Roman" w:eastAsia="Times New Roman" w:hAnsi="Times New Roman"/>
          <w:color w:val="222222"/>
          <w:sz w:val="24"/>
          <w:szCs w:val="24"/>
          <w:highlight w:val="white"/>
        </w:rPr>
        <w:t xml:space="preserve">, N., 2023. SWOT Analysis of Istanbul Finance </w:t>
      </w:r>
      <w:r>
        <w:rPr>
          <w:rFonts w:ascii="Times New Roman" w:cs="Times New Roman" w:eastAsia="Times New Roman" w:hAnsi="Times New Roman"/>
          <w:color w:val="222222"/>
          <w:sz w:val="24"/>
          <w:szCs w:val="24"/>
          <w:highlight w:val="white"/>
        </w:rPr>
        <w:t>Center</w:t>
      </w:r>
      <w:r>
        <w:rPr>
          <w:rFonts w:ascii="Times New Roman" w:cs="Times New Roman" w:eastAsia="Times New Roman" w:hAnsi="Times New Roman"/>
          <w:color w:val="222222"/>
          <w:sz w:val="24"/>
          <w:szCs w:val="24"/>
          <w:highlight w:val="white"/>
        </w:rPr>
        <w:t xml:space="preserve"> and Comparison with World Finance </w:t>
      </w:r>
      <w:r>
        <w:rPr>
          <w:rFonts w:ascii="Times New Roman" w:cs="Times New Roman" w:eastAsia="Times New Roman" w:hAnsi="Times New Roman"/>
          <w:color w:val="222222"/>
          <w:sz w:val="24"/>
          <w:szCs w:val="24"/>
          <w:highlight w:val="white"/>
        </w:rPr>
        <w:t>Centers</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Pamukkale</w:t>
      </w:r>
      <w:r>
        <w:rPr>
          <w:rFonts w:ascii="Times New Roman" w:cs="Times New Roman" w:eastAsia="Times New Roman" w:hAnsi="Times New Roman"/>
          <w:i/>
          <w:color w:val="222222"/>
          <w:sz w:val="24"/>
          <w:szCs w:val="24"/>
          <w:highlight w:val="white"/>
        </w:rPr>
        <w:t xml:space="preserve"> </w:t>
      </w:r>
      <w:r>
        <w:rPr>
          <w:rFonts w:ascii="Times New Roman" w:cs="Times New Roman" w:eastAsia="Times New Roman" w:hAnsi="Times New Roman"/>
          <w:i/>
          <w:color w:val="222222"/>
          <w:sz w:val="24"/>
          <w:szCs w:val="24"/>
          <w:highlight w:val="white"/>
        </w:rPr>
        <w:t>Üniversitesi</w:t>
      </w:r>
      <w:r>
        <w:rPr>
          <w:rFonts w:ascii="Times New Roman" w:cs="Times New Roman" w:eastAsia="Times New Roman" w:hAnsi="Times New Roman"/>
          <w:i/>
          <w:color w:val="222222"/>
          <w:sz w:val="24"/>
          <w:szCs w:val="24"/>
          <w:highlight w:val="white"/>
        </w:rPr>
        <w:t xml:space="preserve"> </w:t>
      </w:r>
      <w:r>
        <w:rPr>
          <w:rFonts w:ascii="Times New Roman" w:cs="Times New Roman" w:eastAsia="Times New Roman" w:hAnsi="Times New Roman"/>
          <w:i/>
          <w:color w:val="222222"/>
          <w:sz w:val="24"/>
          <w:szCs w:val="24"/>
          <w:highlight w:val="white"/>
        </w:rPr>
        <w:t>İşletme</w:t>
      </w:r>
      <w:r>
        <w:rPr>
          <w:rFonts w:ascii="Times New Roman" w:cs="Times New Roman" w:eastAsia="Times New Roman" w:hAnsi="Times New Roman"/>
          <w:i/>
          <w:color w:val="222222"/>
          <w:sz w:val="24"/>
          <w:szCs w:val="24"/>
          <w:highlight w:val="white"/>
        </w:rPr>
        <w:t xml:space="preserve"> </w:t>
      </w:r>
      <w:r>
        <w:rPr>
          <w:rFonts w:ascii="Times New Roman" w:cs="Times New Roman" w:eastAsia="Times New Roman" w:hAnsi="Times New Roman"/>
          <w:i/>
          <w:color w:val="222222"/>
          <w:sz w:val="24"/>
          <w:szCs w:val="24"/>
          <w:highlight w:val="white"/>
        </w:rPr>
        <w:t>Araştırmaları</w:t>
      </w:r>
      <w:r>
        <w:rPr>
          <w:rFonts w:ascii="Times New Roman" w:cs="Times New Roman" w:eastAsia="Times New Roman" w:hAnsi="Times New Roman"/>
          <w:i/>
          <w:color w:val="222222"/>
          <w:sz w:val="24"/>
          <w:szCs w:val="24"/>
          <w:highlight w:val="white"/>
        </w:rPr>
        <w:t xml:space="preserve"> </w:t>
      </w:r>
      <w:r>
        <w:rPr>
          <w:rFonts w:ascii="Times New Roman" w:cs="Times New Roman" w:eastAsia="Times New Roman" w:hAnsi="Times New Roman"/>
          <w:i/>
          <w:color w:val="222222"/>
          <w:sz w:val="24"/>
          <w:szCs w:val="24"/>
          <w:highlight w:val="white"/>
        </w:rPr>
        <w:t>Dergisi</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10</w:t>
      </w:r>
      <w:r>
        <w:rPr>
          <w:rFonts w:ascii="Times New Roman" w:cs="Times New Roman" w:eastAsia="Times New Roman" w:hAnsi="Times New Roman"/>
          <w:color w:val="222222"/>
          <w:sz w:val="24"/>
          <w:szCs w:val="24"/>
          <w:highlight w:val="white"/>
        </w:rPr>
        <w:t>(2), pp.576-591.</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Tartan, S. and </w:t>
      </w:r>
      <w:r>
        <w:rPr>
          <w:rFonts w:ascii="Times New Roman" w:cs="Times New Roman" w:eastAsia="Times New Roman" w:hAnsi="Times New Roman"/>
          <w:color w:val="222222"/>
          <w:sz w:val="24"/>
          <w:szCs w:val="24"/>
          <w:highlight w:val="white"/>
        </w:rPr>
        <w:t>Tetik</w:t>
      </w:r>
      <w:r>
        <w:rPr>
          <w:rFonts w:ascii="Times New Roman" w:cs="Times New Roman" w:eastAsia="Times New Roman" w:hAnsi="Times New Roman"/>
          <w:color w:val="222222"/>
          <w:sz w:val="24"/>
          <w:szCs w:val="24"/>
          <w:highlight w:val="white"/>
        </w:rPr>
        <w:t xml:space="preserve">, N.E.V.Z.A.T., 2023. SWOT Analysis of Istanbul Finance </w:t>
      </w:r>
      <w:r>
        <w:rPr>
          <w:rFonts w:ascii="Times New Roman" w:cs="Times New Roman" w:eastAsia="Times New Roman" w:hAnsi="Times New Roman"/>
          <w:color w:val="222222"/>
          <w:sz w:val="24"/>
          <w:szCs w:val="24"/>
          <w:highlight w:val="white"/>
        </w:rPr>
        <w:t>Center</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andComparison</w:t>
      </w:r>
      <w:r>
        <w:rPr>
          <w:rFonts w:ascii="Times New Roman" w:cs="Times New Roman" w:eastAsia="Times New Roman" w:hAnsi="Times New Roman"/>
          <w:color w:val="222222"/>
          <w:sz w:val="24"/>
          <w:szCs w:val="24"/>
          <w:highlight w:val="white"/>
        </w:rPr>
        <w:t xml:space="preserve"> with World Finance </w:t>
      </w:r>
      <w:r>
        <w:rPr>
          <w:rFonts w:ascii="Times New Roman" w:cs="Times New Roman" w:eastAsia="Times New Roman" w:hAnsi="Times New Roman"/>
          <w:color w:val="222222"/>
          <w:sz w:val="24"/>
          <w:szCs w:val="24"/>
          <w:highlight w:val="white"/>
        </w:rPr>
        <w:t>Centersİstanbul</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Finans</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Merkezinin</w:t>
      </w:r>
      <w:r>
        <w:rPr>
          <w:rFonts w:ascii="Times New Roman" w:cs="Times New Roman" w:eastAsia="Times New Roman" w:hAnsi="Times New Roman"/>
          <w:color w:val="222222"/>
          <w:sz w:val="24"/>
          <w:szCs w:val="24"/>
          <w:highlight w:val="white"/>
        </w:rPr>
        <w:t xml:space="preserve"> SWOT </w:t>
      </w:r>
      <w:r>
        <w:rPr>
          <w:rFonts w:ascii="Times New Roman" w:cs="Times New Roman" w:eastAsia="Times New Roman" w:hAnsi="Times New Roman"/>
          <w:color w:val="222222"/>
          <w:sz w:val="24"/>
          <w:szCs w:val="24"/>
          <w:highlight w:val="white"/>
        </w:rPr>
        <w:t>Analizi</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ve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Dünya</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FinansMerkezleri</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ile</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Kıyaslanması</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 xml:space="preserve">PAMUKKALE ÜNİVERSİTESİ İŞLETME ARAŞTIRMALARI DERGİSİ (PIAR) </w:t>
      </w:r>
      <w:r>
        <w:rPr>
          <w:rFonts w:ascii="Times New Roman" w:cs="Times New Roman" w:eastAsia="Times New Roman" w:hAnsi="Times New Roman"/>
          <w:i/>
          <w:color w:val="222222"/>
          <w:sz w:val="24"/>
          <w:szCs w:val="24"/>
          <w:highlight w:val="white"/>
        </w:rPr>
        <w:t>Pamukkale</w:t>
      </w:r>
      <w:r>
        <w:rPr>
          <w:rFonts w:ascii="Times New Roman" w:cs="Times New Roman" w:eastAsia="Times New Roman" w:hAnsi="Times New Roman"/>
          <w:i/>
          <w:color w:val="222222"/>
          <w:sz w:val="24"/>
          <w:szCs w:val="24"/>
          <w:highlight w:val="white"/>
        </w:rPr>
        <w:t xml:space="preserve"> University Journal of Business Research</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i/>
          <w:color w:val="222222"/>
          <w:sz w:val="24"/>
          <w:szCs w:val="24"/>
          <w:highlight w:val="white"/>
        </w:rPr>
        <w:t>10</w:t>
      </w:r>
      <w:r>
        <w:rPr>
          <w:rFonts w:ascii="Times New Roman" w:cs="Times New Roman" w:eastAsia="Times New Roman" w:hAnsi="Times New Roman"/>
          <w:color w:val="222222"/>
          <w:sz w:val="24"/>
          <w:szCs w:val="24"/>
          <w:highlight w:val="white"/>
        </w:rPr>
        <w:t>(2).</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Unilever Annual Report (2023) </w:t>
      </w:r>
      <w:r>
        <w:rPr>
          <w:rFonts w:ascii="Times New Roman" w:cs="Times New Roman" w:eastAsia="Times New Roman" w:hAnsi="Times New Roman"/>
          <w:i/>
          <w:color w:val="222222"/>
          <w:sz w:val="24"/>
          <w:szCs w:val="24"/>
          <w:highlight w:val="white"/>
        </w:rPr>
        <w:t>Unilever Annual Report and accounts 2023</w:t>
      </w:r>
      <w:r>
        <w:rPr>
          <w:rFonts w:ascii="Times New Roman" w:cs="Times New Roman" w:eastAsia="Times New Roman" w:hAnsi="Times New Roman"/>
          <w:color w:val="222222"/>
          <w:sz w:val="24"/>
          <w:szCs w:val="24"/>
          <w:highlight w:val="white"/>
        </w:rPr>
        <w:t xml:space="preserve">. Available at: https://www.unilever.com/files/92ui5egz/production/b09c3510ee7cec58440d5f044f02bdefe85aa186.pdf (Accessed: 20 July 2024). </w:t>
      </w:r>
    </w:p>
    <w:sectPr>
      <w:footerReference w:type="default" r:id="rId3"/>
      <w:pgSz w:w="11909" w:h="16834" w:orient="portrait"/>
      <w:pgMar w:top="1440" w:right="1440" w:bottom="1440" w:left="1440" w:header="720" w:footer="720" w:gutter="0"/>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AFF" w:usb1="C0007843"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Vrinda">
    <w:altName w:val="Vrinda"/>
    <w:panose1 w:val="020b0502040002020203"/>
    <w:charset w:val="00"/>
    <w:family w:val="swiss"/>
    <w:pitch w:val="variable"/>
    <w:sig w:usb0="00010003" w:usb1="00000000" w:usb2="00000000" w:usb3="00000000" w:csb0="00000001" w:csb1="00000000"/>
  </w:font>
  <w:font w:name="Cambria">
    <w:altName w:val="Cambria"/>
    <w:panose1 w:val="02040503050004030204"/>
    <w:charset w:val="00"/>
    <w:family w:val="roman"/>
    <w:pitch w:val="variable"/>
    <w:sig w:usb0="E00002FF" w:usb1="400004FF"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outlineLvl w:val="0"/>
    </w:pPr>
    <w:rPr>
      <w:sz w:val="40"/>
      <w:szCs w:val="40"/>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paragraph" w:styleId="style31">
    <w:name w:val="header"/>
    <w:basedOn w:val="style0"/>
    <w:next w:val="style31"/>
    <w:link w:val="style4097"/>
    <w:uiPriority w:val="99"/>
    <w:pPr>
      <w:tabs>
        <w:tab w:val="center" w:leader="none" w:pos="4513"/>
        <w:tab w:val="right" w:leader="none" w:pos="9026"/>
      </w:tabs>
      <w:spacing w:lineRule="auto" w:line="240"/>
    </w:pPr>
    <w:rPr/>
  </w:style>
  <w:style w:type="character" w:customStyle="1" w:styleId="style4097">
    <w:name w:val="Header Char_21f0d82f-7ff3-49de-9509-a16b2f7929c7"/>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lineRule="auto" w:line="240"/>
    </w:pPr>
    <w:rPr/>
  </w:style>
  <w:style w:type="character" w:customStyle="1" w:styleId="style4098">
    <w:name w:val="Footer Char_2d60cdc4-130f-4d02-a607-e923d9486871"/>
    <w:basedOn w:val="style65"/>
    <w:next w:val="style4098"/>
    <w:link w:val="style32"/>
    <w:uiPriority w:val="99"/>
  </w:style>
  <w:style w:type="paragraph" w:styleId="style266">
    <w:name w:val="TOC Heading"/>
    <w:basedOn w:val="style1"/>
    <w:next w:val="style0"/>
    <w:qFormat/>
    <w:uiPriority w:val="39"/>
    <w:pPr>
      <w:spacing w:before="240" w:after="0" w:lineRule="auto" w:line="259"/>
      <w:outlineLvl w:val="9"/>
    </w:pPr>
    <w:rPr>
      <w:rFonts w:ascii="Calibri" w:cs="Vrinda" w:eastAsia="宋体" w:hAnsi="Calibri"/>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405D4-57D6-460B-92E4-1D718B64D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Words>2328</Words>
  <Pages>10</Pages>
  <Characters>14198</Characters>
  <Application>WPS Office</Application>
  <DocSecurity>0</DocSecurity>
  <Paragraphs>81</Paragraphs>
  <ScaleCrop>false</ScaleCrop>
  <LinksUpToDate>false</LinksUpToDate>
  <CharactersWithSpaces>16479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2024-07-27T15:07:00Z</dcterms:created>
  <dc:creator>WPS Office</dc:creator>
  <lastModifiedBy>2201116SG</lastModifiedBy>
  <dcterms:modified xsi:type="dcterms:W3CDTF">2024-08-22T13:26:26Z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5ec50aae12f549f08d5e37846ee240d9</vt:lpwstr>
  </property>
</Properties>
</file>