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39FA" w:rsidRPr="00651EE6" w:rsidRDefault="004739FA" w:rsidP="004739FA">
      <w:pPr>
        <w:rPr>
          <w:u w:val="single"/>
        </w:rPr>
      </w:pPr>
      <w:r w:rsidRPr="00651EE6">
        <w:rPr>
          <w:u w:val="single"/>
        </w:rPr>
        <w:t xml:space="preserve">Herodotus, morality and storytelling: The strength and the weakness. </w:t>
      </w:r>
    </w:p>
    <w:p w:rsidR="004739FA" w:rsidRDefault="004739FA" w:rsidP="004739FA">
      <w:pPr>
        <w:spacing w:line="360" w:lineRule="auto"/>
      </w:pPr>
    </w:p>
    <w:p w:rsidR="004739FA" w:rsidRDefault="004739FA" w:rsidP="004739FA">
      <w:pPr>
        <w:spacing w:line="360" w:lineRule="auto"/>
      </w:pPr>
      <w:r>
        <w:t>Called by Cicero ‘</w:t>
      </w:r>
      <w:proofErr w:type="spellStart"/>
      <w:r w:rsidRPr="00510055">
        <w:fldChar w:fldCharType="begin"/>
      </w:r>
      <w:r w:rsidRPr="00510055">
        <w:instrText xml:space="preserve"> HYPERLINK "http://www.perseus.tufts.edu/hopper/morph?l=Herodotum&amp;la=la&amp;can=herodotum0&amp;prior=apud" \t "morph" </w:instrText>
      </w:r>
      <w:r w:rsidRPr="00510055">
        <w:fldChar w:fldCharType="separate"/>
      </w:r>
      <w:r w:rsidRPr="00510055">
        <w:t>Herodotum</w:t>
      </w:r>
      <w:proofErr w:type="spellEnd"/>
      <w:r w:rsidRPr="00510055">
        <w:fldChar w:fldCharType="end"/>
      </w:r>
      <w:r w:rsidRPr="00510055">
        <w:t> </w:t>
      </w:r>
      <w:proofErr w:type="spellStart"/>
      <w:r w:rsidRPr="00510055">
        <w:fldChar w:fldCharType="begin"/>
      </w:r>
      <w:r w:rsidRPr="00510055">
        <w:instrText xml:space="preserve"> HYPERLINK "http://www.perseus.tufts.edu/hopper/morph?l=patrem&amp;la=la&amp;can=patrem0&amp;prior=Herodotum" \t "morph" </w:instrText>
      </w:r>
      <w:r w:rsidRPr="00510055">
        <w:fldChar w:fldCharType="separate"/>
      </w:r>
      <w:r w:rsidRPr="00510055">
        <w:t>patrem</w:t>
      </w:r>
      <w:proofErr w:type="spellEnd"/>
      <w:r w:rsidRPr="00510055">
        <w:fldChar w:fldCharType="end"/>
      </w:r>
      <w:r w:rsidRPr="00510055">
        <w:t> </w:t>
      </w:r>
      <w:proofErr w:type="spellStart"/>
      <w:r w:rsidRPr="00510055">
        <w:fldChar w:fldCharType="begin"/>
      </w:r>
      <w:r w:rsidRPr="00510055">
        <w:instrText xml:space="preserve"> HYPERLINK "http://www.perseus.tufts.edu/hopper/morph?l=historiae&amp;la=la&amp;can=historiae0&amp;prior=patrem" \t "morph" </w:instrText>
      </w:r>
      <w:r w:rsidRPr="00510055">
        <w:fldChar w:fldCharType="separate"/>
      </w:r>
      <w:r w:rsidRPr="00510055">
        <w:t>historiae</w:t>
      </w:r>
      <w:proofErr w:type="spellEnd"/>
      <w:r w:rsidRPr="00510055">
        <w:fldChar w:fldCharType="end"/>
      </w:r>
      <w:r>
        <w:t>’, Herodotus’ work is infamous.</w:t>
      </w:r>
      <w:r>
        <w:rPr>
          <w:rStyle w:val="FootnoteReference"/>
        </w:rPr>
        <w:footnoteReference w:id="1"/>
      </w:r>
      <w:r>
        <w:t xml:space="preserve"> Historians are often assessed in terms of their accurate methodology for collecting facts, and their tendencies towards literary addition.</w:t>
      </w:r>
      <w:r>
        <w:rPr>
          <w:rStyle w:val="FootnoteReference"/>
        </w:rPr>
        <w:footnoteReference w:id="2"/>
      </w:r>
      <w:r>
        <w:t xml:space="preserve"> Inevitably, humans will tend to inject some literary devices into their historical recordings, such as perceived villains getting their comeuppance, and wise prophecies coming to fruition.</w:t>
      </w:r>
      <w:r>
        <w:rPr>
          <w:rStyle w:val="FootnoteReference"/>
        </w:rPr>
        <w:footnoteReference w:id="3"/>
      </w:r>
      <w:r>
        <w:t xml:space="preserve"> These motifs both help create a narrative, and send a moral message.</w:t>
      </w:r>
      <w:r>
        <w:rPr>
          <w:rStyle w:val="FootnoteReference"/>
        </w:rPr>
        <w:footnoteReference w:id="4"/>
      </w:r>
      <w:r>
        <w:t xml:space="preserve"> Herodotus’ work can easily be perceived as a possessing at least a degree of moralism.</w:t>
      </w:r>
      <w:r>
        <w:rPr>
          <w:rStyle w:val="FootnoteReference"/>
        </w:rPr>
        <w:footnoteReference w:id="5"/>
      </w:r>
      <w:r>
        <w:t xml:space="preserve"> This essay therefore examines the ways in which this message can corrupt historical recording, and then the ways this benefits scholars, giving insight into Herodotus’ world in terms of morality.</w:t>
      </w:r>
    </w:p>
    <w:p w:rsidR="004739FA" w:rsidRDefault="004739FA" w:rsidP="004739FA">
      <w:pPr>
        <w:spacing w:line="360" w:lineRule="auto"/>
      </w:pPr>
      <w:r>
        <w:t>When historians create a narrative to either fill in gaps, or push forward a moral message, some of the original tale is often obscured. While Herodotus uses native sources for Egypt, Herodotus implies that he picks and chooses the narratives, including his own observations when he desires.</w:t>
      </w:r>
      <w:r>
        <w:rPr>
          <w:rStyle w:val="FootnoteReference"/>
        </w:rPr>
        <w:footnoteReference w:id="6"/>
      </w:r>
      <w:r>
        <w:t xml:space="preserve"> Herodotus also states that some of his recordings are based upon the hearsay of others, and may be untrue.</w:t>
      </w:r>
      <w:r>
        <w:rPr>
          <w:rStyle w:val="FootnoteReference"/>
        </w:rPr>
        <w:footnoteReference w:id="7"/>
      </w:r>
      <w:r>
        <w:t xml:space="preserve"> This shows that Herodotus’ work contains many different accounts from people who may have imparted their own twists to stories, to make a better story with more moral archetypes.</w:t>
      </w:r>
      <w:r>
        <w:rPr>
          <w:rStyle w:val="FootnoteReference"/>
        </w:rPr>
        <w:footnoteReference w:id="8"/>
      </w:r>
      <w:r>
        <w:t xml:space="preserve"> Herodotus has been named ‘the Father of Lies’ partially due to supernatural element inclusion, and moral storytelling.</w:t>
      </w:r>
      <w:r>
        <w:rPr>
          <w:rStyle w:val="FootnoteReference"/>
        </w:rPr>
        <w:footnoteReference w:id="9"/>
      </w:r>
      <w:r>
        <w:t xml:space="preserve"> Although, Evans—with a referencing error—implies a scathing accusation from Cicero of falsification, Cicero merely implies Herodotus is as likely to lie as another writer.</w:t>
      </w:r>
      <w:r>
        <w:rPr>
          <w:rStyle w:val="FootnoteReference"/>
        </w:rPr>
        <w:footnoteReference w:id="10"/>
      </w:r>
      <w:r>
        <w:t xml:space="preserve"> Herodotus is accused by Plutarch of using this literary embellishment and engaging narrative to access a wider audience, which means that he influences more people with his disinformation.</w:t>
      </w:r>
      <w:r>
        <w:rPr>
          <w:rStyle w:val="FootnoteReference"/>
        </w:rPr>
        <w:footnoteReference w:id="11"/>
      </w:r>
      <w:r>
        <w:t xml:space="preserve"> However, Plutarch wrote to highlight the achievements of Greeks, and his perception of bias in favour of the barbarians in Herodotus of course provokes this harsh negative reaction.</w:t>
      </w:r>
      <w:r>
        <w:rPr>
          <w:rStyle w:val="FootnoteReference"/>
        </w:rPr>
        <w:footnoteReference w:id="12"/>
      </w:r>
    </w:p>
    <w:p w:rsidR="004739FA" w:rsidRDefault="004739FA" w:rsidP="004739FA">
      <w:pPr>
        <w:spacing w:line="360" w:lineRule="auto"/>
      </w:pPr>
      <w:r>
        <w:t xml:space="preserve">Herodotus’ attempts to tell a moral story and make his research appeal to the reader may not be completely negative however, as we gain insight into opinions, and ideas of morality during his time. </w:t>
      </w:r>
      <w:r>
        <w:lastRenderedPageBreak/>
        <w:t>Due to Herodotus’ work being so easy and engaging to read, Herodotus’ moral messages would have reached and informed a much larger audience than if they had lacked these storytelling or performance elements.</w:t>
      </w:r>
      <w:r>
        <w:rPr>
          <w:rStyle w:val="FootnoteReference"/>
        </w:rPr>
        <w:footnoteReference w:id="13"/>
      </w:r>
      <w:r>
        <w:t xml:space="preserve"> Whether accurate or not, Herodotus’ engaging account of the end of the Battle of Thermopylae shows that he appreciates and favours valiant, courageous, and honourable sacrifices, trying to promote these values to his readers.</w:t>
      </w:r>
      <w:r>
        <w:rPr>
          <w:rStyle w:val="FootnoteReference"/>
        </w:rPr>
        <w:footnoteReference w:id="14"/>
      </w:r>
      <w:r>
        <w:t xml:space="preserve"> While influencing the Spartan mirage, this perspective shows Herodotus’ character, and being so influential, it also provides insight into popular ideas and morals being discussed in Herodotus’ world.</w:t>
      </w:r>
      <w:r>
        <w:rPr>
          <w:rStyle w:val="FootnoteReference"/>
        </w:rPr>
        <w:footnoteReference w:id="15"/>
      </w:r>
      <w:r>
        <w:t xml:space="preserve"> </w:t>
      </w:r>
    </w:p>
    <w:p w:rsidR="004739FA" w:rsidRDefault="004739FA" w:rsidP="004739FA">
      <w:pPr>
        <w:spacing w:line="360" w:lineRule="auto"/>
      </w:pPr>
      <w:r>
        <w:t>It is important to examine the weaknesses and strengths of Herodotus’ inclusion of morality and storytelling devices when examining any part of Herodotus’ work. When accounting Arion’s story, Herodotus seems to forego his usual methodology to present a literary narrative containing miraculous occurrences based upon religious fervour.</w:t>
      </w:r>
      <w:r>
        <w:rPr>
          <w:rStyle w:val="FootnoteReference"/>
        </w:rPr>
        <w:footnoteReference w:id="16"/>
      </w:r>
      <w:r>
        <w:t xml:space="preserve"> The story is framed by many religious undertones and devices to create a common but interesting moral narrative, where the hero archetype is saved by divine intervention due to his dedications.</w:t>
      </w:r>
      <w:r>
        <w:rPr>
          <w:rStyle w:val="FootnoteReference"/>
        </w:rPr>
        <w:footnoteReference w:id="17"/>
      </w:r>
      <w:r>
        <w:t xml:space="preserve"> Again, Herodotus remains focused on a moral message rather than focussing on legal matters as Arion’s tale continues.</w:t>
      </w:r>
      <w:r>
        <w:rPr>
          <w:rStyle w:val="FootnoteReference"/>
        </w:rPr>
        <w:footnoteReference w:id="18"/>
      </w:r>
      <w:r>
        <w:t xml:space="preserve"> This is not necessarily a negative, as it alludes to Herodotus’ opinions of religion, and morality associated with being a good, religious person.</w:t>
      </w:r>
      <w:r>
        <w:rPr>
          <w:rStyle w:val="FootnoteReference"/>
        </w:rPr>
        <w:footnoteReference w:id="19"/>
      </w:r>
      <w:r>
        <w:t xml:space="preserve"> The person who disbelieves Arion mirrors Herodotus’ own methodologies, being used as a literary foil showing why Arion should be believed through Herodotus’ methods.</w:t>
      </w:r>
      <w:r>
        <w:rPr>
          <w:rStyle w:val="FootnoteReference"/>
        </w:rPr>
        <w:footnoteReference w:id="20"/>
      </w:r>
      <w:r>
        <w:t xml:space="preserve"> The fantastical tale, and Herodotus’ encouragement for the reader to believe it and follow its message, does however taint what the truth was in the story. Herodotus’ religious beliefs create a moral narrative that shows scholars his moral inclinations, which likely represent his contemporaries’ beliefs, but scholars lose what actually occurred in this account.</w:t>
      </w:r>
      <w:r>
        <w:rPr>
          <w:rStyle w:val="FootnoteReference"/>
        </w:rPr>
        <w:footnoteReference w:id="21"/>
      </w:r>
    </w:p>
    <w:p w:rsidR="004739FA" w:rsidRDefault="004739FA" w:rsidP="004739FA">
      <w:pPr>
        <w:spacing w:line="360" w:lineRule="auto"/>
      </w:pPr>
      <w:r>
        <w:t>To conclude, Herodotus’ accounts while containing several elements of dubious or clearly false nature, do provide some understanding of morality for the classical Greek world.</w:t>
      </w:r>
      <w:r>
        <w:rPr>
          <w:rStyle w:val="FootnoteReference"/>
        </w:rPr>
        <w:footnoteReference w:id="22"/>
      </w:r>
      <w:r>
        <w:t xml:space="preserve"> However, this comes at a heavy price of having valuable historical descriptions marred by inaccuracies that cannot be removed.</w:t>
      </w:r>
      <w:r>
        <w:rPr>
          <w:rStyle w:val="FootnoteReference"/>
        </w:rPr>
        <w:footnoteReference w:id="23"/>
      </w:r>
    </w:p>
    <w:p w:rsidR="002B3CEB" w:rsidRDefault="002B3CEB" w:rsidP="004739FA"/>
    <w:p w:rsidR="004739FA" w:rsidRDefault="004739FA" w:rsidP="004739FA">
      <w:pPr>
        <w:rPr>
          <w:u w:val="single"/>
        </w:rPr>
      </w:pPr>
      <w:r w:rsidRPr="00651EE6">
        <w:rPr>
          <w:u w:val="single"/>
        </w:rPr>
        <w:lastRenderedPageBreak/>
        <w:t>Bibliography</w:t>
      </w:r>
      <w:bookmarkStart w:id="0" w:name="_GoBack"/>
      <w:bookmarkEnd w:id="0"/>
    </w:p>
    <w:p w:rsidR="004739FA" w:rsidRDefault="004739FA" w:rsidP="004739FA">
      <w:pPr>
        <w:rPr>
          <w:u w:val="single"/>
        </w:rPr>
      </w:pPr>
    </w:p>
    <w:p w:rsidR="004739FA" w:rsidRPr="00651EE6" w:rsidRDefault="004739FA" w:rsidP="004739FA">
      <w:pPr>
        <w:rPr>
          <w:u w:val="single"/>
        </w:rPr>
      </w:pPr>
      <w:r>
        <w:rPr>
          <w:u w:val="single"/>
        </w:rPr>
        <w:t>Ancient sources</w:t>
      </w:r>
    </w:p>
    <w:p w:rsidR="004739FA" w:rsidRDefault="004739FA" w:rsidP="004739FA">
      <w:r>
        <w:t xml:space="preserve">Cicero, </w:t>
      </w:r>
      <w:r>
        <w:rPr>
          <w:i/>
        </w:rPr>
        <w:t xml:space="preserve">De </w:t>
      </w:r>
      <w:proofErr w:type="spellStart"/>
      <w:r>
        <w:rPr>
          <w:i/>
        </w:rPr>
        <w:t>Legibus</w:t>
      </w:r>
      <w:proofErr w:type="spellEnd"/>
      <w:r>
        <w:rPr>
          <w:i/>
        </w:rPr>
        <w:t xml:space="preserve">. </w:t>
      </w:r>
      <w:r>
        <w:t xml:space="preserve">G. de </w:t>
      </w:r>
      <w:proofErr w:type="spellStart"/>
      <w:r>
        <w:t>Plinval</w:t>
      </w:r>
      <w:proofErr w:type="spellEnd"/>
      <w:r>
        <w:t xml:space="preserve"> (</w:t>
      </w:r>
      <w:proofErr w:type="gramStart"/>
      <w:r>
        <w:t>trans</w:t>
      </w:r>
      <w:proofErr w:type="gramEnd"/>
      <w:r>
        <w:t xml:space="preserve">.). 1959. Paris: Belles </w:t>
      </w:r>
      <w:proofErr w:type="spellStart"/>
      <w:r>
        <w:t>Lettres</w:t>
      </w:r>
      <w:proofErr w:type="spellEnd"/>
      <w:r>
        <w:t xml:space="preserve">. </w:t>
      </w:r>
    </w:p>
    <w:p w:rsidR="004739FA" w:rsidRPr="003A092C" w:rsidRDefault="004739FA" w:rsidP="004739FA">
      <w:r>
        <w:t xml:space="preserve">Cicero, </w:t>
      </w:r>
      <w:r>
        <w:rPr>
          <w:i/>
        </w:rPr>
        <w:t xml:space="preserve">Divination. </w:t>
      </w:r>
      <w:r>
        <w:t>W.A. Falconer (</w:t>
      </w:r>
      <w:proofErr w:type="gramStart"/>
      <w:r>
        <w:t>trans</w:t>
      </w:r>
      <w:proofErr w:type="gramEnd"/>
      <w:r>
        <w:t xml:space="preserve">.). 1923. Cambridge: Harvard University Press. </w:t>
      </w:r>
    </w:p>
    <w:p w:rsidR="004739FA" w:rsidRPr="007B77CC" w:rsidRDefault="004739FA" w:rsidP="004739FA">
      <w:r>
        <w:t xml:space="preserve">Herodotus, </w:t>
      </w:r>
      <w:proofErr w:type="gramStart"/>
      <w:r w:rsidRPr="00C671E9">
        <w:rPr>
          <w:i/>
        </w:rPr>
        <w:t>The</w:t>
      </w:r>
      <w:proofErr w:type="gramEnd"/>
      <w:r w:rsidRPr="00C671E9">
        <w:rPr>
          <w:i/>
        </w:rPr>
        <w:t xml:space="preserve"> Histories</w:t>
      </w:r>
      <w:r>
        <w:t>. A.D. Godley (</w:t>
      </w:r>
      <w:proofErr w:type="gramStart"/>
      <w:r>
        <w:t>trans</w:t>
      </w:r>
      <w:proofErr w:type="gramEnd"/>
      <w:r>
        <w:t xml:space="preserve">.). 1920. Cambridge: Harvard University Press. </w:t>
      </w:r>
    </w:p>
    <w:p w:rsidR="004739FA" w:rsidRPr="006D5B29" w:rsidRDefault="004739FA" w:rsidP="004739FA">
      <w:r>
        <w:t xml:space="preserve">Plutarch, </w:t>
      </w:r>
      <w:r>
        <w:rPr>
          <w:i/>
        </w:rPr>
        <w:t xml:space="preserve">Of Herodotus’s Malice. </w:t>
      </w:r>
      <w:r>
        <w:t>W. W. Goodwin (</w:t>
      </w:r>
      <w:proofErr w:type="gramStart"/>
      <w:r>
        <w:t>trans</w:t>
      </w:r>
      <w:proofErr w:type="gramEnd"/>
      <w:r>
        <w:t xml:space="preserve">.). 1874. Boston: Little, Brown, and Company. </w:t>
      </w:r>
    </w:p>
    <w:p w:rsidR="004739FA" w:rsidRDefault="004739FA" w:rsidP="004739FA"/>
    <w:p w:rsidR="004739FA" w:rsidRPr="00651EE6" w:rsidRDefault="004739FA" w:rsidP="004739FA">
      <w:pPr>
        <w:rPr>
          <w:u w:val="single"/>
        </w:rPr>
      </w:pPr>
      <w:r>
        <w:rPr>
          <w:u w:val="single"/>
        </w:rPr>
        <w:t>Modern s</w:t>
      </w:r>
      <w:r w:rsidRPr="00651EE6">
        <w:rPr>
          <w:u w:val="single"/>
        </w:rPr>
        <w:t>cholarship</w:t>
      </w:r>
    </w:p>
    <w:p w:rsidR="004739FA" w:rsidRPr="006D5B29" w:rsidRDefault="004739FA" w:rsidP="004739FA">
      <w:r>
        <w:t xml:space="preserve">Barrow, R.H. 1967. </w:t>
      </w:r>
      <w:r>
        <w:rPr>
          <w:i/>
        </w:rPr>
        <w:t xml:space="preserve">Plutarch and his times. </w:t>
      </w:r>
      <w:r>
        <w:t xml:space="preserve">London: </w:t>
      </w:r>
      <w:proofErr w:type="spellStart"/>
      <w:r>
        <w:t>Chatto</w:t>
      </w:r>
      <w:proofErr w:type="spellEnd"/>
      <w:r>
        <w:t xml:space="preserve"> &amp; </w:t>
      </w:r>
      <w:proofErr w:type="spellStart"/>
      <w:r>
        <w:t>Windus</w:t>
      </w:r>
      <w:proofErr w:type="spellEnd"/>
      <w:r>
        <w:t xml:space="preserve">. </w:t>
      </w:r>
    </w:p>
    <w:p w:rsidR="004739FA" w:rsidRPr="00D20E93" w:rsidRDefault="004739FA" w:rsidP="004739FA">
      <w:r w:rsidRPr="00D20E93">
        <w:t xml:space="preserve">Evans, J.A.S. 1968. ‘Father of History or Father of Lies; </w:t>
      </w:r>
      <w:proofErr w:type="gramStart"/>
      <w:r w:rsidRPr="00D20E93">
        <w:t>The</w:t>
      </w:r>
      <w:proofErr w:type="gramEnd"/>
      <w:r w:rsidRPr="00D20E93">
        <w:t xml:space="preserve"> Reputation of Herodotus’,</w:t>
      </w:r>
      <w:r>
        <w:rPr>
          <w:i/>
        </w:rPr>
        <w:t xml:space="preserve"> The Classical Journal </w:t>
      </w:r>
      <w:r>
        <w:t>64. 1, 11-17.</w:t>
      </w:r>
    </w:p>
    <w:p w:rsidR="004739FA" w:rsidRPr="00076B9B" w:rsidRDefault="004739FA" w:rsidP="004739FA">
      <w:proofErr w:type="spellStart"/>
      <w:r>
        <w:t>Gray</w:t>
      </w:r>
      <w:proofErr w:type="spellEnd"/>
      <w:r>
        <w:t xml:space="preserve">, V. 2001. ‘Herodotus’ Literary and Historical Method: Arion’s Story (1.23.-24)’, </w:t>
      </w:r>
      <w:r>
        <w:rPr>
          <w:i/>
        </w:rPr>
        <w:t xml:space="preserve">The American Journal of Philology. </w:t>
      </w:r>
      <w:r>
        <w:t>122. 1, 11-28.</w:t>
      </w:r>
    </w:p>
    <w:p w:rsidR="004739FA" w:rsidRDefault="004739FA" w:rsidP="004739FA">
      <w:r>
        <w:t xml:space="preserve">Harrison, T. 2018. ‘The Moral of History’, in T. Harrison and E. Irwin (eds.) </w:t>
      </w:r>
      <w:r>
        <w:rPr>
          <w:i/>
        </w:rPr>
        <w:t xml:space="preserve">Interpreting Herodotus. </w:t>
      </w:r>
      <w:r>
        <w:t>Oxford: Oxford University Press. 335-356.</w:t>
      </w:r>
    </w:p>
    <w:p w:rsidR="004739FA" w:rsidRPr="006C01D2" w:rsidRDefault="004739FA" w:rsidP="004739FA">
      <w:r>
        <w:t xml:space="preserve">Whitehouse, J.A. 2009. ‘Historical Inquiry: Herodotus, Thucydides and the classroom’, </w:t>
      </w:r>
      <w:r>
        <w:rPr>
          <w:i/>
        </w:rPr>
        <w:t xml:space="preserve">Agora. </w:t>
      </w:r>
      <w:r>
        <w:t>44. 4, 4-9.</w:t>
      </w:r>
    </w:p>
    <w:p w:rsidR="00635C2A" w:rsidRDefault="00635C2A"/>
    <w:sectPr w:rsidR="00635C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1603D" w:rsidRDefault="00D1603D" w:rsidP="004739FA">
      <w:pPr>
        <w:spacing w:after="0" w:line="240" w:lineRule="auto"/>
      </w:pPr>
      <w:r>
        <w:separator/>
      </w:r>
    </w:p>
  </w:endnote>
  <w:endnote w:type="continuationSeparator" w:id="0">
    <w:p w:rsidR="00D1603D" w:rsidRDefault="00D1603D" w:rsidP="00473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1603D" w:rsidRDefault="00D1603D" w:rsidP="004739FA">
      <w:pPr>
        <w:spacing w:after="0" w:line="240" w:lineRule="auto"/>
      </w:pPr>
      <w:r>
        <w:separator/>
      </w:r>
    </w:p>
  </w:footnote>
  <w:footnote w:type="continuationSeparator" w:id="0">
    <w:p w:rsidR="00D1603D" w:rsidRDefault="00D1603D" w:rsidP="004739FA">
      <w:pPr>
        <w:spacing w:after="0" w:line="240" w:lineRule="auto"/>
      </w:pPr>
      <w:r>
        <w:continuationSeparator/>
      </w:r>
    </w:p>
  </w:footnote>
  <w:footnote w:id="1">
    <w:p w:rsidR="004739FA" w:rsidRDefault="004739FA" w:rsidP="004739FA">
      <w:pPr>
        <w:pStyle w:val="FootnoteText"/>
      </w:pPr>
      <w:r>
        <w:rPr>
          <w:rStyle w:val="FootnoteReference"/>
        </w:rPr>
        <w:footnoteRef/>
      </w:r>
      <w:r>
        <w:t xml:space="preserve"> </w:t>
      </w:r>
      <w:proofErr w:type="spellStart"/>
      <w:r>
        <w:t>Cic</w:t>
      </w:r>
      <w:proofErr w:type="spellEnd"/>
      <w:r>
        <w:t>. Leg. 1.5</w:t>
      </w:r>
    </w:p>
  </w:footnote>
  <w:footnote w:id="2">
    <w:p w:rsidR="004739FA" w:rsidRDefault="004739FA" w:rsidP="004739FA">
      <w:pPr>
        <w:pStyle w:val="FootnoteText"/>
      </w:pPr>
      <w:r>
        <w:rPr>
          <w:rStyle w:val="FootnoteReference"/>
        </w:rPr>
        <w:footnoteRef/>
      </w:r>
      <w:r>
        <w:t xml:space="preserve"> Whitehouse 2009: 4</w:t>
      </w:r>
    </w:p>
  </w:footnote>
  <w:footnote w:id="3">
    <w:p w:rsidR="004739FA" w:rsidRDefault="004739FA" w:rsidP="004739FA">
      <w:pPr>
        <w:pStyle w:val="FootnoteText"/>
      </w:pPr>
      <w:r>
        <w:rPr>
          <w:rStyle w:val="FootnoteReference"/>
        </w:rPr>
        <w:footnoteRef/>
      </w:r>
      <w:r>
        <w:t xml:space="preserve"> Harrison 2018: 337</w:t>
      </w:r>
    </w:p>
  </w:footnote>
  <w:footnote w:id="4">
    <w:p w:rsidR="004739FA" w:rsidRDefault="004739FA" w:rsidP="004739FA">
      <w:pPr>
        <w:pStyle w:val="FootnoteText"/>
      </w:pPr>
      <w:r>
        <w:rPr>
          <w:rStyle w:val="FootnoteReference"/>
        </w:rPr>
        <w:footnoteRef/>
      </w:r>
      <w:r>
        <w:t xml:space="preserve"> Harrison 2018: 337, 340-341</w:t>
      </w:r>
    </w:p>
  </w:footnote>
  <w:footnote w:id="5">
    <w:p w:rsidR="004739FA" w:rsidRDefault="004739FA" w:rsidP="004739FA">
      <w:pPr>
        <w:pStyle w:val="FootnoteText"/>
      </w:pPr>
      <w:r>
        <w:rPr>
          <w:rStyle w:val="FootnoteReference"/>
        </w:rPr>
        <w:footnoteRef/>
      </w:r>
      <w:r>
        <w:t xml:space="preserve"> Harrison 2018: 337</w:t>
      </w:r>
    </w:p>
  </w:footnote>
  <w:footnote w:id="6">
    <w:p w:rsidR="004739FA" w:rsidRDefault="004739FA" w:rsidP="004739FA">
      <w:pPr>
        <w:pStyle w:val="FootnoteText"/>
      </w:pPr>
      <w:r>
        <w:rPr>
          <w:rStyle w:val="FootnoteReference"/>
        </w:rPr>
        <w:footnoteRef/>
      </w:r>
      <w:r>
        <w:t xml:space="preserve"> </w:t>
      </w:r>
      <w:proofErr w:type="spellStart"/>
      <w:r>
        <w:t>Hdt</w:t>
      </w:r>
      <w:proofErr w:type="spellEnd"/>
      <w:r>
        <w:t>. 2.99.1</w:t>
      </w:r>
    </w:p>
  </w:footnote>
  <w:footnote w:id="7">
    <w:p w:rsidR="004739FA" w:rsidRDefault="004739FA" w:rsidP="004739FA">
      <w:pPr>
        <w:pStyle w:val="FootnoteText"/>
      </w:pPr>
      <w:r>
        <w:rPr>
          <w:rStyle w:val="FootnoteReference"/>
        </w:rPr>
        <w:footnoteRef/>
      </w:r>
      <w:r>
        <w:t xml:space="preserve"> </w:t>
      </w:r>
      <w:proofErr w:type="spellStart"/>
      <w:r>
        <w:t>Hdt</w:t>
      </w:r>
      <w:proofErr w:type="spellEnd"/>
      <w:r>
        <w:t>. 7.152.3</w:t>
      </w:r>
    </w:p>
  </w:footnote>
  <w:footnote w:id="8">
    <w:p w:rsidR="004739FA" w:rsidRDefault="004739FA" w:rsidP="004739FA">
      <w:pPr>
        <w:pStyle w:val="FootnoteText"/>
      </w:pPr>
      <w:r>
        <w:rPr>
          <w:rStyle w:val="FootnoteReference"/>
        </w:rPr>
        <w:footnoteRef/>
      </w:r>
      <w:r>
        <w:t xml:space="preserve"> </w:t>
      </w:r>
      <w:proofErr w:type="spellStart"/>
      <w:r>
        <w:t>Hdt</w:t>
      </w:r>
      <w:proofErr w:type="spellEnd"/>
      <w:r>
        <w:t>. 2.99.1, 7.152.3</w:t>
      </w:r>
    </w:p>
  </w:footnote>
  <w:footnote w:id="9">
    <w:p w:rsidR="004739FA" w:rsidRDefault="004739FA" w:rsidP="004739FA">
      <w:pPr>
        <w:pStyle w:val="FootnoteText"/>
      </w:pPr>
      <w:r>
        <w:rPr>
          <w:rStyle w:val="FootnoteReference"/>
        </w:rPr>
        <w:footnoteRef/>
      </w:r>
      <w:r>
        <w:t xml:space="preserve"> Evans 1968:11</w:t>
      </w:r>
    </w:p>
  </w:footnote>
  <w:footnote w:id="10">
    <w:p w:rsidR="004739FA" w:rsidRDefault="004739FA" w:rsidP="004739FA">
      <w:pPr>
        <w:pStyle w:val="FootnoteText"/>
      </w:pPr>
      <w:r>
        <w:rPr>
          <w:rStyle w:val="FootnoteReference"/>
        </w:rPr>
        <w:footnoteRef/>
      </w:r>
      <w:r>
        <w:t xml:space="preserve"> </w:t>
      </w:r>
      <w:proofErr w:type="spellStart"/>
      <w:r>
        <w:t>Cic</w:t>
      </w:r>
      <w:proofErr w:type="spellEnd"/>
      <w:r>
        <w:t xml:space="preserve">. </w:t>
      </w:r>
      <w:r w:rsidRPr="00D06E45">
        <w:rPr>
          <w:i/>
        </w:rPr>
        <w:t>Leg</w:t>
      </w:r>
      <w:r>
        <w:t xml:space="preserve">. 1.5; </w:t>
      </w:r>
      <w:proofErr w:type="spellStart"/>
      <w:r>
        <w:t>Cic</w:t>
      </w:r>
      <w:proofErr w:type="spellEnd"/>
      <w:r>
        <w:t xml:space="preserve">. </w:t>
      </w:r>
      <w:r w:rsidRPr="00D06E45">
        <w:rPr>
          <w:i/>
        </w:rPr>
        <w:t>Div</w:t>
      </w:r>
      <w:r>
        <w:t>. 1.121, 2.116; Evans 1968: 11; Whitehouse 2009: 5</w:t>
      </w:r>
    </w:p>
  </w:footnote>
  <w:footnote w:id="11">
    <w:p w:rsidR="004739FA" w:rsidRDefault="004739FA" w:rsidP="004739FA">
      <w:pPr>
        <w:pStyle w:val="FootnoteText"/>
      </w:pPr>
      <w:r>
        <w:rPr>
          <w:rStyle w:val="FootnoteReference"/>
        </w:rPr>
        <w:footnoteRef/>
      </w:r>
      <w:r>
        <w:t xml:space="preserve"> Evans 1968: 14-15</w:t>
      </w:r>
    </w:p>
  </w:footnote>
  <w:footnote w:id="12">
    <w:p w:rsidR="004739FA" w:rsidRDefault="004739FA" w:rsidP="004739FA">
      <w:pPr>
        <w:pStyle w:val="FootnoteText"/>
      </w:pPr>
      <w:r>
        <w:rPr>
          <w:rStyle w:val="FootnoteReference"/>
        </w:rPr>
        <w:footnoteRef/>
      </w:r>
      <w:r>
        <w:t xml:space="preserve"> </w:t>
      </w:r>
      <w:proofErr w:type="spellStart"/>
      <w:r>
        <w:t>Plut</w:t>
      </w:r>
      <w:proofErr w:type="spellEnd"/>
      <w:r>
        <w:t xml:space="preserve">. </w:t>
      </w:r>
      <w:r w:rsidRPr="006D5B29">
        <w:rPr>
          <w:i/>
        </w:rPr>
        <w:t>De. Herod.</w:t>
      </w:r>
      <w:r>
        <w:t xml:space="preserve"> 1, 12; Barrow 1967: 156-157;  Evans 1968: 14-15</w:t>
      </w:r>
    </w:p>
  </w:footnote>
  <w:footnote w:id="13">
    <w:p w:rsidR="004739FA" w:rsidRDefault="004739FA" w:rsidP="004739FA">
      <w:pPr>
        <w:pStyle w:val="FootnoteText"/>
      </w:pPr>
      <w:r>
        <w:rPr>
          <w:rStyle w:val="FootnoteReference"/>
        </w:rPr>
        <w:footnoteRef/>
      </w:r>
      <w:r>
        <w:t xml:space="preserve"> Evans 1968: 14-15</w:t>
      </w:r>
    </w:p>
  </w:footnote>
  <w:footnote w:id="14">
    <w:p w:rsidR="004739FA" w:rsidRDefault="004739FA" w:rsidP="004739FA">
      <w:pPr>
        <w:pStyle w:val="FootnoteText"/>
      </w:pPr>
      <w:r>
        <w:rPr>
          <w:rStyle w:val="FootnoteReference"/>
        </w:rPr>
        <w:footnoteRef/>
      </w:r>
      <w:r>
        <w:t xml:space="preserve"> </w:t>
      </w:r>
      <w:proofErr w:type="spellStart"/>
      <w:r>
        <w:t>Hdt</w:t>
      </w:r>
      <w:proofErr w:type="spellEnd"/>
      <w:r>
        <w:t>. 7.225</w:t>
      </w:r>
    </w:p>
  </w:footnote>
  <w:footnote w:id="15">
    <w:p w:rsidR="004739FA" w:rsidRDefault="004739FA" w:rsidP="004739FA">
      <w:pPr>
        <w:pStyle w:val="FootnoteText"/>
      </w:pPr>
      <w:r>
        <w:rPr>
          <w:rStyle w:val="FootnoteReference"/>
        </w:rPr>
        <w:footnoteRef/>
      </w:r>
      <w:r>
        <w:t xml:space="preserve"> </w:t>
      </w:r>
      <w:proofErr w:type="spellStart"/>
      <w:r>
        <w:t>Hdt</w:t>
      </w:r>
      <w:proofErr w:type="spellEnd"/>
      <w:r>
        <w:t>. 7.225</w:t>
      </w:r>
    </w:p>
  </w:footnote>
  <w:footnote w:id="16">
    <w:p w:rsidR="004739FA" w:rsidRDefault="004739FA" w:rsidP="004739FA">
      <w:pPr>
        <w:pStyle w:val="FootnoteText"/>
      </w:pPr>
      <w:r>
        <w:rPr>
          <w:rStyle w:val="FootnoteReference"/>
        </w:rPr>
        <w:footnoteRef/>
      </w:r>
      <w:r>
        <w:t xml:space="preserve"> </w:t>
      </w:r>
      <w:proofErr w:type="spellStart"/>
      <w:r>
        <w:t>Hdt</w:t>
      </w:r>
      <w:proofErr w:type="spellEnd"/>
      <w:r>
        <w:t xml:space="preserve">. 1.23-24; </w:t>
      </w:r>
      <w:proofErr w:type="spellStart"/>
      <w:r>
        <w:t>Gray</w:t>
      </w:r>
      <w:proofErr w:type="spellEnd"/>
      <w:r>
        <w:t xml:space="preserve"> 2001: 12-14 </w:t>
      </w:r>
    </w:p>
  </w:footnote>
  <w:footnote w:id="17">
    <w:p w:rsidR="004739FA" w:rsidRDefault="004739FA" w:rsidP="004739FA">
      <w:pPr>
        <w:pStyle w:val="FootnoteText"/>
      </w:pPr>
      <w:r>
        <w:rPr>
          <w:rStyle w:val="FootnoteReference"/>
        </w:rPr>
        <w:footnoteRef/>
      </w:r>
      <w:r>
        <w:t xml:space="preserve"> </w:t>
      </w:r>
      <w:proofErr w:type="spellStart"/>
      <w:r>
        <w:t>Hdt</w:t>
      </w:r>
      <w:proofErr w:type="spellEnd"/>
      <w:r>
        <w:t xml:space="preserve">. 1.23-24; </w:t>
      </w:r>
      <w:proofErr w:type="spellStart"/>
      <w:r>
        <w:t>Gray</w:t>
      </w:r>
      <w:proofErr w:type="spellEnd"/>
      <w:r>
        <w:t xml:space="preserve"> 2001: 11-14</w:t>
      </w:r>
    </w:p>
  </w:footnote>
  <w:footnote w:id="18">
    <w:p w:rsidR="004739FA" w:rsidRDefault="004739FA" w:rsidP="004739FA">
      <w:pPr>
        <w:pStyle w:val="FootnoteText"/>
      </w:pPr>
      <w:r>
        <w:rPr>
          <w:rStyle w:val="FootnoteReference"/>
        </w:rPr>
        <w:footnoteRef/>
      </w:r>
      <w:r>
        <w:t xml:space="preserve"> </w:t>
      </w:r>
      <w:proofErr w:type="spellStart"/>
      <w:r>
        <w:t>Hdt</w:t>
      </w:r>
      <w:proofErr w:type="spellEnd"/>
      <w:r>
        <w:t xml:space="preserve">. 1.23-24; </w:t>
      </w:r>
      <w:proofErr w:type="spellStart"/>
      <w:r>
        <w:t>Gray</w:t>
      </w:r>
      <w:proofErr w:type="spellEnd"/>
      <w:r>
        <w:t xml:space="preserve"> 2001: 15</w:t>
      </w:r>
    </w:p>
  </w:footnote>
  <w:footnote w:id="19">
    <w:p w:rsidR="004739FA" w:rsidRDefault="004739FA" w:rsidP="004739FA">
      <w:pPr>
        <w:pStyle w:val="FootnoteText"/>
      </w:pPr>
      <w:r>
        <w:rPr>
          <w:rStyle w:val="FootnoteReference"/>
        </w:rPr>
        <w:footnoteRef/>
      </w:r>
      <w:r>
        <w:t xml:space="preserve"> </w:t>
      </w:r>
      <w:proofErr w:type="spellStart"/>
      <w:r>
        <w:t>Hdt</w:t>
      </w:r>
      <w:proofErr w:type="spellEnd"/>
      <w:r>
        <w:t xml:space="preserve">. 1.23-24; </w:t>
      </w:r>
      <w:proofErr w:type="spellStart"/>
      <w:r>
        <w:t>Gray</w:t>
      </w:r>
      <w:proofErr w:type="spellEnd"/>
      <w:r>
        <w:t xml:space="preserve"> 2001: 12-15</w:t>
      </w:r>
    </w:p>
  </w:footnote>
  <w:footnote w:id="20">
    <w:p w:rsidR="004739FA" w:rsidRDefault="004739FA" w:rsidP="004739FA">
      <w:pPr>
        <w:pStyle w:val="FootnoteText"/>
      </w:pPr>
      <w:r>
        <w:rPr>
          <w:rStyle w:val="FootnoteReference"/>
        </w:rPr>
        <w:footnoteRef/>
      </w:r>
      <w:r>
        <w:t xml:space="preserve"> </w:t>
      </w:r>
      <w:proofErr w:type="spellStart"/>
      <w:r>
        <w:t>Hdt</w:t>
      </w:r>
      <w:proofErr w:type="spellEnd"/>
      <w:r>
        <w:t xml:space="preserve">. 1.23-24; </w:t>
      </w:r>
      <w:proofErr w:type="spellStart"/>
      <w:r>
        <w:t>Gray</w:t>
      </w:r>
      <w:proofErr w:type="spellEnd"/>
      <w:r>
        <w:t xml:space="preserve"> 2001: 15-16</w:t>
      </w:r>
    </w:p>
  </w:footnote>
  <w:footnote w:id="21">
    <w:p w:rsidR="004739FA" w:rsidRDefault="004739FA" w:rsidP="004739FA">
      <w:pPr>
        <w:pStyle w:val="FootnoteText"/>
      </w:pPr>
      <w:r>
        <w:rPr>
          <w:rStyle w:val="FootnoteReference"/>
        </w:rPr>
        <w:footnoteRef/>
      </w:r>
      <w:r>
        <w:t xml:space="preserve"> </w:t>
      </w:r>
      <w:proofErr w:type="spellStart"/>
      <w:r>
        <w:t>Hdt</w:t>
      </w:r>
      <w:proofErr w:type="spellEnd"/>
      <w:r>
        <w:t>. 1.23-24</w:t>
      </w:r>
    </w:p>
  </w:footnote>
  <w:footnote w:id="22">
    <w:p w:rsidR="004739FA" w:rsidRDefault="004739FA" w:rsidP="004739FA">
      <w:pPr>
        <w:pStyle w:val="FootnoteText"/>
      </w:pPr>
      <w:r>
        <w:rPr>
          <w:rStyle w:val="FootnoteReference"/>
        </w:rPr>
        <w:footnoteRef/>
      </w:r>
      <w:r>
        <w:t xml:space="preserve"> </w:t>
      </w:r>
      <w:proofErr w:type="spellStart"/>
      <w:r>
        <w:t>Gray</w:t>
      </w:r>
      <w:proofErr w:type="spellEnd"/>
      <w:r>
        <w:t xml:space="preserve"> 2001: 26</w:t>
      </w:r>
    </w:p>
  </w:footnote>
  <w:footnote w:id="23">
    <w:p w:rsidR="004739FA" w:rsidRDefault="004739FA" w:rsidP="004739FA">
      <w:pPr>
        <w:pStyle w:val="FootnoteText"/>
      </w:pPr>
      <w:r>
        <w:rPr>
          <w:rStyle w:val="FootnoteReference"/>
        </w:rPr>
        <w:footnoteRef/>
      </w:r>
      <w:r>
        <w:t xml:space="preserve"> Whitehouse 2009: 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39FA"/>
    <w:rsid w:val="0001762F"/>
    <w:rsid w:val="001F1B01"/>
    <w:rsid w:val="002B3CEB"/>
    <w:rsid w:val="004739FA"/>
    <w:rsid w:val="005D0592"/>
    <w:rsid w:val="00635C2A"/>
    <w:rsid w:val="00D1603D"/>
    <w:rsid w:val="00E14290"/>
    <w:rsid w:val="00EA3974"/>
    <w:rsid w:val="00F22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83266"/>
  <w15:chartTrackingRefBased/>
  <w15:docId w15:val="{47D726D4-6A7F-4A0A-879F-AE157BA5A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39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739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39FA"/>
    <w:rPr>
      <w:sz w:val="20"/>
      <w:szCs w:val="20"/>
    </w:rPr>
  </w:style>
  <w:style w:type="character" w:styleId="FootnoteReference">
    <w:name w:val="footnote reference"/>
    <w:basedOn w:val="DefaultParagraphFont"/>
    <w:uiPriority w:val="99"/>
    <w:semiHidden/>
    <w:unhideWhenUsed/>
    <w:rsid w:val="004739F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877</Words>
  <Characters>4999</Characters>
  <Application>Microsoft Office Word</Application>
  <DocSecurity>0</DocSecurity>
  <Lines>41</Lines>
  <Paragraphs>11</Paragraphs>
  <ScaleCrop>false</ScaleCrop>
  <Company>University of Wales Trinity Saint David</Company>
  <LinksUpToDate>false</LinksUpToDate>
  <CharactersWithSpaces>5865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Childs</dc:creator>
  <cp:keywords/>
  <dc:description/>
  <cp:lastModifiedBy>Callum Childs</cp:lastModifiedBy>
  <cp:revision>2</cp:revision>
  <dcterms:created xsi:type="dcterms:W3CDTF">2019-02-15T17:02:00Z</dcterms:created>
  <dcterms:modified xsi:type="dcterms:W3CDTF">2019-02-15T17:03:00Z</dcterms:modified>
</cp:coreProperties>
</file>