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1BC6E45" w14:textId="26BFD50E" w:rsidR="009303D9" w:rsidRPr="008B6524" w:rsidRDefault="009303D9" w:rsidP="008B6524">
      <w:pPr>
        <w:pStyle w:val="papertitle"/>
        <w:spacing w:before="5pt" w:beforeAutospacing="1" w:after="5pt" w:afterAutospacing="1"/>
        <w:rPr>
          <w:kern w:val="48"/>
        </w:rPr>
      </w:pPr>
      <w:r w:rsidRPr="008B6524">
        <w:rPr>
          <w:kern w:val="48"/>
        </w:rPr>
        <w:t xml:space="preserve"> </w:t>
      </w:r>
      <w:r w:rsidR="00F30F74">
        <w:rPr>
          <w:kern w:val="48"/>
        </w:rPr>
        <w:t xml:space="preserve">Assignmen Title: </w:t>
      </w:r>
      <w:r w:rsidR="002D1D62" w:rsidRPr="002D1D62">
        <w:rPr>
          <w:b/>
          <w:kern w:val="48"/>
          <w:lang w:val="en-GB"/>
        </w:rPr>
        <w:t>Research and case scenario in Data Security and Compliance</w:t>
      </w:r>
    </w:p>
    <w:p w14:paraId="1CAC1C54" w14:textId="4A1954D0" w:rsidR="00F30F74" w:rsidRDefault="00F30F74" w:rsidP="008B6524">
      <w:pPr>
        <w:pStyle w:val="Author"/>
        <w:spacing w:before="5pt" w:beforeAutospacing="1" w:after="5pt" w:afterAutospacing="1"/>
        <w:rPr>
          <w:sz w:val="16"/>
          <w:szCs w:val="16"/>
        </w:rPr>
      </w:pPr>
      <w:r>
        <w:rPr>
          <w:sz w:val="16"/>
          <w:szCs w:val="16"/>
        </w:rPr>
        <w:t xml:space="preserve">Module: </w:t>
      </w:r>
      <w:r w:rsidRPr="00F30F74">
        <w:rPr>
          <w:b/>
          <w:bCs/>
          <w:sz w:val="16"/>
          <w:szCs w:val="16"/>
        </w:rPr>
        <w:t>Data Security and Compliance</w:t>
      </w:r>
    </w:p>
    <w:p w14:paraId="24DF2CD4" w14:textId="285D41A5" w:rsidR="009303D9" w:rsidRPr="002D1D62" w:rsidRDefault="002D1D62" w:rsidP="008B6524">
      <w:pPr>
        <w:pStyle w:val="Author"/>
        <w:spacing w:before="5pt" w:beforeAutospacing="1" w:after="5pt" w:afterAutospacing="1"/>
        <w:rPr>
          <w:b/>
          <w:bCs/>
          <w:sz w:val="16"/>
          <w:szCs w:val="16"/>
        </w:rPr>
      </w:pPr>
      <w:r>
        <w:rPr>
          <w:sz w:val="16"/>
          <w:szCs w:val="16"/>
        </w:rPr>
        <w:t xml:space="preserve">Module Code: </w:t>
      </w:r>
      <w:r w:rsidRPr="002D1D62">
        <w:rPr>
          <w:b/>
          <w:bCs/>
          <w:sz w:val="16"/>
          <w:szCs w:val="16"/>
        </w:rPr>
        <w:t>ACCA5034</w:t>
      </w:r>
    </w:p>
    <w:p w14:paraId="638CA60F" w14:textId="39D7CB5A" w:rsidR="002D1D62" w:rsidRDefault="002D1D62" w:rsidP="008B6524">
      <w:pPr>
        <w:pStyle w:val="Author"/>
        <w:spacing w:before="5pt" w:beforeAutospacing="1" w:after="5pt" w:afterAutospacing="1"/>
        <w:rPr>
          <w:sz w:val="16"/>
          <w:szCs w:val="16"/>
        </w:rPr>
      </w:pPr>
      <w:r>
        <w:rPr>
          <w:sz w:val="16"/>
          <w:szCs w:val="16"/>
        </w:rPr>
        <w:t xml:space="preserve">Student Name: </w:t>
      </w:r>
      <w:r w:rsidRPr="002D1D62">
        <w:rPr>
          <w:b/>
          <w:bCs/>
          <w:sz w:val="16"/>
          <w:szCs w:val="16"/>
        </w:rPr>
        <w:t>David Nyadu Larbi</w:t>
      </w:r>
    </w:p>
    <w:p w14:paraId="0C6ADE74" w14:textId="429EA4B9" w:rsidR="002D1D62" w:rsidRDefault="002D1D62" w:rsidP="008B6524">
      <w:pPr>
        <w:pStyle w:val="Author"/>
        <w:spacing w:before="5pt" w:beforeAutospacing="1" w:after="5pt" w:afterAutospacing="1"/>
        <w:rPr>
          <w:sz w:val="16"/>
          <w:szCs w:val="16"/>
        </w:rPr>
      </w:pPr>
      <w:r>
        <w:rPr>
          <w:sz w:val="16"/>
          <w:szCs w:val="16"/>
        </w:rPr>
        <w:t xml:space="preserve">Student Number: </w:t>
      </w:r>
      <w:r w:rsidRPr="002D1D62">
        <w:rPr>
          <w:b/>
          <w:bCs/>
          <w:sz w:val="16"/>
          <w:szCs w:val="16"/>
        </w:rPr>
        <w:t>2407275</w:t>
      </w:r>
    </w:p>
    <w:p w14:paraId="45FF0307" w14:textId="1463F4BB" w:rsidR="002D1D62" w:rsidRDefault="002D1D62" w:rsidP="008B6524">
      <w:pPr>
        <w:pStyle w:val="Author"/>
        <w:spacing w:before="5pt" w:beforeAutospacing="1" w:after="5pt" w:afterAutospacing="1"/>
        <w:rPr>
          <w:b/>
          <w:bCs/>
          <w:sz w:val="16"/>
          <w:szCs w:val="16"/>
        </w:rPr>
      </w:pPr>
      <w:r>
        <w:rPr>
          <w:sz w:val="16"/>
          <w:szCs w:val="16"/>
        </w:rPr>
        <w:t xml:space="preserve">Modue Tutor: </w:t>
      </w:r>
      <w:r w:rsidRPr="002D1D62">
        <w:rPr>
          <w:b/>
          <w:bCs/>
          <w:sz w:val="16"/>
          <w:szCs w:val="16"/>
        </w:rPr>
        <w:t>Dr Mohamed Ben Farah</w:t>
      </w:r>
    </w:p>
    <w:p w14:paraId="6FAC51A4" w14:textId="71F191ED" w:rsidR="00ED77F6" w:rsidRPr="00ED77F6" w:rsidRDefault="00ED77F6" w:rsidP="008B6524">
      <w:pPr>
        <w:pStyle w:val="Author"/>
        <w:spacing w:before="5pt" w:beforeAutospacing="1" w:after="5pt" w:afterAutospacing="1"/>
        <w:rPr>
          <w:sz w:val="16"/>
          <w:szCs w:val="16"/>
        </w:rPr>
      </w:pPr>
      <w:r>
        <w:rPr>
          <w:sz w:val="16"/>
          <w:szCs w:val="16"/>
        </w:rPr>
        <w:t xml:space="preserve">Date: </w:t>
      </w:r>
      <w:r w:rsidRPr="003C4719">
        <w:rPr>
          <w:b/>
          <w:bCs/>
          <w:sz w:val="16"/>
          <w:szCs w:val="16"/>
        </w:rPr>
        <w:t>31</w:t>
      </w:r>
      <w:r w:rsidRPr="003C4719">
        <w:rPr>
          <w:b/>
          <w:bCs/>
          <w:sz w:val="16"/>
          <w:szCs w:val="16"/>
          <w:vertAlign w:val="superscript"/>
        </w:rPr>
        <w:t>st</w:t>
      </w:r>
      <w:r w:rsidRPr="003C4719">
        <w:rPr>
          <w:b/>
          <w:bCs/>
          <w:sz w:val="16"/>
          <w:szCs w:val="16"/>
        </w:rPr>
        <w:t xml:space="preserve"> March 2026</w:t>
      </w:r>
    </w:p>
    <w:p w14:paraId="20C779BD" w14:textId="77777777" w:rsidR="00D7522C" w:rsidRDefault="00D7522C" w:rsidP="003B4E04">
      <w:pPr>
        <w:pStyle w:val="Author"/>
        <w:spacing w:before="5pt" w:beforeAutospacing="1" w:after="5pt" w:afterAutospacing="1" w:line="6pt" w:lineRule="auto"/>
        <w:rPr>
          <w:sz w:val="16"/>
          <w:szCs w:val="16"/>
        </w:rPr>
      </w:pPr>
    </w:p>
    <w:p w14:paraId="1F960E65"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sdt>
      <w:sdtPr>
        <w:rPr>
          <w:b/>
          <w:bCs/>
          <w:sz w:val="18"/>
          <w:szCs w:val="18"/>
        </w:rPr>
        <w:id w:val="303666788"/>
        <w:docPartObj>
          <w:docPartGallery w:val="Table of Contents"/>
          <w:docPartUnique/>
        </w:docPartObj>
      </w:sdtPr>
      <w:sdtEndPr>
        <w:rPr>
          <w:lang w:val="en-GB"/>
        </w:rPr>
      </w:sdtEndPr>
      <w:sdtContent>
        <w:p w14:paraId="35A902B2" w14:textId="77777777" w:rsidR="00C7194B" w:rsidRPr="00C7194B" w:rsidRDefault="00C7194B" w:rsidP="00C7194B">
          <w:pPr>
            <w:pStyle w:val="Author"/>
            <w:spacing w:before="5pt" w:beforeAutospacing="1"/>
            <w:rPr>
              <w:b/>
              <w:bCs/>
              <w:sz w:val="18"/>
              <w:szCs w:val="18"/>
            </w:rPr>
          </w:pPr>
          <w:r w:rsidRPr="00C7194B">
            <w:rPr>
              <w:b/>
              <w:bCs/>
              <w:sz w:val="18"/>
              <w:szCs w:val="18"/>
            </w:rPr>
            <w:t>Table of Contents</w:t>
          </w:r>
        </w:p>
        <w:p w14:paraId="2FD93F91" w14:textId="494508D6" w:rsidR="00C7194B" w:rsidRPr="00C7194B" w:rsidRDefault="00C7194B" w:rsidP="00C7194B">
          <w:pPr>
            <w:pStyle w:val="Author"/>
            <w:spacing w:before="5pt" w:beforeAutospacing="1"/>
            <w:rPr>
              <w:b/>
              <w:bCs/>
              <w:i/>
              <w:iCs/>
              <w:sz w:val="18"/>
              <w:szCs w:val="18"/>
              <w:lang w:val="en-GB"/>
            </w:rPr>
          </w:pPr>
          <w:r w:rsidRPr="00C7194B">
            <w:rPr>
              <w:i/>
              <w:iCs/>
              <w:sz w:val="18"/>
              <w:szCs w:val="18"/>
              <w:lang w:val="en-GB"/>
            </w:rPr>
            <w:fldChar w:fldCharType="begin"/>
          </w:r>
          <w:r w:rsidRPr="00C7194B">
            <w:rPr>
              <w:b/>
              <w:bCs/>
              <w:i/>
              <w:iCs/>
              <w:sz w:val="18"/>
              <w:szCs w:val="18"/>
              <w:lang w:val="en-GB"/>
            </w:rPr>
            <w:instrText xml:space="preserve"> TOC \o "1-3" \h \z \u </w:instrText>
          </w:r>
          <w:r w:rsidRPr="00C7194B">
            <w:rPr>
              <w:i/>
              <w:iCs/>
              <w:sz w:val="18"/>
              <w:szCs w:val="18"/>
              <w:lang w:val="en-GB"/>
            </w:rPr>
            <w:fldChar w:fldCharType="separate"/>
          </w:r>
          <w:hyperlink w:anchor="_Toc225462585" w:history="1">
            <w:r w:rsidRPr="00C7194B">
              <w:rPr>
                <w:rStyle w:val="Hyperlink"/>
                <w:b/>
                <w:bCs/>
                <w:i/>
                <w:iCs/>
                <w:sz w:val="18"/>
                <w:szCs w:val="18"/>
                <w:lang w:val="en-GB"/>
              </w:rPr>
              <w:t>Task 1: Research in Data Security and Compliance</w:t>
            </w:r>
            <w:r w:rsidRPr="00C7194B">
              <w:rPr>
                <w:rStyle w:val="Hyperlink"/>
                <w:b/>
                <w:bCs/>
                <w:i/>
                <w:iCs/>
                <w:webHidden/>
                <w:sz w:val="18"/>
                <w:szCs w:val="18"/>
                <w:lang w:val="en-GB"/>
              </w:rPr>
              <w:tab/>
            </w:r>
            <w:r w:rsidRPr="00C7194B">
              <w:rPr>
                <w:rStyle w:val="Hyperlink"/>
                <w:b/>
                <w:bCs/>
                <w:i/>
                <w:iCs/>
                <w:webHidden/>
                <w:sz w:val="18"/>
                <w:szCs w:val="18"/>
                <w:lang w:val="en-GB"/>
              </w:rPr>
              <w:fldChar w:fldCharType="begin"/>
            </w:r>
            <w:r w:rsidRPr="00C7194B">
              <w:rPr>
                <w:rStyle w:val="Hyperlink"/>
                <w:b/>
                <w:bCs/>
                <w:i/>
                <w:iCs/>
                <w:webHidden/>
                <w:sz w:val="18"/>
                <w:szCs w:val="18"/>
                <w:lang w:val="en-GB"/>
              </w:rPr>
              <w:instrText xml:space="preserve"> PAGEREF _Toc225462585 \h </w:instrText>
            </w:r>
            <w:r w:rsidRPr="00C7194B">
              <w:rPr>
                <w:rStyle w:val="Hyperlink"/>
                <w:b/>
                <w:bCs/>
                <w:i/>
                <w:iCs/>
                <w:webHidden/>
                <w:sz w:val="18"/>
                <w:szCs w:val="18"/>
                <w:lang w:val="en-GB"/>
              </w:rPr>
            </w:r>
            <w:r w:rsidRPr="00C7194B">
              <w:rPr>
                <w:rStyle w:val="Hyperlink"/>
                <w:b/>
                <w:bCs/>
                <w:i/>
                <w:iCs/>
                <w:webHidden/>
                <w:sz w:val="18"/>
                <w:szCs w:val="18"/>
                <w:lang w:val="en-GB"/>
              </w:rPr>
              <w:fldChar w:fldCharType="separate"/>
            </w:r>
            <w:r w:rsidR="002D1D62">
              <w:rPr>
                <w:rStyle w:val="Hyperlink"/>
                <w:b/>
                <w:bCs/>
                <w:i/>
                <w:iCs/>
                <w:webHidden/>
                <w:sz w:val="18"/>
                <w:szCs w:val="18"/>
                <w:lang w:val="en-GB"/>
              </w:rPr>
              <w:t>1</w:t>
            </w:r>
            <w:r w:rsidRPr="00C7194B">
              <w:rPr>
                <w:rStyle w:val="Hyperlink"/>
                <w:webHidden/>
                <w:sz w:val="18"/>
                <w:szCs w:val="18"/>
              </w:rPr>
              <w:fldChar w:fldCharType="end"/>
            </w:r>
          </w:hyperlink>
        </w:p>
        <w:p w14:paraId="3C687831" w14:textId="1B6378EA" w:rsidR="00C7194B" w:rsidRPr="00C7194B" w:rsidRDefault="00C7194B" w:rsidP="00C7194B">
          <w:pPr>
            <w:pStyle w:val="Author"/>
            <w:spacing w:before="5pt" w:beforeAutospacing="1"/>
            <w:rPr>
              <w:b/>
              <w:bCs/>
              <w:sz w:val="18"/>
              <w:szCs w:val="18"/>
              <w:lang w:val="en-GB"/>
            </w:rPr>
          </w:pPr>
          <w:hyperlink w:anchor="_Toc225462586" w:history="1">
            <w:r w:rsidRPr="00C7194B">
              <w:rPr>
                <w:rStyle w:val="Hyperlink"/>
                <w:b/>
                <w:bCs/>
                <w:sz w:val="18"/>
                <w:szCs w:val="18"/>
                <w:lang w:val="en-GB"/>
              </w:rPr>
              <w:t>1. Introduction</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_Toc225462586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1</w:t>
            </w:r>
            <w:r w:rsidRPr="00C7194B">
              <w:rPr>
                <w:rStyle w:val="Hyperlink"/>
                <w:webHidden/>
                <w:sz w:val="18"/>
                <w:szCs w:val="18"/>
              </w:rPr>
              <w:fldChar w:fldCharType="end"/>
            </w:r>
          </w:hyperlink>
        </w:p>
        <w:p w14:paraId="0ED7B377" w14:textId="0D147DC5" w:rsidR="00C7194B" w:rsidRPr="00C7194B" w:rsidRDefault="00C7194B" w:rsidP="00C7194B">
          <w:pPr>
            <w:pStyle w:val="Author"/>
            <w:spacing w:before="5pt" w:beforeAutospacing="1"/>
            <w:rPr>
              <w:b/>
              <w:bCs/>
              <w:sz w:val="18"/>
              <w:szCs w:val="18"/>
              <w:lang w:val="en-GB"/>
            </w:rPr>
          </w:pPr>
          <w:hyperlink w:anchor="_Toc225462587" w:history="1">
            <w:r w:rsidRPr="00C7194B">
              <w:rPr>
                <w:rStyle w:val="Hyperlink"/>
                <w:b/>
                <w:bCs/>
                <w:sz w:val="18"/>
                <w:szCs w:val="18"/>
                <w:lang w:val="en-GB"/>
              </w:rPr>
              <w:t>2. Governance of AI and Machine Learning Systems: An Overview</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_Toc225462587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1</w:t>
            </w:r>
            <w:r w:rsidRPr="00C7194B">
              <w:rPr>
                <w:rStyle w:val="Hyperlink"/>
                <w:webHidden/>
                <w:sz w:val="18"/>
                <w:szCs w:val="18"/>
              </w:rPr>
              <w:fldChar w:fldCharType="end"/>
            </w:r>
          </w:hyperlink>
        </w:p>
        <w:p w14:paraId="040C9089" w14:textId="6998AADE" w:rsidR="00C7194B" w:rsidRPr="00C7194B" w:rsidRDefault="00C7194B" w:rsidP="00C7194B">
          <w:pPr>
            <w:pStyle w:val="Author"/>
            <w:spacing w:before="5pt" w:beforeAutospacing="1"/>
            <w:rPr>
              <w:sz w:val="18"/>
              <w:szCs w:val="18"/>
              <w:lang w:val="en-GB"/>
            </w:rPr>
          </w:pPr>
          <w:hyperlink w:anchor="_Toc225462588" w:history="1">
            <w:r w:rsidRPr="00C7194B">
              <w:rPr>
                <w:rStyle w:val="Hyperlink"/>
                <w:sz w:val="18"/>
                <w:szCs w:val="18"/>
                <w:lang w:val="en-GB"/>
              </w:rPr>
              <w:t>2.1. Definition and Significance of AI Governance</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_Toc225462588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1</w:t>
            </w:r>
            <w:r w:rsidRPr="00C7194B">
              <w:rPr>
                <w:rStyle w:val="Hyperlink"/>
                <w:webHidden/>
                <w:sz w:val="18"/>
                <w:szCs w:val="18"/>
              </w:rPr>
              <w:fldChar w:fldCharType="end"/>
            </w:r>
          </w:hyperlink>
        </w:p>
        <w:p w14:paraId="71118300" w14:textId="4C14FAA5" w:rsidR="00C7194B" w:rsidRPr="00C7194B" w:rsidRDefault="00C7194B" w:rsidP="00C7194B">
          <w:pPr>
            <w:pStyle w:val="Author"/>
            <w:spacing w:before="5pt" w:beforeAutospacing="1"/>
            <w:rPr>
              <w:b/>
              <w:bCs/>
              <w:sz w:val="18"/>
              <w:szCs w:val="18"/>
              <w:lang w:val="en-GB"/>
            </w:rPr>
          </w:pPr>
          <w:hyperlink w:anchor="_Toc225462589" w:history="1">
            <w:r w:rsidRPr="00C7194B">
              <w:rPr>
                <w:rStyle w:val="Hyperlink"/>
                <w:b/>
                <w:bCs/>
                <w:sz w:val="18"/>
                <w:szCs w:val="18"/>
                <w:lang w:val="en-GB"/>
              </w:rPr>
              <w:t>3. Critical Evaluation of Managing AI Risks</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_Toc225462589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3</w:t>
            </w:r>
            <w:r w:rsidRPr="00C7194B">
              <w:rPr>
                <w:rStyle w:val="Hyperlink"/>
                <w:webHidden/>
                <w:sz w:val="18"/>
                <w:szCs w:val="18"/>
              </w:rPr>
              <w:fldChar w:fldCharType="end"/>
            </w:r>
          </w:hyperlink>
        </w:p>
        <w:p w14:paraId="47DB8FC9" w14:textId="4B37751F" w:rsidR="00C7194B" w:rsidRPr="00C7194B" w:rsidRDefault="00C7194B" w:rsidP="00C7194B">
          <w:pPr>
            <w:pStyle w:val="Author"/>
            <w:spacing w:before="5pt" w:beforeAutospacing="1"/>
            <w:rPr>
              <w:sz w:val="18"/>
              <w:szCs w:val="18"/>
              <w:lang w:val="en-GB"/>
            </w:rPr>
          </w:pPr>
          <w:hyperlink w:anchor="_Toc225462590" w:history="1">
            <w:r w:rsidRPr="00C7194B">
              <w:rPr>
                <w:rStyle w:val="Hyperlink"/>
                <w:sz w:val="18"/>
                <w:szCs w:val="18"/>
                <w:lang w:val="en-GB"/>
              </w:rPr>
              <w:t>3.1. Risk Management Approaches</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_Toc225462590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3</w:t>
            </w:r>
            <w:r w:rsidRPr="00C7194B">
              <w:rPr>
                <w:rStyle w:val="Hyperlink"/>
                <w:webHidden/>
                <w:sz w:val="18"/>
                <w:szCs w:val="18"/>
              </w:rPr>
              <w:fldChar w:fldCharType="end"/>
            </w:r>
          </w:hyperlink>
        </w:p>
        <w:p w14:paraId="4D27E45E" w14:textId="533A823D" w:rsidR="00C7194B" w:rsidRPr="00C7194B" w:rsidRDefault="00C7194B" w:rsidP="00C7194B">
          <w:pPr>
            <w:pStyle w:val="Author"/>
            <w:spacing w:before="5pt" w:beforeAutospacing="1"/>
            <w:rPr>
              <w:b/>
              <w:bCs/>
              <w:sz w:val="18"/>
              <w:szCs w:val="18"/>
              <w:lang w:val="en-GB"/>
            </w:rPr>
          </w:pPr>
          <w:hyperlink w:anchor="_Toc225462591" w:history="1">
            <w:r w:rsidRPr="00C7194B">
              <w:rPr>
                <w:rStyle w:val="Hyperlink"/>
                <w:b/>
                <w:bCs/>
                <w:sz w:val="18"/>
                <w:szCs w:val="18"/>
                <w:lang w:val="en-GB"/>
              </w:rPr>
              <w:t>3.2. Ethical and Compliance Considerations</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_Toc225462591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3</w:t>
            </w:r>
            <w:r w:rsidRPr="00C7194B">
              <w:rPr>
                <w:rStyle w:val="Hyperlink"/>
                <w:webHidden/>
                <w:sz w:val="18"/>
                <w:szCs w:val="18"/>
              </w:rPr>
              <w:fldChar w:fldCharType="end"/>
            </w:r>
          </w:hyperlink>
        </w:p>
        <w:p w14:paraId="0E70B588" w14:textId="3FF59AAC" w:rsidR="00C7194B" w:rsidRPr="00C7194B" w:rsidRDefault="00C7194B" w:rsidP="00C7194B">
          <w:pPr>
            <w:pStyle w:val="Author"/>
            <w:spacing w:before="5pt" w:beforeAutospacing="1"/>
            <w:rPr>
              <w:sz w:val="18"/>
              <w:szCs w:val="18"/>
              <w:lang w:val="en-GB"/>
            </w:rPr>
          </w:pPr>
          <w:hyperlink w:anchor="_Toc225462592" w:history="1">
            <w:r w:rsidRPr="00C7194B">
              <w:rPr>
                <w:rStyle w:val="Hyperlink"/>
                <w:sz w:val="18"/>
                <w:szCs w:val="18"/>
                <w:lang w:val="en-GB"/>
              </w:rPr>
              <w:t>Embedding ethics into AI governance includes</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_Toc225462592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4</w:t>
            </w:r>
            <w:r w:rsidRPr="00C7194B">
              <w:rPr>
                <w:rStyle w:val="Hyperlink"/>
                <w:webHidden/>
                <w:sz w:val="18"/>
                <w:szCs w:val="18"/>
              </w:rPr>
              <w:fldChar w:fldCharType="end"/>
            </w:r>
          </w:hyperlink>
        </w:p>
        <w:p w14:paraId="14F0CB8B" w14:textId="21B1AB20" w:rsidR="00C7194B" w:rsidRPr="00C7194B" w:rsidRDefault="00C7194B" w:rsidP="00C7194B">
          <w:pPr>
            <w:pStyle w:val="Author"/>
            <w:spacing w:before="5pt" w:beforeAutospacing="1"/>
            <w:rPr>
              <w:b/>
              <w:bCs/>
              <w:sz w:val="18"/>
              <w:szCs w:val="18"/>
              <w:lang w:val="en-GB"/>
            </w:rPr>
          </w:pPr>
          <w:hyperlink w:anchor="_Toc225462593" w:history="1">
            <w:r w:rsidRPr="00C7194B">
              <w:rPr>
                <w:rStyle w:val="Hyperlink"/>
                <w:b/>
                <w:bCs/>
                <w:sz w:val="18"/>
                <w:szCs w:val="18"/>
                <w:lang w:val="en-GB"/>
              </w:rPr>
              <w:t>3.3. Technical Safeguards</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_Toc225462593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4</w:t>
            </w:r>
            <w:r w:rsidRPr="00C7194B">
              <w:rPr>
                <w:rStyle w:val="Hyperlink"/>
                <w:webHidden/>
                <w:sz w:val="18"/>
                <w:szCs w:val="18"/>
              </w:rPr>
              <w:fldChar w:fldCharType="end"/>
            </w:r>
          </w:hyperlink>
        </w:p>
        <w:p w14:paraId="74BD629E" w14:textId="3DED1E27" w:rsidR="00C7194B" w:rsidRPr="00C7194B" w:rsidRDefault="00C7194B" w:rsidP="00C7194B">
          <w:pPr>
            <w:pStyle w:val="Author"/>
            <w:spacing w:before="5pt" w:beforeAutospacing="1"/>
            <w:rPr>
              <w:sz w:val="18"/>
              <w:szCs w:val="18"/>
              <w:lang w:val="en-GB"/>
            </w:rPr>
          </w:pPr>
          <w:hyperlink w:anchor="_Toc225462594" w:history="1">
            <w:r w:rsidRPr="00C7194B">
              <w:rPr>
                <w:rStyle w:val="Hyperlink"/>
                <w:sz w:val="18"/>
                <w:szCs w:val="18"/>
                <w:lang w:val="en-GB"/>
              </w:rPr>
              <w:t>Technical controls are foundational</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_Toc225462594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4</w:t>
            </w:r>
            <w:r w:rsidRPr="00C7194B">
              <w:rPr>
                <w:rStyle w:val="Hyperlink"/>
                <w:webHidden/>
                <w:sz w:val="18"/>
                <w:szCs w:val="18"/>
              </w:rPr>
              <w:fldChar w:fldCharType="end"/>
            </w:r>
          </w:hyperlink>
        </w:p>
        <w:p w14:paraId="207D4069" w14:textId="46B6207C" w:rsidR="00C7194B" w:rsidRPr="00C7194B" w:rsidRDefault="00C7194B" w:rsidP="00C7194B">
          <w:pPr>
            <w:pStyle w:val="Author"/>
            <w:spacing w:before="5pt" w:beforeAutospacing="1"/>
            <w:rPr>
              <w:sz w:val="18"/>
              <w:szCs w:val="18"/>
              <w:lang w:val="en-GB"/>
            </w:rPr>
          </w:pPr>
          <w:hyperlink w:anchor="_Toc225462595" w:history="1">
            <w:r w:rsidRPr="00C7194B">
              <w:rPr>
                <w:rStyle w:val="Hyperlink"/>
                <w:sz w:val="18"/>
                <w:szCs w:val="18"/>
                <w:lang w:val="en-GB"/>
              </w:rPr>
              <w:t>4. Building an Environment to Anticipate, Protect, Detect, and Respond</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_Toc225462595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4</w:t>
            </w:r>
            <w:r w:rsidRPr="00C7194B">
              <w:rPr>
                <w:rStyle w:val="Hyperlink"/>
                <w:webHidden/>
                <w:sz w:val="18"/>
                <w:szCs w:val="18"/>
              </w:rPr>
              <w:fldChar w:fldCharType="end"/>
            </w:r>
          </w:hyperlink>
        </w:p>
        <w:p w14:paraId="001CBD1D" w14:textId="7CA953D2" w:rsidR="00C7194B" w:rsidRPr="00C7194B" w:rsidRDefault="00C7194B" w:rsidP="00C7194B">
          <w:pPr>
            <w:pStyle w:val="Author"/>
            <w:spacing w:before="5pt" w:beforeAutospacing="1"/>
            <w:rPr>
              <w:sz w:val="18"/>
              <w:szCs w:val="18"/>
              <w:lang w:val="en-GB"/>
            </w:rPr>
          </w:pPr>
          <w:hyperlink w:anchor="_Toc225462596" w:history="1">
            <w:r w:rsidRPr="00C7194B">
              <w:rPr>
                <w:rStyle w:val="Hyperlink"/>
                <w:sz w:val="18"/>
                <w:szCs w:val="18"/>
                <w:lang w:val="en-GB"/>
              </w:rPr>
              <w:t>4.2. Detection and Response</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_Toc225462596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5</w:t>
            </w:r>
            <w:r w:rsidRPr="00C7194B">
              <w:rPr>
                <w:rStyle w:val="Hyperlink"/>
                <w:webHidden/>
                <w:sz w:val="18"/>
                <w:szCs w:val="18"/>
              </w:rPr>
              <w:fldChar w:fldCharType="end"/>
            </w:r>
          </w:hyperlink>
        </w:p>
        <w:p w14:paraId="698FA127" w14:textId="631FC43A" w:rsidR="00C7194B" w:rsidRPr="00C7194B" w:rsidRDefault="00C7194B" w:rsidP="00C7194B">
          <w:pPr>
            <w:pStyle w:val="Author"/>
            <w:spacing w:before="5pt" w:beforeAutospacing="1"/>
            <w:rPr>
              <w:b/>
              <w:bCs/>
              <w:sz w:val="18"/>
              <w:szCs w:val="18"/>
              <w:lang w:val="en-GB"/>
            </w:rPr>
          </w:pPr>
          <w:hyperlink w:anchor="_Toc225462597" w:history="1">
            <w:r w:rsidRPr="00C7194B">
              <w:rPr>
                <w:rStyle w:val="Hyperlink"/>
                <w:b/>
                <w:bCs/>
                <w:sz w:val="18"/>
                <w:szCs w:val="18"/>
                <w:lang w:val="en-GB"/>
              </w:rPr>
              <w:t>4.3. Automation and Orchestration</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_Toc225462597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5</w:t>
            </w:r>
            <w:r w:rsidRPr="00C7194B">
              <w:rPr>
                <w:rStyle w:val="Hyperlink"/>
                <w:webHidden/>
                <w:sz w:val="18"/>
                <w:szCs w:val="18"/>
              </w:rPr>
              <w:fldChar w:fldCharType="end"/>
            </w:r>
          </w:hyperlink>
        </w:p>
        <w:p w14:paraId="46264809" w14:textId="2B56FD76" w:rsidR="00C7194B" w:rsidRPr="00C7194B" w:rsidRDefault="00C7194B" w:rsidP="00C7194B">
          <w:pPr>
            <w:pStyle w:val="Author"/>
            <w:spacing w:before="5pt" w:beforeAutospacing="1"/>
            <w:rPr>
              <w:sz w:val="18"/>
              <w:szCs w:val="18"/>
              <w:lang w:val="en-GB"/>
            </w:rPr>
          </w:pPr>
          <w:hyperlink w:anchor="_Toc225462598" w:history="1">
            <w:r w:rsidRPr="00C7194B">
              <w:rPr>
                <w:rStyle w:val="Hyperlink"/>
                <w:sz w:val="18"/>
                <w:szCs w:val="18"/>
                <w:lang w:val="en-GB"/>
              </w:rPr>
              <w:t>5. Summary and Future Outlook</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_Toc225462598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5</w:t>
            </w:r>
            <w:r w:rsidRPr="00C7194B">
              <w:rPr>
                <w:rStyle w:val="Hyperlink"/>
                <w:webHidden/>
                <w:sz w:val="18"/>
                <w:szCs w:val="18"/>
              </w:rPr>
              <w:fldChar w:fldCharType="end"/>
            </w:r>
          </w:hyperlink>
        </w:p>
        <w:p w14:paraId="45A65497" w14:textId="7CEA47F0" w:rsidR="00C7194B" w:rsidRPr="00C7194B" w:rsidRDefault="00C7194B" w:rsidP="00C7194B">
          <w:pPr>
            <w:pStyle w:val="Author"/>
            <w:spacing w:before="5pt" w:beforeAutospacing="1"/>
            <w:rPr>
              <w:b/>
              <w:bCs/>
              <w:i/>
              <w:iCs/>
              <w:sz w:val="18"/>
              <w:szCs w:val="18"/>
              <w:lang w:val="en-GB"/>
            </w:rPr>
          </w:pPr>
          <w:hyperlink w:anchor="_Toc225462599" w:history="1">
            <w:r w:rsidRPr="00C7194B">
              <w:rPr>
                <w:rStyle w:val="Hyperlink"/>
                <w:b/>
                <w:bCs/>
                <w:i/>
                <w:iCs/>
                <w:sz w:val="18"/>
                <w:szCs w:val="18"/>
                <w:lang w:val="en-GB"/>
              </w:rPr>
              <w:t>Task 2: Case Scenario—Designing a Zero-Trust Security Program for MediTrust Analytics Ltd</w:t>
            </w:r>
            <w:r w:rsidRPr="00C7194B">
              <w:rPr>
                <w:rStyle w:val="Hyperlink"/>
                <w:b/>
                <w:bCs/>
                <w:i/>
                <w:iCs/>
                <w:webHidden/>
                <w:sz w:val="18"/>
                <w:szCs w:val="18"/>
                <w:lang w:val="en-GB"/>
              </w:rPr>
              <w:tab/>
            </w:r>
            <w:r w:rsidRPr="00C7194B">
              <w:rPr>
                <w:rStyle w:val="Hyperlink"/>
                <w:b/>
                <w:bCs/>
                <w:i/>
                <w:iCs/>
                <w:webHidden/>
                <w:sz w:val="18"/>
                <w:szCs w:val="18"/>
                <w:lang w:val="en-GB"/>
              </w:rPr>
              <w:fldChar w:fldCharType="begin"/>
            </w:r>
            <w:r w:rsidRPr="00C7194B">
              <w:rPr>
                <w:rStyle w:val="Hyperlink"/>
                <w:b/>
                <w:bCs/>
                <w:i/>
                <w:iCs/>
                <w:webHidden/>
                <w:sz w:val="18"/>
                <w:szCs w:val="18"/>
                <w:lang w:val="en-GB"/>
              </w:rPr>
              <w:instrText xml:space="preserve"> PAGEREF _Toc225462599 \h </w:instrText>
            </w:r>
            <w:r w:rsidRPr="00C7194B">
              <w:rPr>
                <w:rStyle w:val="Hyperlink"/>
                <w:b/>
                <w:bCs/>
                <w:i/>
                <w:iCs/>
                <w:webHidden/>
                <w:sz w:val="18"/>
                <w:szCs w:val="18"/>
                <w:lang w:val="en-GB"/>
              </w:rPr>
            </w:r>
            <w:r w:rsidRPr="00C7194B">
              <w:rPr>
                <w:rStyle w:val="Hyperlink"/>
                <w:b/>
                <w:bCs/>
                <w:i/>
                <w:iCs/>
                <w:webHidden/>
                <w:sz w:val="18"/>
                <w:szCs w:val="18"/>
                <w:lang w:val="en-GB"/>
              </w:rPr>
              <w:fldChar w:fldCharType="separate"/>
            </w:r>
            <w:r w:rsidR="002D1D62">
              <w:rPr>
                <w:rStyle w:val="Hyperlink"/>
                <w:b/>
                <w:bCs/>
                <w:i/>
                <w:iCs/>
                <w:webHidden/>
                <w:sz w:val="18"/>
                <w:szCs w:val="18"/>
                <w:lang w:val="en-GB"/>
              </w:rPr>
              <w:t>5</w:t>
            </w:r>
            <w:r w:rsidRPr="00C7194B">
              <w:rPr>
                <w:rStyle w:val="Hyperlink"/>
                <w:webHidden/>
                <w:sz w:val="18"/>
                <w:szCs w:val="18"/>
              </w:rPr>
              <w:fldChar w:fldCharType="end"/>
            </w:r>
          </w:hyperlink>
        </w:p>
        <w:p w14:paraId="1907FE19" w14:textId="40E14B0C" w:rsidR="00C7194B" w:rsidRPr="00C7194B" w:rsidRDefault="00C7194B" w:rsidP="00C7194B">
          <w:pPr>
            <w:pStyle w:val="Author"/>
            <w:spacing w:before="5pt" w:beforeAutospacing="1"/>
            <w:rPr>
              <w:b/>
              <w:bCs/>
              <w:sz w:val="18"/>
              <w:szCs w:val="18"/>
              <w:lang w:val="en-GB"/>
            </w:rPr>
          </w:pPr>
          <w:hyperlink w:anchor="_Toc225462600" w:history="1">
            <w:r w:rsidRPr="00C7194B">
              <w:rPr>
                <w:rStyle w:val="Hyperlink"/>
                <w:b/>
                <w:bCs/>
                <w:sz w:val="18"/>
                <w:szCs w:val="18"/>
                <w:lang w:val="en-GB"/>
              </w:rPr>
              <w:t>1. Introduction</w:t>
            </w:r>
            <w:r w:rsidRPr="00C7194B">
              <w:rPr>
                <w:rStyle w:val="Hyperlink"/>
                <w:b/>
                <w:bCs/>
                <w:webHidden/>
                <w:sz w:val="18"/>
                <w:szCs w:val="18"/>
                <w:lang w:val="en-GB"/>
              </w:rPr>
              <w:tab/>
            </w:r>
            <w:r w:rsidRPr="00C7194B">
              <w:rPr>
                <w:rStyle w:val="Hyperlink"/>
                <w:b/>
                <w:bCs/>
                <w:webHidden/>
                <w:sz w:val="18"/>
                <w:szCs w:val="18"/>
                <w:lang w:val="en-GB"/>
              </w:rPr>
              <w:fldChar w:fldCharType="begin"/>
            </w:r>
            <w:r w:rsidRPr="00C7194B">
              <w:rPr>
                <w:rStyle w:val="Hyperlink"/>
                <w:b/>
                <w:bCs/>
                <w:webHidden/>
                <w:sz w:val="18"/>
                <w:szCs w:val="18"/>
                <w:lang w:val="en-GB"/>
              </w:rPr>
              <w:instrText xml:space="preserve"> PAGEREF _Toc225462600 \h </w:instrText>
            </w:r>
            <w:r w:rsidRPr="00C7194B">
              <w:rPr>
                <w:rStyle w:val="Hyperlink"/>
                <w:b/>
                <w:bCs/>
                <w:webHidden/>
                <w:sz w:val="18"/>
                <w:szCs w:val="18"/>
                <w:lang w:val="en-GB"/>
              </w:rPr>
            </w:r>
            <w:r w:rsidRPr="00C7194B">
              <w:rPr>
                <w:rStyle w:val="Hyperlink"/>
                <w:b/>
                <w:bCs/>
                <w:webHidden/>
                <w:sz w:val="18"/>
                <w:szCs w:val="18"/>
                <w:lang w:val="en-GB"/>
              </w:rPr>
              <w:fldChar w:fldCharType="separate"/>
            </w:r>
            <w:r w:rsidR="002D1D62">
              <w:rPr>
                <w:rStyle w:val="Hyperlink"/>
                <w:b/>
                <w:bCs/>
                <w:webHidden/>
                <w:sz w:val="18"/>
                <w:szCs w:val="18"/>
                <w:lang w:val="en-GB"/>
              </w:rPr>
              <w:t>5</w:t>
            </w:r>
            <w:r w:rsidRPr="00C7194B">
              <w:rPr>
                <w:rStyle w:val="Hyperlink"/>
                <w:webHidden/>
                <w:sz w:val="18"/>
                <w:szCs w:val="18"/>
              </w:rPr>
              <w:fldChar w:fldCharType="end"/>
            </w:r>
          </w:hyperlink>
        </w:p>
        <w:p w14:paraId="62ABC55E" w14:textId="56E0409A" w:rsidR="00C7194B" w:rsidRPr="00C7194B" w:rsidRDefault="00C7194B" w:rsidP="00C7194B">
          <w:pPr>
            <w:pStyle w:val="Author"/>
            <w:spacing w:before="5pt" w:beforeAutospacing="1"/>
            <w:rPr>
              <w:sz w:val="18"/>
              <w:szCs w:val="18"/>
              <w:lang w:val="en-GB"/>
            </w:rPr>
          </w:pPr>
          <w:hyperlink w:anchor="_Toc225462601" w:history="1">
            <w:r w:rsidRPr="00C7194B">
              <w:rPr>
                <w:rStyle w:val="Hyperlink"/>
                <w:sz w:val="18"/>
                <w:szCs w:val="18"/>
                <w:lang w:val="en-GB"/>
              </w:rPr>
              <w:t>2. Organizational Structure</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_Toc225462601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5</w:t>
            </w:r>
            <w:r w:rsidRPr="00C7194B">
              <w:rPr>
                <w:rStyle w:val="Hyperlink"/>
                <w:webHidden/>
                <w:sz w:val="18"/>
                <w:szCs w:val="18"/>
              </w:rPr>
              <w:fldChar w:fldCharType="end"/>
            </w:r>
          </w:hyperlink>
        </w:p>
        <w:p w14:paraId="72BFA181" w14:textId="54A687F0" w:rsidR="00C7194B" w:rsidRPr="00C7194B" w:rsidRDefault="00C7194B" w:rsidP="00C7194B">
          <w:pPr>
            <w:pStyle w:val="Author"/>
            <w:spacing w:before="5pt" w:beforeAutospacing="1"/>
            <w:rPr>
              <w:sz w:val="18"/>
              <w:szCs w:val="18"/>
              <w:lang w:val="en-GB"/>
            </w:rPr>
          </w:pPr>
          <w:hyperlink w:anchor="_Toc225462602" w:history="1">
            <w:r w:rsidRPr="00C7194B">
              <w:rPr>
                <w:rStyle w:val="Hyperlink"/>
                <w:sz w:val="18"/>
                <w:szCs w:val="18"/>
                <w:lang w:val="en-GB"/>
              </w:rPr>
              <w:t>2.1. Proposed Structure Overview</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_Toc225462602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6</w:t>
            </w:r>
            <w:r w:rsidRPr="00C7194B">
              <w:rPr>
                <w:rStyle w:val="Hyperlink"/>
                <w:webHidden/>
                <w:sz w:val="18"/>
                <w:szCs w:val="18"/>
              </w:rPr>
              <w:fldChar w:fldCharType="end"/>
            </w:r>
          </w:hyperlink>
        </w:p>
        <w:p w14:paraId="3CA3C375" w14:textId="5BF5CD51" w:rsidR="00C7194B" w:rsidRPr="00C7194B" w:rsidRDefault="00C7194B" w:rsidP="00C7194B">
          <w:pPr>
            <w:pStyle w:val="Author"/>
            <w:spacing w:before="5pt" w:beforeAutospacing="1"/>
            <w:rPr>
              <w:sz w:val="18"/>
              <w:szCs w:val="18"/>
              <w:lang w:val="en-GB"/>
            </w:rPr>
          </w:pPr>
          <w:hyperlink w:anchor="_Toc225462603" w:history="1">
            <w:r w:rsidRPr="00C7194B">
              <w:rPr>
                <w:rStyle w:val="Hyperlink"/>
                <w:sz w:val="18"/>
                <w:szCs w:val="18"/>
                <w:lang w:val="en-GB"/>
              </w:rPr>
              <w:t>2.2. Justification</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_Toc225462603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6</w:t>
            </w:r>
            <w:r w:rsidRPr="00C7194B">
              <w:rPr>
                <w:rStyle w:val="Hyperlink"/>
                <w:webHidden/>
                <w:sz w:val="18"/>
                <w:szCs w:val="18"/>
              </w:rPr>
              <w:fldChar w:fldCharType="end"/>
            </w:r>
          </w:hyperlink>
        </w:p>
        <w:p w14:paraId="718E2110" w14:textId="4B517ADF" w:rsidR="00C7194B" w:rsidRPr="00C7194B" w:rsidRDefault="00C7194B" w:rsidP="00C7194B">
          <w:pPr>
            <w:pStyle w:val="Author"/>
            <w:spacing w:before="5pt" w:beforeAutospacing="1"/>
            <w:rPr>
              <w:sz w:val="18"/>
              <w:szCs w:val="18"/>
              <w:lang w:val="en-GB"/>
            </w:rPr>
          </w:pPr>
          <w:hyperlink w:anchor="_Toc225462604" w:history="1">
            <w:r w:rsidRPr="00C7194B">
              <w:rPr>
                <w:rStyle w:val="Hyperlink"/>
                <w:sz w:val="18"/>
                <w:szCs w:val="18"/>
                <w:lang w:val="en-GB"/>
              </w:rPr>
              <w:t>3. Policies and Procedures</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_Toc225462604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6</w:t>
            </w:r>
            <w:r w:rsidRPr="00C7194B">
              <w:rPr>
                <w:rStyle w:val="Hyperlink"/>
                <w:webHidden/>
                <w:sz w:val="18"/>
                <w:szCs w:val="18"/>
              </w:rPr>
              <w:fldChar w:fldCharType="end"/>
            </w:r>
          </w:hyperlink>
        </w:p>
        <w:p w14:paraId="7497608A" w14:textId="282D85BB" w:rsidR="00C7194B" w:rsidRPr="00C7194B" w:rsidRDefault="00C7194B" w:rsidP="00C7194B">
          <w:pPr>
            <w:pStyle w:val="Author"/>
            <w:spacing w:before="5pt" w:beforeAutospacing="1"/>
            <w:rPr>
              <w:sz w:val="18"/>
              <w:szCs w:val="18"/>
              <w:lang w:val="en-GB"/>
            </w:rPr>
          </w:pPr>
          <w:hyperlink w:anchor="_Toc225462605" w:history="1">
            <w:r w:rsidRPr="00C7194B">
              <w:rPr>
                <w:rStyle w:val="Hyperlink"/>
                <w:sz w:val="18"/>
                <w:szCs w:val="18"/>
                <w:lang w:val="en-GB"/>
              </w:rPr>
              <w:t>3.2. Secure SaaS Configuration Policy</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_Toc225462605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6</w:t>
            </w:r>
            <w:r w:rsidRPr="00C7194B">
              <w:rPr>
                <w:rStyle w:val="Hyperlink"/>
                <w:webHidden/>
                <w:sz w:val="18"/>
                <w:szCs w:val="18"/>
              </w:rPr>
              <w:fldChar w:fldCharType="end"/>
            </w:r>
          </w:hyperlink>
        </w:p>
        <w:p w14:paraId="6E5F8664" w14:textId="6C1D2CD3" w:rsidR="00C7194B" w:rsidRPr="00C7194B" w:rsidRDefault="00C7194B" w:rsidP="00C7194B">
          <w:pPr>
            <w:pStyle w:val="Author"/>
            <w:spacing w:before="5pt" w:beforeAutospacing="1"/>
            <w:rPr>
              <w:sz w:val="18"/>
              <w:szCs w:val="18"/>
              <w:lang w:val="en-GB"/>
            </w:rPr>
          </w:pPr>
          <w:hyperlink w:anchor="_Toc225462606" w:history="1">
            <w:r w:rsidRPr="00C7194B">
              <w:rPr>
                <w:rStyle w:val="Hyperlink"/>
                <w:sz w:val="18"/>
                <w:szCs w:val="18"/>
                <w:lang w:val="en-GB"/>
              </w:rPr>
              <w:t>3.3. BYOD Policy for Hybrid Workforce</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_Toc225462606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7</w:t>
            </w:r>
            <w:r w:rsidRPr="00C7194B">
              <w:rPr>
                <w:rStyle w:val="Hyperlink"/>
                <w:webHidden/>
                <w:sz w:val="18"/>
                <w:szCs w:val="18"/>
              </w:rPr>
              <w:fldChar w:fldCharType="end"/>
            </w:r>
          </w:hyperlink>
        </w:p>
        <w:p w14:paraId="61B398B2" w14:textId="5674C0C2" w:rsidR="00C7194B" w:rsidRPr="00C7194B" w:rsidRDefault="00C7194B" w:rsidP="00C7194B">
          <w:pPr>
            <w:pStyle w:val="Author"/>
            <w:spacing w:before="5pt" w:beforeAutospacing="1"/>
            <w:rPr>
              <w:sz w:val="18"/>
              <w:szCs w:val="18"/>
              <w:lang w:val="en-GB"/>
            </w:rPr>
          </w:pPr>
          <w:hyperlink w:anchor="_Toc225462607" w:history="1">
            <w:r w:rsidRPr="00C7194B">
              <w:rPr>
                <w:rStyle w:val="Hyperlink"/>
                <w:sz w:val="18"/>
                <w:szCs w:val="18"/>
                <w:lang w:val="en-GB"/>
              </w:rPr>
              <w:t>4. Compliance Strategies</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_Toc225462607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7</w:t>
            </w:r>
            <w:r w:rsidRPr="00C7194B">
              <w:rPr>
                <w:rStyle w:val="Hyperlink"/>
                <w:webHidden/>
                <w:sz w:val="18"/>
                <w:szCs w:val="18"/>
              </w:rPr>
              <w:fldChar w:fldCharType="end"/>
            </w:r>
          </w:hyperlink>
        </w:p>
        <w:p w14:paraId="41F5D3EF" w14:textId="074A7FA4" w:rsidR="00C7194B" w:rsidRPr="00C7194B" w:rsidRDefault="00C7194B" w:rsidP="00C7194B">
          <w:pPr>
            <w:pStyle w:val="Author"/>
            <w:spacing w:before="5pt" w:beforeAutospacing="1"/>
            <w:rPr>
              <w:sz w:val="18"/>
              <w:szCs w:val="18"/>
              <w:lang w:val="en-GB"/>
            </w:rPr>
          </w:pPr>
          <w:hyperlink w:anchor="_Toc225462608" w:history="1">
            <w:r w:rsidRPr="00C7194B">
              <w:rPr>
                <w:rStyle w:val="Hyperlink"/>
                <w:sz w:val="18"/>
                <w:szCs w:val="18"/>
                <w:lang w:val="en-GB"/>
              </w:rPr>
              <w:t>5. Governance and Strategy</w:t>
            </w:r>
            <w:r w:rsidRPr="00C7194B">
              <w:rPr>
                <w:rStyle w:val="Hyperlink"/>
                <w:webHidden/>
                <w:sz w:val="18"/>
                <w:szCs w:val="18"/>
                <w:lang w:val="en-GB"/>
              </w:rPr>
              <w:tab/>
            </w:r>
            <w:r w:rsidRPr="00C7194B">
              <w:rPr>
                <w:rStyle w:val="Hyperlink"/>
                <w:webHidden/>
                <w:sz w:val="18"/>
                <w:szCs w:val="18"/>
                <w:lang w:val="en-GB"/>
              </w:rPr>
              <w:fldChar w:fldCharType="begin"/>
            </w:r>
            <w:r w:rsidRPr="00C7194B">
              <w:rPr>
                <w:rStyle w:val="Hyperlink"/>
                <w:webHidden/>
                <w:sz w:val="18"/>
                <w:szCs w:val="18"/>
                <w:lang w:val="en-GB"/>
              </w:rPr>
              <w:instrText xml:space="preserve"> PAGEREF _Toc225462608 \h </w:instrText>
            </w:r>
            <w:r w:rsidRPr="00C7194B">
              <w:rPr>
                <w:rStyle w:val="Hyperlink"/>
                <w:webHidden/>
                <w:sz w:val="18"/>
                <w:szCs w:val="18"/>
                <w:lang w:val="en-GB"/>
              </w:rPr>
            </w:r>
            <w:r w:rsidRPr="00C7194B">
              <w:rPr>
                <w:rStyle w:val="Hyperlink"/>
                <w:webHidden/>
                <w:sz w:val="18"/>
                <w:szCs w:val="18"/>
                <w:lang w:val="en-GB"/>
              </w:rPr>
              <w:fldChar w:fldCharType="separate"/>
            </w:r>
            <w:r w:rsidR="002D1D62">
              <w:rPr>
                <w:rStyle w:val="Hyperlink"/>
                <w:webHidden/>
                <w:sz w:val="18"/>
                <w:szCs w:val="18"/>
                <w:lang w:val="en-GB"/>
              </w:rPr>
              <w:t>8</w:t>
            </w:r>
            <w:r w:rsidRPr="00C7194B">
              <w:rPr>
                <w:rStyle w:val="Hyperlink"/>
                <w:webHidden/>
                <w:sz w:val="18"/>
                <w:szCs w:val="18"/>
              </w:rPr>
              <w:fldChar w:fldCharType="end"/>
            </w:r>
          </w:hyperlink>
        </w:p>
        <w:p w14:paraId="0ED0478D" w14:textId="7D302C8D" w:rsidR="00C7194B" w:rsidRPr="00C7194B" w:rsidRDefault="00C7194B" w:rsidP="00C7194B">
          <w:pPr>
            <w:pStyle w:val="Author"/>
            <w:spacing w:before="5pt" w:beforeAutospacing="1"/>
            <w:rPr>
              <w:b/>
              <w:bCs/>
              <w:i/>
              <w:iCs/>
              <w:sz w:val="18"/>
              <w:szCs w:val="18"/>
              <w:lang w:val="en-GB"/>
            </w:rPr>
          </w:pPr>
          <w:hyperlink w:anchor="_Toc225462609" w:history="1">
            <w:r w:rsidRPr="00C7194B">
              <w:rPr>
                <w:rStyle w:val="Hyperlink"/>
                <w:b/>
                <w:bCs/>
                <w:i/>
                <w:iCs/>
                <w:sz w:val="18"/>
                <w:szCs w:val="18"/>
                <w:lang w:val="en-GB"/>
              </w:rPr>
              <w:t>References</w:t>
            </w:r>
            <w:r w:rsidRPr="00C7194B">
              <w:rPr>
                <w:rStyle w:val="Hyperlink"/>
                <w:b/>
                <w:bCs/>
                <w:i/>
                <w:iCs/>
                <w:webHidden/>
                <w:sz w:val="18"/>
                <w:szCs w:val="18"/>
                <w:lang w:val="en-GB"/>
              </w:rPr>
              <w:tab/>
            </w:r>
            <w:r w:rsidRPr="00C7194B">
              <w:rPr>
                <w:rStyle w:val="Hyperlink"/>
                <w:b/>
                <w:bCs/>
                <w:i/>
                <w:iCs/>
                <w:webHidden/>
                <w:sz w:val="18"/>
                <w:szCs w:val="18"/>
                <w:lang w:val="en-GB"/>
              </w:rPr>
              <w:fldChar w:fldCharType="begin"/>
            </w:r>
            <w:r w:rsidRPr="00C7194B">
              <w:rPr>
                <w:rStyle w:val="Hyperlink"/>
                <w:b/>
                <w:bCs/>
                <w:i/>
                <w:iCs/>
                <w:webHidden/>
                <w:sz w:val="18"/>
                <w:szCs w:val="18"/>
                <w:lang w:val="en-GB"/>
              </w:rPr>
              <w:instrText xml:space="preserve"> PAGEREF _Toc225462609 \h </w:instrText>
            </w:r>
            <w:r w:rsidRPr="00C7194B">
              <w:rPr>
                <w:rStyle w:val="Hyperlink"/>
                <w:b/>
                <w:bCs/>
                <w:i/>
                <w:iCs/>
                <w:webHidden/>
                <w:sz w:val="18"/>
                <w:szCs w:val="18"/>
                <w:lang w:val="en-GB"/>
              </w:rPr>
            </w:r>
            <w:r w:rsidRPr="00C7194B">
              <w:rPr>
                <w:rStyle w:val="Hyperlink"/>
                <w:b/>
                <w:bCs/>
                <w:i/>
                <w:iCs/>
                <w:webHidden/>
                <w:sz w:val="18"/>
                <w:szCs w:val="18"/>
                <w:lang w:val="en-GB"/>
              </w:rPr>
              <w:fldChar w:fldCharType="separate"/>
            </w:r>
            <w:r w:rsidR="002D1D62">
              <w:rPr>
                <w:rStyle w:val="Hyperlink"/>
                <w:b/>
                <w:bCs/>
                <w:i/>
                <w:iCs/>
                <w:webHidden/>
                <w:sz w:val="18"/>
                <w:szCs w:val="18"/>
                <w:lang w:val="en-GB"/>
              </w:rPr>
              <w:t>10</w:t>
            </w:r>
            <w:r w:rsidRPr="00C7194B">
              <w:rPr>
                <w:rStyle w:val="Hyperlink"/>
                <w:webHidden/>
                <w:sz w:val="18"/>
                <w:szCs w:val="18"/>
              </w:rPr>
              <w:fldChar w:fldCharType="end"/>
            </w:r>
          </w:hyperlink>
        </w:p>
        <w:p w14:paraId="2729A11B" w14:textId="6C10C2EA" w:rsidR="00447BB9" w:rsidRPr="002D1D62" w:rsidRDefault="00C7194B" w:rsidP="002D1D62">
          <w:pPr>
            <w:pStyle w:val="Author"/>
            <w:spacing w:before="5pt" w:beforeAutospacing="1"/>
            <w:rPr>
              <w:b/>
              <w:bCs/>
              <w:sz w:val="18"/>
              <w:szCs w:val="18"/>
              <w:lang w:val="en-GB"/>
            </w:rPr>
          </w:pPr>
          <w:r w:rsidRPr="00C7194B">
            <w:rPr>
              <w:sz w:val="18"/>
              <w:szCs w:val="18"/>
            </w:rPr>
            <w:fldChar w:fldCharType="end"/>
          </w:r>
          <w:r>
            <w:rPr>
              <w:sz w:val="18"/>
              <w:szCs w:val="18"/>
            </w:rPr>
            <w:t xml:space="preserve"> </w:t>
          </w:r>
        </w:p>
      </w:sdtContent>
    </w:sdt>
    <w:p w14:paraId="0316535E"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0A88E65D"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01354917" w14:textId="77777777" w:rsidR="00BC05D0" w:rsidRDefault="009303D9" w:rsidP="00BC05D0">
      <w:pPr>
        <w:pStyle w:val="Abstract"/>
      </w:pPr>
      <w:r>
        <w:rPr>
          <w:i/>
          <w:iCs/>
        </w:rPr>
        <w:t>Abstract</w:t>
      </w:r>
    </w:p>
    <w:p w14:paraId="0BFE84FA" w14:textId="4EED507A" w:rsidR="000844E7" w:rsidRPr="00BC05D0" w:rsidRDefault="009932A6" w:rsidP="00BC05D0">
      <w:pPr>
        <w:pStyle w:val="Abstract"/>
        <w:ind w:firstLine="0pt"/>
      </w:pPr>
      <w:r w:rsidRPr="009932A6">
        <w:rPr>
          <w:lang w:val="en-GB"/>
        </w:rPr>
        <w:t>This research examines data security and compliance in AI-driven manufacturing and digital transformation, emphasizing governance, legal, ethical, and risk management strategies, alongside technical safeguards and a Zero Trust case study, highlighting the importance of continuous monitoring, proactive security, and adaptive measures to protect data and ensure regulatory compliance.</w:t>
      </w:r>
    </w:p>
    <w:p w14:paraId="59A2B27E" w14:textId="77777777" w:rsidR="002D1D62" w:rsidRDefault="002D1D62" w:rsidP="002D1D62">
      <w:pPr>
        <w:pStyle w:val="Abstract"/>
      </w:pPr>
    </w:p>
    <w:p w14:paraId="59B27CDF" w14:textId="219F9189" w:rsidR="000844E7" w:rsidRPr="00C7194B" w:rsidRDefault="000844E7" w:rsidP="00FA2D84">
      <w:pPr>
        <w:pStyle w:val="Heading1"/>
        <w:rPr>
          <w:b/>
          <w:bCs/>
        </w:rPr>
      </w:pPr>
      <w:bookmarkStart w:id="0" w:name="_Toc225462585"/>
      <w:r w:rsidRPr="00C7194B">
        <w:rPr>
          <w:b/>
          <w:bCs/>
        </w:rPr>
        <w:t>Task 1: Research in Data Security and Compliance</w:t>
      </w:r>
      <w:bookmarkEnd w:id="0"/>
    </w:p>
    <w:p w14:paraId="2F6D62E9" w14:textId="77777777" w:rsidR="000844E7" w:rsidRPr="00BC05D0" w:rsidRDefault="000844E7" w:rsidP="000844E7">
      <w:pPr>
        <w:pStyle w:val="Heading2"/>
        <w:rPr>
          <w:b/>
          <w:bCs/>
        </w:rPr>
      </w:pPr>
      <w:bookmarkStart w:id="1" w:name="_Toc225462586"/>
      <w:r w:rsidRPr="00BC05D0">
        <w:rPr>
          <w:b/>
          <w:bCs/>
        </w:rPr>
        <w:t>1.</w:t>
      </w:r>
      <w:r w:rsidRPr="0040579F">
        <w:t xml:space="preserve"> Introduction</w:t>
      </w:r>
      <w:bookmarkEnd w:id="1"/>
    </w:p>
    <w:p w14:paraId="12784DB4" w14:textId="3C8CB781" w:rsidR="000844E7" w:rsidRDefault="000844E7" w:rsidP="00FA2D84">
      <w:pPr>
        <w:jc w:val="both"/>
      </w:pPr>
      <w:r w:rsidRPr="00677BD7">
        <w:t xml:space="preserve">As smart manufacturing systems grow complex and interconnected, AI becomes essential for enhancing security by detecting threats, predicting risks, automating responses, </w:t>
      </w:r>
      <w:r w:rsidRPr="00677BD7">
        <w:t xml:space="preserve">and understanding user </w:t>
      </w:r>
      <w:r w:rsidR="00FA2D84" w:rsidRPr="00677BD7">
        <w:t>behavior</w:t>
      </w:r>
      <w:r w:rsidRPr="00677BD7">
        <w:t xml:space="preserve"> to protect vulnerable industrial networks.</w:t>
      </w:r>
      <w:sdt>
        <w:sdtPr>
          <w:id w:val="832262005"/>
          <w:citation/>
        </w:sdtPr>
        <w:sdtContent>
          <w:r>
            <w:fldChar w:fldCharType="begin"/>
          </w:r>
          <w:r>
            <w:instrText xml:space="preserve"> CITATION Meh25 \l en-GB </w:instrText>
          </w:r>
          <w:r>
            <w:fldChar w:fldCharType="separate"/>
          </w:r>
          <w:r w:rsidR="00C7194B">
            <w:rPr>
              <w:noProof/>
            </w:rPr>
            <w:t xml:space="preserve"> </w:t>
          </w:r>
          <w:r w:rsidR="00C7194B" w:rsidRPr="00C7194B">
            <w:rPr>
              <w:noProof/>
            </w:rPr>
            <w:t>[1]</w:t>
          </w:r>
          <w:r>
            <w:fldChar w:fldCharType="end"/>
          </w:r>
        </w:sdtContent>
      </w:sdt>
      <w:r>
        <w:t>.</w:t>
      </w:r>
    </w:p>
    <w:p w14:paraId="2C49A9B0" w14:textId="5A7F98FC" w:rsidR="000844E7" w:rsidRDefault="000844E7" w:rsidP="00FA2D84">
      <w:pPr>
        <w:jc w:val="both"/>
      </w:pPr>
      <w:r w:rsidRPr="00677BD7">
        <w:t>In today’s digital landscape, data drives strategic decisions, operations, and customer experiences; AI and ML</w:t>
      </w:r>
      <w:r w:rsidR="00584600">
        <w:t xml:space="preserve"> (Machine Learning</w:t>
      </w:r>
      <w:r w:rsidRPr="00677BD7">
        <w:t xml:space="preserve"> enable automation, personalization, and insights, but also pose risks to</w:t>
      </w:r>
      <w:r w:rsidR="00FA2D84">
        <w:t xml:space="preserve"> </w:t>
      </w:r>
      <w:r w:rsidRPr="00677BD7">
        <w:t>data integrity, privacy, and security,</w:t>
      </w:r>
      <w:r w:rsidR="00FA2D84">
        <w:t xml:space="preserve"> </w:t>
      </w:r>
      <w:r w:rsidRPr="00677BD7">
        <w:t>requiring organizations to balance innovation with robust safeguards.</w:t>
      </w:r>
    </w:p>
    <w:p w14:paraId="20FFA0BA" w14:textId="77777777" w:rsidR="000844E7" w:rsidRDefault="000844E7" w:rsidP="00FA2D84">
      <w:pPr>
        <w:jc w:val="both"/>
      </w:pPr>
      <w:r w:rsidRPr="00677BD7">
        <w:t>AI systems pose challenges including ethical concerns like bias, security threats like model theft and adversarial attacks, data manipulation, and complex legal compliance driven by global regulations on privacy and responsible AI deployment.</w:t>
      </w:r>
    </w:p>
    <w:p w14:paraId="09C5C69B" w14:textId="77777777" w:rsidR="000844E7" w:rsidRDefault="000844E7" w:rsidP="00FA2D84">
      <w:pPr>
        <w:jc w:val="both"/>
      </w:pPr>
      <w:r>
        <w:t>This report covers the frameworks, best practices, and technical strategies needed to effectively manage AI and data security. It stresses the importance of incorporating legal, ethical, and technical safeguards throughout the entire AI lifecycle. Doing so helps build trustworthy AI systems, reduces risks, and ensures compliance with regulations.</w:t>
      </w:r>
    </w:p>
    <w:p w14:paraId="0360E348" w14:textId="77777777" w:rsidR="000844E7" w:rsidRDefault="000844E7" w:rsidP="000844E7"/>
    <w:p w14:paraId="36FBF2C2" w14:textId="77777777" w:rsidR="000844E7" w:rsidRDefault="000844E7" w:rsidP="000844E7"/>
    <w:p w14:paraId="6F40E2CD" w14:textId="27543DEE" w:rsidR="000844E7" w:rsidRDefault="000844E7" w:rsidP="00FA2D84">
      <w:pPr>
        <w:pStyle w:val="Heading2"/>
      </w:pPr>
      <w:bookmarkStart w:id="2" w:name="_Toc225462587"/>
      <w:r>
        <w:t xml:space="preserve">2. </w:t>
      </w:r>
      <w:r w:rsidRPr="0040579F">
        <w:t>Governance of AI and Machine Learning Systems: An Overview</w:t>
      </w:r>
      <w:bookmarkEnd w:id="2"/>
    </w:p>
    <w:p w14:paraId="2749BDB2" w14:textId="77777777" w:rsidR="000844E7" w:rsidRDefault="000844E7" w:rsidP="000844E7">
      <w:pPr>
        <w:pStyle w:val="Heading3"/>
      </w:pPr>
      <w:bookmarkStart w:id="3" w:name="_Toc225462588"/>
      <w:r>
        <w:t>2.1. Definition and Significance of AI Governance</w:t>
      </w:r>
      <w:bookmarkEnd w:id="3"/>
    </w:p>
    <w:p w14:paraId="2266BE31" w14:textId="347F61D6" w:rsidR="000844E7" w:rsidRDefault="000844E7" w:rsidP="00FA2D84">
      <w:pPr>
        <w:jc w:val="both"/>
      </w:pPr>
      <w:r w:rsidRPr="007D518B">
        <w:t>AI governance involves the rules, policies, and organizational structures that guide how artificial intelligence is developed, used, and managed. Its goal is to ensure that AI technologies are created and used in ways that are ethical, safe, and beneficial for society. This includes making sure AI systems follow legal requirements, adhere to ethical standards, and support the goals of organizations.</w:t>
      </w:r>
      <w:sdt>
        <w:sdtPr>
          <w:id w:val="-705565184"/>
          <w:citation/>
        </w:sdtPr>
        <w:sdtContent>
          <w:r>
            <w:fldChar w:fldCharType="begin"/>
          </w:r>
          <w:r>
            <w:instrText xml:space="preserve"> CITATION Ali25 \l en-GB </w:instrText>
          </w:r>
          <w:r>
            <w:fldChar w:fldCharType="separate"/>
          </w:r>
          <w:r w:rsidR="00C7194B">
            <w:rPr>
              <w:noProof/>
            </w:rPr>
            <w:t xml:space="preserve"> </w:t>
          </w:r>
          <w:r w:rsidR="00C7194B" w:rsidRPr="00C7194B">
            <w:rPr>
              <w:noProof/>
            </w:rPr>
            <w:t>[2]</w:t>
          </w:r>
          <w:r>
            <w:fldChar w:fldCharType="end"/>
          </w:r>
        </w:sdtContent>
      </w:sdt>
      <w:r>
        <w:t>.</w:t>
      </w:r>
    </w:p>
    <w:p w14:paraId="5A9B3218" w14:textId="7B702496" w:rsidR="000844E7" w:rsidRPr="0040579F" w:rsidRDefault="000844E7" w:rsidP="000844E7">
      <w:pPr>
        <w:pStyle w:val="Heading4"/>
      </w:pPr>
      <w:r w:rsidRPr="0040579F">
        <w:t>At its core, AI governance aims to</w:t>
      </w:r>
      <w:r w:rsidR="0040579F">
        <w:t>:</w:t>
      </w:r>
    </w:p>
    <w:p w14:paraId="0EDDA9D3" w14:textId="77777777" w:rsidR="000844E7" w:rsidRDefault="000844E7" w:rsidP="00FA2D84">
      <w:pPr>
        <w:pStyle w:val="Heading5"/>
        <w:jc w:val="both"/>
      </w:pPr>
      <w:r>
        <w:t>Ensure Ethical Use</w:t>
      </w:r>
    </w:p>
    <w:p w14:paraId="68C8B4BA" w14:textId="11831F0F" w:rsidR="000844E7" w:rsidRDefault="000844E7" w:rsidP="00C7194B">
      <w:pPr>
        <w:jc w:val="both"/>
      </w:pPr>
      <w:r>
        <w:t>It is vital to develop and operate AI systems in ways that are</w:t>
      </w:r>
      <w:r w:rsidR="00FA2D84">
        <w:t xml:space="preserve"> </w:t>
      </w:r>
      <w:r>
        <w:t xml:space="preserve">fair, just, and respectful of human rights. This means avoiding algorithms that might unintentionally discriminate against certain groups based on race, gender, age, or other characteristics. Ethical AI also involves ensuring that </w:t>
      </w:r>
      <w:r w:rsidR="00FA2D84">
        <w:t>AI decisions</w:t>
      </w:r>
      <w:r>
        <w:t xml:space="preserve"> do not cause harm, such as spreading misinformation or making unfair judgments. Promoting ethical use helps build trust with users and the public, ensuring AI benefits everyone without causing social harm.</w:t>
      </w:r>
    </w:p>
    <w:p w14:paraId="76CA42CC" w14:textId="77777777" w:rsidR="000844E7" w:rsidRDefault="000844E7" w:rsidP="000844E7"/>
    <w:p w14:paraId="48717648" w14:textId="77777777" w:rsidR="000844E7" w:rsidRPr="0040579F" w:rsidRDefault="000844E7" w:rsidP="000844E7">
      <w:pPr>
        <w:pStyle w:val="Heading5"/>
      </w:pPr>
      <w:r w:rsidRPr="0040579F">
        <w:t>Guarantee Transparency</w:t>
      </w:r>
    </w:p>
    <w:p w14:paraId="43D390D5" w14:textId="77777777" w:rsidR="000844E7" w:rsidRDefault="000844E7" w:rsidP="00FA2D84">
      <w:pPr>
        <w:jc w:val="both"/>
      </w:pPr>
      <w:r w:rsidRPr="00677BD7">
        <w:t>Transparency in AI involves making decision-making processes understandable to users, developers, and regulators, especially in critical fields like healthcare and finance, by providing explanations, documentation, and insights into data and algorithms, thereby preventing biases, ensuring accountability, and allowing users to question or challenge AI decisions when needed.</w:t>
      </w:r>
    </w:p>
    <w:p w14:paraId="0095C772" w14:textId="77777777" w:rsidR="000844E7" w:rsidRPr="0040579F" w:rsidRDefault="000844E7" w:rsidP="00FA2D84">
      <w:pPr>
        <w:pStyle w:val="Heading5"/>
      </w:pPr>
      <w:r w:rsidRPr="0040579F">
        <w:t>Mitigate Risks</w:t>
      </w:r>
    </w:p>
    <w:p w14:paraId="0D1105BB" w14:textId="73E38159" w:rsidR="000844E7" w:rsidRDefault="000844E7" w:rsidP="00C7194B">
      <w:pPr>
        <w:jc w:val="both"/>
      </w:pPr>
      <w:r>
        <w:t xml:space="preserve">Managing risks involves identifying potential vulnerabilities in AI systems and taking steps to prevent or reduce harm. This includes protecting against hacking, malicious attacks, or adversarial inputs designed to deceive AI models. It also involves safeguarding personal data to prevent leaks or misuse and ensuring that AI systems are resilient to errors or unpredictable </w:t>
      </w:r>
      <w:r w:rsidR="00BC05D0">
        <w:t>behavior</w:t>
      </w:r>
      <w:r>
        <w:t>. Regular testing, security measures, and robust data privacy policies are essential to minimize these risks and maintain trust in AI applications.</w:t>
      </w:r>
    </w:p>
    <w:p w14:paraId="61159BF1" w14:textId="77777777" w:rsidR="000844E7" w:rsidRDefault="000844E7" w:rsidP="000844E7"/>
    <w:p w14:paraId="150C5D0F" w14:textId="77777777" w:rsidR="000844E7" w:rsidRPr="0040579F" w:rsidRDefault="000844E7" w:rsidP="000844E7">
      <w:pPr>
        <w:pStyle w:val="Heading5"/>
      </w:pPr>
      <w:r w:rsidRPr="0040579F">
        <w:t>Foster Accountability</w:t>
      </w:r>
    </w:p>
    <w:p w14:paraId="165AC4EB" w14:textId="4E2C4B91" w:rsidR="000844E7" w:rsidRDefault="000844E7" w:rsidP="00FA2D84">
      <w:pPr>
        <w:jc w:val="both"/>
      </w:pPr>
      <w:r>
        <w:t>Accountability</w:t>
      </w:r>
      <w:r w:rsidR="00FA2D84">
        <w:t xml:space="preserve"> </w:t>
      </w:r>
      <w:r>
        <w:t>means establishing clear roles and responsibilities for those involved in creating, deploying, and managing AI systems. Organizations should define who</w:t>
      </w:r>
      <w:r w:rsidR="00FA2D84">
        <w:t xml:space="preserve"> </w:t>
      </w:r>
      <w:r>
        <w:t>is responsible if an AI system causes harm or makes a mistake. This can include developers, data scientists, managers, and users. Having accountability mechanisms in place ensures that issues are addressed promptly, corrective actions are taken, and lessons are learned to improve future AI systems. It also encourages responsible development and use of AI, aligning with ethical and legal standards.</w:t>
      </w:r>
    </w:p>
    <w:p w14:paraId="33413540" w14:textId="77777777" w:rsidR="000844E7" w:rsidRDefault="000844E7" w:rsidP="000844E7"/>
    <w:p w14:paraId="67A4B5D5" w14:textId="77777777" w:rsidR="000844E7" w:rsidRPr="0040579F" w:rsidRDefault="000844E7" w:rsidP="000844E7">
      <w:pPr>
        <w:pStyle w:val="Heading5"/>
      </w:pPr>
      <w:r w:rsidRPr="0040579F">
        <w:t>Maintain Legal Compliance</w:t>
      </w:r>
    </w:p>
    <w:p w14:paraId="09635831" w14:textId="320B61DA" w:rsidR="000844E7" w:rsidRDefault="000844E7" w:rsidP="00BC05D0">
      <w:pPr>
        <w:jc w:val="both"/>
      </w:pPr>
      <w:r w:rsidRPr="000D1F36">
        <w:t>AI systems must comply with existing laws and regulations related to data protection, privacy, and safety, such as GDPR in Europe and sector-specific rules like healthcare and finance standards; maintaining compliance demonstrates responsible AI use, avoids penalties, and reflects organizational commitment, while effective governance is crucial to prevent societal harm, protect individual rights, build trust, and ensure AI’s ethical and legal application amid rapid technological advancements.</w:t>
      </w:r>
    </w:p>
    <w:p w14:paraId="3662574E" w14:textId="77777777" w:rsidR="00BC05D0" w:rsidRDefault="00BC05D0" w:rsidP="00BC05D0">
      <w:pPr>
        <w:jc w:val="both"/>
      </w:pPr>
    </w:p>
    <w:p w14:paraId="4AEB838D" w14:textId="77777777" w:rsidR="00BC05D0" w:rsidRDefault="00BC05D0" w:rsidP="00BC05D0">
      <w:pPr>
        <w:jc w:val="both"/>
      </w:pPr>
    </w:p>
    <w:p w14:paraId="433B04ED" w14:textId="77777777" w:rsidR="000844E7" w:rsidRPr="00BC05D0" w:rsidRDefault="000844E7" w:rsidP="000844E7">
      <w:pPr>
        <w:pStyle w:val="Heading4"/>
        <w:rPr>
          <w:b/>
          <w:bCs/>
        </w:rPr>
      </w:pPr>
      <w:r>
        <w:t xml:space="preserve">2.2. </w:t>
      </w:r>
      <w:r w:rsidRPr="0040579F">
        <w:t>The Global Regulatory Landscape</w:t>
      </w:r>
    </w:p>
    <w:p w14:paraId="7F9BA436" w14:textId="77777777" w:rsidR="000844E7" w:rsidRDefault="000844E7" w:rsidP="00FA2D84">
      <w:pPr>
        <w:jc w:val="both"/>
      </w:pPr>
      <w:r>
        <w:t>The regulatory environment is dynamic, with multiple jurisdictions establishing frameworks to address AI and data security challenges:</w:t>
      </w:r>
    </w:p>
    <w:p w14:paraId="10F7A873" w14:textId="77777777" w:rsidR="000844E7" w:rsidRDefault="000844E7" w:rsidP="000844E7"/>
    <w:p w14:paraId="08060EC9" w14:textId="77777777" w:rsidR="000844E7" w:rsidRPr="0040579F" w:rsidRDefault="000844E7" w:rsidP="000844E7">
      <w:pPr>
        <w:pStyle w:val="Heading5"/>
      </w:pPr>
      <w:r w:rsidRPr="0040579F">
        <w:t>European Union AI Act</w:t>
      </w:r>
    </w:p>
    <w:p w14:paraId="6B71E1AD" w14:textId="47F3A26B" w:rsidR="000844E7" w:rsidRDefault="000844E7" w:rsidP="00FA2D84">
      <w:pPr>
        <w:jc w:val="both"/>
      </w:pPr>
      <w:r>
        <w:t>Currently in draft form, this legislation classifies AI applications based on risk levels. High-risk AI systems such as biometric identification, autonomous vehicles, and critical infrastructure must meet strict requirements, including risk assessments, transparency, human oversight, and post-market monitoring. The Act emphasizes the need for transparency, safety, and human control, aiming to prevent AI-driven harms</w:t>
      </w:r>
      <w:sdt>
        <w:sdtPr>
          <w:id w:val="1842819668"/>
          <w:citation/>
        </w:sdtPr>
        <w:sdtContent>
          <w:r>
            <w:fldChar w:fldCharType="begin"/>
          </w:r>
          <w:r>
            <w:instrText xml:space="preserve"> CITATION Mel22 \l en-GB </w:instrText>
          </w:r>
          <w:r>
            <w:fldChar w:fldCharType="separate"/>
          </w:r>
          <w:r w:rsidR="00C7194B">
            <w:rPr>
              <w:noProof/>
            </w:rPr>
            <w:t xml:space="preserve"> </w:t>
          </w:r>
          <w:r w:rsidR="00C7194B" w:rsidRPr="00C7194B">
            <w:rPr>
              <w:noProof/>
            </w:rPr>
            <w:t>[3]</w:t>
          </w:r>
          <w:r>
            <w:fldChar w:fldCharType="end"/>
          </w:r>
        </w:sdtContent>
      </w:sdt>
      <w:r>
        <w:t>.</w:t>
      </w:r>
    </w:p>
    <w:p w14:paraId="2415C660" w14:textId="77777777" w:rsidR="00FA2D84" w:rsidRDefault="00FA2D84" w:rsidP="00FA2D84">
      <w:pPr>
        <w:pStyle w:val="Heading5"/>
        <w:jc w:val="both"/>
      </w:pPr>
    </w:p>
    <w:p w14:paraId="09A3379E" w14:textId="145BE2BA" w:rsidR="000844E7" w:rsidRPr="0040579F" w:rsidRDefault="000844E7" w:rsidP="00FA2D84">
      <w:pPr>
        <w:pStyle w:val="Heading5"/>
        <w:jc w:val="both"/>
      </w:pPr>
      <w:r w:rsidRPr="0040579F">
        <w:t>GDPR (General Data Protection Regulation)</w:t>
      </w:r>
    </w:p>
    <w:p w14:paraId="55995B80" w14:textId="7C2A005A" w:rsidR="000844E7" w:rsidRDefault="000844E7" w:rsidP="00FA2D84">
      <w:pPr>
        <w:jc w:val="both"/>
      </w:pPr>
      <w:r w:rsidRPr="00A671F6">
        <w:t>The GDPR, approved by the European Parliament and effective from May 25, 2018, is a comprehensive law that enhances EU citizens' control over their personal data, mandates responsible data handling by organizations worldwide, and imposes severe fines for non-compliance, aiming to protect privacy, ensure transparency, and promote trustworthy data practices across Europe</w:t>
      </w:r>
      <w:sdt>
        <w:sdtPr>
          <w:id w:val="1564593140"/>
          <w:citation/>
        </w:sdtPr>
        <w:sdtContent>
          <w:r>
            <w:fldChar w:fldCharType="begin"/>
          </w:r>
          <w:r>
            <w:instrText xml:space="preserve"> CITATION GDP18 \l en-GB </w:instrText>
          </w:r>
          <w:r>
            <w:fldChar w:fldCharType="separate"/>
          </w:r>
          <w:r w:rsidR="00C7194B">
            <w:rPr>
              <w:noProof/>
            </w:rPr>
            <w:t xml:space="preserve"> </w:t>
          </w:r>
          <w:r w:rsidR="00C7194B" w:rsidRPr="00C7194B">
            <w:rPr>
              <w:noProof/>
            </w:rPr>
            <w:t>[4]</w:t>
          </w:r>
          <w:r>
            <w:fldChar w:fldCharType="end"/>
          </w:r>
        </w:sdtContent>
      </w:sdt>
      <w:r w:rsidRPr="00A671F6">
        <w:t>.</w:t>
      </w:r>
    </w:p>
    <w:p w14:paraId="775812B1" w14:textId="77777777" w:rsidR="000844E7" w:rsidRDefault="000844E7" w:rsidP="000844E7"/>
    <w:p w14:paraId="08D1FE4D" w14:textId="77777777" w:rsidR="000844E7" w:rsidRPr="0040579F" w:rsidRDefault="000844E7" w:rsidP="00FA2D84">
      <w:pPr>
        <w:pStyle w:val="Heading5"/>
        <w:jc w:val="both"/>
      </w:pPr>
      <w:r w:rsidRPr="0040579F">
        <w:t>DORA (Digital Operational Resilience Act)</w:t>
      </w:r>
    </w:p>
    <w:p w14:paraId="7B1575F5" w14:textId="5EA0F2C9" w:rsidR="000844E7" w:rsidRDefault="000844E7" w:rsidP="00FA2D84">
      <w:pPr>
        <w:jc w:val="both"/>
      </w:pPr>
      <w:r w:rsidRPr="00A452DF">
        <w:t>DORA is an EU regulation that enhances financial firms’ resilience to cyber threats by requiring risk identification, incident reporting, information sharing, regular testing, and recovery planning, while empowering regulators to oversee critical ICT providers, ensuring continuous service, quick recovery from disruptions, and strengthening cybersecurity to protect the financial system</w:t>
      </w:r>
      <w:sdt>
        <w:sdtPr>
          <w:id w:val="455530868"/>
          <w:citation/>
        </w:sdtPr>
        <w:sdtContent>
          <w:r>
            <w:fldChar w:fldCharType="begin"/>
          </w:r>
          <w:r>
            <w:instrText xml:space="preserve"> CITATION GDP181 \l en-GB </w:instrText>
          </w:r>
          <w:r>
            <w:fldChar w:fldCharType="separate"/>
          </w:r>
          <w:r w:rsidR="00C7194B">
            <w:rPr>
              <w:noProof/>
            </w:rPr>
            <w:t xml:space="preserve"> </w:t>
          </w:r>
          <w:r w:rsidR="00C7194B" w:rsidRPr="00C7194B">
            <w:rPr>
              <w:noProof/>
            </w:rPr>
            <w:t>[5]</w:t>
          </w:r>
          <w:r>
            <w:fldChar w:fldCharType="end"/>
          </w:r>
        </w:sdtContent>
      </w:sdt>
      <w:r w:rsidRPr="00A452DF">
        <w:t>.</w:t>
      </w:r>
    </w:p>
    <w:p w14:paraId="015B3BBB" w14:textId="77777777" w:rsidR="000844E7" w:rsidRDefault="000844E7" w:rsidP="000844E7"/>
    <w:p w14:paraId="240F34D9" w14:textId="77777777" w:rsidR="000844E7" w:rsidRPr="0040579F" w:rsidRDefault="000844E7" w:rsidP="000844E7">
      <w:pPr>
        <w:pStyle w:val="Heading5"/>
      </w:pPr>
      <w:r w:rsidRPr="0040579F">
        <w:t xml:space="preserve">NIS2 Directive </w:t>
      </w:r>
    </w:p>
    <w:p w14:paraId="41CB4B6C" w14:textId="0B7337A0" w:rsidR="000844E7" w:rsidRDefault="000844E7" w:rsidP="00BC05D0">
      <w:pPr>
        <w:jc w:val="both"/>
      </w:pPr>
      <w:r w:rsidRPr="00B44A17">
        <w:t>NIS2 is a European Union directive enacted in late 2022 that aims to improve cybersecurity for critical infrastructure across Europe. It expands the scope beyond energy and transportation to include more sectors, emphasizing the importance of protecting vital systems. NIS2 requires organizations to identify threats, prevent cyberattacks, respond quickly, and report incidents promptly to strengthen overall cybersecurity and safeguard critical services.</w:t>
      </w:r>
      <w:r>
        <w:t xml:space="preserve"> </w:t>
      </w:r>
      <w:sdt>
        <w:sdtPr>
          <w:id w:val="-1108583729"/>
          <w:citation/>
        </w:sdtPr>
        <w:sdtContent>
          <w:r>
            <w:fldChar w:fldCharType="begin"/>
          </w:r>
          <w:r>
            <w:instrText xml:space="preserve"> CITATION Ruo24 \l en-GB </w:instrText>
          </w:r>
          <w:r>
            <w:fldChar w:fldCharType="separate"/>
          </w:r>
          <w:r w:rsidR="00C7194B" w:rsidRPr="00C7194B">
            <w:rPr>
              <w:noProof/>
            </w:rPr>
            <w:t>[6]</w:t>
          </w:r>
          <w:r>
            <w:fldChar w:fldCharType="end"/>
          </w:r>
        </w:sdtContent>
      </w:sdt>
      <w:r>
        <w:t xml:space="preserve"> </w:t>
      </w:r>
    </w:p>
    <w:p w14:paraId="2F1940F5" w14:textId="77777777" w:rsidR="000844E7" w:rsidRDefault="000844E7" w:rsidP="000844E7"/>
    <w:p w14:paraId="76DDBEDB" w14:textId="3F403243" w:rsidR="000844E7" w:rsidRPr="0040579F" w:rsidRDefault="000844E7" w:rsidP="000844E7">
      <w:pPr>
        <w:pStyle w:val="Heading5"/>
      </w:pPr>
      <w:r w:rsidRPr="0040579F">
        <w:t>Sectoral Regulations</w:t>
      </w:r>
    </w:p>
    <w:p w14:paraId="33EFDF2E" w14:textId="77777777" w:rsidR="000844E7" w:rsidRDefault="000844E7" w:rsidP="000844E7">
      <w:r>
        <w:t xml:space="preserve">Certain industries, such as healthcare, finance, and energy, have additional rules governing data privacy, security, and </w:t>
      </w:r>
      <w:r>
        <w:lastRenderedPageBreak/>
        <w:t>AI deployment, often imposing higher standards. The interplay of these regulations necessitates comprehensive compliance strategies, integrating legal, technical, and organizational controls.</w:t>
      </w:r>
    </w:p>
    <w:p w14:paraId="1451B8B6" w14:textId="77777777" w:rsidR="000844E7" w:rsidRDefault="000844E7" w:rsidP="000844E7"/>
    <w:p w14:paraId="48F39235" w14:textId="77777777" w:rsidR="00BC05D0" w:rsidRDefault="00BC05D0" w:rsidP="000844E7"/>
    <w:p w14:paraId="1E27DF28" w14:textId="77777777" w:rsidR="000844E7" w:rsidRDefault="000844E7" w:rsidP="000844E7">
      <w:pPr>
        <w:pStyle w:val="Heading4"/>
      </w:pPr>
      <w:r>
        <w:t xml:space="preserve">2.3. </w:t>
      </w:r>
      <w:r w:rsidRPr="0040579F">
        <w:t>Challenges in AI Governance</w:t>
      </w:r>
    </w:p>
    <w:p w14:paraId="7AA8CE7B" w14:textId="0570E173" w:rsidR="000844E7" w:rsidRDefault="000844E7" w:rsidP="00FA2D84">
      <w:pPr>
        <w:jc w:val="both"/>
      </w:pPr>
      <w:r>
        <w:t>Despite</w:t>
      </w:r>
      <w:r w:rsidR="00FA2D84">
        <w:t xml:space="preserve"> </w:t>
      </w:r>
      <w:r>
        <w:t>the proliferation of regulatory guidance, organizations face significant hurdles:</w:t>
      </w:r>
    </w:p>
    <w:p w14:paraId="3906336E" w14:textId="77777777" w:rsidR="000844E7" w:rsidRDefault="000844E7" w:rsidP="000844E7"/>
    <w:p w14:paraId="3DEFC845" w14:textId="77777777" w:rsidR="000844E7" w:rsidRPr="0040579F" w:rsidRDefault="000844E7" w:rsidP="000844E7">
      <w:pPr>
        <w:pStyle w:val="Heading5"/>
      </w:pPr>
      <w:r w:rsidRPr="0040579F">
        <w:t>Bias and Fairness</w:t>
      </w:r>
    </w:p>
    <w:p w14:paraId="32E2D995" w14:textId="01E20ED7" w:rsidR="000844E7" w:rsidRDefault="000844E7" w:rsidP="00FA2D84">
      <w:pPr>
        <w:jc w:val="both"/>
      </w:pPr>
      <w:r w:rsidRPr="00677BD7">
        <w:t xml:space="preserve">Many AI systems trained on biased historical data risk making unfair decisions, such as biased hiring algorithms, prompting concerns from researchers, governments, and the public about bias and discrimination; despite psychology's extensive research on human traits and </w:t>
      </w:r>
      <w:r w:rsidR="00FA2D84" w:rsidRPr="00677BD7">
        <w:t>behavior</w:t>
      </w:r>
      <w:r w:rsidRPr="00677BD7">
        <w:t>, psychologists often feel excluded due to differing terminology, values, and goals from AI researchers.</w:t>
      </w:r>
      <w:sdt>
        <w:sdtPr>
          <w:id w:val="-214584413"/>
          <w:citation/>
        </w:sdtPr>
        <w:sdtContent>
          <w:r>
            <w:fldChar w:fldCharType="begin"/>
          </w:r>
          <w:r>
            <w:instrText xml:space="preserve"> CITATION Lan23 \l en-GB </w:instrText>
          </w:r>
          <w:r>
            <w:fldChar w:fldCharType="separate"/>
          </w:r>
          <w:r w:rsidR="00C7194B">
            <w:rPr>
              <w:noProof/>
            </w:rPr>
            <w:t xml:space="preserve"> </w:t>
          </w:r>
          <w:r w:rsidR="00C7194B" w:rsidRPr="00C7194B">
            <w:rPr>
              <w:noProof/>
            </w:rPr>
            <w:t>[7]</w:t>
          </w:r>
          <w:r>
            <w:fldChar w:fldCharType="end"/>
          </w:r>
        </w:sdtContent>
      </w:sdt>
      <w:r w:rsidRPr="00EA7452">
        <w:t>.</w:t>
      </w:r>
    </w:p>
    <w:p w14:paraId="01A5DC0D" w14:textId="77777777" w:rsidR="000844E7" w:rsidRDefault="000844E7" w:rsidP="000844E7"/>
    <w:p w14:paraId="52F789F5" w14:textId="77777777" w:rsidR="000844E7" w:rsidRPr="0040579F" w:rsidRDefault="000844E7" w:rsidP="000844E7">
      <w:pPr>
        <w:pStyle w:val="Heading5"/>
      </w:pPr>
      <w:r w:rsidRPr="0040579F">
        <w:t>Opacity and Explainability</w:t>
      </w:r>
    </w:p>
    <w:p w14:paraId="7D744E6C" w14:textId="77777777" w:rsidR="000844E7" w:rsidRDefault="000844E7" w:rsidP="00FA2D84">
      <w:pPr>
        <w:jc w:val="both"/>
      </w:pPr>
      <w:r>
        <w:t xml:space="preserve">Deep learning models, especially neural networks, are often called "black boxes" because it’s difficult to understand how they arrive at their decisions. This lack of transparency makes it hard to explain their processes, which can be a problem for meeting legal or ethical standards that require clear explanations. It also makes users less confident in trusting these systems.  </w:t>
      </w:r>
    </w:p>
    <w:p w14:paraId="71F18968" w14:textId="789666DE" w:rsidR="000844E7" w:rsidRDefault="000844E7" w:rsidP="00FA2D84">
      <w:pPr>
        <w:jc w:val="both"/>
      </w:pPr>
      <w:r w:rsidRPr="000D1F36">
        <w:t>A neural network comprises many interconnected neurons or nodes inspired by animal brains, primarily humans, with its learning and decision-making dependent on adjustable connection weights; during training, these weights are refined based on data, but the network's complexity often makes it difficult to interpret how conclusions are reached, creating the "black box" problem.</w:t>
      </w:r>
      <w:sdt>
        <w:sdtPr>
          <w:id w:val="-742634888"/>
          <w:citation/>
        </w:sdtPr>
        <w:sdtContent>
          <w:r>
            <w:fldChar w:fldCharType="begin"/>
          </w:r>
          <w:r>
            <w:instrText xml:space="preserve"> CITATION Abd99 \l en-GB </w:instrText>
          </w:r>
          <w:r>
            <w:fldChar w:fldCharType="separate"/>
          </w:r>
          <w:r w:rsidR="00C7194B">
            <w:rPr>
              <w:noProof/>
            </w:rPr>
            <w:t xml:space="preserve"> </w:t>
          </w:r>
          <w:r w:rsidR="00C7194B" w:rsidRPr="00C7194B">
            <w:rPr>
              <w:noProof/>
            </w:rPr>
            <w:t>[8]</w:t>
          </w:r>
          <w:r>
            <w:fldChar w:fldCharType="end"/>
          </w:r>
        </w:sdtContent>
      </w:sdt>
      <w:r>
        <w:t>.</w:t>
      </w:r>
    </w:p>
    <w:p w14:paraId="5A314481" w14:textId="77777777" w:rsidR="000844E7" w:rsidRDefault="000844E7" w:rsidP="000844E7"/>
    <w:p w14:paraId="2F1DEE18" w14:textId="77777777" w:rsidR="000844E7" w:rsidRPr="0040579F" w:rsidRDefault="000844E7" w:rsidP="000844E7">
      <w:pPr>
        <w:pStyle w:val="Heading5"/>
      </w:pPr>
      <w:r w:rsidRPr="0040579F">
        <w:t>Accountability</w:t>
      </w:r>
    </w:p>
    <w:p w14:paraId="2A43D168" w14:textId="77777777" w:rsidR="000844E7" w:rsidRDefault="000844E7" w:rsidP="00FA2D84">
      <w:pPr>
        <w:jc w:val="both"/>
      </w:pPr>
      <w:r>
        <w:t>When AI-driven decisions cause harm, it’s often unclear who is responsible, the developer, the deploying organization, or the AI system itself. Clarifying liability is critical for compliance and ethical accountability.</w:t>
      </w:r>
    </w:p>
    <w:p w14:paraId="06C54F96" w14:textId="77777777" w:rsidR="000844E7" w:rsidRDefault="000844E7" w:rsidP="000844E7"/>
    <w:p w14:paraId="5A8AE7EF" w14:textId="77777777" w:rsidR="000844E7" w:rsidRPr="0040579F" w:rsidRDefault="000844E7" w:rsidP="000844E7">
      <w:pPr>
        <w:pStyle w:val="Heading5"/>
      </w:pPr>
      <w:r w:rsidRPr="0040579F">
        <w:t>Data Privacy and Security</w:t>
      </w:r>
    </w:p>
    <w:p w14:paraId="1DF0AFBE" w14:textId="13713AC5" w:rsidR="000844E7" w:rsidRDefault="000844E7" w:rsidP="00FA2D84">
      <w:pPr>
        <w:jc w:val="both"/>
      </w:pPr>
      <w:r w:rsidRPr="002518A1">
        <w:t>Protecting personal data from being stolen or damaged is still a major concern. This is especially important because cyber threats and attacks are becoming more common and advanced, with hackers using more sophisticated methods to break into systems and access sensitive information.</w:t>
      </w:r>
    </w:p>
    <w:p w14:paraId="59C6834D" w14:textId="77777777" w:rsidR="000844E7" w:rsidRDefault="000844E7" w:rsidP="00BC05D0">
      <w:pPr>
        <w:jc w:val="both"/>
      </w:pPr>
    </w:p>
    <w:p w14:paraId="2FA7FE7C" w14:textId="77777777" w:rsidR="000844E7" w:rsidRPr="0040579F" w:rsidRDefault="000844E7" w:rsidP="000844E7">
      <w:pPr>
        <w:pStyle w:val="Heading5"/>
      </w:pPr>
      <w:r w:rsidRPr="0040579F">
        <w:t>Supply Chain Risks</w:t>
      </w:r>
    </w:p>
    <w:p w14:paraId="5ADAA8E5" w14:textId="77777777" w:rsidR="000844E7" w:rsidRDefault="000844E7" w:rsidP="00FA2D84">
      <w:pPr>
        <w:jc w:val="both"/>
      </w:pPr>
      <w:r w:rsidRPr="008301DE">
        <w:t>Relying on third-party models, datasets, and AI tools can pose risks for organizations. These risks include things like model poisoning (where malicious data corrupts the AI), hidden backdoors that attackers can exploit, and compromised data pipelines that may lead to incorrect or unsafe results.</w:t>
      </w:r>
    </w:p>
    <w:p w14:paraId="118E4ED5" w14:textId="77777777" w:rsidR="000844E7" w:rsidRDefault="000844E7" w:rsidP="000844E7"/>
    <w:p w14:paraId="1B72FB9A" w14:textId="77777777" w:rsidR="000844E7" w:rsidRPr="0040579F" w:rsidRDefault="000844E7" w:rsidP="000844E7">
      <w:pPr>
        <w:pStyle w:val="Heading5"/>
      </w:pPr>
      <w:r w:rsidRPr="0040579F">
        <w:t>Rapid Technological Evolution</w:t>
      </w:r>
    </w:p>
    <w:p w14:paraId="252AFB98" w14:textId="6F675735" w:rsidR="000844E7" w:rsidRDefault="000844E7" w:rsidP="0040579F">
      <w:pPr>
        <w:jc w:val="both"/>
      </w:pPr>
      <w:r w:rsidRPr="008301DE">
        <w:t xml:space="preserve">Laws and rules about AI and data are still changing and being developed. Because of this, </w:t>
      </w:r>
      <w:proofErr w:type="spellStart"/>
      <w:r w:rsidR="00BC05D0" w:rsidRPr="008301DE">
        <w:t>its</w:t>
      </w:r>
      <w:proofErr w:type="spellEnd"/>
      <w:r w:rsidRPr="008301DE">
        <w:t xml:space="preserve"> </w:t>
      </w:r>
      <w:proofErr w:type="gramStart"/>
      <w:r w:rsidRPr="008301DE">
        <w:t>often unclear</w:t>
      </w:r>
      <w:proofErr w:type="gramEnd"/>
      <w:r w:rsidRPr="008301DE">
        <w:t xml:space="preserve"> what organizations need to do to follow the rules and what the best practices are. This creates uncertainty about how to stay compliant and avoid legal issues.</w:t>
      </w:r>
    </w:p>
    <w:p w14:paraId="7D02B5FB" w14:textId="77777777" w:rsidR="000844E7" w:rsidRDefault="000844E7" w:rsidP="000844E7"/>
    <w:p w14:paraId="3A11F3EC" w14:textId="77777777" w:rsidR="00BC05D0" w:rsidRDefault="00BC05D0" w:rsidP="000844E7"/>
    <w:p w14:paraId="6A488807" w14:textId="77777777" w:rsidR="00BC05D0" w:rsidRDefault="00BC05D0" w:rsidP="000844E7"/>
    <w:p w14:paraId="038CC256" w14:textId="77777777" w:rsidR="00BC05D0" w:rsidRDefault="00BC05D0" w:rsidP="000844E7"/>
    <w:p w14:paraId="6C0C4E20" w14:textId="77777777" w:rsidR="000844E7" w:rsidRDefault="000844E7" w:rsidP="000844E7">
      <w:pPr>
        <w:pStyle w:val="Heading2"/>
      </w:pPr>
      <w:bookmarkStart w:id="4" w:name="_Toc225462589"/>
      <w:r>
        <w:t xml:space="preserve">3. </w:t>
      </w:r>
      <w:r w:rsidRPr="0040579F">
        <w:t>Critical Evaluation of Managing AI Risks</w:t>
      </w:r>
      <w:bookmarkEnd w:id="4"/>
    </w:p>
    <w:p w14:paraId="2F1E09B4" w14:textId="77777777" w:rsidR="000844E7" w:rsidRDefault="000844E7" w:rsidP="000844E7"/>
    <w:p w14:paraId="2E66FD68" w14:textId="77777777" w:rsidR="000844E7" w:rsidRPr="00BC05D0" w:rsidRDefault="000844E7" w:rsidP="000844E7">
      <w:pPr>
        <w:pStyle w:val="Heading3"/>
        <w:rPr>
          <w:b/>
          <w:bCs/>
        </w:rPr>
      </w:pPr>
      <w:bookmarkStart w:id="5" w:name="_Toc225462590"/>
      <w:r>
        <w:t>3.1</w:t>
      </w:r>
      <w:r w:rsidRPr="00BC05D0">
        <w:rPr>
          <w:b/>
          <w:bCs/>
        </w:rPr>
        <w:t xml:space="preserve">. </w:t>
      </w:r>
      <w:r w:rsidRPr="0040579F">
        <w:t>Risk Management Approaches</w:t>
      </w:r>
      <w:bookmarkEnd w:id="5"/>
    </w:p>
    <w:p w14:paraId="40144F68" w14:textId="77777777" w:rsidR="000844E7" w:rsidRPr="00BC05D0" w:rsidRDefault="000844E7" w:rsidP="000844E7">
      <w:pPr>
        <w:rPr>
          <w:b/>
          <w:bCs/>
        </w:rPr>
      </w:pPr>
    </w:p>
    <w:p w14:paraId="66370D57" w14:textId="77777777" w:rsidR="000844E7" w:rsidRDefault="000844E7" w:rsidP="00FA2D84">
      <w:pPr>
        <w:jc w:val="both"/>
      </w:pPr>
      <w:r>
        <w:t>Effective risk management must be proactive, ongoing, and integrated with organizational processes:</w:t>
      </w:r>
    </w:p>
    <w:p w14:paraId="6531A5C3" w14:textId="77777777" w:rsidR="000844E7" w:rsidRDefault="000844E7" w:rsidP="00FA2D84">
      <w:pPr>
        <w:jc w:val="both"/>
      </w:pPr>
    </w:p>
    <w:p w14:paraId="3CB1271F" w14:textId="77777777" w:rsidR="000844E7" w:rsidRPr="0040579F" w:rsidRDefault="000844E7" w:rsidP="000844E7">
      <w:pPr>
        <w:pStyle w:val="Heading5"/>
      </w:pPr>
      <w:r w:rsidRPr="0040579F">
        <w:t xml:space="preserve">Risk Identification </w:t>
      </w:r>
    </w:p>
    <w:p w14:paraId="73369EB5" w14:textId="26EECF9B" w:rsidR="000844E7" w:rsidRDefault="000844E7" w:rsidP="00FA2D84">
      <w:pPr>
        <w:jc w:val="both"/>
      </w:pPr>
      <w:r w:rsidRPr="00AB4AE6">
        <w:t>To enhance AI security, integrating threat modelling during development by simulating potential attacks and performing adversarial testing helps identify vulnerabilities, making systems more robust; this approach aims to create models that withstand tough inputs, but focusing on simplified attack methods can lead to "obscurity to an adversary," where hidden flaws remain undetected, so we develop methods to uncover these vulnerabilities and design more transparent, resilient AI systems</w:t>
      </w:r>
      <w:sdt>
        <w:sdtPr>
          <w:id w:val="-975363955"/>
          <w:citation/>
        </w:sdtPr>
        <w:sdtContent>
          <w:r>
            <w:fldChar w:fldCharType="begin"/>
          </w:r>
          <w:r>
            <w:instrText xml:space="preserve"> CITATION Jon18 \l en-GB </w:instrText>
          </w:r>
          <w:r>
            <w:fldChar w:fldCharType="separate"/>
          </w:r>
          <w:r w:rsidR="00C7194B">
            <w:rPr>
              <w:noProof/>
            </w:rPr>
            <w:t xml:space="preserve"> </w:t>
          </w:r>
          <w:r w:rsidR="00C7194B" w:rsidRPr="00C7194B">
            <w:rPr>
              <w:noProof/>
            </w:rPr>
            <w:t>[9]</w:t>
          </w:r>
          <w:r>
            <w:fldChar w:fldCharType="end"/>
          </w:r>
        </w:sdtContent>
      </w:sdt>
      <w:r w:rsidRPr="00AB4AE6">
        <w:t>.</w:t>
      </w:r>
    </w:p>
    <w:p w14:paraId="11738CC7" w14:textId="77777777" w:rsidR="000844E7" w:rsidRDefault="000844E7" w:rsidP="000844E7"/>
    <w:p w14:paraId="18EC6DE9" w14:textId="77777777" w:rsidR="000844E7" w:rsidRPr="0040579F" w:rsidRDefault="000844E7" w:rsidP="000844E7">
      <w:pPr>
        <w:pStyle w:val="Heading5"/>
      </w:pPr>
      <w:r w:rsidRPr="0040579F">
        <w:t>Model Validation and Testing</w:t>
      </w:r>
    </w:p>
    <w:p w14:paraId="633FAC60" w14:textId="433CC535" w:rsidR="00FA2D84" w:rsidRDefault="000844E7" w:rsidP="00BC05D0">
      <w:pPr>
        <w:jc w:val="both"/>
      </w:pPr>
      <w:r w:rsidRPr="00AB4AE6">
        <w:t xml:space="preserve">Employ fairness metrics, such as disparate impact analysis, alongside adversarial testing and explainability tools to assess and ensure that the model's </w:t>
      </w:r>
      <w:r w:rsidR="00FA2D84" w:rsidRPr="00AB4AE6">
        <w:t>behavior</w:t>
      </w:r>
      <w:r w:rsidRPr="00AB4AE6">
        <w:t xml:space="preserve"> aligns with ethical principles and security requirements. These methods help identify biases, vulnerabilities, and transparency issues, contributing to the development of responsible and trustworthy AI systems.</w:t>
      </w:r>
    </w:p>
    <w:p w14:paraId="66D6CD4B" w14:textId="79E8638A" w:rsidR="000844E7" w:rsidRPr="0040579F" w:rsidRDefault="000844E7" w:rsidP="000844E7">
      <w:pPr>
        <w:pStyle w:val="Heading5"/>
      </w:pPr>
      <w:r w:rsidRPr="0040579F">
        <w:t>Continuous Monitoring</w:t>
      </w:r>
    </w:p>
    <w:p w14:paraId="598EAD4E" w14:textId="227979FD" w:rsidR="000844E7" w:rsidRDefault="000844E7" w:rsidP="00FA2D84">
      <w:pPr>
        <w:jc w:val="both"/>
      </w:pPr>
      <w:r w:rsidRPr="0007426B">
        <w:t>Use live dashboards to monitor how well the AI model is working, detect changes in data over time, and identify security issues. Additionally, applying anomaly detection algorithms can automatically spot unusual patterns that may indicate tampering, errors, or system malfunction</w:t>
      </w:r>
      <w:r>
        <w:t>s</w:t>
      </w:r>
      <w:sdt>
        <w:sdtPr>
          <w:id w:val="1063369496"/>
          <w:citation/>
        </w:sdtPr>
        <w:sdtContent>
          <w:r>
            <w:fldChar w:fldCharType="begin"/>
          </w:r>
          <w:r>
            <w:instrText xml:space="preserve"> CITATION VCh09 \l en-GB </w:instrText>
          </w:r>
          <w:r>
            <w:fldChar w:fldCharType="separate"/>
          </w:r>
          <w:r w:rsidR="00C7194B">
            <w:rPr>
              <w:noProof/>
            </w:rPr>
            <w:t xml:space="preserve"> </w:t>
          </w:r>
          <w:r w:rsidR="00C7194B" w:rsidRPr="00C7194B">
            <w:rPr>
              <w:noProof/>
            </w:rPr>
            <w:t>[10]</w:t>
          </w:r>
          <w:r>
            <w:fldChar w:fldCharType="end"/>
          </w:r>
        </w:sdtContent>
      </w:sdt>
      <w:r w:rsidRPr="0007426B">
        <w:t>.</w:t>
      </w:r>
    </w:p>
    <w:p w14:paraId="519B7B3A" w14:textId="77777777" w:rsidR="000844E7" w:rsidRDefault="000844E7" w:rsidP="000844E7"/>
    <w:p w14:paraId="54D33D81" w14:textId="77777777" w:rsidR="000844E7" w:rsidRPr="0040579F" w:rsidRDefault="000844E7" w:rsidP="000844E7">
      <w:pPr>
        <w:pStyle w:val="Heading5"/>
      </w:pPr>
      <w:r w:rsidRPr="0040579F">
        <w:t>Automated Threat Detection</w:t>
      </w:r>
    </w:p>
    <w:p w14:paraId="46EB6B1C" w14:textId="09A96D4D" w:rsidR="000844E7" w:rsidRDefault="000844E7" w:rsidP="00FA2D84">
      <w:pPr>
        <w:jc w:val="both"/>
      </w:pPr>
      <w:r w:rsidRPr="00705162">
        <w:t>Set up security systems that use artificial intelligence, such as intrusion detection tools and Security Information and Event Management (SIEM) systems, which can adapt to new and changing threats. These systems help identify potential security issues early and can automatically take action to respond to attacks</w:t>
      </w:r>
      <w:sdt>
        <w:sdtPr>
          <w:id w:val="823626986"/>
          <w:citation/>
        </w:sdtPr>
        <w:sdtContent>
          <w:r>
            <w:fldChar w:fldCharType="begin"/>
          </w:r>
          <w:r>
            <w:instrText xml:space="preserve"> CITATION Mot20 \l en-GB </w:instrText>
          </w:r>
          <w:r>
            <w:fldChar w:fldCharType="separate"/>
          </w:r>
          <w:r w:rsidR="00C7194B">
            <w:rPr>
              <w:noProof/>
            </w:rPr>
            <w:t xml:space="preserve"> </w:t>
          </w:r>
          <w:r w:rsidR="00C7194B" w:rsidRPr="00C7194B">
            <w:rPr>
              <w:noProof/>
            </w:rPr>
            <w:t>[11]</w:t>
          </w:r>
          <w:r>
            <w:fldChar w:fldCharType="end"/>
          </w:r>
        </w:sdtContent>
      </w:sdt>
      <w:r w:rsidRPr="00705162">
        <w:t>.</w:t>
      </w:r>
    </w:p>
    <w:p w14:paraId="5078E491" w14:textId="77777777" w:rsidR="000844E7" w:rsidRDefault="000844E7" w:rsidP="000844E7"/>
    <w:p w14:paraId="48E56EE2" w14:textId="77777777" w:rsidR="000844E7" w:rsidRPr="0040579F" w:rsidRDefault="000844E7" w:rsidP="000844E7">
      <w:pPr>
        <w:pStyle w:val="Heading5"/>
      </w:pPr>
      <w:r w:rsidRPr="0040579F">
        <w:t>Structured Risk Frameworks</w:t>
      </w:r>
    </w:p>
    <w:p w14:paraId="24DBB6A2" w14:textId="09577884" w:rsidR="000844E7" w:rsidRPr="00371099" w:rsidRDefault="000844E7" w:rsidP="00FA2D84">
      <w:pPr>
        <w:jc w:val="both"/>
        <w:rPr>
          <w:rFonts w:asciiTheme="minorHAnsi" w:hAnsiTheme="minorHAnsi" w:cstheme="minorBidi"/>
        </w:rPr>
      </w:pPr>
      <w:r w:rsidRPr="000D1F36">
        <w:t xml:space="preserve">By implementing established risk management frameworks such as ISO 31000 or NIST 800-37 and tailoring them for AI systems, organizations can effectively identify potential AI-related risks, assess their severity, and develop strategies to mitigate or control these risks; ISO 31000, an international standard, offers comprehensive principles and step-by-step </w:t>
      </w:r>
      <w:r w:rsidRPr="000D1F36">
        <w:lastRenderedPageBreak/>
        <w:t>guidance for risk identification, analysis, decision-making, ongoing monitoring, and communication across the organization</w:t>
      </w:r>
      <w:sdt>
        <w:sdtPr>
          <w:id w:val="-382790754"/>
          <w:citation/>
        </w:sdtPr>
        <w:sdtContent>
          <w:r>
            <w:fldChar w:fldCharType="begin"/>
          </w:r>
          <w:r>
            <w:instrText xml:space="preserve"> CITATION Ros18 \l en-GB </w:instrText>
          </w:r>
          <w:r>
            <w:fldChar w:fldCharType="separate"/>
          </w:r>
          <w:r w:rsidR="00C7194B">
            <w:rPr>
              <w:noProof/>
            </w:rPr>
            <w:t xml:space="preserve"> </w:t>
          </w:r>
          <w:r w:rsidR="00C7194B" w:rsidRPr="00C7194B">
            <w:rPr>
              <w:noProof/>
            </w:rPr>
            <w:t>[12]</w:t>
          </w:r>
          <w:r>
            <w:fldChar w:fldCharType="end"/>
          </w:r>
        </w:sdtContent>
      </w:sdt>
      <w:r>
        <w:t>.</w:t>
      </w:r>
    </w:p>
    <w:p w14:paraId="1BFA3939" w14:textId="77777777" w:rsidR="000844E7" w:rsidRPr="00371099" w:rsidRDefault="000844E7" w:rsidP="000844E7">
      <w:pPr>
        <w:spacing w:after="8pt" w:line="13.90pt" w:lineRule="auto"/>
      </w:pPr>
    </w:p>
    <w:p w14:paraId="69720769" w14:textId="77777777" w:rsidR="000844E7" w:rsidRDefault="000844E7" w:rsidP="000844E7"/>
    <w:p w14:paraId="16289A6C" w14:textId="77777777" w:rsidR="00BC05D0" w:rsidRDefault="00BC05D0" w:rsidP="000844E7"/>
    <w:p w14:paraId="569340D4" w14:textId="77777777" w:rsidR="000844E7" w:rsidRDefault="000844E7" w:rsidP="000844E7">
      <w:pPr>
        <w:pStyle w:val="Heading2"/>
      </w:pPr>
      <w:bookmarkStart w:id="6" w:name="_Toc225462591"/>
      <w:r>
        <w:t xml:space="preserve">3.2. </w:t>
      </w:r>
      <w:r w:rsidRPr="0040579F">
        <w:t>Ethical and Compliance Considerations</w:t>
      </w:r>
      <w:bookmarkEnd w:id="6"/>
    </w:p>
    <w:p w14:paraId="346DBA15" w14:textId="38829F5E" w:rsidR="00BC05D0" w:rsidRDefault="000844E7" w:rsidP="00BC05D0">
      <w:pPr>
        <w:jc w:val="both"/>
      </w:pPr>
      <w:r w:rsidRPr="00631F81">
        <w:t>In today’s interconnected world, organizations must adhere to ethical standards and legal rules to build trust, protect their reputation, and ensure long-term success, with a strong organizational culture supporting responsible decision-making; when developing AI, balancing technological progress with ethical responsibilities like explainability and transparency is crucial to ensure accountability, trust, and fairness in AI outcomes.</w:t>
      </w:r>
      <w:sdt>
        <w:sdtPr>
          <w:id w:val="2066762931"/>
          <w:citation/>
        </w:sdtPr>
        <w:sdtContent>
          <w:r>
            <w:fldChar w:fldCharType="begin"/>
          </w:r>
          <w:r>
            <w:instrText xml:space="preserve"> CITATION Bha24 \l en-GB </w:instrText>
          </w:r>
          <w:r>
            <w:fldChar w:fldCharType="separate"/>
          </w:r>
          <w:r w:rsidR="00C7194B">
            <w:rPr>
              <w:noProof/>
            </w:rPr>
            <w:t xml:space="preserve"> </w:t>
          </w:r>
          <w:r w:rsidR="00C7194B" w:rsidRPr="00C7194B">
            <w:rPr>
              <w:noProof/>
            </w:rPr>
            <w:t>[13]</w:t>
          </w:r>
          <w:r>
            <w:fldChar w:fldCharType="end"/>
          </w:r>
        </w:sdtContent>
      </w:sdt>
      <w:r w:rsidRPr="00A562E2">
        <w:t>.</w:t>
      </w:r>
      <w:r>
        <w:t xml:space="preserve"> These can be achieved by the following.</w:t>
      </w:r>
    </w:p>
    <w:p w14:paraId="099D4A45" w14:textId="2C82E3E6" w:rsidR="000844E7" w:rsidRPr="00A562E2" w:rsidRDefault="000844E7" w:rsidP="00BC05D0">
      <w:pPr>
        <w:jc w:val="both"/>
      </w:pPr>
      <w:r>
        <w:t xml:space="preserve"> </w:t>
      </w:r>
    </w:p>
    <w:p w14:paraId="7236E6B2" w14:textId="77777777" w:rsidR="000844E7" w:rsidRDefault="000844E7" w:rsidP="000844E7">
      <w:pPr>
        <w:pStyle w:val="Heading3"/>
      </w:pPr>
      <w:bookmarkStart w:id="7" w:name="_Toc225462592"/>
      <w:r>
        <w:t>Embedding ethics into AI governance includes</w:t>
      </w:r>
      <w:bookmarkEnd w:id="7"/>
    </w:p>
    <w:p w14:paraId="3F3D2C41" w14:textId="77777777" w:rsidR="000844E7" w:rsidRPr="0040579F" w:rsidRDefault="000844E7" w:rsidP="000844E7">
      <w:pPr>
        <w:pStyle w:val="Heading5"/>
      </w:pPr>
      <w:r w:rsidRPr="0040579F">
        <w:t>Fairness and Bias Mitigation</w:t>
      </w:r>
    </w:p>
    <w:p w14:paraId="28D7A18A" w14:textId="06997B34" w:rsidR="000844E7" w:rsidRDefault="000844E7" w:rsidP="00FA2D84">
      <w:pPr>
        <w:jc w:val="both"/>
      </w:pPr>
      <w:r w:rsidRPr="00631F81">
        <w:t xml:space="preserve">Fairness and bias mitigation are essential for creating ethical, trustworthy AI systems, achieved through techniques like re-sampling data to ensure fair representation, selecting unbiased features that avoid </w:t>
      </w:r>
      <w:r w:rsidR="00BC05D0" w:rsidRPr="00631F81">
        <w:t>favoring</w:t>
      </w:r>
      <w:r w:rsidRPr="00631F81">
        <w:t xml:space="preserve"> any group, and using fairness-aware training algorithms to identify and reduce biases during learning, ultimately promoting equitable decision-making and ensuring AI benefits all users equally.</w:t>
      </w:r>
    </w:p>
    <w:p w14:paraId="735D027F" w14:textId="77777777" w:rsidR="000844E7" w:rsidRDefault="000844E7" w:rsidP="000844E7"/>
    <w:p w14:paraId="5235BA65" w14:textId="77777777" w:rsidR="000844E7" w:rsidRPr="0040579F" w:rsidRDefault="000844E7" w:rsidP="000844E7">
      <w:pPr>
        <w:pStyle w:val="Heading5"/>
      </w:pPr>
      <w:r w:rsidRPr="0040579F">
        <w:t>Transparency and Explainability</w:t>
      </w:r>
    </w:p>
    <w:p w14:paraId="723CA30F" w14:textId="61DD6BCA" w:rsidR="000844E7" w:rsidRDefault="000844E7" w:rsidP="00FA2D84">
      <w:pPr>
        <w:jc w:val="both"/>
      </w:pPr>
      <w:r w:rsidRPr="00631F81">
        <w:t>Transparency and explainability are crucial for understanding how AI systems make decisions, especially in important fields like healthcare, finance, or law. Tools like LIME and SHAP help by showing which data features or factors influenced the AI’s decision, making complex models easier to understand. Even though many AI models act like "black boxes," understanding their reasoning builds trust, helps verify results, and offers insights to improve or correct the models, ensuring they are reliable and safe to use</w:t>
      </w:r>
      <w:sdt>
        <w:sdtPr>
          <w:id w:val="-42605466"/>
          <w:citation/>
        </w:sdtPr>
        <w:sdtContent>
          <w:r>
            <w:fldChar w:fldCharType="begin"/>
          </w:r>
          <w:r>
            <w:instrText xml:space="preserve"> CITATION Mar16 \l en-GB </w:instrText>
          </w:r>
          <w:r>
            <w:fldChar w:fldCharType="separate"/>
          </w:r>
          <w:r w:rsidR="00C7194B">
            <w:rPr>
              <w:noProof/>
            </w:rPr>
            <w:t xml:space="preserve"> </w:t>
          </w:r>
          <w:r w:rsidR="00C7194B" w:rsidRPr="00C7194B">
            <w:rPr>
              <w:noProof/>
            </w:rPr>
            <w:t>[14]</w:t>
          </w:r>
          <w:r>
            <w:fldChar w:fldCharType="end"/>
          </w:r>
        </w:sdtContent>
      </w:sdt>
      <w:r w:rsidRPr="00631F81">
        <w:t>.</w:t>
      </w:r>
    </w:p>
    <w:p w14:paraId="1B4865A5" w14:textId="77777777" w:rsidR="000844E7" w:rsidRDefault="000844E7" w:rsidP="000844E7"/>
    <w:p w14:paraId="437033B2" w14:textId="77777777" w:rsidR="000844E7" w:rsidRPr="0040579F" w:rsidRDefault="000844E7" w:rsidP="000844E7">
      <w:pPr>
        <w:pStyle w:val="Heading5"/>
      </w:pPr>
      <w:r w:rsidRPr="0040579F">
        <w:t>Accountability and Documentation</w:t>
      </w:r>
    </w:p>
    <w:p w14:paraId="427C1BD1" w14:textId="77777777" w:rsidR="000844E7" w:rsidRDefault="000844E7" w:rsidP="00FA2D84">
      <w:pPr>
        <w:jc w:val="both"/>
      </w:pPr>
      <w:r w:rsidRPr="00A56586">
        <w:t>Keep detailed records of how the AI model was built, including the data used for training, the results from testing and validation, and logs of its decisions. This helps ensure transparency, makes it easier to review and check the model's processes, and allows for audits or investigations if needed to verify its accuracy and fairness.</w:t>
      </w:r>
    </w:p>
    <w:p w14:paraId="2E43E6D6" w14:textId="77777777" w:rsidR="000844E7" w:rsidRDefault="000844E7" w:rsidP="000844E7"/>
    <w:p w14:paraId="7DFB6546" w14:textId="77777777" w:rsidR="000844E7" w:rsidRPr="0040579F" w:rsidRDefault="000844E7" w:rsidP="000844E7">
      <w:pPr>
        <w:pStyle w:val="Heading5"/>
      </w:pPr>
      <w:r w:rsidRPr="0040579F">
        <w:t>Impact Assessments</w:t>
      </w:r>
    </w:p>
    <w:p w14:paraId="30691DD9" w14:textId="1E010E0A" w:rsidR="000844E7" w:rsidRDefault="000844E7" w:rsidP="00FA2D84">
      <w:pPr>
        <w:jc w:val="both"/>
      </w:pPr>
      <w:r w:rsidRPr="00A56586">
        <w:t xml:space="preserve">Regularly checking how AI affects society and </w:t>
      </w:r>
      <w:r w:rsidR="00FA2D84" w:rsidRPr="00A56586">
        <w:t>individuals’</w:t>
      </w:r>
      <w:r w:rsidRPr="00A56586">
        <w:t xml:space="preserve"> helps ensure that its use follows ethical principles and legal rules. These assessments make sure that the AI benefits people, avoids harm, and operates responsibly in line with social values and laws.</w:t>
      </w:r>
    </w:p>
    <w:p w14:paraId="4BAAEB91" w14:textId="77777777" w:rsidR="000844E7" w:rsidRDefault="000844E7" w:rsidP="000844E7"/>
    <w:p w14:paraId="771BFC6E" w14:textId="77777777" w:rsidR="000844E7" w:rsidRDefault="000844E7" w:rsidP="000844E7">
      <w:pPr>
        <w:pStyle w:val="Heading2"/>
      </w:pPr>
      <w:bookmarkStart w:id="8" w:name="_Toc225462593"/>
      <w:r>
        <w:t>3.3</w:t>
      </w:r>
      <w:r w:rsidRPr="00BC05D0">
        <w:rPr>
          <w:b/>
          <w:bCs/>
        </w:rPr>
        <w:t xml:space="preserve">. </w:t>
      </w:r>
      <w:r w:rsidRPr="0040579F">
        <w:t>Technical Safeguards</w:t>
      </w:r>
      <w:bookmarkEnd w:id="8"/>
    </w:p>
    <w:p w14:paraId="07AFF13D" w14:textId="77777777" w:rsidR="000844E7" w:rsidRDefault="000844E7" w:rsidP="000844E7"/>
    <w:p w14:paraId="03C66C95" w14:textId="77777777" w:rsidR="000844E7" w:rsidRPr="0040579F" w:rsidRDefault="000844E7" w:rsidP="000844E7">
      <w:pPr>
        <w:pStyle w:val="Heading3"/>
      </w:pPr>
      <w:bookmarkStart w:id="9" w:name="_Toc225462594"/>
      <w:r w:rsidRPr="0040579F">
        <w:t>Technical controls are foundational</w:t>
      </w:r>
      <w:bookmarkEnd w:id="9"/>
    </w:p>
    <w:p w14:paraId="6E40452D" w14:textId="77777777" w:rsidR="000844E7" w:rsidRPr="0040579F" w:rsidRDefault="000844E7" w:rsidP="000844E7">
      <w:pPr>
        <w:pStyle w:val="Heading5"/>
      </w:pPr>
      <w:r w:rsidRPr="0040579F">
        <w:t>Data Governance and Access Controls</w:t>
      </w:r>
    </w:p>
    <w:p w14:paraId="32AAC044" w14:textId="77777777" w:rsidR="000844E7" w:rsidRDefault="000844E7" w:rsidP="00FA2D84">
      <w:pPr>
        <w:jc w:val="both"/>
      </w:pPr>
      <w:r w:rsidRPr="00A56586">
        <w:t>Techniques like role-based access control (RBAC), encryption, anonymization (such as differential privacy), and data masking help safeguard sensitive information. RBAC limits data access to authorized users, encryption protects data when stored or transmitted, anonymization hides personal details, and data masking conceals sensitive parts, all working together to keep data private and secure.</w:t>
      </w:r>
    </w:p>
    <w:p w14:paraId="5B9EC05A" w14:textId="77777777" w:rsidR="000844E7" w:rsidRDefault="000844E7" w:rsidP="000844E7"/>
    <w:p w14:paraId="744619C1" w14:textId="77777777" w:rsidR="000844E7" w:rsidRPr="0040579F" w:rsidRDefault="000844E7" w:rsidP="000844E7">
      <w:pPr>
        <w:pStyle w:val="Heading5"/>
      </w:pPr>
      <w:r w:rsidRPr="0040579F">
        <w:t>Model Validation</w:t>
      </w:r>
    </w:p>
    <w:p w14:paraId="4056F1E1" w14:textId="77777777" w:rsidR="000844E7" w:rsidRDefault="000844E7" w:rsidP="00FA2D84">
      <w:pPr>
        <w:jc w:val="both"/>
      </w:pPr>
      <w:r w:rsidRPr="00A56586">
        <w:t>Before deploying an AI model, it’s important to check how well it performs using different tests. These tests assess its accuracy (how correct its predictions are), fairness (whether it treats all groups equally), and robustness (how well it handles different or unexpected situations). Validating with multiple metrics ensures the model is reliable, fair, and ready for real-world use.</w:t>
      </w:r>
    </w:p>
    <w:p w14:paraId="628A2CD0" w14:textId="77777777" w:rsidR="000844E7" w:rsidRDefault="000844E7" w:rsidP="000844E7"/>
    <w:p w14:paraId="69E60CDD" w14:textId="77777777" w:rsidR="000844E7" w:rsidRPr="0040579F" w:rsidRDefault="000844E7" w:rsidP="000844E7">
      <w:pPr>
        <w:pStyle w:val="Heading5"/>
      </w:pPr>
      <w:r w:rsidRPr="0040579F">
        <w:t>Explainability Tools</w:t>
      </w:r>
    </w:p>
    <w:p w14:paraId="39886A4E" w14:textId="77777777" w:rsidR="000844E7" w:rsidRDefault="000844E7" w:rsidP="00BC05D0">
      <w:pPr>
        <w:jc w:val="both"/>
      </w:pPr>
      <w:r w:rsidRPr="00A56586">
        <w:t>Help</w:t>
      </w:r>
      <w:r>
        <w:t>ing</w:t>
      </w:r>
      <w:r w:rsidRPr="00A56586">
        <w:t xml:space="preserve"> stakeholders understand how the AI makes decisions and ensure that it follows laws and regulations by making its decision-making process clear and open. This transparency builds trust and shows that the AI is operating responsibly and legally.</w:t>
      </w:r>
    </w:p>
    <w:p w14:paraId="4162FB04" w14:textId="77777777" w:rsidR="000844E7" w:rsidRDefault="000844E7" w:rsidP="000844E7"/>
    <w:p w14:paraId="0D44A9A3" w14:textId="77777777" w:rsidR="000844E7" w:rsidRPr="0040579F" w:rsidRDefault="000844E7" w:rsidP="000844E7">
      <w:pPr>
        <w:pStyle w:val="Heading5"/>
      </w:pPr>
      <w:r w:rsidRPr="0040579F">
        <w:t>Secure Development Lifecycle</w:t>
      </w:r>
    </w:p>
    <w:p w14:paraId="1E2C9C3F" w14:textId="77777777" w:rsidR="000844E7" w:rsidRDefault="000844E7" w:rsidP="00FA2D84">
      <w:pPr>
        <w:jc w:val="both"/>
      </w:pPr>
      <w:proofErr w:type="spellStart"/>
      <w:r w:rsidRPr="000D1F36">
        <w:t>DevSecOps</w:t>
      </w:r>
      <w:proofErr w:type="spellEnd"/>
      <w:r w:rsidRPr="000D1F36">
        <w:t>, combining Development, Security, and Operations, integrates security practices into every stage of software development and deployment, promoting early detection of security issues, fostering shared responsibility among teams, and enabling the rapid creation of secure, reliable systems by embedding security into the process rather than adding it later.</w:t>
      </w:r>
    </w:p>
    <w:p w14:paraId="3072E20C" w14:textId="77777777" w:rsidR="000844E7" w:rsidRDefault="000844E7" w:rsidP="000844E7"/>
    <w:p w14:paraId="4256B2F0" w14:textId="77777777" w:rsidR="000844E7" w:rsidRDefault="000844E7" w:rsidP="000844E7">
      <w:pPr>
        <w:pStyle w:val="Heading3"/>
      </w:pPr>
      <w:bookmarkStart w:id="10" w:name="_Toc225462595"/>
      <w:r>
        <w:t xml:space="preserve">4. </w:t>
      </w:r>
      <w:r w:rsidRPr="0040579F">
        <w:t>Building an Environment to Anticipate, Protect, Detect, and Respond</w:t>
      </w:r>
      <w:bookmarkEnd w:id="10"/>
    </w:p>
    <w:p w14:paraId="131B6D18" w14:textId="77777777" w:rsidR="000844E7" w:rsidRDefault="000844E7" w:rsidP="00FA2D84">
      <w:pPr>
        <w:jc w:val="both"/>
      </w:pPr>
      <w:r>
        <w:t>O</w:t>
      </w:r>
      <w:r w:rsidRPr="00E437B0">
        <w:t>rganizations face many cyber threats that can harm their data and systems. To stay safe, they need to create a strong security environment. This environment should be able to predict possible risks, protect important information, detect problems early, and respond quickly to any incidents. Building this kind of security system helps organizations stay safe, avoid damage, and keep trust with their customers.</w:t>
      </w:r>
    </w:p>
    <w:p w14:paraId="3C7A4FF0" w14:textId="77777777" w:rsidR="00BC05D0" w:rsidRDefault="00BC05D0" w:rsidP="00FA2D84">
      <w:pPr>
        <w:jc w:val="both"/>
      </w:pPr>
    </w:p>
    <w:p w14:paraId="1E34E546" w14:textId="77777777" w:rsidR="000844E7" w:rsidRDefault="000844E7" w:rsidP="000844E7">
      <w:pPr>
        <w:pStyle w:val="Heading4"/>
      </w:pPr>
      <w:r>
        <w:t xml:space="preserve">4.1. </w:t>
      </w:r>
      <w:r w:rsidRPr="0040579F">
        <w:t>Proactive Prevention</w:t>
      </w:r>
    </w:p>
    <w:p w14:paraId="6E4C60B4" w14:textId="77777777" w:rsidR="000844E7" w:rsidRDefault="000844E7" w:rsidP="000844E7"/>
    <w:p w14:paraId="079B61E5" w14:textId="1BAED4F2" w:rsidR="000844E7" w:rsidRDefault="000844E7" w:rsidP="00BC05D0">
      <w:pPr>
        <w:jc w:val="both"/>
      </w:pPr>
      <w:r>
        <w:t>Prevention is key</w:t>
      </w:r>
    </w:p>
    <w:p w14:paraId="6F073632" w14:textId="77777777" w:rsidR="000844E7" w:rsidRDefault="000844E7" w:rsidP="00FA2D84">
      <w:pPr>
        <w:jc w:val="both"/>
      </w:pPr>
      <w:r w:rsidRPr="00E437B0">
        <w:t>Secure AI Design means thinking about security from the very beginning when creating an AI system. This includes identifying potential threats through threat modelling, following safe coding practices to prevent vulnerabilities, and designing the system with privacy in mind (privacy-by-design). By doing these things early, the AI system is built to be safer and protect people's data from the start.</w:t>
      </w:r>
    </w:p>
    <w:p w14:paraId="02B71499" w14:textId="77777777" w:rsidR="000844E7" w:rsidRDefault="000844E7" w:rsidP="000844E7"/>
    <w:p w14:paraId="449DD938" w14:textId="77777777" w:rsidR="000844E7" w:rsidRPr="0040579F" w:rsidRDefault="000844E7" w:rsidP="000844E7">
      <w:pPr>
        <w:pStyle w:val="Heading4"/>
      </w:pPr>
      <w:r w:rsidRPr="0040579F">
        <w:t>Data Privacy Techniques</w:t>
      </w:r>
    </w:p>
    <w:p w14:paraId="76A3168E" w14:textId="77777777" w:rsidR="000844E7" w:rsidRDefault="000844E7" w:rsidP="00FA2D84">
      <w:pPr>
        <w:jc w:val="both"/>
      </w:pPr>
      <w:r w:rsidRPr="00E437B0">
        <w:t xml:space="preserve">Data privacy techniques help keep people's information safe and private. For example, differential privacy adds small random changes (noise) to data or models, making it hard to </w:t>
      </w:r>
      <w:r w:rsidRPr="00E437B0">
        <w:lastRenderedPageBreak/>
        <w:t>identify any individual. Homomorphic encryption allows computers to perform calculations on encrypted data without revealing the actual information, so data stays protected even while being processed. These techniques help ensure that sensitive data remains private and secure.</w:t>
      </w:r>
    </w:p>
    <w:p w14:paraId="69A534ED" w14:textId="77777777" w:rsidR="000844E7" w:rsidRDefault="000844E7" w:rsidP="000844E7"/>
    <w:p w14:paraId="01EC6528" w14:textId="77777777" w:rsidR="000844E7" w:rsidRPr="00BF5A72" w:rsidRDefault="000844E7" w:rsidP="00BC05D0">
      <w:pPr>
        <w:pStyle w:val="Heading4"/>
        <w:jc w:val="start"/>
      </w:pPr>
      <w:r w:rsidRPr="00BF5A72">
        <w:t>Supply Chain Security</w:t>
      </w:r>
    </w:p>
    <w:p w14:paraId="64F16913" w14:textId="0A220A4E" w:rsidR="000844E7" w:rsidRDefault="000844E7" w:rsidP="00FA2D84">
      <w:pPr>
        <w:jc w:val="both"/>
      </w:pPr>
      <w:r w:rsidRPr="00E437B0">
        <w:t>Supply chain security involves verifying that third-party providers are trustworthy by conducting audits and obtaining certifications like ISO 27001. It also includes requiring cryptographic signatures on models and datasets to ensure data integrity, helping to prevent tampering and protect the entire supply chain from security threats.</w:t>
      </w:r>
    </w:p>
    <w:p w14:paraId="1C58EAEE" w14:textId="77777777" w:rsidR="000844E7" w:rsidRDefault="000844E7" w:rsidP="000844E7"/>
    <w:p w14:paraId="1A395B98" w14:textId="77777777" w:rsidR="000844E7" w:rsidRPr="0040579F" w:rsidRDefault="000844E7" w:rsidP="000844E7">
      <w:pPr>
        <w:pStyle w:val="Heading4"/>
      </w:pPr>
      <w:r w:rsidRPr="0040579F">
        <w:t>Third-Party Risk Management</w:t>
      </w:r>
    </w:p>
    <w:p w14:paraId="257B935D" w14:textId="77777777" w:rsidR="000844E7" w:rsidRDefault="000844E7" w:rsidP="00FA2D84">
      <w:pPr>
        <w:jc w:val="both"/>
      </w:pPr>
      <w:r w:rsidRPr="00E437B0">
        <w:t>Set</w:t>
      </w:r>
      <w:r>
        <w:t>ting</w:t>
      </w:r>
      <w:r w:rsidRPr="00E437B0">
        <w:t xml:space="preserve"> up agreements with vendors or partners that clearly specify security requirements they must follow. Additionally, regularly check and review their security practices through audits to ensure they are meeting these standards. This helps make sure everyone involved keeps data safe and follows the necessary security rules.</w:t>
      </w:r>
    </w:p>
    <w:p w14:paraId="10D112A8" w14:textId="77777777" w:rsidR="000844E7" w:rsidRDefault="000844E7" w:rsidP="000844E7"/>
    <w:p w14:paraId="3FC56F87" w14:textId="77777777" w:rsidR="000844E7" w:rsidRPr="00BC05D0" w:rsidRDefault="000844E7" w:rsidP="000844E7">
      <w:pPr>
        <w:pStyle w:val="Heading3"/>
        <w:rPr>
          <w:b/>
          <w:bCs/>
        </w:rPr>
      </w:pPr>
      <w:bookmarkStart w:id="11" w:name="_Toc225462596"/>
      <w:r>
        <w:t xml:space="preserve">4.2. </w:t>
      </w:r>
      <w:r w:rsidRPr="0040579F">
        <w:t>Detection and Response</w:t>
      </w:r>
      <w:bookmarkEnd w:id="11"/>
    </w:p>
    <w:p w14:paraId="04E2DD9F" w14:textId="105E0288" w:rsidR="000844E7" w:rsidRDefault="000844E7" w:rsidP="00B6436A">
      <w:pPr>
        <w:jc w:val="both"/>
      </w:pPr>
      <w:r w:rsidRPr="00E437B0">
        <w:t xml:space="preserve">Detection and Response are key parts of cybersecurity that help identify when a security threat or attack is happening and take action to stop it. By quickly detecting problems and responding effectively, organizations can protect their data, systems, and users from damage and keep their operations running </w:t>
      </w:r>
      <w:r w:rsidR="00B6436A" w:rsidRPr="00E437B0">
        <w:t>smoothly.</w:t>
      </w:r>
      <w:r w:rsidR="00B6436A">
        <w:t xml:space="preserve"> Early</w:t>
      </w:r>
      <w:r>
        <w:t xml:space="preserve"> detection minimizes impact</w:t>
      </w:r>
    </w:p>
    <w:p w14:paraId="0E5CDDBA" w14:textId="77777777" w:rsidR="000844E7" w:rsidRDefault="000844E7" w:rsidP="000844E7"/>
    <w:p w14:paraId="1BB2EE8E" w14:textId="77777777" w:rsidR="000844E7" w:rsidRPr="0040579F" w:rsidRDefault="000844E7" w:rsidP="000844E7">
      <w:pPr>
        <w:pStyle w:val="Heading4"/>
      </w:pPr>
      <w:r w:rsidRPr="0040579F">
        <w:t>Behavioural Analytics</w:t>
      </w:r>
    </w:p>
    <w:p w14:paraId="3A768A17" w14:textId="5E353B16" w:rsidR="000844E7" w:rsidRDefault="00B6436A" w:rsidP="00B6436A">
      <w:pPr>
        <w:jc w:val="both"/>
      </w:pPr>
      <w:r w:rsidRPr="007752F4">
        <w:t>Behavioral</w:t>
      </w:r>
      <w:r w:rsidR="000844E7" w:rsidRPr="007752F4">
        <w:t xml:space="preserve"> analytics involves using machine learning tools to monitor how users interact with systems. It helps spot unusual activities or changes, like strange login patterns or data access, which could indicate security threats or tampering. This way, organizations can detect potential breaches early and respond quickly to protect their systems.</w:t>
      </w:r>
    </w:p>
    <w:p w14:paraId="709C5949" w14:textId="77777777" w:rsidR="000844E7" w:rsidRDefault="000844E7" w:rsidP="000844E7"/>
    <w:p w14:paraId="391A49EB" w14:textId="77777777" w:rsidR="000844E7" w:rsidRPr="0040579F" w:rsidRDefault="000844E7" w:rsidP="000844E7">
      <w:pPr>
        <w:pStyle w:val="Heading4"/>
      </w:pPr>
      <w:r w:rsidRPr="0040579F">
        <w:t>Incident Response Plans</w:t>
      </w:r>
    </w:p>
    <w:p w14:paraId="409294B6" w14:textId="77777777" w:rsidR="000844E7" w:rsidRDefault="000844E7" w:rsidP="00B6436A">
      <w:pPr>
        <w:jc w:val="both"/>
      </w:pPr>
      <w:r w:rsidRPr="007752F4">
        <w:t>Incident response plans are detailed strategies created to handle security problems related to AI systems. These plans include specific steps to contain the issue, eliminate the threat, notify the right people, and restore normal operations. Having such plans helps organizations respond quickly and effectively to AI-related security incidents, minimizing damage.</w:t>
      </w:r>
    </w:p>
    <w:p w14:paraId="525FE9E0" w14:textId="77777777" w:rsidR="000844E7" w:rsidRDefault="000844E7" w:rsidP="000844E7"/>
    <w:p w14:paraId="449C1576" w14:textId="4ED77E89" w:rsidR="000844E7" w:rsidRPr="00BC05D0" w:rsidRDefault="000844E7" w:rsidP="00B066FB">
      <w:pPr>
        <w:pStyle w:val="Heading3"/>
      </w:pPr>
      <w:r w:rsidRPr="00BC05D0">
        <w:t>SIEM(Security</w:t>
      </w:r>
      <w:r w:rsidR="00BC05D0">
        <w:t xml:space="preserve"> </w:t>
      </w:r>
      <w:r w:rsidRPr="00BC05D0">
        <w:t>Information and Event Management)</w:t>
      </w:r>
    </w:p>
    <w:p w14:paraId="32F0169A" w14:textId="1D038081" w:rsidR="000844E7" w:rsidRDefault="000844E7" w:rsidP="00B6436A">
      <w:pPr>
        <w:jc w:val="both"/>
      </w:pPr>
      <w:r w:rsidRPr="007752F4">
        <w:t xml:space="preserve">SIEM, or Security Information and Event Management, is a system that collects and combines logs and data from various sources like network devices, computers, and AI systems. It helps detect security threats as they happen and allows analysts to investigate past incidents to understand what happened. This way, organizations can respond quickly to security issues and improve their </w:t>
      </w:r>
      <w:r w:rsidR="00C7194B" w:rsidRPr="007752F4">
        <w:t>defenses</w:t>
      </w:r>
      <w:r w:rsidRPr="007752F4">
        <w:t>.</w:t>
      </w:r>
    </w:p>
    <w:p w14:paraId="3F9FD767" w14:textId="77777777" w:rsidR="000844E7" w:rsidRDefault="000844E7" w:rsidP="000844E7"/>
    <w:p w14:paraId="721772DE" w14:textId="77777777" w:rsidR="000844E7" w:rsidRPr="0040579F" w:rsidRDefault="000844E7" w:rsidP="000844E7">
      <w:pPr>
        <w:pStyle w:val="Heading4"/>
      </w:pPr>
      <w:r w:rsidRPr="0040579F">
        <w:t>Threat Hunting</w:t>
      </w:r>
    </w:p>
    <w:p w14:paraId="089E906F" w14:textId="13DBC6E7" w:rsidR="000844E7" w:rsidRDefault="000844E7" w:rsidP="00B6436A">
      <w:pPr>
        <w:jc w:val="both"/>
      </w:pPr>
      <w:r w:rsidRPr="007752F4">
        <w:t xml:space="preserve">Threat hunting is a proactive approach where security teams actively look through network and system logs to find signs of hidden or sneaky attacks. Instead of waiting for alerts, they search for unusual patterns or </w:t>
      </w:r>
      <w:r w:rsidR="00C7194B" w:rsidRPr="007752F4">
        <w:t>behaviors</w:t>
      </w:r>
      <w:r w:rsidRPr="007752F4">
        <w:t xml:space="preserve"> that might indicate </w:t>
      </w:r>
      <w:r w:rsidRPr="007752F4">
        <w:t>someone is trying to compromise the system. This helps catch threats early before they cause serious damage.</w:t>
      </w:r>
    </w:p>
    <w:p w14:paraId="4617A773" w14:textId="77777777" w:rsidR="000844E7" w:rsidRDefault="000844E7" w:rsidP="000844E7"/>
    <w:p w14:paraId="147FB84D" w14:textId="77777777" w:rsidR="000844E7" w:rsidRDefault="000844E7" w:rsidP="000844E7">
      <w:pPr>
        <w:pStyle w:val="Heading2"/>
      </w:pPr>
      <w:bookmarkStart w:id="12" w:name="_Toc225462597"/>
      <w:r>
        <w:t xml:space="preserve">4.3. </w:t>
      </w:r>
      <w:r w:rsidRPr="0040579F">
        <w:t>Automation and Orchestration</w:t>
      </w:r>
      <w:bookmarkEnd w:id="12"/>
    </w:p>
    <w:p w14:paraId="02CE2D6E" w14:textId="77777777" w:rsidR="000844E7" w:rsidRDefault="000844E7" w:rsidP="00B6436A">
      <w:pPr>
        <w:jc w:val="both"/>
      </w:pPr>
      <w:r w:rsidRPr="007752F4">
        <w:t>Automation and orchestration involve using technology to automatically manage and coordinate security tasks and responses. This helps security teams respond faster to threats and ensures that security processes are consistent and efficient. By automating routine tasks, organizations can better protect their systems and focus on more complex security issues.</w:t>
      </w:r>
    </w:p>
    <w:p w14:paraId="3AB18511" w14:textId="77777777" w:rsidR="000844E7" w:rsidRPr="00BF5A72" w:rsidRDefault="000844E7" w:rsidP="000844E7">
      <w:pPr>
        <w:pStyle w:val="Heading4"/>
      </w:pPr>
      <w:r w:rsidRPr="00BF5A72">
        <w:t xml:space="preserve"> Security Orchestration, Automation, and Response (SOAR)</w:t>
      </w:r>
    </w:p>
    <w:p w14:paraId="474AA82E" w14:textId="77777777" w:rsidR="000844E7" w:rsidRDefault="000844E7" w:rsidP="00B6436A">
      <w:pPr>
        <w:jc w:val="both"/>
      </w:pPr>
      <w:r w:rsidRPr="00677BD7">
        <w:t>Automated security integration combines various tools for rapid threat detection, investigation, and response, including automated patching to fix vulnerabilities and configuration management to ensure consistent security standards across systems, enabling organizations to strengthen cybersecurity, respond swiftly to threats, and minimize errors or security gaps.</w:t>
      </w:r>
    </w:p>
    <w:p w14:paraId="1622D6BD" w14:textId="77777777" w:rsidR="000844E7" w:rsidRPr="00BC05D0" w:rsidRDefault="000844E7" w:rsidP="000844E7">
      <w:pPr>
        <w:pStyle w:val="Heading3"/>
        <w:rPr>
          <w:b/>
          <w:bCs/>
        </w:rPr>
      </w:pPr>
      <w:bookmarkStart w:id="13" w:name="_Toc225462598"/>
      <w:r>
        <w:t xml:space="preserve">5. </w:t>
      </w:r>
      <w:r w:rsidRPr="0040579F">
        <w:t>Summary and Future Outlook</w:t>
      </w:r>
      <w:bookmarkEnd w:id="13"/>
    </w:p>
    <w:p w14:paraId="5194C4F6" w14:textId="15822CBC" w:rsidR="000844E7" w:rsidRDefault="000844E7" w:rsidP="00B6436A">
      <w:pPr>
        <w:jc w:val="both"/>
      </w:pPr>
      <w:r w:rsidRPr="00D36F47">
        <w:t>To effectively govern AI, organizations must continually update practices by adopting adaptive security frameworks like Zero Trust, utilizing automated compliance tools, staying informed on regulations, fostering security awareness through training, and leveraging emerging tools such as AI-specific audits and advanced threat detection to ensure responsible AI use, regulatory compliance, and stakeholder trust in a constantly evolving technological landscape.</w:t>
      </w:r>
    </w:p>
    <w:p w14:paraId="5354E2F7" w14:textId="77777777" w:rsidR="000844E7" w:rsidRDefault="000844E7" w:rsidP="000844E7"/>
    <w:p w14:paraId="7A93F026" w14:textId="77777777" w:rsidR="000844E7" w:rsidRDefault="000844E7" w:rsidP="000844E7">
      <w:r>
        <w:t xml:space="preserve"> </w:t>
      </w:r>
    </w:p>
    <w:p w14:paraId="1870DA84" w14:textId="77777777" w:rsidR="000844E7" w:rsidRDefault="000844E7" w:rsidP="000844E7"/>
    <w:p w14:paraId="3C7BC568" w14:textId="77777777" w:rsidR="000844E7" w:rsidRPr="00C7194B" w:rsidRDefault="000844E7" w:rsidP="000844E7">
      <w:pPr>
        <w:pStyle w:val="Heading1"/>
        <w:rPr>
          <w:b/>
          <w:bCs/>
        </w:rPr>
      </w:pPr>
      <w:bookmarkStart w:id="14" w:name="_Toc225462599"/>
      <w:r w:rsidRPr="00C7194B">
        <w:rPr>
          <w:b/>
          <w:bCs/>
        </w:rPr>
        <w:t>Task 2: Case Scenario—Designing a Zero-Trust Security Program for MediTrust Analytics Ltd</w:t>
      </w:r>
      <w:bookmarkEnd w:id="14"/>
    </w:p>
    <w:p w14:paraId="7350FD3F" w14:textId="77777777" w:rsidR="000844E7" w:rsidRDefault="000844E7" w:rsidP="000844E7"/>
    <w:p w14:paraId="05104B42" w14:textId="77777777" w:rsidR="000844E7" w:rsidRDefault="000844E7" w:rsidP="000844E7">
      <w:pPr>
        <w:pStyle w:val="Heading2"/>
      </w:pPr>
      <w:bookmarkStart w:id="15" w:name="_Toc225462600"/>
      <w:r>
        <w:t>1.</w:t>
      </w:r>
      <w:r w:rsidRPr="00BC05D0">
        <w:rPr>
          <w:b/>
          <w:bCs/>
        </w:rPr>
        <w:t xml:space="preserve"> </w:t>
      </w:r>
      <w:r w:rsidRPr="0040579F">
        <w:t>Introduction</w:t>
      </w:r>
      <w:bookmarkEnd w:id="15"/>
    </w:p>
    <w:p w14:paraId="5D23CFB5" w14:textId="3DFADC5F" w:rsidR="000844E7" w:rsidRDefault="000844E7" w:rsidP="00B6436A">
      <w:pPr>
        <w:jc w:val="both"/>
      </w:pPr>
      <w:proofErr w:type="spellStart"/>
      <w:r w:rsidRPr="00937ED5">
        <w:t>MediTrust</w:t>
      </w:r>
      <w:proofErr w:type="spellEnd"/>
      <w:r w:rsidRPr="00937ED5">
        <w:t xml:space="preserve"> Analytics Ltd operates at the crossroads of healthcare, data analytics, and cloud computing, using AI to improve healthcare outcomes while managing sensitive patient data; as it expands into regions like the EU, it adopts a Zero Trust security model to combat cyber threats, with this report outlining a comprehensive framework of architecture, policies, procedures, and roles to protect data, ensure compliance, and enable secure innovation.</w:t>
      </w:r>
    </w:p>
    <w:p w14:paraId="3032D99E" w14:textId="44E960A2" w:rsidR="000844E7" w:rsidRDefault="000844E7" w:rsidP="0040579F">
      <w:pPr>
        <w:spacing w:after="8pt" w:line="13.90pt" w:lineRule="auto"/>
        <w:jc w:val="both"/>
      </w:pPr>
      <w:r w:rsidRPr="00937ED5">
        <w:t>Zero Trust is a cybersecurity strategy that shifts protection from traditional network boundaries to individual users, devices, and resources, operating on the principle that no asset or user should be trusted by default regardless of location, and a Zero Trust Architecture (ZTA) applies these principles to design secure infrastructure for remote work, BYOD, and cloud environments, emphasizing strict authentication and authorization to protect specific assets and adapt to modern enterprise needs.</w:t>
      </w:r>
    </w:p>
    <w:p w14:paraId="29D35831" w14:textId="77777777" w:rsidR="000844E7" w:rsidRDefault="000844E7" w:rsidP="0040579F">
      <w:pPr>
        <w:jc w:val="both"/>
      </w:pPr>
    </w:p>
    <w:p w14:paraId="2BEB28D1" w14:textId="77777777" w:rsidR="000844E7" w:rsidRDefault="000844E7" w:rsidP="000844E7">
      <w:pPr>
        <w:pStyle w:val="Heading3"/>
      </w:pPr>
      <w:bookmarkStart w:id="16" w:name="_Toc225462601"/>
      <w:r>
        <w:t xml:space="preserve">2. </w:t>
      </w:r>
      <w:r w:rsidRPr="0040579F">
        <w:t>Organizational Structure</w:t>
      </w:r>
      <w:bookmarkEnd w:id="16"/>
    </w:p>
    <w:p w14:paraId="7789ABAB" w14:textId="77777777" w:rsidR="000844E7" w:rsidRDefault="000844E7" w:rsidP="00B6436A">
      <w:pPr>
        <w:jc w:val="both"/>
      </w:pPr>
      <w:r w:rsidRPr="00ED7962">
        <w:t xml:space="preserve">Organizational structure is how a company arranges teams, roles, responsibilities, and authority levels to manage operations effectively, and in Zero Trust security, it defines </w:t>
      </w:r>
      <w:r w:rsidRPr="00ED7962">
        <w:lastRenderedPageBreak/>
        <w:t>role assignments, collaboration between departments, and responsibilities for maintaining security, compliance, and ongoing risk management.</w:t>
      </w:r>
    </w:p>
    <w:p w14:paraId="62C00ADE" w14:textId="77777777" w:rsidR="00B066FB" w:rsidRDefault="00B066FB" w:rsidP="00B6436A">
      <w:pPr>
        <w:jc w:val="both"/>
      </w:pPr>
    </w:p>
    <w:p w14:paraId="22B79D6A" w14:textId="77777777" w:rsidR="0040579F" w:rsidRDefault="0040579F" w:rsidP="00B6436A">
      <w:pPr>
        <w:jc w:val="both"/>
      </w:pPr>
    </w:p>
    <w:p w14:paraId="28BFE476" w14:textId="77777777" w:rsidR="0040579F" w:rsidRDefault="0040579F" w:rsidP="00B6436A">
      <w:pPr>
        <w:jc w:val="both"/>
      </w:pPr>
    </w:p>
    <w:p w14:paraId="55682965" w14:textId="77777777" w:rsidR="0040579F" w:rsidRDefault="0040579F" w:rsidP="00B6436A">
      <w:pPr>
        <w:jc w:val="both"/>
      </w:pPr>
    </w:p>
    <w:p w14:paraId="778BC5D7" w14:textId="77777777" w:rsidR="000844E7" w:rsidRPr="00B066FB" w:rsidRDefault="000844E7" w:rsidP="000844E7">
      <w:pPr>
        <w:pStyle w:val="Heading3"/>
        <w:rPr>
          <w:b/>
          <w:bCs/>
        </w:rPr>
      </w:pPr>
      <w:bookmarkStart w:id="17" w:name="_Toc225462602"/>
      <w:r>
        <w:t>2.1</w:t>
      </w:r>
      <w:r w:rsidRPr="00B066FB">
        <w:rPr>
          <w:b/>
          <w:bCs/>
        </w:rPr>
        <w:t xml:space="preserve">. </w:t>
      </w:r>
      <w:r w:rsidRPr="0040579F">
        <w:t>Proposed Structure Overview</w:t>
      </w:r>
      <w:bookmarkEnd w:id="17"/>
    </w:p>
    <w:p w14:paraId="4831B993" w14:textId="77777777" w:rsidR="000844E7" w:rsidRPr="00B066FB" w:rsidRDefault="000844E7" w:rsidP="000844E7">
      <w:pPr>
        <w:rPr>
          <w:b/>
          <w:bCs/>
        </w:rPr>
      </w:pPr>
    </w:p>
    <w:p w14:paraId="0DBBF1BC" w14:textId="1ACE9731" w:rsidR="000844E7" w:rsidRDefault="000844E7" w:rsidP="00BC05D0">
      <w:pPr>
        <w:jc w:val="both"/>
      </w:pPr>
      <w:r>
        <w:t>The organizational security framework is designed to embed Zero Trust principles.</w:t>
      </w:r>
    </w:p>
    <w:p w14:paraId="65B415E8" w14:textId="77777777" w:rsidR="000844E7" w:rsidRDefault="000844E7" w:rsidP="00B6436A">
      <w:pPr>
        <w:jc w:val="both"/>
      </w:pPr>
    </w:p>
    <w:p w14:paraId="48B94C28" w14:textId="77777777" w:rsidR="000844E7" w:rsidRPr="0040579F" w:rsidRDefault="000844E7" w:rsidP="000844E7">
      <w:pPr>
        <w:pStyle w:val="Heading4"/>
      </w:pPr>
      <w:r w:rsidRPr="0040579F">
        <w:t>Chief Cloud Security Architect (CCSA)</w:t>
      </w:r>
    </w:p>
    <w:p w14:paraId="07AB836F" w14:textId="77777777" w:rsidR="000844E7" w:rsidRDefault="000844E7" w:rsidP="00B6436A">
      <w:pPr>
        <w:jc w:val="both"/>
      </w:pPr>
      <w:r w:rsidRPr="00DA4B45">
        <w:t>The Chief Cloud Security Architect (CCSA) is responsible for designing and managing the security of the company's cloud environment. They make sure that all cloud-based systems and services follow strict security principles, such as verifying user identities, giving only necessary access (least privilege), and regularly checking security measures to prevent unauthorized access and protect sensitive data.</w:t>
      </w:r>
    </w:p>
    <w:p w14:paraId="59DDF830" w14:textId="77777777" w:rsidR="000844E7" w:rsidRDefault="000844E7" w:rsidP="000844E7"/>
    <w:p w14:paraId="3387327D" w14:textId="77777777" w:rsidR="000844E7" w:rsidRPr="0040579F" w:rsidRDefault="000844E7" w:rsidP="000844E7">
      <w:pPr>
        <w:pStyle w:val="Heading4"/>
      </w:pPr>
      <w:r w:rsidRPr="0040579F">
        <w:t>DevSecOps Lead</w:t>
      </w:r>
    </w:p>
    <w:p w14:paraId="64A8B236" w14:textId="3891DBED" w:rsidR="000844E7" w:rsidRDefault="000844E7" w:rsidP="00B6436A">
      <w:pPr>
        <w:jc w:val="both"/>
      </w:pPr>
      <w:r w:rsidRPr="00C55A3F">
        <w:t xml:space="preserve">The </w:t>
      </w:r>
      <w:proofErr w:type="spellStart"/>
      <w:r w:rsidRPr="00C55A3F">
        <w:t>DevSecOps</w:t>
      </w:r>
      <w:proofErr w:type="spellEnd"/>
      <w:r w:rsidRPr="00C55A3F">
        <w:t xml:space="preserve"> Lead </w:t>
      </w:r>
      <w:r w:rsidR="00B6436A" w:rsidRPr="00C55A3F">
        <w:t>oversees</w:t>
      </w:r>
      <w:r w:rsidRPr="00C55A3F">
        <w:t xml:space="preserve"> including security at every stage of software development. They automate security testing, analyze code for vulnerabilities, and ensure compliance with security standards. Their main role is to integrate security measures seamlessly into the continuous integration and continuous delivery (CI/CD) pipelines, so that security is built into the software from the start and remains effective throughout the development process.</w:t>
      </w:r>
    </w:p>
    <w:p w14:paraId="36C9A26D" w14:textId="77777777" w:rsidR="000844E7" w:rsidRDefault="000844E7" w:rsidP="000844E7"/>
    <w:p w14:paraId="7068FD25" w14:textId="77777777" w:rsidR="000844E7" w:rsidRPr="0040579F" w:rsidRDefault="000844E7" w:rsidP="000844E7">
      <w:pPr>
        <w:pStyle w:val="Heading4"/>
      </w:pPr>
      <w:r w:rsidRPr="0040579F">
        <w:t>Security Operations Canter (SOC)</w:t>
      </w:r>
    </w:p>
    <w:p w14:paraId="06C47493" w14:textId="77777777" w:rsidR="000844E7" w:rsidRDefault="000844E7" w:rsidP="00B6436A">
      <w:pPr>
        <w:jc w:val="both"/>
      </w:pPr>
      <w:r w:rsidRPr="00C55A3F">
        <w:t>A Security Operations Canter (SOC) is a dedicated team or facility that continuously watches over an organization’s security by monitoring security events, analyzing alerts to identify potential threats, responding to security incidents quickly, and actively searching for hidden or ongoing cyber threats through threat hunting activities. Its main goal is to detect, respond to, and prevent security issues before they cause harm.</w:t>
      </w:r>
    </w:p>
    <w:p w14:paraId="39B8CFBE" w14:textId="77777777" w:rsidR="000844E7" w:rsidRDefault="000844E7" w:rsidP="000844E7"/>
    <w:p w14:paraId="0206898A" w14:textId="77777777" w:rsidR="000844E7" w:rsidRPr="0040579F" w:rsidRDefault="000844E7" w:rsidP="000844E7">
      <w:pPr>
        <w:pStyle w:val="Heading4"/>
      </w:pPr>
      <w:r w:rsidRPr="0040579F">
        <w:t>Compliance Officer</w:t>
      </w:r>
    </w:p>
    <w:p w14:paraId="4FD71A9F" w14:textId="3AA89870" w:rsidR="000844E7" w:rsidRDefault="000844E7" w:rsidP="00B6436A">
      <w:pPr>
        <w:jc w:val="both"/>
      </w:pPr>
      <w:r w:rsidRPr="00C55A3F">
        <w:t>A Compliance Officer is responsible for making sure the organization follows laws and regulations like GDPR, NIS2, DORA, and its own internal policies. They organize and manage audits to check compliance, keep detailed records of policies and activities, and communicate with regulators to ensure the organization meets all legal requirements. Their role is to help the organization stay legally compliant and avoid penalties.</w:t>
      </w:r>
    </w:p>
    <w:p w14:paraId="453274DC" w14:textId="15A882AF" w:rsidR="00B6436A" w:rsidRDefault="00B6436A" w:rsidP="000844E7"/>
    <w:p w14:paraId="5687A0A5" w14:textId="1E9B1BD6" w:rsidR="000844E7" w:rsidRDefault="00754FE0" w:rsidP="000844E7">
      <w:pPr>
        <w:pStyle w:val="Heading4"/>
      </w:pPr>
      <w:r>
        <w:drawing>
          <wp:anchor distT="0" distB="0" distL="114300" distR="114300" simplePos="0" relativeHeight="251659776" behindDoc="0" locked="0" layoutInCell="1" allowOverlap="1" wp14:anchorId="2714D428" wp14:editId="3F87962B">
            <wp:simplePos x="0" y="0"/>
            <wp:positionH relativeFrom="column">
              <wp:posOffset>5974</wp:posOffset>
            </wp:positionH>
            <wp:positionV relativeFrom="paragraph">
              <wp:posOffset>198284</wp:posOffset>
            </wp:positionV>
            <wp:extent cx="2998600" cy="1071667"/>
            <wp:effectExtent l="50800" t="50800" r="100330" b="97155"/>
            <wp:wrapNone/>
            <wp:docPr id="1225669498" name="Picture 1" descr="A diagram of a cloud security architect&#10;&#10;AI-generated content may b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25669498" name="Picture 1" descr="A diagram of a cloud security architec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7683" cy="1074913"/>
                    </a:xfrm>
                    <a:prstGeom prst="rect">
                      <a:avLst/>
                    </a:prstGeom>
                    <a:ln w="22225">
                      <a:solidFill>
                        <a:srgbClr val="7030A0"/>
                      </a:solidFill>
                    </a:ln>
                    <a:effectLst>
                      <a:outerShdw blurRad="50800" dist="38100" dir="2700000" algn="tl" rotWithShape="0">
                        <a:prstClr val="black">
                          <a:alpha val="40%"/>
                        </a:prstClr>
                      </a:outerShdw>
                    </a:effectLst>
                  </pic:spPr>
                </pic:pic>
              </a:graphicData>
            </a:graphic>
            <wp14:sizeRelH relativeFrom="page">
              <wp14:pctWidth>0%</wp14:pctWidth>
            </wp14:sizeRelH>
            <wp14:sizeRelV relativeFrom="page">
              <wp14:pctHeight>0%</wp14:pctHeight>
            </wp14:sizeRelV>
          </wp:anchor>
        </w:drawing>
      </w:r>
      <w:r w:rsidR="000844E7">
        <w:t>Diagram Description</w:t>
      </w:r>
    </w:p>
    <w:p w14:paraId="2C2ABB0D" w14:textId="784F8B2C" w:rsidR="000844E7" w:rsidRDefault="000844E7" w:rsidP="000844E7">
      <w:r>
        <w:t xml:space="preserve"> </w:t>
      </w:r>
    </w:p>
    <w:p w14:paraId="7E56A4C8" w14:textId="2ECFD9E3" w:rsidR="000844E7" w:rsidRDefault="000844E7" w:rsidP="000844E7"/>
    <w:p w14:paraId="5CFC7C4C" w14:textId="77777777" w:rsidR="000844E7" w:rsidRDefault="000844E7" w:rsidP="000844E7"/>
    <w:p w14:paraId="5D39622C" w14:textId="77777777" w:rsidR="000844E7" w:rsidRDefault="000844E7" w:rsidP="000844E7"/>
    <w:p w14:paraId="7D7827C5" w14:textId="77777777" w:rsidR="000844E7" w:rsidRDefault="000844E7" w:rsidP="000844E7"/>
    <w:p w14:paraId="3F5B092B" w14:textId="77777777" w:rsidR="00B6436A" w:rsidRDefault="00B6436A" w:rsidP="000844E7"/>
    <w:p w14:paraId="059A9F17" w14:textId="77777777" w:rsidR="000844E7" w:rsidRDefault="000844E7" w:rsidP="000844E7"/>
    <w:p w14:paraId="17D5E5D6" w14:textId="77777777" w:rsidR="000844E7" w:rsidRDefault="000844E7" w:rsidP="000844E7"/>
    <w:p w14:paraId="03DF0A3A" w14:textId="77777777" w:rsidR="000844E7" w:rsidRDefault="000844E7" w:rsidP="000844E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rsidRPr="00A76000">
        <w:t xml:space="preserve"> </w:t>
      </w:r>
      <w:proofErr w:type="spellStart"/>
      <w:r w:rsidRPr="00A76000">
        <w:t>MediTrust</w:t>
      </w:r>
      <w:proofErr w:type="spellEnd"/>
      <w:r w:rsidRPr="00A76000">
        <w:t xml:space="preserve"> Analytics Ltd </w:t>
      </w:r>
      <w:r>
        <w:t>proposed Structure Diagram</w:t>
      </w:r>
    </w:p>
    <w:p w14:paraId="1E98117D" w14:textId="77777777" w:rsidR="000844E7" w:rsidRDefault="000844E7" w:rsidP="000844E7"/>
    <w:p w14:paraId="4AE3A7A6" w14:textId="77777777" w:rsidR="000844E7" w:rsidRDefault="000844E7" w:rsidP="000844E7">
      <w:pPr>
        <w:pStyle w:val="Heading3"/>
      </w:pPr>
      <w:bookmarkStart w:id="18" w:name="_Toc225462603"/>
      <w:r>
        <w:t>2.2. Justification</w:t>
      </w:r>
      <w:bookmarkEnd w:id="18"/>
    </w:p>
    <w:p w14:paraId="1AA370D6" w14:textId="48F8852E" w:rsidR="000844E7" w:rsidRDefault="000844E7" w:rsidP="00B6436A">
      <w:pPr>
        <w:jc w:val="both"/>
      </w:pPr>
      <w:r w:rsidRPr="00677BD7">
        <w:t xml:space="preserve">The proposed organizational structure aligns with Zero Trust principles by clearly defining roles and collaboration channels; the Chief Cloud Security Architect oversees cloud security, the </w:t>
      </w:r>
      <w:proofErr w:type="spellStart"/>
      <w:r w:rsidRPr="00677BD7">
        <w:t>DevSecOps</w:t>
      </w:r>
      <w:proofErr w:type="spellEnd"/>
      <w:r w:rsidRPr="00677BD7">
        <w:t xml:space="preserve"> Lead promotes secure development, the SOC team provides continuous monitoring and threat detection for rapid response, and the Compliance Officer ensures adherence to legal and regulatory requirements, collectively maintaining a robust security posture.</w:t>
      </w:r>
    </w:p>
    <w:p w14:paraId="0B2C79F1" w14:textId="77777777" w:rsidR="000844E7" w:rsidRDefault="000844E7" w:rsidP="000844E7"/>
    <w:p w14:paraId="444ECEDE" w14:textId="77777777" w:rsidR="000844E7" w:rsidRDefault="000844E7" w:rsidP="00B6436A">
      <w:pPr>
        <w:jc w:val="both"/>
      </w:pPr>
      <w:r>
        <w:t>This structure fosters strong collaboration among roles, facilitating seamless communication and coordinated efforts to enforce strict access controls, monitor for anomalies, and maintain compliance, all essential components of a Zero Trust architecture. It supports a proactive, layered security approach that adapts to evolving threats and organizational needs, ensuring comprehensive protection of assets, data, and services in a dynamic security landscape.</w:t>
      </w:r>
    </w:p>
    <w:p w14:paraId="1E62FCF5" w14:textId="77777777" w:rsidR="000844E7" w:rsidRDefault="000844E7" w:rsidP="000844E7"/>
    <w:p w14:paraId="568F0278" w14:textId="77777777" w:rsidR="000844E7" w:rsidRDefault="000844E7" w:rsidP="000844E7">
      <w:pPr>
        <w:pStyle w:val="Heading3"/>
      </w:pPr>
      <w:bookmarkStart w:id="19" w:name="_Toc225462604"/>
      <w:r>
        <w:t>3</w:t>
      </w:r>
      <w:r w:rsidRPr="00B066FB">
        <w:rPr>
          <w:b/>
          <w:bCs/>
        </w:rPr>
        <w:t xml:space="preserve">. </w:t>
      </w:r>
      <w:r w:rsidRPr="0040579F">
        <w:t>Policies and Procedures</w:t>
      </w:r>
      <w:bookmarkEnd w:id="19"/>
    </w:p>
    <w:p w14:paraId="475E89AA" w14:textId="58862D49" w:rsidR="000844E7" w:rsidRDefault="000844E7" w:rsidP="00B6436A">
      <w:pPr>
        <w:jc w:val="both"/>
      </w:pPr>
      <w:r w:rsidRPr="00677BD7">
        <w:t xml:space="preserve">Policies and procedures are essential rules and guidelines that define how an organization operates, ensuring security, legal compliance, and consistency; they provide clear instructions to employees, helping protect assets, reduce risks, and maintain a safe, efficient workplace, which is a foundational element of </w:t>
      </w:r>
      <w:proofErr w:type="spellStart"/>
      <w:r w:rsidRPr="00677BD7">
        <w:t>MediTrust</w:t>
      </w:r>
      <w:proofErr w:type="spellEnd"/>
      <w:r w:rsidRPr="00677BD7">
        <w:t xml:space="preserve"> Analytics Ltd.'s Zero Trust Architecture emphasizing strong security practices.</w:t>
      </w:r>
    </w:p>
    <w:p w14:paraId="0E7A3BD3" w14:textId="77777777" w:rsidR="00B066FB" w:rsidRDefault="00B066FB" w:rsidP="00B6436A">
      <w:pPr>
        <w:jc w:val="both"/>
      </w:pPr>
    </w:p>
    <w:p w14:paraId="10D410F5" w14:textId="3689ED58" w:rsidR="000844E7" w:rsidRDefault="000844E7" w:rsidP="000844E7">
      <w:pPr>
        <w:pStyle w:val="Heading4"/>
      </w:pPr>
      <w:r>
        <w:t xml:space="preserve">3.1. </w:t>
      </w:r>
      <w:r w:rsidRPr="0040579F">
        <w:t>AI Usage Policy</w:t>
      </w:r>
    </w:p>
    <w:p w14:paraId="329B4472" w14:textId="0B0004A0" w:rsidR="000844E7" w:rsidRDefault="000844E7" w:rsidP="00BC05D0">
      <w:pPr>
        <w:jc w:val="both"/>
      </w:pPr>
      <w:r>
        <w:t>Purpose</w:t>
      </w:r>
    </w:p>
    <w:p w14:paraId="099DA129" w14:textId="77777777" w:rsidR="000844E7" w:rsidRDefault="000844E7" w:rsidP="00BC05D0">
      <w:pPr>
        <w:jc w:val="both"/>
      </w:pPr>
      <w:r>
        <w:t>This policy is designed to make sure that the use of Artificial Intelligence (AI) within the organization follows ethical principles, legal rules, and the company's core values.</w:t>
      </w:r>
    </w:p>
    <w:p w14:paraId="7F3C49E7" w14:textId="77777777" w:rsidR="000844E7" w:rsidRDefault="000844E7" w:rsidP="000844E7"/>
    <w:p w14:paraId="46EC22F8" w14:textId="77777777" w:rsidR="000844E7" w:rsidRDefault="000844E7" w:rsidP="000844E7">
      <w:r>
        <w:t xml:space="preserve">Key Points: </w:t>
      </w:r>
    </w:p>
    <w:p w14:paraId="6C066E44" w14:textId="77777777" w:rsidR="000844E7" w:rsidRDefault="000844E7" w:rsidP="00BC05D0">
      <w:pPr>
        <w:jc w:val="both"/>
      </w:pPr>
      <w:r w:rsidRPr="00DB4886">
        <w:t>Before deployment, AI models must undergo bias and fairness testing, utilize explainability tools for transparency in sensitive areas, undergo regular reviews and audits, maintain detailed documentation of development and validation, and establish procedures to promptly address errors, ensuring responsible, ethical, and trustworthy AI deployment.</w:t>
      </w:r>
    </w:p>
    <w:p w14:paraId="4DC10F4D" w14:textId="77777777" w:rsidR="000844E7" w:rsidRDefault="000844E7" w:rsidP="000844E7"/>
    <w:p w14:paraId="0274ECB2" w14:textId="77777777" w:rsidR="000844E7" w:rsidRDefault="000844E7" w:rsidP="000844E7">
      <w:pPr>
        <w:pStyle w:val="Heading3"/>
      </w:pPr>
      <w:bookmarkStart w:id="20" w:name="_Toc225462605"/>
      <w:r>
        <w:t xml:space="preserve">3.2. </w:t>
      </w:r>
      <w:r w:rsidRPr="0040579F">
        <w:t>Secure SaaS Configuration Policy</w:t>
      </w:r>
      <w:bookmarkEnd w:id="20"/>
    </w:p>
    <w:p w14:paraId="5AA91578" w14:textId="0890A784" w:rsidR="000844E7" w:rsidRDefault="000844E7" w:rsidP="00B066FB">
      <w:pPr>
        <w:jc w:val="both"/>
      </w:pPr>
      <w:r>
        <w:t>Objective</w:t>
      </w:r>
    </w:p>
    <w:p w14:paraId="23A98E44" w14:textId="77777777" w:rsidR="000844E7" w:rsidRDefault="000844E7" w:rsidP="00BC05D0">
      <w:pPr>
        <w:jc w:val="both"/>
      </w:pPr>
      <w:r>
        <w:t>To ensure that our Software-as-a-Service (SaaS) environment remains secure, especially to support employees working remotely or in hybrid setups.</w:t>
      </w:r>
    </w:p>
    <w:p w14:paraId="3AC37FE0" w14:textId="77777777" w:rsidR="000844E7" w:rsidRDefault="000844E7" w:rsidP="00BC05D0">
      <w:pPr>
        <w:jc w:val="both"/>
      </w:pPr>
      <w:r>
        <w:t xml:space="preserve">Guidelines: </w:t>
      </w:r>
    </w:p>
    <w:p w14:paraId="790D7E8D" w14:textId="2EBCAE01" w:rsidR="000844E7" w:rsidRDefault="000844E7" w:rsidP="00BC05D0">
      <w:pPr>
        <w:jc w:val="both"/>
      </w:pPr>
      <w:r>
        <w:t xml:space="preserve">All users must use multi-factor authentication (MFA), which requires two or more forms of verification, to access SaaS applications. Access permissions should be assigned based on roles, giving employees only the level of access they need to do their jobs this follows the principle of least privilege. We should use automated cloud security tools to regularly check and assess our SaaS configurations for any weaknesses or misconfigurations. Access logs and audit trails must be reviewed often to monitor activity and detect any suspicious </w:t>
      </w:r>
      <w:r w:rsidR="00B066FB">
        <w:t>behavior</w:t>
      </w:r>
      <w:r>
        <w:t xml:space="preserve">. Additionally, automated alerts should be set up to notify us immediately if there are any changes to configurations that don’t follow policies or if any security settings drift from their approved state. These measures help </w:t>
      </w:r>
      <w:r>
        <w:lastRenderedPageBreak/>
        <w:t>us keep our SaaS environment secure, reliable, and compliant.</w:t>
      </w:r>
    </w:p>
    <w:p w14:paraId="27267282" w14:textId="77777777" w:rsidR="003C09B0" w:rsidRDefault="003C09B0" w:rsidP="00BC05D0">
      <w:pPr>
        <w:jc w:val="both"/>
      </w:pPr>
    </w:p>
    <w:p w14:paraId="0A045DFD" w14:textId="3B49DCAA" w:rsidR="000844E7" w:rsidRDefault="000844E7" w:rsidP="00BC05D0">
      <w:r>
        <w:t xml:space="preserve"> </w:t>
      </w:r>
    </w:p>
    <w:p w14:paraId="6496602A" w14:textId="77777777" w:rsidR="000844E7" w:rsidRDefault="000844E7" w:rsidP="000844E7">
      <w:pPr>
        <w:pStyle w:val="Heading3"/>
      </w:pPr>
      <w:bookmarkStart w:id="21" w:name="_Toc225462606"/>
      <w:r>
        <w:t>3.3. BYOD Policy for Hybrid Workforce</w:t>
      </w:r>
      <w:bookmarkEnd w:id="21"/>
    </w:p>
    <w:p w14:paraId="77F4205E" w14:textId="77777777" w:rsidR="000844E7" w:rsidRDefault="000844E7" w:rsidP="00BC05D0">
      <w:pPr>
        <w:jc w:val="both"/>
      </w:pPr>
      <w:r w:rsidRPr="001D53F6">
        <w:t>This policy applies to all personal devices, such as smartphones, tablets, and laptops, used by employees to access company resources, requiring them to have up-to-date antivirus software, encryption enabled to protect sensitive data, and the latest security patches installed; prior to use, devices must undergo an approval process and be registered with the company's system, with employees mandated to use multi-factor authentication (MFA) for remote access, install endpoint security tools like Mobile Device Management (MDM) software to monitor and secure devices, enable remote wipe capabilities in case of loss or theft to prevent unauthorized access, and participate in training on secure device use and threat awareness, ensuring that personal devices do not compromise organizational security.</w:t>
      </w:r>
    </w:p>
    <w:p w14:paraId="6B8AB2AD" w14:textId="7D4C75DE" w:rsidR="000844E7" w:rsidRDefault="00BC05D0" w:rsidP="000844E7">
      <w:r w:rsidRPr="001D53F6">
        <w:rPr>
          <w:noProof/>
        </w:rPr>
        <w:drawing>
          <wp:anchor distT="0" distB="0" distL="114300" distR="114300" simplePos="0" relativeHeight="251660800" behindDoc="0" locked="0" layoutInCell="1" allowOverlap="1" wp14:anchorId="75B30ED8" wp14:editId="2BEF3C09">
            <wp:simplePos x="0" y="0"/>
            <wp:positionH relativeFrom="column">
              <wp:posOffset>15875</wp:posOffset>
            </wp:positionH>
            <wp:positionV relativeFrom="paragraph">
              <wp:posOffset>124396</wp:posOffset>
            </wp:positionV>
            <wp:extent cx="2929364" cy="1871809"/>
            <wp:effectExtent l="50800" t="50800" r="106045" b="97155"/>
            <wp:wrapNone/>
            <wp:docPr id="1930761244" name="Picture 1" descr="A diagram of a software security system&#10;&#10;AI-generated content may b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930761244" name="Picture 1" descr="A diagram of a software security syste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29364" cy="1871809"/>
                    </a:xfrm>
                    <a:prstGeom prst="rect">
                      <a:avLst/>
                    </a:prstGeom>
                    <a:ln w="22225">
                      <a:solidFill>
                        <a:srgbClr val="7030A0"/>
                      </a:solidFill>
                    </a:ln>
                    <a:effectLst>
                      <a:outerShdw blurRad="50800" dist="38100" dir="2700000" algn="tl" rotWithShape="0">
                        <a:prstClr val="black">
                          <a:alpha val="40%"/>
                        </a:prstClr>
                      </a:outerShdw>
                    </a:effectLst>
                  </pic:spPr>
                </pic:pic>
              </a:graphicData>
            </a:graphic>
            <wp14:sizeRelH relativeFrom="page">
              <wp14:pctWidth>0%</wp14:pctWidth>
            </wp14:sizeRelH>
            <wp14:sizeRelV relativeFrom="page">
              <wp14:pctHeight>0%</wp14:pctHeight>
            </wp14:sizeRelV>
          </wp:anchor>
        </w:drawing>
      </w:r>
      <w:r w:rsidR="000844E7">
        <w:t xml:space="preserve"> </w:t>
      </w:r>
    </w:p>
    <w:p w14:paraId="42F592B4" w14:textId="7443EF7D" w:rsidR="000844E7" w:rsidRDefault="000844E7" w:rsidP="000844E7"/>
    <w:p w14:paraId="6209E6F8" w14:textId="1E98250B" w:rsidR="000844E7" w:rsidRDefault="000844E7" w:rsidP="000844E7"/>
    <w:p w14:paraId="30EEA14B" w14:textId="0FCE1242" w:rsidR="000844E7" w:rsidRDefault="000844E7" w:rsidP="000844E7"/>
    <w:p w14:paraId="4DAE94FC" w14:textId="0738A0F6" w:rsidR="000844E7" w:rsidRDefault="000844E7" w:rsidP="000844E7"/>
    <w:p w14:paraId="3D96601D" w14:textId="071EB59F" w:rsidR="000844E7" w:rsidRDefault="000844E7" w:rsidP="000844E7"/>
    <w:p w14:paraId="4CF206D6" w14:textId="65F61521" w:rsidR="000844E7" w:rsidRDefault="000844E7" w:rsidP="000844E7"/>
    <w:p w14:paraId="7BFD1276" w14:textId="34EB10A5" w:rsidR="000844E7" w:rsidRDefault="000844E7" w:rsidP="000844E7">
      <w:r>
        <w:t xml:space="preserve"> </w:t>
      </w:r>
    </w:p>
    <w:p w14:paraId="36BA2716" w14:textId="77777777" w:rsidR="000844E7" w:rsidRDefault="000844E7" w:rsidP="000844E7"/>
    <w:p w14:paraId="1E7A5854" w14:textId="6279FF85" w:rsidR="000844E7" w:rsidRDefault="000844E7" w:rsidP="000844E7"/>
    <w:p w14:paraId="1D14D509" w14:textId="5EBB0B72" w:rsidR="00B6436A" w:rsidRDefault="00B6436A" w:rsidP="000844E7"/>
    <w:p w14:paraId="29DE2513" w14:textId="5303DDF0" w:rsidR="00B6436A" w:rsidRDefault="00B6436A" w:rsidP="000844E7"/>
    <w:p w14:paraId="734D8800" w14:textId="77777777" w:rsidR="00B6436A" w:rsidRDefault="00B6436A" w:rsidP="00BC05D0">
      <w:pPr>
        <w:jc w:val="both"/>
      </w:pPr>
    </w:p>
    <w:p w14:paraId="569B401E" w14:textId="77777777" w:rsidR="000844E7" w:rsidRDefault="000844E7" w:rsidP="000844E7"/>
    <w:p w14:paraId="1CF7A22E" w14:textId="77777777" w:rsidR="000844E7" w:rsidRDefault="000844E7" w:rsidP="000844E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Image showing how the policies and procedures will work</w:t>
      </w:r>
    </w:p>
    <w:p w14:paraId="63158C09" w14:textId="77777777" w:rsidR="000844E7" w:rsidRDefault="000844E7" w:rsidP="000844E7"/>
    <w:p w14:paraId="4CAA207E" w14:textId="77777777" w:rsidR="000844E7" w:rsidRDefault="000844E7" w:rsidP="000844E7"/>
    <w:p w14:paraId="35AD58D7" w14:textId="77777777" w:rsidR="000844E7" w:rsidRDefault="000844E7" w:rsidP="000844E7">
      <w:r>
        <w:t xml:space="preserve">3.4. </w:t>
      </w:r>
      <w:r w:rsidRPr="0040579F">
        <w:t>Justification</w:t>
      </w:r>
    </w:p>
    <w:p w14:paraId="56360C7E" w14:textId="77777777" w:rsidR="000844E7" w:rsidRDefault="000844E7" w:rsidP="00B6436A">
      <w:pPr>
        <w:jc w:val="both"/>
      </w:pPr>
      <w:r w:rsidRPr="00997BC5">
        <w:t>These policies safeguard the organization’s data, infrastructure, and security in a remote work environment by implementing antivirus, encryption, MFA, endpoint management, device registration, and remote wipe capabilities, promoting accountability and awareness, thereby balancing flexibility with protection to ensure assets and information remain secure while supporting a hybrid workforce.</w:t>
      </w:r>
    </w:p>
    <w:p w14:paraId="728A1630" w14:textId="77777777" w:rsidR="000844E7" w:rsidRDefault="000844E7" w:rsidP="000844E7"/>
    <w:p w14:paraId="3682162A" w14:textId="77777777" w:rsidR="000844E7" w:rsidRDefault="000844E7" w:rsidP="000844E7"/>
    <w:p w14:paraId="3799244C" w14:textId="77777777" w:rsidR="000844E7" w:rsidRDefault="000844E7" w:rsidP="000844E7">
      <w:pPr>
        <w:pStyle w:val="Heading3"/>
      </w:pPr>
      <w:bookmarkStart w:id="22" w:name="_Toc225462607"/>
      <w:r>
        <w:t xml:space="preserve">4. </w:t>
      </w:r>
      <w:r w:rsidRPr="0040579F">
        <w:t>Compliance Strategies</w:t>
      </w:r>
      <w:bookmarkEnd w:id="22"/>
    </w:p>
    <w:p w14:paraId="091245B0" w14:textId="77777777" w:rsidR="000844E7" w:rsidRDefault="000844E7" w:rsidP="000844E7"/>
    <w:p w14:paraId="1D082EC1" w14:textId="77777777" w:rsidR="000844E7" w:rsidRDefault="000844E7" w:rsidP="000844E7">
      <w:pPr>
        <w:pStyle w:val="Heading4"/>
      </w:pPr>
      <w:r>
        <w:t xml:space="preserve">4.1. </w:t>
      </w:r>
      <w:r w:rsidRPr="0040579F">
        <w:t>Addressing DORA</w:t>
      </w:r>
    </w:p>
    <w:p w14:paraId="5DF67655" w14:textId="77777777" w:rsidR="000844E7" w:rsidRDefault="000844E7" w:rsidP="00B6436A">
      <w:pPr>
        <w:jc w:val="both"/>
      </w:pPr>
      <w:r w:rsidRPr="00DB4886">
        <w:t>To comply with DORA, organizations should regularly conduct simulated incidents and stress tests to identify weaknesses, utilize real-time dashboards for continuous system monitoring, establish clear incident reporting channels for timely communication, and document all resilience exercises and improvements to track progress and ensure ongoing regulatory compliance.</w:t>
      </w:r>
    </w:p>
    <w:p w14:paraId="53267B03" w14:textId="77777777" w:rsidR="000844E7" w:rsidRDefault="000844E7" w:rsidP="000844E7"/>
    <w:p w14:paraId="0649FDA8" w14:textId="77777777" w:rsidR="000844E7" w:rsidRDefault="000844E7" w:rsidP="000844E7">
      <w:pPr>
        <w:pStyle w:val="Heading4"/>
      </w:pPr>
      <w:r>
        <w:t xml:space="preserve">4.2. </w:t>
      </w:r>
      <w:r w:rsidRPr="0040579F">
        <w:t>Addressing NIS2</w:t>
      </w:r>
    </w:p>
    <w:p w14:paraId="5F94C828" w14:textId="77777777" w:rsidR="000844E7" w:rsidRDefault="000844E7" w:rsidP="00B6436A">
      <w:pPr>
        <w:jc w:val="both"/>
      </w:pPr>
      <w:r w:rsidRPr="00DB4886">
        <w:t xml:space="preserve">To comply with NIS2, organizations should develop clear incident response plans, implement robust security measures like intrusion detection, firewalls, and network segmentation, </w:t>
      </w:r>
      <w:r w:rsidRPr="00DB4886">
        <w:t>regularly assess third-party vendors, conduct vulnerability scans and penetration tests, and ensure proactive security practices to prevent risks, respond swiftly to incidents, and maintain compliance.</w:t>
      </w:r>
    </w:p>
    <w:p w14:paraId="17D19276" w14:textId="77777777" w:rsidR="00B6436A" w:rsidRDefault="00B6436A" w:rsidP="000844E7"/>
    <w:p w14:paraId="68199E74" w14:textId="77777777" w:rsidR="00B066FB" w:rsidRDefault="00B066FB" w:rsidP="00BC05D0">
      <w:pPr>
        <w:jc w:val="both"/>
      </w:pPr>
    </w:p>
    <w:p w14:paraId="7ABB5FF4" w14:textId="77777777" w:rsidR="00B066FB" w:rsidRDefault="00B066FB" w:rsidP="00BC05D0">
      <w:pPr>
        <w:jc w:val="both"/>
      </w:pPr>
    </w:p>
    <w:p w14:paraId="0628D32A" w14:textId="39E0A8E0" w:rsidR="000844E7" w:rsidRDefault="000844E7" w:rsidP="00BC05D0">
      <w:pPr>
        <w:jc w:val="both"/>
      </w:pPr>
      <w:r>
        <w:t xml:space="preserve">Table </w:t>
      </w:r>
      <w:r w:rsidRPr="00C41237">
        <w:t>description chart illustrating a timeline for implementing NIS2 compliance phases</w:t>
      </w:r>
    </w:p>
    <w:p w14:paraId="6739AA87" w14:textId="77777777" w:rsidR="000844E7" w:rsidRDefault="000844E7" w:rsidP="000844E7">
      <w:r>
        <w:t xml:space="preserve"> </w:t>
      </w:r>
    </w:p>
    <w:tbl>
      <w:tblPr>
        <w:tblStyle w:val="TableGrid"/>
        <w:tblW w:w="0pt" w:type="dxa"/>
        <w:tblLook w:firstRow="1" w:lastRow="0" w:firstColumn="1" w:lastColumn="0" w:noHBand="0" w:noVBand="1"/>
      </w:tblPr>
      <w:tblGrid>
        <w:gridCol w:w="1135"/>
        <w:gridCol w:w="1408"/>
        <w:gridCol w:w="1005"/>
        <w:gridCol w:w="1308"/>
      </w:tblGrid>
      <w:tr w:rsidR="000844E7" w:rsidRPr="00B6436A" w14:paraId="3EC92E10" w14:textId="77777777" w:rsidTr="00B066FB">
        <w:tc>
          <w:tcPr>
            <w:tcW w:w="112.70pt" w:type="dxa"/>
            <w:tcBorders>
              <w:bottom w:val="single" w:sz="4" w:space="0" w:color="auto"/>
            </w:tcBorders>
            <w:shd w:val="clear" w:color="auto" w:fill="F4B083" w:themeFill="accent2" w:themeFillTint="99"/>
          </w:tcPr>
          <w:p w14:paraId="2A4FE6B2" w14:textId="77777777" w:rsidR="000844E7" w:rsidRPr="00B6436A" w:rsidRDefault="000844E7" w:rsidP="00207F03">
            <w:pPr>
              <w:rPr>
                <w:sz w:val="21"/>
                <w:szCs w:val="21"/>
              </w:rPr>
            </w:pPr>
            <w:r w:rsidRPr="00B6436A">
              <w:rPr>
                <w:sz w:val="21"/>
                <w:szCs w:val="21"/>
              </w:rPr>
              <w:t>Phase</w:t>
            </w:r>
          </w:p>
        </w:tc>
        <w:tc>
          <w:tcPr>
            <w:tcW w:w="112.70pt" w:type="dxa"/>
            <w:tcBorders>
              <w:bottom w:val="single" w:sz="4" w:space="0" w:color="auto"/>
            </w:tcBorders>
            <w:shd w:val="clear" w:color="auto" w:fill="F4B083" w:themeFill="accent2" w:themeFillTint="99"/>
          </w:tcPr>
          <w:p w14:paraId="5651F27C" w14:textId="77777777" w:rsidR="000844E7" w:rsidRPr="00B6436A" w:rsidRDefault="000844E7" w:rsidP="00207F03">
            <w:pPr>
              <w:rPr>
                <w:sz w:val="21"/>
                <w:szCs w:val="21"/>
              </w:rPr>
            </w:pPr>
            <w:r w:rsidRPr="00B6436A">
              <w:rPr>
                <w:sz w:val="21"/>
                <w:szCs w:val="21"/>
              </w:rPr>
              <w:t>Activities</w:t>
            </w:r>
          </w:p>
        </w:tc>
        <w:tc>
          <w:tcPr>
            <w:tcW w:w="112.70pt" w:type="dxa"/>
            <w:tcBorders>
              <w:bottom w:val="single" w:sz="4" w:space="0" w:color="auto"/>
            </w:tcBorders>
            <w:shd w:val="clear" w:color="auto" w:fill="F4B083" w:themeFill="accent2" w:themeFillTint="99"/>
          </w:tcPr>
          <w:p w14:paraId="20D06540" w14:textId="77777777" w:rsidR="000844E7" w:rsidRPr="00B6436A" w:rsidRDefault="000844E7" w:rsidP="00207F03">
            <w:pPr>
              <w:rPr>
                <w:sz w:val="21"/>
                <w:szCs w:val="21"/>
              </w:rPr>
            </w:pPr>
            <w:r w:rsidRPr="00B6436A">
              <w:rPr>
                <w:sz w:val="21"/>
                <w:szCs w:val="21"/>
              </w:rPr>
              <w:t>Timeline / Deadline</w:t>
            </w:r>
          </w:p>
        </w:tc>
        <w:tc>
          <w:tcPr>
            <w:tcW w:w="112.70pt" w:type="dxa"/>
            <w:tcBorders>
              <w:bottom w:val="single" w:sz="4" w:space="0" w:color="auto"/>
            </w:tcBorders>
            <w:shd w:val="clear" w:color="auto" w:fill="F4B083" w:themeFill="accent2" w:themeFillTint="99"/>
          </w:tcPr>
          <w:p w14:paraId="75C918CC" w14:textId="77777777" w:rsidR="000844E7" w:rsidRPr="00B6436A" w:rsidRDefault="000844E7" w:rsidP="00207F03">
            <w:pPr>
              <w:rPr>
                <w:sz w:val="21"/>
                <w:szCs w:val="21"/>
              </w:rPr>
            </w:pPr>
            <w:r w:rsidRPr="00B6436A">
              <w:rPr>
                <w:sz w:val="21"/>
                <w:szCs w:val="21"/>
              </w:rPr>
              <w:t>Description</w:t>
            </w:r>
          </w:p>
        </w:tc>
      </w:tr>
      <w:tr w:rsidR="000844E7" w:rsidRPr="00B6436A" w14:paraId="040FF958" w14:textId="77777777" w:rsidTr="00B066FB">
        <w:tc>
          <w:tcPr>
            <w:tcW w:w="112.70pt" w:type="dxa"/>
            <w:shd w:val="clear" w:color="auto" w:fill="9CC2E5" w:themeFill="accent1" w:themeFillTint="99"/>
          </w:tcPr>
          <w:p w14:paraId="46F9017D" w14:textId="250EA5E7" w:rsidR="000844E7" w:rsidRPr="00B6436A" w:rsidRDefault="000844E7" w:rsidP="00207F03">
            <w:pPr>
              <w:rPr>
                <w:sz w:val="21"/>
                <w:szCs w:val="21"/>
              </w:rPr>
            </w:pPr>
            <w:r w:rsidRPr="00B6436A">
              <w:rPr>
                <w:sz w:val="21"/>
                <w:szCs w:val="21"/>
              </w:rPr>
              <w:t>Initial Assessment</w:t>
            </w:r>
          </w:p>
        </w:tc>
        <w:tc>
          <w:tcPr>
            <w:tcW w:w="112.70pt" w:type="dxa"/>
            <w:shd w:val="clear" w:color="auto" w:fill="FFD966" w:themeFill="accent4" w:themeFillTint="99"/>
          </w:tcPr>
          <w:p w14:paraId="59BB04E8" w14:textId="22EEB598" w:rsidR="000844E7" w:rsidRPr="00B6436A" w:rsidRDefault="000844E7" w:rsidP="00207F03">
            <w:pPr>
              <w:rPr>
                <w:sz w:val="21"/>
                <w:szCs w:val="21"/>
              </w:rPr>
            </w:pPr>
            <w:r w:rsidRPr="00B6436A">
              <w:rPr>
                <w:sz w:val="21"/>
                <w:szCs w:val="21"/>
              </w:rPr>
              <w:t>Evaluate current security measures and identify gaps</w:t>
            </w:r>
          </w:p>
        </w:tc>
        <w:tc>
          <w:tcPr>
            <w:tcW w:w="112.70pt" w:type="dxa"/>
            <w:shd w:val="clear" w:color="auto" w:fill="FFD966" w:themeFill="accent4" w:themeFillTint="99"/>
          </w:tcPr>
          <w:p w14:paraId="76B812B7" w14:textId="77777777" w:rsidR="000844E7" w:rsidRPr="00B6436A" w:rsidRDefault="000844E7" w:rsidP="00207F03">
            <w:pPr>
              <w:rPr>
                <w:sz w:val="21"/>
                <w:szCs w:val="21"/>
              </w:rPr>
            </w:pPr>
            <w:r w:rsidRPr="00B6436A">
              <w:rPr>
                <w:sz w:val="21"/>
                <w:szCs w:val="21"/>
              </w:rPr>
              <w:t>Month 1-2</w:t>
            </w:r>
          </w:p>
        </w:tc>
        <w:tc>
          <w:tcPr>
            <w:tcW w:w="112.70pt" w:type="dxa"/>
            <w:shd w:val="clear" w:color="auto" w:fill="FFD966" w:themeFill="accent4" w:themeFillTint="99"/>
          </w:tcPr>
          <w:p w14:paraId="0EB2FFE7" w14:textId="77777777" w:rsidR="000844E7" w:rsidRPr="00B6436A" w:rsidRDefault="000844E7" w:rsidP="00207F03">
            <w:pPr>
              <w:rPr>
                <w:sz w:val="21"/>
                <w:szCs w:val="21"/>
              </w:rPr>
            </w:pPr>
            <w:r w:rsidRPr="00B6436A">
              <w:rPr>
                <w:sz w:val="21"/>
                <w:szCs w:val="21"/>
              </w:rPr>
              <w:t>Review existing systems to understand compliance status and risks.</w:t>
            </w:r>
          </w:p>
        </w:tc>
      </w:tr>
      <w:tr w:rsidR="000844E7" w:rsidRPr="00B6436A" w14:paraId="31E50C3A" w14:textId="77777777" w:rsidTr="00B066FB">
        <w:tc>
          <w:tcPr>
            <w:tcW w:w="112.70pt" w:type="dxa"/>
            <w:shd w:val="clear" w:color="auto" w:fill="9CC2E5" w:themeFill="accent1" w:themeFillTint="99"/>
          </w:tcPr>
          <w:p w14:paraId="73DD4FD3" w14:textId="77777777" w:rsidR="000844E7" w:rsidRPr="00B6436A" w:rsidRDefault="000844E7" w:rsidP="00207F03">
            <w:pPr>
              <w:rPr>
                <w:sz w:val="21"/>
                <w:szCs w:val="21"/>
              </w:rPr>
            </w:pPr>
            <w:r w:rsidRPr="00B6436A">
              <w:rPr>
                <w:sz w:val="21"/>
                <w:szCs w:val="21"/>
              </w:rPr>
              <w:t>Policy Updates</w:t>
            </w:r>
          </w:p>
        </w:tc>
        <w:tc>
          <w:tcPr>
            <w:tcW w:w="112.70pt" w:type="dxa"/>
            <w:shd w:val="clear" w:color="auto" w:fill="FFD966" w:themeFill="accent4" w:themeFillTint="99"/>
          </w:tcPr>
          <w:p w14:paraId="0C4C4DF6" w14:textId="77777777" w:rsidR="000844E7" w:rsidRPr="00B6436A" w:rsidRDefault="000844E7" w:rsidP="00207F03">
            <w:pPr>
              <w:rPr>
                <w:sz w:val="21"/>
                <w:szCs w:val="21"/>
              </w:rPr>
            </w:pPr>
            <w:r w:rsidRPr="00B6436A">
              <w:rPr>
                <w:sz w:val="21"/>
                <w:szCs w:val="21"/>
              </w:rPr>
              <w:t>Develop and update security policies and incident response plans</w:t>
            </w:r>
          </w:p>
        </w:tc>
        <w:tc>
          <w:tcPr>
            <w:tcW w:w="112.70pt" w:type="dxa"/>
            <w:shd w:val="clear" w:color="auto" w:fill="FFD966" w:themeFill="accent4" w:themeFillTint="99"/>
          </w:tcPr>
          <w:p w14:paraId="66579707" w14:textId="77777777" w:rsidR="000844E7" w:rsidRPr="00B6436A" w:rsidRDefault="000844E7" w:rsidP="00207F03">
            <w:pPr>
              <w:rPr>
                <w:sz w:val="21"/>
                <w:szCs w:val="21"/>
              </w:rPr>
            </w:pPr>
            <w:r w:rsidRPr="00B6436A">
              <w:rPr>
                <w:sz w:val="21"/>
                <w:szCs w:val="21"/>
              </w:rPr>
              <w:t>Month 3-4</w:t>
            </w:r>
          </w:p>
        </w:tc>
        <w:tc>
          <w:tcPr>
            <w:tcW w:w="112.70pt" w:type="dxa"/>
            <w:shd w:val="clear" w:color="auto" w:fill="FFD966" w:themeFill="accent4" w:themeFillTint="99"/>
          </w:tcPr>
          <w:p w14:paraId="4949DE61" w14:textId="77777777" w:rsidR="000844E7" w:rsidRPr="00B6436A" w:rsidRDefault="000844E7" w:rsidP="00207F03">
            <w:pPr>
              <w:rPr>
                <w:sz w:val="21"/>
                <w:szCs w:val="21"/>
              </w:rPr>
            </w:pPr>
            <w:r w:rsidRPr="00B6436A">
              <w:rPr>
                <w:sz w:val="21"/>
                <w:szCs w:val="21"/>
              </w:rPr>
              <w:t>Align policies with NIS2 requirements ensuring clarity and effectiveness.</w:t>
            </w:r>
          </w:p>
        </w:tc>
      </w:tr>
      <w:tr w:rsidR="000844E7" w:rsidRPr="00B6436A" w14:paraId="616F0697" w14:textId="77777777" w:rsidTr="00B066FB">
        <w:tc>
          <w:tcPr>
            <w:tcW w:w="112.70pt" w:type="dxa"/>
            <w:shd w:val="clear" w:color="auto" w:fill="9CC2E5" w:themeFill="accent1" w:themeFillTint="99"/>
          </w:tcPr>
          <w:p w14:paraId="3B12D082" w14:textId="77777777" w:rsidR="000844E7" w:rsidRPr="00B6436A" w:rsidRDefault="000844E7" w:rsidP="00207F03">
            <w:pPr>
              <w:rPr>
                <w:sz w:val="21"/>
                <w:szCs w:val="21"/>
              </w:rPr>
            </w:pPr>
            <w:r w:rsidRPr="00B6436A">
              <w:rPr>
                <w:sz w:val="21"/>
                <w:szCs w:val="21"/>
              </w:rPr>
              <w:t>Staff Training</w:t>
            </w:r>
          </w:p>
        </w:tc>
        <w:tc>
          <w:tcPr>
            <w:tcW w:w="112.70pt" w:type="dxa"/>
            <w:shd w:val="clear" w:color="auto" w:fill="FFD966" w:themeFill="accent4" w:themeFillTint="99"/>
          </w:tcPr>
          <w:p w14:paraId="5BD5D0FC" w14:textId="77777777" w:rsidR="000844E7" w:rsidRPr="00B6436A" w:rsidRDefault="000844E7" w:rsidP="00207F03">
            <w:pPr>
              <w:rPr>
                <w:sz w:val="21"/>
                <w:szCs w:val="21"/>
              </w:rPr>
            </w:pPr>
            <w:r w:rsidRPr="00B6436A">
              <w:rPr>
                <w:sz w:val="21"/>
                <w:szCs w:val="21"/>
              </w:rPr>
              <w:t>Conduct training sessions for employees on new policies and security practices</w:t>
            </w:r>
          </w:p>
        </w:tc>
        <w:tc>
          <w:tcPr>
            <w:tcW w:w="112.70pt" w:type="dxa"/>
            <w:shd w:val="clear" w:color="auto" w:fill="FFD966" w:themeFill="accent4" w:themeFillTint="99"/>
          </w:tcPr>
          <w:p w14:paraId="34BF3182" w14:textId="77777777" w:rsidR="000844E7" w:rsidRPr="00B6436A" w:rsidRDefault="000844E7" w:rsidP="00207F03">
            <w:pPr>
              <w:rPr>
                <w:sz w:val="21"/>
                <w:szCs w:val="21"/>
              </w:rPr>
            </w:pPr>
            <w:r w:rsidRPr="00B6436A">
              <w:rPr>
                <w:sz w:val="21"/>
                <w:szCs w:val="21"/>
              </w:rPr>
              <w:t>Month 5</w:t>
            </w:r>
          </w:p>
        </w:tc>
        <w:tc>
          <w:tcPr>
            <w:tcW w:w="112.70pt" w:type="dxa"/>
            <w:shd w:val="clear" w:color="auto" w:fill="FFD966" w:themeFill="accent4" w:themeFillTint="99"/>
          </w:tcPr>
          <w:p w14:paraId="25DB1987" w14:textId="77777777" w:rsidR="000844E7" w:rsidRPr="00B6436A" w:rsidRDefault="000844E7" w:rsidP="00207F03">
            <w:pPr>
              <w:rPr>
                <w:sz w:val="21"/>
                <w:szCs w:val="21"/>
              </w:rPr>
            </w:pPr>
            <w:r w:rsidRPr="00B6436A">
              <w:rPr>
                <w:sz w:val="21"/>
                <w:szCs w:val="21"/>
              </w:rPr>
              <w:t>Educate staff on their roles in maintaining security and incident handling</w:t>
            </w:r>
          </w:p>
        </w:tc>
      </w:tr>
      <w:tr w:rsidR="000844E7" w:rsidRPr="00B6436A" w14:paraId="597E9A4C" w14:textId="77777777" w:rsidTr="00B066FB">
        <w:tc>
          <w:tcPr>
            <w:tcW w:w="112.70pt" w:type="dxa"/>
            <w:shd w:val="clear" w:color="auto" w:fill="9CC2E5" w:themeFill="accent1" w:themeFillTint="99"/>
          </w:tcPr>
          <w:p w14:paraId="7B5CB1AF" w14:textId="77777777" w:rsidR="000844E7" w:rsidRPr="00B6436A" w:rsidRDefault="000844E7" w:rsidP="00207F03">
            <w:pPr>
              <w:rPr>
                <w:sz w:val="21"/>
                <w:szCs w:val="21"/>
              </w:rPr>
            </w:pPr>
            <w:r w:rsidRPr="00B6436A">
              <w:rPr>
                <w:sz w:val="21"/>
                <w:szCs w:val="21"/>
              </w:rPr>
              <w:t>Audits</w:t>
            </w:r>
          </w:p>
        </w:tc>
        <w:tc>
          <w:tcPr>
            <w:tcW w:w="112.70pt" w:type="dxa"/>
            <w:shd w:val="clear" w:color="auto" w:fill="FFD966" w:themeFill="accent4" w:themeFillTint="99"/>
          </w:tcPr>
          <w:p w14:paraId="2E1976D1" w14:textId="77777777" w:rsidR="000844E7" w:rsidRPr="00B6436A" w:rsidRDefault="000844E7" w:rsidP="00207F03">
            <w:pPr>
              <w:rPr>
                <w:sz w:val="21"/>
                <w:szCs w:val="21"/>
              </w:rPr>
            </w:pPr>
            <w:r w:rsidRPr="00B6436A">
              <w:rPr>
                <w:sz w:val="21"/>
                <w:szCs w:val="21"/>
              </w:rPr>
              <w:t>Perform internal and external security audits</w:t>
            </w:r>
          </w:p>
        </w:tc>
        <w:tc>
          <w:tcPr>
            <w:tcW w:w="112.70pt" w:type="dxa"/>
            <w:shd w:val="clear" w:color="auto" w:fill="FFD966" w:themeFill="accent4" w:themeFillTint="99"/>
          </w:tcPr>
          <w:p w14:paraId="21F00D83" w14:textId="77777777" w:rsidR="000844E7" w:rsidRPr="00B6436A" w:rsidRDefault="000844E7" w:rsidP="00207F03">
            <w:pPr>
              <w:rPr>
                <w:sz w:val="21"/>
                <w:szCs w:val="21"/>
              </w:rPr>
            </w:pPr>
            <w:r w:rsidRPr="00B6436A">
              <w:rPr>
                <w:sz w:val="21"/>
                <w:szCs w:val="21"/>
              </w:rPr>
              <w:t>Month 6 and quarterly thereafter</w:t>
            </w:r>
          </w:p>
        </w:tc>
        <w:tc>
          <w:tcPr>
            <w:tcW w:w="112.70pt" w:type="dxa"/>
            <w:shd w:val="clear" w:color="auto" w:fill="FFD966" w:themeFill="accent4" w:themeFillTint="99"/>
          </w:tcPr>
          <w:p w14:paraId="11432F69" w14:textId="24EC032C" w:rsidR="000844E7" w:rsidRPr="00B6436A" w:rsidRDefault="000844E7" w:rsidP="00207F03">
            <w:pPr>
              <w:rPr>
                <w:sz w:val="21"/>
                <w:szCs w:val="21"/>
              </w:rPr>
            </w:pPr>
            <w:r w:rsidRPr="00B6436A">
              <w:rPr>
                <w:sz w:val="21"/>
                <w:szCs w:val="21"/>
              </w:rPr>
              <w:t xml:space="preserve">Verify compliance identify </w:t>
            </w:r>
            <w:r w:rsidR="00B6436A" w:rsidRPr="00B6436A">
              <w:rPr>
                <w:sz w:val="21"/>
                <w:szCs w:val="21"/>
              </w:rPr>
              <w:t>vulnerabilities and</w:t>
            </w:r>
            <w:r w:rsidRPr="00B6436A">
              <w:rPr>
                <w:sz w:val="21"/>
                <w:szCs w:val="21"/>
              </w:rPr>
              <w:t xml:space="preserve"> ensure ongoing adherence.</w:t>
            </w:r>
          </w:p>
        </w:tc>
      </w:tr>
      <w:tr w:rsidR="000844E7" w:rsidRPr="00B6436A" w14:paraId="24B43CA4" w14:textId="77777777" w:rsidTr="00B066FB">
        <w:tc>
          <w:tcPr>
            <w:tcW w:w="112.70pt" w:type="dxa"/>
            <w:shd w:val="clear" w:color="auto" w:fill="9CC2E5" w:themeFill="accent1" w:themeFillTint="99"/>
          </w:tcPr>
          <w:p w14:paraId="68F23690" w14:textId="77777777" w:rsidR="000844E7" w:rsidRPr="00B6436A" w:rsidRDefault="000844E7" w:rsidP="00207F03">
            <w:pPr>
              <w:rPr>
                <w:sz w:val="21"/>
                <w:szCs w:val="21"/>
              </w:rPr>
            </w:pPr>
            <w:r w:rsidRPr="00B6436A">
              <w:rPr>
                <w:sz w:val="21"/>
                <w:szCs w:val="21"/>
              </w:rPr>
              <w:t>Reporting</w:t>
            </w:r>
          </w:p>
        </w:tc>
        <w:tc>
          <w:tcPr>
            <w:tcW w:w="112.70pt" w:type="dxa"/>
            <w:shd w:val="clear" w:color="auto" w:fill="FFD966" w:themeFill="accent4" w:themeFillTint="99"/>
          </w:tcPr>
          <w:p w14:paraId="2F24342A" w14:textId="77777777" w:rsidR="000844E7" w:rsidRPr="00B6436A" w:rsidRDefault="000844E7" w:rsidP="00207F03">
            <w:pPr>
              <w:rPr>
                <w:sz w:val="21"/>
                <w:szCs w:val="21"/>
              </w:rPr>
            </w:pPr>
            <w:r w:rsidRPr="00B6436A">
              <w:rPr>
                <w:sz w:val="21"/>
                <w:szCs w:val="21"/>
              </w:rPr>
              <w:t>Establish and test reporting procedures for incidents and compliance documentation</w:t>
            </w:r>
          </w:p>
        </w:tc>
        <w:tc>
          <w:tcPr>
            <w:tcW w:w="112.70pt" w:type="dxa"/>
            <w:shd w:val="clear" w:color="auto" w:fill="FFD966" w:themeFill="accent4" w:themeFillTint="99"/>
          </w:tcPr>
          <w:p w14:paraId="1AF200C8" w14:textId="77777777" w:rsidR="000844E7" w:rsidRPr="00B6436A" w:rsidRDefault="000844E7" w:rsidP="00207F03">
            <w:pPr>
              <w:rPr>
                <w:sz w:val="21"/>
                <w:szCs w:val="21"/>
              </w:rPr>
            </w:pPr>
            <w:r w:rsidRPr="00B6436A">
              <w:rPr>
                <w:sz w:val="21"/>
                <w:szCs w:val="21"/>
              </w:rPr>
              <w:t>Month 7, then ongoing</w:t>
            </w:r>
          </w:p>
        </w:tc>
        <w:tc>
          <w:tcPr>
            <w:tcW w:w="112.70pt" w:type="dxa"/>
            <w:shd w:val="clear" w:color="auto" w:fill="FFD966" w:themeFill="accent4" w:themeFillTint="99"/>
          </w:tcPr>
          <w:p w14:paraId="5114C41C" w14:textId="77777777" w:rsidR="000844E7" w:rsidRPr="00B6436A" w:rsidRDefault="000844E7" w:rsidP="00207F03">
            <w:pPr>
              <w:rPr>
                <w:sz w:val="21"/>
                <w:szCs w:val="21"/>
              </w:rPr>
            </w:pPr>
            <w:r w:rsidRPr="00B6436A">
              <w:rPr>
                <w:sz w:val="21"/>
                <w:szCs w:val="21"/>
              </w:rPr>
              <w:t>Ensure timely and accurate reporting in line with NIS2 deadlines</w:t>
            </w:r>
          </w:p>
        </w:tc>
      </w:tr>
    </w:tbl>
    <w:p w14:paraId="32096361" w14:textId="77777777" w:rsidR="00B6436A" w:rsidRDefault="00B6436A" w:rsidP="000844E7"/>
    <w:p w14:paraId="29796927" w14:textId="77777777" w:rsidR="000844E7" w:rsidRDefault="000844E7" w:rsidP="000844E7"/>
    <w:p w14:paraId="31C3BA89" w14:textId="77777777" w:rsidR="000844E7" w:rsidRDefault="000844E7" w:rsidP="000844E7">
      <w:pPr>
        <w:pStyle w:val="Heading4"/>
      </w:pPr>
      <w:r>
        <w:t>4.3</w:t>
      </w:r>
      <w:r w:rsidRPr="0040579F">
        <w:t>. Implementation</w:t>
      </w:r>
    </w:p>
    <w:p w14:paraId="3CD7EA8B" w14:textId="77777777" w:rsidR="000844E7" w:rsidRDefault="000844E7" w:rsidP="00B6436A">
      <w:pPr>
        <w:jc w:val="both"/>
      </w:pPr>
      <w:r>
        <w:t xml:space="preserve">To ensure ongoing compliance, organizations should integrate automated compliance checks into their development processes (CI/CD pipelines), allowing </w:t>
      </w:r>
      <w:r>
        <w:lastRenderedPageBreak/>
        <w:t>automatic validation of security measures with each update. They should also use dashboards to monitor compliance status in real-time, providing quick insights into any issues. Additionally, regular audits should be scheduled to review security practices, and all records should be carefully maintained to meet regulatory reporting requirements. This approach helps maintain continuous security and ensures readiness for official inspections.</w:t>
      </w:r>
    </w:p>
    <w:p w14:paraId="424DA8FE" w14:textId="77777777" w:rsidR="000844E7" w:rsidRDefault="000844E7" w:rsidP="000844E7"/>
    <w:p w14:paraId="4738F51D" w14:textId="77777777" w:rsidR="000844E7" w:rsidRDefault="000844E7" w:rsidP="00B066FB">
      <w:pPr>
        <w:jc w:val="both"/>
      </w:pPr>
    </w:p>
    <w:p w14:paraId="6F202968" w14:textId="77777777" w:rsidR="000844E7" w:rsidRPr="0040579F" w:rsidRDefault="000844E7" w:rsidP="000844E7">
      <w:pPr>
        <w:pStyle w:val="Heading3"/>
      </w:pPr>
      <w:bookmarkStart w:id="23" w:name="_Toc225462608"/>
      <w:r>
        <w:t>5.</w:t>
      </w:r>
      <w:r w:rsidRPr="00B066FB">
        <w:rPr>
          <w:b/>
          <w:bCs/>
        </w:rPr>
        <w:t xml:space="preserve"> </w:t>
      </w:r>
      <w:r w:rsidRPr="0040579F">
        <w:t>Governance and Strategy</w:t>
      </w:r>
      <w:bookmarkEnd w:id="23"/>
    </w:p>
    <w:p w14:paraId="3FE16CBF" w14:textId="77777777" w:rsidR="000844E7" w:rsidRDefault="000844E7" w:rsidP="000844E7"/>
    <w:p w14:paraId="4615BFDE" w14:textId="77777777" w:rsidR="000844E7" w:rsidRDefault="000844E7" w:rsidP="000844E7">
      <w:pPr>
        <w:pStyle w:val="Heading4"/>
      </w:pPr>
      <w:r>
        <w:t xml:space="preserve">5.1. </w:t>
      </w:r>
      <w:r w:rsidRPr="0040579F">
        <w:t>Framework Based on NIST CSF 2.0</w:t>
      </w:r>
    </w:p>
    <w:p w14:paraId="4B6E7161" w14:textId="3F96C04D" w:rsidR="000844E7" w:rsidRDefault="000844E7" w:rsidP="00B6436A">
      <w:pPr>
        <w:jc w:val="both"/>
      </w:pPr>
      <w:r w:rsidRPr="00DB4886">
        <w:t>The NIST Cybersecurity Framework (CSF) 2.0 offers a flexible, risk-based approach to managing cybersecurity through five core functions—Identify, which involves creating asset inventories, assessing risks, and classifying data to understand what needs protection; Protect, including implementing access controls, encryption, staff training, and data loss prevention measures to safeguard assets; Detect, involving continuous monitoring and anomaly detection systems to identify potential threats early; Respond, which entails developing incident response plans and communication procedures for effective incident handling; and Recover, focusing on maintaining data backups, disaster recovery plans, and learning from incidents to quickly restore operations and enhance overall security</w:t>
      </w:r>
      <w:r>
        <w:t xml:space="preserve">, </w:t>
      </w:r>
      <w:r w:rsidRPr="00DB4886">
        <w:t>forming a continuous, adaptive cycle for comprehensive cybersecurity management.</w:t>
      </w:r>
      <w:r>
        <w:t xml:space="preserve"> Fig.3 illustrate the framework.</w:t>
      </w:r>
    </w:p>
    <w:p w14:paraId="670065E3" w14:textId="155C2E4E" w:rsidR="000844E7" w:rsidRDefault="00B6436A" w:rsidP="000844E7">
      <w:r>
        <w:rPr>
          <w:noProof/>
        </w:rPr>
        <w:drawing>
          <wp:anchor distT="0" distB="0" distL="114300" distR="114300" simplePos="0" relativeHeight="251661824" behindDoc="0" locked="0" layoutInCell="1" allowOverlap="1" wp14:anchorId="432E5FE8" wp14:editId="4C7DF635">
            <wp:simplePos x="0" y="0"/>
            <wp:positionH relativeFrom="column">
              <wp:posOffset>77154</wp:posOffset>
            </wp:positionH>
            <wp:positionV relativeFrom="paragraph">
              <wp:posOffset>66238</wp:posOffset>
            </wp:positionV>
            <wp:extent cx="2737469" cy="1783475"/>
            <wp:effectExtent l="50800" t="50800" r="107950" b="96520"/>
            <wp:wrapNone/>
            <wp:docPr id="1740399115" name="Picture 2" descr="A diagram of a data loss prevention&#10;&#10;AI-generated content may b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740399115" name="Picture 2" descr="A diagram of a data loss preventi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2903" cy="1787015"/>
                    </a:xfrm>
                    <a:prstGeom prst="rect">
                      <a:avLst/>
                    </a:prstGeom>
                    <a:ln w="22225">
                      <a:solidFill>
                        <a:srgbClr val="7030A0"/>
                      </a:solidFill>
                    </a:ln>
                    <a:effectLst>
                      <a:outerShdw blurRad="50800" dist="38100" dir="2700000" algn="tl" rotWithShape="0">
                        <a:prstClr val="black">
                          <a:alpha val="40%"/>
                        </a:prstClr>
                      </a:outerShdw>
                    </a:effectLst>
                  </pic:spPr>
                </pic:pic>
              </a:graphicData>
            </a:graphic>
            <wp14:sizeRelH relativeFrom="page">
              <wp14:pctWidth>0%</wp14:pctWidth>
            </wp14:sizeRelH>
            <wp14:sizeRelV relativeFrom="page">
              <wp14:pctHeight>0%</wp14:pctHeight>
            </wp14:sizeRelV>
          </wp:anchor>
        </w:drawing>
      </w:r>
    </w:p>
    <w:p w14:paraId="15519287" w14:textId="3E5392E5" w:rsidR="000844E7" w:rsidRDefault="000844E7" w:rsidP="000844E7"/>
    <w:p w14:paraId="756F0F72" w14:textId="02E4013B" w:rsidR="000844E7" w:rsidRDefault="000844E7" w:rsidP="000844E7"/>
    <w:p w14:paraId="40B0706A" w14:textId="70FA15D9" w:rsidR="000844E7" w:rsidRDefault="000844E7" w:rsidP="000844E7"/>
    <w:p w14:paraId="4BD570D8" w14:textId="77777777" w:rsidR="000844E7" w:rsidRDefault="000844E7" w:rsidP="000844E7"/>
    <w:p w14:paraId="5656DC3E" w14:textId="77777777" w:rsidR="000844E7" w:rsidRDefault="000844E7" w:rsidP="000844E7"/>
    <w:p w14:paraId="34DAE3F3" w14:textId="77777777" w:rsidR="00B6436A" w:rsidRDefault="00B6436A" w:rsidP="000844E7"/>
    <w:p w14:paraId="5BC63849" w14:textId="77777777" w:rsidR="00B6436A" w:rsidRDefault="00B6436A" w:rsidP="000844E7"/>
    <w:p w14:paraId="2A3343E5" w14:textId="77777777" w:rsidR="00B6436A" w:rsidRDefault="00B6436A" w:rsidP="000844E7"/>
    <w:p w14:paraId="5D4C2531" w14:textId="77777777" w:rsidR="000844E7" w:rsidRDefault="000844E7" w:rsidP="000844E7"/>
    <w:p w14:paraId="4D3BAD81" w14:textId="77777777" w:rsidR="000844E7" w:rsidRDefault="000844E7" w:rsidP="000844E7"/>
    <w:p w14:paraId="790CF0BE" w14:textId="77777777" w:rsidR="00B6436A" w:rsidRDefault="00B6436A" w:rsidP="000844E7"/>
    <w:p w14:paraId="49FC01AA" w14:textId="77777777" w:rsidR="00B6436A" w:rsidRDefault="00B6436A" w:rsidP="000844E7"/>
    <w:p w14:paraId="618D2DF4" w14:textId="0C692222" w:rsidR="000844E7" w:rsidRDefault="000844E7" w:rsidP="00B6436A">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D62253">
        <w:t>Framework Based on NIST CSF 2.0</w:t>
      </w:r>
      <w:r>
        <w:t xml:space="preserve"> diagram</w:t>
      </w:r>
    </w:p>
    <w:p w14:paraId="392A7CF9" w14:textId="77777777" w:rsidR="000844E7" w:rsidRDefault="000844E7" w:rsidP="00BC05D0">
      <w:pPr>
        <w:jc w:val="both"/>
      </w:pPr>
    </w:p>
    <w:p w14:paraId="2E093925" w14:textId="77777777" w:rsidR="000844E7" w:rsidRDefault="000844E7" w:rsidP="000844E7">
      <w:pPr>
        <w:pStyle w:val="Heading4"/>
      </w:pPr>
      <w:r>
        <w:t>5.2. Linking Strategy to Business Goals</w:t>
      </w:r>
    </w:p>
    <w:p w14:paraId="718DFDCB" w14:textId="7952BCB5" w:rsidR="000844E7" w:rsidRDefault="000844E7" w:rsidP="00BC05D0">
      <w:pPr>
        <w:jc w:val="both"/>
      </w:pPr>
      <w:r w:rsidRPr="002A4DEB">
        <w:t>Connecting security strategy to business goals ensures that security policies not only help the organization stay compliant with regulations but also support growth into new markets. Building trust in AI solutions increases confidence among customers and partners. Regular risk assessments help identify potential threats early, allowing the organization to innovate safely while maintaining strong resilience against cyber threats.</w:t>
      </w:r>
    </w:p>
    <w:p w14:paraId="6F4E55B2" w14:textId="77777777" w:rsidR="000844E7" w:rsidRDefault="000844E7" w:rsidP="000844E7"/>
    <w:p w14:paraId="2B3A7EBC" w14:textId="77777777" w:rsidR="000844E7" w:rsidRDefault="000844E7" w:rsidP="000844E7">
      <w:pPr>
        <w:pStyle w:val="Heading4"/>
      </w:pPr>
      <w:r>
        <w:t>6. Risk Management</w:t>
      </w:r>
    </w:p>
    <w:p w14:paraId="7E1CA984" w14:textId="77777777" w:rsidR="000844E7" w:rsidRDefault="000844E7" w:rsidP="00B6436A">
      <w:pPr>
        <w:jc w:val="both"/>
      </w:pPr>
      <w:r>
        <w:t>Risk management is the process of identifying, assessing, and addressing potential threats that could impact an organization. By understanding and managing these risks, organizations can protect their assets, ensure business continuity, and achieve their strategic goals more confidently and securely.</w:t>
      </w:r>
    </w:p>
    <w:p w14:paraId="2CA02823" w14:textId="77777777" w:rsidR="000844E7" w:rsidRDefault="000844E7" w:rsidP="000844E7"/>
    <w:p w14:paraId="173091DF" w14:textId="77777777" w:rsidR="000844E7" w:rsidRDefault="000844E7" w:rsidP="000844E7">
      <w:pPr>
        <w:pStyle w:val="Heading4"/>
      </w:pPr>
      <w:r>
        <w:t>6.1. Supply Chain Risks</w:t>
      </w:r>
    </w:p>
    <w:p w14:paraId="3D58D29B" w14:textId="77777777" w:rsidR="000844E7" w:rsidRDefault="000844E7" w:rsidP="00B6436A">
      <w:pPr>
        <w:jc w:val="both"/>
      </w:pPr>
      <w:r w:rsidRPr="00DB4886">
        <w:t>Supply chain risks involve external threats from vendors or third-party providers, including malicious or compromised AI models that could damage systems, and vulnerabilities in software or hardware dependencies from other vendors with security weaknesses; to mitigate these risks, organizations should thoroughly evaluate and vet their suppliers for trustworthiness, require cryptographic signatures and hashes to verify the authenticity and integrity of models and datasets, and maintain an updated list of trusted providers and verified components to ensure only secure, reliable parts are integrated into their systems.</w:t>
      </w:r>
    </w:p>
    <w:p w14:paraId="353BA04E" w14:textId="77777777" w:rsidR="000844E7" w:rsidRDefault="000844E7" w:rsidP="00BC05D0">
      <w:pPr>
        <w:jc w:val="both"/>
      </w:pPr>
    </w:p>
    <w:p w14:paraId="4B81A6CE" w14:textId="77777777" w:rsidR="000844E7" w:rsidRDefault="000844E7" w:rsidP="000844E7">
      <w:pPr>
        <w:pStyle w:val="Heading4"/>
      </w:pPr>
      <w:r>
        <w:t xml:space="preserve">6.2. </w:t>
      </w:r>
      <w:r w:rsidRPr="0040579F">
        <w:t>Cloud Misconfigurations</w:t>
      </w:r>
    </w:p>
    <w:p w14:paraId="47E8F7D7" w14:textId="77777777" w:rsidR="000844E7" w:rsidRDefault="000844E7" w:rsidP="00B6436A">
      <w:pPr>
        <w:jc w:val="both"/>
      </w:pPr>
      <w:r w:rsidRPr="00DB4886">
        <w:t xml:space="preserve">Cloud misconfigurations occur when cloud storage or services are improperly set up, creating risks such as exposing sensitive data or granting excessive permissions that can be exploited by attackers; to prevent this, organizations should utilize CSPM tools like Prisma Cloud or </w:t>
      </w:r>
      <w:proofErr w:type="spellStart"/>
      <w:r w:rsidRPr="00DB4886">
        <w:t>CloudHealth</w:t>
      </w:r>
      <w:proofErr w:type="spellEnd"/>
      <w:r w:rsidRPr="00DB4886">
        <w:t xml:space="preserve"> that automatically scan for and identify misconfigurations, implement automated audits to regularly verify configurations comply with security policies, and review permissions frequently, especially after role changes, ensuring only authorized users have access to critical resources and maintaining a strong security posture in the cloud environment.</w:t>
      </w:r>
    </w:p>
    <w:p w14:paraId="4F78C620" w14:textId="77777777" w:rsidR="000844E7" w:rsidRDefault="000844E7" w:rsidP="000844E7"/>
    <w:p w14:paraId="67559D5A" w14:textId="77777777" w:rsidR="000844E7" w:rsidRDefault="000844E7" w:rsidP="000844E7">
      <w:pPr>
        <w:pStyle w:val="Heading4"/>
      </w:pPr>
      <w:r>
        <w:t xml:space="preserve">6.3. </w:t>
      </w:r>
      <w:r w:rsidRPr="00B066FB">
        <w:rPr>
          <w:b/>
          <w:bCs/>
        </w:rPr>
        <w:t>Risk Assessment Table</w:t>
      </w:r>
    </w:p>
    <w:p w14:paraId="5A827CD4" w14:textId="77777777" w:rsidR="000844E7" w:rsidRDefault="000844E7" w:rsidP="000844E7">
      <w:r>
        <w:t xml:space="preserve"> </w:t>
      </w:r>
    </w:p>
    <w:tbl>
      <w:tblPr>
        <w:tblStyle w:val="TableGrid"/>
        <w:tblW w:w="0pt" w:type="dxa"/>
        <w:tblLook w:firstRow="1" w:lastRow="0" w:firstColumn="1" w:lastColumn="0" w:noHBand="0" w:noVBand="1"/>
      </w:tblPr>
      <w:tblGrid>
        <w:gridCol w:w="1553"/>
        <w:gridCol w:w="1214"/>
        <w:gridCol w:w="978"/>
        <w:gridCol w:w="1111"/>
      </w:tblGrid>
      <w:tr w:rsidR="000844E7" w:rsidRPr="00B6436A" w14:paraId="32853342" w14:textId="77777777" w:rsidTr="00B066FB">
        <w:tc>
          <w:tcPr>
            <w:tcW w:w="112.70pt" w:type="dxa"/>
            <w:tcBorders>
              <w:bottom w:val="single" w:sz="4" w:space="0" w:color="auto"/>
            </w:tcBorders>
            <w:shd w:val="clear" w:color="auto" w:fill="A8D08D" w:themeFill="accent6" w:themeFillTint="99"/>
          </w:tcPr>
          <w:p w14:paraId="5AFBC9E0" w14:textId="77777777" w:rsidR="000844E7" w:rsidRPr="00B6436A" w:rsidRDefault="000844E7" w:rsidP="00207F03">
            <w:pPr>
              <w:rPr>
                <w:sz w:val="21"/>
                <w:szCs w:val="21"/>
              </w:rPr>
            </w:pPr>
            <w:r w:rsidRPr="00B6436A">
              <w:rPr>
                <w:sz w:val="21"/>
                <w:szCs w:val="21"/>
              </w:rPr>
              <w:t>Risk</w:t>
            </w:r>
          </w:p>
        </w:tc>
        <w:tc>
          <w:tcPr>
            <w:tcW w:w="112.70pt" w:type="dxa"/>
            <w:tcBorders>
              <w:bottom w:val="single" w:sz="4" w:space="0" w:color="auto"/>
            </w:tcBorders>
            <w:shd w:val="clear" w:color="auto" w:fill="A8D08D" w:themeFill="accent6" w:themeFillTint="99"/>
          </w:tcPr>
          <w:p w14:paraId="087C6FB1" w14:textId="77777777" w:rsidR="000844E7" w:rsidRPr="00B6436A" w:rsidRDefault="000844E7" w:rsidP="00207F03">
            <w:pPr>
              <w:rPr>
                <w:sz w:val="21"/>
                <w:szCs w:val="21"/>
              </w:rPr>
            </w:pPr>
            <w:r w:rsidRPr="00B6436A">
              <w:rPr>
                <w:sz w:val="21"/>
                <w:szCs w:val="21"/>
              </w:rPr>
              <w:t>Impact</w:t>
            </w:r>
          </w:p>
        </w:tc>
        <w:tc>
          <w:tcPr>
            <w:tcW w:w="112.70pt" w:type="dxa"/>
            <w:tcBorders>
              <w:bottom w:val="single" w:sz="4" w:space="0" w:color="auto"/>
            </w:tcBorders>
            <w:shd w:val="clear" w:color="auto" w:fill="A8D08D" w:themeFill="accent6" w:themeFillTint="99"/>
          </w:tcPr>
          <w:p w14:paraId="28D5A08F" w14:textId="77777777" w:rsidR="000844E7" w:rsidRPr="00B6436A" w:rsidRDefault="000844E7" w:rsidP="00207F03">
            <w:pPr>
              <w:rPr>
                <w:sz w:val="21"/>
                <w:szCs w:val="21"/>
              </w:rPr>
            </w:pPr>
            <w:r w:rsidRPr="00B6436A">
              <w:rPr>
                <w:sz w:val="21"/>
                <w:szCs w:val="21"/>
              </w:rPr>
              <w:t>Likelihood</w:t>
            </w:r>
          </w:p>
        </w:tc>
        <w:tc>
          <w:tcPr>
            <w:tcW w:w="112.70pt" w:type="dxa"/>
            <w:tcBorders>
              <w:bottom w:val="single" w:sz="4" w:space="0" w:color="auto"/>
            </w:tcBorders>
            <w:shd w:val="clear" w:color="auto" w:fill="A8D08D" w:themeFill="accent6" w:themeFillTint="99"/>
          </w:tcPr>
          <w:p w14:paraId="267D5DD3" w14:textId="77777777" w:rsidR="000844E7" w:rsidRPr="00B6436A" w:rsidRDefault="000844E7" w:rsidP="00207F03">
            <w:pPr>
              <w:rPr>
                <w:sz w:val="21"/>
                <w:szCs w:val="21"/>
              </w:rPr>
            </w:pPr>
            <w:r w:rsidRPr="00B6436A">
              <w:rPr>
                <w:sz w:val="21"/>
                <w:szCs w:val="21"/>
              </w:rPr>
              <w:t>Mitigation Strategy</w:t>
            </w:r>
          </w:p>
        </w:tc>
      </w:tr>
      <w:tr w:rsidR="000844E7" w:rsidRPr="00B6436A" w14:paraId="4490766E" w14:textId="77777777" w:rsidTr="00B066FB">
        <w:tc>
          <w:tcPr>
            <w:tcW w:w="112.70pt" w:type="dxa"/>
            <w:shd w:val="clear" w:color="auto" w:fill="FFD966" w:themeFill="accent4" w:themeFillTint="99"/>
          </w:tcPr>
          <w:p w14:paraId="3B0C2905" w14:textId="77777777" w:rsidR="000844E7" w:rsidRPr="00B6436A" w:rsidRDefault="000844E7" w:rsidP="00207F03">
            <w:pPr>
              <w:rPr>
                <w:sz w:val="21"/>
                <w:szCs w:val="21"/>
              </w:rPr>
            </w:pPr>
            <w:r w:rsidRPr="00B6436A">
              <w:rPr>
                <w:sz w:val="21"/>
                <w:szCs w:val="21"/>
              </w:rPr>
              <w:t>Poisoned AI Models</w:t>
            </w:r>
          </w:p>
        </w:tc>
        <w:tc>
          <w:tcPr>
            <w:tcW w:w="112.70pt" w:type="dxa"/>
            <w:shd w:val="clear" w:color="auto" w:fill="F4B083" w:themeFill="accent2" w:themeFillTint="99"/>
          </w:tcPr>
          <w:p w14:paraId="5C8E6793" w14:textId="77777777" w:rsidR="000844E7" w:rsidRPr="00B6436A" w:rsidRDefault="000844E7" w:rsidP="00207F03">
            <w:pPr>
              <w:rPr>
                <w:sz w:val="21"/>
                <w:szCs w:val="21"/>
              </w:rPr>
            </w:pPr>
            <w:r w:rsidRPr="00B6436A">
              <w:rPr>
                <w:sz w:val="21"/>
                <w:szCs w:val="21"/>
              </w:rPr>
              <w:t>Data integrity breaches biased decision-making</w:t>
            </w:r>
          </w:p>
        </w:tc>
        <w:tc>
          <w:tcPr>
            <w:tcW w:w="112.70pt" w:type="dxa"/>
            <w:shd w:val="clear" w:color="auto" w:fill="F4B083" w:themeFill="accent2" w:themeFillTint="99"/>
          </w:tcPr>
          <w:p w14:paraId="5E286C89" w14:textId="77777777" w:rsidR="000844E7" w:rsidRPr="00B6436A" w:rsidRDefault="000844E7" w:rsidP="00207F03">
            <w:pPr>
              <w:rPr>
                <w:sz w:val="21"/>
                <w:szCs w:val="21"/>
              </w:rPr>
            </w:pPr>
            <w:r w:rsidRPr="00B6436A">
              <w:rPr>
                <w:sz w:val="21"/>
                <w:szCs w:val="21"/>
              </w:rPr>
              <w:t>Medium</w:t>
            </w:r>
          </w:p>
        </w:tc>
        <w:tc>
          <w:tcPr>
            <w:tcW w:w="112.70pt" w:type="dxa"/>
            <w:shd w:val="clear" w:color="auto" w:fill="F4B083" w:themeFill="accent2" w:themeFillTint="99"/>
          </w:tcPr>
          <w:p w14:paraId="4FD8A075" w14:textId="77777777" w:rsidR="000844E7" w:rsidRPr="00B6436A" w:rsidRDefault="000844E7" w:rsidP="00207F03">
            <w:pPr>
              <w:rPr>
                <w:sz w:val="21"/>
                <w:szCs w:val="21"/>
              </w:rPr>
            </w:pPr>
            <w:r w:rsidRPr="00B6436A">
              <w:rPr>
                <w:sz w:val="21"/>
                <w:szCs w:val="21"/>
              </w:rPr>
              <w:t>Vetting, validation, though model testing</w:t>
            </w:r>
          </w:p>
        </w:tc>
      </w:tr>
      <w:tr w:rsidR="000844E7" w:rsidRPr="00B6436A" w14:paraId="6F29B259" w14:textId="77777777" w:rsidTr="00B066FB">
        <w:tc>
          <w:tcPr>
            <w:tcW w:w="112.70pt" w:type="dxa"/>
            <w:shd w:val="clear" w:color="auto" w:fill="FFD966" w:themeFill="accent4" w:themeFillTint="99"/>
          </w:tcPr>
          <w:p w14:paraId="751C3033" w14:textId="77777777" w:rsidR="000844E7" w:rsidRPr="00B6436A" w:rsidRDefault="000844E7" w:rsidP="00207F03">
            <w:pPr>
              <w:rPr>
                <w:sz w:val="21"/>
                <w:szCs w:val="21"/>
              </w:rPr>
            </w:pPr>
            <w:r w:rsidRPr="00B6436A">
              <w:rPr>
                <w:sz w:val="21"/>
                <w:szCs w:val="21"/>
              </w:rPr>
              <w:t>Cloud Misconfigurations</w:t>
            </w:r>
          </w:p>
        </w:tc>
        <w:tc>
          <w:tcPr>
            <w:tcW w:w="112.70pt" w:type="dxa"/>
            <w:shd w:val="clear" w:color="auto" w:fill="F4B083" w:themeFill="accent2" w:themeFillTint="99"/>
          </w:tcPr>
          <w:p w14:paraId="5572175A" w14:textId="77777777" w:rsidR="000844E7" w:rsidRPr="00B6436A" w:rsidRDefault="000844E7" w:rsidP="00207F03">
            <w:pPr>
              <w:rPr>
                <w:sz w:val="21"/>
                <w:szCs w:val="21"/>
              </w:rPr>
            </w:pPr>
            <w:r w:rsidRPr="00B6436A">
              <w:rPr>
                <w:sz w:val="21"/>
                <w:szCs w:val="21"/>
              </w:rPr>
              <w:t>Data leakage unauthorized access</w:t>
            </w:r>
          </w:p>
        </w:tc>
        <w:tc>
          <w:tcPr>
            <w:tcW w:w="112.70pt" w:type="dxa"/>
            <w:shd w:val="clear" w:color="auto" w:fill="F4B083" w:themeFill="accent2" w:themeFillTint="99"/>
          </w:tcPr>
          <w:p w14:paraId="14F6B715" w14:textId="77777777" w:rsidR="000844E7" w:rsidRPr="00B6436A" w:rsidRDefault="000844E7" w:rsidP="00207F03">
            <w:pPr>
              <w:rPr>
                <w:sz w:val="21"/>
                <w:szCs w:val="21"/>
              </w:rPr>
            </w:pPr>
            <w:r w:rsidRPr="00B6436A">
              <w:rPr>
                <w:sz w:val="21"/>
                <w:szCs w:val="21"/>
              </w:rPr>
              <w:t>High</w:t>
            </w:r>
          </w:p>
        </w:tc>
        <w:tc>
          <w:tcPr>
            <w:tcW w:w="112.70pt" w:type="dxa"/>
            <w:shd w:val="clear" w:color="auto" w:fill="F4B083" w:themeFill="accent2" w:themeFillTint="99"/>
          </w:tcPr>
          <w:p w14:paraId="57DA5CDF" w14:textId="77777777" w:rsidR="000844E7" w:rsidRPr="00B6436A" w:rsidRDefault="000844E7" w:rsidP="00207F03">
            <w:pPr>
              <w:rPr>
                <w:sz w:val="21"/>
                <w:szCs w:val="21"/>
              </w:rPr>
            </w:pPr>
            <w:r w:rsidRPr="00B6436A">
              <w:rPr>
                <w:sz w:val="21"/>
                <w:szCs w:val="21"/>
              </w:rPr>
              <w:t>Use CSPM tools, perform automated scans, regularly review permissions</w:t>
            </w:r>
          </w:p>
        </w:tc>
      </w:tr>
    </w:tbl>
    <w:p w14:paraId="2DABEA48" w14:textId="77777777" w:rsidR="000844E7" w:rsidRDefault="000844E7" w:rsidP="000844E7"/>
    <w:p w14:paraId="37479FDA" w14:textId="77777777" w:rsidR="000844E7" w:rsidRDefault="000844E7" w:rsidP="000844E7"/>
    <w:p w14:paraId="51CC43EA" w14:textId="77777777" w:rsidR="000844E7" w:rsidRDefault="000844E7" w:rsidP="000844E7">
      <w:pPr>
        <w:pStyle w:val="Heading4"/>
      </w:pPr>
      <w:r>
        <w:t>7. Contingency Planning</w:t>
      </w:r>
    </w:p>
    <w:p w14:paraId="24563A0E" w14:textId="77777777" w:rsidR="000844E7" w:rsidRDefault="000844E7" w:rsidP="00B6436A">
      <w:pPr>
        <w:jc w:val="both"/>
      </w:pPr>
      <w:r w:rsidRPr="00742009">
        <w:t>Contingency planning involves preparing for unexpected events like cyberattacks, natural disasters, or system failures, enabling organizations to respond swiftly and effectively, minimize damage, and maintain smooth operations, ensuring business continuity even during emergencies through a well-defined and ready plan.</w:t>
      </w:r>
    </w:p>
    <w:p w14:paraId="49549D2F" w14:textId="77777777" w:rsidR="00B6436A" w:rsidRDefault="00B6436A" w:rsidP="00B6436A">
      <w:pPr>
        <w:jc w:val="both"/>
      </w:pPr>
    </w:p>
    <w:p w14:paraId="115275F0" w14:textId="77777777" w:rsidR="00B6436A" w:rsidRDefault="00B6436A" w:rsidP="00B6436A">
      <w:pPr>
        <w:jc w:val="both"/>
      </w:pPr>
    </w:p>
    <w:p w14:paraId="1AFE00F5" w14:textId="77777777" w:rsidR="000844E7" w:rsidRDefault="000844E7" w:rsidP="000844E7">
      <w:pPr>
        <w:pStyle w:val="Heading4"/>
      </w:pPr>
      <w:r>
        <w:t>7.1. Disaster Recovery for Ransomware</w:t>
      </w:r>
    </w:p>
    <w:p w14:paraId="1D7770A0" w14:textId="7BC17A8A" w:rsidR="000844E7" w:rsidRDefault="000844E7" w:rsidP="00B6436A">
      <w:pPr>
        <w:jc w:val="both"/>
      </w:pPr>
      <w:r w:rsidRPr="00742009">
        <w:lastRenderedPageBreak/>
        <w:t xml:space="preserve">When ransomware attacks occur, it’s crucial to respond swiftly to minimize damage by first utilizing anomaly detection tools to identify suspicious activity early and prevent the ransomware from spreading, then immediately isolating affected systems to stop further infection, verifying that backups are secure and unaffected before restoring systems from trusted copies to ensure data integrity, notifying stakeholders and regulators in accordance with breach response protocols, and conducting a comprehensive post-incident analysis to understand how the attack happened and improve </w:t>
      </w:r>
      <w:proofErr w:type="spellStart"/>
      <w:r w:rsidRPr="00742009">
        <w:t>defences</w:t>
      </w:r>
      <w:proofErr w:type="spellEnd"/>
      <w:r w:rsidRPr="00742009">
        <w:t>, as preparedness and rapid action are essential to reduce downtime, safeguard sensitive information, and maintain organizational reputation</w:t>
      </w:r>
      <w:r>
        <w:t>.Fig.4 shows the workflows.</w:t>
      </w:r>
    </w:p>
    <w:p w14:paraId="0AFECF9E" w14:textId="67D90E22" w:rsidR="00C7194B" w:rsidRDefault="00C7194B" w:rsidP="000844E7">
      <w:r>
        <w:rPr>
          <w:noProof/>
        </w:rPr>
        <w:drawing>
          <wp:anchor distT="0" distB="0" distL="114300" distR="114300" simplePos="0" relativeHeight="251662848" behindDoc="0" locked="0" layoutInCell="1" allowOverlap="1" wp14:anchorId="69F8ACF3" wp14:editId="279F0405">
            <wp:simplePos x="0" y="0"/>
            <wp:positionH relativeFrom="column">
              <wp:posOffset>99056</wp:posOffset>
            </wp:positionH>
            <wp:positionV relativeFrom="paragraph">
              <wp:posOffset>67416</wp:posOffset>
            </wp:positionV>
            <wp:extent cx="2480310" cy="1564458"/>
            <wp:effectExtent l="50800" t="50800" r="97790" b="99695"/>
            <wp:wrapNone/>
            <wp:docPr id="1460852568" name="Picture 3" descr="A blue rectangular boxes with black text&#10;&#10;AI-generated content may b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60852568" name="Picture 3" descr="A blue rectangular boxes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83689" cy="1566590"/>
                    </a:xfrm>
                    <a:prstGeom prst="rect">
                      <a:avLst/>
                    </a:prstGeom>
                    <a:ln w="22225">
                      <a:solidFill>
                        <a:srgbClr val="7030A0"/>
                      </a:solidFill>
                    </a:ln>
                    <a:effectLst>
                      <a:outerShdw blurRad="50800" dist="38100" dir="2700000" algn="tl" rotWithShape="0">
                        <a:prstClr val="black">
                          <a:alpha val="40%"/>
                        </a:prstClr>
                      </a:outerShdw>
                    </a:effectLst>
                  </pic:spPr>
                </pic:pic>
              </a:graphicData>
            </a:graphic>
            <wp14:sizeRelH relativeFrom="page">
              <wp14:pctWidth>0%</wp14:pctWidth>
            </wp14:sizeRelH>
            <wp14:sizeRelV relativeFrom="page">
              <wp14:pctHeight>0%</wp14:pctHeight>
            </wp14:sizeRelV>
          </wp:anchor>
        </w:drawing>
      </w:r>
    </w:p>
    <w:p w14:paraId="0EE4F16C" w14:textId="7573263E" w:rsidR="00C7194B" w:rsidRDefault="00C7194B" w:rsidP="000844E7"/>
    <w:p w14:paraId="4587234A" w14:textId="68A730EE" w:rsidR="00C7194B" w:rsidRDefault="00C7194B" w:rsidP="000844E7"/>
    <w:p w14:paraId="7807D38D" w14:textId="77777777" w:rsidR="00C7194B" w:rsidRDefault="00C7194B" w:rsidP="000844E7"/>
    <w:p w14:paraId="75B1793E" w14:textId="19968D02" w:rsidR="00C7194B" w:rsidRDefault="00C7194B" w:rsidP="000844E7"/>
    <w:p w14:paraId="76C535EC" w14:textId="77777777" w:rsidR="00C7194B" w:rsidRDefault="00C7194B" w:rsidP="000844E7"/>
    <w:p w14:paraId="09FEB79A" w14:textId="3874EEE0" w:rsidR="00C7194B" w:rsidRDefault="00C7194B" w:rsidP="000844E7"/>
    <w:p w14:paraId="34BF266B" w14:textId="77777777" w:rsidR="00C7194B" w:rsidRDefault="00C7194B" w:rsidP="000844E7"/>
    <w:p w14:paraId="1EBD05AA" w14:textId="77777777" w:rsidR="00C7194B" w:rsidRDefault="00C7194B" w:rsidP="000844E7"/>
    <w:p w14:paraId="11598052" w14:textId="77777777" w:rsidR="00C7194B" w:rsidRDefault="00C7194B" w:rsidP="000844E7"/>
    <w:p w14:paraId="0A2877C1" w14:textId="4CAC3E3D" w:rsidR="000844E7" w:rsidRDefault="000844E7" w:rsidP="000844E7">
      <w:r>
        <w:t xml:space="preserve"> </w:t>
      </w:r>
    </w:p>
    <w:p w14:paraId="4D86E17B" w14:textId="3D9713A2" w:rsidR="000844E7" w:rsidRDefault="000844E7" w:rsidP="000844E7">
      <w:r>
        <w:t xml:space="preserve">  </w:t>
      </w:r>
    </w:p>
    <w:p w14:paraId="6F811F33" w14:textId="77777777" w:rsidR="000844E7" w:rsidRDefault="000844E7" w:rsidP="00B066FB">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Workflow Diagram</w:t>
      </w:r>
    </w:p>
    <w:p w14:paraId="4796D9B8" w14:textId="77777777" w:rsidR="000844E7" w:rsidRDefault="000844E7" w:rsidP="000844E7">
      <w:pPr>
        <w:pStyle w:val="Heading4"/>
      </w:pPr>
      <w:r>
        <w:t>8. Protection Mechanisms</w:t>
      </w:r>
    </w:p>
    <w:p w14:paraId="012B3ACB" w14:textId="77777777" w:rsidR="000844E7" w:rsidRDefault="000844E7" w:rsidP="00B6436A">
      <w:pPr>
        <w:jc w:val="both"/>
      </w:pPr>
      <w:r>
        <w:t>Protection mechanisms are security measures and tools that help safeguard an organization's information, systems, and data from threats and attacks. They work by preventing unauthorized access, detecting suspicious activities, and responding quickly to security incidents, ensuring that the organization’s assets remain secure and resilient against evolving cyber risks.</w:t>
      </w:r>
    </w:p>
    <w:p w14:paraId="727B3424" w14:textId="77777777" w:rsidR="000844E7" w:rsidRDefault="000844E7" w:rsidP="000844E7">
      <w:pPr>
        <w:pStyle w:val="Heading4"/>
      </w:pPr>
      <w:r>
        <w:t>8.1. Modern Security Controls</w:t>
      </w:r>
    </w:p>
    <w:p w14:paraId="7B8C4455" w14:textId="58B1809A" w:rsidR="000844E7" w:rsidRDefault="000844E7" w:rsidP="00B6436A">
      <w:pPr>
        <w:jc w:val="both"/>
      </w:pPr>
      <w:r>
        <w:t>Modern security controls are essential tools and practices that help organizations defend against sophisticated cyber threats and protect their digital assets. They work together to provide a layered security approach and ensure continuous protection.</w:t>
      </w:r>
    </w:p>
    <w:p w14:paraId="76DF3D2D" w14:textId="77777777" w:rsidR="00C7194B" w:rsidRDefault="00C7194B" w:rsidP="00C7194B">
      <w:pPr>
        <w:pStyle w:val="Heading5"/>
      </w:pPr>
      <w:r>
        <w:t xml:space="preserve">CSPM (Cloud Security Posture Management)  </w:t>
      </w:r>
    </w:p>
    <w:p w14:paraId="6D3AD6D7" w14:textId="77777777" w:rsidR="00C7194B" w:rsidRDefault="00C7194B" w:rsidP="00C7194B">
      <w:pPr>
        <w:jc w:val="both"/>
      </w:pPr>
      <w:r>
        <w:t>CSPM tools continuously monitor cloud environments, such as infrastructure, storage, and applications to identify misconfigurations, vulnerabilities, and compliance violations. By providing real-time alerts and automated fixes, CSPM helps organizations maintain a secure cloud posture, prevent data leaks, and reduce the risk of cloud-based attacks.</w:t>
      </w:r>
    </w:p>
    <w:p w14:paraId="0550DABD" w14:textId="77777777" w:rsidR="00C7194B" w:rsidRDefault="00C7194B" w:rsidP="00C7194B"/>
    <w:p w14:paraId="09E4360B" w14:textId="77777777" w:rsidR="00C7194B" w:rsidRDefault="00C7194B" w:rsidP="00C7194B">
      <w:pPr>
        <w:pStyle w:val="Heading5"/>
      </w:pPr>
      <w:r>
        <w:t xml:space="preserve">SIEM (Security Information and Event Management)  </w:t>
      </w:r>
    </w:p>
    <w:p w14:paraId="12F9EC03" w14:textId="29F29B7F" w:rsidR="00C7194B" w:rsidRDefault="00C7194B" w:rsidP="00C7194B">
      <w:pPr>
        <w:jc w:val="both"/>
      </w:pPr>
      <w:r w:rsidRPr="00742009">
        <w:t>SIEM (Security Information and Event Management) systems collect and analyze logs from servers, network devices, and applications in real-time to detect suspicious activity, generate alerts, and enable automated responses; they also store historical data for investigations, helping organizations monitor security, identify threats, and improve defenses against cyber-attacks.</w:t>
      </w:r>
    </w:p>
    <w:p w14:paraId="18DFE26B" w14:textId="77777777" w:rsidR="00C7194B" w:rsidRDefault="00C7194B" w:rsidP="00C7194B"/>
    <w:p w14:paraId="5FFDE69B" w14:textId="77777777" w:rsidR="00C7194B" w:rsidRDefault="00C7194B" w:rsidP="00C7194B">
      <w:pPr>
        <w:pStyle w:val="Heading5"/>
      </w:pPr>
      <w:r>
        <w:t xml:space="preserve">EDR (Endpoint Detection and Response)  </w:t>
      </w:r>
    </w:p>
    <w:p w14:paraId="2A84A9F1" w14:textId="40E18550" w:rsidR="00C7194B" w:rsidRDefault="00C7194B" w:rsidP="00C7194B">
      <w:pPr>
        <w:jc w:val="both"/>
      </w:pPr>
      <w:r>
        <w:t>EDR solutions focus on monitoring endpoints such as laptops, desktops, servers, and mobile devices. They continuously analyze activity on these devices to identify signs of malicious behavior, such as malware or unauthorized access. When threats are detected, EDR tools can automatically contain the threat, remove malicious files, and remediate issues, minimizing damage and reducing response time.</w:t>
      </w:r>
    </w:p>
    <w:p w14:paraId="3E785007" w14:textId="77777777" w:rsidR="00C7194B" w:rsidRDefault="00C7194B" w:rsidP="00C7194B"/>
    <w:p w14:paraId="28A2EF57" w14:textId="77777777" w:rsidR="00C7194B" w:rsidRDefault="00C7194B" w:rsidP="00C7194B">
      <w:pPr>
        <w:pStyle w:val="Heading5"/>
      </w:pPr>
      <w:r>
        <w:t xml:space="preserve">Strong MFA (Multi-Factor Authentication)  </w:t>
      </w:r>
    </w:p>
    <w:p w14:paraId="0DC4AB6F" w14:textId="77777777" w:rsidR="00C7194B" w:rsidRDefault="00C7194B" w:rsidP="00C7194B">
      <w:pPr>
        <w:jc w:val="both"/>
      </w:pPr>
      <w:r>
        <w:t>MFA adds an extra layer of security beyond just passwords. It requires users to verify their identity using multiple factors, such as a hardware security token, biometric data (fingerprint or facial recognition), or a password less authentication method like a mobile app or biometric login. This significantly reduces the risk of unauthorized access, even if passwords are compromised, protecting sensitive information and systems.</w:t>
      </w:r>
    </w:p>
    <w:p w14:paraId="4CF17819" w14:textId="77777777" w:rsidR="00C7194B" w:rsidRDefault="00C7194B" w:rsidP="00C7194B">
      <w:r>
        <w:t xml:space="preserve"> </w:t>
      </w:r>
    </w:p>
    <w:p w14:paraId="66992874" w14:textId="77777777" w:rsidR="00C7194B" w:rsidRDefault="00C7194B" w:rsidP="00C7194B">
      <w:pPr>
        <w:pStyle w:val="Heading5"/>
      </w:pPr>
      <w:r>
        <w:t>In Summary</w:t>
      </w:r>
    </w:p>
    <w:p w14:paraId="1CB1CE06" w14:textId="77777777" w:rsidR="00C7194B" w:rsidRDefault="00C7194B" w:rsidP="00C7194B">
      <w:pPr>
        <w:jc w:val="both"/>
      </w:pPr>
      <w:r>
        <w:t xml:space="preserve">This comprehensive Zero Trust security program ensures that </w:t>
      </w:r>
      <w:proofErr w:type="spellStart"/>
      <w:r>
        <w:t>MediTrust</w:t>
      </w:r>
      <w:proofErr w:type="spellEnd"/>
      <w:r>
        <w:t xml:space="preserve"> Analytics Ltd can operate securely across multiple jurisdictions, meet regulatory requirements, and foster trust with stakeholders. Its emphasis on continuous verification, automation, and organizational accountability positions the company to respond proactively to emerging threats and compliance challenges.</w:t>
      </w:r>
    </w:p>
    <w:p w14:paraId="1D33639D" w14:textId="77777777" w:rsidR="00C7194B" w:rsidRDefault="00C7194B" w:rsidP="00B6436A">
      <w:pPr>
        <w:jc w:val="both"/>
      </w:pPr>
    </w:p>
    <w:p w14:paraId="4F2674D4" w14:textId="6DC3F1B6" w:rsidR="000844E7" w:rsidRDefault="000844E7" w:rsidP="000844E7"/>
    <w:bookmarkStart w:id="24" w:name="_Toc225462609" w:displacedByCustomXml="next"/>
    <w:sdt>
      <w:sdtPr>
        <w:rPr>
          <w:smallCaps w:val="0"/>
          <w:noProof w:val="0"/>
          <w:sz w:val="18"/>
          <w:szCs w:val="18"/>
        </w:rPr>
        <w:id w:val="-1022473347"/>
        <w:docPartObj>
          <w:docPartGallery w:val="Bibliographies"/>
          <w:docPartUnique/>
        </w:docPartObj>
      </w:sdtPr>
      <w:sdtContent>
        <w:p w14:paraId="41312380" w14:textId="77777777" w:rsidR="00C7194B" w:rsidRPr="0040579F" w:rsidRDefault="00C7194B" w:rsidP="00C7194B">
          <w:pPr>
            <w:pStyle w:val="Heading1"/>
            <w:numPr>
              <w:ilvl w:val="0"/>
              <w:numId w:val="25"/>
            </w:numPr>
            <w:rPr>
              <w:sz w:val="18"/>
              <w:szCs w:val="18"/>
            </w:rPr>
          </w:pPr>
          <w:r w:rsidRPr="0040579F">
            <w:rPr>
              <w:sz w:val="18"/>
              <w:szCs w:val="18"/>
            </w:rPr>
            <w:t>References</w:t>
          </w:r>
          <w:bookmarkEnd w:id="24"/>
        </w:p>
        <w:sdt>
          <w:sdtPr>
            <w:rPr>
              <w:sz w:val="18"/>
              <w:szCs w:val="18"/>
            </w:rPr>
            <w:id w:val="111145805"/>
            <w:bibliography/>
          </w:sdtPr>
          <w:sdtContent>
            <w:p w14:paraId="1A4C3EF8" w14:textId="77777777" w:rsidR="00C7194B" w:rsidRPr="0040579F" w:rsidRDefault="00C7194B" w:rsidP="00C7194B">
              <w:pPr>
                <w:rPr>
                  <w:noProof/>
                  <w:sz w:val="18"/>
                  <w:szCs w:val="18"/>
                </w:rPr>
              </w:pPr>
              <w:r w:rsidRPr="0040579F">
                <w:rPr>
                  <w:sz w:val="18"/>
                  <w:szCs w:val="18"/>
                </w:rPr>
                <w:fldChar w:fldCharType="begin"/>
              </w:r>
              <w:r w:rsidRPr="0040579F">
                <w:rPr>
                  <w:sz w:val="18"/>
                  <w:szCs w:val="18"/>
                </w:rPr>
                <w:instrText xml:space="preserve"> BIBLIOGRAPHY </w:instrText>
              </w:r>
              <w:r w:rsidRPr="0040579F">
                <w:rPr>
                  <w:sz w:val="18"/>
                  <w:szCs w:val="18"/>
                </w:rPr>
                <w:fldChar w:fldCharType="separate"/>
              </w:r>
            </w:p>
            <w:tbl>
              <w:tblPr>
                <w:tblW w:w="100.0%" w:type="pct"/>
                <w:tblCellSpacing w:w="0.75pt" w:type="dxa"/>
                <w:tblCellMar>
                  <w:top w:w="0.75pt" w:type="dxa"/>
                  <w:start w:w="0.75pt" w:type="dxa"/>
                  <w:bottom w:w="0.75pt" w:type="dxa"/>
                  <w:end w:w="0.75pt" w:type="dxa"/>
                </w:tblCellMar>
                <w:tblLook w:firstRow="1" w:lastRow="0" w:firstColumn="1" w:lastColumn="0" w:noHBand="0" w:noVBand="1"/>
              </w:tblPr>
              <w:tblGrid>
                <w:gridCol w:w="317"/>
                <w:gridCol w:w="4549"/>
              </w:tblGrid>
              <w:tr w:rsidR="00C7194B" w:rsidRPr="0040579F" w14:paraId="4C7063AB" w14:textId="77777777">
                <w:trPr>
                  <w:divId w:val="2051765240"/>
                  <w:tblCellSpacing w:w="0.75pt" w:type="dxa"/>
                </w:trPr>
                <w:tc>
                  <w:tcPr>
                    <w:tcW w:w="1.0%" w:type="pct"/>
                    <w:hideMark/>
                  </w:tcPr>
                  <w:p w14:paraId="0990352B" w14:textId="75716568" w:rsidR="00C7194B" w:rsidRPr="0040579F" w:rsidRDefault="00C7194B">
                    <w:pPr>
                      <w:pStyle w:val="Bibliography"/>
                      <w:rPr>
                        <w:noProof/>
                        <w:kern w:val="0"/>
                        <w:sz w:val="18"/>
                        <w:szCs w:val="18"/>
                        <w:lang w:val="en-US"/>
                        <w14:ligatures w14:val="none"/>
                      </w:rPr>
                    </w:pPr>
                    <w:r w:rsidRPr="0040579F">
                      <w:rPr>
                        <w:noProof/>
                        <w:sz w:val="18"/>
                        <w:szCs w:val="18"/>
                        <w:lang w:val="en-US"/>
                      </w:rPr>
                      <w:t xml:space="preserve">[1] </w:t>
                    </w:r>
                  </w:p>
                </w:tc>
                <w:tc>
                  <w:tcPr>
                    <w:tcW w:w="0pt" w:type="dxa"/>
                    <w:hideMark/>
                  </w:tcPr>
                  <w:p w14:paraId="7C54633F" w14:textId="77777777" w:rsidR="00C7194B" w:rsidRPr="0040579F" w:rsidRDefault="00C7194B">
                    <w:pPr>
                      <w:pStyle w:val="Bibliography"/>
                      <w:rPr>
                        <w:noProof/>
                        <w:sz w:val="18"/>
                        <w:szCs w:val="18"/>
                        <w:lang w:val="en-US"/>
                      </w:rPr>
                    </w:pPr>
                    <w:r w:rsidRPr="0040579F">
                      <w:rPr>
                        <w:noProof/>
                        <w:sz w:val="18"/>
                        <w:szCs w:val="18"/>
                        <w:lang w:val="en-US"/>
                      </w:rPr>
                      <w:t xml:space="preserve">Mehta, Jay, Narasimhamurthy, Rohith, Dasari, Prithviraj Kumar, "Data Security And Compliance In Modernized Cloud-Enabled Healthcare And Financial Systems," </w:t>
                    </w:r>
                    <w:r w:rsidRPr="0040579F">
                      <w:rPr>
                        <w:i/>
                        <w:iCs/>
                        <w:noProof/>
                        <w:sz w:val="18"/>
                        <w:szCs w:val="18"/>
                        <w:lang w:val="en-US"/>
                      </w:rPr>
                      <w:t xml:space="preserve">Scholarly Journal, </w:t>
                    </w:r>
                    <w:r w:rsidRPr="0040579F">
                      <w:rPr>
                        <w:noProof/>
                        <w:sz w:val="18"/>
                        <w:szCs w:val="18"/>
                        <w:lang w:val="en-US"/>
                      </w:rPr>
                      <w:t xml:space="preserve">Vols. Vol. 8, Iss. S7, no. ISSN: 2576-0017 EISSN: 2576-0025 DOI: 10.63278/jicrcr.vi.3378, 19 11 2025. </w:t>
                    </w:r>
                  </w:p>
                </w:tc>
              </w:tr>
              <w:tr w:rsidR="00C7194B" w:rsidRPr="0040579F" w14:paraId="420FC016" w14:textId="77777777">
                <w:trPr>
                  <w:divId w:val="2051765240"/>
                  <w:tblCellSpacing w:w="0.75pt" w:type="dxa"/>
                </w:trPr>
                <w:tc>
                  <w:tcPr>
                    <w:tcW w:w="1.0%" w:type="pct"/>
                    <w:hideMark/>
                  </w:tcPr>
                  <w:p w14:paraId="0EAC73A9" w14:textId="77777777" w:rsidR="00C7194B" w:rsidRPr="0040579F" w:rsidRDefault="00C7194B">
                    <w:pPr>
                      <w:pStyle w:val="Bibliography"/>
                      <w:rPr>
                        <w:noProof/>
                        <w:sz w:val="18"/>
                        <w:szCs w:val="18"/>
                        <w:lang w:val="en-US"/>
                      </w:rPr>
                    </w:pPr>
                    <w:r w:rsidRPr="0040579F">
                      <w:rPr>
                        <w:noProof/>
                        <w:sz w:val="18"/>
                        <w:szCs w:val="18"/>
                        <w:lang w:val="en-US"/>
                      </w:rPr>
                      <w:t xml:space="preserve">[2] </w:t>
                    </w:r>
                  </w:p>
                </w:tc>
                <w:tc>
                  <w:tcPr>
                    <w:tcW w:w="0pt" w:type="dxa"/>
                    <w:hideMark/>
                  </w:tcPr>
                  <w:p w14:paraId="08DDDA63" w14:textId="77777777" w:rsidR="00C7194B" w:rsidRPr="0040579F" w:rsidRDefault="00C7194B">
                    <w:pPr>
                      <w:pStyle w:val="Bibliography"/>
                      <w:rPr>
                        <w:noProof/>
                        <w:sz w:val="18"/>
                        <w:szCs w:val="18"/>
                        <w:lang w:val="en-US"/>
                      </w:rPr>
                    </w:pPr>
                    <w:r w:rsidRPr="0040579F">
                      <w:rPr>
                        <w:noProof/>
                        <w:sz w:val="18"/>
                        <w:szCs w:val="18"/>
                        <w:lang w:val="en-US"/>
                      </w:rPr>
                      <w:t xml:space="preserve">Alibasic, Haris, "Harmonizing artificial intelligence (AI) governance: A comparative analysis of Singapore and France’s AI policies and the influence of international organizations: Harmonizing artificial intelligence (AI) governance: a comparative analysis," </w:t>
                    </w:r>
                    <w:r w:rsidRPr="0040579F">
                      <w:rPr>
                        <w:i/>
                        <w:iCs/>
                        <w:noProof/>
                        <w:sz w:val="18"/>
                        <w:szCs w:val="18"/>
                        <w:lang w:val="en-US"/>
                      </w:rPr>
                      <w:t xml:space="preserve">SPRINGER NATURE Link, </w:t>
                    </w:r>
                    <w:r w:rsidRPr="0040579F">
                      <w:rPr>
                        <w:noProof/>
                        <w:sz w:val="18"/>
                        <w:szCs w:val="18"/>
                        <w:lang w:val="en-US"/>
                      </w:rPr>
                      <w:t xml:space="preserve">vol. Vol.5(2), pp. 93 - 113, 2025. </w:t>
                    </w:r>
                  </w:p>
                </w:tc>
              </w:tr>
              <w:tr w:rsidR="00C7194B" w:rsidRPr="0040579F" w14:paraId="018A9975" w14:textId="77777777">
                <w:trPr>
                  <w:divId w:val="2051765240"/>
                  <w:tblCellSpacing w:w="0.75pt" w:type="dxa"/>
                </w:trPr>
                <w:tc>
                  <w:tcPr>
                    <w:tcW w:w="1.0%" w:type="pct"/>
                    <w:hideMark/>
                  </w:tcPr>
                  <w:p w14:paraId="7148E7B4" w14:textId="77777777" w:rsidR="00C7194B" w:rsidRPr="0040579F" w:rsidRDefault="00C7194B">
                    <w:pPr>
                      <w:pStyle w:val="Bibliography"/>
                      <w:rPr>
                        <w:noProof/>
                        <w:sz w:val="18"/>
                        <w:szCs w:val="18"/>
                        <w:lang w:val="en-US"/>
                      </w:rPr>
                    </w:pPr>
                    <w:r w:rsidRPr="0040579F">
                      <w:rPr>
                        <w:noProof/>
                        <w:sz w:val="18"/>
                        <w:szCs w:val="18"/>
                        <w:lang w:val="en-US"/>
                      </w:rPr>
                      <w:t xml:space="preserve">[3] </w:t>
                    </w:r>
                  </w:p>
                </w:tc>
                <w:tc>
                  <w:tcPr>
                    <w:tcW w:w="0pt" w:type="dxa"/>
                    <w:hideMark/>
                  </w:tcPr>
                  <w:p w14:paraId="14EDCAD2" w14:textId="77777777" w:rsidR="00C7194B" w:rsidRPr="0040579F" w:rsidRDefault="00C7194B">
                    <w:pPr>
                      <w:pStyle w:val="Bibliography"/>
                      <w:rPr>
                        <w:noProof/>
                        <w:sz w:val="18"/>
                        <w:szCs w:val="18"/>
                        <w:lang w:val="en-US"/>
                      </w:rPr>
                    </w:pPr>
                    <w:r w:rsidRPr="0040579F">
                      <w:rPr>
                        <w:noProof/>
                        <w:sz w:val="18"/>
                        <w:szCs w:val="18"/>
                        <w:lang w:val="en-US"/>
                      </w:rPr>
                      <w:t>Meltzer, Josh and Tielemans, Aaron, "The european union AI act," 2022. [Online]. Available: https://www.brookings.edu/wp-content/uploads/2022/05/FCAI-Policy-Brief_Final_060122.pdf.</w:t>
                    </w:r>
                  </w:p>
                </w:tc>
              </w:tr>
              <w:tr w:rsidR="00C7194B" w:rsidRPr="0040579F" w14:paraId="27B00B87" w14:textId="77777777">
                <w:trPr>
                  <w:divId w:val="2051765240"/>
                  <w:tblCellSpacing w:w="0.75pt" w:type="dxa"/>
                </w:trPr>
                <w:tc>
                  <w:tcPr>
                    <w:tcW w:w="1.0%" w:type="pct"/>
                    <w:hideMark/>
                  </w:tcPr>
                  <w:p w14:paraId="3D2DD5B3" w14:textId="77777777" w:rsidR="00C7194B" w:rsidRPr="0040579F" w:rsidRDefault="00C7194B">
                    <w:pPr>
                      <w:pStyle w:val="Bibliography"/>
                      <w:rPr>
                        <w:noProof/>
                        <w:sz w:val="18"/>
                        <w:szCs w:val="18"/>
                        <w:lang w:val="en-US"/>
                      </w:rPr>
                    </w:pPr>
                    <w:r w:rsidRPr="0040579F">
                      <w:rPr>
                        <w:noProof/>
                        <w:sz w:val="18"/>
                        <w:szCs w:val="18"/>
                        <w:lang w:val="en-US"/>
                      </w:rPr>
                      <w:t xml:space="preserve">[4] </w:t>
                    </w:r>
                  </w:p>
                </w:tc>
                <w:tc>
                  <w:tcPr>
                    <w:tcW w:w="0pt" w:type="dxa"/>
                    <w:hideMark/>
                  </w:tcPr>
                  <w:p w14:paraId="226C16B6" w14:textId="77777777" w:rsidR="00C7194B" w:rsidRPr="0040579F" w:rsidRDefault="00C7194B">
                    <w:pPr>
                      <w:pStyle w:val="Bibliography"/>
                      <w:rPr>
                        <w:noProof/>
                        <w:sz w:val="18"/>
                        <w:szCs w:val="18"/>
                        <w:lang w:val="en-US"/>
                      </w:rPr>
                    </w:pPr>
                    <w:r w:rsidRPr="0040579F">
                      <w:rPr>
                        <w:noProof/>
                        <w:sz w:val="18"/>
                        <w:szCs w:val="18"/>
                        <w:lang w:val="en-US"/>
                      </w:rPr>
                      <w:t>GDPR, EU, 2018. [Online]. Available: https://in2mobile.gr/wp-content/uploads/2018/05/GDPR_NEWSurvey.pdf. [Accessed Tuesday 24 March 2026].</w:t>
                    </w:r>
                  </w:p>
                </w:tc>
              </w:tr>
              <w:tr w:rsidR="00C7194B" w:rsidRPr="0040579F" w14:paraId="359F2781" w14:textId="77777777">
                <w:trPr>
                  <w:divId w:val="2051765240"/>
                  <w:tblCellSpacing w:w="0.75pt" w:type="dxa"/>
                </w:trPr>
                <w:tc>
                  <w:tcPr>
                    <w:tcW w:w="1.0%" w:type="pct"/>
                    <w:hideMark/>
                  </w:tcPr>
                  <w:p w14:paraId="27B6F17E" w14:textId="77777777" w:rsidR="00C7194B" w:rsidRPr="0040579F" w:rsidRDefault="00C7194B">
                    <w:pPr>
                      <w:pStyle w:val="Bibliography"/>
                      <w:rPr>
                        <w:noProof/>
                        <w:sz w:val="18"/>
                        <w:szCs w:val="18"/>
                        <w:lang w:val="en-US"/>
                      </w:rPr>
                    </w:pPr>
                    <w:r w:rsidRPr="0040579F">
                      <w:rPr>
                        <w:noProof/>
                        <w:sz w:val="18"/>
                        <w:szCs w:val="18"/>
                        <w:lang w:val="en-US"/>
                      </w:rPr>
                      <w:t xml:space="preserve">[5] </w:t>
                    </w:r>
                  </w:p>
                </w:tc>
                <w:tc>
                  <w:tcPr>
                    <w:tcW w:w="0pt" w:type="dxa"/>
                    <w:hideMark/>
                  </w:tcPr>
                  <w:p w14:paraId="305B3223" w14:textId="77777777" w:rsidR="00C7194B" w:rsidRPr="0040579F" w:rsidRDefault="00C7194B">
                    <w:pPr>
                      <w:pStyle w:val="Bibliography"/>
                      <w:rPr>
                        <w:noProof/>
                        <w:sz w:val="18"/>
                        <w:szCs w:val="18"/>
                        <w:lang w:val="en-US"/>
                      </w:rPr>
                    </w:pPr>
                    <w:r w:rsidRPr="0040579F">
                      <w:rPr>
                        <w:noProof/>
                        <w:sz w:val="18"/>
                        <w:szCs w:val="18"/>
                        <w:lang w:val="en-US"/>
                      </w:rPr>
                      <w:t>GDPR, EU, 2018. [Online]. Available: https://in2mobile.gr/wp-</w:t>
                    </w:r>
                    <w:r w:rsidRPr="0040579F">
                      <w:rPr>
                        <w:noProof/>
                        <w:sz w:val="18"/>
                        <w:szCs w:val="18"/>
                        <w:lang w:val="en-US"/>
                      </w:rPr>
                      <w:lastRenderedPageBreak/>
                      <w:t>content/uploads/2018/05/GDPR_NEWSurvey.pdf. [Accessed Tuesday 24 March 2026].</w:t>
                    </w:r>
                  </w:p>
                </w:tc>
              </w:tr>
              <w:tr w:rsidR="00C7194B" w:rsidRPr="0040579F" w14:paraId="2AB55F2D" w14:textId="77777777">
                <w:trPr>
                  <w:divId w:val="2051765240"/>
                  <w:tblCellSpacing w:w="0.75pt" w:type="dxa"/>
                </w:trPr>
                <w:tc>
                  <w:tcPr>
                    <w:tcW w:w="1.0%" w:type="pct"/>
                    <w:hideMark/>
                  </w:tcPr>
                  <w:p w14:paraId="35BB61F2" w14:textId="77777777" w:rsidR="00C7194B" w:rsidRPr="0040579F" w:rsidRDefault="00C7194B">
                    <w:pPr>
                      <w:pStyle w:val="Bibliography"/>
                      <w:rPr>
                        <w:noProof/>
                        <w:sz w:val="18"/>
                        <w:szCs w:val="18"/>
                        <w:lang w:val="en-US"/>
                      </w:rPr>
                    </w:pPr>
                    <w:r w:rsidRPr="0040579F">
                      <w:rPr>
                        <w:noProof/>
                        <w:sz w:val="18"/>
                        <w:szCs w:val="18"/>
                        <w:lang w:val="en-US"/>
                      </w:rPr>
                      <w:lastRenderedPageBreak/>
                      <w:t xml:space="preserve">[6] </w:t>
                    </w:r>
                  </w:p>
                </w:tc>
                <w:tc>
                  <w:tcPr>
                    <w:tcW w:w="0pt" w:type="dxa"/>
                    <w:hideMark/>
                  </w:tcPr>
                  <w:p w14:paraId="70A951D5" w14:textId="77777777" w:rsidR="00C7194B" w:rsidRPr="0040579F" w:rsidRDefault="00C7194B">
                    <w:pPr>
                      <w:pStyle w:val="Bibliography"/>
                      <w:rPr>
                        <w:noProof/>
                        <w:sz w:val="18"/>
                        <w:szCs w:val="18"/>
                        <w:lang w:val="en-US"/>
                      </w:rPr>
                    </w:pPr>
                    <w:r w:rsidRPr="0040579F">
                      <w:rPr>
                        <w:noProof/>
                        <w:sz w:val="18"/>
                        <w:szCs w:val="18"/>
                        <w:lang w:val="en-US"/>
                      </w:rPr>
                      <w:t>Ruohonen, Jukka, "A systematic literature review on the NIS2 Directive," 11 December 2024. [Online]. Available: https://arxiv.org/abs/2412.08084. [Accessed Tuesday 24 March 2026].</w:t>
                    </w:r>
                  </w:p>
                </w:tc>
              </w:tr>
              <w:tr w:rsidR="00C7194B" w:rsidRPr="0040579F" w14:paraId="683D5A3E" w14:textId="77777777">
                <w:trPr>
                  <w:divId w:val="2051765240"/>
                  <w:tblCellSpacing w:w="0.75pt" w:type="dxa"/>
                </w:trPr>
                <w:tc>
                  <w:tcPr>
                    <w:tcW w:w="1.0%" w:type="pct"/>
                    <w:hideMark/>
                  </w:tcPr>
                  <w:p w14:paraId="0B111280" w14:textId="77777777" w:rsidR="00C7194B" w:rsidRPr="0040579F" w:rsidRDefault="00C7194B">
                    <w:pPr>
                      <w:pStyle w:val="Bibliography"/>
                      <w:rPr>
                        <w:noProof/>
                        <w:sz w:val="18"/>
                        <w:szCs w:val="18"/>
                        <w:lang w:val="en-US"/>
                      </w:rPr>
                    </w:pPr>
                    <w:r w:rsidRPr="0040579F">
                      <w:rPr>
                        <w:noProof/>
                        <w:sz w:val="18"/>
                        <w:szCs w:val="18"/>
                        <w:lang w:val="en-US"/>
                      </w:rPr>
                      <w:t xml:space="preserve">[7] </w:t>
                    </w:r>
                  </w:p>
                </w:tc>
                <w:tc>
                  <w:tcPr>
                    <w:tcW w:w="0pt" w:type="dxa"/>
                    <w:hideMark/>
                  </w:tcPr>
                  <w:p w14:paraId="28FF611D" w14:textId="77777777" w:rsidR="00C7194B" w:rsidRPr="0040579F" w:rsidRDefault="00C7194B">
                    <w:pPr>
                      <w:pStyle w:val="Bibliography"/>
                      <w:rPr>
                        <w:noProof/>
                        <w:sz w:val="18"/>
                        <w:szCs w:val="18"/>
                        <w:lang w:val="en-US"/>
                      </w:rPr>
                    </w:pPr>
                    <w:r w:rsidRPr="0040579F">
                      <w:rPr>
                        <w:noProof/>
                        <w:sz w:val="18"/>
                        <w:szCs w:val="18"/>
                        <w:lang w:val="en-US"/>
                      </w:rPr>
                      <w:t>Landers, Richard N., Behrend, Tara S., United States: American Psychological Association, 2023. [Online]. Available: https://research-ebsco-com.uwtsd.idm.oclc.org/c/onvpsy/viewer/pdf/zw5wjeq6x5?route=details. [Accessed Wednesday 25 March 2026].</w:t>
                    </w:r>
                  </w:p>
                </w:tc>
              </w:tr>
              <w:tr w:rsidR="00C7194B" w:rsidRPr="0040579F" w14:paraId="08730F4C" w14:textId="77777777">
                <w:trPr>
                  <w:divId w:val="2051765240"/>
                  <w:tblCellSpacing w:w="0.75pt" w:type="dxa"/>
                </w:trPr>
                <w:tc>
                  <w:tcPr>
                    <w:tcW w:w="1.0%" w:type="pct"/>
                    <w:hideMark/>
                  </w:tcPr>
                  <w:p w14:paraId="14BBEC05" w14:textId="77777777" w:rsidR="00C7194B" w:rsidRPr="0040579F" w:rsidRDefault="00C7194B">
                    <w:pPr>
                      <w:pStyle w:val="Bibliography"/>
                      <w:rPr>
                        <w:noProof/>
                        <w:sz w:val="18"/>
                        <w:szCs w:val="18"/>
                        <w:lang w:val="en-US"/>
                      </w:rPr>
                    </w:pPr>
                    <w:r w:rsidRPr="0040579F">
                      <w:rPr>
                        <w:noProof/>
                        <w:sz w:val="18"/>
                        <w:szCs w:val="18"/>
                        <w:lang w:val="en-US"/>
                      </w:rPr>
                      <w:t xml:space="preserve">[8] </w:t>
                    </w:r>
                  </w:p>
                </w:tc>
                <w:tc>
                  <w:tcPr>
                    <w:tcW w:w="0pt" w:type="dxa"/>
                    <w:hideMark/>
                  </w:tcPr>
                  <w:p w14:paraId="085A3A16" w14:textId="77777777" w:rsidR="00C7194B" w:rsidRPr="0040579F" w:rsidRDefault="00C7194B">
                    <w:pPr>
                      <w:pStyle w:val="Bibliography"/>
                      <w:rPr>
                        <w:noProof/>
                        <w:sz w:val="18"/>
                        <w:szCs w:val="18"/>
                        <w:lang w:val="en-US"/>
                      </w:rPr>
                    </w:pPr>
                    <w:r w:rsidRPr="0040579F">
                      <w:rPr>
                        <w:noProof/>
                        <w:sz w:val="18"/>
                        <w:szCs w:val="18"/>
                        <w:lang w:val="en-US"/>
                      </w:rPr>
                      <w:t xml:space="preserve">Abdi, Herv, Valentin, Dominique, Edelman, Betty, Neural Networks, Sage, 1999. </w:t>
                    </w:r>
                  </w:p>
                </w:tc>
              </w:tr>
              <w:tr w:rsidR="00C7194B" w:rsidRPr="0040579F" w14:paraId="0C553D11" w14:textId="77777777">
                <w:trPr>
                  <w:divId w:val="2051765240"/>
                  <w:tblCellSpacing w:w="0.75pt" w:type="dxa"/>
                </w:trPr>
                <w:tc>
                  <w:tcPr>
                    <w:tcW w:w="1.0%" w:type="pct"/>
                    <w:hideMark/>
                  </w:tcPr>
                  <w:p w14:paraId="411E9E04" w14:textId="77777777" w:rsidR="00C7194B" w:rsidRPr="0040579F" w:rsidRDefault="00C7194B">
                    <w:pPr>
                      <w:pStyle w:val="Bibliography"/>
                      <w:rPr>
                        <w:noProof/>
                        <w:sz w:val="18"/>
                        <w:szCs w:val="18"/>
                        <w:lang w:val="en-US"/>
                      </w:rPr>
                    </w:pPr>
                    <w:r w:rsidRPr="0040579F">
                      <w:rPr>
                        <w:noProof/>
                        <w:sz w:val="18"/>
                        <w:szCs w:val="18"/>
                        <w:lang w:val="en-US"/>
                      </w:rPr>
                      <w:t xml:space="preserve">[9] </w:t>
                    </w:r>
                  </w:p>
                </w:tc>
                <w:tc>
                  <w:tcPr>
                    <w:tcW w:w="0pt" w:type="dxa"/>
                    <w:hideMark/>
                  </w:tcPr>
                  <w:p w14:paraId="4EA0DD43" w14:textId="77777777" w:rsidR="00C7194B" w:rsidRPr="0040579F" w:rsidRDefault="00C7194B">
                    <w:pPr>
                      <w:pStyle w:val="Bibliography"/>
                      <w:rPr>
                        <w:noProof/>
                        <w:sz w:val="18"/>
                        <w:szCs w:val="18"/>
                        <w:lang w:val="en-US"/>
                      </w:rPr>
                    </w:pPr>
                    <w:r w:rsidRPr="0040579F">
                      <w:rPr>
                        <w:noProof/>
                        <w:sz w:val="18"/>
                        <w:szCs w:val="18"/>
                        <w:lang w:val="en-US"/>
                      </w:rPr>
                      <w:t>Jonathan Uesato, Brenda O'Donoghue, Aaron Van den Oord, Pushmeet Kohli, "Cornell University," 15 February 2018. [Online]. Available: https://arxiv.org/abs/1802.05666. [Accessed Thursday 26 March 2026].</w:t>
                    </w:r>
                  </w:p>
                </w:tc>
              </w:tr>
              <w:tr w:rsidR="00C7194B" w:rsidRPr="0040579F" w14:paraId="3F3F787C" w14:textId="77777777">
                <w:trPr>
                  <w:divId w:val="2051765240"/>
                  <w:tblCellSpacing w:w="0.75pt" w:type="dxa"/>
                </w:trPr>
                <w:tc>
                  <w:tcPr>
                    <w:tcW w:w="1.0%" w:type="pct"/>
                    <w:hideMark/>
                  </w:tcPr>
                  <w:p w14:paraId="3D1473F7" w14:textId="77777777" w:rsidR="00C7194B" w:rsidRPr="0040579F" w:rsidRDefault="00C7194B">
                    <w:pPr>
                      <w:pStyle w:val="Bibliography"/>
                      <w:rPr>
                        <w:noProof/>
                        <w:sz w:val="18"/>
                        <w:szCs w:val="18"/>
                        <w:lang w:val="en-US"/>
                      </w:rPr>
                    </w:pPr>
                    <w:r w:rsidRPr="0040579F">
                      <w:rPr>
                        <w:noProof/>
                        <w:sz w:val="18"/>
                        <w:szCs w:val="18"/>
                        <w:lang w:val="en-US"/>
                      </w:rPr>
                      <w:t xml:space="preserve">[10] </w:t>
                    </w:r>
                  </w:p>
                </w:tc>
                <w:tc>
                  <w:tcPr>
                    <w:tcW w:w="0pt" w:type="dxa"/>
                    <w:hideMark/>
                  </w:tcPr>
                  <w:p w14:paraId="54B1ACD0" w14:textId="77777777" w:rsidR="00C7194B" w:rsidRPr="0040579F" w:rsidRDefault="00C7194B">
                    <w:pPr>
                      <w:pStyle w:val="Bibliography"/>
                      <w:rPr>
                        <w:noProof/>
                        <w:sz w:val="18"/>
                        <w:szCs w:val="18"/>
                        <w:lang w:val="en-US"/>
                      </w:rPr>
                    </w:pPr>
                    <w:r w:rsidRPr="0040579F">
                      <w:rPr>
                        <w:noProof/>
                        <w:sz w:val="18"/>
                        <w:szCs w:val="18"/>
                        <w:lang w:val="en-US"/>
                      </w:rPr>
                      <w:t xml:space="preserve">V. Chandola, A. Banerjee and V. Kumar,, "Anomaly detection: A survey acm computing surveys," vol. Vol.41, 2009. </w:t>
                    </w:r>
                  </w:p>
                </w:tc>
              </w:tr>
              <w:tr w:rsidR="00C7194B" w:rsidRPr="0040579F" w14:paraId="22EEF27C" w14:textId="77777777">
                <w:trPr>
                  <w:divId w:val="2051765240"/>
                  <w:tblCellSpacing w:w="0.75pt" w:type="dxa"/>
                </w:trPr>
                <w:tc>
                  <w:tcPr>
                    <w:tcW w:w="1.0%" w:type="pct"/>
                    <w:hideMark/>
                  </w:tcPr>
                  <w:p w14:paraId="00FE0D7C" w14:textId="77777777" w:rsidR="00C7194B" w:rsidRPr="0040579F" w:rsidRDefault="00C7194B">
                    <w:pPr>
                      <w:pStyle w:val="Bibliography"/>
                      <w:rPr>
                        <w:noProof/>
                        <w:sz w:val="18"/>
                        <w:szCs w:val="18"/>
                        <w:lang w:val="en-US"/>
                      </w:rPr>
                    </w:pPr>
                    <w:r w:rsidRPr="0040579F">
                      <w:rPr>
                        <w:noProof/>
                        <w:sz w:val="18"/>
                        <w:szCs w:val="18"/>
                        <w:lang w:val="en-US"/>
                      </w:rPr>
                      <w:t xml:space="preserve">[11] </w:t>
                    </w:r>
                  </w:p>
                </w:tc>
                <w:tc>
                  <w:tcPr>
                    <w:tcW w:w="0pt" w:type="dxa"/>
                    <w:hideMark/>
                  </w:tcPr>
                  <w:p w14:paraId="2D57F8C2" w14:textId="77777777" w:rsidR="00C7194B" w:rsidRPr="0040579F" w:rsidRDefault="00C7194B">
                    <w:pPr>
                      <w:pStyle w:val="Bibliography"/>
                      <w:rPr>
                        <w:noProof/>
                        <w:sz w:val="18"/>
                        <w:szCs w:val="18"/>
                        <w:lang w:val="en-US"/>
                      </w:rPr>
                    </w:pPr>
                    <w:r w:rsidRPr="0040579F">
                      <w:rPr>
                        <w:noProof/>
                        <w:sz w:val="18"/>
                        <w:szCs w:val="18"/>
                        <w:lang w:val="en-US"/>
                      </w:rPr>
                      <w:t>Motomura, Shunnosuke and Tanaka, Hiroki and Nakamura, Satoshi, "IEEE Xplore," 27 August 2020. [Online]. Available: https://ieeexplore.ieee.org/document/9175338. [Accessed 26 March 2026].</w:t>
                    </w:r>
                  </w:p>
                </w:tc>
              </w:tr>
              <w:tr w:rsidR="00C7194B" w:rsidRPr="0040579F" w14:paraId="2940872E" w14:textId="77777777">
                <w:trPr>
                  <w:divId w:val="2051765240"/>
                  <w:tblCellSpacing w:w="0.75pt" w:type="dxa"/>
                </w:trPr>
                <w:tc>
                  <w:tcPr>
                    <w:tcW w:w="1.0%" w:type="pct"/>
                    <w:hideMark/>
                  </w:tcPr>
                  <w:p w14:paraId="43D95361" w14:textId="77777777" w:rsidR="00C7194B" w:rsidRPr="0040579F" w:rsidRDefault="00C7194B">
                    <w:pPr>
                      <w:pStyle w:val="Bibliography"/>
                      <w:rPr>
                        <w:noProof/>
                        <w:sz w:val="18"/>
                        <w:szCs w:val="18"/>
                        <w:lang w:val="en-US"/>
                      </w:rPr>
                    </w:pPr>
                    <w:r w:rsidRPr="0040579F">
                      <w:rPr>
                        <w:noProof/>
                        <w:sz w:val="18"/>
                        <w:szCs w:val="18"/>
                        <w:lang w:val="en-US"/>
                      </w:rPr>
                      <w:t xml:space="preserve">[12] </w:t>
                    </w:r>
                  </w:p>
                </w:tc>
                <w:tc>
                  <w:tcPr>
                    <w:tcW w:w="0pt" w:type="dxa"/>
                    <w:hideMark/>
                  </w:tcPr>
                  <w:p w14:paraId="036087A5" w14:textId="77777777" w:rsidR="00C7194B" w:rsidRPr="0040579F" w:rsidRDefault="00C7194B">
                    <w:pPr>
                      <w:pStyle w:val="Bibliography"/>
                      <w:rPr>
                        <w:noProof/>
                        <w:sz w:val="18"/>
                        <w:szCs w:val="18"/>
                        <w:lang w:val="en-US"/>
                      </w:rPr>
                    </w:pPr>
                    <w:r w:rsidRPr="0040579F">
                      <w:rPr>
                        <w:noProof/>
                        <w:sz w:val="18"/>
                        <w:szCs w:val="18"/>
                        <w:lang w:val="en-US"/>
                      </w:rPr>
                      <w:t>Ross, Wilbur L, 2018. [Online]. Available: https://www.iso.org/obp/ui/en/#iso:std:iec:31010:ed-2:v1:en,fr.</w:t>
                    </w:r>
                  </w:p>
                </w:tc>
              </w:tr>
              <w:tr w:rsidR="00C7194B" w:rsidRPr="0040579F" w14:paraId="506DE5A2" w14:textId="77777777">
                <w:trPr>
                  <w:divId w:val="2051765240"/>
                  <w:tblCellSpacing w:w="0.75pt" w:type="dxa"/>
                </w:trPr>
                <w:tc>
                  <w:tcPr>
                    <w:tcW w:w="1.0%" w:type="pct"/>
                    <w:hideMark/>
                  </w:tcPr>
                  <w:p w14:paraId="2B8EB911" w14:textId="77777777" w:rsidR="00C7194B" w:rsidRPr="0040579F" w:rsidRDefault="00C7194B">
                    <w:pPr>
                      <w:pStyle w:val="Bibliography"/>
                      <w:rPr>
                        <w:noProof/>
                        <w:sz w:val="18"/>
                        <w:szCs w:val="18"/>
                        <w:lang w:val="en-US"/>
                      </w:rPr>
                    </w:pPr>
                    <w:r w:rsidRPr="0040579F">
                      <w:rPr>
                        <w:noProof/>
                        <w:sz w:val="18"/>
                        <w:szCs w:val="18"/>
                        <w:lang w:val="en-US"/>
                      </w:rPr>
                      <w:t xml:space="preserve">[13] </w:t>
                    </w:r>
                  </w:p>
                </w:tc>
                <w:tc>
                  <w:tcPr>
                    <w:tcW w:w="0pt" w:type="dxa"/>
                    <w:hideMark/>
                  </w:tcPr>
                  <w:p w14:paraId="1D5E9459" w14:textId="77777777" w:rsidR="00C7194B" w:rsidRPr="0040579F" w:rsidRDefault="00C7194B">
                    <w:pPr>
                      <w:pStyle w:val="Bibliography"/>
                      <w:rPr>
                        <w:noProof/>
                        <w:sz w:val="18"/>
                        <w:szCs w:val="18"/>
                        <w:lang w:val="en-US"/>
                      </w:rPr>
                    </w:pPr>
                    <w:r w:rsidRPr="0040579F">
                      <w:rPr>
                        <w:noProof/>
                        <w:sz w:val="18"/>
                        <w:szCs w:val="18"/>
                        <w:lang w:val="en-US"/>
                      </w:rPr>
                      <w:t xml:space="preserve">Bhargav Kumar Konidena, Jesu Narkarunai Arasu Malaiyappan and Anish Tadimarri, "Ethical Consideratins in the Development and Deployment of AI Systems," </w:t>
                    </w:r>
                    <w:r w:rsidRPr="0040579F">
                      <w:rPr>
                        <w:i/>
                        <w:iCs/>
                        <w:noProof/>
                        <w:sz w:val="18"/>
                        <w:szCs w:val="18"/>
                        <w:lang w:val="en-US"/>
                      </w:rPr>
                      <w:t xml:space="preserve">European Journal of Technology, </w:t>
                    </w:r>
                    <w:r w:rsidRPr="0040579F">
                      <w:rPr>
                        <w:noProof/>
                        <w:sz w:val="18"/>
                        <w:szCs w:val="18"/>
                        <w:lang w:val="en-US"/>
                      </w:rPr>
                      <w:t xml:space="preserve">Vols. Vol.8,, no. Issue 2, pp 41 - 53, p. 42, 2024. </w:t>
                    </w:r>
                  </w:p>
                </w:tc>
              </w:tr>
              <w:tr w:rsidR="00C7194B" w:rsidRPr="0040579F" w14:paraId="1F849920" w14:textId="77777777">
                <w:trPr>
                  <w:divId w:val="2051765240"/>
                  <w:tblCellSpacing w:w="0.75pt" w:type="dxa"/>
                </w:trPr>
                <w:tc>
                  <w:tcPr>
                    <w:tcW w:w="1.0%" w:type="pct"/>
                    <w:hideMark/>
                  </w:tcPr>
                  <w:p w14:paraId="230F66BF" w14:textId="77777777" w:rsidR="00C7194B" w:rsidRPr="0040579F" w:rsidRDefault="00C7194B">
                    <w:pPr>
                      <w:pStyle w:val="Bibliography"/>
                      <w:rPr>
                        <w:noProof/>
                        <w:sz w:val="18"/>
                        <w:szCs w:val="18"/>
                        <w:lang w:val="en-US"/>
                      </w:rPr>
                    </w:pPr>
                    <w:r w:rsidRPr="0040579F">
                      <w:rPr>
                        <w:noProof/>
                        <w:sz w:val="18"/>
                        <w:szCs w:val="18"/>
                        <w:lang w:val="en-US"/>
                      </w:rPr>
                      <w:t xml:space="preserve">[14] </w:t>
                    </w:r>
                  </w:p>
                </w:tc>
                <w:tc>
                  <w:tcPr>
                    <w:tcW w:w="0pt" w:type="dxa"/>
                    <w:hideMark/>
                  </w:tcPr>
                  <w:p w14:paraId="20E580A2" w14:textId="77777777" w:rsidR="00C7194B" w:rsidRPr="0040579F" w:rsidRDefault="00C7194B">
                    <w:pPr>
                      <w:pStyle w:val="Bibliography"/>
                      <w:rPr>
                        <w:noProof/>
                        <w:sz w:val="18"/>
                        <w:szCs w:val="18"/>
                        <w:lang w:val="en-US"/>
                      </w:rPr>
                    </w:pPr>
                    <w:r w:rsidRPr="0040579F">
                      <w:rPr>
                        <w:noProof/>
                        <w:sz w:val="18"/>
                        <w:szCs w:val="18"/>
                        <w:lang w:val="en-US"/>
                      </w:rPr>
                      <w:t>Marco Tulio Ribeiro, Sameer Singh, Carlos Guestrin, "(Cornell University) - Why Should I Trust You? Explaining the Predictions of Any Classifier," 9 August 2016. [Online]. Available: https://arxiv.org/abs/1602.04938. [Accessed Thursday 26 March 2026].</w:t>
                    </w:r>
                  </w:p>
                </w:tc>
              </w:tr>
              <w:tr w:rsidR="00C7194B" w:rsidRPr="0040579F" w14:paraId="02160295" w14:textId="77777777">
                <w:trPr>
                  <w:divId w:val="2051765240"/>
                  <w:tblCellSpacing w:w="0.75pt" w:type="dxa"/>
                </w:trPr>
                <w:tc>
                  <w:tcPr>
                    <w:tcW w:w="1.0%" w:type="pct"/>
                    <w:hideMark/>
                  </w:tcPr>
                  <w:p w14:paraId="3CF32509" w14:textId="77777777" w:rsidR="00C7194B" w:rsidRPr="0040579F" w:rsidRDefault="00C7194B">
                    <w:pPr>
                      <w:pStyle w:val="Bibliography"/>
                      <w:rPr>
                        <w:noProof/>
                        <w:sz w:val="18"/>
                        <w:szCs w:val="18"/>
                        <w:lang w:val="en-US"/>
                      </w:rPr>
                    </w:pPr>
                    <w:r w:rsidRPr="0040579F">
                      <w:rPr>
                        <w:noProof/>
                        <w:sz w:val="18"/>
                        <w:szCs w:val="18"/>
                        <w:lang w:val="en-US"/>
                      </w:rPr>
                      <w:t xml:space="preserve">[15] </w:t>
                    </w:r>
                  </w:p>
                </w:tc>
                <w:tc>
                  <w:tcPr>
                    <w:tcW w:w="0pt" w:type="dxa"/>
                    <w:hideMark/>
                  </w:tcPr>
                  <w:p w14:paraId="56E09DE3" w14:textId="77777777" w:rsidR="00C7194B" w:rsidRPr="0040579F" w:rsidRDefault="00C7194B">
                    <w:pPr>
                      <w:pStyle w:val="Bibliography"/>
                      <w:rPr>
                        <w:noProof/>
                        <w:sz w:val="18"/>
                        <w:szCs w:val="18"/>
                        <w:lang w:val="en-US"/>
                      </w:rPr>
                    </w:pPr>
                    <w:r w:rsidRPr="0040579F">
                      <w:rPr>
                        <w:noProof/>
                        <w:sz w:val="18"/>
                        <w:szCs w:val="18"/>
                        <w:lang w:val="en-US"/>
                      </w:rPr>
                      <w:t>Landers, Richard N., Behra, [Online]. Available: https://research-ebsco-com.uwtsd.idm.oclc.org/c/onvpsy/viewer/pdf/zw5wjeq6x5?route=details.</w:t>
                    </w:r>
                  </w:p>
                </w:tc>
              </w:tr>
              <w:tr w:rsidR="00C7194B" w:rsidRPr="0040579F" w14:paraId="7B1BD0EE" w14:textId="77777777">
                <w:trPr>
                  <w:divId w:val="2051765240"/>
                  <w:tblCellSpacing w:w="0.75pt" w:type="dxa"/>
                </w:trPr>
                <w:tc>
                  <w:tcPr>
                    <w:tcW w:w="1.0%" w:type="pct"/>
                    <w:hideMark/>
                  </w:tcPr>
                  <w:p w14:paraId="216DBDEF" w14:textId="77777777" w:rsidR="00C7194B" w:rsidRPr="0040579F" w:rsidRDefault="00C7194B">
                    <w:pPr>
                      <w:pStyle w:val="Bibliography"/>
                      <w:rPr>
                        <w:noProof/>
                        <w:sz w:val="18"/>
                        <w:szCs w:val="18"/>
                        <w:lang w:val="en-US"/>
                      </w:rPr>
                    </w:pPr>
                    <w:r w:rsidRPr="0040579F">
                      <w:rPr>
                        <w:noProof/>
                        <w:sz w:val="18"/>
                        <w:szCs w:val="18"/>
                        <w:lang w:val="en-US"/>
                      </w:rPr>
                      <w:t xml:space="preserve">[16] </w:t>
                    </w:r>
                  </w:p>
                </w:tc>
                <w:tc>
                  <w:tcPr>
                    <w:tcW w:w="0pt" w:type="dxa"/>
                    <w:hideMark/>
                  </w:tcPr>
                  <w:p w14:paraId="0A1C4F53" w14:textId="77777777" w:rsidR="00C7194B" w:rsidRPr="0040579F" w:rsidRDefault="00C7194B">
                    <w:pPr>
                      <w:pStyle w:val="Bibliography"/>
                      <w:rPr>
                        <w:noProof/>
                        <w:sz w:val="18"/>
                        <w:szCs w:val="18"/>
                        <w:lang w:val="en-US"/>
                      </w:rPr>
                    </w:pPr>
                    <w:r w:rsidRPr="0040579F">
                      <w:rPr>
                        <w:noProof/>
                        <w:sz w:val="18"/>
                        <w:szCs w:val="18"/>
                        <w:lang w:val="en-US"/>
                      </w:rPr>
                      <w:t xml:space="preserve">Chandola, V and Banerjee, A and Kumar, V, "Anomaly detection: A survey acm computing surveys," vol. Vol. 41, 2009. </w:t>
                    </w:r>
                  </w:p>
                </w:tc>
              </w:tr>
            </w:tbl>
            <w:p w14:paraId="752B39FC" w14:textId="77777777" w:rsidR="00C7194B" w:rsidRPr="0040579F" w:rsidRDefault="00C7194B">
              <w:pPr>
                <w:divId w:val="2051765240"/>
                <w:rPr>
                  <w:rFonts w:eastAsia="Times New Roman"/>
                  <w:noProof/>
                  <w:sz w:val="18"/>
                  <w:szCs w:val="18"/>
                </w:rPr>
              </w:pPr>
            </w:p>
            <w:p w14:paraId="5CF35F8A" w14:textId="77777777" w:rsidR="00C7194B" w:rsidRDefault="00C7194B" w:rsidP="00C7194B">
              <w:r w:rsidRPr="0040579F">
                <w:rPr>
                  <w:b/>
                  <w:bCs/>
                  <w:noProof/>
                  <w:sz w:val="18"/>
                  <w:szCs w:val="18"/>
                </w:rPr>
                <w:fldChar w:fldCharType="end"/>
              </w:r>
            </w:p>
          </w:sdtContent>
        </w:sdt>
      </w:sdtContent>
    </w:sdt>
    <w:p w14:paraId="185DF6C7" w14:textId="77777777" w:rsidR="00C7194B" w:rsidRDefault="00C7194B" w:rsidP="000844E7"/>
    <w:p w14:paraId="2CBC4D6A" w14:textId="1BEE6DF3" w:rsidR="00836367" w:rsidRPr="00F96569" w:rsidRDefault="00836367" w:rsidP="00FA2D84">
      <w:pPr>
        <w:pStyle w:val="BodyText"/>
        <w:rPr>
          <w:b/>
          <w:color w:val="FF0000"/>
        </w:rPr>
        <w:sectPr w:rsidR="00836367" w:rsidRPr="00F96569" w:rsidSect="00BC05D0">
          <w:type w:val="continuous"/>
          <w:pgSz w:w="595.30pt" w:h="841.90pt" w:code="9"/>
          <w:pgMar w:top="54pt" w:right="45.35pt" w:bottom="54.15pt" w:left="45.35pt" w:header="36pt" w:footer="36pt" w:gutter="0pt"/>
          <w:cols w:num="2" w:space="18pt"/>
          <w:docGrid w:linePitch="360"/>
        </w:sectPr>
      </w:pPr>
    </w:p>
    <w:p w14:paraId="4EF2B8B8" w14:textId="7FA8B90C" w:rsidR="009303D9" w:rsidRDefault="009303D9" w:rsidP="00C7194B">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05C36402" w14:textId="77777777" w:rsidR="00A93D98" w:rsidRDefault="00A93D98" w:rsidP="001A3B3D">
      <w:r>
        <w:separator/>
      </w:r>
    </w:p>
  </w:endnote>
  <w:endnote w:type="continuationSeparator" w:id="0">
    <w:p w14:paraId="42D1209E" w14:textId="77777777" w:rsidR="00A93D98" w:rsidRDefault="00A93D9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decorative"/>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charset w:characterSet="macintosh"/>
    <w:family w:val="decorative"/>
    <w:pitch w:val="variable"/>
    <w:sig w:usb0="00000003" w:usb1="00000000" w:usb2="00000000" w:usb3="00000000" w:csb0="80000001"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2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38D76D8D" w14:textId="77777777" w:rsidR="00A93D98" w:rsidRDefault="00A93D98" w:rsidP="001A3B3D">
      <w:r>
        <w:separator/>
      </w:r>
    </w:p>
  </w:footnote>
  <w:footnote w:type="continuationSeparator" w:id="0">
    <w:p w14:paraId="7FBA4D54" w14:textId="77777777" w:rsidR="00A93D98" w:rsidRDefault="00A93D98"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369909383">
    <w:abstractNumId w:val="14"/>
  </w:num>
  <w:num w:numId="2" w16cid:durableId="568543031">
    <w:abstractNumId w:val="19"/>
  </w:num>
  <w:num w:numId="3" w16cid:durableId="1207790780">
    <w:abstractNumId w:val="13"/>
  </w:num>
  <w:num w:numId="4" w16cid:durableId="629168631">
    <w:abstractNumId w:val="16"/>
  </w:num>
  <w:num w:numId="5" w16cid:durableId="1032806882">
    <w:abstractNumId w:val="16"/>
  </w:num>
  <w:num w:numId="6" w16cid:durableId="1614826021">
    <w:abstractNumId w:val="16"/>
  </w:num>
  <w:num w:numId="7" w16cid:durableId="1871990542">
    <w:abstractNumId w:val="16"/>
  </w:num>
  <w:num w:numId="8" w16cid:durableId="2088458160">
    <w:abstractNumId w:val="18"/>
  </w:num>
  <w:num w:numId="9" w16cid:durableId="231694775">
    <w:abstractNumId w:val="20"/>
  </w:num>
  <w:num w:numId="10" w16cid:durableId="2126189682">
    <w:abstractNumId w:val="15"/>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7"/>
  </w:num>
  <w:num w:numId="25" w16cid:durableId="11248119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2%"/>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844E7"/>
    <w:rsid w:val="0008758A"/>
    <w:rsid w:val="000C1E68"/>
    <w:rsid w:val="001A2EFD"/>
    <w:rsid w:val="001A3B3D"/>
    <w:rsid w:val="001B67DC"/>
    <w:rsid w:val="002254A9"/>
    <w:rsid w:val="00233D97"/>
    <w:rsid w:val="002347A2"/>
    <w:rsid w:val="002850E3"/>
    <w:rsid w:val="002D1D62"/>
    <w:rsid w:val="00354FCF"/>
    <w:rsid w:val="003A19E2"/>
    <w:rsid w:val="003B2B40"/>
    <w:rsid w:val="003B4E04"/>
    <w:rsid w:val="003C09B0"/>
    <w:rsid w:val="003C4719"/>
    <w:rsid w:val="003F5A08"/>
    <w:rsid w:val="0040579F"/>
    <w:rsid w:val="00420716"/>
    <w:rsid w:val="004325FB"/>
    <w:rsid w:val="004432BA"/>
    <w:rsid w:val="0044407E"/>
    <w:rsid w:val="00447BB9"/>
    <w:rsid w:val="0046031D"/>
    <w:rsid w:val="00473AC9"/>
    <w:rsid w:val="004D72B5"/>
    <w:rsid w:val="0052685C"/>
    <w:rsid w:val="00551B7F"/>
    <w:rsid w:val="0056610F"/>
    <w:rsid w:val="00575BCA"/>
    <w:rsid w:val="00584600"/>
    <w:rsid w:val="005B0344"/>
    <w:rsid w:val="005B520E"/>
    <w:rsid w:val="005E2800"/>
    <w:rsid w:val="00605825"/>
    <w:rsid w:val="00645D22"/>
    <w:rsid w:val="00651A08"/>
    <w:rsid w:val="00654204"/>
    <w:rsid w:val="00670434"/>
    <w:rsid w:val="006A5D82"/>
    <w:rsid w:val="006B6B66"/>
    <w:rsid w:val="006F6D3D"/>
    <w:rsid w:val="00715BEA"/>
    <w:rsid w:val="007163F8"/>
    <w:rsid w:val="00740EEA"/>
    <w:rsid w:val="00754FE0"/>
    <w:rsid w:val="00794804"/>
    <w:rsid w:val="007B33F1"/>
    <w:rsid w:val="007B6DDA"/>
    <w:rsid w:val="007C0308"/>
    <w:rsid w:val="007C2FF2"/>
    <w:rsid w:val="007D6232"/>
    <w:rsid w:val="007E6E05"/>
    <w:rsid w:val="007F1F99"/>
    <w:rsid w:val="007F768F"/>
    <w:rsid w:val="0080791D"/>
    <w:rsid w:val="008147B5"/>
    <w:rsid w:val="00836367"/>
    <w:rsid w:val="0087059E"/>
    <w:rsid w:val="00873603"/>
    <w:rsid w:val="008A2C7D"/>
    <w:rsid w:val="008B6524"/>
    <w:rsid w:val="008C4B23"/>
    <w:rsid w:val="008F6E2C"/>
    <w:rsid w:val="00924B3D"/>
    <w:rsid w:val="009273CB"/>
    <w:rsid w:val="009303D9"/>
    <w:rsid w:val="00933C64"/>
    <w:rsid w:val="00972203"/>
    <w:rsid w:val="009848B5"/>
    <w:rsid w:val="009932A6"/>
    <w:rsid w:val="009F1D79"/>
    <w:rsid w:val="00A059B3"/>
    <w:rsid w:val="00A93578"/>
    <w:rsid w:val="00A93D98"/>
    <w:rsid w:val="00AE3409"/>
    <w:rsid w:val="00B066FB"/>
    <w:rsid w:val="00B11A60"/>
    <w:rsid w:val="00B22613"/>
    <w:rsid w:val="00B44A76"/>
    <w:rsid w:val="00B6436A"/>
    <w:rsid w:val="00B768D1"/>
    <w:rsid w:val="00B77B60"/>
    <w:rsid w:val="00BA1025"/>
    <w:rsid w:val="00BC05D0"/>
    <w:rsid w:val="00BC3420"/>
    <w:rsid w:val="00BD670B"/>
    <w:rsid w:val="00BE7D3C"/>
    <w:rsid w:val="00BF5A72"/>
    <w:rsid w:val="00BF5FF6"/>
    <w:rsid w:val="00C0207F"/>
    <w:rsid w:val="00C16117"/>
    <w:rsid w:val="00C3075A"/>
    <w:rsid w:val="00C7194B"/>
    <w:rsid w:val="00C919A4"/>
    <w:rsid w:val="00CA4392"/>
    <w:rsid w:val="00CC393F"/>
    <w:rsid w:val="00CF3A8E"/>
    <w:rsid w:val="00D2176E"/>
    <w:rsid w:val="00D632BE"/>
    <w:rsid w:val="00D72D06"/>
    <w:rsid w:val="00D7522C"/>
    <w:rsid w:val="00D7536F"/>
    <w:rsid w:val="00D76668"/>
    <w:rsid w:val="00E07383"/>
    <w:rsid w:val="00E165BC"/>
    <w:rsid w:val="00E61E12"/>
    <w:rsid w:val="00E7596C"/>
    <w:rsid w:val="00E878F2"/>
    <w:rsid w:val="00EC1176"/>
    <w:rsid w:val="00ED0149"/>
    <w:rsid w:val="00ED77F6"/>
    <w:rsid w:val="00EF7DE3"/>
    <w:rsid w:val="00F03103"/>
    <w:rsid w:val="00F271DE"/>
    <w:rsid w:val="00F30F74"/>
    <w:rsid w:val="00F627DA"/>
    <w:rsid w:val="00F7288F"/>
    <w:rsid w:val="00F847A6"/>
    <w:rsid w:val="00F9441B"/>
    <w:rsid w:val="00FA2D84"/>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iPriority="35"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table" w:styleId="TableGrid">
    <w:name w:val="Table Grid"/>
    <w:basedOn w:val="TableNormal"/>
    <w:uiPriority w:val="39"/>
    <w:rsid w:val="000844E7"/>
    <w:rPr>
      <w:rFonts w:asciiTheme="minorHAnsi" w:eastAsiaTheme="minorHAnsi" w:hAnsiTheme="minorHAnsi" w:cstheme="minorBidi"/>
      <w:kern w:val="2"/>
      <w:sz w:val="24"/>
      <w:szCs w:val="24"/>
      <w:lang w:val="en-GB"/>
      <w14:ligatures w14:val="standardContextual"/>
    </w:r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4E7"/>
    <w:pPr>
      <w:spacing w:after="10pt"/>
      <w:jc w:val="start"/>
    </w:pPr>
    <w:rPr>
      <w:rFonts w:asciiTheme="minorHAnsi" w:eastAsiaTheme="minorHAnsi" w:hAnsiTheme="minorHAnsi" w:cstheme="minorBidi"/>
      <w:i/>
      <w:iCs/>
      <w:color w:val="44546A" w:themeColor="text2"/>
      <w:kern w:val="2"/>
      <w:sz w:val="18"/>
      <w:szCs w:val="18"/>
      <w:lang w:val="en-GB"/>
      <w14:ligatures w14:val="standardContextual"/>
    </w:rPr>
  </w:style>
  <w:style w:type="paragraph" w:styleId="Bibliography">
    <w:name w:val="Bibliography"/>
    <w:basedOn w:val="Normal"/>
    <w:next w:val="Normal"/>
    <w:uiPriority w:val="37"/>
    <w:unhideWhenUsed/>
    <w:rsid w:val="00C7194B"/>
    <w:pPr>
      <w:spacing w:after="8pt" w:line="13.90pt" w:lineRule="auto"/>
      <w:jc w:val="start"/>
    </w:pPr>
    <w:rPr>
      <w:rFonts w:asciiTheme="minorHAnsi" w:eastAsiaTheme="minorHAnsi" w:hAnsiTheme="minorHAnsi" w:cstheme="minorBidi"/>
      <w:kern w:val="2"/>
      <w:sz w:val="24"/>
      <w:szCs w:val="24"/>
      <w:lang w:val="en-GB"/>
      <w14:ligatures w14:val="standardContextual"/>
    </w:rPr>
  </w:style>
  <w:style w:type="character" w:styleId="Hyperlink">
    <w:name w:val="Hyperlink"/>
    <w:basedOn w:val="DefaultParagraphFont"/>
    <w:rsid w:val="00C7194B"/>
    <w:rPr>
      <w:color w:val="0563C1" w:themeColor="hyperlink"/>
      <w:u w:val="single"/>
    </w:rPr>
  </w:style>
  <w:style w:type="character" w:styleId="UnresolvedMention">
    <w:name w:val="Unresolved Mention"/>
    <w:basedOn w:val="DefaultParagraphFont"/>
    <w:uiPriority w:val="99"/>
    <w:semiHidden/>
    <w:unhideWhenUsed/>
    <w:rsid w:val="00C7194B"/>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2379">
      <w:bodyDiv w:val="1"/>
      <w:marLeft w:val="0pt"/>
      <w:marRight w:val="0pt"/>
      <w:marTop w:val="0pt"/>
      <w:marBottom w:val="0pt"/>
      <w:divBdr>
        <w:top w:val="none" w:sz="0" w:space="0" w:color="auto"/>
        <w:left w:val="none" w:sz="0" w:space="0" w:color="auto"/>
        <w:bottom w:val="none" w:sz="0" w:space="0" w:color="auto"/>
        <w:right w:val="none" w:sz="0" w:space="0" w:color="auto"/>
      </w:divBdr>
    </w:div>
    <w:div w:id="42412240">
      <w:bodyDiv w:val="1"/>
      <w:marLeft w:val="0pt"/>
      <w:marRight w:val="0pt"/>
      <w:marTop w:val="0pt"/>
      <w:marBottom w:val="0pt"/>
      <w:divBdr>
        <w:top w:val="none" w:sz="0" w:space="0" w:color="auto"/>
        <w:left w:val="none" w:sz="0" w:space="0" w:color="auto"/>
        <w:bottom w:val="none" w:sz="0" w:space="0" w:color="auto"/>
        <w:right w:val="none" w:sz="0" w:space="0" w:color="auto"/>
      </w:divBdr>
    </w:div>
    <w:div w:id="49810298">
      <w:bodyDiv w:val="1"/>
      <w:marLeft w:val="0pt"/>
      <w:marRight w:val="0pt"/>
      <w:marTop w:val="0pt"/>
      <w:marBottom w:val="0pt"/>
      <w:divBdr>
        <w:top w:val="none" w:sz="0" w:space="0" w:color="auto"/>
        <w:left w:val="none" w:sz="0" w:space="0" w:color="auto"/>
        <w:bottom w:val="none" w:sz="0" w:space="0" w:color="auto"/>
        <w:right w:val="none" w:sz="0" w:space="0" w:color="auto"/>
      </w:divBdr>
    </w:div>
    <w:div w:id="51664541">
      <w:bodyDiv w:val="1"/>
      <w:marLeft w:val="0pt"/>
      <w:marRight w:val="0pt"/>
      <w:marTop w:val="0pt"/>
      <w:marBottom w:val="0pt"/>
      <w:divBdr>
        <w:top w:val="none" w:sz="0" w:space="0" w:color="auto"/>
        <w:left w:val="none" w:sz="0" w:space="0" w:color="auto"/>
        <w:bottom w:val="none" w:sz="0" w:space="0" w:color="auto"/>
        <w:right w:val="none" w:sz="0" w:space="0" w:color="auto"/>
      </w:divBdr>
    </w:div>
    <w:div w:id="71198414">
      <w:bodyDiv w:val="1"/>
      <w:marLeft w:val="0pt"/>
      <w:marRight w:val="0pt"/>
      <w:marTop w:val="0pt"/>
      <w:marBottom w:val="0pt"/>
      <w:divBdr>
        <w:top w:val="none" w:sz="0" w:space="0" w:color="auto"/>
        <w:left w:val="none" w:sz="0" w:space="0" w:color="auto"/>
        <w:bottom w:val="none" w:sz="0" w:space="0" w:color="auto"/>
        <w:right w:val="none" w:sz="0" w:space="0" w:color="auto"/>
      </w:divBdr>
    </w:div>
    <w:div w:id="143203309">
      <w:bodyDiv w:val="1"/>
      <w:marLeft w:val="0pt"/>
      <w:marRight w:val="0pt"/>
      <w:marTop w:val="0pt"/>
      <w:marBottom w:val="0pt"/>
      <w:divBdr>
        <w:top w:val="none" w:sz="0" w:space="0" w:color="auto"/>
        <w:left w:val="none" w:sz="0" w:space="0" w:color="auto"/>
        <w:bottom w:val="none" w:sz="0" w:space="0" w:color="auto"/>
        <w:right w:val="none" w:sz="0" w:space="0" w:color="auto"/>
      </w:divBdr>
    </w:div>
    <w:div w:id="214509532">
      <w:bodyDiv w:val="1"/>
      <w:marLeft w:val="0pt"/>
      <w:marRight w:val="0pt"/>
      <w:marTop w:val="0pt"/>
      <w:marBottom w:val="0pt"/>
      <w:divBdr>
        <w:top w:val="none" w:sz="0" w:space="0" w:color="auto"/>
        <w:left w:val="none" w:sz="0" w:space="0" w:color="auto"/>
        <w:bottom w:val="none" w:sz="0" w:space="0" w:color="auto"/>
        <w:right w:val="none" w:sz="0" w:space="0" w:color="auto"/>
      </w:divBdr>
    </w:div>
    <w:div w:id="226500069">
      <w:bodyDiv w:val="1"/>
      <w:marLeft w:val="0pt"/>
      <w:marRight w:val="0pt"/>
      <w:marTop w:val="0pt"/>
      <w:marBottom w:val="0pt"/>
      <w:divBdr>
        <w:top w:val="none" w:sz="0" w:space="0" w:color="auto"/>
        <w:left w:val="none" w:sz="0" w:space="0" w:color="auto"/>
        <w:bottom w:val="none" w:sz="0" w:space="0" w:color="auto"/>
        <w:right w:val="none" w:sz="0" w:space="0" w:color="auto"/>
      </w:divBdr>
    </w:div>
    <w:div w:id="251548508">
      <w:bodyDiv w:val="1"/>
      <w:marLeft w:val="0pt"/>
      <w:marRight w:val="0pt"/>
      <w:marTop w:val="0pt"/>
      <w:marBottom w:val="0pt"/>
      <w:divBdr>
        <w:top w:val="none" w:sz="0" w:space="0" w:color="auto"/>
        <w:left w:val="none" w:sz="0" w:space="0" w:color="auto"/>
        <w:bottom w:val="none" w:sz="0" w:space="0" w:color="auto"/>
        <w:right w:val="none" w:sz="0" w:space="0" w:color="auto"/>
      </w:divBdr>
    </w:div>
    <w:div w:id="271284076">
      <w:bodyDiv w:val="1"/>
      <w:marLeft w:val="0pt"/>
      <w:marRight w:val="0pt"/>
      <w:marTop w:val="0pt"/>
      <w:marBottom w:val="0pt"/>
      <w:divBdr>
        <w:top w:val="none" w:sz="0" w:space="0" w:color="auto"/>
        <w:left w:val="none" w:sz="0" w:space="0" w:color="auto"/>
        <w:bottom w:val="none" w:sz="0" w:space="0" w:color="auto"/>
        <w:right w:val="none" w:sz="0" w:space="0" w:color="auto"/>
      </w:divBdr>
    </w:div>
    <w:div w:id="288165256">
      <w:bodyDiv w:val="1"/>
      <w:marLeft w:val="0pt"/>
      <w:marRight w:val="0pt"/>
      <w:marTop w:val="0pt"/>
      <w:marBottom w:val="0pt"/>
      <w:divBdr>
        <w:top w:val="none" w:sz="0" w:space="0" w:color="auto"/>
        <w:left w:val="none" w:sz="0" w:space="0" w:color="auto"/>
        <w:bottom w:val="none" w:sz="0" w:space="0" w:color="auto"/>
        <w:right w:val="none" w:sz="0" w:space="0" w:color="auto"/>
      </w:divBdr>
    </w:div>
    <w:div w:id="307979180">
      <w:bodyDiv w:val="1"/>
      <w:marLeft w:val="0pt"/>
      <w:marRight w:val="0pt"/>
      <w:marTop w:val="0pt"/>
      <w:marBottom w:val="0pt"/>
      <w:divBdr>
        <w:top w:val="none" w:sz="0" w:space="0" w:color="auto"/>
        <w:left w:val="none" w:sz="0" w:space="0" w:color="auto"/>
        <w:bottom w:val="none" w:sz="0" w:space="0" w:color="auto"/>
        <w:right w:val="none" w:sz="0" w:space="0" w:color="auto"/>
      </w:divBdr>
    </w:div>
    <w:div w:id="337777766">
      <w:bodyDiv w:val="1"/>
      <w:marLeft w:val="0pt"/>
      <w:marRight w:val="0pt"/>
      <w:marTop w:val="0pt"/>
      <w:marBottom w:val="0pt"/>
      <w:divBdr>
        <w:top w:val="none" w:sz="0" w:space="0" w:color="auto"/>
        <w:left w:val="none" w:sz="0" w:space="0" w:color="auto"/>
        <w:bottom w:val="none" w:sz="0" w:space="0" w:color="auto"/>
        <w:right w:val="none" w:sz="0" w:space="0" w:color="auto"/>
      </w:divBdr>
    </w:div>
    <w:div w:id="344668610">
      <w:bodyDiv w:val="1"/>
      <w:marLeft w:val="0pt"/>
      <w:marRight w:val="0pt"/>
      <w:marTop w:val="0pt"/>
      <w:marBottom w:val="0pt"/>
      <w:divBdr>
        <w:top w:val="none" w:sz="0" w:space="0" w:color="auto"/>
        <w:left w:val="none" w:sz="0" w:space="0" w:color="auto"/>
        <w:bottom w:val="none" w:sz="0" w:space="0" w:color="auto"/>
        <w:right w:val="none" w:sz="0" w:space="0" w:color="auto"/>
      </w:divBdr>
    </w:div>
    <w:div w:id="393742920">
      <w:bodyDiv w:val="1"/>
      <w:marLeft w:val="0pt"/>
      <w:marRight w:val="0pt"/>
      <w:marTop w:val="0pt"/>
      <w:marBottom w:val="0pt"/>
      <w:divBdr>
        <w:top w:val="none" w:sz="0" w:space="0" w:color="auto"/>
        <w:left w:val="none" w:sz="0" w:space="0" w:color="auto"/>
        <w:bottom w:val="none" w:sz="0" w:space="0" w:color="auto"/>
        <w:right w:val="none" w:sz="0" w:space="0" w:color="auto"/>
      </w:divBdr>
    </w:div>
    <w:div w:id="427892722">
      <w:bodyDiv w:val="1"/>
      <w:marLeft w:val="0pt"/>
      <w:marRight w:val="0pt"/>
      <w:marTop w:val="0pt"/>
      <w:marBottom w:val="0pt"/>
      <w:divBdr>
        <w:top w:val="none" w:sz="0" w:space="0" w:color="auto"/>
        <w:left w:val="none" w:sz="0" w:space="0" w:color="auto"/>
        <w:bottom w:val="none" w:sz="0" w:space="0" w:color="auto"/>
        <w:right w:val="none" w:sz="0" w:space="0" w:color="auto"/>
      </w:divBdr>
    </w:div>
    <w:div w:id="435952592">
      <w:bodyDiv w:val="1"/>
      <w:marLeft w:val="0pt"/>
      <w:marRight w:val="0pt"/>
      <w:marTop w:val="0pt"/>
      <w:marBottom w:val="0pt"/>
      <w:divBdr>
        <w:top w:val="none" w:sz="0" w:space="0" w:color="auto"/>
        <w:left w:val="none" w:sz="0" w:space="0" w:color="auto"/>
        <w:bottom w:val="none" w:sz="0" w:space="0" w:color="auto"/>
        <w:right w:val="none" w:sz="0" w:space="0" w:color="auto"/>
      </w:divBdr>
    </w:div>
    <w:div w:id="603853380">
      <w:bodyDiv w:val="1"/>
      <w:marLeft w:val="0pt"/>
      <w:marRight w:val="0pt"/>
      <w:marTop w:val="0pt"/>
      <w:marBottom w:val="0pt"/>
      <w:divBdr>
        <w:top w:val="none" w:sz="0" w:space="0" w:color="auto"/>
        <w:left w:val="none" w:sz="0" w:space="0" w:color="auto"/>
        <w:bottom w:val="none" w:sz="0" w:space="0" w:color="auto"/>
        <w:right w:val="none" w:sz="0" w:space="0" w:color="auto"/>
      </w:divBdr>
    </w:div>
    <w:div w:id="619454981">
      <w:bodyDiv w:val="1"/>
      <w:marLeft w:val="0pt"/>
      <w:marRight w:val="0pt"/>
      <w:marTop w:val="0pt"/>
      <w:marBottom w:val="0pt"/>
      <w:divBdr>
        <w:top w:val="none" w:sz="0" w:space="0" w:color="auto"/>
        <w:left w:val="none" w:sz="0" w:space="0" w:color="auto"/>
        <w:bottom w:val="none" w:sz="0" w:space="0" w:color="auto"/>
        <w:right w:val="none" w:sz="0" w:space="0" w:color="auto"/>
      </w:divBdr>
    </w:div>
    <w:div w:id="624429854">
      <w:bodyDiv w:val="1"/>
      <w:marLeft w:val="0pt"/>
      <w:marRight w:val="0pt"/>
      <w:marTop w:val="0pt"/>
      <w:marBottom w:val="0pt"/>
      <w:divBdr>
        <w:top w:val="none" w:sz="0" w:space="0" w:color="auto"/>
        <w:left w:val="none" w:sz="0" w:space="0" w:color="auto"/>
        <w:bottom w:val="none" w:sz="0" w:space="0" w:color="auto"/>
        <w:right w:val="none" w:sz="0" w:space="0" w:color="auto"/>
      </w:divBdr>
    </w:div>
    <w:div w:id="651761923">
      <w:bodyDiv w:val="1"/>
      <w:marLeft w:val="0pt"/>
      <w:marRight w:val="0pt"/>
      <w:marTop w:val="0pt"/>
      <w:marBottom w:val="0pt"/>
      <w:divBdr>
        <w:top w:val="none" w:sz="0" w:space="0" w:color="auto"/>
        <w:left w:val="none" w:sz="0" w:space="0" w:color="auto"/>
        <w:bottom w:val="none" w:sz="0" w:space="0" w:color="auto"/>
        <w:right w:val="none" w:sz="0" w:space="0" w:color="auto"/>
      </w:divBdr>
    </w:div>
    <w:div w:id="670451649">
      <w:bodyDiv w:val="1"/>
      <w:marLeft w:val="0pt"/>
      <w:marRight w:val="0pt"/>
      <w:marTop w:val="0pt"/>
      <w:marBottom w:val="0pt"/>
      <w:divBdr>
        <w:top w:val="none" w:sz="0" w:space="0" w:color="auto"/>
        <w:left w:val="none" w:sz="0" w:space="0" w:color="auto"/>
        <w:bottom w:val="none" w:sz="0" w:space="0" w:color="auto"/>
        <w:right w:val="none" w:sz="0" w:space="0" w:color="auto"/>
      </w:divBdr>
    </w:div>
    <w:div w:id="730925623">
      <w:bodyDiv w:val="1"/>
      <w:marLeft w:val="0pt"/>
      <w:marRight w:val="0pt"/>
      <w:marTop w:val="0pt"/>
      <w:marBottom w:val="0pt"/>
      <w:divBdr>
        <w:top w:val="none" w:sz="0" w:space="0" w:color="auto"/>
        <w:left w:val="none" w:sz="0" w:space="0" w:color="auto"/>
        <w:bottom w:val="none" w:sz="0" w:space="0" w:color="auto"/>
        <w:right w:val="none" w:sz="0" w:space="0" w:color="auto"/>
      </w:divBdr>
    </w:div>
    <w:div w:id="751194379">
      <w:bodyDiv w:val="1"/>
      <w:marLeft w:val="0pt"/>
      <w:marRight w:val="0pt"/>
      <w:marTop w:val="0pt"/>
      <w:marBottom w:val="0pt"/>
      <w:divBdr>
        <w:top w:val="none" w:sz="0" w:space="0" w:color="auto"/>
        <w:left w:val="none" w:sz="0" w:space="0" w:color="auto"/>
        <w:bottom w:val="none" w:sz="0" w:space="0" w:color="auto"/>
        <w:right w:val="none" w:sz="0" w:space="0" w:color="auto"/>
      </w:divBdr>
    </w:div>
    <w:div w:id="806973582">
      <w:bodyDiv w:val="1"/>
      <w:marLeft w:val="0pt"/>
      <w:marRight w:val="0pt"/>
      <w:marTop w:val="0pt"/>
      <w:marBottom w:val="0pt"/>
      <w:divBdr>
        <w:top w:val="none" w:sz="0" w:space="0" w:color="auto"/>
        <w:left w:val="none" w:sz="0" w:space="0" w:color="auto"/>
        <w:bottom w:val="none" w:sz="0" w:space="0" w:color="auto"/>
        <w:right w:val="none" w:sz="0" w:space="0" w:color="auto"/>
      </w:divBdr>
    </w:div>
    <w:div w:id="892350299">
      <w:bodyDiv w:val="1"/>
      <w:marLeft w:val="0pt"/>
      <w:marRight w:val="0pt"/>
      <w:marTop w:val="0pt"/>
      <w:marBottom w:val="0pt"/>
      <w:divBdr>
        <w:top w:val="none" w:sz="0" w:space="0" w:color="auto"/>
        <w:left w:val="none" w:sz="0" w:space="0" w:color="auto"/>
        <w:bottom w:val="none" w:sz="0" w:space="0" w:color="auto"/>
        <w:right w:val="none" w:sz="0" w:space="0" w:color="auto"/>
      </w:divBdr>
    </w:div>
    <w:div w:id="914323034">
      <w:bodyDiv w:val="1"/>
      <w:marLeft w:val="0pt"/>
      <w:marRight w:val="0pt"/>
      <w:marTop w:val="0pt"/>
      <w:marBottom w:val="0pt"/>
      <w:divBdr>
        <w:top w:val="none" w:sz="0" w:space="0" w:color="auto"/>
        <w:left w:val="none" w:sz="0" w:space="0" w:color="auto"/>
        <w:bottom w:val="none" w:sz="0" w:space="0" w:color="auto"/>
        <w:right w:val="none" w:sz="0" w:space="0" w:color="auto"/>
      </w:divBdr>
    </w:div>
    <w:div w:id="930234636">
      <w:bodyDiv w:val="1"/>
      <w:marLeft w:val="0pt"/>
      <w:marRight w:val="0pt"/>
      <w:marTop w:val="0pt"/>
      <w:marBottom w:val="0pt"/>
      <w:divBdr>
        <w:top w:val="none" w:sz="0" w:space="0" w:color="auto"/>
        <w:left w:val="none" w:sz="0" w:space="0" w:color="auto"/>
        <w:bottom w:val="none" w:sz="0" w:space="0" w:color="auto"/>
        <w:right w:val="none" w:sz="0" w:space="0" w:color="auto"/>
      </w:divBdr>
    </w:div>
    <w:div w:id="1151487605">
      <w:bodyDiv w:val="1"/>
      <w:marLeft w:val="0pt"/>
      <w:marRight w:val="0pt"/>
      <w:marTop w:val="0pt"/>
      <w:marBottom w:val="0pt"/>
      <w:divBdr>
        <w:top w:val="none" w:sz="0" w:space="0" w:color="auto"/>
        <w:left w:val="none" w:sz="0" w:space="0" w:color="auto"/>
        <w:bottom w:val="none" w:sz="0" w:space="0" w:color="auto"/>
        <w:right w:val="none" w:sz="0" w:space="0" w:color="auto"/>
      </w:divBdr>
    </w:div>
    <w:div w:id="1189610725">
      <w:bodyDiv w:val="1"/>
      <w:marLeft w:val="0pt"/>
      <w:marRight w:val="0pt"/>
      <w:marTop w:val="0pt"/>
      <w:marBottom w:val="0pt"/>
      <w:divBdr>
        <w:top w:val="none" w:sz="0" w:space="0" w:color="auto"/>
        <w:left w:val="none" w:sz="0" w:space="0" w:color="auto"/>
        <w:bottom w:val="none" w:sz="0" w:space="0" w:color="auto"/>
        <w:right w:val="none" w:sz="0" w:space="0" w:color="auto"/>
      </w:divBdr>
    </w:div>
    <w:div w:id="1192575492">
      <w:bodyDiv w:val="1"/>
      <w:marLeft w:val="0pt"/>
      <w:marRight w:val="0pt"/>
      <w:marTop w:val="0pt"/>
      <w:marBottom w:val="0pt"/>
      <w:divBdr>
        <w:top w:val="none" w:sz="0" w:space="0" w:color="auto"/>
        <w:left w:val="none" w:sz="0" w:space="0" w:color="auto"/>
        <w:bottom w:val="none" w:sz="0" w:space="0" w:color="auto"/>
        <w:right w:val="none" w:sz="0" w:space="0" w:color="auto"/>
      </w:divBdr>
    </w:div>
    <w:div w:id="1238436142">
      <w:bodyDiv w:val="1"/>
      <w:marLeft w:val="0pt"/>
      <w:marRight w:val="0pt"/>
      <w:marTop w:val="0pt"/>
      <w:marBottom w:val="0pt"/>
      <w:divBdr>
        <w:top w:val="none" w:sz="0" w:space="0" w:color="auto"/>
        <w:left w:val="none" w:sz="0" w:space="0" w:color="auto"/>
        <w:bottom w:val="none" w:sz="0" w:space="0" w:color="auto"/>
        <w:right w:val="none" w:sz="0" w:space="0" w:color="auto"/>
      </w:divBdr>
    </w:div>
    <w:div w:id="1336155690">
      <w:bodyDiv w:val="1"/>
      <w:marLeft w:val="0pt"/>
      <w:marRight w:val="0pt"/>
      <w:marTop w:val="0pt"/>
      <w:marBottom w:val="0pt"/>
      <w:divBdr>
        <w:top w:val="none" w:sz="0" w:space="0" w:color="auto"/>
        <w:left w:val="none" w:sz="0" w:space="0" w:color="auto"/>
        <w:bottom w:val="none" w:sz="0" w:space="0" w:color="auto"/>
        <w:right w:val="none" w:sz="0" w:space="0" w:color="auto"/>
      </w:divBdr>
    </w:div>
    <w:div w:id="1407150137">
      <w:bodyDiv w:val="1"/>
      <w:marLeft w:val="0pt"/>
      <w:marRight w:val="0pt"/>
      <w:marTop w:val="0pt"/>
      <w:marBottom w:val="0pt"/>
      <w:divBdr>
        <w:top w:val="none" w:sz="0" w:space="0" w:color="auto"/>
        <w:left w:val="none" w:sz="0" w:space="0" w:color="auto"/>
        <w:bottom w:val="none" w:sz="0" w:space="0" w:color="auto"/>
        <w:right w:val="none" w:sz="0" w:space="0" w:color="auto"/>
      </w:divBdr>
    </w:div>
    <w:div w:id="1411151170">
      <w:bodyDiv w:val="1"/>
      <w:marLeft w:val="0pt"/>
      <w:marRight w:val="0pt"/>
      <w:marTop w:val="0pt"/>
      <w:marBottom w:val="0pt"/>
      <w:divBdr>
        <w:top w:val="none" w:sz="0" w:space="0" w:color="auto"/>
        <w:left w:val="none" w:sz="0" w:space="0" w:color="auto"/>
        <w:bottom w:val="none" w:sz="0" w:space="0" w:color="auto"/>
        <w:right w:val="none" w:sz="0" w:space="0" w:color="auto"/>
      </w:divBdr>
    </w:div>
    <w:div w:id="1450011602">
      <w:bodyDiv w:val="1"/>
      <w:marLeft w:val="0pt"/>
      <w:marRight w:val="0pt"/>
      <w:marTop w:val="0pt"/>
      <w:marBottom w:val="0pt"/>
      <w:divBdr>
        <w:top w:val="none" w:sz="0" w:space="0" w:color="auto"/>
        <w:left w:val="none" w:sz="0" w:space="0" w:color="auto"/>
        <w:bottom w:val="none" w:sz="0" w:space="0" w:color="auto"/>
        <w:right w:val="none" w:sz="0" w:space="0" w:color="auto"/>
      </w:divBdr>
    </w:div>
    <w:div w:id="1482311015">
      <w:bodyDiv w:val="1"/>
      <w:marLeft w:val="0pt"/>
      <w:marRight w:val="0pt"/>
      <w:marTop w:val="0pt"/>
      <w:marBottom w:val="0pt"/>
      <w:divBdr>
        <w:top w:val="none" w:sz="0" w:space="0" w:color="auto"/>
        <w:left w:val="none" w:sz="0" w:space="0" w:color="auto"/>
        <w:bottom w:val="none" w:sz="0" w:space="0" w:color="auto"/>
        <w:right w:val="none" w:sz="0" w:space="0" w:color="auto"/>
      </w:divBdr>
    </w:div>
    <w:div w:id="1561210694">
      <w:bodyDiv w:val="1"/>
      <w:marLeft w:val="0pt"/>
      <w:marRight w:val="0pt"/>
      <w:marTop w:val="0pt"/>
      <w:marBottom w:val="0pt"/>
      <w:divBdr>
        <w:top w:val="none" w:sz="0" w:space="0" w:color="auto"/>
        <w:left w:val="none" w:sz="0" w:space="0" w:color="auto"/>
        <w:bottom w:val="none" w:sz="0" w:space="0" w:color="auto"/>
        <w:right w:val="none" w:sz="0" w:space="0" w:color="auto"/>
      </w:divBdr>
    </w:div>
    <w:div w:id="1601258838">
      <w:bodyDiv w:val="1"/>
      <w:marLeft w:val="0pt"/>
      <w:marRight w:val="0pt"/>
      <w:marTop w:val="0pt"/>
      <w:marBottom w:val="0pt"/>
      <w:divBdr>
        <w:top w:val="none" w:sz="0" w:space="0" w:color="auto"/>
        <w:left w:val="none" w:sz="0" w:space="0" w:color="auto"/>
        <w:bottom w:val="none" w:sz="0" w:space="0" w:color="auto"/>
        <w:right w:val="none" w:sz="0" w:space="0" w:color="auto"/>
      </w:divBdr>
    </w:div>
    <w:div w:id="1645699161">
      <w:bodyDiv w:val="1"/>
      <w:marLeft w:val="0pt"/>
      <w:marRight w:val="0pt"/>
      <w:marTop w:val="0pt"/>
      <w:marBottom w:val="0pt"/>
      <w:divBdr>
        <w:top w:val="none" w:sz="0" w:space="0" w:color="auto"/>
        <w:left w:val="none" w:sz="0" w:space="0" w:color="auto"/>
        <w:bottom w:val="none" w:sz="0" w:space="0" w:color="auto"/>
        <w:right w:val="none" w:sz="0" w:space="0" w:color="auto"/>
      </w:divBdr>
    </w:div>
    <w:div w:id="1679385336">
      <w:bodyDiv w:val="1"/>
      <w:marLeft w:val="0pt"/>
      <w:marRight w:val="0pt"/>
      <w:marTop w:val="0pt"/>
      <w:marBottom w:val="0pt"/>
      <w:divBdr>
        <w:top w:val="none" w:sz="0" w:space="0" w:color="auto"/>
        <w:left w:val="none" w:sz="0" w:space="0" w:color="auto"/>
        <w:bottom w:val="none" w:sz="0" w:space="0" w:color="auto"/>
        <w:right w:val="none" w:sz="0" w:space="0" w:color="auto"/>
      </w:divBdr>
    </w:div>
    <w:div w:id="1690645904">
      <w:bodyDiv w:val="1"/>
      <w:marLeft w:val="0pt"/>
      <w:marRight w:val="0pt"/>
      <w:marTop w:val="0pt"/>
      <w:marBottom w:val="0pt"/>
      <w:divBdr>
        <w:top w:val="none" w:sz="0" w:space="0" w:color="auto"/>
        <w:left w:val="none" w:sz="0" w:space="0" w:color="auto"/>
        <w:bottom w:val="none" w:sz="0" w:space="0" w:color="auto"/>
        <w:right w:val="none" w:sz="0" w:space="0" w:color="auto"/>
      </w:divBdr>
    </w:div>
    <w:div w:id="1696926812">
      <w:bodyDiv w:val="1"/>
      <w:marLeft w:val="0pt"/>
      <w:marRight w:val="0pt"/>
      <w:marTop w:val="0pt"/>
      <w:marBottom w:val="0pt"/>
      <w:divBdr>
        <w:top w:val="none" w:sz="0" w:space="0" w:color="auto"/>
        <w:left w:val="none" w:sz="0" w:space="0" w:color="auto"/>
        <w:bottom w:val="none" w:sz="0" w:space="0" w:color="auto"/>
        <w:right w:val="none" w:sz="0" w:space="0" w:color="auto"/>
      </w:divBdr>
    </w:div>
    <w:div w:id="1700738953">
      <w:bodyDiv w:val="1"/>
      <w:marLeft w:val="0pt"/>
      <w:marRight w:val="0pt"/>
      <w:marTop w:val="0pt"/>
      <w:marBottom w:val="0pt"/>
      <w:divBdr>
        <w:top w:val="none" w:sz="0" w:space="0" w:color="auto"/>
        <w:left w:val="none" w:sz="0" w:space="0" w:color="auto"/>
        <w:bottom w:val="none" w:sz="0" w:space="0" w:color="auto"/>
        <w:right w:val="none" w:sz="0" w:space="0" w:color="auto"/>
      </w:divBdr>
    </w:div>
    <w:div w:id="1840150224">
      <w:bodyDiv w:val="1"/>
      <w:marLeft w:val="0pt"/>
      <w:marRight w:val="0pt"/>
      <w:marTop w:val="0pt"/>
      <w:marBottom w:val="0pt"/>
      <w:divBdr>
        <w:top w:val="none" w:sz="0" w:space="0" w:color="auto"/>
        <w:left w:val="none" w:sz="0" w:space="0" w:color="auto"/>
        <w:bottom w:val="none" w:sz="0" w:space="0" w:color="auto"/>
        <w:right w:val="none" w:sz="0" w:space="0" w:color="auto"/>
      </w:divBdr>
    </w:div>
    <w:div w:id="1861697814">
      <w:bodyDiv w:val="1"/>
      <w:marLeft w:val="0pt"/>
      <w:marRight w:val="0pt"/>
      <w:marTop w:val="0pt"/>
      <w:marBottom w:val="0pt"/>
      <w:divBdr>
        <w:top w:val="none" w:sz="0" w:space="0" w:color="auto"/>
        <w:left w:val="none" w:sz="0" w:space="0" w:color="auto"/>
        <w:bottom w:val="none" w:sz="0" w:space="0" w:color="auto"/>
        <w:right w:val="none" w:sz="0" w:space="0" w:color="auto"/>
      </w:divBdr>
    </w:div>
    <w:div w:id="1927765275">
      <w:bodyDiv w:val="1"/>
      <w:marLeft w:val="0pt"/>
      <w:marRight w:val="0pt"/>
      <w:marTop w:val="0pt"/>
      <w:marBottom w:val="0pt"/>
      <w:divBdr>
        <w:top w:val="none" w:sz="0" w:space="0" w:color="auto"/>
        <w:left w:val="none" w:sz="0" w:space="0" w:color="auto"/>
        <w:bottom w:val="none" w:sz="0" w:space="0" w:color="auto"/>
        <w:right w:val="none" w:sz="0" w:space="0" w:color="auto"/>
      </w:divBdr>
    </w:div>
    <w:div w:id="1928883420">
      <w:bodyDiv w:val="1"/>
      <w:marLeft w:val="0pt"/>
      <w:marRight w:val="0pt"/>
      <w:marTop w:val="0pt"/>
      <w:marBottom w:val="0pt"/>
      <w:divBdr>
        <w:top w:val="none" w:sz="0" w:space="0" w:color="auto"/>
        <w:left w:val="none" w:sz="0" w:space="0" w:color="auto"/>
        <w:bottom w:val="none" w:sz="0" w:space="0" w:color="auto"/>
        <w:right w:val="none" w:sz="0" w:space="0" w:color="auto"/>
      </w:divBdr>
    </w:div>
    <w:div w:id="1929801315">
      <w:bodyDiv w:val="1"/>
      <w:marLeft w:val="0pt"/>
      <w:marRight w:val="0pt"/>
      <w:marTop w:val="0pt"/>
      <w:marBottom w:val="0pt"/>
      <w:divBdr>
        <w:top w:val="none" w:sz="0" w:space="0" w:color="auto"/>
        <w:left w:val="none" w:sz="0" w:space="0" w:color="auto"/>
        <w:bottom w:val="none" w:sz="0" w:space="0" w:color="auto"/>
        <w:right w:val="none" w:sz="0" w:space="0" w:color="auto"/>
      </w:divBdr>
    </w:div>
    <w:div w:id="1950352014">
      <w:bodyDiv w:val="1"/>
      <w:marLeft w:val="0pt"/>
      <w:marRight w:val="0pt"/>
      <w:marTop w:val="0pt"/>
      <w:marBottom w:val="0pt"/>
      <w:divBdr>
        <w:top w:val="none" w:sz="0" w:space="0" w:color="auto"/>
        <w:left w:val="none" w:sz="0" w:space="0" w:color="auto"/>
        <w:bottom w:val="none" w:sz="0" w:space="0" w:color="auto"/>
        <w:right w:val="none" w:sz="0" w:space="0" w:color="auto"/>
      </w:divBdr>
    </w:div>
    <w:div w:id="1977442187">
      <w:bodyDiv w:val="1"/>
      <w:marLeft w:val="0pt"/>
      <w:marRight w:val="0pt"/>
      <w:marTop w:val="0pt"/>
      <w:marBottom w:val="0pt"/>
      <w:divBdr>
        <w:top w:val="none" w:sz="0" w:space="0" w:color="auto"/>
        <w:left w:val="none" w:sz="0" w:space="0" w:color="auto"/>
        <w:bottom w:val="none" w:sz="0" w:space="0" w:color="auto"/>
        <w:right w:val="none" w:sz="0" w:space="0" w:color="auto"/>
      </w:divBdr>
    </w:div>
    <w:div w:id="1987780458">
      <w:bodyDiv w:val="1"/>
      <w:marLeft w:val="0pt"/>
      <w:marRight w:val="0pt"/>
      <w:marTop w:val="0pt"/>
      <w:marBottom w:val="0pt"/>
      <w:divBdr>
        <w:top w:val="none" w:sz="0" w:space="0" w:color="auto"/>
        <w:left w:val="none" w:sz="0" w:space="0" w:color="auto"/>
        <w:bottom w:val="none" w:sz="0" w:space="0" w:color="auto"/>
        <w:right w:val="none" w:sz="0" w:space="0" w:color="auto"/>
      </w:divBdr>
    </w:div>
    <w:div w:id="2000422714">
      <w:bodyDiv w:val="1"/>
      <w:marLeft w:val="0pt"/>
      <w:marRight w:val="0pt"/>
      <w:marTop w:val="0pt"/>
      <w:marBottom w:val="0pt"/>
      <w:divBdr>
        <w:top w:val="none" w:sz="0" w:space="0" w:color="auto"/>
        <w:left w:val="none" w:sz="0" w:space="0" w:color="auto"/>
        <w:bottom w:val="none" w:sz="0" w:space="0" w:color="auto"/>
        <w:right w:val="none" w:sz="0" w:space="0" w:color="auto"/>
      </w:divBdr>
    </w:div>
    <w:div w:id="2006585211">
      <w:bodyDiv w:val="1"/>
      <w:marLeft w:val="0pt"/>
      <w:marRight w:val="0pt"/>
      <w:marTop w:val="0pt"/>
      <w:marBottom w:val="0pt"/>
      <w:divBdr>
        <w:top w:val="none" w:sz="0" w:space="0" w:color="auto"/>
        <w:left w:val="none" w:sz="0" w:space="0" w:color="auto"/>
        <w:bottom w:val="none" w:sz="0" w:space="0" w:color="auto"/>
        <w:right w:val="none" w:sz="0" w:space="0" w:color="auto"/>
      </w:divBdr>
    </w:div>
    <w:div w:id="2051765240">
      <w:bodyDiv w:val="1"/>
      <w:marLeft w:val="0pt"/>
      <w:marRight w:val="0pt"/>
      <w:marTop w:val="0pt"/>
      <w:marBottom w:val="0pt"/>
      <w:divBdr>
        <w:top w:val="none" w:sz="0" w:space="0" w:color="auto"/>
        <w:left w:val="none" w:sz="0" w:space="0" w:color="auto"/>
        <w:bottom w:val="none" w:sz="0" w:space="0" w:color="auto"/>
        <w:right w:val="none" w:sz="0" w:space="0" w:color="auto"/>
      </w:divBdr>
    </w:div>
    <w:div w:id="2070420983">
      <w:bodyDiv w:val="1"/>
      <w:marLeft w:val="0pt"/>
      <w:marRight w:val="0pt"/>
      <w:marTop w:val="0pt"/>
      <w:marBottom w:val="0pt"/>
      <w:divBdr>
        <w:top w:val="none" w:sz="0" w:space="0" w:color="auto"/>
        <w:left w:val="none" w:sz="0" w:space="0" w:color="auto"/>
        <w:bottom w:val="none" w:sz="0" w:space="0" w:color="auto"/>
        <w:right w:val="none" w:sz="0" w:space="0" w:color="auto"/>
      </w:divBdr>
    </w:div>
    <w:div w:id="2080201603">
      <w:bodyDiv w:val="1"/>
      <w:marLeft w:val="0pt"/>
      <w:marRight w:val="0pt"/>
      <w:marTop w:val="0pt"/>
      <w:marBottom w:val="0pt"/>
      <w:divBdr>
        <w:top w:val="none" w:sz="0" w:space="0" w:color="auto"/>
        <w:left w:val="none" w:sz="0" w:space="0" w:color="auto"/>
        <w:bottom w:val="none" w:sz="0" w:space="0" w:color="auto"/>
        <w:right w:val="none" w:sz="0" w:space="0" w:color="auto"/>
      </w:divBdr>
    </w:div>
    <w:div w:id="2086997491">
      <w:bodyDiv w:val="1"/>
      <w:marLeft w:val="0pt"/>
      <w:marRight w:val="0pt"/>
      <w:marTop w:val="0pt"/>
      <w:marBottom w:val="0pt"/>
      <w:divBdr>
        <w:top w:val="none" w:sz="0" w:space="0" w:color="auto"/>
        <w:left w:val="none" w:sz="0" w:space="0" w:color="auto"/>
        <w:bottom w:val="none" w:sz="0" w:space="0" w:color="auto"/>
        <w:right w:val="none" w:sz="0" w:space="0" w:color="auto"/>
      </w:divBdr>
    </w:div>
    <w:div w:id="2130511305">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jpe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jpeg"/><Relationship Id="rId5" Type="http://purl.oclc.org/ooxml/officeDocument/relationships/webSettings" Target="webSettings.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jpeg"/><Relationship Id="rId14"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Meh25</b:Tag>
    <b:SourceType>JournalArticle</b:SourceType>
    <b:Guid>{C61AE91E-DCAB-CF42-B8B5-1738755F1109}</b:Guid>
    <b:Author>
      <b:Author>
        <b:Corporate>Mehta, Jay, Narasimhamurthy, Rohith, Dasari, Prithviraj Kumar</b:Corporate>
      </b:Author>
    </b:Author>
    <b:Title>Data Security And Compliance In Modernized Cloud-Enabled Healthcare And Financial Systems</b:Title>
    <b:JournalName>Scholarly Journal</b:JournalName>
    <b:Year>2025</b:Year>
    <b:Volume>Vol. 8, Iss. S7</b:Volume>
    <b:Issue>ISSN: 2576-0017 EISSN: 2576-0025 DOI: 10.63278/jicrcr.vi.3378</b:Issue>
    <b:Publisher>ProQuest 'University of Wales Trinity St. David</b:Publisher>
    <b:Month>11</b:Month>
    <b:Day>19</b:Day>
    <b:RefOrder>1</b:RefOrder>
  </b:Source>
  <b:Source>
    <b:Tag>Ali25</b:Tag>
    <b:SourceType>JournalArticle</b:SourceType>
    <b:Guid>{A690EBC7-34CE-E24E-AC13-6B8BF7ADDF06}</b:Guid>
    <b:Title>Harmonizing artificial intelligence (AI) governance: A comparative analysis of Singapore and France’s AI policies and the influence of international organizations: Harmonizing artificial intelligence (AI) governance: a comparative analysis</b:Title>
    <b:JournalName>SPRINGER NATURE Link</b:JournalName>
    <b:Year>2025</b:Year>
    <b:Volume> Vol.5(2)</b:Volume>
    <b:Pages>93 - 113</b:Pages>
    <b:Author>
      <b:Author>
        <b:Corporate>Alibasic, Haris</b:Corporate>
      </b:Author>
    </b:Author>
    <b:Publisher>Singapore: Springer Nature Singapore</b:Publisher>
    <b:StandardNumber> ISSN: 2730-6291 EISSN: 2730-6305 DOI: 10.1007/s43508-025-00116-w</b:StandardNumber>
    <b:RefOrder>2</b:RefOrder>
  </b:Source>
  <b:Source>
    <b:Tag>Mel22</b:Tag>
    <b:SourceType>DocumentFromInternetSite</b:SourceType>
    <b:Guid>{89C05F1A-A91D-AF45-8DCD-7811CC2A78BF}</b:Guid>
    <b:Author>
      <b:Author>
        <b:Corporate>Meltzer, Josh and Tielemans, Aaron</b:Corporate>
      </b:Author>
    </b:Author>
    <b:Title>The european union AI act</b:Title>
    <b:JournalName>Bruselj: Brookings Institution</b:JournalName>
    <b:Year>2022</b:Year>
    <b:Pages>1 - 4</b:Pages>
    <b:URL>https://www.brookings.edu/wp-content/uploads/2022/05/FCAI-Policy-Brief_Final_060122.pdf</b:URL>
    <b:RefOrder>3</b:RefOrder>
  </b:Source>
  <b:Source>
    <b:Tag>GDP18</b:Tag>
    <b:SourceType>DocumentFromInternetSite</b:SourceType>
    <b:Guid>{C335116E-8263-3D45-ABD1-8A8CCAB04B8B}</b:Guid>
    <b:Author>
      <b:Author>
        <b:Corporate>GDPR, EU</b:Corporate>
      </b:Author>
    </b:Author>
    <b:URL>https://in2mobile.gr/wp-content/uploads/2018/05/GDPR_NEWSurvey.pdf</b:URL>
    <b:Year>2018</b:Year>
    <b:YearAccessed>2026</b:YearAccessed>
    <b:MonthAccessed>March</b:MonthAccessed>
    <b:DayAccessed>Tuesday 24</b:DayAccessed>
    <b:JournalName>Cit. on</b:JournalName>
    <b:RefOrder>4</b:RefOrder>
  </b:Source>
  <b:Source>
    <b:Tag>GDP181</b:Tag>
    <b:SourceType>DocumentFromInternetSite</b:SourceType>
    <b:Guid>{FB072F38-07A5-7B41-B581-3ACE8F7E507F}</b:Guid>
    <b:Author>
      <b:Author>
        <b:Corporate>GDPR, EU</b:Corporate>
      </b:Author>
    </b:Author>
    <b:URL>https://in2mobile.gr/wp-content/uploads/2018/05/GDPR_NEWSurvey.pdf</b:URL>
    <b:Year>2018</b:Year>
    <b:YearAccessed>2026</b:YearAccessed>
    <b:MonthAccessed>March</b:MonthAccessed>
    <b:DayAccessed>Tuesday 24</b:DayAccessed>
    <b:ShortTitle>General data protection regulation (gdpr)</b:ShortTitle>
    <b:RefOrder>5</b:RefOrder>
  </b:Source>
  <b:Source>
    <b:Tag>Ruo24</b:Tag>
    <b:SourceType>InternetSite</b:SourceType>
    <b:Guid>{E9DF4D1C-E3D6-7546-A8B6-B6690460C828}</b:Guid>
    <b:Author>
      <b:Author>
        <b:Corporate>Ruohonen, Jukka</b:Corporate>
      </b:Author>
    </b:Author>
    <b:Title>A systematic literature review on the NIS2 Directive</b:Title>
    <b:URL>https://arxiv.org/abs/2412.08084</b:URL>
    <b:Year>2024</b:Year>
    <b:Month>December</b:Month>
    <b:Day>11</b:Day>
    <b:YearAccessed>2026</b:YearAccessed>
    <b:MonthAccessed>March</b:MonthAccessed>
    <b:DayAccessed>Tuesday 24</b:DayAccessed>
    <b:JournalName>arXiv preprint arXiv:2412.08084</b:JournalName>
    <b:InternetSiteTitle>Cornell University</b:InternetSiteTitle>
    <b:RefOrder>6</b:RefOrder>
  </b:Source>
  <b:Source>
    <b:Tag>Lan23</b:Tag>
    <b:SourceType>DocumentFromInternetSite</b:SourceType>
    <b:Guid>{14B37D46-EE51-974F-A7D2-6E4D83FE417D}</b:Guid>
    <b:Author>
      <b:Author>
        <b:Corporate>Landers, Richard N., Behrend, Tara S.</b:Corporate>
      </b:Author>
    </b:Author>
    <b:URL>https://research-ebsco-com.uwtsd.idm.oclc.org/c/onvpsy/viewer/pdf/zw5wjeq6x5?route=details</b:URL>
    <b:Year>2023</b:Year>
    <b:YearAccessed>2026</b:YearAccessed>
    <b:MonthAccessed>March</b:MonthAccessed>
    <b:DayAccessed>Wednesday 25</b:DayAccessed>
    <b:ProductionCompany>United States: American Psychological Association</b:ProductionCompany>
    <b:StandardNumber> ISSN: 0003-066X ISSN: 1935-990X EISSN: 1935-990X DOI: 10.1037/amp0000972 PMID: 35157476</b:StandardNumber>
    <b:Volume>Vol. 78</b:Volume>
    <b:Pages>36-49</b:Pages>
    <b:RefOrder>7</b:RefOrder>
  </b:Source>
  <b:Source>
    <b:Tag>Abd99</b:Tag>
    <b:SourceType>Book</b:SourceType>
    <b:Guid>{A19E91C5-4EFB-C445-AA23-146A664C89E3}</b:Guid>
    <b:Title>Neural Networks</b:Title>
    <b:Year>1999</b:Year>
    <b:Publisher>Sage</b:Publisher>
    <b:Author>
      <b:Author>
        <b:Corporate>Abdi, Herv, Valentin, Dominique, Edelman, Betty</b:Corporate>
      </b:Author>
    </b:Author>
    <b:RefOrder>8</b:RefOrder>
  </b:Source>
  <b:Source>
    <b:Tag>Jon18</b:Tag>
    <b:SourceType>DocumentFromInternetSite</b:SourceType>
    <b:Guid>{5F8E2056-11A5-114D-B9F9-32C124DB3E6C}</b:Guid>
    <b:Title>Cornell University</b:Title>
    <b:Year>2018</b:Year>
    <b:Author>
      <b:Author>
        <b:Corporate>Jonathan Uesato, Brenda O'Donoghue, Aaron Van den Oord, Pushmeet Kohli</b:Corporate>
      </b:Author>
    </b:Author>
    <b:URL>https://arxiv.org/abs/1802.05666</b:URL>
    <b:Month>February</b:Month>
    <b:Day>15</b:Day>
    <b:YearAccessed>2026</b:YearAccessed>
    <b:MonthAccessed>March</b:MonthAccessed>
    <b:DayAccessed>Thursday 26</b:DayAccessed>
    <b:Version>v2</b:Version>
    <b:RefOrder>9</b:RefOrder>
  </b:Source>
  <b:Source>
    <b:Tag>VCh09</b:Tag>
    <b:SourceType>JournalArticle</b:SourceType>
    <b:Guid>{327B003C-7FAB-4E42-8D7D-D1D06699A9A4}</b:Guid>
    <b:Title>Anomaly detection: A survey acm computing surveys</b:Title>
    <b:Year>2009</b:Year>
    <b:Volume>Vol.41</b:Volume>
    <b:Author>
      <b:Author>
        <b:Corporate>V. Chandola, A. Banerjee and V. Kumar,</b:Corporate>
      </b:Author>
    </b:Author>
    <b:Day>15</b:Day>
    <b:RefOrder>10</b:RefOrder>
  </b:Source>
  <b:Source>
    <b:Tag>Mot20</b:Tag>
    <b:SourceType>DocumentFromInternetSite</b:SourceType>
    <b:Guid>{FF43F01C-8B2C-F246-8717-3C65DB579BA6}</b:Guid>
    <b:Title>IEEE Xplore</b:Title>
    <b:Year>2020</b:Year>
    <b:Author>
      <b:Author>
        <b:Corporate>Motomura, Shunnosuke and Tanaka, Hiroki and Nakamura, Satoshi</b:Corporate>
      </b:Author>
    </b:Author>
    <b:URL>https://ieeexplore.ieee.org/document/9175338</b:URL>
    <b:Month>August</b:Month>
    <b:Day>27</b:Day>
    <b:YearAccessed>2026</b:YearAccessed>
    <b:MonthAccessed>March</b:MonthAccessed>
    <b:DayAccessed>26</b:DayAccessed>
    <b:InternetSiteTitle>Sequential Attention-based Detection of Semantic Incongruities from EEG While Listening to Speech</b:InternetSiteTitle>
    <b:RefOrder>11</b:RefOrder>
  </b:Source>
  <b:Source>
    <b:Tag>Ros18</b:Tag>
    <b:SourceType>DocumentFromInternetSite</b:SourceType>
    <b:Guid>{DB2794CC-C845-EB48-8241-331F68BA29EB}</b:Guid>
    <b:Author>
      <b:Author>
        <b:Corporate>Ross, Wilbur L</b:Corporate>
      </b:Author>
      <b:BookAuthor>
        <b:NameList>
          <b:Person>
            <b:Last>Ross</b:Last>
            <b:First>Wilbur</b:First>
            <b:Middle>L</b:Middle>
          </b:Person>
        </b:NameList>
      </b:BookAuthor>
    </b:Author>
    <b:URL>https://www.iso.org/obp/ui/en/#iso:std:iec:31010:ed-2:v1:en,fr</b:URL>
    <b:Year>2018</b:Year>
    <b:Publisher>National Institute of Standards and Technology</b:Publisher>
    <b:BookTitle>Rist management framework for information systems and organization</b:BookTitle>
    <b:RefOrder>12</b:RefOrder>
  </b:Source>
  <b:Source>
    <b:Tag>Bha24</b:Tag>
    <b:SourceType>JournalArticle</b:SourceType>
    <b:Guid>{AD84CBAF-98E4-6943-B9DC-D1A9DD94A798}</b:Guid>
    <b:Author>
      <b:Author>
        <b:Corporate>Bhargav Kumar Konidena, Jesu Narkarunai Arasu Malaiyappan and Anish Tadimarri</b:Corporate>
      </b:Author>
    </b:Author>
    <b:Title>Ethical Consideratins in the Development and Deployment of AI Systems</b:Title>
    <b:Year>2024</b:Year>
    <b:JournalName>European Journal of Technology</b:JournalName>
    <b:Volume>Vol.8,</b:Volume>
    <b:Issue>Issue 2, pp 41 - 53</b:Issue>
    <b:Pages>42</b:Pages>
    <b:RefOrder>13</b:RefOrder>
  </b:Source>
  <b:Source>
    <b:Tag>Mar16</b:Tag>
    <b:SourceType>DocumentFromInternetSite</b:SourceType>
    <b:Guid>{2382FB70-FEC6-DA4E-9F6E-F447CB44775F}</b:Guid>
    <b:Title>(Cornell University) - Why Should I Trust You? Explaining the Predictions of Any Classifier</b:Title>
    <b:Year>2016</b:Year>
    <b:Author>
      <b:Author>
        <b:Corporate>Marco Tulio Ribeiro, Sameer Singh, Carlos Guestrin</b:Corporate>
      </b:Author>
    </b:Author>
    <b:URL>https://arxiv.org/abs/1602.04938</b:URL>
    <b:Month>August</b:Month>
    <b:Day>9</b:Day>
    <b:YearAccessed>2026</b:YearAccessed>
    <b:MonthAccessed>March</b:MonthAccessed>
    <b:DayAccessed>Thursday 26</b:DayAccessed>
    <b:RefOrder>14</b:RefOrder>
  </b:Source>
  <b:Source>
    <b:Tag>Lan</b:Tag>
    <b:SourceType>DocumentFromInternetSite</b:SourceType>
    <b:Guid>{907C9FC6-18F1-A84D-9422-3D303D71FF7A}</b:Guid>
    <b:Author>
      <b:Author>
        <b:Corporate>Landers, Richard N., Behra</b:Corporate>
      </b:Author>
    </b:Author>
    <b:URL>https://research-ebsco-com.uwtsd.idm.oclc.org/c/onvpsy/viewer/pdf/zw5wjeq6x5?route=details</b:URL>
    <b:RefOrder>15</b:RefOrder>
  </b:Source>
  <b:Source>
    <b:Tag>Cha09</b:Tag>
    <b:SourceType>JournalArticle</b:SourceType>
    <b:Guid>{EC8E0C20-10D0-B244-89A7-6232B26645A7}</b:Guid>
    <b:Author>
      <b:Author>
        <b:Corporate>Chandola, V and Banerjee, A and Kumar, V</b:Corporate>
      </b:Author>
    </b:Author>
    <b:Title>Anomaly detection: A survey acm computing surveys </b:Title>
    <b:Year>2009</b:Year>
    <b:Volume>Vol. 41</b:Volume>
    <b:RefOrder>16</b:RefOrder>
  </b:Source>
</b:Sources>
</file>

<file path=customXml/itemProps1.xml><?xml version="1.0" encoding="utf-8"?>
<ds:datastoreItem xmlns:ds="http://purl.oclc.org/ooxml/officeDocument/customXml" ds:itemID="{026084D8-146C-2A47-AA65-EC01CC574329}">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3</TotalTime>
  <Pages>10</Pages>
  <Words>5835</Words>
  <Characters>37051</Characters>
  <Application>Microsoft Office Word</Application>
  <DocSecurity>0</DocSecurity>
  <Lines>1173</Lines>
  <Paragraphs>290</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David Larbi</cp:lastModifiedBy>
  <cp:revision>8</cp:revision>
  <dcterms:created xsi:type="dcterms:W3CDTF">2026-03-27T01:34:00Z</dcterms:created>
  <dcterms:modified xsi:type="dcterms:W3CDTF">2026-03-27T01:39:00Z</dcterms:modified>
</cp:coreProperties>
</file>