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D1EBF" w14:textId="3E2F90D3" w:rsidR="007B5544" w:rsidRPr="004D5A76" w:rsidRDefault="00230338" w:rsidP="004D5A76">
      <w:pPr>
        <w:spacing w:line="360" w:lineRule="auto"/>
        <w:jc w:val="center"/>
        <w:rPr>
          <w:rFonts w:ascii="Times" w:hAnsi="Times"/>
          <w:b/>
          <w:bCs/>
          <w:sz w:val="28"/>
          <w:szCs w:val="28"/>
        </w:rPr>
      </w:pPr>
      <w:r w:rsidRPr="004D5A76">
        <w:rPr>
          <w:rFonts w:ascii="Times" w:hAnsi="Times"/>
          <w:b/>
          <w:bCs/>
          <w:sz w:val="28"/>
          <w:szCs w:val="28"/>
        </w:rPr>
        <w:t>Sustainability Plan: A Critical Reflection</w:t>
      </w:r>
    </w:p>
    <w:p w14:paraId="6D643C48" w14:textId="1A2BA2EC" w:rsidR="00230338" w:rsidRPr="004D5A76" w:rsidRDefault="004D5A76" w:rsidP="004D5A76">
      <w:pPr>
        <w:spacing w:line="360" w:lineRule="auto"/>
        <w:jc w:val="center"/>
        <w:rPr>
          <w:rFonts w:ascii="Times" w:hAnsi="Times"/>
          <w:u w:val="single"/>
        </w:rPr>
      </w:pPr>
      <w:r w:rsidRPr="004D5A76">
        <w:rPr>
          <w:rFonts w:ascii="Times" w:hAnsi="Times"/>
          <w:u w:val="single"/>
        </w:rPr>
        <w:t xml:space="preserve">1.0 </w:t>
      </w:r>
      <w:r w:rsidR="00230338" w:rsidRPr="004D5A76">
        <w:rPr>
          <w:rFonts w:ascii="Times" w:hAnsi="Times"/>
          <w:u w:val="single"/>
        </w:rPr>
        <w:t>Part One – Report</w:t>
      </w:r>
    </w:p>
    <w:p w14:paraId="405F9A00" w14:textId="1715E645" w:rsidR="00230338" w:rsidRPr="004D5A76" w:rsidRDefault="004D5A76" w:rsidP="004D5A76">
      <w:pPr>
        <w:spacing w:line="360" w:lineRule="auto"/>
        <w:jc w:val="center"/>
        <w:rPr>
          <w:rFonts w:ascii="Times" w:hAnsi="Times"/>
          <w:u w:val="single"/>
        </w:rPr>
      </w:pPr>
      <w:r w:rsidRPr="004D5A76">
        <w:rPr>
          <w:rFonts w:ascii="Times" w:hAnsi="Times"/>
          <w:u w:val="single"/>
        </w:rPr>
        <w:t xml:space="preserve">2.0 </w:t>
      </w:r>
      <w:r w:rsidR="00230338" w:rsidRPr="004D5A76">
        <w:rPr>
          <w:rFonts w:ascii="Times" w:hAnsi="Times"/>
          <w:u w:val="single"/>
        </w:rPr>
        <w:t>Part Two – Presentation</w:t>
      </w:r>
    </w:p>
    <w:p w14:paraId="684EBCF6" w14:textId="5AF99642" w:rsidR="00230338" w:rsidRDefault="00230338" w:rsidP="004D5A76">
      <w:pPr>
        <w:spacing w:line="360" w:lineRule="auto"/>
        <w:jc w:val="both"/>
        <w:rPr>
          <w:rFonts w:ascii="Times" w:hAnsi="Times"/>
        </w:rPr>
      </w:pPr>
    </w:p>
    <w:p w14:paraId="34064F99" w14:textId="37A55A0F" w:rsidR="004D5A76" w:rsidRPr="004D5A76" w:rsidRDefault="004D5A76" w:rsidP="004D5A76">
      <w:pPr>
        <w:spacing w:line="360" w:lineRule="auto"/>
        <w:jc w:val="both"/>
        <w:rPr>
          <w:rFonts w:ascii="Times" w:hAnsi="Times"/>
          <w:i/>
          <w:iCs/>
        </w:rPr>
      </w:pPr>
      <w:r w:rsidRPr="004D5A76">
        <w:rPr>
          <w:rFonts w:ascii="Times" w:hAnsi="Times"/>
          <w:i/>
          <w:iCs/>
        </w:rPr>
        <w:t xml:space="preserve">Words – 1803 </w:t>
      </w:r>
    </w:p>
    <w:p w14:paraId="5D7CCCA3" w14:textId="77777777" w:rsidR="004D5A76" w:rsidRPr="004D5A76" w:rsidRDefault="004D5A76" w:rsidP="004D5A76">
      <w:pPr>
        <w:spacing w:line="360" w:lineRule="auto"/>
        <w:jc w:val="both"/>
        <w:rPr>
          <w:rFonts w:ascii="Times" w:hAnsi="Times"/>
        </w:rPr>
      </w:pPr>
    </w:p>
    <w:p w14:paraId="2D6C5A8F" w14:textId="2F8D3F75" w:rsidR="00230338" w:rsidRPr="004D5A76" w:rsidRDefault="004D5A76" w:rsidP="004D5A76">
      <w:pPr>
        <w:spacing w:line="360" w:lineRule="auto"/>
        <w:jc w:val="both"/>
        <w:rPr>
          <w:rFonts w:ascii="Times" w:hAnsi="Times"/>
          <w:b/>
          <w:bCs/>
        </w:rPr>
      </w:pPr>
      <w:r w:rsidRPr="004D5A76">
        <w:rPr>
          <w:rFonts w:ascii="Times" w:hAnsi="Times"/>
          <w:b/>
          <w:bCs/>
        </w:rPr>
        <w:t xml:space="preserve">1.0 </w:t>
      </w:r>
      <w:r w:rsidR="00230338" w:rsidRPr="004D5A76">
        <w:rPr>
          <w:rFonts w:ascii="Times" w:hAnsi="Times"/>
          <w:b/>
          <w:bCs/>
        </w:rPr>
        <w:t>Report</w:t>
      </w:r>
    </w:p>
    <w:p w14:paraId="43EE2866" w14:textId="229097DD" w:rsidR="00230338" w:rsidRPr="004D5A76" w:rsidRDefault="00230338" w:rsidP="004D5A76">
      <w:pPr>
        <w:spacing w:line="360" w:lineRule="auto"/>
        <w:jc w:val="both"/>
        <w:rPr>
          <w:rFonts w:ascii="Times" w:hAnsi="Times"/>
        </w:rPr>
      </w:pPr>
    </w:p>
    <w:p w14:paraId="4260E8DF" w14:textId="1E99C133" w:rsidR="00230338" w:rsidRDefault="00230338" w:rsidP="004D5A76">
      <w:pPr>
        <w:spacing w:line="360" w:lineRule="auto"/>
        <w:jc w:val="both"/>
        <w:rPr>
          <w:rFonts w:ascii="Times" w:hAnsi="Times"/>
        </w:rPr>
      </w:pPr>
      <w:r w:rsidRPr="004D5A76">
        <w:rPr>
          <w:rFonts w:ascii="Times" w:hAnsi="Times"/>
        </w:rPr>
        <w:t xml:space="preserve">This report </w:t>
      </w:r>
      <w:r w:rsidR="004D5A76">
        <w:rPr>
          <w:rFonts w:ascii="Times" w:hAnsi="Times"/>
        </w:rPr>
        <w:t>will</w:t>
      </w:r>
      <w:r w:rsidRPr="004D5A76">
        <w:rPr>
          <w:rFonts w:ascii="Times" w:hAnsi="Times"/>
        </w:rPr>
        <w:t xml:space="preserve"> reflect on the achievement, outcomes, and challenges f</w:t>
      </w:r>
      <w:r w:rsidR="004D5A76" w:rsidRPr="004D5A76">
        <w:rPr>
          <w:rFonts w:ascii="Times" w:hAnsi="Times"/>
        </w:rPr>
        <w:t>ollowing</w:t>
      </w:r>
      <w:r w:rsidRPr="004D5A76">
        <w:rPr>
          <w:rFonts w:ascii="Times" w:hAnsi="Times"/>
        </w:rPr>
        <w:t xml:space="preserve"> the initial sustainability plan</w:t>
      </w:r>
      <w:r w:rsidR="004D5A76">
        <w:rPr>
          <w:rFonts w:ascii="Times" w:hAnsi="Times"/>
        </w:rPr>
        <w:t>. The criteria for this critique will be based around the content of the plan itself, as well as the feasibility of its potential implementation. By focusing on these areas, I</w:t>
      </w:r>
      <w:r w:rsidR="004D5A76" w:rsidRPr="004D5A76">
        <w:rPr>
          <w:rFonts w:ascii="Times" w:hAnsi="Times"/>
        </w:rPr>
        <w:t xml:space="preserve"> aim to understand</w:t>
      </w:r>
      <w:r w:rsidRPr="004D5A76">
        <w:rPr>
          <w:rFonts w:ascii="Times" w:hAnsi="Times"/>
        </w:rPr>
        <w:t xml:space="preserve"> if the plan went far enough in its ambitions and how close the company is in achieving these ambitions. The report aims to highlight and address any challenges that have arisen since the development of the sustainability plan, whilst highlighting additional considerations that may need to be considered. As Dawe and Ryan (2018) explain</w:t>
      </w:r>
      <w:r w:rsidR="004D5A76" w:rsidRPr="004D5A76">
        <w:rPr>
          <w:rFonts w:ascii="Times" w:hAnsi="Times"/>
        </w:rPr>
        <w:t>,</w:t>
      </w:r>
      <w:r w:rsidRPr="004D5A76">
        <w:rPr>
          <w:rFonts w:ascii="Times" w:hAnsi="Times"/>
        </w:rPr>
        <w:t xml:space="preserve"> in order to seek solutions to sustainability we must always be </w:t>
      </w:r>
      <w:proofErr w:type="gramStart"/>
      <w:r w:rsidRPr="004D5A76">
        <w:rPr>
          <w:rFonts w:ascii="Times" w:hAnsi="Times"/>
        </w:rPr>
        <w:t>open</w:t>
      </w:r>
      <w:proofErr w:type="gramEnd"/>
      <w:r w:rsidRPr="004D5A76">
        <w:rPr>
          <w:rFonts w:ascii="Times" w:hAnsi="Times"/>
        </w:rPr>
        <w:t xml:space="preserve"> to changing how we think, and allow our “truths</w:t>
      </w:r>
      <w:r w:rsidR="004D5A76" w:rsidRPr="004D5A76">
        <w:rPr>
          <w:rFonts w:ascii="Times" w:hAnsi="Times"/>
        </w:rPr>
        <w:t>”</w:t>
      </w:r>
      <w:r w:rsidRPr="004D5A76">
        <w:rPr>
          <w:rFonts w:ascii="Times" w:hAnsi="Times"/>
        </w:rPr>
        <w:t xml:space="preserve"> to be </w:t>
      </w:r>
      <w:r w:rsidR="004D5A76" w:rsidRPr="004D5A76">
        <w:rPr>
          <w:rFonts w:ascii="Times" w:hAnsi="Times"/>
        </w:rPr>
        <w:t>“i</w:t>
      </w:r>
      <w:r w:rsidRPr="004D5A76">
        <w:rPr>
          <w:rFonts w:ascii="Times" w:hAnsi="Times"/>
        </w:rPr>
        <w:t xml:space="preserve">mproved upon as we lean new insights”. </w:t>
      </w:r>
    </w:p>
    <w:p w14:paraId="5BD684A9" w14:textId="77777777" w:rsidR="004D5A76" w:rsidRDefault="004D5A76" w:rsidP="004D5A76">
      <w:pPr>
        <w:spacing w:line="360" w:lineRule="auto"/>
        <w:jc w:val="both"/>
        <w:rPr>
          <w:rFonts w:ascii="Times" w:hAnsi="Times"/>
        </w:rPr>
      </w:pPr>
    </w:p>
    <w:p w14:paraId="48AFAD6B" w14:textId="4FAC1FE2" w:rsidR="004D5A76" w:rsidRPr="004D5A76" w:rsidRDefault="004D5A76" w:rsidP="004D5A76">
      <w:pPr>
        <w:spacing w:line="360" w:lineRule="auto"/>
        <w:jc w:val="both"/>
        <w:rPr>
          <w:rFonts w:ascii="Times" w:hAnsi="Times"/>
          <w:b/>
          <w:bCs/>
        </w:rPr>
      </w:pPr>
      <w:r w:rsidRPr="004D5A76">
        <w:rPr>
          <w:rFonts w:ascii="Times" w:hAnsi="Times"/>
          <w:b/>
          <w:bCs/>
        </w:rPr>
        <w:t xml:space="preserve">The Plan </w:t>
      </w:r>
    </w:p>
    <w:p w14:paraId="2894E46F" w14:textId="02B20BDA" w:rsidR="00230338" w:rsidRPr="004D5A76" w:rsidRDefault="00230338" w:rsidP="004D5A76">
      <w:pPr>
        <w:spacing w:line="360" w:lineRule="auto"/>
        <w:jc w:val="both"/>
        <w:rPr>
          <w:rFonts w:ascii="Times" w:hAnsi="Times"/>
        </w:rPr>
      </w:pPr>
      <w:r w:rsidRPr="004D5A76">
        <w:rPr>
          <w:rFonts w:ascii="Times" w:hAnsi="Times"/>
        </w:rPr>
        <w:t>The sustainability plan was designed to be both holistic and broad, emphasising key focus areas across the business that require both short term immediate solutions</w:t>
      </w:r>
      <w:r w:rsidR="004D5A76" w:rsidRPr="004D5A76">
        <w:rPr>
          <w:rFonts w:ascii="Times" w:hAnsi="Times"/>
        </w:rPr>
        <w:t xml:space="preserve"> and </w:t>
      </w:r>
      <w:r w:rsidRPr="004D5A76">
        <w:rPr>
          <w:rFonts w:ascii="Times" w:hAnsi="Times"/>
        </w:rPr>
        <w:t>future growth initiatives. Current practises and problems were addressed with impact across three key areas: Smart Product, Smart Operations, Smart Business. These focus areas were examined and broken down into relevant parts within the functional business areas, highlighting areas that can be optimised or improved with little risk or investment</w:t>
      </w:r>
      <w:r w:rsidR="004D5A76" w:rsidRPr="004D5A76">
        <w:rPr>
          <w:rFonts w:ascii="Times" w:hAnsi="Times"/>
        </w:rPr>
        <w:t>, which were then plotted out on a timeline.</w:t>
      </w:r>
      <w:r w:rsidRPr="004D5A76">
        <w:rPr>
          <w:rFonts w:ascii="Times" w:hAnsi="Times"/>
        </w:rPr>
        <w:t xml:space="preserve"> </w:t>
      </w:r>
      <w:r w:rsidRPr="004D5A76">
        <w:rPr>
          <w:rFonts w:ascii="Times" w:hAnsi="Times"/>
        </w:rPr>
        <w:t xml:space="preserve">The former sustainability plan made practical suggestions in implementing food waste management initiatives and advised in the optimisation of in-house experts and logistical advancements. </w:t>
      </w:r>
    </w:p>
    <w:p w14:paraId="1FDAB863" w14:textId="730C2C0C" w:rsidR="00230338" w:rsidRPr="004D5A76" w:rsidRDefault="00230338" w:rsidP="004D5A76">
      <w:pPr>
        <w:spacing w:line="360" w:lineRule="auto"/>
        <w:jc w:val="both"/>
        <w:rPr>
          <w:rFonts w:ascii="Times" w:hAnsi="Times"/>
        </w:rPr>
      </w:pPr>
    </w:p>
    <w:p w14:paraId="0D0A751B" w14:textId="1FAD167D" w:rsidR="00230338" w:rsidRPr="004D5A76" w:rsidRDefault="00230338" w:rsidP="004D5A76">
      <w:pPr>
        <w:spacing w:line="360" w:lineRule="auto"/>
        <w:jc w:val="both"/>
        <w:rPr>
          <w:rFonts w:ascii="Times" w:hAnsi="Times"/>
        </w:rPr>
      </w:pPr>
      <w:r w:rsidRPr="004D5A76">
        <w:rPr>
          <w:rFonts w:ascii="Times" w:hAnsi="Times"/>
        </w:rPr>
        <w:t>While th</w:t>
      </w:r>
      <w:r w:rsidR="004D5A76" w:rsidRPr="004D5A76">
        <w:rPr>
          <w:rFonts w:ascii="Times" w:hAnsi="Times"/>
        </w:rPr>
        <w:t>e plan</w:t>
      </w:r>
      <w:r w:rsidRPr="004D5A76">
        <w:rPr>
          <w:rFonts w:ascii="Times" w:hAnsi="Times"/>
        </w:rPr>
        <w:t xml:space="preserve"> provided a clear direction and objective</w:t>
      </w:r>
      <w:r w:rsidR="004D5A76" w:rsidRPr="004D5A76">
        <w:rPr>
          <w:rFonts w:ascii="Times" w:hAnsi="Times"/>
        </w:rPr>
        <w:t>s</w:t>
      </w:r>
      <w:r w:rsidRPr="004D5A76">
        <w:rPr>
          <w:rFonts w:ascii="Times" w:hAnsi="Times"/>
        </w:rPr>
        <w:t xml:space="preserve">, it lacked clarity on the implementation plan and required </w:t>
      </w:r>
      <w:r w:rsidR="004D5A76" w:rsidRPr="004D5A76">
        <w:rPr>
          <w:rFonts w:ascii="Times" w:hAnsi="Times"/>
        </w:rPr>
        <w:t xml:space="preserve">further </w:t>
      </w:r>
      <w:r w:rsidRPr="004D5A76">
        <w:rPr>
          <w:rFonts w:ascii="Times" w:hAnsi="Times"/>
        </w:rPr>
        <w:t xml:space="preserve">emphasis on how, who and the wider team. </w:t>
      </w:r>
      <w:r w:rsidRPr="004D5A76">
        <w:rPr>
          <w:rFonts w:ascii="Times" w:hAnsi="Times"/>
        </w:rPr>
        <w:t>The plan was holistic, but broad</w:t>
      </w:r>
      <w:r w:rsidRPr="004D5A76">
        <w:rPr>
          <w:rFonts w:ascii="Times" w:hAnsi="Times"/>
        </w:rPr>
        <w:t xml:space="preserve"> in its intention</w:t>
      </w:r>
      <w:r w:rsidR="004D5A76" w:rsidRPr="004D5A76">
        <w:rPr>
          <w:rFonts w:ascii="Times" w:hAnsi="Times"/>
        </w:rPr>
        <w:t>,</w:t>
      </w:r>
      <w:r w:rsidRPr="004D5A76">
        <w:rPr>
          <w:rFonts w:ascii="Times" w:hAnsi="Times"/>
        </w:rPr>
        <w:t xml:space="preserve"> providing identifiable and remedial solutions. Like many retailers the plan covered the sustainability impacts within the supply chain operations, however there are </w:t>
      </w:r>
      <w:r w:rsidRPr="004D5A76">
        <w:rPr>
          <w:rFonts w:ascii="Times" w:hAnsi="Times"/>
        </w:rPr>
        <w:lastRenderedPageBreak/>
        <w:t xml:space="preserve">still </w:t>
      </w:r>
      <w:r w:rsidR="004D5A76" w:rsidRPr="004D5A76">
        <w:rPr>
          <w:rFonts w:ascii="Times" w:hAnsi="Times"/>
        </w:rPr>
        <w:t>several</w:t>
      </w:r>
      <w:r w:rsidRPr="004D5A76">
        <w:rPr>
          <w:rFonts w:ascii="Times" w:hAnsi="Times"/>
        </w:rPr>
        <w:t xml:space="preserve"> challenges in integrating high</w:t>
      </w:r>
      <w:r w:rsidR="004D5A76" w:rsidRPr="004D5A76">
        <w:rPr>
          <w:rFonts w:ascii="Times" w:hAnsi="Times"/>
        </w:rPr>
        <w:t xml:space="preserve">- </w:t>
      </w:r>
      <w:r w:rsidRPr="004D5A76">
        <w:rPr>
          <w:rFonts w:ascii="Times" w:hAnsi="Times"/>
        </w:rPr>
        <w:t>level positive change (</w:t>
      </w:r>
      <w:proofErr w:type="spellStart"/>
      <w:r w:rsidRPr="004D5A76">
        <w:rPr>
          <w:rFonts w:ascii="Times" w:hAnsi="Times"/>
        </w:rPr>
        <w:t>Chkanikova</w:t>
      </w:r>
      <w:proofErr w:type="spellEnd"/>
      <w:r w:rsidRPr="004D5A76">
        <w:rPr>
          <w:rFonts w:ascii="Times" w:hAnsi="Times"/>
        </w:rPr>
        <w:t xml:space="preserve"> and Mont 2015</w:t>
      </w:r>
      <w:r w:rsidRPr="004D5A76">
        <w:rPr>
          <w:rFonts w:ascii="Times" w:hAnsi="Times"/>
        </w:rPr>
        <w:t xml:space="preserve">). </w:t>
      </w:r>
      <w:r w:rsidRPr="004D5A76">
        <w:rPr>
          <w:rFonts w:ascii="Times" w:hAnsi="Times"/>
        </w:rPr>
        <w:t xml:space="preserve">Sustainable business models must go beyond isolated initiatives and aspire to systematically integrate sustainability (Morioka </w:t>
      </w:r>
      <w:r w:rsidRPr="004D5A76">
        <w:rPr>
          <w:rFonts w:ascii="Times" w:hAnsi="Times"/>
          <w:i/>
          <w:iCs/>
        </w:rPr>
        <w:t>et al</w:t>
      </w:r>
      <w:r w:rsidRPr="004D5A76">
        <w:rPr>
          <w:rFonts w:ascii="Times" w:hAnsi="Times"/>
        </w:rPr>
        <w:t xml:space="preserve">. 2017). </w:t>
      </w:r>
    </w:p>
    <w:p w14:paraId="40A30AFC" w14:textId="653B4C7F" w:rsidR="00230338" w:rsidRPr="004D5A76" w:rsidRDefault="00230338" w:rsidP="004D5A76">
      <w:pPr>
        <w:spacing w:line="360" w:lineRule="auto"/>
        <w:jc w:val="both"/>
        <w:rPr>
          <w:rFonts w:ascii="Times" w:hAnsi="Times"/>
        </w:rPr>
      </w:pPr>
    </w:p>
    <w:p w14:paraId="3B5647AB" w14:textId="7884C862" w:rsidR="00230338" w:rsidRPr="004D5A76" w:rsidRDefault="00230338" w:rsidP="004D5A76">
      <w:pPr>
        <w:spacing w:line="360" w:lineRule="auto"/>
        <w:jc w:val="both"/>
        <w:rPr>
          <w:rFonts w:ascii="Times" w:hAnsi="Times"/>
        </w:rPr>
      </w:pPr>
      <w:proofErr w:type="spellStart"/>
      <w:r w:rsidRPr="004D5A76">
        <w:rPr>
          <w:rFonts w:ascii="Times" w:hAnsi="Times"/>
        </w:rPr>
        <w:t>Chkanikova</w:t>
      </w:r>
      <w:proofErr w:type="spellEnd"/>
      <w:r w:rsidRPr="004D5A76">
        <w:rPr>
          <w:rFonts w:ascii="Times" w:hAnsi="Times"/>
        </w:rPr>
        <w:t xml:space="preserve"> and Mont (2015) find that for many </w:t>
      </w:r>
      <w:proofErr w:type="gramStart"/>
      <w:r w:rsidRPr="004D5A76">
        <w:rPr>
          <w:rFonts w:ascii="Times" w:hAnsi="Times"/>
        </w:rPr>
        <w:t>retailers</w:t>
      </w:r>
      <w:proofErr w:type="gramEnd"/>
      <w:r w:rsidRPr="004D5A76">
        <w:rPr>
          <w:rFonts w:ascii="Times" w:hAnsi="Times"/>
        </w:rPr>
        <w:t xml:space="preserve"> sustainability commitments are marginal, fragmented and unsystematic. To avoid “a hodgepodge” of initiatives within an overarching vision or plan (</w:t>
      </w:r>
      <w:proofErr w:type="spellStart"/>
      <w:r w:rsidRPr="004D5A76">
        <w:rPr>
          <w:rFonts w:ascii="Times" w:hAnsi="Times"/>
        </w:rPr>
        <w:t>Lubin</w:t>
      </w:r>
      <w:proofErr w:type="spellEnd"/>
      <w:r w:rsidRPr="004D5A76">
        <w:rPr>
          <w:rFonts w:ascii="Times" w:hAnsi="Times"/>
        </w:rPr>
        <w:t xml:space="preserve"> and Esty 2010), it is advised that the company takes a more critical and comprehensive view of the challenges arising from climatic change and the urgent need to refine how business is considered, integrating sustainability into the core of the company.</w:t>
      </w:r>
    </w:p>
    <w:p w14:paraId="5476C82D" w14:textId="6BEA438E" w:rsidR="00230338" w:rsidRPr="004D5A76" w:rsidRDefault="00230338" w:rsidP="004D5A76">
      <w:pPr>
        <w:spacing w:line="360" w:lineRule="auto"/>
        <w:jc w:val="both"/>
        <w:rPr>
          <w:rFonts w:ascii="Times" w:hAnsi="Times"/>
        </w:rPr>
      </w:pPr>
    </w:p>
    <w:p w14:paraId="152E9D4B" w14:textId="4E448157" w:rsidR="00230338" w:rsidRPr="004D5A76" w:rsidRDefault="00230338" w:rsidP="004D5A76">
      <w:pPr>
        <w:spacing w:line="360" w:lineRule="auto"/>
        <w:jc w:val="both"/>
        <w:rPr>
          <w:rFonts w:ascii="Times" w:hAnsi="Times"/>
        </w:rPr>
      </w:pPr>
      <w:proofErr w:type="spellStart"/>
      <w:r w:rsidRPr="004D5A76">
        <w:rPr>
          <w:rFonts w:ascii="Times" w:hAnsi="Times"/>
        </w:rPr>
        <w:t>Lubin</w:t>
      </w:r>
      <w:proofErr w:type="spellEnd"/>
      <w:r w:rsidRPr="004D5A76">
        <w:rPr>
          <w:rFonts w:ascii="Times" w:hAnsi="Times"/>
        </w:rPr>
        <w:t xml:space="preserve"> and Esty (2010) note that while it is an ecological issue, sustainability is also a mega-trend and thus a successful transformation requires treating it as such. To that end, how it is treated could be predictable to some. Understanding how business have succeeded in other megatrends (the rise of IT) can help decision-makers in integrating meaningful and efficient strategies and systems. </w:t>
      </w:r>
    </w:p>
    <w:p w14:paraId="3522CED5" w14:textId="77777777" w:rsidR="004D5A76" w:rsidRPr="004D5A76" w:rsidRDefault="004D5A76" w:rsidP="004D5A76">
      <w:pPr>
        <w:spacing w:line="360" w:lineRule="auto"/>
        <w:jc w:val="both"/>
        <w:rPr>
          <w:rFonts w:ascii="Times" w:hAnsi="Times"/>
        </w:rPr>
      </w:pPr>
    </w:p>
    <w:p w14:paraId="10245867" w14:textId="77777777" w:rsidR="004D5A76" w:rsidRPr="004D5A76" w:rsidRDefault="004D5A76" w:rsidP="004D5A76">
      <w:pPr>
        <w:spacing w:line="360" w:lineRule="auto"/>
        <w:jc w:val="both"/>
        <w:rPr>
          <w:rFonts w:ascii="Times" w:hAnsi="Times"/>
          <w:b/>
          <w:bCs/>
        </w:rPr>
      </w:pPr>
      <w:r w:rsidRPr="004D5A76">
        <w:rPr>
          <w:rFonts w:ascii="Times" w:hAnsi="Times"/>
          <w:b/>
          <w:bCs/>
        </w:rPr>
        <w:t xml:space="preserve">Defining Sustainability </w:t>
      </w:r>
    </w:p>
    <w:p w14:paraId="186687D8" w14:textId="6F31C22F" w:rsidR="00230338" w:rsidRPr="004D5A76" w:rsidRDefault="00230338" w:rsidP="004D5A76">
      <w:pPr>
        <w:spacing w:line="360" w:lineRule="auto"/>
        <w:jc w:val="both"/>
        <w:rPr>
          <w:rFonts w:ascii="Times" w:hAnsi="Times"/>
        </w:rPr>
      </w:pPr>
      <w:r w:rsidRPr="004D5A76">
        <w:rPr>
          <w:rFonts w:ascii="Times" w:hAnsi="Times"/>
        </w:rPr>
        <w:t>Sustainability leadership requires ‘ecological competence’ in which a basic knowledge of the key issues, as well as an understanding of the meanings and terms</w:t>
      </w:r>
      <w:r w:rsidR="004D5A76" w:rsidRPr="004D5A76">
        <w:rPr>
          <w:rFonts w:ascii="Times" w:hAnsi="Times"/>
        </w:rPr>
        <w:t xml:space="preserve"> commonly used</w:t>
      </w:r>
      <w:r w:rsidRPr="004D5A76">
        <w:rPr>
          <w:rFonts w:ascii="Times" w:hAnsi="Times"/>
        </w:rPr>
        <w:t xml:space="preserve"> within the sustainability narrative (Cosby 2014). Primarily, it is advised that the department leaders, invest in training from an external company to educate and explain the principles of sustainability, providing a broad definition and understanding of the topic with emphasis on understanding the difference and interconnected nature of both environmental concerns and sustainability. </w:t>
      </w:r>
    </w:p>
    <w:p w14:paraId="334BE8B2" w14:textId="07DD8C0A" w:rsidR="00230338" w:rsidRDefault="00230338" w:rsidP="004D5A76">
      <w:pPr>
        <w:spacing w:line="360" w:lineRule="auto"/>
        <w:jc w:val="both"/>
        <w:rPr>
          <w:rFonts w:ascii="Times" w:hAnsi="Times"/>
        </w:rPr>
      </w:pPr>
    </w:p>
    <w:p w14:paraId="3C725CDE" w14:textId="7563A542" w:rsidR="00230338" w:rsidRPr="004D5A76" w:rsidRDefault="00230338" w:rsidP="004D5A76">
      <w:pPr>
        <w:spacing w:line="360" w:lineRule="auto"/>
        <w:jc w:val="both"/>
        <w:rPr>
          <w:rFonts w:ascii="Times" w:hAnsi="Times"/>
        </w:rPr>
      </w:pPr>
      <w:r w:rsidRPr="004D5A76">
        <w:rPr>
          <w:rFonts w:ascii="Times" w:hAnsi="Times"/>
        </w:rPr>
        <w:t>It must be recognised that while environmental impacts are a key concern within sustainability, this is just one foundation of the topic</w:t>
      </w:r>
      <w:r w:rsidRPr="004D5A76">
        <w:rPr>
          <w:rFonts w:ascii="Times" w:hAnsi="Times"/>
        </w:rPr>
        <w:t xml:space="preserve">. A broad foundational knowledge about the economic, environmental, and social threats to society can help leaders with both informing the wider organisation and the practical integration of embedding sustainability within the business (Cosby 2014). </w:t>
      </w:r>
    </w:p>
    <w:p w14:paraId="322BE8B7" w14:textId="77777777" w:rsidR="00230338" w:rsidRPr="004D5A76" w:rsidRDefault="00230338" w:rsidP="004D5A76">
      <w:pPr>
        <w:spacing w:line="360" w:lineRule="auto"/>
        <w:jc w:val="both"/>
        <w:rPr>
          <w:rFonts w:ascii="Times" w:hAnsi="Times"/>
        </w:rPr>
      </w:pPr>
    </w:p>
    <w:p w14:paraId="776F0232" w14:textId="0D506596" w:rsidR="00230338" w:rsidRPr="004D5A76" w:rsidRDefault="00230338" w:rsidP="004D5A76">
      <w:pPr>
        <w:spacing w:line="360" w:lineRule="auto"/>
        <w:jc w:val="both"/>
        <w:rPr>
          <w:rFonts w:ascii="Times" w:hAnsi="Times"/>
        </w:rPr>
      </w:pPr>
      <w:r w:rsidRPr="00B31F50">
        <w:rPr>
          <w:rFonts w:ascii="Times" w:eastAsia="Times New Roman" w:hAnsi="Times" w:cs="Times New Roman"/>
          <w:i/>
          <w:iCs/>
          <w:lang w:eastAsia="en-GB"/>
        </w:rPr>
        <w:lastRenderedPageBreak/>
        <w:t xml:space="preserve">Sustainable development is defined as, “development that meets the needs of the present without compromising the ability of future generations to meet their own needs” </w:t>
      </w:r>
      <w:r w:rsidRPr="00B31F50">
        <w:rPr>
          <w:rFonts w:ascii="Times" w:eastAsia="Times New Roman" w:hAnsi="Times" w:cs="Times New Roman"/>
          <w:lang w:eastAsia="en-GB"/>
        </w:rPr>
        <w:t>(Brundtland Commission, 1987</w:t>
      </w:r>
      <w:r w:rsidRPr="004D5A76">
        <w:rPr>
          <w:rFonts w:ascii="Times" w:hAnsi="Times"/>
        </w:rPr>
        <w:t>)</w:t>
      </w:r>
    </w:p>
    <w:p w14:paraId="5B0FE525" w14:textId="4BAC8C96" w:rsidR="00230338" w:rsidRDefault="00230338" w:rsidP="004D5A76">
      <w:pPr>
        <w:spacing w:line="360" w:lineRule="auto"/>
        <w:jc w:val="both"/>
        <w:rPr>
          <w:rFonts w:ascii="Times" w:hAnsi="Times" w:cs="Arial"/>
        </w:rPr>
      </w:pPr>
    </w:p>
    <w:p w14:paraId="359A34AE" w14:textId="1E5FE579" w:rsidR="004D5A76" w:rsidRPr="004D5A76" w:rsidRDefault="004D5A76" w:rsidP="004D5A76">
      <w:pPr>
        <w:spacing w:line="360" w:lineRule="auto"/>
        <w:jc w:val="both"/>
        <w:rPr>
          <w:rFonts w:ascii="Times" w:hAnsi="Times" w:cs="Arial"/>
          <w:b/>
          <w:bCs/>
        </w:rPr>
      </w:pPr>
      <w:r w:rsidRPr="004D5A76">
        <w:rPr>
          <w:rFonts w:ascii="Times" w:hAnsi="Times" w:cs="Arial"/>
          <w:b/>
          <w:bCs/>
        </w:rPr>
        <w:t>Integrating Sustainability</w:t>
      </w:r>
    </w:p>
    <w:p w14:paraId="0D8690AE" w14:textId="6C21DBCD" w:rsidR="00230338" w:rsidRPr="004D5A76" w:rsidRDefault="00230338" w:rsidP="004D5A76">
      <w:pPr>
        <w:spacing w:line="360" w:lineRule="auto"/>
        <w:jc w:val="both"/>
        <w:rPr>
          <w:rFonts w:ascii="Times" w:hAnsi="Times" w:cs="Arial"/>
        </w:rPr>
      </w:pPr>
      <w:r w:rsidRPr="004D5A76">
        <w:rPr>
          <w:rFonts w:ascii="Times" w:hAnsi="Times" w:cs="Arial"/>
        </w:rPr>
        <w:t xml:space="preserve">The sustainability plan mentions an ambition in aligning to the UN’s Sustainable Development Goals (SDG’S) but omitted </w:t>
      </w:r>
      <w:r w:rsidRPr="004D5A76">
        <w:rPr>
          <w:rFonts w:ascii="Times" w:hAnsi="Times" w:cs="Arial"/>
        </w:rPr>
        <w:t xml:space="preserve">an explanation of how it is aligned with the goals, and thus the shared global agenda. </w:t>
      </w:r>
      <w:r w:rsidR="004D5A76" w:rsidRPr="004D5A76">
        <w:rPr>
          <w:rFonts w:ascii="Times" w:hAnsi="Times" w:cs="Arial"/>
        </w:rPr>
        <w:t>The sustainability plan did not define a clear assessment plan with measurable science-based targets.</w:t>
      </w:r>
      <w:r w:rsidR="004D5A76" w:rsidRPr="004D5A76">
        <w:rPr>
          <w:rFonts w:ascii="Times" w:hAnsi="Times" w:cs="Arial"/>
        </w:rPr>
        <w:t xml:space="preserve"> </w:t>
      </w:r>
      <w:r w:rsidRPr="004D5A76">
        <w:rPr>
          <w:rFonts w:ascii="Times" w:hAnsi="Times"/>
        </w:rPr>
        <w:t>Integrating sustainability into a company requires key measures to ensure the improvement of its performance (</w:t>
      </w:r>
      <w:proofErr w:type="spellStart"/>
      <w:r w:rsidRPr="004D5A76">
        <w:rPr>
          <w:rFonts w:ascii="Times" w:hAnsi="Times"/>
        </w:rPr>
        <w:t>Schaltegger</w:t>
      </w:r>
      <w:proofErr w:type="spellEnd"/>
      <w:r w:rsidRPr="004D5A76">
        <w:rPr>
          <w:rFonts w:ascii="Times" w:hAnsi="Times"/>
        </w:rPr>
        <w:t xml:space="preserve"> and </w:t>
      </w:r>
      <w:proofErr w:type="spellStart"/>
      <w:r w:rsidRPr="004D5A76">
        <w:rPr>
          <w:rFonts w:ascii="Times" w:hAnsi="Times"/>
        </w:rPr>
        <w:t>Horisch</w:t>
      </w:r>
      <w:proofErr w:type="spellEnd"/>
      <w:r w:rsidRPr="004D5A76">
        <w:rPr>
          <w:rFonts w:ascii="Times" w:hAnsi="Times"/>
        </w:rPr>
        <w:t xml:space="preserve">, 2017). </w:t>
      </w:r>
      <w:proofErr w:type="spellStart"/>
      <w:r w:rsidRPr="004D5A76">
        <w:rPr>
          <w:rFonts w:ascii="Times" w:hAnsi="Times" w:cs="Arial"/>
        </w:rPr>
        <w:t>Terazono</w:t>
      </w:r>
      <w:proofErr w:type="spellEnd"/>
      <w:r w:rsidRPr="004D5A76">
        <w:rPr>
          <w:rFonts w:ascii="Times" w:hAnsi="Times" w:cs="Arial"/>
        </w:rPr>
        <w:t xml:space="preserve"> (2021) explains that metrics and rankings are now commonly used to advance sustainable practises, as well as highlighting the ‘poor </w:t>
      </w:r>
      <w:proofErr w:type="gramStart"/>
      <w:r w:rsidR="004D5A76" w:rsidRPr="004D5A76">
        <w:rPr>
          <w:rFonts w:ascii="Times" w:hAnsi="Times" w:cs="Arial"/>
        </w:rPr>
        <w:t>performers’</w:t>
      </w:r>
      <w:proofErr w:type="gramEnd"/>
      <w:r w:rsidR="004D5A76" w:rsidRPr="004D5A76">
        <w:rPr>
          <w:rFonts w:ascii="Times" w:hAnsi="Times" w:cs="Arial"/>
        </w:rPr>
        <w:t xml:space="preserve">. </w:t>
      </w:r>
      <w:r w:rsidRPr="004D5A76">
        <w:rPr>
          <w:rFonts w:ascii="Times" w:hAnsi="Times" w:cs="Arial"/>
        </w:rPr>
        <w:t xml:space="preserve"> </w:t>
      </w:r>
    </w:p>
    <w:p w14:paraId="203C33C0" w14:textId="77777777" w:rsidR="00230338" w:rsidRPr="004D5A76" w:rsidRDefault="00230338" w:rsidP="004D5A76">
      <w:pPr>
        <w:spacing w:line="360" w:lineRule="auto"/>
        <w:jc w:val="both"/>
        <w:rPr>
          <w:rFonts w:ascii="Times" w:hAnsi="Times" w:cs="Arial"/>
        </w:rPr>
      </w:pPr>
    </w:p>
    <w:p w14:paraId="491D6660" w14:textId="77777777" w:rsidR="004D5A76" w:rsidRPr="004D5A76" w:rsidRDefault="00230338" w:rsidP="004D5A76">
      <w:pPr>
        <w:spacing w:line="360" w:lineRule="auto"/>
        <w:jc w:val="both"/>
        <w:rPr>
          <w:rFonts w:ascii="Times" w:hAnsi="Times" w:cs="Arial"/>
        </w:rPr>
      </w:pPr>
      <w:r w:rsidRPr="004D5A76">
        <w:rPr>
          <w:rFonts w:ascii="Times" w:hAnsi="Times" w:cs="Arial"/>
        </w:rPr>
        <w:t>If businesses do not begin to publicise demonstrable targets, they may find that this impacts their market positioning. It is advised that understanding t</w:t>
      </w:r>
      <w:r w:rsidRPr="004D5A76">
        <w:rPr>
          <w:rFonts w:ascii="Times" w:hAnsi="Times" w:cs="Arial"/>
        </w:rPr>
        <w:t xml:space="preserve">he United Nations </w:t>
      </w:r>
      <w:r w:rsidRPr="004D5A76">
        <w:rPr>
          <w:rFonts w:ascii="Times" w:hAnsi="Times" w:cs="Arial"/>
        </w:rPr>
        <w:t xml:space="preserve">17 </w:t>
      </w:r>
      <w:r w:rsidRPr="004D5A76">
        <w:rPr>
          <w:rFonts w:ascii="Times" w:hAnsi="Times" w:cs="Arial"/>
        </w:rPr>
        <w:t xml:space="preserve">Sustainable Development Goals (SDGs) </w:t>
      </w:r>
      <w:r w:rsidRPr="004D5A76">
        <w:rPr>
          <w:rFonts w:ascii="Times" w:hAnsi="Times" w:cs="Arial"/>
        </w:rPr>
        <w:t>and how these align to business activity will</w:t>
      </w:r>
      <w:r w:rsidR="004D5A76" w:rsidRPr="004D5A76">
        <w:rPr>
          <w:rFonts w:ascii="Times" w:hAnsi="Times" w:cs="Arial"/>
        </w:rPr>
        <w:t xml:space="preserve"> </w:t>
      </w:r>
      <w:proofErr w:type="spellStart"/>
      <w:r w:rsidR="004D5A76" w:rsidRPr="004D5A76">
        <w:rPr>
          <w:rFonts w:ascii="Times" w:hAnsi="Times" w:cs="Arial"/>
        </w:rPr>
        <w:t>strenghten</w:t>
      </w:r>
      <w:proofErr w:type="spellEnd"/>
      <w:r w:rsidRPr="004D5A76">
        <w:rPr>
          <w:rFonts w:ascii="Times" w:hAnsi="Times" w:cs="Arial"/>
        </w:rPr>
        <w:t xml:space="preserve"> Good Club</w:t>
      </w:r>
      <w:r w:rsidR="004D5A76" w:rsidRPr="004D5A76">
        <w:rPr>
          <w:rFonts w:ascii="Times" w:hAnsi="Times" w:cs="Arial"/>
        </w:rPr>
        <w:t xml:space="preserve">’s market position </w:t>
      </w:r>
      <w:r w:rsidRPr="004D5A76">
        <w:rPr>
          <w:rFonts w:ascii="Times" w:hAnsi="Times" w:cs="Arial"/>
        </w:rPr>
        <w:t xml:space="preserve">against other sustainable business models. </w:t>
      </w:r>
    </w:p>
    <w:p w14:paraId="352A2239" w14:textId="77777777" w:rsidR="004D5A76" w:rsidRPr="004D5A76" w:rsidRDefault="004D5A76" w:rsidP="004D5A76">
      <w:pPr>
        <w:spacing w:line="360" w:lineRule="auto"/>
        <w:jc w:val="both"/>
        <w:rPr>
          <w:rFonts w:ascii="Times" w:hAnsi="Times" w:cs="Arial"/>
        </w:rPr>
      </w:pPr>
    </w:p>
    <w:p w14:paraId="7454AA85" w14:textId="7DB6BA98" w:rsidR="00230338" w:rsidRPr="004D5A76" w:rsidRDefault="004D5A76" w:rsidP="004D5A76">
      <w:pPr>
        <w:spacing w:line="360" w:lineRule="auto"/>
        <w:jc w:val="both"/>
        <w:rPr>
          <w:rFonts w:ascii="Times" w:hAnsi="Times" w:cs="Arial"/>
        </w:rPr>
      </w:pPr>
      <w:r>
        <w:rPr>
          <w:rFonts w:ascii="Times" w:hAnsi="Times" w:cs="Arial"/>
        </w:rPr>
        <w:t>Kauffman</w:t>
      </w:r>
      <w:r w:rsidR="00230338" w:rsidRPr="004D5A76">
        <w:rPr>
          <w:rFonts w:ascii="Times" w:hAnsi="Times" w:cs="Arial"/>
        </w:rPr>
        <w:t xml:space="preserve"> (2021) find that </w:t>
      </w:r>
      <w:proofErr w:type="gramStart"/>
      <w:r w:rsidR="00230338" w:rsidRPr="004D5A76">
        <w:rPr>
          <w:rFonts w:ascii="Times" w:hAnsi="Times" w:cs="Arial"/>
        </w:rPr>
        <w:t>SDG’s</w:t>
      </w:r>
      <w:proofErr w:type="gramEnd"/>
      <w:r w:rsidR="00230338" w:rsidRPr="004D5A76">
        <w:rPr>
          <w:rFonts w:ascii="Times" w:hAnsi="Times" w:cs="Arial"/>
        </w:rPr>
        <w:t xml:space="preserve"> </w:t>
      </w:r>
      <w:r w:rsidR="00230338" w:rsidRPr="004D5A76">
        <w:rPr>
          <w:rFonts w:ascii="Times" w:hAnsi="Times" w:cs="Arial"/>
        </w:rPr>
        <w:t>are increasingly being aligned to business activity. A recent report from KPMG (2021) shows that 43% of the world’s largest 250 companies are now linking their sustainability reporting to the SDGs (</w:t>
      </w:r>
      <w:r>
        <w:rPr>
          <w:rFonts w:ascii="Times" w:hAnsi="Times" w:cs="Arial"/>
        </w:rPr>
        <w:t>Kauffman</w:t>
      </w:r>
      <w:r w:rsidR="00230338" w:rsidRPr="004D5A76">
        <w:rPr>
          <w:rFonts w:ascii="Times" w:hAnsi="Times" w:cs="Arial"/>
        </w:rPr>
        <w:t xml:space="preserve">, 2021). </w:t>
      </w:r>
      <w:r w:rsidR="00230338" w:rsidRPr="004D5A76">
        <w:rPr>
          <w:rFonts w:ascii="Times" w:hAnsi="Times" w:cs="Arial"/>
        </w:rPr>
        <w:t>Setting meaningful science-based targets aligned to SDG’s helps embed sustainability across the business (CISL, 2018) taking a holistic view throughout the operation. Understanding the SDG’s and the need for ecological, environmental</w:t>
      </w:r>
      <w:r w:rsidRPr="004D5A76">
        <w:rPr>
          <w:rFonts w:ascii="Times" w:hAnsi="Times" w:cs="Arial"/>
        </w:rPr>
        <w:t>,</w:t>
      </w:r>
      <w:r w:rsidR="00230338" w:rsidRPr="004D5A76">
        <w:rPr>
          <w:rFonts w:ascii="Times" w:hAnsi="Times" w:cs="Arial"/>
        </w:rPr>
        <w:t xml:space="preserve"> </w:t>
      </w:r>
      <w:r w:rsidRPr="004D5A76">
        <w:rPr>
          <w:rFonts w:ascii="Times" w:hAnsi="Times" w:cs="Arial"/>
        </w:rPr>
        <w:t>economic,</w:t>
      </w:r>
      <w:r w:rsidR="00230338" w:rsidRPr="004D5A76">
        <w:rPr>
          <w:rFonts w:ascii="Times" w:hAnsi="Times" w:cs="Arial"/>
        </w:rPr>
        <w:t xml:space="preserve"> and social considerations enables a true perspective when understanding the urgency behind business for purpose. </w:t>
      </w:r>
      <w:r w:rsidR="00230338" w:rsidRPr="004D5A76">
        <w:rPr>
          <w:rFonts w:ascii="Times" w:hAnsi="Times"/>
        </w:rPr>
        <w:t>The SDG’s will be discussed</w:t>
      </w:r>
      <w:r w:rsidRPr="004D5A76">
        <w:rPr>
          <w:rFonts w:ascii="Times" w:hAnsi="Times"/>
        </w:rPr>
        <w:t xml:space="preserve"> in detail</w:t>
      </w:r>
      <w:r w:rsidR="00230338" w:rsidRPr="004D5A76">
        <w:rPr>
          <w:rFonts w:ascii="Times" w:hAnsi="Times"/>
        </w:rPr>
        <w:t xml:space="preserve"> within the presentation</w:t>
      </w:r>
      <w:r w:rsidR="00230338" w:rsidRPr="004D5A76">
        <w:rPr>
          <w:rFonts w:ascii="Times" w:hAnsi="Times"/>
        </w:rPr>
        <w:t xml:space="preserve"> that </w:t>
      </w:r>
      <w:r w:rsidR="00230338" w:rsidRPr="004D5A76">
        <w:rPr>
          <w:rFonts w:ascii="Times" w:hAnsi="Times"/>
        </w:rPr>
        <w:t>follow</w:t>
      </w:r>
      <w:r w:rsidR="00230338" w:rsidRPr="004D5A76">
        <w:rPr>
          <w:rFonts w:ascii="Times" w:hAnsi="Times"/>
        </w:rPr>
        <w:t>s</w:t>
      </w:r>
      <w:r w:rsidR="00230338" w:rsidRPr="004D5A76">
        <w:rPr>
          <w:rFonts w:ascii="Times" w:hAnsi="Times"/>
        </w:rPr>
        <w:t xml:space="preserve"> this report</w:t>
      </w:r>
      <w:r w:rsidR="00230338" w:rsidRPr="004D5A76">
        <w:rPr>
          <w:rFonts w:ascii="Times" w:hAnsi="Times"/>
        </w:rPr>
        <w:t>, see Appendi</w:t>
      </w:r>
      <w:r w:rsidRPr="004D5A76">
        <w:rPr>
          <w:rFonts w:ascii="Times" w:hAnsi="Times"/>
        </w:rPr>
        <w:t>x</w:t>
      </w:r>
      <w:r w:rsidR="00230338" w:rsidRPr="004D5A76">
        <w:rPr>
          <w:rFonts w:ascii="Times" w:hAnsi="Times"/>
        </w:rPr>
        <w:t xml:space="preserve">. </w:t>
      </w:r>
    </w:p>
    <w:p w14:paraId="6B6EA2DD" w14:textId="5FF311BF" w:rsidR="00230338" w:rsidRDefault="00230338" w:rsidP="004D5A76">
      <w:pPr>
        <w:spacing w:line="360" w:lineRule="auto"/>
        <w:jc w:val="both"/>
        <w:rPr>
          <w:rFonts w:ascii="Times" w:hAnsi="Times"/>
        </w:rPr>
      </w:pPr>
    </w:p>
    <w:p w14:paraId="0AFCB9F9" w14:textId="5A4EF2B4" w:rsidR="004D5A76" w:rsidRPr="004D5A76" w:rsidRDefault="004D5A76" w:rsidP="004D5A76">
      <w:pPr>
        <w:spacing w:line="360" w:lineRule="auto"/>
        <w:jc w:val="both"/>
        <w:rPr>
          <w:rFonts w:ascii="Times" w:hAnsi="Times"/>
          <w:b/>
          <w:bCs/>
        </w:rPr>
      </w:pPr>
      <w:r w:rsidRPr="004D5A76">
        <w:rPr>
          <w:rFonts w:ascii="Times" w:hAnsi="Times"/>
          <w:b/>
          <w:bCs/>
        </w:rPr>
        <w:t>Redefining Value</w:t>
      </w:r>
    </w:p>
    <w:p w14:paraId="2D7D3F69" w14:textId="77777777" w:rsidR="004D5A76" w:rsidRPr="004D5A76" w:rsidRDefault="00230338" w:rsidP="004D5A76">
      <w:pPr>
        <w:spacing w:line="360" w:lineRule="auto"/>
        <w:jc w:val="both"/>
        <w:rPr>
          <w:rFonts w:ascii="Times" w:hAnsi="Times"/>
        </w:rPr>
      </w:pPr>
      <w:r w:rsidRPr="004D5A76">
        <w:rPr>
          <w:rFonts w:ascii="Times" w:hAnsi="Times"/>
        </w:rPr>
        <w:t>Being a venture backed start</w:t>
      </w:r>
      <w:r w:rsidRPr="004D5A76">
        <w:rPr>
          <w:rFonts w:ascii="Times" w:hAnsi="Times"/>
        </w:rPr>
        <w:t>-</w:t>
      </w:r>
      <w:r w:rsidRPr="004D5A76">
        <w:rPr>
          <w:rFonts w:ascii="Times" w:hAnsi="Times"/>
        </w:rPr>
        <w:t xml:space="preserve">up Good Club will feel pressures to move beyond economic results to focus on social and economic outcomes (Cosby 2014), whilst managing the widely understood conflict of achieving long-term transition whilst delivering short-term results (CISL, 2018). </w:t>
      </w:r>
      <w:r w:rsidRPr="004D5A76">
        <w:rPr>
          <w:rFonts w:ascii="Times" w:hAnsi="Times"/>
        </w:rPr>
        <w:t xml:space="preserve">Businesses that are successful in the long-term </w:t>
      </w:r>
      <w:r w:rsidR="004D5A76" w:rsidRPr="004D5A76">
        <w:rPr>
          <w:rFonts w:ascii="Times" w:hAnsi="Times"/>
        </w:rPr>
        <w:t>are</w:t>
      </w:r>
      <w:r w:rsidRPr="004D5A76">
        <w:rPr>
          <w:rFonts w:ascii="Times" w:hAnsi="Times"/>
        </w:rPr>
        <w:t xml:space="preserve"> those that are clear about their </w:t>
      </w:r>
      <w:r w:rsidRPr="004D5A76">
        <w:rPr>
          <w:rFonts w:ascii="Times" w:hAnsi="Times"/>
        </w:rPr>
        <w:lastRenderedPageBreak/>
        <w:t xml:space="preserve">contribution to society (supported by clear SDG’s), and their profitability will result from being valued by society and stakeholders (CISL, 2018). </w:t>
      </w:r>
    </w:p>
    <w:p w14:paraId="5EC658AC" w14:textId="77777777" w:rsidR="004D5A76" w:rsidRPr="004D5A76" w:rsidRDefault="004D5A76" w:rsidP="004D5A76">
      <w:pPr>
        <w:spacing w:line="360" w:lineRule="auto"/>
        <w:jc w:val="both"/>
        <w:rPr>
          <w:rFonts w:ascii="Times" w:hAnsi="Times"/>
        </w:rPr>
      </w:pPr>
    </w:p>
    <w:p w14:paraId="544D6CF9" w14:textId="38F65FCF" w:rsidR="00230338" w:rsidRPr="004D5A76" w:rsidRDefault="00230338" w:rsidP="004D5A76">
      <w:pPr>
        <w:spacing w:line="360" w:lineRule="auto"/>
        <w:jc w:val="both"/>
        <w:rPr>
          <w:rFonts w:ascii="Times" w:hAnsi="Times"/>
        </w:rPr>
      </w:pPr>
      <w:r w:rsidRPr="004D5A76">
        <w:rPr>
          <w:rFonts w:ascii="Times" w:hAnsi="Times"/>
          <w:i/>
          <w:iCs/>
        </w:rPr>
        <w:t>“The value of an organisation far exceeds what the financial statements show”</w:t>
      </w:r>
      <w:r w:rsidRPr="004D5A76">
        <w:rPr>
          <w:rFonts w:ascii="Times" w:hAnsi="Times"/>
        </w:rPr>
        <w:t xml:space="preserve"> (Institute of Management Accounts, 2017). </w:t>
      </w:r>
    </w:p>
    <w:p w14:paraId="5C106369" w14:textId="77777777" w:rsidR="00230338" w:rsidRPr="004D5A76" w:rsidRDefault="00230338" w:rsidP="004D5A76">
      <w:pPr>
        <w:spacing w:line="360" w:lineRule="auto"/>
        <w:jc w:val="both"/>
        <w:rPr>
          <w:rFonts w:ascii="Times" w:hAnsi="Times"/>
        </w:rPr>
      </w:pPr>
    </w:p>
    <w:p w14:paraId="70EDDB1F" w14:textId="6C6F12CF" w:rsidR="00230338" w:rsidRPr="004D5A76" w:rsidRDefault="00230338" w:rsidP="004D5A76">
      <w:pPr>
        <w:spacing w:line="360" w:lineRule="auto"/>
        <w:jc w:val="both"/>
        <w:rPr>
          <w:rFonts w:ascii="Times" w:hAnsi="Times"/>
        </w:rPr>
      </w:pPr>
      <w:r w:rsidRPr="004D5A76">
        <w:rPr>
          <w:rFonts w:ascii="Times" w:hAnsi="Times"/>
        </w:rPr>
        <w:t xml:space="preserve">Recalculating capital and redefining value could significantly enhance Good Clubs strategic positioning. </w:t>
      </w:r>
      <w:r w:rsidRPr="004D5A76">
        <w:rPr>
          <w:rFonts w:ascii="Times" w:hAnsi="Times"/>
        </w:rPr>
        <w:t xml:space="preserve">To truly implement environment-first initiatives natural capital must be valued within the businesses financial modelling and planning. </w:t>
      </w:r>
    </w:p>
    <w:p w14:paraId="4760C1D8" w14:textId="65F95455" w:rsidR="00230338" w:rsidRPr="004D5A76" w:rsidRDefault="00230338" w:rsidP="004D5A76">
      <w:pPr>
        <w:spacing w:line="360" w:lineRule="auto"/>
        <w:jc w:val="both"/>
        <w:rPr>
          <w:rFonts w:ascii="Times" w:hAnsi="Times"/>
        </w:rPr>
      </w:pPr>
    </w:p>
    <w:p w14:paraId="6692A78E" w14:textId="7447E535" w:rsidR="00230338" w:rsidRPr="004D5A76" w:rsidRDefault="00230338" w:rsidP="004D5A76">
      <w:pPr>
        <w:spacing w:line="360" w:lineRule="auto"/>
        <w:jc w:val="both"/>
        <w:rPr>
          <w:rFonts w:ascii="Times" w:hAnsi="Times"/>
        </w:rPr>
      </w:pPr>
      <w:r w:rsidRPr="004D5A76">
        <w:rPr>
          <w:rFonts w:ascii="Times" w:hAnsi="Times"/>
        </w:rPr>
        <w:t xml:space="preserve">It is believed that Good Club is in a leading position, as an early adopter of a new business model - product-as-a-service - to be a pioneer in a shift to a circular economy within the grocery market. </w:t>
      </w:r>
      <w:r w:rsidRPr="004D5A76">
        <w:rPr>
          <w:rFonts w:ascii="Times" w:hAnsi="Times"/>
        </w:rPr>
        <w:t>Good Club’s mission to eliminate plastic waste from the traditional grocery model, introduc</w:t>
      </w:r>
      <w:r w:rsidRPr="004D5A76">
        <w:rPr>
          <w:rFonts w:ascii="Times" w:hAnsi="Times"/>
        </w:rPr>
        <w:t>ing</w:t>
      </w:r>
      <w:r w:rsidRPr="004D5A76">
        <w:rPr>
          <w:rFonts w:ascii="Times" w:hAnsi="Times"/>
        </w:rPr>
        <w:t xml:space="preserve"> a circular, reusable way of shopping</w:t>
      </w:r>
      <w:r w:rsidRPr="004D5A76">
        <w:rPr>
          <w:rFonts w:ascii="Times" w:hAnsi="Times"/>
        </w:rPr>
        <w:t xml:space="preserve"> provides</w:t>
      </w:r>
      <w:r w:rsidRPr="004D5A76">
        <w:rPr>
          <w:rFonts w:ascii="Times" w:hAnsi="Times"/>
        </w:rPr>
        <w:t xml:space="preserve"> a considerable competitive advantage</w:t>
      </w:r>
      <w:r w:rsidRPr="004D5A76">
        <w:rPr>
          <w:rFonts w:ascii="Times" w:hAnsi="Times"/>
        </w:rPr>
        <w:t xml:space="preserve">. Reusable packaging is a critical part of the solution to eliminate plastic pollution (Ellen Macarthur Foundation 2019). </w:t>
      </w:r>
      <w:r w:rsidRPr="004D5A76">
        <w:rPr>
          <w:rFonts w:ascii="Times" w:hAnsi="Times"/>
        </w:rPr>
        <w:t>The Ellen Macarthur Foundation (2019) found that converting 20% of plastic packaging into reuse</w:t>
      </w:r>
      <w:r w:rsidR="004D5A76" w:rsidRPr="004D5A76">
        <w:rPr>
          <w:rFonts w:ascii="Times" w:hAnsi="Times"/>
        </w:rPr>
        <w:t xml:space="preserve"> </w:t>
      </w:r>
      <w:r w:rsidRPr="004D5A76">
        <w:rPr>
          <w:rFonts w:ascii="Times" w:hAnsi="Times"/>
        </w:rPr>
        <w:t xml:space="preserve">is </w:t>
      </w:r>
      <w:r w:rsidR="004D5A76" w:rsidRPr="004D5A76">
        <w:rPr>
          <w:rFonts w:ascii="Times" w:hAnsi="Times"/>
        </w:rPr>
        <w:t>worth</w:t>
      </w:r>
      <w:r w:rsidRPr="004D5A76">
        <w:rPr>
          <w:rFonts w:ascii="Times" w:hAnsi="Times"/>
        </w:rPr>
        <w:t xml:space="preserve"> $10billion</w:t>
      </w:r>
      <w:r w:rsidRPr="004D5A76">
        <w:rPr>
          <w:rFonts w:ascii="Times" w:hAnsi="Times"/>
        </w:rPr>
        <w:t xml:space="preserve">, making rethinking packaging both a significant business advantage, in addition to having environmental imperative. </w:t>
      </w:r>
      <w:r w:rsidR="004D5A76" w:rsidRPr="004D5A76">
        <w:rPr>
          <w:rFonts w:ascii="Times" w:hAnsi="Times"/>
        </w:rPr>
        <w:t xml:space="preserve">This provides Good Club with a significant opportunity, to adopt clear principles and implement well-thought strategies, to optimise their leading position. </w:t>
      </w:r>
    </w:p>
    <w:p w14:paraId="1B3074BC" w14:textId="2CFB2125" w:rsidR="00230338" w:rsidRPr="004D5A76" w:rsidRDefault="00230338" w:rsidP="004D5A76">
      <w:pPr>
        <w:spacing w:line="360" w:lineRule="auto"/>
        <w:jc w:val="both"/>
        <w:rPr>
          <w:rFonts w:ascii="Times" w:hAnsi="Times"/>
        </w:rPr>
      </w:pPr>
    </w:p>
    <w:p w14:paraId="296485AD" w14:textId="21C1B6B7" w:rsidR="00230338" w:rsidRPr="004D5A76" w:rsidRDefault="00230338" w:rsidP="004D5A76">
      <w:pPr>
        <w:spacing w:line="360" w:lineRule="auto"/>
        <w:jc w:val="both"/>
        <w:rPr>
          <w:rFonts w:ascii="Times" w:hAnsi="Times"/>
        </w:rPr>
      </w:pPr>
      <w:r w:rsidRPr="004D5A76">
        <w:rPr>
          <w:rFonts w:ascii="Times" w:hAnsi="Times"/>
        </w:rPr>
        <w:t xml:space="preserve">Customer behaviours are more sophisticated and open to changes in shopping habits. </w:t>
      </w:r>
      <w:r w:rsidRPr="004D5A76">
        <w:rPr>
          <w:rFonts w:ascii="Times" w:hAnsi="Times"/>
        </w:rPr>
        <w:t>Deloitte (2021) found that “avoiding single-use plastics is the most common way consumers demonstrate a commitment to sustainability” with 61% of consumers saying they have cut back.</w:t>
      </w:r>
      <w:r w:rsidRPr="004D5A76">
        <w:rPr>
          <w:rFonts w:ascii="Times" w:hAnsi="Times"/>
        </w:rPr>
        <w:t xml:space="preserve"> Good Club can leverage these shifting preferences to achieve scalable growth. Moving from single use to reuse not only helps eliminate plastic waste, but perhaps more importantly offer</w:t>
      </w:r>
      <w:r w:rsidR="004D5A76" w:rsidRPr="004D5A76">
        <w:rPr>
          <w:rFonts w:ascii="Times" w:hAnsi="Times"/>
        </w:rPr>
        <w:t>s</w:t>
      </w:r>
      <w:r w:rsidRPr="004D5A76">
        <w:rPr>
          <w:rFonts w:ascii="Times" w:hAnsi="Times"/>
        </w:rPr>
        <w:t xml:space="preserve"> significant reductions in greenhouse gas emissions. This provides Good Club with measurable data targets to achieve its Tech Zero commitments. </w:t>
      </w:r>
    </w:p>
    <w:p w14:paraId="1246542F" w14:textId="1F8B3D5C" w:rsidR="00230338" w:rsidRDefault="00230338" w:rsidP="004D5A76">
      <w:pPr>
        <w:spacing w:line="360" w:lineRule="auto"/>
        <w:jc w:val="both"/>
        <w:rPr>
          <w:rFonts w:ascii="Times" w:hAnsi="Times"/>
        </w:rPr>
      </w:pPr>
    </w:p>
    <w:p w14:paraId="3BBDB2B6" w14:textId="60C190D8" w:rsidR="004D5A76" w:rsidRPr="004D5A76" w:rsidRDefault="004D5A76" w:rsidP="004D5A76">
      <w:pPr>
        <w:spacing w:line="360" w:lineRule="auto"/>
        <w:jc w:val="both"/>
        <w:rPr>
          <w:rFonts w:ascii="Times" w:hAnsi="Times"/>
          <w:b/>
          <w:bCs/>
        </w:rPr>
      </w:pPr>
      <w:r w:rsidRPr="004D5A76">
        <w:rPr>
          <w:rFonts w:ascii="Times" w:hAnsi="Times"/>
          <w:b/>
          <w:bCs/>
        </w:rPr>
        <w:t>Circularity</w:t>
      </w:r>
    </w:p>
    <w:p w14:paraId="2BFE98EC" w14:textId="08A10740" w:rsidR="00230338" w:rsidRPr="004D5A76" w:rsidRDefault="00230338" w:rsidP="004D5A76">
      <w:pPr>
        <w:spacing w:line="360" w:lineRule="auto"/>
        <w:jc w:val="both"/>
        <w:rPr>
          <w:rFonts w:ascii="Times" w:hAnsi="Times"/>
        </w:rPr>
      </w:pPr>
      <w:r w:rsidRPr="004D5A76">
        <w:rPr>
          <w:rFonts w:ascii="Times" w:hAnsi="Times"/>
        </w:rPr>
        <w:t xml:space="preserve">A focus on circularity does require </w:t>
      </w:r>
      <w:r w:rsidRPr="004D5A76">
        <w:rPr>
          <w:rFonts w:ascii="Times" w:hAnsi="Times"/>
        </w:rPr>
        <w:t xml:space="preserve">Good Club </w:t>
      </w:r>
      <w:r w:rsidRPr="004D5A76">
        <w:rPr>
          <w:rFonts w:ascii="Times" w:hAnsi="Times"/>
        </w:rPr>
        <w:t>to look</w:t>
      </w:r>
      <w:r w:rsidRPr="004D5A76">
        <w:rPr>
          <w:rFonts w:ascii="Times" w:hAnsi="Times"/>
        </w:rPr>
        <w:t xml:space="preserve"> at every element of </w:t>
      </w:r>
      <w:r w:rsidRPr="004D5A76">
        <w:rPr>
          <w:rFonts w:ascii="Times" w:hAnsi="Times"/>
        </w:rPr>
        <w:t>its</w:t>
      </w:r>
      <w:r w:rsidRPr="004D5A76">
        <w:rPr>
          <w:rFonts w:ascii="Times" w:hAnsi="Times"/>
        </w:rPr>
        <w:t xml:space="preserve"> product and service. Reviewing this from a cradle-to-cradle perspective</w:t>
      </w:r>
      <w:r w:rsidRPr="004D5A76">
        <w:rPr>
          <w:rFonts w:ascii="Times" w:hAnsi="Times"/>
        </w:rPr>
        <w:t xml:space="preserve"> allows an analysis into the circulation of materials and nutrients in the various stages of a product’s lifecycle, optimising </w:t>
      </w:r>
      <w:r w:rsidRPr="004D5A76">
        <w:rPr>
          <w:rFonts w:ascii="Times" w:hAnsi="Times"/>
        </w:rPr>
        <w:lastRenderedPageBreak/>
        <w:t xml:space="preserve">products from molecular to modular. This would allow Good Club an opportunity to move away from a position of ‘reducing their impact’ rather seeking innovative, cradle-to-cradle, positive and meaningful solutions (EPEA, 2021). The Cradle-to-Cradle and Circular Economy will be explored more within the presentation, found in Appendix A. </w:t>
      </w:r>
      <w:r w:rsidRPr="004D5A76">
        <w:rPr>
          <w:rFonts w:ascii="Times" w:hAnsi="Times"/>
        </w:rPr>
        <w:t xml:space="preserve"> </w:t>
      </w:r>
    </w:p>
    <w:p w14:paraId="56AB7BCD" w14:textId="7CDE9C16" w:rsidR="00230338" w:rsidRDefault="00230338" w:rsidP="004D5A76">
      <w:pPr>
        <w:spacing w:line="360" w:lineRule="auto"/>
        <w:jc w:val="both"/>
        <w:rPr>
          <w:rFonts w:ascii="Times" w:hAnsi="Times"/>
        </w:rPr>
      </w:pPr>
    </w:p>
    <w:p w14:paraId="0316EE3C" w14:textId="57231AB0" w:rsidR="004D5A76" w:rsidRPr="004D5A76" w:rsidRDefault="004D5A76" w:rsidP="004D5A76">
      <w:pPr>
        <w:spacing w:line="360" w:lineRule="auto"/>
        <w:jc w:val="both"/>
        <w:rPr>
          <w:rFonts w:ascii="Times" w:hAnsi="Times"/>
          <w:b/>
          <w:bCs/>
        </w:rPr>
      </w:pPr>
      <w:r>
        <w:rPr>
          <w:rFonts w:ascii="Times" w:hAnsi="Times"/>
          <w:b/>
          <w:bCs/>
        </w:rPr>
        <w:t xml:space="preserve">Cultural Change </w:t>
      </w:r>
    </w:p>
    <w:p w14:paraId="14FC224F" w14:textId="39D513E3" w:rsidR="00230338" w:rsidRPr="004D5A76" w:rsidRDefault="00230338" w:rsidP="004D5A76">
      <w:pPr>
        <w:spacing w:line="360" w:lineRule="auto"/>
        <w:jc w:val="both"/>
        <w:rPr>
          <w:rFonts w:ascii="Times" w:hAnsi="Times"/>
        </w:rPr>
      </w:pPr>
      <w:r w:rsidRPr="004D5A76">
        <w:rPr>
          <w:rFonts w:ascii="Times" w:hAnsi="Times"/>
        </w:rPr>
        <w:t xml:space="preserve">While the </w:t>
      </w:r>
      <w:r w:rsidRPr="004D5A76">
        <w:rPr>
          <w:rFonts w:ascii="Times" w:hAnsi="Times"/>
        </w:rPr>
        <w:t xml:space="preserve">plan </w:t>
      </w:r>
      <w:r w:rsidRPr="004D5A76">
        <w:rPr>
          <w:rFonts w:ascii="Times" w:hAnsi="Times"/>
        </w:rPr>
        <w:t xml:space="preserve">highlights some aims, </w:t>
      </w:r>
      <w:r w:rsidRPr="004D5A76">
        <w:rPr>
          <w:rFonts w:ascii="Times" w:hAnsi="Times"/>
        </w:rPr>
        <w:t>goals,</w:t>
      </w:r>
      <w:r w:rsidRPr="004D5A76">
        <w:rPr>
          <w:rFonts w:ascii="Times" w:hAnsi="Times"/>
        </w:rPr>
        <w:t xml:space="preserve"> and objectives the most important element is the deliverability of these aspects. To deliver on these goals we require support from senior decision-makers, </w:t>
      </w:r>
      <w:r w:rsidRPr="004D5A76">
        <w:rPr>
          <w:rFonts w:ascii="Times" w:hAnsi="Times"/>
        </w:rPr>
        <w:t xml:space="preserve">ensuring </w:t>
      </w:r>
      <w:r w:rsidRPr="004D5A76">
        <w:rPr>
          <w:rFonts w:ascii="Times" w:hAnsi="Times"/>
        </w:rPr>
        <w:t>resource and investment</w:t>
      </w:r>
      <w:r w:rsidRPr="004D5A76">
        <w:rPr>
          <w:rFonts w:ascii="Times" w:hAnsi="Times"/>
        </w:rPr>
        <w:t xml:space="preserve"> can </w:t>
      </w:r>
      <w:r w:rsidRPr="004D5A76">
        <w:rPr>
          <w:rFonts w:ascii="Times" w:hAnsi="Times"/>
        </w:rPr>
        <w:t>be prioritised and aligned with wider company strategie</w:t>
      </w:r>
      <w:r w:rsidRPr="004D5A76">
        <w:rPr>
          <w:rFonts w:ascii="Times" w:hAnsi="Times"/>
        </w:rPr>
        <w:t xml:space="preserve">s. Cosby (2014) finds that human resource development is fundamental in the promotion of sustainable business models and transforming workplaces. Ecological competence, business acumen, strategic planning and change management are competencies required for accomplishing a sustainability strategic vision (Cosby 2014). Good Club should review internal resource and appoint a valued candidate that portrays these competencies and can therefore support Good Club in their transition. </w:t>
      </w:r>
    </w:p>
    <w:p w14:paraId="43B6153C" w14:textId="77777777" w:rsidR="004D5A76" w:rsidRDefault="004D5A76" w:rsidP="004D5A76">
      <w:pPr>
        <w:spacing w:line="360" w:lineRule="auto"/>
        <w:jc w:val="both"/>
        <w:rPr>
          <w:rFonts w:ascii="Times" w:hAnsi="Times"/>
          <w:color w:val="A5A5A5" w:themeColor="accent3"/>
        </w:rPr>
      </w:pPr>
    </w:p>
    <w:p w14:paraId="62DF64D2" w14:textId="7C9308FA" w:rsidR="00230338" w:rsidRPr="004D5A76" w:rsidRDefault="00230338" w:rsidP="004D5A76">
      <w:pPr>
        <w:spacing w:line="360" w:lineRule="auto"/>
        <w:jc w:val="both"/>
        <w:rPr>
          <w:rFonts w:ascii="Times" w:eastAsia="Times New Roman" w:hAnsi="Times" w:cs="Times New Roman"/>
          <w:lang w:eastAsia="en-GB"/>
        </w:rPr>
      </w:pPr>
      <w:r w:rsidRPr="00B31F50">
        <w:rPr>
          <w:rFonts w:ascii="Times" w:eastAsia="Times New Roman" w:hAnsi="Times" w:cs="Times New Roman"/>
          <w:lang w:eastAsia="en-GB"/>
        </w:rPr>
        <w:t xml:space="preserve"> “Sustainability is at its core an issue requiring</w:t>
      </w:r>
      <w:r w:rsidRPr="004D5A76">
        <w:rPr>
          <w:rFonts w:ascii="Times" w:eastAsia="Times New Roman" w:hAnsi="Times" w:cs="Times New Roman"/>
          <w:lang w:eastAsia="en-GB"/>
        </w:rPr>
        <w:t xml:space="preserve"> </w:t>
      </w:r>
      <w:r w:rsidRPr="00B31F50">
        <w:rPr>
          <w:rFonts w:ascii="Times" w:eastAsia="Times New Roman" w:hAnsi="Times" w:cs="Times New Roman"/>
          <w:lang w:eastAsia="en-GB"/>
        </w:rPr>
        <w:t>organizational cultural change”</w:t>
      </w:r>
      <w:r w:rsidR="004D5A76">
        <w:rPr>
          <w:rFonts w:ascii="Times" w:eastAsia="Times New Roman" w:hAnsi="Times" w:cs="Times New Roman"/>
          <w:lang w:eastAsia="en-GB"/>
        </w:rPr>
        <w:t xml:space="preserve"> </w:t>
      </w:r>
      <w:r w:rsidR="004D5A76" w:rsidRPr="004D5A76">
        <w:rPr>
          <w:rFonts w:ascii="Times" w:eastAsia="Times New Roman" w:hAnsi="Times" w:cs="Times New Roman"/>
          <w:color w:val="000000" w:themeColor="text1"/>
          <w:lang w:eastAsia="en-GB"/>
        </w:rPr>
        <w:t>(</w:t>
      </w:r>
      <w:r w:rsidR="004D5A76" w:rsidRPr="00B31F50">
        <w:rPr>
          <w:rFonts w:ascii="Times" w:eastAsia="Times New Roman" w:hAnsi="Times" w:cs="Times New Roman"/>
          <w:color w:val="000000" w:themeColor="text1"/>
          <w:lang w:eastAsia="en-GB"/>
        </w:rPr>
        <w:t>Hitchcock and Willard</w:t>
      </w:r>
      <w:r w:rsidR="004D5A76" w:rsidRPr="004D5A76">
        <w:rPr>
          <w:rFonts w:ascii="Times" w:eastAsia="Times New Roman" w:hAnsi="Times" w:cs="Times New Roman"/>
          <w:color w:val="000000" w:themeColor="text1"/>
          <w:lang w:eastAsia="en-GB"/>
        </w:rPr>
        <w:t xml:space="preserve"> 2006)</w:t>
      </w:r>
      <w:r w:rsidRPr="004D5A76">
        <w:rPr>
          <w:rFonts w:ascii="Times" w:eastAsia="Times New Roman" w:hAnsi="Times" w:cs="Times New Roman"/>
          <w:color w:val="000000" w:themeColor="text1"/>
          <w:lang w:eastAsia="en-GB"/>
        </w:rPr>
        <w:t>. I</w:t>
      </w:r>
      <w:r w:rsidRPr="004D5A76">
        <w:rPr>
          <w:rFonts w:ascii="Times" w:eastAsia="Times New Roman" w:hAnsi="Times" w:cs="Times New Roman"/>
          <w:lang w:eastAsia="en-GB"/>
        </w:rPr>
        <w:t>mplementing the sustainability initiatives and ambitions set out in the plan require a significant change in the culture of Good Club, how it is being led, how decisions are made, how resources are treated</w:t>
      </w:r>
      <w:r w:rsidR="004D5A76" w:rsidRPr="004D5A76">
        <w:rPr>
          <w:rFonts w:ascii="Times" w:eastAsia="Times New Roman" w:hAnsi="Times" w:cs="Times New Roman"/>
          <w:lang w:eastAsia="en-GB"/>
        </w:rPr>
        <w:t>, how the operations are viewed.</w:t>
      </w:r>
      <w:r w:rsidRPr="004D5A76">
        <w:rPr>
          <w:rFonts w:ascii="Times" w:eastAsia="Times New Roman" w:hAnsi="Times" w:cs="Times New Roman"/>
          <w:lang w:eastAsia="en-GB"/>
        </w:rPr>
        <w:t xml:space="preserve"> To truly integrate sustainability</w:t>
      </w:r>
      <w:r w:rsidR="004D5A76" w:rsidRPr="004D5A76">
        <w:rPr>
          <w:rFonts w:ascii="Times" w:eastAsia="Times New Roman" w:hAnsi="Times" w:cs="Times New Roman"/>
          <w:lang w:eastAsia="en-GB"/>
        </w:rPr>
        <w:t>,</w:t>
      </w:r>
      <w:r w:rsidRPr="004D5A76">
        <w:rPr>
          <w:rFonts w:ascii="Times" w:eastAsia="Times New Roman" w:hAnsi="Times" w:cs="Times New Roman"/>
          <w:lang w:eastAsia="en-GB"/>
        </w:rPr>
        <w:t xml:space="preserve"> businesses</w:t>
      </w:r>
      <w:r w:rsidR="004D5A76" w:rsidRPr="004D5A76">
        <w:rPr>
          <w:rFonts w:ascii="Times" w:eastAsia="Times New Roman" w:hAnsi="Times" w:cs="Times New Roman"/>
          <w:lang w:eastAsia="en-GB"/>
        </w:rPr>
        <w:t xml:space="preserve"> </w:t>
      </w:r>
      <w:r w:rsidRPr="004D5A76">
        <w:rPr>
          <w:rFonts w:ascii="Times" w:eastAsia="Times New Roman" w:hAnsi="Times" w:cs="Times New Roman"/>
          <w:lang w:eastAsia="en-GB"/>
        </w:rPr>
        <w:t xml:space="preserve">need willing, and informed leaders. </w:t>
      </w:r>
    </w:p>
    <w:p w14:paraId="3BFDCA37" w14:textId="77777777" w:rsidR="00230338" w:rsidRPr="004D5A76" w:rsidRDefault="00230338" w:rsidP="004D5A76">
      <w:pPr>
        <w:spacing w:line="360" w:lineRule="auto"/>
        <w:jc w:val="both"/>
        <w:rPr>
          <w:rFonts w:ascii="Times" w:eastAsia="Times New Roman" w:hAnsi="Times" w:cs="Times New Roman"/>
          <w:lang w:eastAsia="en-GB"/>
        </w:rPr>
      </w:pPr>
    </w:p>
    <w:p w14:paraId="46322620" w14:textId="3B8C7A65" w:rsidR="00230338" w:rsidRPr="004D5A76" w:rsidRDefault="00230338" w:rsidP="004D5A76">
      <w:pPr>
        <w:spacing w:line="360" w:lineRule="auto"/>
        <w:jc w:val="both"/>
        <w:rPr>
          <w:rFonts w:ascii="Times" w:eastAsia="Times New Roman" w:hAnsi="Times" w:cs="Times New Roman"/>
          <w:lang w:eastAsia="en-GB"/>
        </w:rPr>
      </w:pPr>
      <w:r w:rsidRPr="004D5A76">
        <w:rPr>
          <w:rFonts w:ascii="Times" w:eastAsia="Times New Roman" w:hAnsi="Times" w:cs="Times New Roman"/>
          <w:lang w:eastAsia="en-GB"/>
        </w:rPr>
        <w:t>Taylor (201</w:t>
      </w:r>
      <w:r w:rsidR="004D5A76">
        <w:rPr>
          <w:rFonts w:ascii="Times" w:eastAsia="Times New Roman" w:hAnsi="Times" w:cs="Times New Roman"/>
          <w:lang w:eastAsia="en-GB"/>
        </w:rPr>
        <w:t>8</w:t>
      </w:r>
      <w:r w:rsidRPr="004D5A76">
        <w:rPr>
          <w:rFonts w:ascii="Times" w:eastAsia="Times New Roman" w:hAnsi="Times" w:cs="Times New Roman"/>
          <w:lang w:eastAsia="en-GB"/>
        </w:rPr>
        <w:t xml:space="preserve">) suggests that a shift in mindset is required from leadership with a “broader perspective of the greater good and the longer-term”, this requires Executives to see value in the long-term </w:t>
      </w:r>
      <w:r w:rsidR="004D5A76" w:rsidRPr="004D5A76">
        <w:rPr>
          <w:rFonts w:ascii="Times" w:eastAsia="Times New Roman" w:hAnsi="Times" w:cs="Times New Roman"/>
          <w:lang w:eastAsia="en-GB"/>
        </w:rPr>
        <w:t xml:space="preserve">planning </w:t>
      </w:r>
      <w:r w:rsidRPr="004D5A76">
        <w:rPr>
          <w:rFonts w:ascii="Times" w:eastAsia="Times New Roman" w:hAnsi="Times" w:cs="Times New Roman"/>
          <w:lang w:eastAsia="en-GB"/>
        </w:rPr>
        <w:t>and having the courage and willingness to look beyond the short-term financials. A cultural change requires shift in the behaviours, symbols, and systems within an organisation</w:t>
      </w:r>
      <w:r w:rsidR="004D5A76">
        <w:rPr>
          <w:rFonts w:ascii="Times" w:eastAsia="Times New Roman" w:hAnsi="Times" w:cs="Times New Roman"/>
          <w:lang w:eastAsia="en-GB"/>
        </w:rPr>
        <w:t xml:space="preserve">. </w:t>
      </w:r>
    </w:p>
    <w:p w14:paraId="116EB597" w14:textId="5F390E23" w:rsidR="00230338" w:rsidRPr="004D5A76" w:rsidRDefault="00230338" w:rsidP="004D5A76">
      <w:pPr>
        <w:spacing w:line="360" w:lineRule="auto"/>
        <w:jc w:val="both"/>
        <w:rPr>
          <w:rFonts w:ascii="Times" w:eastAsia="Times New Roman" w:hAnsi="Times" w:cs="Times New Roman"/>
          <w:lang w:eastAsia="en-GB"/>
        </w:rPr>
      </w:pPr>
    </w:p>
    <w:p w14:paraId="365635E7" w14:textId="1A9DC177" w:rsidR="00230338" w:rsidRPr="004D5A76" w:rsidRDefault="00230338" w:rsidP="004D5A76">
      <w:pPr>
        <w:spacing w:line="360" w:lineRule="auto"/>
        <w:jc w:val="both"/>
        <w:rPr>
          <w:rFonts w:ascii="Times" w:eastAsia="Times New Roman" w:hAnsi="Times" w:cs="Times New Roman"/>
          <w:lang w:eastAsia="en-GB"/>
        </w:rPr>
      </w:pPr>
      <w:r w:rsidRPr="004D5A76">
        <w:rPr>
          <w:rFonts w:ascii="Times" w:hAnsi="Times"/>
        </w:rPr>
        <w:t>Purpose was highlighted as a key element of being a ‘Smarter Business’ recognising the importan</w:t>
      </w:r>
      <w:r w:rsidRPr="004D5A76">
        <w:rPr>
          <w:rFonts w:ascii="Times" w:hAnsi="Times"/>
        </w:rPr>
        <w:t>ce</w:t>
      </w:r>
      <w:r w:rsidRPr="004D5A76">
        <w:rPr>
          <w:rFonts w:ascii="Times" w:hAnsi="Times"/>
        </w:rPr>
        <w:t xml:space="preserve"> of a clear vision and mission embedded within all strategic decisions</w:t>
      </w:r>
      <w:r w:rsidRPr="004D5A76">
        <w:rPr>
          <w:rFonts w:ascii="Times" w:hAnsi="Times"/>
        </w:rPr>
        <w:t xml:space="preserve">. Ensuring the mission and vision are </w:t>
      </w:r>
      <w:r w:rsidRPr="004D5A76">
        <w:rPr>
          <w:rFonts w:ascii="Times" w:hAnsi="Times"/>
        </w:rPr>
        <w:t xml:space="preserve">articulated clearly and honestly to all stakeholders. There is a concern that getting tied into the commerciality of business-as-usual, whilst skirting around ‘sustainable intentions’ without a clear understanding or true purpose of the cause and intentions could </w:t>
      </w:r>
      <w:r w:rsidRPr="004D5A76">
        <w:rPr>
          <w:rFonts w:ascii="Times" w:hAnsi="Times"/>
        </w:rPr>
        <w:lastRenderedPageBreak/>
        <w:t>become detrimental to the future of the company. It is advised that the senior leaders, truly consider the intention and purpose of the company. If it is to trade purposely, what is that purpose, and what is the main ambition of the company?</w:t>
      </w:r>
      <w:r w:rsidRPr="004D5A76">
        <w:rPr>
          <w:rFonts w:ascii="Times" w:hAnsi="Times"/>
        </w:rPr>
        <w:t xml:space="preserve"> </w:t>
      </w:r>
    </w:p>
    <w:p w14:paraId="3B1FF8A7" w14:textId="78C3B55D" w:rsidR="00230338" w:rsidRDefault="00230338" w:rsidP="004D5A76">
      <w:pPr>
        <w:spacing w:line="360" w:lineRule="auto"/>
        <w:jc w:val="both"/>
        <w:rPr>
          <w:rFonts w:ascii="Times" w:eastAsia="Times New Roman" w:hAnsi="Times" w:cs="Times New Roman"/>
          <w:lang w:eastAsia="en-GB"/>
        </w:rPr>
      </w:pPr>
    </w:p>
    <w:p w14:paraId="0711B26A" w14:textId="20E2EEBB" w:rsidR="004D5A76" w:rsidRPr="004D5A76" w:rsidRDefault="004D5A76" w:rsidP="004D5A76">
      <w:pPr>
        <w:spacing w:line="360" w:lineRule="auto"/>
        <w:jc w:val="both"/>
        <w:rPr>
          <w:rFonts w:ascii="Times" w:eastAsia="Times New Roman" w:hAnsi="Times" w:cs="Times New Roman"/>
          <w:b/>
          <w:bCs/>
          <w:lang w:eastAsia="en-GB"/>
        </w:rPr>
      </w:pPr>
      <w:r w:rsidRPr="004D5A76">
        <w:rPr>
          <w:rFonts w:ascii="Times" w:eastAsia="Times New Roman" w:hAnsi="Times" w:cs="Times New Roman"/>
          <w:b/>
          <w:bCs/>
          <w:lang w:eastAsia="en-GB"/>
        </w:rPr>
        <w:t>Concl</w:t>
      </w:r>
      <w:r>
        <w:rPr>
          <w:rFonts w:ascii="Times" w:eastAsia="Times New Roman" w:hAnsi="Times" w:cs="Times New Roman"/>
          <w:b/>
          <w:bCs/>
          <w:lang w:eastAsia="en-GB"/>
        </w:rPr>
        <w:t>usion</w:t>
      </w:r>
    </w:p>
    <w:p w14:paraId="4AFEAB06" w14:textId="250A5833" w:rsidR="00230338" w:rsidRPr="004D5A76" w:rsidRDefault="00230338" w:rsidP="004D5A76">
      <w:pPr>
        <w:spacing w:line="360" w:lineRule="auto"/>
        <w:jc w:val="both"/>
        <w:rPr>
          <w:rFonts w:ascii="Times" w:hAnsi="Times"/>
        </w:rPr>
      </w:pPr>
      <w:r w:rsidRPr="004D5A76">
        <w:rPr>
          <w:rFonts w:ascii="Times" w:hAnsi="Times"/>
        </w:rPr>
        <w:t xml:space="preserve">This report </w:t>
      </w:r>
      <w:r w:rsidRPr="004D5A76">
        <w:rPr>
          <w:rFonts w:ascii="Times" w:hAnsi="Times"/>
        </w:rPr>
        <w:t xml:space="preserve">intended </w:t>
      </w:r>
      <w:r w:rsidRPr="004D5A76">
        <w:rPr>
          <w:rFonts w:ascii="Times" w:hAnsi="Times"/>
        </w:rPr>
        <w:t xml:space="preserve">to reflect on the achievement, outcomes, and challenges from the initial sustainability plan. </w:t>
      </w:r>
      <w:r w:rsidRPr="004D5A76">
        <w:rPr>
          <w:rFonts w:ascii="Times" w:hAnsi="Times"/>
        </w:rPr>
        <w:t>Found that the former sustainability plan provided a broad and practical understanding of how several initiatives can be implemented to reduce Good Club’s negative impact. However, this report finds that r</w:t>
      </w:r>
      <w:r w:rsidRPr="004D5A76">
        <w:rPr>
          <w:rFonts w:ascii="Times" w:hAnsi="Times"/>
        </w:rPr>
        <w:t xml:space="preserve">ather than minimise negative impacts, Good Club should look to proactively seek creative, innovative cradle to cradle solutions. </w:t>
      </w:r>
    </w:p>
    <w:p w14:paraId="18E67159" w14:textId="5B972E7C" w:rsidR="00230338" w:rsidRPr="004D5A76" w:rsidRDefault="00230338" w:rsidP="004D5A76">
      <w:pPr>
        <w:spacing w:line="360" w:lineRule="auto"/>
        <w:jc w:val="both"/>
        <w:rPr>
          <w:rFonts w:ascii="Times" w:hAnsi="Times"/>
        </w:rPr>
      </w:pPr>
    </w:p>
    <w:p w14:paraId="15967568" w14:textId="77777777" w:rsidR="004D5A76" w:rsidRDefault="00230338" w:rsidP="004D5A76">
      <w:pPr>
        <w:spacing w:line="360" w:lineRule="auto"/>
        <w:jc w:val="both"/>
        <w:rPr>
          <w:rFonts w:ascii="Times" w:hAnsi="Times"/>
        </w:rPr>
      </w:pPr>
      <w:r w:rsidRPr="004D5A76">
        <w:rPr>
          <w:rFonts w:ascii="Times" w:hAnsi="Times"/>
        </w:rPr>
        <w:t>Good Club need</w:t>
      </w:r>
      <w:r w:rsidR="004D5A76" w:rsidRPr="004D5A76">
        <w:rPr>
          <w:rFonts w:ascii="Times" w:hAnsi="Times"/>
        </w:rPr>
        <w:t>s</w:t>
      </w:r>
      <w:r w:rsidRPr="004D5A76">
        <w:rPr>
          <w:rFonts w:ascii="Times" w:hAnsi="Times"/>
        </w:rPr>
        <w:t xml:space="preserve"> to go back to basics, equipping themselves with a foundational understanding of the key meanings of sustainability. From this, it is advised that the core purpose and values on the business are considered, and thoughtfully redefined which can then lead to fundamental changes </w:t>
      </w:r>
      <w:r w:rsidR="004D5A76">
        <w:rPr>
          <w:rFonts w:ascii="Times" w:hAnsi="Times"/>
        </w:rPr>
        <w:t xml:space="preserve">in </w:t>
      </w:r>
      <w:r w:rsidRPr="004D5A76">
        <w:rPr>
          <w:rFonts w:ascii="Times" w:hAnsi="Times"/>
        </w:rPr>
        <w:t xml:space="preserve">strategy. </w:t>
      </w:r>
    </w:p>
    <w:p w14:paraId="7AFDC8E7" w14:textId="77777777" w:rsidR="004D5A76" w:rsidRDefault="004D5A76" w:rsidP="004D5A76">
      <w:pPr>
        <w:spacing w:line="360" w:lineRule="auto"/>
        <w:jc w:val="both"/>
        <w:rPr>
          <w:rFonts w:ascii="Times" w:hAnsi="Times"/>
        </w:rPr>
      </w:pPr>
    </w:p>
    <w:p w14:paraId="51DF2C01" w14:textId="7035CCAA" w:rsidR="00230338" w:rsidRPr="004D5A76" w:rsidRDefault="00230338" w:rsidP="004D5A76">
      <w:pPr>
        <w:spacing w:line="360" w:lineRule="auto"/>
        <w:jc w:val="both"/>
        <w:rPr>
          <w:rFonts w:ascii="Times" w:hAnsi="Times"/>
        </w:rPr>
      </w:pPr>
      <w:r w:rsidRPr="004D5A76">
        <w:rPr>
          <w:rFonts w:ascii="Times" w:hAnsi="Times"/>
        </w:rPr>
        <w:t xml:space="preserve">Good Club should continue to innovate and strengthen the new business model, products, and processes to ensure it can continue pioneering a new way of grocery shopping. As well as develop meaningful impact metrics, with common and understood standards. </w:t>
      </w:r>
    </w:p>
    <w:p w14:paraId="5BD5FC3C" w14:textId="77777777" w:rsidR="00230338" w:rsidRPr="00B31F50" w:rsidRDefault="00230338" w:rsidP="004D5A76">
      <w:pPr>
        <w:spacing w:line="360" w:lineRule="auto"/>
        <w:jc w:val="both"/>
        <w:rPr>
          <w:rFonts w:ascii="Times" w:eastAsia="Times New Roman" w:hAnsi="Times" w:cs="Times New Roman"/>
          <w:lang w:eastAsia="en-GB"/>
        </w:rPr>
      </w:pPr>
    </w:p>
    <w:p w14:paraId="1D01BC75" w14:textId="3AF99D4D" w:rsidR="00230338" w:rsidRPr="004D5A76" w:rsidRDefault="00230338" w:rsidP="004D5A76">
      <w:pPr>
        <w:spacing w:line="360" w:lineRule="auto"/>
        <w:jc w:val="both"/>
        <w:rPr>
          <w:rFonts w:ascii="Times" w:hAnsi="Times"/>
        </w:rPr>
      </w:pPr>
    </w:p>
    <w:p w14:paraId="33B57FD1" w14:textId="72B0A272" w:rsidR="004D5A76" w:rsidRPr="004D5A76" w:rsidRDefault="004D5A76" w:rsidP="004D5A76">
      <w:pPr>
        <w:spacing w:line="360" w:lineRule="auto"/>
        <w:jc w:val="both"/>
        <w:rPr>
          <w:rFonts w:ascii="Times" w:hAnsi="Times" w:cs="Arial"/>
        </w:rPr>
      </w:pPr>
      <w:r w:rsidRPr="004D5A76">
        <w:rPr>
          <w:rFonts w:ascii="Times" w:hAnsi="Times" w:cs="Arial"/>
        </w:rPr>
        <w:br w:type="page"/>
      </w:r>
    </w:p>
    <w:p w14:paraId="7D54E81F" w14:textId="77777777" w:rsidR="00230338" w:rsidRPr="004D5A76" w:rsidRDefault="00230338" w:rsidP="004D5A76">
      <w:pPr>
        <w:spacing w:line="360" w:lineRule="auto"/>
        <w:jc w:val="both"/>
        <w:rPr>
          <w:rFonts w:ascii="Times" w:hAnsi="Times" w:cs="Arial"/>
        </w:rPr>
      </w:pPr>
    </w:p>
    <w:p w14:paraId="5B91F024" w14:textId="658321B2" w:rsidR="00230338" w:rsidRPr="004D5A76" w:rsidRDefault="004D5A76" w:rsidP="004D5A76">
      <w:pPr>
        <w:spacing w:line="360" w:lineRule="auto"/>
        <w:jc w:val="both"/>
        <w:rPr>
          <w:rFonts w:ascii="Times" w:hAnsi="Times"/>
          <w:b/>
          <w:bCs/>
        </w:rPr>
      </w:pPr>
      <w:r w:rsidRPr="004D5A76">
        <w:rPr>
          <w:rFonts w:ascii="Times" w:hAnsi="Times"/>
          <w:b/>
          <w:bCs/>
        </w:rPr>
        <w:t>References</w:t>
      </w:r>
    </w:p>
    <w:p w14:paraId="3C16D4BB" w14:textId="77777777" w:rsidR="004D5A76" w:rsidRPr="004D5A76" w:rsidRDefault="004D5A76" w:rsidP="004D5A76">
      <w:pPr>
        <w:spacing w:line="360" w:lineRule="auto"/>
        <w:jc w:val="both"/>
        <w:rPr>
          <w:rFonts w:ascii="Times" w:hAnsi="Times"/>
        </w:rPr>
      </w:pPr>
    </w:p>
    <w:p w14:paraId="46F75CF0" w14:textId="1CB3AEA8"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Accenture., 2021. The Circular Economy Handbook. Available: </w:t>
      </w:r>
      <w:hyperlink r:id="rId5" w:tgtFrame="_blank" w:history="1">
        <w:r w:rsidRPr="004D5A76">
          <w:rPr>
            <w:rFonts w:ascii="Times" w:hAnsi="Times"/>
            <w:color w:val="000000" w:themeColor="text1"/>
            <w:sz w:val="20"/>
            <w:szCs w:val="20"/>
          </w:rPr>
          <w:t>https://www.accenture.com/gb-</w:t>
        </w:r>
        <w:r w:rsidRPr="004D5A76">
          <w:rPr>
            <w:rFonts w:ascii="Times" w:hAnsi="Times"/>
            <w:color w:val="000000" w:themeColor="text1"/>
            <w:sz w:val="20"/>
            <w:szCs w:val="20"/>
          </w:rPr>
          <w:t>e</w:t>
        </w:r>
        <w:r w:rsidRPr="004D5A76">
          <w:rPr>
            <w:rFonts w:ascii="Times" w:hAnsi="Times"/>
            <w:color w:val="000000" w:themeColor="text1"/>
            <w:sz w:val="20"/>
            <w:szCs w:val="20"/>
          </w:rPr>
          <w:t>n/about/events/the-circular-economy-handbook</w:t>
        </w:r>
      </w:hyperlink>
      <w:r w:rsidRPr="004D5A76">
        <w:rPr>
          <w:rFonts w:ascii="Times" w:hAnsi="Times"/>
          <w:color w:val="000000" w:themeColor="text1"/>
          <w:sz w:val="20"/>
          <w:szCs w:val="20"/>
        </w:rPr>
        <w:t> [June 2021].</w:t>
      </w:r>
    </w:p>
    <w:p w14:paraId="71853CD7" w14:textId="36E50EEA"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sidRPr="004D5A76">
        <w:rPr>
          <w:rFonts w:ascii="Times" w:eastAsia="Times New Roman" w:hAnsi="Times" w:cs="Times New Roman"/>
          <w:color w:val="000000" w:themeColor="text1"/>
          <w:sz w:val="20"/>
          <w:szCs w:val="20"/>
          <w:lang w:eastAsia="en-GB"/>
        </w:rPr>
        <w:t xml:space="preserve">Brundtland Commission (1987). Our Common Future, Report of the World Commission on Environment and Development, World Commission on Environment and Development, 1987. Published as Annex to General Assembly document A/42/427, August 2, 1987. </w:t>
      </w:r>
    </w:p>
    <w:p w14:paraId="0C85B81D" w14:textId="624F66CF"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proofErr w:type="spellStart"/>
      <w:r w:rsidRPr="004D5A76">
        <w:rPr>
          <w:rFonts w:ascii="Times" w:eastAsia="Times New Roman" w:hAnsi="Times" w:cs="Times New Roman"/>
          <w:color w:val="000000" w:themeColor="text1"/>
          <w:sz w:val="20"/>
          <w:szCs w:val="20"/>
          <w:shd w:val="clear" w:color="auto" w:fill="FFFFFF"/>
          <w:lang w:eastAsia="en-GB"/>
        </w:rPr>
        <w:t>Chkanikova</w:t>
      </w:r>
      <w:proofErr w:type="spellEnd"/>
      <w:r w:rsidRPr="004D5A76">
        <w:rPr>
          <w:rFonts w:ascii="Times" w:eastAsia="Times New Roman" w:hAnsi="Times" w:cs="Times New Roman"/>
          <w:color w:val="000000" w:themeColor="text1"/>
          <w:sz w:val="20"/>
          <w:szCs w:val="20"/>
          <w:shd w:val="clear" w:color="auto" w:fill="FFFFFF"/>
          <w:lang w:eastAsia="en-GB"/>
        </w:rPr>
        <w:t>, O. and Mont, O., 2015. Corporate Supply Chain Responsibility: Drivers and Barriers for Sustainable Food Retailing. </w:t>
      </w:r>
      <w:r w:rsidRPr="004D5A76">
        <w:rPr>
          <w:rFonts w:ascii="Times" w:eastAsia="Times New Roman" w:hAnsi="Times" w:cs="Times New Roman"/>
          <w:i/>
          <w:iCs/>
          <w:color w:val="000000" w:themeColor="text1"/>
          <w:sz w:val="20"/>
          <w:szCs w:val="20"/>
          <w:shd w:val="clear" w:color="auto" w:fill="FFFFFF"/>
          <w:lang w:eastAsia="en-GB"/>
        </w:rPr>
        <w:t>Corporate social-responsibility and environmental management, </w:t>
      </w:r>
      <w:r w:rsidRPr="004D5A76">
        <w:rPr>
          <w:rFonts w:ascii="Times" w:eastAsia="Times New Roman" w:hAnsi="Times" w:cs="Times New Roman"/>
          <w:color w:val="000000" w:themeColor="text1"/>
          <w:sz w:val="20"/>
          <w:szCs w:val="20"/>
          <w:shd w:val="clear" w:color="auto" w:fill="FFFFFF"/>
          <w:lang w:eastAsia="en-GB"/>
        </w:rPr>
        <w:t>22(2), pp. 65-82.</w:t>
      </w:r>
    </w:p>
    <w:p w14:paraId="7B5A7E31" w14:textId="492A0732"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CISL., 2017. Rewiring the Economy. Available: [4 Feb 2022[</w:t>
      </w:r>
      <w:r w:rsidRPr="004D5A76">
        <w:rPr>
          <w:rFonts w:ascii="Times" w:hAnsi="Times"/>
          <w:color w:val="000000" w:themeColor="text1"/>
          <w:sz w:val="20"/>
          <w:szCs w:val="20"/>
        </w:rPr>
        <w:t>https://www.cisl.cam.ac.uk/system/files/documents/rewiring-the-economy-report.pdf</w:t>
      </w:r>
    </w:p>
    <w:p w14:paraId="44B0BE2D" w14:textId="07D543DC"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CISL, 2018. T</w:t>
      </w:r>
      <w:r w:rsidRPr="004D5A76">
        <w:rPr>
          <w:rFonts w:ascii="Times" w:hAnsi="Times"/>
          <w:color w:val="000000" w:themeColor="text1"/>
          <w:sz w:val="20"/>
          <w:szCs w:val="20"/>
        </w:rPr>
        <w:t>he Future of Sustainable Business</w:t>
      </w:r>
      <w:r w:rsidRPr="004D5A76">
        <w:rPr>
          <w:rFonts w:ascii="Times" w:hAnsi="Times"/>
          <w:color w:val="000000" w:themeColor="text1"/>
          <w:sz w:val="20"/>
          <w:szCs w:val="20"/>
        </w:rPr>
        <w:t xml:space="preserve">. </w:t>
      </w:r>
      <w:r w:rsidRPr="004D5A76">
        <w:rPr>
          <w:rFonts w:ascii="Times" w:hAnsi="Times"/>
          <w:color w:val="000000" w:themeColor="text1"/>
          <w:sz w:val="20"/>
          <w:szCs w:val="20"/>
        </w:rPr>
        <w:t>Available: </w:t>
      </w:r>
      <w:hyperlink r:id="rId6" w:tgtFrame="_blank" w:history="1">
        <w:r w:rsidRPr="004D5A76">
          <w:rPr>
            <w:rStyle w:val="Hyperlink"/>
            <w:rFonts w:ascii="Times" w:hAnsi="Times"/>
            <w:color w:val="000000" w:themeColor="text1"/>
            <w:sz w:val="20"/>
            <w:szCs w:val="20"/>
            <w:u w:val="none"/>
          </w:rPr>
          <w:t>https://www.cisl.cam.ac.uk/resources/publication-pdfs/cisl-future-sustainable-business.pdf</w:t>
        </w:r>
      </w:hyperlink>
      <w:r w:rsidRPr="004D5A76">
        <w:rPr>
          <w:rFonts w:ascii="Times" w:hAnsi="Times"/>
          <w:color w:val="000000" w:themeColor="text1"/>
          <w:sz w:val="20"/>
          <w:szCs w:val="20"/>
        </w:rPr>
        <w:t> [Feb 4, 2022].</w:t>
      </w:r>
    </w:p>
    <w:p w14:paraId="722BAE8D" w14:textId="0CB237F1"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i/>
          <w:iCs/>
          <w:color w:val="000000" w:themeColor="text1"/>
          <w:sz w:val="20"/>
          <w:szCs w:val="20"/>
          <w:lang w:eastAsia="en-GB"/>
        </w:rPr>
      </w:pPr>
      <w:r w:rsidRPr="004D5A76">
        <w:rPr>
          <w:rFonts w:ascii="Times" w:hAnsi="Times"/>
          <w:color w:val="000000" w:themeColor="text1"/>
          <w:sz w:val="20"/>
          <w:szCs w:val="20"/>
        </w:rPr>
        <w:t xml:space="preserve">Cosby, D., 2014. </w:t>
      </w:r>
      <w:r w:rsidRPr="004D5A76">
        <w:rPr>
          <w:rFonts w:ascii="Times" w:hAnsi="Times"/>
          <w:color w:val="000000" w:themeColor="text1"/>
          <w:sz w:val="20"/>
          <w:szCs w:val="20"/>
        </w:rPr>
        <w:t>SUSTAINABILITY PROGRAM LEADERSHIP FOR HUMAN RESOURCE DEVELOPMENT PROFESSIONALS: A COMPETENCY MODEL</w:t>
      </w:r>
      <w:r w:rsidRPr="004D5A76">
        <w:rPr>
          <w:rFonts w:ascii="Times" w:hAnsi="Times"/>
          <w:color w:val="000000" w:themeColor="text1"/>
          <w:sz w:val="20"/>
          <w:szCs w:val="20"/>
        </w:rPr>
        <w:t xml:space="preserve">. </w:t>
      </w:r>
      <w:r w:rsidRPr="004D5A76">
        <w:rPr>
          <w:rFonts w:ascii="Times" w:eastAsia="Times New Roman" w:hAnsi="Times" w:cs="Times New Roman"/>
          <w:i/>
          <w:iCs/>
          <w:color w:val="000000" w:themeColor="text1"/>
          <w:sz w:val="20"/>
          <w:szCs w:val="20"/>
          <w:lang w:eastAsia="en-GB"/>
        </w:rPr>
        <w:t>Journal of Organizational Culture, Communications and Conflict</w:t>
      </w:r>
      <w:r w:rsidRPr="004D5A76">
        <w:rPr>
          <w:rFonts w:ascii="Times" w:eastAsia="Times New Roman" w:hAnsi="Times" w:cs="Times New Roman"/>
          <w:i/>
          <w:iCs/>
          <w:color w:val="000000" w:themeColor="text1"/>
          <w:sz w:val="20"/>
          <w:szCs w:val="20"/>
          <w:lang w:eastAsia="en-GB"/>
        </w:rPr>
        <w:t xml:space="preserve"> 18 (2). </w:t>
      </w:r>
    </w:p>
    <w:p w14:paraId="68C51393" w14:textId="21D66DDB"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 xml:space="preserve">Dawe, N. and Ryan, K., 2003. </w:t>
      </w:r>
      <w:r w:rsidRPr="004D5A76">
        <w:rPr>
          <w:rFonts w:ascii="Times" w:hAnsi="Times"/>
          <w:color w:val="000000" w:themeColor="text1"/>
          <w:sz w:val="20"/>
          <w:szCs w:val="20"/>
        </w:rPr>
        <w:t>The Faulty Three-Legged-Stool Model of Sustainable Development</w:t>
      </w:r>
      <w:r w:rsidRPr="004D5A76">
        <w:rPr>
          <w:rFonts w:ascii="Times" w:hAnsi="Times"/>
          <w:color w:val="000000" w:themeColor="text1"/>
          <w:sz w:val="20"/>
          <w:szCs w:val="20"/>
        </w:rPr>
        <w:t xml:space="preserve">. </w:t>
      </w:r>
      <w:r w:rsidRPr="004D5A76">
        <w:rPr>
          <w:rFonts w:ascii="Times" w:hAnsi="Times"/>
          <w:i/>
          <w:iCs/>
          <w:color w:val="000000" w:themeColor="text1"/>
          <w:sz w:val="20"/>
          <w:szCs w:val="20"/>
        </w:rPr>
        <w:t xml:space="preserve">Conservation Biology, </w:t>
      </w:r>
      <w:r w:rsidRPr="004D5A76">
        <w:rPr>
          <w:rFonts w:ascii="Times" w:hAnsi="Times"/>
          <w:color w:val="000000" w:themeColor="text1"/>
          <w:sz w:val="20"/>
          <w:szCs w:val="20"/>
        </w:rPr>
        <w:t xml:space="preserve">17 (5), pp 1458-1460. </w:t>
      </w:r>
    </w:p>
    <w:p w14:paraId="087E544E" w14:textId="05844D9F"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 xml:space="preserve">Defra., 2006. Food Industry Sustainability Strategy. Available: </w:t>
      </w:r>
      <w:hyperlink r:id="rId7" w:history="1">
        <w:r w:rsidRPr="004D5A76">
          <w:rPr>
            <w:rStyle w:val="Hyperlink"/>
            <w:rFonts w:ascii="Times" w:hAnsi="Times"/>
            <w:color w:val="000000" w:themeColor="text1"/>
            <w:sz w:val="20"/>
            <w:szCs w:val="20"/>
            <w:u w:val="none"/>
          </w:rPr>
          <w:t>https://assets.publishing.service.gov.uk/government/uploads/system/uploads/attachment_data/file/69283/pb11649-fiss2006-060411.pdf</w:t>
        </w:r>
      </w:hyperlink>
      <w:r w:rsidRPr="004D5A76">
        <w:rPr>
          <w:rFonts w:ascii="Times" w:hAnsi="Times"/>
          <w:color w:val="000000" w:themeColor="text1"/>
          <w:sz w:val="20"/>
          <w:szCs w:val="20"/>
        </w:rPr>
        <w:t xml:space="preserve"> [Accessed 4 Feb 2022]. </w:t>
      </w:r>
    </w:p>
    <w:p w14:paraId="7ABAF1F0" w14:textId="77777777" w:rsidR="004D5A76" w:rsidRPr="004D5A76" w:rsidRDefault="004D5A76" w:rsidP="004D5A76">
      <w:pPr>
        <w:pStyle w:val="NormalWeb"/>
        <w:numPr>
          <w:ilvl w:val="0"/>
          <w:numId w:val="3"/>
        </w:numPr>
        <w:shd w:val="clear" w:color="auto" w:fill="FFFFFF"/>
        <w:spacing w:after="173" w:line="360" w:lineRule="auto"/>
        <w:ind w:left="714" w:hanging="357"/>
        <w:contextualSpacing/>
        <w:rPr>
          <w:rFonts w:ascii="Times" w:hAnsi="Times"/>
          <w:color w:val="000000" w:themeColor="text1"/>
          <w:sz w:val="20"/>
          <w:szCs w:val="20"/>
        </w:rPr>
      </w:pPr>
      <w:r w:rsidRPr="004D5A76">
        <w:rPr>
          <w:rFonts w:ascii="Times" w:hAnsi="Times"/>
          <w:color w:val="000000" w:themeColor="text1"/>
          <w:sz w:val="20"/>
          <w:szCs w:val="20"/>
        </w:rPr>
        <w:t>Deloitte., 2021. Shifting sands: Are consumers still embracing sustainability? Available: https://www2.deloitte.com/uk/en/pages/consumer-business/articles/sustainable-consumer.html [</w:t>
      </w:r>
      <w:proofErr w:type="gramStart"/>
      <w:r w:rsidRPr="004D5A76">
        <w:rPr>
          <w:rFonts w:ascii="Times" w:hAnsi="Times"/>
          <w:color w:val="000000" w:themeColor="text1"/>
          <w:sz w:val="20"/>
          <w:szCs w:val="20"/>
        </w:rPr>
        <w:t>Nov,</w:t>
      </w:r>
      <w:proofErr w:type="gramEnd"/>
      <w:r w:rsidRPr="004D5A76">
        <w:rPr>
          <w:rFonts w:ascii="Times" w:hAnsi="Times"/>
          <w:color w:val="000000" w:themeColor="text1"/>
          <w:sz w:val="20"/>
          <w:szCs w:val="20"/>
        </w:rPr>
        <w:t xml:space="preserve"> 2021]</w:t>
      </w:r>
    </w:p>
    <w:p w14:paraId="0C87CC77" w14:textId="77777777" w:rsidR="004D5A76" w:rsidRPr="004D5A76" w:rsidRDefault="004D5A76" w:rsidP="004D5A76">
      <w:pPr>
        <w:pStyle w:val="NormalWeb"/>
        <w:numPr>
          <w:ilvl w:val="0"/>
          <w:numId w:val="3"/>
        </w:numPr>
        <w:shd w:val="clear" w:color="auto" w:fill="FFFFFF"/>
        <w:spacing w:before="0" w:beforeAutospacing="0" w:after="173" w:afterAutospacing="0" w:line="360" w:lineRule="auto"/>
        <w:ind w:left="714" w:hanging="357"/>
        <w:contextualSpacing/>
        <w:rPr>
          <w:rFonts w:ascii="Times" w:hAnsi="Times"/>
          <w:color w:val="000000" w:themeColor="text1"/>
          <w:sz w:val="20"/>
          <w:szCs w:val="20"/>
        </w:rPr>
      </w:pPr>
      <w:r w:rsidRPr="004D5A76">
        <w:rPr>
          <w:rFonts w:ascii="Times" w:hAnsi="Times"/>
          <w:color w:val="000000" w:themeColor="text1"/>
          <w:sz w:val="20"/>
          <w:szCs w:val="20"/>
        </w:rPr>
        <w:t>Ellen Macarthur Foundation</w:t>
      </w:r>
      <w:r w:rsidRPr="004D5A76">
        <w:rPr>
          <w:rFonts w:ascii="Times" w:hAnsi="Times"/>
          <w:color w:val="000000" w:themeColor="text1"/>
          <w:sz w:val="20"/>
          <w:szCs w:val="20"/>
        </w:rPr>
        <w:t>.</w:t>
      </w:r>
      <w:r w:rsidRPr="004D5A76">
        <w:rPr>
          <w:rFonts w:ascii="Times" w:hAnsi="Times"/>
          <w:color w:val="000000" w:themeColor="text1"/>
          <w:sz w:val="20"/>
          <w:szCs w:val="20"/>
        </w:rPr>
        <w:t>, 2021. Designing out plastic pollution. Available: </w:t>
      </w:r>
      <w:hyperlink r:id="rId8" w:tgtFrame="_blank" w:history="1">
        <w:r w:rsidRPr="004D5A76">
          <w:rPr>
            <w:rStyle w:val="Hyperlink"/>
            <w:rFonts w:ascii="Times" w:hAnsi="Times"/>
            <w:color w:val="000000" w:themeColor="text1"/>
            <w:sz w:val="20"/>
            <w:szCs w:val="20"/>
            <w:u w:val="none"/>
          </w:rPr>
          <w:t>https://ellenmacarthurfoundation.org/topics/plastics/overview</w:t>
        </w:r>
      </w:hyperlink>
      <w:r w:rsidRPr="004D5A76">
        <w:rPr>
          <w:rFonts w:ascii="Times" w:hAnsi="Times"/>
          <w:color w:val="000000" w:themeColor="text1"/>
          <w:sz w:val="20"/>
          <w:szCs w:val="20"/>
        </w:rPr>
        <w:t> [Accessed: Nov 7, 2021].</w:t>
      </w:r>
    </w:p>
    <w:p w14:paraId="3EE9F5B9" w14:textId="4F305709" w:rsidR="004D5A76" w:rsidRPr="004D5A76" w:rsidRDefault="004D5A76" w:rsidP="004D5A76">
      <w:pPr>
        <w:pStyle w:val="NormalWeb"/>
        <w:numPr>
          <w:ilvl w:val="0"/>
          <w:numId w:val="3"/>
        </w:numPr>
        <w:shd w:val="clear" w:color="auto" w:fill="FFFFFF"/>
        <w:spacing w:before="0" w:beforeAutospacing="0" w:after="173" w:afterAutospacing="0" w:line="360" w:lineRule="auto"/>
        <w:ind w:left="714" w:hanging="357"/>
        <w:contextualSpacing/>
        <w:rPr>
          <w:rFonts w:ascii="Times" w:hAnsi="Times"/>
          <w:color w:val="000000" w:themeColor="text1"/>
          <w:sz w:val="20"/>
          <w:szCs w:val="20"/>
        </w:rPr>
      </w:pPr>
      <w:r w:rsidRPr="004D5A76">
        <w:rPr>
          <w:rFonts w:ascii="Times" w:hAnsi="Times"/>
          <w:color w:val="000000" w:themeColor="text1"/>
          <w:sz w:val="20"/>
          <w:szCs w:val="20"/>
          <w:shd w:val="clear" w:color="auto" w:fill="FFFFFF"/>
        </w:rPr>
        <w:t xml:space="preserve">Ellen Macarthur Foundation., 2021. </w:t>
      </w:r>
      <w:r w:rsidRPr="004D5A76">
        <w:rPr>
          <w:rFonts w:ascii="Times" w:hAnsi="Times"/>
          <w:color w:val="000000" w:themeColor="text1"/>
          <w:sz w:val="20"/>
          <w:szCs w:val="20"/>
          <w:shd w:val="clear" w:color="auto" w:fill="FFFFFF"/>
        </w:rPr>
        <w:t>Reuse – rethinking packaging. Available: </w:t>
      </w:r>
      <w:hyperlink r:id="rId9" w:tgtFrame="_blank" w:history="1">
        <w:r w:rsidRPr="004D5A76">
          <w:rPr>
            <w:rStyle w:val="Hyperlink"/>
            <w:rFonts w:ascii="Times" w:hAnsi="Times"/>
            <w:color w:val="000000" w:themeColor="text1"/>
            <w:sz w:val="20"/>
            <w:szCs w:val="20"/>
            <w:u w:val="none"/>
            <w:shd w:val="clear" w:color="auto" w:fill="FFFFFF"/>
          </w:rPr>
          <w:t>https://ellenmacarthurfoundation.org/reuse-rethinking-packaging</w:t>
        </w:r>
      </w:hyperlink>
      <w:r w:rsidRPr="004D5A76">
        <w:rPr>
          <w:rFonts w:ascii="Times" w:hAnsi="Times"/>
          <w:color w:val="000000" w:themeColor="text1"/>
          <w:sz w:val="20"/>
          <w:szCs w:val="20"/>
          <w:shd w:val="clear" w:color="auto" w:fill="FFFFFF"/>
        </w:rPr>
        <w:t> [Feb 4, 2022].</w:t>
      </w:r>
    </w:p>
    <w:p w14:paraId="57589357" w14:textId="467E09DE" w:rsidR="004D5A76" w:rsidRPr="004D5A76" w:rsidRDefault="004D5A76" w:rsidP="004D5A76">
      <w:pPr>
        <w:pStyle w:val="NormalWeb"/>
        <w:numPr>
          <w:ilvl w:val="0"/>
          <w:numId w:val="3"/>
        </w:numPr>
        <w:shd w:val="clear" w:color="auto" w:fill="FFFFFF"/>
        <w:spacing w:after="173" w:line="360" w:lineRule="auto"/>
        <w:ind w:left="714" w:hanging="357"/>
        <w:contextualSpacing/>
        <w:rPr>
          <w:rFonts w:ascii="Times" w:hAnsi="Times"/>
          <w:color w:val="000000" w:themeColor="text1"/>
          <w:sz w:val="20"/>
          <w:szCs w:val="20"/>
        </w:rPr>
      </w:pPr>
      <w:r w:rsidRPr="004D5A76">
        <w:rPr>
          <w:rFonts w:ascii="Times" w:hAnsi="Times"/>
          <w:color w:val="000000" w:themeColor="text1"/>
          <w:sz w:val="20"/>
          <w:szCs w:val="20"/>
        </w:rPr>
        <w:t xml:space="preserve">EPEA., 2022. </w:t>
      </w:r>
      <w:r w:rsidRPr="004D5A76">
        <w:rPr>
          <w:rFonts w:ascii="Times" w:hAnsi="Times"/>
          <w:color w:val="000000" w:themeColor="text1"/>
          <w:sz w:val="20"/>
          <w:szCs w:val="20"/>
        </w:rPr>
        <w:t>Cradle to Cradle. Available: </w:t>
      </w:r>
      <w:hyperlink r:id="rId10" w:tgtFrame="_blank" w:history="1">
        <w:r w:rsidRPr="004D5A76">
          <w:rPr>
            <w:rStyle w:val="Hyperlink"/>
            <w:rFonts w:ascii="Times" w:hAnsi="Times"/>
            <w:color w:val="000000" w:themeColor="text1"/>
            <w:sz w:val="20"/>
            <w:szCs w:val="20"/>
            <w:u w:val="none"/>
          </w:rPr>
          <w:t>https://epea.com/en/about-us/cradle-to-cradle</w:t>
        </w:r>
      </w:hyperlink>
      <w:r w:rsidRPr="004D5A76">
        <w:rPr>
          <w:rFonts w:ascii="Times" w:hAnsi="Times"/>
          <w:color w:val="000000" w:themeColor="text1"/>
          <w:sz w:val="20"/>
          <w:szCs w:val="20"/>
        </w:rPr>
        <w:t> [Feb 1, 2022</w:t>
      </w:r>
      <w:r w:rsidRPr="004D5A76">
        <w:rPr>
          <w:rFonts w:ascii="Times" w:hAnsi="Times"/>
          <w:color w:val="000000" w:themeColor="text1"/>
          <w:sz w:val="20"/>
          <w:szCs w:val="20"/>
        </w:rPr>
        <w:t xml:space="preserve">]. </w:t>
      </w:r>
    </w:p>
    <w:p w14:paraId="52389D68" w14:textId="1714BFF9" w:rsid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sidRPr="004D5A76">
        <w:rPr>
          <w:rFonts w:ascii="Times" w:eastAsia="Times New Roman" w:hAnsi="Times" w:cs="Times New Roman"/>
          <w:color w:val="000000" w:themeColor="text1"/>
          <w:sz w:val="20"/>
          <w:szCs w:val="20"/>
          <w:lang w:eastAsia="en-GB"/>
        </w:rPr>
        <w:t xml:space="preserve">Hitchcock, D. &amp; Willard, M. (2006). The Business Guide to Sustainability: Practical Strategies and Tools for Organizations, London: Earthscan. </w:t>
      </w:r>
    </w:p>
    <w:p w14:paraId="12156703" w14:textId="6857DF9A"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Pr>
          <w:rFonts w:ascii="Times" w:eastAsia="Times New Roman" w:hAnsi="Times" w:cs="Times New Roman"/>
          <w:color w:val="000000" w:themeColor="text1"/>
          <w:sz w:val="20"/>
          <w:szCs w:val="20"/>
          <w:lang w:eastAsia="en-GB"/>
        </w:rPr>
        <w:t xml:space="preserve">Institute of Management Accountants., 2017. Sustainability CFO: The CFO of the Future? Available: </w:t>
      </w:r>
      <w:r w:rsidRPr="004D5A76">
        <w:rPr>
          <w:rFonts w:ascii="Times" w:eastAsia="Times New Roman" w:hAnsi="Times" w:cs="Times New Roman"/>
          <w:color w:val="000000" w:themeColor="text1"/>
          <w:sz w:val="20"/>
          <w:szCs w:val="20"/>
          <w:lang w:eastAsia="en-GB"/>
        </w:rPr>
        <w:t>https://www.imanet.org/-/media/004d19d90e1e407d902c3a85f4ede2b8.ashx</w:t>
      </w:r>
      <w:r>
        <w:rPr>
          <w:rFonts w:ascii="Times" w:eastAsia="Times New Roman" w:hAnsi="Times" w:cs="Times New Roman"/>
          <w:color w:val="000000" w:themeColor="text1"/>
          <w:sz w:val="20"/>
          <w:szCs w:val="20"/>
          <w:lang w:eastAsia="en-GB"/>
        </w:rPr>
        <w:t xml:space="preserve"> [</w:t>
      </w:r>
      <w:proofErr w:type="spellStart"/>
      <w:r>
        <w:rPr>
          <w:rFonts w:ascii="Times" w:eastAsia="Times New Roman" w:hAnsi="Times" w:cs="Times New Roman"/>
          <w:color w:val="000000" w:themeColor="text1"/>
          <w:sz w:val="20"/>
          <w:szCs w:val="20"/>
          <w:lang w:eastAsia="en-GB"/>
        </w:rPr>
        <w:t>Accssed</w:t>
      </w:r>
      <w:proofErr w:type="spellEnd"/>
      <w:r>
        <w:rPr>
          <w:rFonts w:ascii="Times" w:eastAsia="Times New Roman" w:hAnsi="Times" w:cs="Times New Roman"/>
          <w:color w:val="000000" w:themeColor="text1"/>
          <w:sz w:val="20"/>
          <w:szCs w:val="20"/>
          <w:lang w:eastAsia="en-GB"/>
        </w:rPr>
        <w:t xml:space="preserve"> 1</w:t>
      </w:r>
      <w:r w:rsidRPr="004D5A76">
        <w:rPr>
          <w:rFonts w:ascii="Times" w:eastAsia="Times New Roman" w:hAnsi="Times" w:cs="Times New Roman"/>
          <w:color w:val="000000" w:themeColor="text1"/>
          <w:sz w:val="20"/>
          <w:szCs w:val="20"/>
          <w:vertAlign w:val="superscript"/>
          <w:lang w:eastAsia="en-GB"/>
        </w:rPr>
        <w:t>st</w:t>
      </w:r>
      <w:r>
        <w:rPr>
          <w:rFonts w:ascii="Times" w:eastAsia="Times New Roman" w:hAnsi="Times" w:cs="Times New Roman"/>
          <w:color w:val="000000" w:themeColor="text1"/>
          <w:sz w:val="20"/>
          <w:szCs w:val="20"/>
          <w:lang w:eastAsia="en-GB"/>
        </w:rPr>
        <w:t xml:space="preserve"> Feb 2022]</w:t>
      </w:r>
    </w:p>
    <w:p w14:paraId="2861F6B4" w14:textId="0CD9B7B4"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sidRPr="004D5A76">
        <w:rPr>
          <w:rFonts w:ascii="Times" w:eastAsia="Times New Roman" w:hAnsi="Times" w:cs="Times New Roman"/>
          <w:color w:val="000000" w:themeColor="text1"/>
          <w:sz w:val="20"/>
          <w:szCs w:val="20"/>
          <w:lang w:eastAsia="en-GB"/>
        </w:rPr>
        <w:t xml:space="preserve">Kauffman, C., 2021. </w:t>
      </w:r>
      <w:r w:rsidRPr="004D5A76">
        <w:rPr>
          <w:rFonts w:ascii="Times" w:eastAsia="Times New Roman" w:hAnsi="Times" w:cs="Times New Roman"/>
          <w:color w:val="000000" w:themeColor="text1"/>
          <w:sz w:val="20"/>
          <w:szCs w:val="20"/>
          <w:lang w:eastAsia="en-GB"/>
        </w:rPr>
        <w:t>How to Incorporate the SDGs Into Your Business Strategy</w:t>
      </w:r>
      <w:r w:rsidRPr="004D5A76">
        <w:rPr>
          <w:rFonts w:ascii="Times" w:eastAsia="Times New Roman" w:hAnsi="Times" w:cs="Times New Roman"/>
          <w:color w:val="000000" w:themeColor="text1"/>
          <w:sz w:val="20"/>
          <w:szCs w:val="20"/>
          <w:lang w:eastAsia="en-GB"/>
        </w:rPr>
        <w:t xml:space="preserve">. Available: </w:t>
      </w:r>
      <w:r w:rsidRPr="004D5A76">
        <w:rPr>
          <w:rFonts w:ascii="Times" w:eastAsia="Times New Roman" w:hAnsi="Times" w:cs="Times New Roman"/>
          <w:color w:val="000000" w:themeColor="text1"/>
          <w:sz w:val="20"/>
          <w:szCs w:val="20"/>
          <w:lang w:eastAsia="en-GB"/>
        </w:rPr>
        <w:t>https://sustainablebrands.com/read/supply-chain/how-to-incorporate-the-sdgs-into-your-business-strategy</w:t>
      </w:r>
      <w:r w:rsidRPr="004D5A76">
        <w:rPr>
          <w:rFonts w:ascii="Times" w:eastAsia="Times New Roman" w:hAnsi="Times" w:cs="Times New Roman"/>
          <w:color w:val="000000" w:themeColor="text1"/>
          <w:sz w:val="20"/>
          <w:szCs w:val="20"/>
          <w:lang w:eastAsia="en-GB"/>
        </w:rPr>
        <w:t xml:space="preserve"> [Accessed 4 Feb 2022]. </w:t>
      </w:r>
    </w:p>
    <w:p w14:paraId="5E0E9093" w14:textId="77777777"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sidRPr="004D5A76">
        <w:rPr>
          <w:rFonts w:ascii="Times" w:hAnsi="Times"/>
          <w:color w:val="000000" w:themeColor="text1"/>
          <w:sz w:val="20"/>
          <w:szCs w:val="20"/>
        </w:rPr>
        <w:lastRenderedPageBreak/>
        <w:t>Lucy, P., Spindler, W. and Dutton, J., 2021.  A circular economy isn’t just planet friendly. It’s a trillion-dollar market opportunity. Available: </w:t>
      </w:r>
      <w:hyperlink r:id="rId11" w:tgtFrame="_blank" w:history="1">
        <w:r w:rsidRPr="004D5A76">
          <w:rPr>
            <w:rFonts w:ascii="Times" w:hAnsi="Times"/>
            <w:color w:val="000000" w:themeColor="text1"/>
            <w:sz w:val="20"/>
            <w:szCs w:val="20"/>
          </w:rPr>
          <w:t>https://theprint.in/opinion/a-circular-economy-isnt-just-planet-friendly-its-a-trillion-dollar-market-opportunity/604408/</w:t>
        </w:r>
      </w:hyperlink>
      <w:r w:rsidRPr="004D5A76">
        <w:rPr>
          <w:rFonts w:ascii="Times" w:hAnsi="Times"/>
          <w:color w:val="000000" w:themeColor="text1"/>
          <w:sz w:val="20"/>
          <w:szCs w:val="20"/>
        </w:rPr>
        <w:t> [Accessed June 2021].</w:t>
      </w:r>
    </w:p>
    <w:p w14:paraId="0F61BA54" w14:textId="77777777"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proofErr w:type="spellStart"/>
      <w:r w:rsidRPr="004D5A76">
        <w:rPr>
          <w:rFonts w:ascii="Times" w:hAnsi="Times"/>
          <w:color w:val="000000" w:themeColor="text1"/>
          <w:sz w:val="20"/>
          <w:szCs w:val="20"/>
        </w:rPr>
        <w:t>Lubin</w:t>
      </w:r>
      <w:proofErr w:type="spellEnd"/>
      <w:r w:rsidRPr="004D5A76">
        <w:rPr>
          <w:rFonts w:ascii="Times" w:hAnsi="Times"/>
          <w:color w:val="000000" w:themeColor="text1"/>
          <w:sz w:val="20"/>
          <w:szCs w:val="20"/>
        </w:rPr>
        <w:t>, D. and Esty, D., 2010. The Sustainability Imperative. </w:t>
      </w:r>
      <w:r w:rsidRPr="004D5A76">
        <w:rPr>
          <w:rFonts w:ascii="Times" w:hAnsi="Times"/>
          <w:i/>
          <w:iCs/>
          <w:color w:val="000000" w:themeColor="text1"/>
          <w:sz w:val="20"/>
          <w:szCs w:val="20"/>
        </w:rPr>
        <w:t>Harvard Business Review.</w:t>
      </w:r>
    </w:p>
    <w:p w14:paraId="393696FF" w14:textId="6055DD65" w:rsidR="004D5A76" w:rsidRPr="004D5A76" w:rsidRDefault="004D5A76" w:rsidP="004D5A76">
      <w:pPr>
        <w:pStyle w:val="ListParagraph"/>
        <w:numPr>
          <w:ilvl w:val="0"/>
          <w:numId w:val="3"/>
        </w:numPr>
        <w:spacing w:line="360" w:lineRule="auto"/>
        <w:ind w:left="714" w:hanging="357"/>
        <w:rPr>
          <w:rFonts w:ascii="Times" w:eastAsia="Times New Roman" w:hAnsi="Times" w:cs="Times New Roman"/>
          <w:color w:val="000000" w:themeColor="text1"/>
          <w:sz w:val="20"/>
          <w:szCs w:val="20"/>
          <w:lang w:eastAsia="en-GB"/>
        </w:rPr>
      </w:pPr>
      <w:r w:rsidRPr="004D5A76">
        <w:rPr>
          <w:rFonts w:ascii="Times" w:hAnsi="Times"/>
          <w:color w:val="000000" w:themeColor="text1"/>
          <w:sz w:val="20"/>
          <w:szCs w:val="20"/>
        </w:rPr>
        <w:t xml:space="preserve">Morioka, S., </w:t>
      </w:r>
      <w:proofErr w:type="spellStart"/>
      <w:r w:rsidRPr="004D5A76">
        <w:rPr>
          <w:rFonts w:ascii="Times" w:hAnsi="Times"/>
          <w:color w:val="000000" w:themeColor="text1"/>
          <w:sz w:val="20"/>
          <w:szCs w:val="20"/>
        </w:rPr>
        <w:t>Bolis</w:t>
      </w:r>
      <w:proofErr w:type="spellEnd"/>
      <w:r w:rsidRPr="004D5A76">
        <w:rPr>
          <w:rFonts w:ascii="Times" w:hAnsi="Times"/>
          <w:color w:val="000000" w:themeColor="text1"/>
          <w:sz w:val="20"/>
          <w:szCs w:val="20"/>
        </w:rPr>
        <w:t xml:space="preserve">, I., Evans, S. and Carvalho, M., 2017. </w:t>
      </w:r>
      <w:r w:rsidRPr="004D5A76">
        <w:rPr>
          <w:rFonts w:ascii="Times" w:hAnsi="Times"/>
          <w:color w:val="000000" w:themeColor="text1"/>
          <w:sz w:val="20"/>
          <w:szCs w:val="20"/>
        </w:rPr>
        <w:t>Transforming sustainability challenges into competitive advantage:</w:t>
      </w:r>
      <w:r w:rsidRPr="004D5A76">
        <w:rPr>
          <w:rFonts w:ascii="Times" w:hAnsi="Times"/>
          <w:color w:val="000000" w:themeColor="text1"/>
          <w:sz w:val="20"/>
          <w:szCs w:val="20"/>
        </w:rPr>
        <w:t xml:space="preserve"> </w:t>
      </w:r>
      <w:r w:rsidRPr="004D5A76">
        <w:rPr>
          <w:rFonts w:ascii="Times" w:hAnsi="Times"/>
          <w:color w:val="000000" w:themeColor="text1"/>
          <w:sz w:val="20"/>
          <w:szCs w:val="20"/>
        </w:rPr>
        <w:t>Multiple case studies kaleidoscope converging into sustainable</w:t>
      </w:r>
      <w:r w:rsidRPr="004D5A76">
        <w:rPr>
          <w:rFonts w:ascii="Times" w:hAnsi="Times"/>
          <w:color w:val="000000" w:themeColor="text1"/>
          <w:sz w:val="20"/>
          <w:szCs w:val="20"/>
        </w:rPr>
        <w:t xml:space="preserve"> </w:t>
      </w:r>
      <w:r w:rsidRPr="004D5A76">
        <w:rPr>
          <w:rFonts w:ascii="Times" w:hAnsi="Times"/>
          <w:color w:val="000000" w:themeColor="text1"/>
          <w:sz w:val="20"/>
          <w:szCs w:val="20"/>
        </w:rPr>
        <w:t>business model</w:t>
      </w:r>
      <w:r w:rsidRPr="004D5A76">
        <w:rPr>
          <w:rFonts w:ascii="Times" w:hAnsi="Times"/>
          <w:color w:val="000000" w:themeColor="text1"/>
          <w:sz w:val="20"/>
          <w:szCs w:val="20"/>
        </w:rPr>
        <w:t xml:space="preserve">s. </w:t>
      </w:r>
      <w:r w:rsidRPr="004D5A76">
        <w:rPr>
          <w:rFonts w:ascii="Times" w:hAnsi="Times"/>
          <w:i/>
          <w:iCs/>
          <w:color w:val="000000" w:themeColor="text1"/>
          <w:sz w:val="20"/>
          <w:szCs w:val="20"/>
        </w:rPr>
        <w:t>Journal of Cleaner Production</w:t>
      </w:r>
      <w:r w:rsidRPr="004D5A76">
        <w:rPr>
          <w:rFonts w:ascii="Times" w:hAnsi="Times"/>
          <w:color w:val="000000" w:themeColor="text1"/>
          <w:sz w:val="20"/>
          <w:szCs w:val="20"/>
        </w:rPr>
        <w:t xml:space="preserve">. 167, pp 723-738. </w:t>
      </w:r>
    </w:p>
    <w:p w14:paraId="591B447B" w14:textId="535D15AF" w:rsidR="004D5A76" w:rsidRPr="004D5A76" w:rsidRDefault="004D5A76" w:rsidP="004D5A76">
      <w:pPr>
        <w:pStyle w:val="ListParagraph"/>
        <w:numPr>
          <w:ilvl w:val="0"/>
          <w:numId w:val="3"/>
        </w:numPr>
        <w:spacing w:line="276" w:lineRule="auto"/>
        <w:rPr>
          <w:rFonts w:ascii="Times" w:hAnsi="Times"/>
          <w:color w:val="000000" w:themeColor="text1"/>
          <w:sz w:val="20"/>
          <w:szCs w:val="20"/>
        </w:rPr>
      </w:pPr>
      <w:r w:rsidRPr="004D5A76">
        <w:rPr>
          <w:rFonts w:ascii="Times" w:hAnsi="Times"/>
          <w:color w:val="000000" w:themeColor="text1"/>
          <w:sz w:val="20"/>
          <w:szCs w:val="20"/>
        </w:rPr>
        <w:t>HÖRISCH, J., FREEMAN, R. and SCHALTEGGER, S., 2014. Applying Stakeholder Theory in Sustainability Management. Organization &amp; environment, 27(4), pp. 328-346.</w:t>
      </w:r>
    </w:p>
    <w:p w14:paraId="3FF82584" w14:textId="6146454B" w:rsidR="004D5A76" w:rsidRPr="004D5A76" w:rsidRDefault="004D5A76" w:rsidP="004D5A76">
      <w:pPr>
        <w:pStyle w:val="ListParagraph"/>
        <w:numPr>
          <w:ilvl w:val="0"/>
          <w:numId w:val="3"/>
        </w:numPr>
        <w:spacing w:line="360" w:lineRule="auto"/>
        <w:ind w:left="714" w:hanging="357"/>
        <w:rPr>
          <w:rFonts w:ascii="Times" w:hAnsi="Times"/>
          <w:color w:val="000000" w:themeColor="text1"/>
          <w:sz w:val="20"/>
          <w:szCs w:val="20"/>
        </w:rPr>
      </w:pPr>
      <w:r w:rsidRPr="004D5A76">
        <w:rPr>
          <w:rFonts w:ascii="Times" w:hAnsi="Times"/>
          <w:color w:val="000000" w:themeColor="text1"/>
          <w:sz w:val="20"/>
          <w:szCs w:val="20"/>
        </w:rPr>
        <w:t>Taylor, L., 2018, New face of capitalism sees business put planet before profit. Available: </w:t>
      </w:r>
      <w:hyperlink r:id="rId12" w:history="1">
        <w:r w:rsidRPr="004D5A76">
          <w:rPr>
            <w:rFonts w:ascii="Times" w:hAnsi="Times"/>
            <w:color w:val="000000" w:themeColor="text1"/>
            <w:sz w:val="20"/>
            <w:szCs w:val="20"/>
          </w:rPr>
          <w:t>https://www.reuters.com/article/us-global-business-sustainability</w:t>
        </w:r>
      </w:hyperlink>
      <w:r w:rsidRPr="004D5A76">
        <w:rPr>
          <w:rFonts w:ascii="Times" w:hAnsi="Times"/>
          <w:color w:val="000000" w:themeColor="text1"/>
          <w:sz w:val="20"/>
          <w:szCs w:val="20"/>
        </w:rPr>
        <w:t> [Accessed May 23, 2021].</w:t>
      </w:r>
    </w:p>
    <w:p w14:paraId="5FDD284F" w14:textId="73C18C86" w:rsidR="004D5A76" w:rsidRPr="004D5A76" w:rsidRDefault="004D5A76" w:rsidP="004D5A76">
      <w:pPr>
        <w:pStyle w:val="ListParagraph"/>
        <w:numPr>
          <w:ilvl w:val="0"/>
          <w:numId w:val="3"/>
        </w:numPr>
        <w:rPr>
          <w:rFonts w:ascii="Times" w:hAnsi="Times"/>
          <w:color w:val="000000" w:themeColor="text1"/>
          <w:sz w:val="20"/>
          <w:szCs w:val="20"/>
        </w:rPr>
      </w:pPr>
      <w:proofErr w:type="spellStart"/>
      <w:r w:rsidRPr="004D5A76">
        <w:rPr>
          <w:rFonts w:ascii="Times" w:hAnsi="Times"/>
          <w:color w:val="000000" w:themeColor="text1"/>
          <w:sz w:val="20"/>
          <w:szCs w:val="20"/>
        </w:rPr>
        <w:t>Terazono</w:t>
      </w:r>
      <w:proofErr w:type="spellEnd"/>
      <w:r w:rsidRPr="004D5A76">
        <w:rPr>
          <w:rFonts w:ascii="Times" w:hAnsi="Times"/>
          <w:color w:val="000000" w:themeColor="text1"/>
          <w:sz w:val="20"/>
          <w:szCs w:val="20"/>
        </w:rPr>
        <w:t>, E., 2021. Food industry starts to measure sustainability. FinancialTimes.com Accessed 5</w:t>
      </w:r>
      <w:r w:rsidRPr="004D5A76">
        <w:rPr>
          <w:rFonts w:ascii="Times" w:hAnsi="Times"/>
          <w:color w:val="000000" w:themeColor="text1"/>
          <w:sz w:val="20"/>
          <w:szCs w:val="20"/>
          <w:vertAlign w:val="superscript"/>
        </w:rPr>
        <w:t>th</w:t>
      </w:r>
      <w:r w:rsidRPr="004D5A76">
        <w:rPr>
          <w:rFonts w:ascii="Times" w:hAnsi="Times"/>
          <w:color w:val="000000" w:themeColor="text1"/>
          <w:sz w:val="20"/>
          <w:szCs w:val="20"/>
        </w:rPr>
        <w:t xml:space="preserve"> November 2021. </w:t>
      </w:r>
    </w:p>
    <w:p w14:paraId="56B485A6" w14:textId="4F896CF9" w:rsidR="004D5A76" w:rsidRPr="004D5A76" w:rsidRDefault="004D5A76" w:rsidP="004D5A76">
      <w:pPr>
        <w:pStyle w:val="NormalWeb"/>
        <w:numPr>
          <w:ilvl w:val="0"/>
          <w:numId w:val="3"/>
        </w:numPr>
        <w:shd w:val="clear" w:color="auto" w:fill="FFFFFF"/>
        <w:spacing w:after="173" w:line="360" w:lineRule="auto"/>
        <w:ind w:left="714" w:hanging="357"/>
        <w:contextualSpacing/>
        <w:rPr>
          <w:rFonts w:ascii="Times" w:hAnsi="Times"/>
          <w:color w:val="000000" w:themeColor="text1"/>
          <w:sz w:val="20"/>
          <w:szCs w:val="20"/>
        </w:rPr>
      </w:pPr>
      <w:r w:rsidRPr="004D5A76">
        <w:rPr>
          <w:rFonts w:ascii="Times" w:hAnsi="Times"/>
          <w:color w:val="000000" w:themeColor="text1"/>
          <w:sz w:val="20"/>
          <w:szCs w:val="20"/>
        </w:rPr>
        <w:t xml:space="preserve">WRAP., 2021. </w:t>
      </w:r>
      <w:r w:rsidRPr="004D5A76">
        <w:rPr>
          <w:rFonts w:ascii="Times" w:hAnsi="Times"/>
          <w:color w:val="000000" w:themeColor="text1"/>
          <w:sz w:val="20"/>
          <w:szCs w:val="20"/>
        </w:rPr>
        <w:t>Transforming the plastic packaging value chain</w:t>
      </w:r>
      <w:r w:rsidRPr="004D5A76">
        <w:rPr>
          <w:rFonts w:ascii="Times" w:hAnsi="Times"/>
          <w:color w:val="000000" w:themeColor="text1"/>
          <w:sz w:val="20"/>
          <w:szCs w:val="20"/>
        </w:rPr>
        <w:t xml:space="preserve">. Available: </w:t>
      </w:r>
      <w:r w:rsidRPr="004D5A76">
        <w:rPr>
          <w:rFonts w:ascii="Times" w:hAnsi="Times"/>
          <w:color w:val="000000" w:themeColor="text1"/>
          <w:sz w:val="20"/>
          <w:szCs w:val="20"/>
        </w:rPr>
        <w:t>https://wrap.org.uk/taking-action/plastic-packaging</w:t>
      </w:r>
      <w:r w:rsidRPr="004D5A76">
        <w:rPr>
          <w:rFonts w:ascii="Times" w:hAnsi="Times"/>
          <w:color w:val="000000" w:themeColor="text1"/>
          <w:sz w:val="20"/>
          <w:szCs w:val="20"/>
        </w:rPr>
        <w:t xml:space="preserve"> [Accessed 4 Feb 2022] </w:t>
      </w:r>
    </w:p>
    <w:p w14:paraId="4F1989CB" w14:textId="667821EB" w:rsidR="004D5A76" w:rsidRPr="004D5A76" w:rsidRDefault="004D5A76" w:rsidP="004D5A76">
      <w:pPr>
        <w:pStyle w:val="NormalWeb"/>
        <w:shd w:val="clear" w:color="auto" w:fill="FFFFFF"/>
        <w:spacing w:before="0" w:beforeAutospacing="0" w:after="173" w:afterAutospacing="0"/>
        <w:contextualSpacing/>
        <w:rPr>
          <w:rFonts w:ascii="Times" w:hAnsi="Times"/>
          <w:color w:val="000000" w:themeColor="text1"/>
          <w:sz w:val="20"/>
          <w:szCs w:val="20"/>
        </w:rPr>
      </w:pPr>
    </w:p>
    <w:p w14:paraId="277626CB" w14:textId="21FA6632" w:rsidR="004D5A76" w:rsidRPr="004D5A76" w:rsidRDefault="004D5A76" w:rsidP="004D5A76">
      <w:pPr>
        <w:spacing w:line="360" w:lineRule="auto"/>
        <w:jc w:val="both"/>
        <w:rPr>
          <w:rFonts w:ascii="Times" w:hAnsi="Times"/>
          <w:color w:val="000000" w:themeColor="text1"/>
          <w:sz w:val="20"/>
          <w:szCs w:val="20"/>
        </w:rPr>
      </w:pPr>
    </w:p>
    <w:p w14:paraId="1E2F40EA" w14:textId="15DA260E" w:rsidR="004D5A76" w:rsidRPr="004D5A76" w:rsidRDefault="004D5A76" w:rsidP="004D5A76">
      <w:pPr>
        <w:spacing w:line="360" w:lineRule="auto"/>
        <w:jc w:val="both"/>
        <w:rPr>
          <w:rFonts w:ascii="Times" w:hAnsi="Times"/>
          <w:color w:val="000000" w:themeColor="text1"/>
          <w:sz w:val="20"/>
          <w:szCs w:val="20"/>
        </w:rPr>
      </w:pPr>
    </w:p>
    <w:p w14:paraId="6CF2A0C7" w14:textId="330EED40" w:rsidR="004D5A76" w:rsidRPr="004D5A76" w:rsidRDefault="004D5A76" w:rsidP="004D5A76">
      <w:pPr>
        <w:spacing w:line="360" w:lineRule="auto"/>
        <w:jc w:val="both"/>
        <w:rPr>
          <w:rFonts w:ascii="Times" w:hAnsi="Times"/>
          <w:color w:val="000000" w:themeColor="text1"/>
          <w:sz w:val="20"/>
          <w:szCs w:val="20"/>
        </w:rPr>
      </w:pPr>
    </w:p>
    <w:p w14:paraId="5EB08CEF" w14:textId="361BA11D" w:rsidR="004D5A76" w:rsidRDefault="004D5A76" w:rsidP="004D5A76">
      <w:pPr>
        <w:spacing w:line="360" w:lineRule="auto"/>
        <w:jc w:val="both"/>
        <w:rPr>
          <w:rFonts w:ascii="Times" w:hAnsi="Times"/>
        </w:rPr>
      </w:pPr>
    </w:p>
    <w:p w14:paraId="5D00ABC7" w14:textId="7DCACDC0" w:rsidR="004D5A76" w:rsidRDefault="004D5A76" w:rsidP="004D5A76">
      <w:pPr>
        <w:spacing w:line="360" w:lineRule="auto"/>
        <w:jc w:val="both"/>
        <w:rPr>
          <w:rFonts w:ascii="Times" w:hAnsi="Times"/>
        </w:rPr>
      </w:pPr>
    </w:p>
    <w:p w14:paraId="6844447F" w14:textId="1E049ED2" w:rsidR="004D5A76" w:rsidRDefault="004D5A76" w:rsidP="004D5A76">
      <w:pPr>
        <w:spacing w:line="360" w:lineRule="auto"/>
        <w:jc w:val="both"/>
        <w:rPr>
          <w:rFonts w:ascii="Times" w:hAnsi="Times"/>
        </w:rPr>
      </w:pPr>
    </w:p>
    <w:p w14:paraId="324D9A3C" w14:textId="6622AF42" w:rsidR="004D5A76" w:rsidRDefault="004D5A76" w:rsidP="004D5A76">
      <w:pPr>
        <w:spacing w:line="360" w:lineRule="auto"/>
        <w:jc w:val="both"/>
        <w:rPr>
          <w:rFonts w:ascii="Times" w:hAnsi="Times"/>
        </w:rPr>
      </w:pPr>
    </w:p>
    <w:p w14:paraId="5BAA7168" w14:textId="34CD9B58" w:rsidR="004D5A76" w:rsidRDefault="004D5A76" w:rsidP="004D5A76">
      <w:pPr>
        <w:spacing w:line="360" w:lineRule="auto"/>
        <w:jc w:val="both"/>
        <w:rPr>
          <w:rFonts w:ascii="Times" w:hAnsi="Times"/>
        </w:rPr>
      </w:pPr>
    </w:p>
    <w:p w14:paraId="4ECD3C69" w14:textId="32935FE3" w:rsidR="004D5A76" w:rsidRDefault="004D5A76" w:rsidP="004D5A76">
      <w:pPr>
        <w:spacing w:line="360" w:lineRule="auto"/>
        <w:jc w:val="both"/>
        <w:rPr>
          <w:rFonts w:ascii="Times" w:hAnsi="Times"/>
        </w:rPr>
      </w:pPr>
    </w:p>
    <w:p w14:paraId="5AD255D7" w14:textId="5233F2CB" w:rsidR="004D5A76" w:rsidRDefault="004D5A76" w:rsidP="004D5A76">
      <w:pPr>
        <w:spacing w:line="360" w:lineRule="auto"/>
        <w:jc w:val="both"/>
        <w:rPr>
          <w:rFonts w:ascii="Times" w:hAnsi="Times"/>
        </w:rPr>
      </w:pPr>
    </w:p>
    <w:p w14:paraId="2DF63FD9" w14:textId="5AFC2319" w:rsidR="004D5A76" w:rsidRDefault="004D5A76" w:rsidP="004D5A76">
      <w:pPr>
        <w:spacing w:line="360" w:lineRule="auto"/>
        <w:jc w:val="both"/>
        <w:rPr>
          <w:rFonts w:ascii="Times" w:hAnsi="Times"/>
        </w:rPr>
      </w:pPr>
    </w:p>
    <w:p w14:paraId="15DB69ED" w14:textId="1D7B5588" w:rsidR="004D5A76" w:rsidRDefault="004D5A76" w:rsidP="004D5A76">
      <w:pPr>
        <w:spacing w:line="360" w:lineRule="auto"/>
        <w:jc w:val="both"/>
        <w:rPr>
          <w:rFonts w:ascii="Times" w:hAnsi="Times"/>
        </w:rPr>
      </w:pPr>
    </w:p>
    <w:p w14:paraId="1F8D113C" w14:textId="01DAE193" w:rsidR="004D5A76" w:rsidRDefault="004D5A76" w:rsidP="004D5A76">
      <w:pPr>
        <w:spacing w:line="360" w:lineRule="auto"/>
        <w:jc w:val="both"/>
        <w:rPr>
          <w:rFonts w:ascii="Times" w:hAnsi="Times"/>
        </w:rPr>
      </w:pPr>
    </w:p>
    <w:p w14:paraId="450C6F69" w14:textId="091AF308" w:rsidR="004D5A76" w:rsidRDefault="004D5A76" w:rsidP="004D5A76">
      <w:pPr>
        <w:spacing w:line="360" w:lineRule="auto"/>
        <w:jc w:val="both"/>
        <w:rPr>
          <w:rFonts w:ascii="Times" w:hAnsi="Times"/>
        </w:rPr>
      </w:pPr>
    </w:p>
    <w:p w14:paraId="69EA22E4" w14:textId="56496C61" w:rsidR="004D5A76" w:rsidRDefault="004D5A76" w:rsidP="004D5A76">
      <w:pPr>
        <w:spacing w:line="360" w:lineRule="auto"/>
        <w:jc w:val="both"/>
        <w:rPr>
          <w:rFonts w:ascii="Times" w:hAnsi="Times"/>
        </w:rPr>
      </w:pPr>
    </w:p>
    <w:p w14:paraId="59CFA020" w14:textId="0D3ED221" w:rsidR="004D5A76" w:rsidRDefault="004D5A76" w:rsidP="004D5A76">
      <w:pPr>
        <w:spacing w:line="360" w:lineRule="auto"/>
        <w:jc w:val="both"/>
        <w:rPr>
          <w:rFonts w:ascii="Times" w:hAnsi="Times"/>
        </w:rPr>
      </w:pPr>
    </w:p>
    <w:p w14:paraId="3E10020C" w14:textId="072B59D5" w:rsidR="004D5A76" w:rsidRDefault="004D5A76" w:rsidP="004D5A76">
      <w:pPr>
        <w:spacing w:line="360" w:lineRule="auto"/>
        <w:jc w:val="both"/>
        <w:rPr>
          <w:rFonts w:ascii="Times" w:hAnsi="Times"/>
        </w:rPr>
      </w:pPr>
    </w:p>
    <w:p w14:paraId="25220132" w14:textId="24949336" w:rsidR="004D5A76" w:rsidRDefault="004D5A76" w:rsidP="004D5A76">
      <w:pPr>
        <w:spacing w:line="360" w:lineRule="auto"/>
        <w:jc w:val="both"/>
        <w:rPr>
          <w:rFonts w:ascii="Times" w:hAnsi="Times"/>
        </w:rPr>
      </w:pPr>
    </w:p>
    <w:p w14:paraId="72E0535C" w14:textId="22EADAF9" w:rsidR="004D5A76" w:rsidRDefault="004D5A76" w:rsidP="004D5A76">
      <w:pPr>
        <w:spacing w:line="360" w:lineRule="auto"/>
        <w:jc w:val="both"/>
        <w:rPr>
          <w:rFonts w:ascii="Times" w:hAnsi="Times"/>
        </w:rPr>
      </w:pPr>
    </w:p>
    <w:p w14:paraId="26DF4153" w14:textId="5DD9CFD6" w:rsidR="004D5A76" w:rsidRDefault="004D5A76" w:rsidP="004D5A76">
      <w:pPr>
        <w:spacing w:line="360" w:lineRule="auto"/>
        <w:jc w:val="both"/>
        <w:rPr>
          <w:rFonts w:ascii="Times" w:hAnsi="Times"/>
        </w:rPr>
      </w:pPr>
    </w:p>
    <w:p w14:paraId="080737E9" w14:textId="17F8A017" w:rsidR="004D5A76" w:rsidRDefault="004D5A76" w:rsidP="004D5A76">
      <w:pPr>
        <w:spacing w:line="360" w:lineRule="auto"/>
        <w:jc w:val="both"/>
        <w:rPr>
          <w:rFonts w:ascii="Times" w:hAnsi="Times"/>
        </w:rPr>
      </w:pPr>
    </w:p>
    <w:p w14:paraId="5E2CC900" w14:textId="46FEE1FF" w:rsidR="004D5A76" w:rsidRPr="004D5A76" w:rsidRDefault="004D5A76" w:rsidP="004D5A76">
      <w:pPr>
        <w:spacing w:line="360" w:lineRule="auto"/>
        <w:jc w:val="both"/>
        <w:rPr>
          <w:rFonts w:ascii="Times" w:hAnsi="Times"/>
          <w:b/>
          <w:bCs/>
        </w:rPr>
      </w:pPr>
      <w:r w:rsidRPr="004D5A76">
        <w:rPr>
          <w:rFonts w:ascii="Times" w:hAnsi="Times"/>
          <w:b/>
          <w:bCs/>
        </w:rPr>
        <w:lastRenderedPageBreak/>
        <w:t xml:space="preserve">Appendix </w:t>
      </w:r>
    </w:p>
    <w:p w14:paraId="05C74ED9" w14:textId="4A288036" w:rsidR="004D5A76" w:rsidRDefault="004D5A76" w:rsidP="004D5A76">
      <w:pPr>
        <w:spacing w:line="360" w:lineRule="auto"/>
        <w:jc w:val="both"/>
        <w:rPr>
          <w:rFonts w:ascii="Times" w:hAnsi="Times"/>
        </w:rPr>
      </w:pPr>
    </w:p>
    <w:p w14:paraId="0ECB7AB4" w14:textId="5CF9FB38" w:rsidR="004D5A76" w:rsidRPr="004D5A76" w:rsidRDefault="004D5A76" w:rsidP="004D5A76">
      <w:pPr>
        <w:spacing w:line="360" w:lineRule="auto"/>
        <w:jc w:val="both"/>
        <w:rPr>
          <w:rFonts w:ascii="Times" w:hAnsi="Times"/>
          <w:u w:val="single"/>
        </w:rPr>
      </w:pPr>
      <w:r>
        <w:rPr>
          <w:rFonts w:ascii="Times" w:hAnsi="Times"/>
          <w:u w:val="single"/>
        </w:rPr>
        <w:t>&lt;</w:t>
      </w:r>
      <w:r w:rsidRPr="004D5A76">
        <w:rPr>
          <w:rFonts w:ascii="Times" w:hAnsi="Times"/>
          <w:u w:val="single"/>
        </w:rPr>
        <w:t>Link to Presentation</w:t>
      </w:r>
      <w:r>
        <w:rPr>
          <w:rFonts w:ascii="Times" w:hAnsi="Times"/>
          <w:u w:val="single"/>
        </w:rPr>
        <w:t>&gt;</w:t>
      </w:r>
      <w:r w:rsidRPr="004D5A76">
        <w:rPr>
          <w:rFonts w:ascii="Times" w:hAnsi="Times"/>
          <w:u w:val="single"/>
        </w:rPr>
        <w:t xml:space="preserve"> </w:t>
      </w:r>
    </w:p>
    <w:p w14:paraId="53C71FCC" w14:textId="77777777" w:rsidR="004D5A76" w:rsidRPr="004D5A76" w:rsidRDefault="004D5A76" w:rsidP="004D5A76">
      <w:pPr>
        <w:spacing w:line="360" w:lineRule="auto"/>
        <w:jc w:val="both"/>
        <w:rPr>
          <w:rFonts w:ascii="Times" w:hAnsi="Times"/>
        </w:rPr>
      </w:pPr>
    </w:p>
    <w:sectPr w:rsidR="004D5A76" w:rsidRPr="004D5A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ED50DB8"/>
    <w:multiLevelType w:val="hybridMultilevel"/>
    <w:tmpl w:val="54D8C2A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55432334"/>
    <w:multiLevelType w:val="hybridMultilevel"/>
    <w:tmpl w:val="79762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82562"/>
    <w:multiLevelType w:val="hybridMultilevel"/>
    <w:tmpl w:val="B8BCA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7104CA"/>
    <w:multiLevelType w:val="hybridMultilevel"/>
    <w:tmpl w:val="C9987F8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338"/>
    <w:rsid w:val="00230338"/>
    <w:rsid w:val="004D5A76"/>
    <w:rsid w:val="007B5544"/>
    <w:rsid w:val="00813F61"/>
    <w:rsid w:val="00DF0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BABD56"/>
  <w15:chartTrackingRefBased/>
  <w15:docId w15:val="{9A35B5AD-A828-2F49-84AC-C97E5D9A0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338"/>
  </w:style>
  <w:style w:type="paragraph" w:styleId="Heading2">
    <w:name w:val="heading 2"/>
    <w:basedOn w:val="Normal"/>
    <w:next w:val="Normal"/>
    <w:link w:val="Heading2Char"/>
    <w:uiPriority w:val="9"/>
    <w:semiHidden/>
    <w:unhideWhenUsed/>
    <w:qFormat/>
    <w:rsid w:val="004D5A7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30338"/>
    <w:pPr>
      <w:autoSpaceDE w:val="0"/>
      <w:autoSpaceDN w:val="0"/>
      <w:adjustRightInd w:val="0"/>
    </w:pPr>
    <w:rPr>
      <w:rFonts w:ascii="Times New Roman" w:hAnsi="Times New Roman" w:cs="Times New Roman"/>
      <w:color w:val="000000"/>
    </w:rPr>
  </w:style>
  <w:style w:type="paragraph" w:styleId="NormalWeb">
    <w:name w:val="Normal (Web)"/>
    <w:basedOn w:val="Normal"/>
    <w:uiPriority w:val="99"/>
    <w:unhideWhenUsed/>
    <w:rsid w:val="004D5A7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D5A76"/>
    <w:rPr>
      <w:color w:val="0563C1" w:themeColor="hyperlink"/>
      <w:u w:val="single"/>
    </w:rPr>
  </w:style>
  <w:style w:type="character" w:styleId="UnresolvedMention">
    <w:name w:val="Unresolved Mention"/>
    <w:basedOn w:val="DefaultParagraphFont"/>
    <w:uiPriority w:val="99"/>
    <w:semiHidden/>
    <w:unhideWhenUsed/>
    <w:rsid w:val="004D5A76"/>
    <w:rPr>
      <w:color w:val="605E5C"/>
      <w:shd w:val="clear" w:color="auto" w:fill="E1DFDD"/>
    </w:rPr>
  </w:style>
  <w:style w:type="character" w:customStyle="1" w:styleId="Heading2Char">
    <w:name w:val="Heading 2 Char"/>
    <w:basedOn w:val="DefaultParagraphFont"/>
    <w:link w:val="Heading2"/>
    <w:uiPriority w:val="9"/>
    <w:semiHidden/>
    <w:rsid w:val="004D5A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D5A76"/>
    <w:pPr>
      <w:ind w:left="720"/>
      <w:contextualSpacing/>
    </w:pPr>
  </w:style>
  <w:style w:type="character" w:styleId="FollowedHyperlink">
    <w:name w:val="FollowedHyperlink"/>
    <w:basedOn w:val="DefaultParagraphFont"/>
    <w:uiPriority w:val="99"/>
    <w:semiHidden/>
    <w:unhideWhenUsed/>
    <w:rsid w:val="004D5A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83161">
      <w:bodyDiv w:val="1"/>
      <w:marLeft w:val="0"/>
      <w:marRight w:val="0"/>
      <w:marTop w:val="0"/>
      <w:marBottom w:val="0"/>
      <w:divBdr>
        <w:top w:val="none" w:sz="0" w:space="0" w:color="auto"/>
        <w:left w:val="none" w:sz="0" w:space="0" w:color="auto"/>
        <w:bottom w:val="none" w:sz="0" w:space="0" w:color="auto"/>
        <w:right w:val="none" w:sz="0" w:space="0" w:color="auto"/>
      </w:divBdr>
    </w:div>
    <w:div w:id="302321815">
      <w:bodyDiv w:val="1"/>
      <w:marLeft w:val="0"/>
      <w:marRight w:val="0"/>
      <w:marTop w:val="0"/>
      <w:marBottom w:val="0"/>
      <w:divBdr>
        <w:top w:val="none" w:sz="0" w:space="0" w:color="auto"/>
        <w:left w:val="none" w:sz="0" w:space="0" w:color="auto"/>
        <w:bottom w:val="none" w:sz="0" w:space="0" w:color="auto"/>
        <w:right w:val="none" w:sz="0" w:space="0" w:color="auto"/>
      </w:divBdr>
    </w:div>
    <w:div w:id="355086676">
      <w:bodyDiv w:val="1"/>
      <w:marLeft w:val="0"/>
      <w:marRight w:val="0"/>
      <w:marTop w:val="0"/>
      <w:marBottom w:val="0"/>
      <w:divBdr>
        <w:top w:val="none" w:sz="0" w:space="0" w:color="auto"/>
        <w:left w:val="none" w:sz="0" w:space="0" w:color="auto"/>
        <w:bottom w:val="none" w:sz="0" w:space="0" w:color="auto"/>
        <w:right w:val="none" w:sz="0" w:space="0" w:color="auto"/>
      </w:divBdr>
    </w:div>
    <w:div w:id="461313081">
      <w:bodyDiv w:val="1"/>
      <w:marLeft w:val="0"/>
      <w:marRight w:val="0"/>
      <w:marTop w:val="0"/>
      <w:marBottom w:val="0"/>
      <w:divBdr>
        <w:top w:val="none" w:sz="0" w:space="0" w:color="auto"/>
        <w:left w:val="none" w:sz="0" w:space="0" w:color="auto"/>
        <w:bottom w:val="none" w:sz="0" w:space="0" w:color="auto"/>
        <w:right w:val="none" w:sz="0" w:space="0" w:color="auto"/>
      </w:divBdr>
    </w:div>
    <w:div w:id="603422594">
      <w:bodyDiv w:val="1"/>
      <w:marLeft w:val="0"/>
      <w:marRight w:val="0"/>
      <w:marTop w:val="0"/>
      <w:marBottom w:val="0"/>
      <w:divBdr>
        <w:top w:val="none" w:sz="0" w:space="0" w:color="auto"/>
        <w:left w:val="none" w:sz="0" w:space="0" w:color="auto"/>
        <w:bottom w:val="none" w:sz="0" w:space="0" w:color="auto"/>
        <w:right w:val="none" w:sz="0" w:space="0" w:color="auto"/>
      </w:divBdr>
    </w:div>
    <w:div w:id="857547707">
      <w:bodyDiv w:val="1"/>
      <w:marLeft w:val="0"/>
      <w:marRight w:val="0"/>
      <w:marTop w:val="0"/>
      <w:marBottom w:val="0"/>
      <w:divBdr>
        <w:top w:val="none" w:sz="0" w:space="0" w:color="auto"/>
        <w:left w:val="none" w:sz="0" w:space="0" w:color="auto"/>
        <w:bottom w:val="none" w:sz="0" w:space="0" w:color="auto"/>
        <w:right w:val="none" w:sz="0" w:space="0" w:color="auto"/>
      </w:divBdr>
    </w:div>
    <w:div w:id="923491913">
      <w:bodyDiv w:val="1"/>
      <w:marLeft w:val="0"/>
      <w:marRight w:val="0"/>
      <w:marTop w:val="0"/>
      <w:marBottom w:val="0"/>
      <w:divBdr>
        <w:top w:val="none" w:sz="0" w:space="0" w:color="auto"/>
        <w:left w:val="none" w:sz="0" w:space="0" w:color="auto"/>
        <w:bottom w:val="none" w:sz="0" w:space="0" w:color="auto"/>
        <w:right w:val="none" w:sz="0" w:space="0" w:color="auto"/>
      </w:divBdr>
    </w:div>
    <w:div w:id="1175070266">
      <w:bodyDiv w:val="1"/>
      <w:marLeft w:val="0"/>
      <w:marRight w:val="0"/>
      <w:marTop w:val="0"/>
      <w:marBottom w:val="0"/>
      <w:divBdr>
        <w:top w:val="none" w:sz="0" w:space="0" w:color="auto"/>
        <w:left w:val="none" w:sz="0" w:space="0" w:color="auto"/>
        <w:bottom w:val="none" w:sz="0" w:space="0" w:color="auto"/>
        <w:right w:val="none" w:sz="0" w:space="0" w:color="auto"/>
      </w:divBdr>
    </w:div>
    <w:div w:id="1185437769">
      <w:bodyDiv w:val="1"/>
      <w:marLeft w:val="0"/>
      <w:marRight w:val="0"/>
      <w:marTop w:val="0"/>
      <w:marBottom w:val="0"/>
      <w:divBdr>
        <w:top w:val="none" w:sz="0" w:space="0" w:color="auto"/>
        <w:left w:val="none" w:sz="0" w:space="0" w:color="auto"/>
        <w:bottom w:val="none" w:sz="0" w:space="0" w:color="auto"/>
        <w:right w:val="none" w:sz="0" w:space="0" w:color="auto"/>
      </w:divBdr>
    </w:div>
    <w:div w:id="1216937990">
      <w:bodyDiv w:val="1"/>
      <w:marLeft w:val="0"/>
      <w:marRight w:val="0"/>
      <w:marTop w:val="0"/>
      <w:marBottom w:val="0"/>
      <w:divBdr>
        <w:top w:val="none" w:sz="0" w:space="0" w:color="auto"/>
        <w:left w:val="none" w:sz="0" w:space="0" w:color="auto"/>
        <w:bottom w:val="none" w:sz="0" w:space="0" w:color="auto"/>
        <w:right w:val="none" w:sz="0" w:space="0" w:color="auto"/>
      </w:divBdr>
    </w:div>
    <w:div w:id="1684084734">
      <w:bodyDiv w:val="1"/>
      <w:marLeft w:val="0"/>
      <w:marRight w:val="0"/>
      <w:marTop w:val="0"/>
      <w:marBottom w:val="0"/>
      <w:divBdr>
        <w:top w:val="none" w:sz="0" w:space="0" w:color="auto"/>
        <w:left w:val="none" w:sz="0" w:space="0" w:color="auto"/>
        <w:bottom w:val="none" w:sz="0" w:space="0" w:color="auto"/>
        <w:right w:val="none" w:sz="0" w:space="0" w:color="auto"/>
      </w:divBdr>
    </w:div>
    <w:div w:id="1684161436">
      <w:bodyDiv w:val="1"/>
      <w:marLeft w:val="0"/>
      <w:marRight w:val="0"/>
      <w:marTop w:val="0"/>
      <w:marBottom w:val="0"/>
      <w:divBdr>
        <w:top w:val="none" w:sz="0" w:space="0" w:color="auto"/>
        <w:left w:val="none" w:sz="0" w:space="0" w:color="auto"/>
        <w:bottom w:val="none" w:sz="0" w:space="0" w:color="auto"/>
        <w:right w:val="none" w:sz="0" w:space="0" w:color="auto"/>
      </w:divBdr>
    </w:div>
    <w:div w:id="1829131321">
      <w:bodyDiv w:val="1"/>
      <w:marLeft w:val="0"/>
      <w:marRight w:val="0"/>
      <w:marTop w:val="0"/>
      <w:marBottom w:val="0"/>
      <w:divBdr>
        <w:top w:val="none" w:sz="0" w:space="0" w:color="auto"/>
        <w:left w:val="none" w:sz="0" w:space="0" w:color="auto"/>
        <w:bottom w:val="none" w:sz="0" w:space="0" w:color="auto"/>
        <w:right w:val="none" w:sz="0" w:space="0" w:color="auto"/>
      </w:divBdr>
    </w:div>
    <w:div w:id="1912737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lenmacarthurfoundation.org/topics/plastics/overview"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69283/pb11649-fiss2006-060411.pdf" TargetMode="External"/><Relationship Id="rId12" Type="http://schemas.openxmlformats.org/officeDocument/2006/relationships/hyperlink" Target="https://www.reuters.com/article/us-global-business-sustain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sl.cam.ac.uk/resources/publication-pdfs/cisl-future-sustainable-business.pdf" TargetMode="External"/><Relationship Id="rId11" Type="http://schemas.openxmlformats.org/officeDocument/2006/relationships/hyperlink" Target="https://theprint.in/opinion/a-circular-economy-isnt-just-planet-friendly-its-a-trillion-dollar-market-opportunity/604408/" TargetMode="External"/><Relationship Id="rId5" Type="http://schemas.openxmlformats.org/officeDocument/2006/relationships/hyperlink" Target="https://www.accenture.com/gb-en/about/events/the-circular-economy-handbook" TargetMode="External"/><Relationship Id="rId10" Type="http://schemas.openxmlformats.org/officeDocument/2006/relationships/hyperlink" Target="https://epea.com/en/about-us/cradle-to-cradle" TargetMode="External"/><Relationship Id="rId4" Type="http://schemas.openxmlformats.org/officeDocument/2006/relationships/webSettings" Target="webSettings.xml"/><Relationship Id="rId9" Type="http://schemas.openxmlformats.org/officeDocument/2006/relationships/hyperlink" Target="https://ellenmacarthurfoundation.org/reuse-rethinking-packag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9</Pages>
  <Words>2564</Words>
  <Characters>14620</Characters>
  <Application>Microsoft Office Word</Application>
  <DocSecurity>0</DocSecurity>
  <Lines>121</Lines>
  <Paragraphs>34</Paragraphs>
  <ScaleCrop>false</ScaleCrop>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Grace Field (2009966)</dc:creator>
  <cp:keywords/>
  <dc:description/>
  <cp:lastModifiedBy>Emily Grace Field (2009966)</cp:lastModifiedBy>
  <cp:revision>2</cp:revision>
  <dcterms:created xsi:type="dcterms:W3CDTF">2022-01-31T21:00:00Z</dcterms:created>
  <dcterms:modified xsi:type="dcterms:W3CDTF">2022-02-06T12:44:00Z</dcterms:modified>
</cp:coreProperties>
</file>