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79517A" w14:textId="77777777" w:rsidR="00801CAA" w:rsidRPr="00CD33A8" w:rsidRDefault="00801CAA" w:rsidP="00801CAA">
      <w:pPr>
        <w:spacing w:line="360" w:lineRule="auto"/>
        <w:rPr>
          <w:rFonts w:asciiTheme="minorBidi" w:hAnsiTheme="minorBidi"/>
        </w:rPr>
      </w:pPr>
    </w:p>
    <w:p w14:paraId="16378D5D" w14:textId="77777777" w:rsidR="00801CAA" w:rsidRPr="00CD33A8" w:rsidRDefault="00801CAA" w:rsidP="00801CAA">
      <w:pPr>
        <w:spacing w:line="360" w:lineRule="auto"/>
        <w:rPr>
          <w:rFonts w:asciiTheme="minorBidi" w:hAnsiTheme="minorBidi"/>
        </w:rPr>
      </w:pPr>
      <w:r w:rsidRPr="00CD33A8">
        <w:rPr>
          <w:rFonts w:asciiTheme="minorBidi" w:hAnsiTheme="minorBidi"/>
          <w:noProof/>
        </w:rPr>
        <w:drawing>
          <wp:anchor distT="0" distB="0" distL="114300" distR="114300" simplePos="0" relativeHeight="251659264" behindDoc="0" locked="0" layoutInCell="1" allowOverlap="1" wp14:anchorId="650E07E5" wp14:editId="6651B5F4">
            <wp:simplePos x="0" y="0"/>
            <wp:positionH relativeFrom="margin">
              <wp:align>left</wp:align>
            </wp:positionH>
            <wp:positionV relativeFrom="paragraph">
              <wp:posOffset>6985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C36ECAB" w14:textId="77777777" w:rsidR="00801CAA" w:rsidRPr="00CD33A8" w:rsidRDefault="00801CAA" w:rsidP="00801CAA">
      <w:pPr>
        <w:spacing w:line="360" w:lineRule="auto"/>
        <w:rPr>
          <w:rFonts w:asciiTheme="minorBidi" w:hAnsiTheme="minorBidi"/>
        </w:rPr>
      </w:pPr>
    </w:p>
    <w:p w14:paraId="12224BB1" w14:textId="77777777" w:rsidR="00801CAA" w:rsidRPr="00CD33A8" w:rsidRDefault="00801CAA" w:rsidP="00801CAA">
      <w:pPr>
        <w:spacing w:line="360" w:lineRule="auto"/>
        <w:rPr>
          <w:rFonts w:asciiTheme="minorBidi" w:hAnsiTheme="minorBidi"/>
        </w:rPr>
      </w:pPr>
    </w:p>
    <w:p w14:paraId="48BE8A9C" w14:textId="77777777" w:rsidR="00801CAA" w:rsidRPr="00CD33A8" w:rsidRDefault="00801CAA" w:rsidP="00801CAA">
      <w:pPr>
        <w:tabs>
          <w:tab w:val="left" w:pos="6540"/>
        </w:tabs>
        <w:spacing w:line="360" w:lineRule="auto"/>
        <w:rPr>
          <w:rFonts w:asciiTheme="minorBidi" w:hAnsiTheme="minorBidi"/>
        </w:rPr>
      </w:pPr>
    </w:p>
    <w:p w14:paraId="50D85D2F" w14:textId="77777777" w:rsidR="00801CAA" w:rsidRPr="00CD33A8" w:rsidRDefault="00801CAA" w:rsidP="00801CAA">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Pr="00A832CF">
        <w:rPr>
          <w:rFonts w:ascii="Arial" w:hAnsi="Arial" w:cs="Arial"/>
          <w:b/>
          <w:bCs/>
          <w:sz w:val="24"/>
          <w:szCs w:val="24"/>
        </w:rPr>
        <w:t>Introduction to Independent Research Skills</w:t>
      </w:r>
    </w:p>
    <w:p w14:paraId="177BBE1A" w14:textId="77777777" w:rsidR="00801CAA" w:rsidRPr="00CD33A8" w:rsidRDefault="00801CAA" w:rsidP="00801CAA">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Pr>
          <w:rFonts w:ascii="Arial" w:hAnsi="Arial" w:cs="Arial"/>
          <w:sz w:val="28"/>
          <w:szCs w:val="28"/>
        </w:rPr>
        <w:t xml:space="preserve"> </w:t>
      </w:r>
      <w:r w:rsidRPr="00A832CF">
        <w:rPr>
          <w:rFonts w:ascii="Arial" w:hAnsi="Arial" w:cs="Arial"/>
          <w:b/>
          <w:bCs/>
          <w:sz w:val="24"/>
          <w:szCs w:val="24"/>
        </w:rPr>
        <w:t>BMHP5019</w:t>
      </w:r>
    </w:p>
    <w:p w14:paraId="01389FC0" w14:textId="77777777" w:rsidR="00801CAA" w:rsidRPr="00CD33A8" w:rsidRDefault="00801CAA" w:rsidP="00801CAA">
      <w:pPr>
        <w:tabs>
          <w:tab w:val="left" w:pos="6540"/>
        </w:tabs>
        <w:spacing w:line="360" w:lineRule="auto"/>
        <w:rPr>
          <w:rFonts w:ascii="Arial" w:hAnsi="Arial" w:cs="Arial"/>
          <w:b/>
          <w:bCs/>
          <w:sz w:val="28"/>
          <w:szCs w:val="28"/>
          <w:lang w:val="nl-NL"/>
        </w:rPr>
      </w:pPr>
    </w:p>
    <w:p w14:paraId="745533FB" w14:textId="77777777" w:rsidR="00801CAA" w:rsidRPr="00CD33A8" w:rsidRDefault="00801CAA" w:rsidP="00801CAA">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Pr>
          <w:rFonts w:ascii="Arial" w:hAnsi="Arial" w:cs="Arial"/>
          <w:sz w:val="28"/>
          <w:szCs w:val="28"/>
          <w:lang w:val="nl-NL"/>
        </w:rPr>
        <w:t xml:space="preserve"> </w:t>
      </w:r>
      <w:r w:rsidRPr="00A832CF">
        <w:rPr>
          <w:rFonts w:ascii="Arial" w:hAnsi="Arial" w:cs="Arial"/>
          <w:b/>
          <w:bCs/>
          <w:sz w:val="24"/>
          <w:szCs w:val="24"/>
          <w:lang w:val="nl-NL"/>
        </w:rPr>
        <w:t>Danesha Parkinson</w:t>
      </w:r>
    </w:p>
    <w:p w14:paraId="03B81CF9" w14:textId="77777777" w:rsidR="00801CAA" w:rsidRPr="00CD33A8" w:rsidRDefault="00801CAA" w:rsidP="00801CAA">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Pr>
          <w:rFonts w:ascii="Arial" w:hAnsi="Arial" w:cs="Arial"/>
          <w:sz w:val="28"/>
          <w:szCs w:val="28"/>
          <w:lang w:val="nl-NL"/>
        </w:rPr>
        <w:t xml:space="preserve"> </w:t>
      </w:r>
      <w:r w:rsidRPr="00A832CF">
        <w:rPr>
          <w:rFonts w:ascii="Arial" w:hAnsi="Arial" w:cs="Arial"/>
          <w:b/>
          <w:bCs/>
          <w:sz w:val="24"/>
          <w:szCs w:val="24"/>
          <w:lang w:val="nl-NL"/>
        </w:rPr>
        <w:t>2336190</w:t>
      </w:r>
    </w:p>
    <w:p w14:paraId="493C33FB" w14:textId="77777777" w:rsidR="00801CAA" w:rsidRPr="00CD33A8" w:rsidRDefault="00801CAA" w:rsidP="00801CAA">
      <w:pPr>
        <w:tabs>
          <w:tab w:val="left" w:pos="6540"/>
        </w:tabs>
        <w:spacing w:line="360" w:lineRule="auto"/>
        <w:rPr>
          <w:rFonts w:ascii="Arial" w:hAnsi="Arial" w:cs="Arial"/>
          <w:sz w:val="28"/>
          <w:szCs w:val="28"/>
          <w:lang w:val="nl-NL"/>
        </w:rPr>
      </w:pPr>
    </w:p>
    <w:p w14:paraId="25A2EE84" w14:textId="77777777" w:rsidR="00801CAA" w:rsidRDefault="00801CAA" w:rsidP="00801CAA">
      <w:pPr>
        <w:tabs>
          <w:tab w:val="left" w:pos="6540"/>
        </w:tabs>
        <w:spacing w:line="360" w:lineRule="auto"/>
        <w:rPr>
          <w:rFonts w:ascii="Arial" w:hAnsi="Arial" w:cs="Arial"/>
          <w:sz w:val="28"/>
          <w:szCs w:val="28"/>
        </w:rPr>
      </w:pPr>
      <w:r w:rsidRPr="00CD33A8">
        <w:rPr>
          <w:rFonts w:ascii="Arial" w:hAnsi="Arial" w:cs="Arial"/>
          <w:b/>
          <w:bCs/>
          <w:sz w:val="28"/>
          <w:szCs w:val="28"/>
        </w:rPr>
        <w:t>Word count</w:t>
      </w:r>
      <w:r w:rsidRPr="00CD33A8">
        <w:rPr>
          <w:rFonts w:ascii="Arial" w:hAnsi="Arial" w:cs="Arial"/>
          <w:sz w:val="28"/>
          <w:szCs w:val="28"/>
        </w:rPr>
        <w:t>:</w:t>
      </w:r>
      <w:r>
        <w:rPr>
          <w:rFonts w:ascii="Arial" w:hAnsi="Arial" w:cs="Arial"/>
          <w:sz w:val="28"/>
          <w:szCs w:val="28"/>
        </w:rPr>
        <w:t xml:space="preserve"> </w:t>
      </w:r>
      <w:r w:rsidRPr="00A832CF">
        <w:rPr>
          <w:rFonts w:ascii="Arial" w:hAnsi="Arial" w:cs="Arial"/>
          <w:b/>
          <w:bCs/>
          <w:sz w:val="24"/>
          <w:szCs w:val="24"/>
        </w:rPr>
        <w:t>4118</w:t>
      </w:r>
    </w:p>
    <w:p w14:paraId="76A4F89E" w14:textId="77777777" w:rsidR="00801CAA" w:rsidRDefault="00801CAA" w:rsidP="00801CAA">
      <w:pPr>
        <w:tabs>
          <w:tab w:val="left" w:pos="6540"/>
        </w:tabs>
        <w:spacing w:line="360" w:lineRule="auto"/>
        <w:rPr>
          <w:rFonts w:ascii="Arial" w:hAnsi="Arial" w:cs="Arial"/>
          <w:sz w:val="28"/>
          <w:szCs w:val="28"/>
        </w:rPr>
      </w:pPr>
    </w:p>
    <w:p w14:paraId="31E2CE38" w14:textId="77777777" w:rsidR="00801CAA" w:rsidRDefault="00801CAA" w:rsidP="00801CAA">
      <w:pPr>
        <w:tabs>
          <w:tab w:val="left" w:pos="6540"/>
        </w:tabs>
        <w:spacing w:line="360" w:lineRule="auto"/>
        <w:rPr>
          <w:rFonts w:ascii="Arial" w:hAnsi="Arial" w:cs="Arial"/>
          <w:sz w:val="28"/>
          <w:szCs w:val="28"/>
        </w:rPr>
      </w:pPr>
    </w:p>
    <w:p w14:paraId="4D30A4CC" w14:textId="77777777" w:rsidR="00801CAA" w:rsidRDefault="00801CAA" w:rsidP="00801CAA">
      <w:pPr>
        <w:pStyle w:val="Title"/>
        <w:jc w:val="center"/>
      </w:pPr>
    </w:p>
    <w:p w14:paraId="4DC46BF0" w14:textId="77777777" w:rsidR="00801CAA" w:rsidRDefault="00801CAA" w:rsidP="00801CAA">
      <w:pPr>
        <w:pStyle w:val="Title"/>
        <w:jc w:val="center"/>
      </w:pPr>
    </w:p>
    <w:p w14:paraId="23292128" w14:textId="77777777" w:rsidR="00801CAA" w:rsidRDefault="00801CAA" w:rsidP="00801CAA">
      <w:pPr>
        <w:pStyle w:val="Title"/>
        <w:jc w:val="center"/>
      </w:pPr>
    </w:p>
    <w:p w14:paraId="4FB7C837" w14:textId="77777777" w:rsidR="00801CAA" w:rsidRDefault="00801CAA" w:rsidP="00801CAA">
      <w:pPr>
        <w:pStyle w:val="Title"/>
        <w:jc w:val="center"/>
      </w:pPr>
    </w:p>
    <w:p w14:paraId="134A54E9" w14:textId="77777777" w:rsidR="00801CAA" w:rsidRDefault="00801CAA" w:rsidP="00801CAA">
      <w:pPr>
        <w:pStyle w:val="Title"/>
        <w:jc w:val="center"/>
      </w:pPr>
    </w:p>
    <w:p w14:paraId="3E3D506B" w14:textId="77777777" w:rsidR="00801CAA" w:rsidRDefault="00801CAA" w:rsidP="00801CAA">
      <w:pPr>
        <w:pStyle w:val="Title"/>
        <w:jc w:val="center"/>
      </w:pPr>
    </w:p>
    <w:p w14:paraId="0DDC5F05" w14:textId="77777777" w:rsidR="00801CAA" w:rsidRDefault="00801CAA" w:rsidP="00801CAA">
      <w:pPr>
        <w:pStyle w:val="Title"/>
        <w:jc w:val="center"/>
      </w:pPr>
    </w:p>
    <w:p w14:paraId="64BD5B54" w14:textId="77777777" w:rsidR="00801CAA" w:rsidRDefault="00801CAA" w:rsidP="00801CAA">
      <w:pPr>
        <w:pStyle w:val="Title"/>
        <w:jc w:val="center"/>
      </w:pPr>
    </w:p>
    <w:p w14:paraId="6512C17D" w14:textId="7B8FF400" w:rsidR="00801CAA" w:rsidRPr="009668EB" w:rsidRDefault="00801CAA" w:rsidP="00801CAA">
      <w:pPr>
        <w:pStyle w:val="Title"/>
        <w:jc w:val="center"/>
        <w:rPr>
          <w:b/>
          <w:bCs/>
          <w:u w:val="single"/>
        </w:rPr>
      </w:pPr>
      <w:bookmarkStart w:id="0" w:name="_Hlk227576508"/>
      <w:r w:rsidRPr="009668EB">
        <w:rPr>
          <w:b/>
          <w:bCs/>
          <w:u w:val="single"/>
        </w:rPr>
        <w:lastRenderedPageBreak/>
        <w:t xml:space="preserve">Project </w:t>
      </w:r>
      <w:r w:rsidR="009668EB" w:rsidRPr="009668EB">
        <w:rPr>
          <w:b/>
          <w:bCs/>
          <w:u w:val="single"/>
        </w:rPr>
        <w:t>T</w:t>
      </w:r>
      <w:r w:rsidRPr="009668EB">
        <w:rPr>
          <w:b/>
          <w:bCs/>
          <w:u w:val="single"/>
        </w:rPr>
        <w:t>itle</w:t>
      </w:r>
    </w:p>
    <w:bookmarkEnd w:id="0"/>
    <w:p w14:paraId="1B95B3E6" w14:textId="77777777" w:rsidR="00801CAA" w:rsidRPr="00766CD6" w:rsidRDefault="00801CAA" w:rsidP="00801CAA">
      <w:pPr>
        <w:jc w:val="center"/>
        <w:rPr>
          <w:rFonts w:ascii="Arial" w:hAnsi="Arial" w:cs="Arial"/>
          <w:b/>
          <w:bCs/>
          <w:sz w:val="32"/>
          <w:szCs w:val="32"/>
        </w:rPr>
      </w:pPr>
      <w:r w:rsidRPr="00766CD6">
        <w:rPr>
          <w:rFonts w:ascii="Arial" w:hAnsi="Arial" w:cs="Arial"/>
          <w:b/>
          <w:bCs/>
          <w:sz w:val="32"/>
          <w:szCs w:val="32"/>
        </w:rPr>
        <w:t>The impact of type 2 diabetes on the health and wellbeing of the elderly aged 65 years and older who are living in the London Borough of Harrow.</w:t>
      </w:r>
    </w:p>
    <w:p w14:paraId="77FDC006" w14:textId="23F65A47" w:rsidR="00801CAA" w:rsidRDefault="00801CAA" w:rsidP="00801CAA"/>
    <w:p w14:paraId="3CF21D6D" w14:textId="2F5FAAF3" w:rsidR="00801CAA" w:rsidRDefault="00801CAA" w:rsidP="00801CAA"/>
    <w:p w14:paraId="042E09A4" w14:textId="7534987D" w:rsidR="00801CAA" w:rsidRDefault="00801CAA" w:rsidP="00801CAA"/>
    <w:p w14:paraId="7DCAF149" w14:textId="6D9783B7" w:rsidR="00801CAA" w:rsidRDefault="00801CAA" w:rsidP="00801CAA"/>
    <w:p w14:paraId="68A4E99B" w14:textId="19A2CF54" w:rsidR="00801CAA" w:rsidRDefault="00801CAA" w:rsidP="00801CAA"/>
    <w:p w14:paraId="15F89233" w14:textId="7C0D6958" w:rsidR="00801CAA" w:rsidRDefault="00801CAA" w:rsidP="00801CAA"/>
    <w:p w14:paraId="298F455D" w14:textId="7864C5F1" w:rsidR="00801CAA" w:rsidRDefault="00801CAA" w:rsidP="00801CAA"/>
    <w:p w14:paraId="4D0AA17E" w14:textId="2BE22AD4" w:rsidR="00801CAA" w:rsidRDefault="00801CAA" w:rsidP="00801CAA"/>
    <w:p w14:paraId="1E91C881" w14:textId="59C5CD43" w:rsidR="00801CAA" w:rsidRDefault="00801CAA" w:rsidP="00801CAA"/>
    <w:p w14:paraId="1460595C" w14:textId="4F50E5FA" w:rsidR="00801CAA" w:rsidRDefault="00801CAA" w:rsidP="00801CAA"/>
    <w:p w14:paraId="6D939391" w14:textId="51910328" w:rsidR="00801CAA" w:rsidRDefault="00801CAA" w:rsidP="00801CAA"/>
    <w:p w14:paraId="4332FB82" w14:textId="15E78C3C" w:rsidR="00801CAA" w:rsidRDefault="00801CAA" w:rsidP="00801CAA"/>
    <w:p w14:paraId="6EFBA3C0" w14:textId="46C5E14E" w:rsidR="00801CAA" w:rsidRDefault="00801CAA" w:rsidP="00801CAA"/>
    <w:p w14:paraId="30613E2F" w14:textId="1D9B6A8B" w:rsidR="00801CAA" w:rsidRDefault="00801CAA" w:rsidP="00801CAA"/>
    <w:p w14:paraId="6E530553" w14:textId="02002F27" w:rsidR="00801CAA" w:rsidRDefault="00801CAA" w:rsidP="00801CAA"/>
    <w:p w14:paraId="5C1D9128" w14:textId="755688E4" w:rsidR="00801CAA" w:rsidRDefault="00801CAA" w:rsidP="00801CAA"/>
    <w:p w14:paraId="13CE901C" w14:textId="767B509E" w:rsidR="00801CAA" w:rsidRDefault="00801CAA" w:rsidP="00801CAA"/>
    <w:p w14:paraId="73D0C46B" w14:textId="2B0C2300" w:rsidR="00801CAA" w:rsidRDefault="00801CAA" w:rsidP="00801CAA"/>
    <w:p w14:paraId="0BA780A8" w14:textId="33FF75B6" w:rsidR="00801CAA" w:rsidRDefault="00801CAA" w:rsidP="00801CAA"/>
    <w:p w14:paraId="6A53A84C" w14:textId="266C5C01" w:rsidR="00801CAA" w:rsidRDefault="00801CAA" w:rsidP="00801CAA"/>
    <w:p w14:paraId="26125786" w14:textId="28B47C42" w:rsidR="00801CAA" w:rsidRDefault="00801CAA" w:rsidP="00801CAA"/>
    <w:p w14:paraId="2F0FBBE1" w14:textId="09A780A8" w:rsidR="00801CAA" w:rsidRDefault="00801CAA" w:rsidP="00801CAA"/>
    <w:p w14:paraId="79FF5F4E" w14:textId="54F82EF7" w:rsidR="00801CAA" w:rsidRDefault="00801CAA" w:rsidP="00801CAA"/>
    <w:p w14:paraId="502EAED8" w14:textId="29F66AA3" w:rsidR="00801CAA" w:rsidRDefault="00801CAA" w:rsidP="00801CAA"/>
    <w:p w14:paraId="6D65C4B5" w14:textId="74383741" w:rsidR="00801CAA" w:rsidRDefault="00801CAA" w:rsidP="00801CAA"/>
    <w:p w14:paraId="4AFDD1DB" w14:textId="0668A763" w:rsidR="00801CAA" w:rsidRDefault="00801CAA" w:rsidP="00801CAA"/>
    <w:sdt>
      <w:sdtPr>
        <w:rPr>
          <w:rFonts w:asciiTheme="minorHAnsi" w:eastAsiaTheme="minorHAnsi" w:hAnsiTheme="minorHAnsi" w:cstheme="minorBidi"/>
          <w:b/>
          <w:bCs/>
          <w:color w:val="auto"/>
          <w:sz w:val="22"/>
          <w:szCs w:val="22"/>
          <w:lang w:val="en-GB"/>
        </w:rPr>
        <w:id w:val="-1460332081"/>
        <w:docPartObj>
          <w:docPartGallery w:val="Table of Contents"/>
          <w:docPartUnique/>
        </w:docPartObj>
      </w:sdtPr>
      <w:sdtEndPr>
        <w:rPr>
          <w:noProof/>
        </w:rPr>
      </w:sdtEndPr>
      <w:sdtContent>
        <w:p w14:paraId="3A70AFA9" w14:textId="77777777" w:rsidR="009668EB" w:rsidRPr="0064542D" w:rsidRDefault="009668EB" w:rsidP="009668EB">
          <w:pPr>
            <w:pStyle w:val="TOCHeading"/>
            <w:rPr>
              <w:color w:val="auto"/>
            </w:rPr>
          </w:pPr>
          <w:r w:rsidRPr="0064542D">
            <w:rPr>
              <w:color w:val="auto"/>
            </w:rPr>
            <w:t>Table of Contents</w:t>
          </w:r>
        </w:p>
        <w:p w14:paraId="100FC568" w14:textId="77777777" w:rsidR="009668EB" w:rsidRDefault="009668EB" w:rsidP="009668EB">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7709478" w:history="1">
            <w:r w:rsidRPr="009200F8">
              <w:rPr>
                <w:rStyle w:val="Hyperlink"/>
                <w:rFonts w:ascii="Arial" w:hAnsi="Arial" w:cs="Arial"/>
                <w:b/>
                <w:bCs/>
                <w:noProof/>
              </w:rPr>
              <w:t>Abstract</w:t>
            </w:r>
            <w:r>
              <w:rPr>
                <w:noProof/>
                <w:webHidden/>
              </w:rPr>
              <w:tab/>
            </w:r>
            <w:r>
              <w:rPr>
                <w:noProof/>
                <w:webHidden/>
              </w:rPr>
              <w:fldChar w:fldCharType="begin"/>
            </w:r>
            <w:r>
              <w:rPr>
                <w:noProof/>
                <w:webHidden/>
              </w:rPr>
              <w:instrText xml:space="preserve"> PAGEREF _Toc227709478 \h </w:instrText>
            </w:r>
            <w:r>
              <w:rPr>
                <w:noProof/>
                <w:webHidden/>
              </w:rPr>
            </w:r>
            <w:r>
              <w:rPr>
                <w:noProof/>
                <w:webHidden/>
              </w:rPr>
              <w:fldChar w:fldCharType="separate"/>
            </w:r>
            <w:r>
              <w:rPr>
                <w:noProof/>
                <w:webHidden/>
              </w:rPr>
              <w:t>4</w:t>
            </w:r>
            <w:r>
              <w:rPr>
                <w:noProof/>
                <w:webHidden/>
              </w:rPr>
              <w:fldChar w:fldCharType="end"/>
            </w:r>
          </w:hyperlink>
        </w:p>
        <w:p w14:paraId="4814E68C" w14:textId="77777777" w:rsidR="009668EB" w:rsidRDefault="009668EB" w:rsidP="009668EB">
          <w:pPr>
            <w:pStyle w:val="TOC1"/>
            <w:tabs>
              <w:tab w:val="right" w:leader="dot" w:pos="9016"/>
            </w:tabs>
            <w:rPr>
              <w:rFonts w:eastAsiaTheme="minorEastAsia"/>
              <w:noProof/>
              <w:kern w:val="2"/>
              <w:sz w:val="24"/>
              <w:szCs w:val="24"/>
              <w:lang w:eastAsia="en-GB"/>
              <w14:ligatures w14:val="standardContextual"/>
            </w:rPr>
          </w:pPr>
          <w:hyperlink w:anchor="_Toc227709479" w:history="1">
            <w:r w:rsidRPr="009200F8">
              <w:rPr>
                <w:rStyle w:val="Hyperlink"/>
                <w:b/>
                <w:bCs/>
                <w:noProof/>
              </w:rPr>
              <w:t>The impact of type 2 diabetes on the health and wellbeing of the elderly aged 65 years and older who are living in the London Borough of Harrow.</w:t>
            </w:r>
            <w:r>
              <w:rPr>
                <w:noProof/>
                <w:webHidden/>
              </w:rPr>
              <w:tab/>
            </w:r>
            <w:r>
              <w:rPr>
                <w:noProof/>
                <w:webHidden/>
              </w:rPr>
              <w:fldChar w:fldCharType="begin"/>
            </w:r>
            <w:r>
              <w:rPr>
                <w:noProof/>
                <w:webHidden/>
              </w:rPr>
              <w:instrText xml:space="preserve"> PAGEREF _Toc227709479 \h </w:instrText>
            </w:r>
            <w:r>
              <w:rPr>
                <w:noProof/>
                <w:webHidden/>
              </w:rPr>
            </w:r>
            <w:r>
              <w:rPr>
                <w:noProof/>
                <w:webHidden/>
              </w:rPr>
              <w:fldChar w:fldCharType="separate"/>
            </w:r>
            <w:r>
              <w:rPr>
                <w:noProof/>
                <w:webHidden/>
              </w:rPr>
              <w:t>5</w:t>
            </w:r>
            <w:r>
              <w:rPr>
                <w:noProof/>
                <w:webHidden/>
              </w:rPr>
              <w:fldChar w:fldCharType="end"/>
            </w:r>
          </w:hyperlink>
        </w:p>
        <w:p w14:paraId="64DD5270" w14:textId="77777777" w:rsidR="009668EB" w:rsidRDefault="009668EB" w:rsidP="009668EB">
          <w:pPr>
            <w:pStyle w:val="TOC1"/>
            <w:tabs>
              <w:tab w:val="right" w:leader="dot" w:pos="9016"/>
            </w:tabs>
            <w:rPr>
              <w:rFonts w:eastAsiaTheme="minorEastAsia"/>
              <w:noProof/>
              <w:kern w:val="2"/>
              <w:sz w:val="24"/>
              <w:szCs w:val="24"/>
              <w:lang w:eastAsia="en-GB"/>
              <w14:ligatures w14:val="standardContextual"/>
            </w:rPr>
          </w:pPr>
          <w:hyperlink w:anchor="_Toc227709480" w:history="1">
            <w:r w:rsidRPr="009200F8">
              <w:rPr>
                <w:rStyle w:val="Hyperlink"/>
                <w:b/>
                <w:bCs/>
                <w:noProof/>
              </w:rPr>
              <w:t>Introduction</w:t>
            </w:r>
            <w:r>
              <w:rPr>
                <w:noProof/>
                <w:webHidden/>
              </w:rPr>
              <w:tab/>
            </w:r>
            <w:r>
              <w:rPr>
                <w:noProof/>
                <w:webHidden/>
              </w:rPr>
              <w:fldChar w:fldCharType="begin"/>
            </w:r>
            <w:r>
              <w:rPr>
                <w:noProof/>
                <w:webHidden/>
              </w:rPr>
              <w:instrText xml:space="preserve"> PAGEREF _Toc227709480 \h </w:instrText>
            </w:r>
            <w:r>
              <w:rPr>
                <w:noProof/>
                <w:webHidden/>
              </w:rPr>
            </w:r>
            <w:r>
              <w:rPr>
                <w:noProof/>
                <w:webHidden/>
              </w:rPr>
              <w:fldChar w:fldCharType="separate"/>
            </w:r>
            <w:r>
              <w:rPr>
                <w:noProof/>
                <w:webHidden/>
              </w:rPr>
              <w:t>5</w:t>
            </w:r>
            <w:r>
              <w:rPr>
                <w:noProof/>
                <w:webHidden/>
              </w:rPr>
              <w:fldChar w:fldCharType="end"/>
            </w:r>
          </w:hyperlink>
        </w:p>
        <w:p w14:paraId="19B07AC4" w14:textId="77777777" w:rsidR="009668EB" w:rsidRDefault="009668EB" w:rsidP="009668EB">
          <w:pPr>
            <w:pStyle w:val="TOC2"/>
            <w:tabs>
              <w:tab w:val="right" w:leader="dot" w:pos="9016"/>
            </w:tabs>
            <w:rPr>
              <w:rFonts w:eastAsiaTheme="minorEastAsia"/>
              <w:noProof/>
              <w:kern w:val="2"/>
              <w:sz w:val="24"/>
              <w:szCs w:val="24"/>
              <w:lang w:eastAsia="en-GB"/>
              <w14:ligatures w14:val="standardContextual"/>
            </w:rPr>
          </w:pPr>
          <w:hyperlink w:anchor="_Toc227709481" w:history="1">
            <w:r w:rsidRPr="009200F8">
              <w:rPr>
                <w:rStyle w:val="Hyperlink"/>
                <w:b/>
                <w:bCs/>
                <w:noProof/>
              </w:rPr>
              <w:t>Rationale</w:t>
            </w:r>
            <w:r>
              <w:rPr>
                <w:noProof/>
                <w:webHidden/>
              </w:rPr>
              <w:tab/>
            </w:r>
            <w:r>
              <w:rPr>
                <w:noProof/>
                <w:webHidden/>
              </w:rPr>
              <w:fldChar w:fldCharType="begin"/>
            </w:r>
            <w:r>
              <w:rPr>
                <w:noProof/>
                <w:webHidden/>
              </w:rPr>
              <w:instrText xml:space="preserve"> PAGEREF _Toc227709481 \h </w:instrText>
            </w:r>
            <w:r>
              <w:rPr>
                <w:noProof/>
                <w:webHidden/>
              </w:rPr>
            </w:r>
            <w:r>
              <w:rPr>
                <w:noProof/>
                <w:webHidden/>
              </w:rPr>
              <w:fldChar w:fldCharType="separate"/>
            </w:r>
            <w:r>
              <w:rPr>
                <w:noProof/>
                <w:webHidden/>
              </w:rPr>
              <w:t>5</w:t>
            </w:r>
            <w:r>
              <w:rPr>
                <w:noProof/>
                <w:webHidden/>
              </w:rPr>
              <w:fldChar w:fldCharType="end"/>
            </w:r>
          </w:hyperlink>
        </w:p>
        <w:p w14:paraId="22627025" w14:textId="77777777" w:rsidR="009668EB" w:rsidRDefault="009668EB" w:rsidP="009668EB">
          <w:pPr>
            <w:pStyle w:val="TOC2"/>
            <w:tabs>
              <w:tab w:val="right" w:leader="dot" w:pos="9016"/>
            </w:tabs>
            <w:rPr>
              <w:rFonts w:eastAsiaTheme="minorEastAsia"/>
              <w:noProof/>
              <w:kern w:val="2"/>
              <w:sz w:val="24"/>
              <w:szCs w:val="24"/>
              <w:lang w:eastAsia="en-GB"/>
              <w14:ligatures w14:val="standardContextual"/>
            </w:rPr>
          </w:pPr>
          <w:hyperlink w:anchor="_Toc227709482" w:history="1">
            <w:r w:rsidRPr="009200F8">
              <w:rPr>
                <w:rStyle w:val="Hyperlink"/>
                <w:b/>
                <w:bCs/>
                <w:noProof/>
              </w:rPr>
              <w:t>Aims and Objectives</w:t>
            </w:r>
            <w:r>
              <w:rPr>
                <w:noProof/>
                <w:webHidden/>
              </w:rPr>
              <w:tab/>
            </w:r>
            <w:r>
              <w:rPr>
                <w:noProof/>
                <w:webHidden/>
              </w:rPr>
              <w:fldChar w:fldCharType="begin"/>
            </w:r>
            <w:r>
              <w:rPr>
                <w:noProof/>
                <w:webHidden/>
              </w:rPr>
              <w:instrText xml:space="preserve"> PAGEREF _Toc227709482 \h </w:instrText>
            </w:r>
            <w:r>
              <w:rPr>
                <w:noProof/>
                <w:webHidden/>
              </w:rPr>
            </w:r>
            <w:r>
              <w:rPr>
                <w:noProof/>
                <w:webHidden/>
              </w:rPr>
              <w:fldChar w:fldCharType="separate"/>
            </w:r>
            <w:r>
              <w:rPr>
                <w:noProof/>
                <w:webHidden/>
              </w:rPr>
              <w:t>6</w:t>
            </w:r>
            <w:r>
              <w:rPr>
                <w:noProof/>
                <w:webHidden/>
              </w:rPr>
              <w:fldChar w:fldCharType="end"/>
            </w:r>
          </w:hyperlink>
        </w:p>
        <w:p w14:paraId="35750519" w14:textId="77777777" w:rsidR="009668EB" w:rsidRDefault="009668EB" w:rsidP="009668EB">
          <w:pPr>
            <w:pStyle w:val="TOC1"/>
            <w:tabs>
              <w:tab w:val="right" w:leader="dot" w:pos="9016"/>
            </w:tabs>
            <w:rPr>
              <w:rFonts w:eastAsiaTheme="minorEastAsia"/>
              <w:noProof/>
              <w:kern w:val="2"/>
              <w:sz w:val="24"/>
              <w:szCs w:val="24"/>
              <w:lang w:eastAsia="en-GB"/>
              <w14:ligatures w14:val="standardContextual"/>
            </w:rPr>
          </w:pPr>
          <w:hyperlink w:anchor="_Toc227709483" w:history="1">
            <w:r w:rsidRPr="009200F8">
              <w:rPr>
                <w:rStyle w:val="Hyperlink"/>
                <w:b/>
                <w:bCs/>
                <w:noProof/>
              </w:rPr>
              <w:t>Background</w:t>
            </w:r>
            <w:r>
              <w:rPr>
                <w:noProof/>
                <w:webHidden/>
              </w:rPr>
              <w:tab/>
            </w:r>
            <w:r>
              <w:rPr>
                <w:noProof/>
                <w:webHidden/>
              </w:rPr>
              <w:fldChar w:fldCharType="begin"/>
            </w:r>
            <w:r>
              <w:rPr>
                <w:noProof/>
                <w:webHidden/>
              </w:rPr>
              <w:instrText xml:space="preserve"> PAGEREF _Toc227709483 \h </w:instrText>
            </w:r>
            <w:r>
              <w:rPr>
                <w:noProof/>
                <w:webHidden/>
              </w:rPr>
            </w:r>
            <w:r>
              <w:rPr>
                <w:noProof/>
                <w:webHidden/>
              </w:rPr>
              <w:fldChar w:fldCharType="separate"/>
            </w:r>
            <w:r>
              <w:rPr>
                <w:noProof/>
                <w:webHidden/>
              </w:rPr>
              <w:t>7</w:t>
            </w:r>
            <w:r>
              <w:rPr>
                <w:noProof/>
                <w:webHidden/>
              </w:rPr>
              <w:fldChar w:fldCharType="end"/>
            </w:r>
          </w:hyperlink>
        </w:p>
        <w:p w14:paraId="655158C3" w14:textId="77777777" w:rsidR="009668EB" w:rsidRDefault="009668EB" w:rsidP="009668EB">
          <w:pPr>
            <w:pStyle w:val="TOC1"/>
            <w:tabs>
              <w:tab w:val="right" w:leader="dot" w:pos="9016"/>
            </w:tabs>
            <w:rPr>
              <w:rFonts w:eastAsiaTheme="minorEastAsia"/>
              <w:noProof/>
              <w:kern w:val="2"/>
              <w:sz w:val="24"/>
              <w:szCs w:val="24"/>
              <w:lang w:eastAsia="en-GB"/>
              <w14:ligatures w14:val="standardContextual"/>
            </w:rPr>
          </w:pPr>
          <w:hyperlink w:anchor="_Toc227709484" w:history="1">
            <w:r w:rsidRPr="009200F8">
              <w:rPr>
                <w:rStyle w:val="Hyperlink"/>
                <w:b/>
                <w:bCs/>
                <w:noProof/>
              </w:rPr>
              <w:t>Methods of data collection and data analysis</w:t>
            </w:r>
            <w:r>
              <w:rPr>
                <w:noProof/>
                <w:webHidden/>
              </w:rPr>
              <w:tab/>
            </w:r>
            <w:r>
              <w:rPr>
                <w:noProof/>
                <w:webHidden/>
              </w:rPr>
              <w:fldChar w:fldCharType="begin"/>
            </w:r>
            <w:r>
              <w:rPr>
                <w:noProof/>
                <w:webHidden/>
              </w:rPr>
              <w:instrText xml:space="preserve"> PAGEREF _Toc227709484 \h </w:instrText>
            </w:r>
            <w:r>
              <w:rPr>
                <w:noProof/>
                <w:webHidden/>
              </w:rPr>
            </w:r>
            <w:r>
              <w:rPr>
                <w:noProof/>
                <w:webHidden/>
              </w:rPr>
              <w:fldChar w:fldCharType="separate"/>
            </w:r>
            <w:r>
              <w:rPr>
                <w:noProof/>
                <w:webHidden/>
              </w:rPr>
              <w:t>9</w:t>
            </w:r>
            <w:r>
              <w:rPr>
                <w:noProof/>
                <w:webHidden/>
              </w:rPr>
              <w:fldChar w:fldCharType="end"/>
            </w:r>
          </w:hyperlink>
        </w:p>
        <w:p w14:paraId="7CC71205" w14:textId="77777777" w:rsidR="009668EB" w:rsidRDefault="009668EB" w:rsidP="009668EB">
          <w:pPr>
            <w:pStyle w:val="TOC2"/>
            <w:tabs>
              <w:tab w:val="right" w:leader="dot" w:pos="9016"/>
            </w:tabs>
            <w:rPr>
              <w:rFonts w:eastAsiaTheme="minorEastAsia"/>
              <w:noProof/>
              <w:kern w:val="2"/>
              <w:sz w:val="24"/>
              <w:szCs w:val="24"/>
              <w:lang w:eastAsia="en-GB"/>
              <w14:ligatures w14:val="standardContextual"/>
            </w:rPr>
          </w:pPr>
          <w:hyperlink w:anchor="_Toc227709485" w:history="1">
            <w:r w:rsidRPr="009200F8">
              <w:rPr>
                <w:rStyle w:val="Hyperlink"/>
                <w:b/>
                <w:bCs/>
                <w:noProof/>
              </w:rPr>
              <w:t>Data Collection</w:t>
            </w:r>
            <w:r>
              <w:rPr>
                <w:noProof/>
                <w:webHidden/>
              </w:rPr>
              <w:tab/>
            </w:r>
            <w:r>
              <w:rPr>
                <w:noProof/>
                <w:webHidden/>
              </w:rPr>
              <w:fldChar w:fldCharType="begin"/>
            </w:r>
            <w:r>
              <w:rPr>
                <w:noProof/>
                <w:webHidden/>
              </w:rPr>
              <w:instrText xml:space="preserve"> PAGEREF _Toc227709485 \h </w:instrText>
            </w:r>
            <w:r>
              <w:rPr>
                <w:noProof/>
                <w:webHidden/>
              </w:rPr>
            </w:r>
            <w:r>
              <w:rPr>
                <w:noProof/>
                <w:webHidden/>
              </w:rPr>
              <w:fldChar w:fldCharType="separate"/>
            </w:r>
            <w:r>
              <w:rPr>
                <w:noProof/>
                <w:webHidden/>
              </w:rPr>
              <w:t>9</w:t>
            </w:r>
            <w:r>
              <w:rPr>
                <w:noProof/>
                <w:webHidden/>
              </w:rPr>
              <w:fldChar w:fldCharType="end"/>
            </w:r>
          </w:hyperlink>
        </w:p>
        <w:p w14:paraId="7C0B3A35" w14:textId="77777777" w:rsidR="009668EB" w:rsidRDefault="009668EB" w:rsidP="009668EB">
          <w:pPr>
            <w:pStyle w:val="TOC2"/>
            <w:tabs>
              <w:tab w:val="right" w:leader="dot" w:pos="9016"/>
            </w:tabs>
            <w:rPr>
              <w:rFonts w:eastAsiaTheme="minorEastAsia"/>
              <w:noProof/>
              <w:kern w:val="2"/>
              <w:sz w:val="24"/>
              <w:szCs w:val="24"/>
              <w:lang w:eastAsia="en-GB"/>
              <w14:ligatures w14:val="standardContextual"/>
            </w:rPr>
          </w:pPr>
          <w:hyperlink w:anchor="_Toc227709486" w:history="1">
            <w:r w:rsidRPr="009200F8">
              <w:rPr>
                <w:rStyle w:val="Hyperlink"/>
                <w:b/>
                <w:bCs/>
                <w:noProof/>
              </w:rPr>
              <w:t>Data Analysis</w:t>
            </w:r>
            <w:r>
              <w:rPr>
                <w:noProof/>
                <w:webHidden/>
              </w:rPr>
              <w:tab/>
            </w:r>
            <w:r>
              <w:rPr>
                <w:noProof/>
                <w:webHidden/>
              </w:rPr>
              <w:fldChar w:fldCharType="begin"/>
            </w:r>
            <w:r>
              <w:rPr>
                <w:noProof/>
                <w:webHidden/>
              </w:rPr>
              <w:instrText xml:space="preserve"> PAGEREF _Toc227709486 \h </w:instrText>
            </w:r>
            <w:r>
              <w:rPr>
                <w:noProof/>
                <w:webHidden/>
              </w:rPr>
            </w:r>
            <w:r>
              <w:rPr>
                <w:noProof/>
                <w:webHidden/>
              </w:rPr>
              <w:fldChar w:fldCharType="separate"/>
            </w:r>
            <w:r>
              <w:rPr>
                <w:noProof/>
                <w:webHidden/>
              </w:rPr>
              <w:t>10</w:t>
            </w:r>
            <w:r>
              <w:rPr>
                <w:noProof/>
                <w:webHidden/>
              </w:rPr>
              <w:fldChar w:fldCharType="end"/>
            </w:r>
          </w:hyperlink>
        </w:p>
        <w:p w14:paraId="55C4EEC6" w14:textId="77777777" w:rsidR="009668EB" w:rsidRDefault="009668EB" w:rsidP="009668EB">
          <w:pPr>
            <w:pStyle w:val="TOC2"/>
            <w:tabs>
              <w:tab w:val="right" w:leader="dot" w:pos="9016"/>
            </w:tabs>
            <w:rPr>
              <w:rFonts w:eastAsiaTheme="minorEastAsia"/>
              <w:noProof/>
              <w:kern w:val="2"/>
              <w:sz w:val="24"/>
              <w:szCs w:val="24"/>
              <w:lang w:eastAsia="en-GB"/>
              <w14:ligatures w14:val="standardContextual"/>
            </w:rPr>
          </w:pPr>
          <w:hyperlink w:anchor="_Toc227709487" w:history="1">
            <w:r w:rsidRPr="009200F8">
              <w:rPr>
                <w:rStyle w:val="Hyperlink"/>
                <w:b/>
                <w:bCs/>
                <w:noProof/>
              </w:rPr>
              <w:t>Ethical Considerations</w:t>
            </w:r>
            <w:r>
              <w:rPr>
                <w:noProof/>
                <w:webHidden/>
              </w:rPr>
              <w:tab/>
            </w:r>
            <w:r>
              <w:rPr>
                <w:noProof/>
                <w:webHidden/>
              </w:rPr>
              <w:fldChar w:fldCharType="begin"/>
            </w:r>
            <w:r>
              <w:rPr>
                <w:noProof/>
                <w:webHidden/>
              </w:rPr>
              <w:instrText xml:space="preserve"> PAGEREF _Toc227709487 \h </w:instrText>
            </w:r>
            <w:r>
              <w:rPr>
                <w:noProof/>
                <w:webHidden/>
              </w:rPr>
            </w:r>
            <w:r>
              <w:rPr>
                <w:noProof/>
                <w:webHidden/>
              </w:rPr>
              <w:fldChar w:fldCharType="separate"/>
            </w:r>
            <w:r>
              <w:rPr>
                <w:noProof/>
                <w:webHidden/>
              </w:rPr>
              <w:t>10</w:t>
            </w:r>
            <w:r>
              <w:rPr>
                <w:noProof/>
                <w:webHidden/>
              </w:rPr>
              <w:fldChar w:fldCharType="end"/>
            </w:r>
          </w:hyperlink>
        </w:p>
        <w:p w14:paraId="7F0914F1" w14:textId="42CDDEE1" w:rsidR="009668EB" w:rsidRDefault="009668EB" w:rsidP="009668EB">
          <w:pPr>
            <w:pStyle w:val="TOC1"/>
            <w:tabs>
              <w:tab w:val="right" w:leader="dot" w:pos="9016"/>
            </w:tabs>
            <w:rPr>
              <w:rFonts w:eastAsiaTheme="minorEastAsia"/>
              <w:noProof/>
              <w:kern w:val="2"/>
              <w:sz w:val="24"/>
              <w:szCs w:val="24"/>
              <w:lang w:eastAsia="en-GB"/>
              <w14:ligatures w14:val="standardContextual"/>
            </w:rPr>
          </w:pPr>
          <w:hyperlink w:anchor="_Toc227709488" w:history="1">
            <w:r w:rsidRPr="009200F8">
              <w:rPr>
                <w:rStyle w:val="Hyperlink"/>
                <w:b/>
                <w:bCs/>
                <w:noProof/>
              </w:rPr>
              <w:t>Results</w:t>
            </w:r>
            <w:r>
              <w:rPr>
                <w:noProof/>
                <w:webHidden/>
              </w:rPr>
              <w:tab/>
            </w:r>
            <w:r>
              <w:rPr>
                <w:noProof/>
                <w:webHidden/>
              </w:rPr>
              <w:fldChar w:fldCharType="begin"/>
            </w:r>
            <w:r>
              <w:rPr>
                <w:noProof/>
                <w:webHidden/>
              </w:rPr>
              <w:instrText xml:space="preserve"> PAGEREF _Toc227709488 \h </w:instrText>
            </w:r>
            <w:r>
              <w:rPr>
                <w:noProof/>
                <w:webHidden/>
              </w:rPr>
            </w:r>
            <w:r>
              <w:rPr>
                <w:noProof/>
                <w:webHidden/>
              </w:rPr>
              <w:fldChar w:fldCharType="separate"/>
            </w:r>
            <w:r>
              <w:rPr>
                <w:noProof/>
                <w:webHidden/>
              </w:rPr>
              <w:t>1</w:t>
            </w:r>
            <w:r>
              <w:rPr>
                <w:noProof/>
                <w:webHidden/>
              </w:rPr>
              <w:fldChar w:fldCharType="end"/>
            </w:r>
          </w:hyperlink>
          <w:r w:rsidR="00AB7DA7">
            <w:rPr>
              <w:noProof/>
            </w:rPr>
            <w:t>2</w:t>
          </w:r>
        </w:p>
        <w:p w14:paraId="1A755ACA" w14:textId="796D1FCB" w:rsidR="009668EB" w:rsidRDefault="009668EB" w:rsidP="009668EB">
          <w:pPr>
            <w:pStyle w:val="TOC1"/>
            <w:tabs>
              <w:tab w:val="right" w:leader="dot" w:pos="9016"/>
            </w:tabs>
            <w:rPr>
              <w:rFonts w:eastAsiaTheme="minorEastAsia"/>
              <w:noProof/>
              <w:kern w:val="2"/>
              <w:sz w:val="24"/>
              <w:szCs w:val="24"/>
              <w:lang w:eastAsia="en-GB"/>
              <w14:ligatures w14:val="standardContextual"/>
            </w:rPr>
          </w:pPr>
          <w:hyperlink w:anchor="_Toc227709489" w:history="1">
            <w:r w:rsidRPr="009200F8">
              <w:rPr>
                <w:rStyle w:val="Hyperlink"/>
                <w:b/>
                <w:bCs/>
                <w:noProof/>
              </w:rPr>
              <w:t>Discussion</w:t>
            </w:r>
            <w:r>
              <w:rPr>
                <w:noProof/>
                <w:webHidden/>
              </w:rPr>
              <w:tab/>
            </w:r>
            <w:r>
              <w:rPr>
                <w:noProof/>
                <w:webHidden/>
              </w:rPr>
              <w:fldChar w:fldCharType="begin"/>
            </w:r>
            <w:r>
              <w:rPr>
                <w:noProof/>
                <w:webHidden/>
              </w:rPr>
              <w:instrText xml:space="preserve"> PAGEREF _Toc227709489 \h </w:instrText>
            </w:r>
            <w:r>
              <w:rPr>
                <w:noProof/>
                <w:webHidden/>
              </w:rPr>
            </w:r>
            <w:r>
              <w:rPr>
                <w:noProof/>
                <w:webHidden/>
              </w:rPr>
              <w:fldChar w:fldCharType="separate"/>
            </w:r>
            <w:r>
              <w:rPr>
                <w:noProof/>
                <w:webHidden/>
              </w:rPr>
              <w:t>1</w:t>
            </w:r>
            <w:r>
              <w:rPr>
                <w:noProof/>
                <w:webHidden/>
              </w:rPr>
              <w:fldChar w:fldCharType="end"/>
            </w:r>
          </w:hyperlink>
          <w:r w:rsidR="00AB7DA7">
            <w:rPr>
              <w:noProof/>
            </w:rPr>
            <w:t>7</w:t>
          </w:r>
        </w:p>
        <w:p w14:paraId="2328A6F7" w14:textId="58EB8A08" w:rsidR="009668EB" w:rsidRDefault="009668EB" w:rsidP="009668EB">
          <w:pPr>
            <w:pStyle w:val="TOC1"/>
            <w:tabs>
              <w:tab w:val="right" w:leader="dot" w:pos="9016"/>
            </w:tabs>
            <w:rPr>
              <w:rFonts w:eastAsiaTheme="minorEastAsia"/>
              <w:noProof/>
              <w:kern w:val="2"/>
              <w:sz w:val="24"/>
              <w:szCs w:val="24"/>
              <w:lang w:eastAsia="en-GB"/>
              <w14:ligatures w14:val="standardContextual"/>
            </w:rPr>
          </w:pPr>
          <w:hyperlink w:anchor="_Toc227709490" w:history="1">
            <w:r w:rsidRPr="009200F8">
              <w:rPr>
                <w:rStyle w:val="Hyperlink"/>
                <w:b/>
                <w:bCs/>
                <w:noProof/>
              </w:rPr>
              <w:t>Conclusion and Recommendations</w:t>
            </w:r>
            <w:r>
              <w:rPr>
                <w:noProof/>
                <w:webHidden/>
              </w:rPr>
              <w:tab/>
            </w:r>
            <w:r w:rsidR="00AB7DA7">
              <w:rPr>
                <w:noProof/>
                <w:webHidden/>
              </w:rPr>
              <w:t>20</w:t>
            </w:r>
          </w:hyperlink>
        </w:p>
        <w:p w14:paraId="699A1251" w14:textId="476BCB7D" w:rsidR="009668EB" w:rsidRDefault="009668EB" w:rsidP="009668EB">
          <w:pPr>
            <w:pStyle w:val="TOC3"/>
            <w:tabs>
              <w:tab w:val="right" w:leader="dot" w:pos="9016"/>
            </w:tabs>
            <w:rPr>
              <w:rFonts w:eastAsiaTheme="minorEastAsia"/>
              <w:noProof/>
              <w:kern w:val="2"/>
              <w:sz w:val="24"/>
              <w:szCs w:val="24"/>
              <w:lang w:eastAsia="en-GB"/>
              <w14:ligatures w14:val="standardContextual"/>
            </w:rPr>
          </w:pPr>
          <w:hyperlink w:anchor="_Toc227709491" w:history="1">
            <w:r w:rsidRPr="009200F8">
              <w:rPr>
                <w:rStyle w:val="Hyperlink"/>
                <w:rFonts w:ascii="Arial" w:hAnsi="Arial" w:cs="Arial"/>
                <w:b/>
                <w:bCs/>
                <w:noProof/>
              </w:rPr>
              <w:t>Recommendations for Future Research</w:t>
            </w:r>
            <w:r>
              <w:rPr>
                <w:noProof/>
                <w:webHidden/>
              </w:rPr>
              <w:tab/>
            </w:r>
            <w:r>
              <w:rPr>
                <w:noProof/>
                <w:webHidden/>
              </w:rPr>
              <w:fldChar w:fldCharType="begin"/>
            </w:r>
            <w:r>
              <w:rPr>
                <w:noProof/>
                <w:webHidden/>
              </w:rPr>
              <w:instrText xml:space="preserve"> PAGEREF _Toc227709491 \h </w:instrText>
            </w:r>
            <w:r>
              <w:rPr>
                <w:noProof/>
                <w:webHidden/>
              </w:rPr>
            </w:r>
            <w:r>
              <w:rPr>
                <w:noProof/>
                <w:webHidden/>
              </w:rPr>
              <w:fldChar w:fldCharType="separate"/>
            </w:r>
            <w:r w:rsidR="00AB7DA7">
              <w:rPr>
                <w:noProof/>
                <w:webHidden/>
              </w:rPr>
              <w:t>20</w:t>
            </w:r>
            <w:r>
              <w:rPr>
                <w:noProof/>
                <w:webHidden/>
              </w:rPr>
              <w:fldChar w:fldCharType="end"/>
            </w:r>
          </w:hyperlink>
        </w:p>
        <w:p w14:paraId="56BD9D4B" w14:textId="77777777" w:rsidR="009668EB" w:rsidRDefault="009668EB" w:rsidP="009668EB">
          <w:pPr>
            <w:pStyle w:val="TOC3"/>
            <w:tabs>
              <w:tab w:val="right" w:leader="dot" w:pos="9016"/>
            </w:tabs>
            <w:rPr>
              <w:rFonts w:eastAsiaTheme="minorEastAsia"/>
              <w:noProof/>
              <w:kern w:val="2"/>
              <w:sz w:val="24"/>
              <w:szCs w:val="24"/>
              <w:lang w:eastAsia="en-GB"/>
              <w14:ligatures w14:val="standardContextual"/>
            </w:rPr>
          </w:pPr>
          <w:hyperlink w:anchor="_Toc227709492" w:history="1">
            <w:r w:rsidRPr="009200F8">
              <w:rPr>
                <w:rStyle w:val="Hyperlink"/>
                <w:rFonts w:ascii="Arial" w:hAnsi="Arial" w:cs="Arial"/>
                <w:b/>
                <w:bCs/>
                <w:noProof/>
              </w:rPr>
              <w:t>Recommendations for Policy and UK Practice</w:t>
            </w:r>
            <w:r>
              <w:rPr>
                <w:noProof/>
                <w:webHidden/>
              </w:rPr>
              <w:tab/>
            </w:r>
            <w:r>
              <w:rPr>
                <w:noProof/>
                <w:webHidden/>
              </w:rPr>
              <w:fldChar w:fldCharType="begin"/>
            </w:r>
            <w:r>
              <w:rPr>
                <w:noProof/>
                <w:webHidden/>
              </w:rPr>
              <w:instrText xml:space="preserve"> PAGEREF _Toc227709492 \h </w:instrText>
            </w:r>
            <w:r>
              <w:rPr>
                <w:noProof/>
                <w:webHidden/>
              </w:rPr>
            </w:r>
            <w:r>
              <w:rPr>
                <w:noProof/>
                <w:webHidden/>
              </w:rPr>
              <w:fldChar w:fldCharType="separate"/>
            </w:r>
            <w:r>
              <w:rPr>
                <w:noProof/>
                <w:webHidden/>
              </w:rPr>
              <w:t>19</w:t>
            </w:r>
            <w:r>
              <w:rPr>
                <w:noProof/>
                <w:webHidden/>
              </w:rPr>
              <w:fldChar w:fldCharType="end"/>
            </w:r>
          </w:hyperlink>
        </w:p>
        <w:p w14:paraId="4348275A" w14:textId="20CB514D" w:rsidR="009668EB" w:rsidRDefault="009668EB" w:rsidP="009668EB">
          <w:pPr>
            <w:pStyle w:val="TOC1"/>
            <w:tabs>
              <w:tab w:val="right" w:leader="dot" w:pos="9016"/>
            </w:tabs>
            <w:rPr>
              <w:rFonts w:eastAsiaTheme="minorEastAsia"/>
              <w:noProof/>
              <w:kern w:val="2"/>
              <w:sz w:val="24"/>
              <w:szCs w:val="24"/>
              <w:lang w:eastAsia="en-GB"/>
              <w14:ligatures w14:val="standardContextual"/>
            </w:rPr>
          </w:pPr>
          <w:hyperlink w:anchor="_Toc227709493" w:history="1">
            <w:r w:rsidRPr="009200F8">
              <w:rPr>
                <w:rStyle w:val="Hyperlink"/>
                <w:b/>
                <w:bCs/>
                <w:noProof/>
              </w:rPr>
              <w:t>References</w:t>
            </w:r>
            <w:r>
              <w:rPr>
                <w:noProof/>
                <w:webHidden/>
              </w:rPr>
              <w:tab/>
            </w:r>
            <w:r>
              <w:rPr>
                <w:noProof/>
                <w:webHidden/>
              </w:rPr>
              <w:fldChar w:fldCharType="begin"/>
            </w:r>
            <w:r>
              <w:rPr>
                <w:noProof/>
                <w:webHidden/>
              </w:rPr>
              <w:instrText xml:space="preserve"> PAGEREF _Toc227709493 \h </w:instrText>
            </w:r>
            <w:r>
              <w:rPr>
                <w:noProof/>
                <w:webHidden/>
              </w:rPr>
            </w:r>
            <w:r>
              <w:rPr>
                <w:noProof/>
                <w:webHidden/>
              </w:rPr>
              <w:fldChar w:fldCharType="separate"/>
            </w:r>
            <w:r>
              <w:rPr>
                <w:noProof/>
                <w:webHidden/>
              </w:rPr>
              <w:t>2</w:t>
            </w:r>
            <w:r>
              <w:rPr>
                <w:noProof/>
                <w:webHidden/>
              </w:rPr>
              <w:fldChar w:fldCharType="end"/>
            </w:r>
          </w:hyperlink>
          <w:r>
            <w:rPr>
              <w:noProof/>
            </w:rPr>
            <w:t>2</w:t>
          </w:r>
        </w:p>
        <w:p w14:paraId="421A911F" w14:textId="77777777" w:rsidR="009668EB" w:rsidRDefault="009668EB" w:rsidP="009668EB">
          <w:pPr>
            <w:rPr>
              <w:b/>
              <w:bCs/>
              <w:noProof/>
            </w:rPr>
          </w:pPr>
          <w:r>
            <w:rPr>
              <w:b/>
              <w:bCs/>
              <w:noProof/>
            </w:rPr>
            <w:fldChar w:fldCharType="end"/>
          </w:r>
        </w:p>
      </w:sdtContent>
    </w:sdt>
    <w:p w14:paraId="77EA38DC" w14:textId="78D310B8" w:rsidR="00801CAA" w:rsidRDefault="00801CAA" w:rsidP="00801CAA"/>
    <w:p w14:paraId="54355A34" w14:textId="1DD2645E" w:rsidR="00801CAA" w:rsidRDefault="00801CAA" w:rsidP="00801CAA"/>
    <w:p w14:paraId="2B613E12" w14:textId="4C96FCCC" w:rsidR="00801CAA" w:rsidRDefault="00801CAA" w:rsidP="00801CAA"/>
    <w:p w14:paraId="576D0A28" w14:textId="0D2B7787" w:rsidR="00801CAA" w:rsidRDefault="00801CAA" w:rsidP="00801CAA"/>
    <w:p w14:paraId="57952519" w14:textId="0FBD0C9F" w:rsidR="00801CAA" w:rsidRDefault="00801CAA" w:rsidP="00801CAA"/>
    <w:p w14:paraId="6299EFC0" w14:textId="468F773C" w:rsidR="00801CAA" w:rsidRDefault="00801CAA" w:rsidP="00801CAA"/>
    <w:p w14:paraId="08DE1483" w14:textId="4AC5A5A7" w:rsidR="00801CAA" w:rsidRDefault="00801CAA" w:rsidP="00801CAA"/>
    <w:p w14:paraId="1B70DD20" w14:textId="53DFC5DA" w:rsidR="00801CAA" w:rsidRDefault="00801CAA" w:rsidP="00801CAA"/>
    <w:p w14:paraId="4AB622FF" w14:textId="48697291" w:rsidR="00801CAA" w:rsidRDefault="00801CAA" w:rsidP="00801CAA"/>
    <w:p w14:paraId="105D0E07" w14:textId="5CEFE4DA" w:rsidR="00801CAA" w:rsidRDefault="00801CAA" w:rsidP="00801CAA"/>
    <w:p w14:paraId="7A2B75E1" w14:textId="70562E26" w:rsidR="00801CAA" w:rsidRDefault="00801CAA" w:rsidP="00801CAA"/>
    <w:p w14:paraId="10774CEF" w14:textId="77777777" w:rsidR="009668EB" w:rsidRDefault="009668EB" w:rsidP="00147520">
      <w:pPr>
        <w:pStyle w:val="font-claude-response-body"/>
        <w:spacing w:line="360" w:lineRule="auto"/>
        <w:rPr>
          <w:rStyle w:val="Strong"/>
          <w:rFonts w:ascii="Arial" w:eastAsiaTheme="majorEastAsia" w:hAnsi="Arial" w:cs="Arial"/>
        </w:rPr>
      </w:pPr>
      <w:bookmarkStart w:id="1" w:name="_Toc222412435"/>
    </w:p>
    <w:p w14:paraId="677554D8" w14:textId="77777777" w:rsidR="009668EB" w:rsidRDefault="009668EB" w:rsidP="00147520">
      <w:pPr>
        <w:pStyle w:val="font-claude-response-body"/>
        <w:spacing w:line="360" w:lineRule="auto"/>
        <w:rPr>
          <w:rStyle w:val="Strong"/>
          <w:rFonts w:ascii="Arial" w:eastAsiaTheme="majorEastAsia" w:hAnsi="Arial" w:cs="Arial"/>
        </w:rPr>
      </w:pPr>
    </w:p>
    <w:p w14:paraId="1DA4AC90" w14:textId="4BCF36C7" w:rsidR="00147520" w:rsidRPr="00147520" w:rsidRDefault="00147520" w:rsidP="00147520">
      <w:pPr>
        <w:pStyle w:val="font-claude-response-body"/>
        <w:spacing w:line="360" w:lineRule="auto"/>
        <w:rPr>
          <w:rFonts w:ascii="Arial" w:hAnsi="Arial" w:cs="Arial"/>
        </w:rPr>
      </w:pPr>
      <w:r w:rsidRPr="00147520">
        <w:rPr>
          <w:rStyle w:val="Strong"/>
          <w:rFonts w:ascii="Arial" w:eastAsiaTheme="majorEastAsia" w:hAnsi="Arial" w:cs="Arial"/>
        </w:rPr>
        <w:lastRenderedPageBreak/>
        <w:t>Abstract</w:t>
      </w:r>
    </w:p>
    <w:p w14:paraId="517CD4DF" w14:textId="77777777" w:rsidR="00147520" w:rsidRPr="00147520" w:rsidRDefault="00147520" w:rsidP="00147520">
      <w:pPr>
        <w:pStyle w:val="font-claude-response-body"/>
        <w:spacing w:line="360" w:lineRule="auto"/>
        <w:rPr>
          <w:rFonts w:ascii="Arial" w:hAnsi="Arial" w:cs="Arial"/>
        </w:rPr>
      </w:pPr>
      <w:r w:rsidRPr="00147520">
        <w:rPr>
          <w:rStyle w:val="Strong"/>
          <w:rFonts w:ascii="Arial" w:eastAsiaTheme="majorEastAsia" w:hAnsi="Arial" w:cs="Arial"/>
        </w:rPr>
        <w:t>Purpose</w:t>
      </w:r>
      <w:r w:rsidRPr="00147520">
        <w:rPr>
          <w:rFonts w:ascii="Arial" w:hAnsi="Arial" w:cs="Arial"/>
        </w:rPr>
        <w:t xml:space="preserve"> This study examines the impact of type 2 diabetes on the health and wellbeing of adults aged 65 years and older residing in the London Borough of Harrow, with particular attention to physical, psychological and social dimensions of care.</w:t>
      </w:r>
    </w:p>
    <w:p w14:paraId="3CFF5092" w14:textId="77777777" w:rsidR="00147520" w:rsidRPr="00147520" w:rsidRDefault="00147520" w:rsidP="00147520">
      <w:pPr>
        <w:pStyle w:val="font-claude-response-body"/>
        <w:spacing w:line="360" w:lineRule="auto"/>
        <w:rPr>
          <w:rFonts w:ascii="Arial" w:hAnsi="Arial" w:cs="Arial"/>
        </w:rPr>
      </w:pPr>
      <w:r w:rsidRPr="00147520">
        <w:rPr>
          <w:rStyle w:val="Strong"/>
          <w:rFonts w:ascii="Arial" w:eastAsiaTheme="majorEastAsia" w:hAnsi="Arial" w:cs="Arial"/>
        </w:rPr>
        <w:t>Methodology</w:t>
      </w:r>
      <w:r w:rsidRPr="00147520">
        <w:rPr>
          <w:rFonts w:ascii="Arial" w:hAnsi="Arial" w:cs="Arial"/>
        </w:rPr>
        <w:t xml:space="preserve"> A secondary research design was adopted, utilising a scoping review methodology. Six peer-reviewed studies and grey literature sources were identified through systematic searches of CINAHL and PubMed databases, alongside national public health reports.</w:t>
      </w:r>
    </w:p>
    <w:p w14:paraId="29C2B78C" w14:textId="77777777" w:rsidR="00147520" w:rsidRPr="00147520" w:rsidRDefault="00147520" w:rsidP="00147520">
      <w:pPr>
        <w:pStyle w:val="font-claude-response-body"/>
        <w:spacing w:line="360" w:lineRule="auto"/>
        <w:rPr>
          <w:rFonts w:ascii="Arial" w:hAnsi="Arial" w:cs="Arial"/>
        </w:rPr>
      </w:pPr>
      <w:r w:rsidRPr="00147520">
        <w:rPr>
          <w:rStyle w:val="Strong"/>
          <w:rFonts w:ascii="Arial" w:eastAsiaTheme="majorEastAsia" w:hAnsi="Arial" w:cs="Arial"/>
        </w:rPr>
        <w:t>Findings</w:t>
      </w:r>
      <w:r w:rsidRPr="00147520">
        <w:rPr>
          <w:rFonts w:ascii="Arial" w:hAnsi="Arial" w:cs="Arial"/>
        </w:rPr>
        <w:t xml:space="preserve"> Thematic analysis generated three principal themes: physical health complications and functional decline; psychological wellbeing and depression; and self-management, social support and quality of life. Type 2 diabetes was consistently associated with elevated morbidity, depressive symptomatology and diminished independence among older adults.</w:t>
      </w:r>
    </w:p>
    <w:p w14:paraId="2E084CC7" w14:textId="77777777" w:rsidR="00147520" w:rsidRPr="00147520" w:rsidRDefault="00147520" w:rsidP="00147520">
      <w:pPr>
        <w:pStyle w:val="font-claude-response-body"/>
        <w:spacing w:line="360" w:lineRule="auto"/>
        <w:rPr>
          <w:rFonts w:ascii="Arial" w:hAnsi="Arial" w:cs="Arial"/>
        </w:rPr>
      </w:pPr>
      <w:r w:rsidRPr="00147520">
        <w:rPr>
          <w:rStyle w:val="Strong"/>
          <w:rFonts w:ascii="Arial" w:eastAsiaTheme="majorEastAsia" w:hAnsi="Arial" w:cs="Arial"/>
        </w:rPr>
        <w:t>Conclusion</w:t>
      </w:r>
      <w:r w:rsidRPr="00147520">
        <w:rPr>
          <w:rFonts w:ascii="Arial" w:hAnsi="Arial" w:cs="Arial"/>
        </w:rPr>
        <w:t xml:space="preserve"> The findings underscore the necessity of holistic, person-centred and culturally sensitive approaches to diabetes management in older adults, particularly within ethnically diverse and socio-economically deprived communities such as Harrow.</w:t>
      </w:r>
    </w:p>
    <w:p w14:paraId="3259BD43" w14:textId="77777777" w:rsidR="00147520" w:rsidRDefault="00147520" w:rsidP="00801CAA">
      <w:pPr>
        <w:pStyle w:val="Heading1"/>
        <w:rPr>
          <w:b/>
          <w:bCs/>
          <w:color w:val="auto"/>
        </w:rPr>
      </w:pPr>
    </w:p>
    <w:p w14:paraId="20471CE8" w14:textId="77777777" w:rsidR="00147520" w:rsidRDefault="00147520">
      <w:pPr>
        <w:rPr>
          <w:rFonts w:asciiTheme="majorHAnsi" w:eastAsiaTheme="majorEastAsia" w:hAnsiTheme="majorHAnsi" w:cstheme="majorBidi"/>
          <w:b/>
          <w:bCs/>
          <w:sz w:val="32"/>
          <w:szCs w:val="32"/>
        </w:rPr>
      </w:pPr>
      <w:r>
        <w:rPr>
          <w:b/>
          <w:bCs/>
        </w:rPr>
        <w:br w:type="page"/>
      </w:r>
    </w:p>
    <w:p w14:paraId="64352D29" w14:textId="5C1CBD3B" w:rsidR="00801CAA" w:rsidRDefault="00801CAA" w:rsidP="00801CAA">
      <w:pPr>
        <w:pStyle w:val="Heading1"/>
        <w:rPr>
          <w:b/>
          <w:bCs/>
          <w:color w:val="auto"/>
        </w:rPr>
      </w:pPr>
      <w:r w:rsidRPr="00C11EB4">
        <w:rPr>
          <w:b/>
          <w:bCs/>
          <w:color w:val="auto"/>
        </w:rPr>
        <w:lastRenderedPageBreak/>
        <w:t>Introduction</w:t>
      </w:r>
      <w:bookmarkEnd w:id="1"/>
    </w:p>
    <w:p w14:paraId="3CD4E4F0" w14:textId="77777777" w:rsidR="00801CAA" w:rsidRDefault="00801CAA" w:rsidP="00801CAA">
      <w:pPr>
        <w:jc w:val="both"/>
        <w:rPr>
          <w:rFonts w:ascii="Arial" w:hAnsi="Arial" w:cs="Arial"/>
          <w:b/>
          <w:bCs/>
          <w:sz w:val="24"/>
          <w:szCs w:val="24"/>
        </w:rPr>
      </w:pPr>
      <w:r>
        <w:rPr>
          <w:rFonts w:ascii="Arial" w:hAnsi="Arial" w:cs="Arial"/>
          <w:b/>
          <w:bCs/>
          <w:sz w:val="24"/>
          <w:szCs w:val="24"/>
        </w:rPr>
        <w:t>The impact of type 2 diabetes on the health and wellbeing of the elderly aged 65 years and older who are living in the London Borough of Harrow.</w:t>
      </w:r>
    </w:p>
    <w:p w14:paraId="6FD79FFA" w14:textId="77777777" w:rsidR="00801CAA" w:rsidRDefault="00801CAA" w:rsidP="00801CAA">
      <w:pPr>
        <w:spacing w:line="360" w:lineRule="auto"/>
        <w:jc w:val="both"/>
      </w:pPr>
    </w:p>
    <w:p w14:paraId="7E995D1B" w14:textId="77777777" w:rsidR="00801CAA" w:rsidRPr="00801CAA" w:rsidRDefault="00801CAA" w:rsidP="00801CAA">
      <w:pPr>
        <w:pStyle w:val="font-claude-response-body"/>
        <w:spacing w:line="360" w:lineRule="auto"/>
        <w:rPr>
          <w:rFonts w:ascii="Arial" w:hAnsi="Arial" w:cs="Arial"/>
        </w:rPr>
      </w:pPr>
      <w:r w:rsidRPr="00801CAA">
        <w:rPr>
          <w:rFonts w:ascii="Arial" w:hAnsi="Arial" w:cs="Arial"/>
        </w:rPr>
        <w:t>Type 2 diabetes mellitus is a chronic metabolic condition characterised by insulin resistance and impaired insulin secretion, resulting in persistent hyperglycaemia (NICE, 2022). Strongly associated with obesity, sedentary lifestyles and advancing age, it represents the most prevalent form of diabetes in the United Kingdom (Diabetes UK, 2023). Health is understood not merely as the absence of disease, but as a state of complete physical, mental and social wellbeing (World Health Organisation [WHO], 1948). Wellbeing, in turn, encompasses quality of life, functional independence, psychological health and social participation — dimensions of particular salience in later life.</w:t>
      </w:r>
    </w:p>
    <w:p w14:paraId="100368EC" w14:textId="77777777" w:rsidR="00181419" w:rsidRDefault="00801CAA" w:rsidP="00181419">
      <w:pPr>
        <w:pStyle w:val="font-claude-response-body"/>
        <w:spacing w:line="360" w:lineRule="auto"/>
        <w:rPr>
          <w:rFonts w:ascii="Arial" w:hAnsi="Arial" w:cs="Arial"/>
        </w:rPr>
      </w:pPr>
      <w:r w:rsidRPr="00801CAA">
        <w:rPr>
          <w:rFonts w:ascii="Arial" w:hAnsi="Arial" w:cs="Arial"/>
        </w:rPr>
        <w:t>Adults aged 65 years and older face a markedly elevated risk of diabetes-related complications, including peripheral neuropathy, cardiovascular disease and diminished functional capacity (Strain et al., 2018). Within the London Borough of Harrow, existing health inequalities and significant demographic diversity may further compound these outcomes. This study therefore examines the impact of type 2 diabetes on the overall health and wellbeing of older residents within this local context.</w:t>
      </w:r>
      <w:bookmarkStart w:id="2" w:name="_Toc222412436"/>
    </w:p>
    <w:p w14:paraId="4D9F742C" w14:textId="3DA8585A" w:rsidR="00181419" w:rsidRDefault="00181419" w:rsidP="00181419">
      <w:pPr>
        <w:pStyle w:val="font-claude-response-body"/>
        <w:spacing w:line="360" w:lineRule="auto"/>
        <w:rPr>
          <w:rFonts w:ascii="Arial" w:hAnsi="Arial" w:cs="Arial"/>
        </w:rPr>
      </w:pPr>
      <w:r w:rsidRPr="00C11EB4">
        <w:rPr>
          <w:b/>
          <w:bCs/>
        </w:rPr>
        <w:t>Rationale</w:t>
      </w:r>
      <w:bookmarkEnd w:id="2"/>
    </w:p>
    <w:p w14:paraId="24CA6535" w14:textId="0BAED7F4" w:rsidR="00181419" w:rsidRPr="00181419" w:rsidRDefault="00181419" w:rsidP="00181419">
      <w:pPr>
        <w:pStyle w:val="font-claude-response-body"/>
        <w:spacing w:line="360" w:lineRule="auto"/>
        <w:rPr>
          <w:rFonts w:ascii="Arial" w:hAnsi="Arial" w:cs="Arial"/>
        </w:rPr>
      </w:pPr>
      <w:r w:rsidRPr="00181419">
        <w:rPr>
          <w:rFonts w:ascii="Arial" w:hAnsi="Arial" w:cs="Arial"/>
        </w:rPr>
        <w:t xml:space="preserve">Type 2 diabetes represents a pressing public health concern, particularly among older adults (Diabetes UK, 2023). Within the United Kingdom, prevalence increases markedly with age, with older adults bearing a disproportionate burden of the disease (Diabetes UK, 2023). The London Borough of Harrow, in common with many diverse urban boroughs across London, exhibits diabetes rates that exceed national averages — a pattern attributable to its significant ethnic diversity and prevailing socio-economic disparities (PHE, 2020; Healthwatch Harrow, 2018). In later life, diabetes is associated with substantially elevated risks of cardiovascular disease, peripheral neuropathy and reduced functional independence (Strain et al., 2018). </w:t>
      </w:r>
      <w:r w:rsidRPr="00181419">
        <w:rPr>
          <w:rFonts w:ascii="Arial" w:hAnsi="Arial" w:cs="Arial"/>
        </w:rPr>
        <w:lastRenderedPageBreak/>
        <w:t>Psychosocial wellbeing is similarly compromised, with higher rates of depression consistently observed among older adults with diabetes (Lucia et al., 2025).</w:t>
      </w:r>
    </w:p>
    <w:p w14:paraId="039975A7" w14:textId="30A13DFC" w:rsidR="00181419" w:rsidRDefault="00181419" w:rsidP="00181419">
      <w:pPr>
        <w:pStyle w:val="font-claude-response-body"/>
        <w:spacing w:line="360" w:lineRule="auto"/>
        <w:rPr>
          <w:rFonts w:ascii="Arial" w:hAnsi="Arial" w:cs="Arial"/>
        </w:rPr>
      </w:pPr>
      <w:r w:rsidRPr="00181419">
        <w:rPr>
          <w:rFonts w:ascii="Arial" w:hAnsi="Arial" w:cs="Arial"/>
        </w:rPr>
        <w:t xml:space="preserve">Given the complex and multifaceted care needs of this population, a localised investigation into the impact of type 2 diabetes within Harrow is essential to inform targeted health and social care strategies. Accordingly, this study explores the following research question: </w:t>
      </w:r>
      <w:r w:rsidRPr="00181419">
        <w:rPr>
          <w:rStyle w:val="Emphasis"/>
          <w:rFonts w:ascii="Arial" w:eastAsiaTheme="majorEastAsia" w:hAnsi="Arial" w:cs="Arial"/>
        </w:rPr>
        <w:t>'What is the impact of type 2 diabetes on the health and wellbeing of adults aged 65 years and older living in the London Borough of Harrow?'</w:t>
      </w:r>
      <w:r w:rsidRPr="00181419">
        <w:rPr>
          <w:rFonts w:ascii="Arial" w:hAnsi="Arial" w:cs="Arial"/>
        </w:rPr>
        <w:t xml:space="preserve"> A deeper understanding of these impacts will support evidence-based resource allocation, the development of community-based interventions and the advancement of personalised care frameworks (NICE, 2022)</w:t>
      </w:r>
      <w:r>
        <w:rPr>
          <w:rFonts w:ascii="Arial" w:hAnsi="Arial" w:cs="Arial"/>
        </w:rPr>
        <w:t>.</w:t>
      </w:r>
    </w:p>
    <w:p w14:paraId="39B9A94C" w14:textId="66AA9AC2" w:rsidR="00181419" w:rsidRPr="00C11EB4" w:rsidRDefault="00181419" w:rsidP="00181419">
      <w:pPr>
        <w:pStyle w:val="Heading2"/>
        <w:rPr>
          <w:b/>
          <w:bCs/>
          <w:color w:val="auto"/>
        </w:rPr>
      </w:pPr>
      <w:bookmarkStart w:id="3" w:name="_Toc222412437"/>
      <w:r w:rsidRPr="00C11EB4">
        <w:rPr>
          <w:b/>
          <w:bCs/>
          <w:color w:val="auto"/>
        </w:rPr>
        <w:t>Aim and Objectives</w:t>
      </w:r>
      <w:bookmarkEnd w:id="3"/>
    </w:p>
    <w:p w14:paraId="1BCD64DC" w14:textId="73ED0375" w:rsidR="00181419" w:rsidRDefault="00181419" w:rsidP="00181419">
      <w:pPr>
        <w:spacing w:line="360" w:lineRule="auto"/>
        <w:jc w:val="both"/>
        <w:rPr>
          <w:rFonts w:ascii="Arial" w:hAnsi="Arial" w:cs="Arial"/>
          <w:b/>
          <w:bCs/>
          <w:sz w:val="24"/>
          <w:szCs w:val="24"/>
        </w:rPr>
      </w:pPr>
      <w:r>
        <w:rPr>
          <w:rFonts w:ascii="Arial" w:hAnsi="Arial" w:cs="Arial"/>
          <w:b/>
          <w:bCs/>
          <w:sz w:val="24"/>
          <w:szCs w:val="24"/>
        </w:rPr>
        <w:t>Aim</w:t>
      </w:r>
    </w:p>
    <w:p w14:paraId="22A0883A" w14:textId="5CFC3A6A" w:rsidR="00181419" w:rsidRPr="00181419" w:rsidRDefault="00181419" w:rsidP="00181419">
      <w:pPr>
        <w:spacing w:line="360" w:lineRule="auto"/>
        <w:jc w:val="both"/>
        <w:rPr>
          <w:rFonts w:ascii="Arial" w:hAnsi="Arial" w:cs="Arial"/>
          <w:b/>
          <w:bCs/>
          <w:sz w:val="24"/>
          <w:szCs w:val="24"/>
        </w:rPr>
      </w:pPr>
      <w:r w:rsidRPr="00181419">
        <w:rPr>
          <w:rFonts w:ascii="Arial" w:hAnsi="Arial" w:cs="Arial"/>
          <w:sz w:val="24"/>
          <w:szCs w:val="24"/>
        </w:rPr>
        <w:t>To critically examine the impact of type 2 diabetes on the physical health, psychological wellbeing and overall quality of life of adults aged 65 years and older residing in the London Borough of Harrow, and to identify the implications for local health and social care services.</w:t>
      </w:r>
      <w:r w:rsidRPr="00181419">
        <w:rPr>
          <w:rFonts w:ascii="Arial" w:hAnsi="Arial" w:cs="Arial"/>
          <w:b/>
          <w:bCs/>
          <w:sz w:val="24"/>
          <w:szCs w:val="24"/>
        </w:rPr>
        <w:t xml:space="preserve">   </w:t>
      </w:r>
    </w:p>
    <w:p w14:paraId="6347EF6F" w14:textId="77777777" w:rsidR="00B91C40" w:rsidRPr="00B91C40" w:rsidRDefault="00B91C40" w:rsidP="00B91C40">
      <w:p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b/>
          <w:bCs/>
          <w:sz w:val="24"/>
          <w:szCs w:val="24"/>
          <w:lang w:eastAsia="en-GB"/>
        </w:rPr>
        <w:t>Objectives</w:t>
      </w:r>
    </w:p>
    <w:p w14:paraId="59B95C46" w14:textId="77777777" w:rsidR="00B91C40" w:rsidRPr="00B91C40" w:rsidRDefault="00B91C40" w:rsidP="00B91C40">
      <w:p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This study seeks to:</w:t>
      </w:r>
    </w:p>
    <w:p w14:paraId="3715D94C" w14:textId="77777777" w:rsidR="00B91C40" w:rsidRPr="00B91C40" w:rsidRDefault="00B91C40" w:rsidP="00B91C40">
      <w:pPr>
        <w:numPr>
          <w:ilvl w:val="0"/>
          <w:numId w:val="1"/>
        </w:num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Examine the prevalence of type 2 diabetes among older adults residing in the London Borough of Harrow.</w:t>
      </w:r>
    </w:p>
    <w:p w14:paraId="5C3E19B7" w14:textId="77777777" w:rsidR="00B91C40" w:rsidRPr="00B91C40" w:rsidRDefault="00B91C40" w:rsidP="00B91C40">
      <w:pPr>
        <w:numPr>
          <w:ilvl w:val="0"/>
          <w:numId w:val="1"/>
        </w:num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Assess the influence of type 2 diabetes on physical health outcomes, including comorbidity burden, mobility and hospital admissions.</w:t>
      </w:r>
    </w:p>
    <w:p w14:paraId="556D6AE7" w14:textId="77777777" w:rsidR="00B91C40" w:rsidRPr="00B91C40" w:rsidRDefault="00B91C40" w:rsidP="00B91C40">
      <w:pPr>
        <w:numPr>
          <w:ilvl w:val="0"/>
          <w:numId w:val="1"/>
        </w:num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Identify the impact of type 2 diabetes on psychological wellbeing, encompassing depression, anxiety and quality of life.</w:t>
      </w:r>
    </w:p>
    <w:p w14:paraId="34EFB390" w14:textId="1BBE2B86" w:rsidR="00B91C40" w:rsidRPr="00B91C40" w:rsidRDefault="00B91C40" w:rsidP="00B91C40">
      <w:pPr>
        <w:numPr>
          <w:ilvl w:val="0"/>
          <w:numId w:val="1"/>
        </w:num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Explore the social care implications and support needs of older adults living with type 2 diabetes within this local context.</w:t>
      </w:r>
    </w:p>
    <w:p w14:paraId="26B32F4F" w14:textId="77777777" w:rsidR="00AB7DA7" w:rsidRDefault="00AB7DA7" w:rsidP="00B91C40">
      <w:pPr>
        <w:spacing w:before="100" w:beforeAutospacing="1" w:after="100" w:afterAutospacing="1" w:line="360" w:lineRule="auto"/>
        <w:rPr>
          <w:rFonts w:ascii="Arial" w:eastAsia="Times New Roman" w:hAnsi="Arial" w:cs="Arial"/>
          <w:b/>
          <w:bCs/>
          <w:sz w:val="24"/>
          <w:szCs w:val="24"/>
          <w:lang w:eastAsia="en-GB"/>
        </w:rPr>
      </w:pPr>
    </w:p>
    <w:p w14:paraId="58ED2A34" w14:textId="77777777" w:rsidR="00AB7DA7" w:rsidRDefault="00AB7DA7" w:rsidP="00B91C40">
      <w:pPr>
        <w:spacing w:before="100" w:beforeAutospacing="1" w:after="100" w:afterAutospacing="1" w:line="360" w:lineRule="auto"/>
        <w:rPr>
          <w:rFonts w:ascii="Arial" w:eastAsia="Times New Roman" w:hAnsi="Arial" w:cs="Arial"/>
          <w:b/>
          <w:bCs/>
          <w:sz w:val="24"/>
          <w:szCs w:val="24"/>
          <w:lang w:eastAsia="en-GB"/>
        </w:rPr>
      </w:pPr>
    </w:p>
    <w:p w14:paraId="6AC85D52" w14:textId="432AB84D" w:rsidR="00B91C40" w:rsidRPr="00B91C40" w:rsidRDefault="00B91C40" w:rsidP="00B91C40">
      <w:p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b/>
          <w:bCs/>
          <w:sz w:val="24"/>
          <w:szCs w:val="24"/>
          <w:lang w:eastAsia="en-GB"/>
        </w:rPr>
        <w:lastRenderedPageBreak/>
        <w:t>Background</w:t>
      </w:r>
    </w:p>
    <w:p w14:paraId="23B113F8" w14:textId="77777777" w:rsidR="00B91C40" w:rsidRPr="00B91C40" w:rsidRDefault="00B91C40" w:rsidP="00B91C40">
      <w:p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Type 2 diabetes is a significant long-term condition in the United Kingdom, characterised by chronic hyperglycaemia and insulin resistance, and strongly associated with advancing age, genetic predisposition and lifestyle factors (NICE, 2022). The National Institute for Health and Care Excellence (NICE) provides evidence-based guidance on diabetes management, emphasising individualised care, glycaemic monitoring, lifestyle interventions, complication management and cardiovascular risk reduction (NICE, 2012; NICE, 2022). Prevention guidance similarly recommends proactive risk assessment and community-level interventions to reduce progression to diabetes, alongside early detection in high-risk groups, including older adults and ethnic minorities (NICE, 2012). Diabetes prevention and management constitute key components of the NHS Long Term Plan, which prioritises care integration, improved health outcomes and the reduction of health inequalities across the English health system.</w:t>
      </w:r>
    </w:p>
    <w:p w14:paraId="5B57CA43" w14:textId="77777777" w:rsidR="00B91C40" w:rsidRPr="00B91C40" w:rsidRDefault="00B91C40" w:rsidP="00B91C40">
      <w:p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Within the London context, the London Diabetes Clinical Network supports integrated diabetes care across boroughs by connecting local health services, reducing unwarranted variation in care quality and facilitating the dissemination of best practice (NHS England, 2025). The London Borough of Harrow faces a particularly high prevalence of type 2 diabetes, exceeding both national and London averages — a pattern reflective of its diverse population and associated risk profiles (London Borough of Harrow, 2024). Harrow Council works in partnership with NHS and community organisations to deliver preventive services, including free NHS Health Checks targeting adults aged 40 to 74, incorporating diabetes risk assessment and locally tailored healthy eating guidance aimed at reducing obesity and its associated conditions (Harrow Council, 2024; 2025). Structured education programmes, such as the DESMOND Diabetes Programme, provide self-management training and peer support for individuals living with type 2 diabetes, with evidence suggesting improvements in glycaemic control and patient empowerment (CLCH NHS Trust, 2025).</w:t>
      </w:r>
    </w:p>
    <w:p w14:paraId="51F75CE2" w14:textId="77777777" w:rsidR="00B91C40" w:rsidRPr="00B91C40" w:rsidRDefault="00B91C40" w:rsidP="00B91C40">
      <w:p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 xml:space="preserve">Social care strategies in Harrow emphasise personalised support for older residents with long-term conditions, integrating health and social care to promote wellbeing and independence at home, while addressing social isolation and complex long-term </w:t>
      </w:r>
      <w:r w:rsidRPr="00B91C40">
        <w:rPr>
          <w:rFonts w:ascii="Arial" w:eastAsia="Times New Roman" w:hAnsi="Arial" w:cs="Arial"/>
          <w:sz w:val="24"/>
          <w:szCs w:val="24"/>
          <w:lang w:eastAsia="en-GB"/>
        </w:rPr>
        <w:lastRenderedPageBreak/>
        <w:t>needs (Harrow Council, 2025). The Harrow Borough Based Partnership further coordinates activity across health, social care and voluntary sectors to address health inequalities and support community health initiatives, including outreach programmes targeting diabetes and hypertension (Harrow Borough Based Partnership, 2025).</w:t>
      </w:r>
    </w:p>
    <w:p w14:paraId="19B31D33" w14:textId="51EF394B" w:rsidR="00B91C40" w:rsidRDefault="00B91C40" w:rsidP="00B91C40">
      <w:pPr>
        <w:spacing w:before="100" w:beforeAutospacing="1" w:after="100" w:afterAutospacing="1" w:line="360" w:lineRule="auto"/>
        <w:rPr>
          <w:rFonts w:ascii="Arial" w:eastAsia="Times New Roman" w:hAnsi="Arial" w:cs="Arial"/>
          <w:sz w:val="24"/>
          <w:szCs w:val="24"/>
          <w:lang w:eastAsia="en-GB"/>
        </w:rPr>
      </w:pPr>
      <w:r w:rsidRPr="00B91C40">
        <w:rPr>
          <w:rFonts w:ascii="Arial" w:eastAsia="Times New Roman" w:hAnsi="Arial" w:cs="Arial"/>
          <w:sz w:val="24"/>
          <w:szCs w:val="24"/>
          <w:lang w:eastAsia="en-GB"/>
        </w:rPr>
        <w:t>Collectively, these policies and services reflect a multi-layered approach to managing type 2 diabetes among older adults in Harrow — spanning preventive public health measures and clinical guidance through to integrated social care and community support. The local emphasis on tailored provision for older adults underscores the importance of understanding how diabetes affects holistic health and wellbeing within this specific population.</w:t>
      </w:r>
    </w:p>
    <w:p w14:paraId="6175D3E0" w14:textId="004E2C38"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52030CC7" w14:textId="5A0DFD1E"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65B4536B" w14:textId="51F122CF"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2AD15177" w14:textId="3B2F1C25"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19579016" w14:textId="4F3F4AE6"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4A292827" w14:textId="27F64EC4"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2F386C94" w14:textId="22AA2629"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7486B5CD" w14:textId="6EF9818A"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74EB85F0" w14:textId="0A7E3D4E"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28028938" w14:textId="0456DF72"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13C6D170" w14:textId="4D5D71EE"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14E892CD" w14:textId="3954860F"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2337CBDB" w14:textId="2E945E43" w:rsidR="002435E5" w:rsidRDefault="002435E5" w:rsidP="00B91C40">
      <w:pPr>
        <w:spacing w:before="100" w:beforeAutospacing="1" w:after="100" w:afterAutospacing="1" w:line="360" w:lineRule="auto"/>
        <w:rPr>
          <w:rFonts w:ascii="Arial" w:eastAsia="Times New Roman" w:hAnsi="Arial" w:cs="Arial"/>
          <w:sz w:val="24"/>
          <w:szCs w:val="24"/>
          <w:lang w:eastAsia="en-GB"/>
        </w:rPr>
      </w:pPr>
    </w:p>
    <w:p w14:paraId="709330DF" w14:textId="77777777" w:rsidR="002435E5" w:rsidRPr="002435E5" w:rsidRDefault="002435E5" w:rsidP="002435E5">
      <w:pPr>
        <w:spacing w:before="100" w:beforeAutospacing="1" w:after="100" w:afterAutospacing="1" w:line="360" w:lineRule="auto"/>
        <w:rPr>
          <w:rFonts w:ascii="Arial" w:eastAsia="Times New Roman" w:hAnsi="Arial" w:cs="Arial"/>
          <w:sz w:val="24"/>
          <w:szCs w:val="24"/>
          <w:lang w:eastAsia="en-GB"/>
        </w:rPr>
      </w:pPr>
      <w:r w:rsidRPr="002435E5">
        <w:rPr>
          <w:rFonts w:ascii="Arial" w:eastAsia="Times New Roman" w:hAnsi="Arial" w:cs="Arial"/>
          <w:b/>
          <w:bCs/>
          <w:sz w:val="24"/>
          <w:szCs w:val="24"/>
          <w:lang w:eastAsia="en-GB"/>
        </w:rPr>
        <w:lastRenderedPageBreak/>
        <w:t>Methods of Data Collection and Data Analysis</w:t>
      </w:r>
    </w:p>
    <w:p w14:paraId="59C6D285" w14:textId="77777777" w:rsidR="002435E5" w:rsidRPr="002435E5" w:rsidRDefault="002435E5" w:rsidP="002435E5">
      <w:pPr>
        <w:spacing w:before="100" w:beforeAutospacing="1" w:after="100" w:afterAutospacing="1" w:line="360" w:lineRule="auto"/>
        <w:rPr>
          <w:rFonts w:ascii="Arial" w:eastAsia="Times New Roman" w:hAnsi="Arial" w:cs="Arial"/>
          <w:sz w:val="24"/>
          <w:szCs w:val="24"/>
          <w:lang w:eastAsia="en-GB"/>
        </w:rPr>
      </w:pPr>
      <w:r w:rsidRPr="002435E5">
        <w:rPr>
          <w:rFonts w:ascii="Arial" w:eastAsia="Times New Roman" w:hAnsi="Arial" w:cs="Arial"/>
          <w:sz w:val="24"/>
          <w:szCs w:val="24"/>
          <w:lang w:eastAsia="en-GB"/>
        </w:rPr>
        <w:t>This study adopts a secondary research design, employing a structured literature review to examine the impact of type 2 diabetes on the health and wellbeing of adults aged 65 years and older residing in the London Borough of Harrow. A scoping review methodology will be utilised to collect and map the available evidence, drawing on three to five articles to inform the analysis. A secondary research approach is appropriate for this study, as it enables the utilisation of existing high-quality evidence, national datasets and local public health reports without requiring direct participant involvement (Bryman, 2016).</w:t>
      </w:r>
    </w:p>
    <w:p w14:paraId="568BAC95" w14:textId="77777777" w:rsidR="002435E5" w:rsidRPr="002435E5" w:rsidRDefault="002435E5" w:rsidP="002435E5">
      <w:pPr>
        <w:pStyle w:val="font-claude-response-body"/>
        <w:spacing w:line="360" w:lineRule="auto"/>
        <w:rPr>
          <w:rFonts w:ascii="Arial" w:hAnsi="Arial" w:cs="Arial"/>
        </w:rPr>
      </w:pPr>
      <w:r w:rsidRPr="002435E5">
        <w:rPr>
          <w:rStyle w:val="Strong"/>
          <w:rFonts w:ascii="Arial" w:eastAsiaTheme="majorEastAsia" w:hAnsi="Arial" w:cs="Arial"/>
        </w:rPr>
        <w:t>Data Collection</w:t>
      </w:r>
    </w:p>
    <w:p w14:paraId="4768A4CC" w14:textId="77777777" w:rsidR="002435E5" w:rsidRPr="002435E5" w:rsidRDefault="002435E5" w:rsidP="002435E5">
      <w:pPr>
        <w:pStyle w:val="font-claude-response-body"/>
        <w:spacing w:line="360" w:lineRule="auto"/>
        <w:rPr>
          <w:rFonts w:ascii="Arial" w:hAnsi="Arial" w:cs="Arial"/>
        </w:rPr>
      </w:pPr>
      <w:r w:rsidRPr="002435E5">
        <w:rPr>
          <w:rFonts w:ascii="Arial" w:hAnsi="Arial" w:cs="Arial"/>
        </w:rPr>
        <w:t xml:space="preserve">Data were collected from a range of electronic academic databases, including CINAHL and PubMed. Search terms comprised: </w:t>
      </w:r>
      <w:r w:rsidRPr="002435E5">
        <w:rPr>
          <w:rStyle w:val="Emphasis"/>
          <w:rFonts w:ascii="Arial" w:hAnsi="Arial" w:cs="Arial"/>
        </w:rPr>
        <w:t>elderly</w:t>
      </w:r>
      <w:r w:rsidRPr="002435E5">
        <w:rPr>
          <w:rFonts w:ascii="Arial" w:hAnsi="Arial" w:cs="Arial"/>
        </w:rPr>
        <w:t xml:space="preserve">, </w:t>
      </w:r>
      <w:r w:rsidRPr="002435E5">
        <w:rPr>
          <w:rStyle w:val="Emphasis"/>
          <w:rFonts w:ascii="Arial" w:hAnsi="Arial" w:cs="Arial"/>
        </w:rPr>
        <w:t>type 2 diabetes</w:t>
      </w:r>
      <w:r w:rsidRPr="002435E5">
        <w:rPr>
          <w:rFonts w:ascii="Arial" w:hAnsi="Arial" w:cs="Arial"/>
        </w:rPr>
        <w:t xml:space="preserve">, </w:t>
      </w:r>
      <w:r w:rsidRPr="002435E5">
        <w:rPr>
          <w:rStyle w:val="Emphasis"/>
          <w:rFonts w:ascii="Arial" w:hAnsi="Arial" w:cs="Arial"/>
        </w:rPr>
        <w:t>health outcomes</w:t>
      </w:r>
      <w:r w:rsidRPr="002435E5">
        <w:rPr>
          <w:rFonts w:ascii="Arial" w:hAnsi="Arial" w:cs="Arial"/>
        </w:rPr>
        <w:t xml:space="preserve">, </w:t>
      </w:r>
      <w:r w:rsidRPr="002435E5">
        <w:rPr>
          <w:rStyle w:val="Emphasis"/>
          <w:rFonts w:ascii="Arial" w:hAnsi="Arial" w:cs="Arial"/>
        </w:rPr>
        <w:t>older adults</w:t>
      </w:r>
      <w:r w:rsidRPr="002435E5">
        <w:rPr>
          <w:rFonts w:ascii="Arial" w:hAnsi="Arial" w:cs="Arial"/>
        </w:rPr>
        <w:t xml:space="preserve">, </w:t>
      </w:r>
      <w:r w:rsidRPr="002435E5">
        <w:rPr>
          <w:rStyle w:val="Emphasis"/>
          <w:rFonts w:ascii="Arial" w:hAnsi="Arial" w:cs="Arial"/>
        </w:rPr>
        <w:t>quality of life</w:t>
      </w:r>
      <w:r w:rsidRPr="002435E5">
        <w:rPr>
          <w:rFonts w:ascii="Arial" w:hAnsi="Arial" w:cs="Arial"/>
        </w:rPr>
        <w:t xml:space="preserve">, </w:t>
      </w:r>
      <w:r w:rsidRPr="002435E5">
        <w:rPr>
          <w:rStyle w:val="Emphasis"/>
          <w:rFonts w:ascii="Arial" w:hAnsi="Arial" w:cs="Arial"/>
        </w:rPr>
        <w:t>wellbeing</w:t>
      </w:r>
      <w:r w:rsidRPr="002435E5">
        <w:rPr>
          <w:rFonts w:ascii="Arial" w:hAnsi="Arial" w:cs="Arial"/>
        </w:rPr>
        <w:t xml:space="preserve"> and </w:t>
      </w:r>
      <w:r w:rsidRPr="002435E5">
        <w:rPr>
          <w:rStyle w:val="Emphasis"/>
          <w:rFonts w:ascii="Arial" w:hAnsi="Arial" w:cs="Arial"/>
        </w:rPr>
        <w:t>London Borough of Harrow</w:t>
      </w:r>
      <w:r w:rsidRPr="002435E5">
        <w:rPr>
          <w:rFonts w:ascii="Arial" w:hAnsi="Arial" w:cs="Arial"/>
        </w:rPr>
        <w:t>. Boolean operators (AND, OR) were applied to refine searches and maximise the relevance of retrieved results.</w:t>
      </w:r>
    </w:p>
    <w:p w14:paraId="148709B1" w14:textId="77777777" w:rsidR="002435E5" w:rsidRPr="002435E5" w:rsidRDefault="002435E5" w:rsidP="002435E5">
      <w:pPr>
        <w:pStyle w:val="font-claude-response-body"/>
        <w:spacing w:line="360" w:lineRule="auto"/>
        <w:rPr>
          <w:rFonts w:ascii="Arial" w:hAnsi="Arial" w:cs="Arial"/>
        </w:rPr>
      </w:pPr>
      <w:r w:rsidRPr="002435E5">
        <w:rPr>
          <w:rStyle w:val="Strong"/>
          <w:rFonts w:ascii="Arial" w:eastAsiaTheme="majorEastAsia" w:hAnsi="Arial" w:cs="Arial"/>
        </w:rPr>
        <w:t>Inclusion criteria:</w:t>
      </w:r>
    </w:p>
    <w:p w14:paraId="1B8B8E24" w14:textId="77777777" w:rsidR="002435E5" w:rsidRPr="002435E5" w:rsidRDefault="002435E5" w:rsidP="002435E5">
      <w:pPr>
        <w:pStyle w:val="whitespace-normal"/>
        <w:numPr>
          <w:ilvl w:val="0"/>
          <w:numId w:val="2"/>
        </w:numPr>
        <w:spacing w:line="360" w:lineRule="auto"/>
        <w:rPr>
          <w:rFonts w:ascii="Arial" w:hAnsi="Arial" w:cs="Arial"/>
        </w:rPr>
      </w:pPr>
      <w:r w:rsidRPr="002435E5">
        <w:rPr>
          <w:rFonts w:ascii="Arial" w:hAnsi="Arial" w:cs="Arial"/>
        </w:rPr>
        <w:t>Peer-reviewed articles published in English</w:t>
      </w:r>
    </w:p>
    <w:p w14:paraId="53D8AF74" w14:textId="77777777" w:rsidR="002435E5" w:rsidRPr="002435E5" w:rsidRDefault="002435E5" w:rsidP="002435E5">
      <w:pPr>
        <w:pStyle w:val="whitespace-normal"/>
        <w:numPr>
          <w:ilvl w:val="0"/>
          <w:numId w:val="2"/>
        </w:numPr>
        <w:spacing w:line="360" w:lineRule="auto"/>
        <w:rPr>
          <w:rFonts w:ascii="Arial" w:hAnsi="Arial" w:cs="Arial"/>
        </w:rPr>
      </w:pPr>
      <w:r w:rsidRPr="002435E5">
        <w:rPr>
          <w:rFonts w:ascii="Arial" w:hAnsi="Arial" w:cs="Arial"/>
        </w:rPr>
        <w:t>Studies published within the last ten years to ensure currency</w:t>
      </w:r>
    </w:p>
    <w:p w14:paraId="3ACFCDB5" w14:textId="77777777" w:rsidR="002435E5" w:rsidRPr="002435E5" w:rsidRDefault="002435E5" w:rsidP="002435E5">
      <w:pPr>
        <w:pStyle w:val="whitespace-normal"/>
        <w:numPr>
          <w:ilvl w:val="0"/>
          <w:numId w:val="2"/>
        </w:numPr>
        <w:spacing w:line="360" w:lineRule="auto"/>
        <w:rPr>
          <w:rFonts w:ascii="Arial" w:hAnsi="Arial" w:cs="Arial"/>
        </w:rPr>
      </w:pPr>
      <w:r w:rsidRPr="002435E5">
        <w:rPr>
          <w:rFonts w:ascii="Arial" w:hAnsi="Arial" w:cs="Arial"/>
        </w:rPr>
        <w:t>Research focused on adults aged 65 years and older</w:t>
      </w:r>
    </w:p>
    <w:p w14:paraId="5113670E" w14:textId="77777777" w:rsidR="002435E5" w:rsidRPr="002435E5" w:rsidRDefault="002435E5" w:rsidP="002435E5">
      <w:pPr>
        <w:pStyle w:val="whitespace-normal"/>
        <w:numPr>
          <w:ilvl w:val="0"/>
          <w:numId w:val="2"/>
        </w:numPr>
        <w:spacing w:line="360" w:lineRule="auto"/>
        <w:rPr>
          <w:rFonts w:ascii="Arial" w:hAnsi="Arial" w:cs="Arial"/>
        </w:rPr>
      </w:pPr>
      <w:r w:rsidRPr="002435E5">
        <w:rPr>
          <w:rFonts w:ascii="Arial" w:hAnsi="Arial" w:cs="Arial"/>
        </w:rPr>
        <w:t>Studies examining the physical, psychological or social impacts of type 2 diabetes</w:t>
      </w:r>
    </w:p>
    <w:p w14:paraId="706556CE" w14:textId="77777777" w:rsidR="002435E5" w:rsidRPr="002435E5" w:rsidRDefault="002435E5" w:rsidP="002435E5">
      <w:pPr>
        <w:pStyle w:val="font-claude-response-body"/>
        <w:spacing w:line="360" w:lineRule="auto"/>
        <w:rPr>
          <w:rFonts w:ascii="Arial" w:hAnsi="Arial" w:cs="Arial"/>
        </w:rPr>
      </w:pPr>
      <w:r w:rsidRPr="002435E5">
        <w:rPr>
          <w:rStyle w:val="Strong"/>
          <w:rFonts w:ascii="Arial" w:eastAsiaTheme="majorEastAsia" w:hAnsi="Arial" w:cs="Arial"/>
        </w:rPr>
        <w:t>Exclusion criteria:</w:t>
      </w:r>
    </w:p>
    <w:p w14:paraId="7AC00B0D" w14:textId="77777777" w:rsidR="002435E5" w:rsidRPr="002435E5" w:rsidRDefault="002435E5" w:rsidP="002435E5">
      <w:pPr>
        <w:pStyle w:val="whitespace-normal"/>
        <w:numPr>
          <w:ilvl w:val="0"/>
          <w:numId w:val="3"/>
        </w:numPr>
        <w:spacing w:line="360" w:lineRule="auto"/>
        <w:rPr>
          <w:rFonts w:ascii="Arial" w:hAnsi="Arial" w:cs="Arial"/>
        </w:rPr>
      </w:pPr>
      <w:r w:rsidRPr="002435E5">
        <w:rPr>
          <w:rFonts w:ascii="Arial" w:hAnsi="Arial" w:cs="Arial"/>
        </w:rPr>
        <w:t>Studies focusing solely on type 1 diabetes</w:t>
      </w:r>
    </w:p>
    <w:p w14:paraId="3474F96B" w14:textId="77777777" w:rsidR="002435E5" w:rsidRPr="002435E5" w:rsidRDefault="002435E5" w:rsidP="002435E5">
      <w:pPr>
        <w:pStyle w:val="whitespace-normal"/>
        <w:numPr>
          <w:ilvl w:val="0"/>
          <w:numId w:val="3"/>
        </w:numPr>
        <w:spacing w:line="360" w:lineRule="auto"/>
        <w:rPr>
          <w:rFonts w:ascii="Arial" w:hAnsi="Arial" w:cs="Arial"/>
        </w:rPr>
      </w:pPr>
      <w:r w:rsidRPr="002435E5">
        <w:rPr>
          <w:rFonts w:ascii="Arial" w:hAnsi="Arial" w:cs="Arial"/>
        </w:rPr>
        <w:t>Research involving younger adult populations</w:t>
      </w:r>
    </w:p>
    <w:p w14:paraId="069155EA" w14:textId="77777777" w:rsidR="002435E5" w:rsidRPr="002435E5" w:rsidRDefault="002435E5" w:rsidP="002435E5">
      <w:pPr>
        <w:pStyle w:val="whitespace-normal"/>
        <w:numPr>
          <w:ilvl w:val="0"/>
          <w:numId w:val="3"/>
        </w:numPr>
        <w:spacing w:line="360" w:lineRule="auto"/>
        <w:rPr>
          <w:rFonts w:ascii="Arial" w:hAnsi="Arial" w:cs="Arial"/>
        </w:rPr>
      </w:pPr>
      <w:r w:rsidRPr="002435E5">
        <w:rPr>
          <w:rFonts w:ascii="Arial" w:hAnsi="Arial" w:cs="Arial"/>
        </w:rPr>
        <w:t>Opinion pieces or commentaries lacking empirical evidence</w:t>
      </w:r>
    </w:p>
    <w:p w14:paraId="1099B5E5" w14:textId="77777777" w:rsidR="002435E5" w:rsidRPr="002435E5" w:rsidRDefault="002435E5" w:rsidP="002435E5">
      <w:pPr>
        <w:pStyle w:val="font-claude-response-body"/>
        <w:spacing w:line="360" w:lineRule="auto"/>
        <w:rPr>
          <w:rFonts w:ascii="Arial" w:hAnsi="Arial" w:cs="Arial"/>
        </w:rPr>
      </w:pPr>
      <w:r w:rsidRPr="002435E5">
        <w:rPr>
          <w:rFonts w:ascii="Arial" w:hAnsi="Arial" w:cs="Arial"/>
        </w:rPr>
        <w:t xml:space="preserve">In addition to peer-reviewed literature, grey literature was consulted — including reports from Diabetes UK, NHS Digital, the Office for Health Improvement and Disparities, and local Harrow public health profiles — to contextualise national </w:t>
      </w:r>
      <w:r w:rsidRPr="002435E5">
        <w:rPr>
          <w:rFonts w:ascii="Arial" w:hAnsi="Arial" w:cs="Arial"/>
        </w:rPr>
        <w:lastRenderedPageBreak/>
        <w:t>findings within the local setting (NICE, 2022; Diabetes UK, 2023). This approach strengthened both the comprehensiveness and contextual relevance of the review.</w:t>
      </w:r>
    </w:p>
    <w:p w14:paraId="1B9CD5CB" w14:textId="77777777" w:rsidR="002435E5" w:rsidRPr="002435E5" w:rsidRDefault="002435E5" w:rsidP="002435E5">
      <w:pPr>
        <w:spacing w:before="100" w:beforeAutospacing="1" w:after="100" w:afterAutospacing="1" w:line="360" w:lineRule="auto"/>
        <w:rPr>
          <w:rFonts w:ascii="Arial" w:eastAsia="Times New Roman" w:hAnsi="Arial" w:cs="Arial"/>
          <w:sz w:val="24"/>
          <w:szCs w:val="24"/>
          <w:lang w:eastAsia="en-GB"/>
        </w:rPr>
      </w:pPr>
      <w:r w:rsidRPr="002435E5">
        <w:rPr>
          <w:rFonts w:ascii="Arial" w:eastAsia="Times New Roman" w:hAnsi="Arial" w:cs="Arial"/>
          <w:b/>
          <w:bCs/>
          <w:sz w:val="24"/>
          <w:szCs w:val="24"/>
          <w:lang w:eastAsia="en-GB"/>
        </w:rPr>
        <w:t>Data Analysis</w:t>
      </w:r>
    </w:p>
    <w:p w14:paraId="6AC27E93" w14:textId="77777777" w:rsidR="002435E5" w:rsidRPr="002435E5" w:rsidRDefault="002435E5" w:rsidP="002435E5">
      <w:pPr>
        <w:spacing w:before="100" w:beforeAutospacing="1" w:after="100" w:afterAutospacing="1" w:line="360" w:lineRule="auto"/>
        <w:rPr>
          <w:rFonts w:ascii="Arial" w:eastAsia="Times New Roman" w:hAnsi="Arial" w:cs="Arial"/>
          <w:sz w:val="24"/>
          <w:szCs w:val="24"/>
          <w:lang w:eastAsia="en-GB"/>
        </w:rPr>
      </w:pPr>
      <w:r w:rsidRPr="002435E5">
        <w:rPr>
          <w:rFonts w:ascii="Arial" w:eastAsia="Times New Roman" w:hAnsi="Arial" w:cs="Arial"/>
          <w:sz w:val="24"/>
          <w:szCs w:val="24"/>
          <w:lang w:eastAsia="en-GB"/>
        </w:rPr>
        <w:t>Thematic analysis was employed to synthesise findings across the selected literature, enabling the identification and organisation of recurring patterns from both qualitative and quantitative evidence into key themes (Braun &amp; Clarke, 2006). Data were coded according to predominant topics, including physical complications (</w:t>
      </w:r>
      <w:proofErr w:type="gramStart"/>
      <w:r w:rsidRPr="002435E5">
        <w:rPr>
          <w:rFonts w:ascii="Arial" w:eastAsia="Times New Roman" w:hAnsi="Arial" w:cs="Arial"/>
          <w:sz w:val="24"/>
          <w:szCs w:val="24"/>
          <w:lang w:eastAsia="en-GB"/>
        </w:rPr>
        <w:t>e.g.</w:t>
      </w:r>
      <w:proofErr w:type="gramEnd"/>
      <w:r w:rsidRPr="002435E5">
        <w:rPr>
          <w:rFonts w:ascii="Arial" w:eastAsia="Times New Roman" w:hAnsi="Arial" w:cs="Arial"/>
          <w:sz w:val="24"/>
          <w:szCs w:val="24"/>
          <w:lang w:eastAsia="en-GB"/>
        </w:rPr>
        <w:t xml:space="preserve"> cardiovascular disease, neuropathy), psychological wellbeing (e.g. depression, anxiety), social impact (e.g. social isolation, reduced independence) and healthcare utilisation.</w:t>
      </w:r>
    </w:p>
    <w:p w14:paraId="427EB63A" w14:textId="77777777" w:rsidR="002435E5" w:rsidRPr="002435E5" w:rsidRDefault="002435E5" w:rsidP="002435E5">
      <w:pPr>
        <w:spacing w:before="100" w:beforeAutospacing="1" w:after="100" w:afterAutospacing="1" w:line="360" w:lineRule="auto"/>
        <w:rPr>
          <w:rFonts w:ascii="Arial" w:eastAsia="Times New Roman" w:hAnsi="Arial" w:cs="Arial"/>
          <w:sz w:val="24"/>
          <w:szCs w:val="24"/>
          <w:lang w:eastAsia="en-GB"/>
        </w:rPr>
      </w:pPr>
      <w:r w:rsidRPr="002435E5">
        <w:rPr>
          <w:rFonts w:ascii="Arial" w:eastAsia="Times New Roman" w:hAnsi="Arial" w:cs="Arial"/>
          <w:sz w:val="24"/>
          <w:szCs w:val="24"/>
          <w:lang w:eastAsia="en-GB"/>
        </w:rPr>
        <w:t>Findings were systematically compared across sources to identify consistencies and divergences in the evidence base. A narrative synthesis approach was subsequently applied to critically evaluate and interpret the literature, illuminating gaps in existing knowledge and their implications for health and social care practice within Harrow (</w:t>
      </w:r>
      <w:proofErr w:type="spellStart"/>
      <w:r w:rsidRPr="002435E5">
        <w:rPr>
          <w:rFonts w:ascii="Arial" w:eastAsia="Times New Roman" w:hAnsi="Arial" w:cs="Arial"/>
          <w:sz w:val="24"/>
          <w:szCs w:val="24"/>
          <w:lang w:eastAsia="en-GB"/>
        </w:rPr>
        <w:t>Popay</w:t>
      </w:r>
      <w:proofErr w:type="spellEnd"/>
      <w:r w:rsidRPr="002435E5">
        <w:rPr>
          <w:rFonts w:ascii="Arial" w:eastAsia="Times New Roman" w:hAnsi="Arial" w:cs="Arial"/>
          <w:sz w:val="24"/>
          <w:szCs w:val="24"/>
          <w:lang w:eastAsia="en-GB"/>
        </w:rPr>
        <w:t xml:space="preserve"> et al., 2006). This method was particularly suited to the study given the diversity of research designs represented across the included sources.</w:t>
      </w:r>
    </w:p>
    <w:p w14:paraId="1221AD55" w14:textId="1A43467F" w:rsidR="002435E5" w:rsidRPr="002435E5" w:rsidRDefault="002435E5" w:rsidP="002435E5">
      <w:pPr>
        <w:spacing w:after="0" w:line="240" w:lineRule="auto"/>
        <w:rPr>
          <w:rFonts w:ascii="Times New Roman" w:eastAsia="Times New Roman" w:hAnsi="Times New Roman" w:cs="Times New Roman"/>
          <w:sz w:val="24"/>
          <w:szCs w:val="24"/>
          <w:lang w:eastAsia="en-GB"/>
        </w:rPr>
      </w:pPr>
    </w:p>
    <w:p w14:paraId="31035CB0" w14:textId="77777777" w:rsidR="002435E5" w:rsidRPr="002435E5" w:rsidRDefault="002435E5" w:rsidP="002435E5">
      <w:pPr>
        <w:spacing w:before="100" w:beforeAutospacing="1" w:after="100" w:afterAutospacing="1" w:line="240" w:lineRule="auto"/>
        <w:rPr>
          <w:rFonts w:ascii="Arial" w:eastAsia="Times New Roman" w:hAnsi="Arial" w:cs="Arial"/>
          <w:sz w:val="24"/>
          <w:szCs w:val="24"/>
          <w:lang w:eastAsia="en-GB"/>
        </w:rPr>
      </w:pPr>
      <w:r w:rsidRPr="002435E5">
        <w:rPr>
          <w:rFonts w:ascii="Arial" w:eastAsia="Times New Roman" w:hAnsi="Arial" w:cs="Arial"/>
          <w:b/>
          <w:bCs/>
          <w:sz w:val="24"/>
          <w:szCs w:val="24"/>
          <w:lang w:eastAsia="en-GB"/>
        </w:rPr>
        <w:t>Ethical Considerations</w:t>
      </w:r>
    </w:p>
    <w:p w14:paraId="6907985D" w14:textId="77777777" w:rsidR="002435E5" w:rsidRPr="002435E5" w:rsidRDefault="002435E5" w:rsidP="002435E5">
      <w:pPr>
        <w:spacing w:before="100" w:beforeAutospacing="1" w:after="100" w:afterAutospacing="1" w:line="360" w:lineRule="auto"/>
        <w:rPr>
          <w:rFonts w:ascii="Arial" w:eastAsia="Times New Roman" w:hAnsi="Arial" w:cs="Arial"/>
          <w:sz w:val="24"/>
          <w:szCs w:val="24"/>
          <w:lang w:eastAsia="en-GB"/>
        </w:rPr>
      </w:pPr>
      <w:r w:rsidRPr="002435E5">
        <w:rPr>
          <w:rFonts w:ascii="Arial" w:eastAsia="Times New Roman" w:hAnsi="Arial" w:cs="Arial"/>
          <w:sz w:val="24"/>
          <w:szCs w:val="24"/>
          <w:lang w:eastAsia="en-GB"/>
        </w:rPr>
        <w:t>As a secondary, literature-based study, no direct contact with human participants was undertaken; consequently, formal NHS ethical approval was not required. Nevertheless, ethical principles were consistently upheld throughout the research process. Academic integrity was maintained through accurate citation and referencing in accordance with Harvard conventions, ensuring the avoidance of plagiarism (British Psychological Society [BPS], 2018).</w:t>
      </w:r>
    </w:p>
    <w:p w14:paraId="636D0C1D" w14:textId="77777777" w:rsidR="002435E5" w:rsidRPr="002435E5" w:rsidRDefault="002435E5" w:rsidP="002435E5">
      <w:pPr>
        <w:spacing w:before="100" w:beforeAutospacing="1" w:after="100" w:afterAutospacing="1" w:line="360" w:lineRule="auto"/>
        <w:rPr>
          <w:rFonts w:ascii="Arial" w:eastAsia="Times New Roman" w:hAnsi="Arial" w:cs="Arial"/>
          <w:sz w:val="24"/>
          <w:szCs w:val="24"/>
          <w:lang w:eastAsia="en-GB"/>
        </w:rPr>
      </w:pPr>
      <w:r w:rsidRPr="002435E5">
        <w:rPr>
          <w:rFonts w:ascii="Arial" w:eastAsia="Times New Roman" w:hAnsi="Arial" w:cs="Arial"/>
          <w:sz w:val="24"/>
          <w:szCs w:val="24"/>
          <w:lang w:eastAsia="en-GB"/>
        </w:rPr>
        <w:t>A critical appraisal of all sources was conducted to minimise bias and ensure balanced reporting of findings. Particular consideration was given to the respectful representation of vulnerable older populations, with care taken to avoid stigmatising language. Data protection principles were observed in the handling of all publicly available datasets, in accordance with the Data Protection Act 2018.</w:t>
      </w:r>
    </w:p>
    <w:p w14:paraId="697696B0" w14:textId="19D5C883" w:rsidR="002435E5" w:rsidRDefault="002435E5" w:rsidP="002435E5">
      <w:pPr>
        <w:spacing w:before="100" w:beforeAutospacing="1" w:after="100" w:afterAutospacing="1" w:line="360" w:lineRule="auto"/>
        <w:rPr>
          <w:rFonts w:ascii="Arial" w:eastAsia="Times New Roman" w:hAnsi="Arial" w:cs="Arial"/>
          <w:sz w:val="24"/>
          <w:szCs w:val="24"/>
          <w:lang w:eastAsia="en-GB"/>
        </w:rPr>
      </w:pPr>
      <w:r w:rsidRPr="002435E5">
        <w:rPr>
          <w:rFonts w:ascii="Arial" w:eastAsia="Times New Roman" w:hAnsi="Arial" w:cs="Arial"/>
          <w:sz w:val="24"/>
          <w:szCs w:val="24"/>
          <w:lang w:eastAsia="en-GB"/>
        </w:rPr>
        <w:lastRenderedPageBreak/>
        <w:t>Collectively, the methodological approach ensured that the study was systematic, transparent and ethically sound, whilst providing meaningful insight into the impact of type 2 diabetes on the health and wellbeing of older adults residing in Harrow.</w:t>
      </w:r>
    </w:p>
    <w:p w14:paraId="397A19EA" w14:textId="1C40F50F"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03060C21" w14:textId="1A0C1300"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5C41A5A4" w14:textId="5D7C6FB9"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09D702AC" w14:textId="188E3AA2"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236C0A88" w14:textId="02DCC74C"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6AD65173" w14:textId="3AFF9461"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79EC117F" w14:textId="7068212E"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65CDDF37" w14:textId="25F9246A"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61F6AB68" w14:textId="4F1A97C3"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4A3CEBA8" w14:textId="1E296161"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34897572" w14:textId="186B5A87"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697CA4CA" w14:textId="6DCAB89D"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15195A12" w14:textId="08A121E9"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289E920E" w14:textId="6655F594"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0ABB2E72" w14:textId="49F192AC"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5394A05B" w14:textId="07D8B507"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1FA58B96" w14:textId="2CE8BC41"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778ADD61" w14:textId="255BD54A" w:rsidR="00005C8F" w:rsidRDefault="00005C8F" w:rsidP="002435E5">
      <w:pPr>
        <w:spacing w:before="100" w:beforeAutospacing="1" w:after="100" w:afterAutospacing="1" w:line="360" w:lineRule="auto"/>
        <w:rPr>
          <w:rFonts w:ascii="Arial" w:eastAsia="Times New Roman" w:hAnsi="Arial" w:cs="Arial"/>
          <w:sz w:val="24"/>
          <w:szCs w:val="24"/>
          <w:lang w:eastAsia="en-GB"/>
        </w:rPr>
      </w:pPr>
    </w:p>
    <w:p w14:paraId="2E14DF23" w14:textId="77777777" w:rsidR="00005C8F" w:rsidRPr="00005C8F" w:rsidRDefault="00005C8F" w:rsidP="00005C8F">
      <w:pPr>
        <w:spacing w:before="100" w:beforeAutospacing="1" w:after="100" w:afterAutospacing="1" w:line="360" w:lineRule="auto"/>
        <w:rPr>
          <w:rFonts w:ascii="Arial" w:eastAsia="Times New Roman" w:hAnsi="Arial" w:cs="Arial"/>
          <w:sz w:val="24"/>
          <w:szCs w:val="24"/>
          <w:lang w:eastAsia="en-GB"/>
        </w:rPr>
      </w:pPr>
      <w:r w:rsidRPr="00005C8F">
        <w:rPr>
          <w:rFonts w:ascii="Arial" w:eastAsia="Times New Roman" w:hAnsi="Arial" w:cs="Arial"/>
          <w:b/>
          <w:bCs/>
          <w:sz w:val="24"/>
          <w:szCs w:val="24"/>
          <w:lang w:eastAsia="en-GB"/>
        </w:rPr>
        <w:lastRenderedPageBreak/>
        <w:t>Results</w:t>
      </w:r>
    </w:p>
    <w:p w14:paraId="71C11C73" w14:textId="208EB402" w:rsidR="00005C8F" w:rsidRDefault="00005C8F" w:rsidP="00005C8F">
      <w:pPr>
        <w:spacing w:before="100" w:beforeAutospacing="1" w:after="100" w:afterAutospacing="1" w:line="360" w:lineRule="auto"/>
        <w:rPr>
          <w:rFonts w:ascii="Arial" w:eastAsia="Times New Roman" w:hAnsi="Arial" w:cs="Arial"/>
          <w:sz w:val="24"/>
          <w:szCs w:val="24"/>
          <w:lang w:eastAsia="en-GB"/>
        </w:rPr>
      </w:pPr>
      <w:r w:rsidRPr="00005C8F">
        <w:rPr>
          <w:rFonts w:ascii="Arial" w:eastAsia="Times New Roman" w:hAnsi="Arial" w:cs="Arial"/>
          <w:sz w:val="24"/>
          <w:szCs w:val="24"/>
          <w:lang w:eastAsia="en-GB"/>
        </w:rPr>
        <w:t>This scoping review identified six key studies examining the impact of type 2 diabetes on the physical health, psychological wellbeing and quality of life of older adults. Thematic analysis, conducted in accordance with Braun and Clarke (2006), generated three overarching themes: (1) physical health complications and functional decline; (2) psychological wellbeing and depression; and (3) self-management, social support and quality of life.</w:t>
      </w:r>
    </w:p>
    <w:p w14:paraId="13A031DC" w14:textId="77777777" w:rsidR="00005C8F" w:rsidRPr="00700DF6" w:rsidRDefault="00005C8F" w:rsidP="00005C8F">
      <w:pPr>
        <w:spacing w:line="360" w:lineRule="auto"/>
        <w:jc w:val="both"/>
        <w:rPr>
          <w:rFonts w:ascii="Arial" w:hAnsi="Arial" w:cs="Arial"/>
          <w:b/>
          <w:bCs/>
          <w:sz w:val="24"/>
          <w:szCs w:val="24"/>
        </w:rPr>
      </w:pPr>
      <w:r w:rsidRPr="00700DF6">
        <w:rPr>
          <w:rFonts w:ascii="Arial" w:hAnsi="Arial" w:cs="Arial"/>
          <w:b/>
          <w:bCs/>
          <w:sz w:val="24"/>
          <w:szCs w:val="24"/>
        </w:rPr>
        <w:t>Summary of Included Studies</w:t>
      </w:r>
    </w:p>
    <w:tbl>
      <w:tblPr>
        <w:tblStyle w:val="TableGrid"/>
        <w:tblW w:w="0" w:type="auto"/>
        <w:tblLook w:val="04A0" w:firstRow="1" w:lastRow="0" w:firstColumn="1" w:lastColumn="0" w:noHBand="0" w:noVBand="1"/>
      </w:tblPr>
      <w:tblGrid>
        <w:gridCol w:w="1336"/>
        <w:gridCol w:w="1734"/>
        <w:gridCol w:w="1934"/>
        <w:gridCol w:w="2231"/>
        <w:gridCol w:w="1781"/>
      </w:tblGrid>
      <w:tr w:rsidR="00005C8F" w:rsidRPr="00700DF6" w14:paraId="785CFA33" w14:textId="77777777" w:rsidTr="008620D9">
        <w:tc>
          <w:tcPr>
            <w:tcW w:w="0" w:type="auto"/>
            <w:hideMark/>
          </w:tcPr>
          <w:p w14:paraId="03A57ACD" w14:textId="77777777" w:rsidR="00005C8F" w:rsidRPr="00700DF6" w:rsidRDefault="00005C8F" w:rsidP="008620D9">
            <w:pPr>
              <w:spacing w:after="160" w:line="360" w:lineRule="auto"/>
              <w:jc w:val="both"/>
              <w:rPr>
                <w:rFonts w:ascii="Arial" w:hAnsi="Arial" w:cs="Arial"/>
                <w:b/>
                <w:bCs/>
                <w:sz w:val="24"/>
                <w:szCs w:val="24"/>
              </w:rPr>
            </w:pPr>
            <w:bookmarkStart w:id="4" w:name="_Hlk227756755"/>
            <w:r w:rsidRPr="00700DF6">
              <w:rPr>
                <w:rFonts w:ascii="Arial" w:hAnsi="Arial" w:cs="Arial"/>
                <w:b/>
                <w:bCs/>
                <w:sz w:val="24"/>
                <w:szCs w:val="24"/>
              </w:rPr>
              <w:t>Author(s)</w:t>
            </w:r>
          </w:p>
        </w:tc>
        <w:tc>
          <w:tcPr>
            <w:tcW w:w="0" w:type="auto"/>
            <w:hideMark/>
          </w:tcPr>
          <w:p w14:paraId="7E64AE96" w14:textId="77777777" w:rsidR="00005C8F" w:rsidRPr="00AB2E9A" w:rsidRDefault="00005C8F" w:rsidP="008620D9">
            <w:pPr>
              <w:spacing w:after="160" w:line="360" w:lineRule="auto"/>
              <w:jc w:val="both"/>
              <w:rPr>
                <w:rFonts w:ascii="Arial" w:hAnsi="Arial" w:cs="Arial"/>
                <w:b/>
                <w:bCs/>
                <w:sz w:val="24"/>
                <w:szCs w:val="24"/>
              </w:rPr>
            </w:pPr>
            <w:r w:rsidRPr="00AB2E9A">
              <w:rPr>
                <w:rFonts w:ascii="Arial" w:hAnsi="Arial" w:cs="Arial"/>
                <w:b/>
                <w:bCs/>
                <w:sz w:val="24"/>
                <w:szCs w:val="24"/>
              </w:rPr>
              <w:t>AIM</w:t>
            </w:r>
          </w:p>
        </w:tc>
        <w:tc>
          <w:tcPr>
            <w:tcW w:w="0" w:type="auto"/>
            <w:hideMark/>
          </w:tcPr>
          <w:p w14:paraId="778A9F75" w14:textId="77777777" w:rsidR="00005C8F" w:rsidRPr="00AB2E9A" w:rsidRDefault="00005C8F" w:rsidP="008620D9">
            <w:pPr>
              <w:spacing w:after="160" w:line="360" w:lineRule="auto"/>
              <w:jc w:val="both"/>
              <w:rPr>
                <w:rFonts w:ascii="Arial" w:hAnsi="Arial" w:cs="Arial"/>
                <w:b/>
                <w:bCs/>
                <w:sz w:val="24"/>
                <w:szCs w:val="24"/>
              </w:rPr>
            </w:pPr>
            <w:r w:rsidRPr="00AB2E9A">
              <w:rPr>
                <w:rFonts w:ascii="Arial" w:hAnsi="Arial" w:cs="Arial"/>
                <w:b/>
                <w:bCs/>
                <w:sz w:val="24"/>
                <w:szCs w:val="24"/>
              </w:rPr>
              <w:t>METHODS</w:t>
            </w:r>
          </w:p>
        </w:tc>
        <w:tc>
          <w:tcPr>
            <w:tcW w:w="0" w:type="auto"/>
            <w:hideMark/>
          </w:tcPr>
          <w:p w14:paraId="1C144C29" w14:textId="77777777" w:rsidR="00005C8F" w:rsidRPr="00700DF6" w:rsidRDefault="00005C8F" w:rsidP="008620D9">
            <w:pPr>
              <w:spacing w:after="160" w:line="360" w:lineRule="auto"/>
              <w:jc w:val="both"/>
              <w:rPr>
                <w:rFonts w:ascii="Arial" w:hAnsi="Arial" w:cs="Arial"/>
                <w:b/>
                <w:bCs/>
                <w:sz w:val="24"/>
                <w:szCs w:val="24"/>
              </w:rPr>
            </w:pPr>
            <w:r w:rsidRPr="00700DF6">
              <w:rPr>
                <w:rFonts w:ascii="Arial" w:hAnsi="Arial" w:cs="Arial"/>
                <w:b/>
                <w:bCs/>
                <w:sz w:val="24"/>
                <w:szCs w:val="24"/>
              </w:rPr>
              <w:t>Key Findings</w:t>
            </w:r>
          </w:p>
        </w:tc>
        <w:tc>
          <w:tcPr>
            <w:tcW w:w="0" w:type="auto"/>
            <w:hideMark/>
          </w:tcPr>
          <w:p w14:paraId="51BA6FB9" w14:textId="77777777" w:rsidR="00005C8F" w:rsidRPr="00700DF6" w:rsidRDefault="00005C8F" w:rsidP="008620D9">
            <w:pPr>
              <w:spacing w:after="160" w:line="360" w:lineRule="auto"/>
              <w:jc w:val="both"/>
              <w:rPr>
                <w:rFonts w:ascii="Arial" w:hAnsi="Arial" w:cs="Arial"/>
                <w:b/>
                <w:bCs/>
                <w:sz w:val="24"/>
                <w:szCs w:val="24"/>
              </w:rPr>
            </w:pPr>
            <w:r w:rsidRPr="00700DF6">
              <w:rPr>
                <w:rFonts w:ascii="Arial" w:hAnsi="Arial" w:cs="Arial"/>
                <w:b/>
                <w:bCs/>
                <w:sz w:val="24"/>
                <w:szCs w:val="24"/>
              </w:rPr>
              <w:t>Relevance to Review</w:t>
            </w:r>
          </w:p>
        </w:tc>
      </w:tr>
      <w:tr w:rsidR="00005C8F" w:rsidRPr="00700DF6" w14:paraId="577A0056" w14:textId="77777777" w:rsidTr="008620D9">
        <w:tc>
          <w:tcPr>
            <w:tcW w:w="0" w:type="auto"/>
            <w:hideMark/>
          </w:tcPr>
          <w:p w14:paraId="21F7693F" w14:textId="77777777" w:rsidR="00005C8F" w:rsidRPr="00700DF6" w:rsidRDefault="00005C8F" w:rsidP="008620D9">
            <w:pPr>
              <w:spacing w:after="160" w:line="360" w:lineRule="auto"/>
              <w:jc w:val="both"/>
              <w:rPr>
                <w:rFonts w:ascii="Arial" w:hAnsi="Arial" w:cs="Arial"/>
                <w:sz w:val="24"/>
                <w:szCs w:val="24"/>
              </w:rPr>
            </w:pPr>
            <w:r w:rsidRPr="00700DF6">
              <w:rPr>
                <w:rFonts w:ascii="Arial" w:hAnsi="Arial" w:cs="Arial"/>
                <w:sz w:val="24"/>
                <w:szCs w:val="24"/>
              </w:rPr>
              <w:t>Sinclair et al. (2020)</w:t>
            </w:r>
          </w:p>
        </w:tc>
        <w:tc>
          <w:tcPr>
            <w:tcW w:w="0" w:type="auto"/>
            <w:hideMark/>
          </w:tcPr>
          <w:p w14:paraId="2B8D4CF6" w14:textId="48B123BF" w:rsidR="00005C8F" w:rsidRPr="00005C8F" w:rsidRDefault="00005C8F" w:rsidP="008620D9">
            <w:pPr>
              <w:spacing w:after="160" w:line="360" w:lineRule="auto"/>
              <w:jc w:val="both"/>
              <w:rPr>
                <w:rFonts w:ascii="Arial" w:hAnsi="Arial" w:cs="Arial"/>
                <w:sz w:val="24"/>
                <w:szCs w:val="24"/>
              </w:rPr>
            </w:pPr>
            <w:r w:rsidRPr="00005C8F">
              <w:rPr>
                <w:rFonts w:ascii="Arial" w:hAnsi="Arial" w:cs="Arial"/>
                <w:sz w:val="24"/>
                <w:szCs w:val="24"/>
              </w:rPr>
              <w:t>To review clinical guidelines for the management of type 2 diabetes in older adults</w:t>
            </w:r>
          </w:p>
        </w:tc>
        <w:tc>
          <w:tcPr>
            <w:tcW w:w="0" w:type="auto"/>
            <w:hideMark/>
          </w:tcPr>
          <w:p w14:paraId="66CE403F" w14:textId="3E97D4D9" w:rsidR="00005C8F" w:rsidRPr="00005C8F" w:rsidRDefault="00005C8F" w:rsidP="008620D9">
            <w:pPr>
              <w:spacing w:after="160" w:line="360" w:lineRule="auto"/>
              <w:jc w:val="both"/>
              <w:rPr>
                <w:rFonts w:ascii="Arial" w:hAnsi="Arial" w:cs="Arial"/>
                <w:sz w:val="24"/>
                <w:szCs w:val="24"/>
              </w:rPr>
            </w:pPr>
            <w:r w:rsidRPr="00005C8F">
              <w:rPr>
                <w:rFonts w:ascii="Arial" w:hAnsi="Arial" w:cs="Arial"/>
                <w:sz w:val="24"/>
                <w:szCs w:val="24"/>
              </w:rPr>
              <w:t>Narrative clinical guideline review; older adults ≥65 years</w:t>
            </w:r>
          </w:p>
        </w:tc>
        <w:tc>
          <w:tcPr>
            <w:tcW w:w="0" w:type="auto"/>
            <w:hideMark/>
          </w:tcPr>
          <w:p w14:paraId="1183AAA6" w14:textId="0373F945" w:rsidR="00005C8F" w:rsidRPr="00005C8F" w:rsidRDefault="00005C8F" w:rsidP="008620D9">
            <w:pPr>
              <w:spacing w:after="160" w:line="360" w:lineRule="auto"/>
              <w:jc w:val="both"/>
              <w:rPr>
                <w:rFonts w:ascii="Arial" w:hAnsi="Arial" w:cs="Arial"/>
                <w:sz w:val="24"/>
                <w:szCs w:val="24"/>
              </w:rPr>
            </w:pPr>
            <w:r w:rsidRPr="00005C8F">
              <w:rPr>
                <w:rFonts w:ascii="Arial" w:hAnsi="Arial" w:cs="Arial"/>
                <w:sz w:val="24"/>
                <w:szCs w:val="24"/>
              </w:rPr>
              <w:t>Frailty</w:t>
            </w:r>
            <w:r>
              <w:rPr>
                <w:rFonts w:ascii="Arial" w:hAnsi="Arial" w:cs="Arial"/>
                <w:sz w:val="24"/>
                <w:szCs w:val="24"/>
              </w:rPr>
              <w:t xml:space="preserve"> </w:t>
            </w:r>
            <w:r w:rsidRPr="00005C8F">
              <w:rPr>
                <w:rFonts w:ascii="Arial" w:hAnsi="Arial" w:cs="Arial"/>
                <w:sz w:val="24"/>
                <w:szCs w:val="24"/>
              </w:rPr>
              <w:t>and multimorbidity were prevalent; individualised glycaemic targets recommended</w:t>
            </w:r>
          </w:p>
        </w:tc>
        <w:tc>
          <w:tcPr>
            <w:tcW w:w="0" w:type="auto"/>
            <w:hideMark/>
          </w:tcPr>
          <w:p w14:paraId="03365C27" w14:textId="1576133F" w:rsidR="00005C8F" w:rsidRPr="00005C8F" w:rsidRDefault="00005C8F" w:rsidP="008620D9">
            <w:pPr>
              <w:spacing w:after="160" w:line="360" w:lineRule="auto"/>
              <w:jc w:val="both"/>
              <w:rPr>
                <w:rFonts w:ascii="Arial" w:hAnsi="Arial" w:cs="Arial"/>
                <w:sz w:val="24"/>
                <w:szCs w:val="24"/>
              </w:rPr>
            </w:pPr>
            <w:r w:rsidRPr="00005C8F">
              <w:rPr>
                <w:rFonts w:ascii="Arial" w:hAnsi="Arial" w:cs="Arial"/>
                <w:sz w:val="24"/>
                <w:szCs w:val="24"/>
              </w:rPr>
              <w:t>Highlights the complexity of diabetes management in elderly populations</w:t>
            </w:r>
          </w:p>
        </w:tc>
      </w:tr>
      <w:tr w:rsidR="00005C8F" w:rsidRPr="00700DF6" w14:paraId="2CF49F8F" w14:textId="77777777" w:rsidTr="008620D9">
        <w:tc>
          <w:tcPr>
            <w:tcW w:w="0" w:type="auto"/>
            <w:hideMark/>
          </w:tcPr>
          <w:p w14:paraId="7E6BB79C" w14:textId="77777777" w:rsidR="00005C8F" w:rsidRPr="00700DF6" w:rsidRDefault="00005C8F" w:rsidP="008620D9">
            <w:pPr>
              <w:spacing w:after="160" w:line="360" w:lineRule="auto"/>
              <w:jc w:val="both"/>
              <w:rPr>
                <w:rFonts w:ascii="Arial" w:hAnsi="Arial" w:cs="Arial"/>
                <w:sz w:val="24"/>
                <w:szCs w:val="24"/>
              </w:rPr>
            </w:pPr>
            <w:r w:rsidRPr="00700DF6">
              <w:rPr>
                <w:rFonts w:ascii="Arial" w:hAnsi="Arial" w:cs="Arial"/>
                <w:sz w:val="24"/>
                <w:szCs w:val="24"/>
              </w:rPr>
              <w:t>Huang et al. (2014)</w:t>
            </w:r>
          </w:p>
        </w:tc>
        <w:tc>
          <w:tcPr>
            <w:tcW w:w="0" w:type="auto"/>
            <w:hideMark/>
          </w:tcPr>
          <w:p w14:paraId="056FE0C0" w14:textId="68C993C4" w:rsidR="00005C8F" w:rsidRPr="00005C8F" w:rsidRDefault="00005C8F" w:rsidP="008620D9">
            <w:pPr>
              <w:spacing w:after="160" w:line="360" w:lineRule="auto"/>
              <w:jc w:val="both"/>
              <w:rPr>
                <w:rFonts w:ascii="Arial" w:hAnsi="Arial" w:cs="Arial"/>
                <w:sz w:val="24"/>
                <w:szCs w:val="24"/>
              </w:rPr>
            </w:pPr>
            <w:r w:rsidRPr="00005C8F">
              <w:rPr>
                <w:rFonts w:ascii="Arial" w:hAnsi="Arial" w:cs="Arial"/>
                <w:sz w:val="24"/>
                <w:szCs w:val="24"/>
              </w:rPr>
              <w:t>To evaluate the effects of glycaemic control on health outcomes in older adults</w:t>
            </w:r>
          </w:p>
        </w:tc>
        <w:tc>
          <w:tcPr>
            <w:tcW w:w="0" w:type="auto"/>
            <w:hideMark/>
          </w:tcPr>
          <w:p w14:paraId="300DC9A4" w14:textId="7A0CE5C2" w:rsidR="00005C8F" w:rsidRPr="00005C8F" w:rsidRDefault="00005C8F" w:rsidP="008620D9">
            <w:pPr>
              <w:spacing w:after="160" w:line="360" w:lineRule="auto"/>
              <w:jc w:val="both"/>
              <w:rPr>
                <w:rFonts w:ascii="Arial" w:hAnsi="Arial" w:cs="Arial"/>
                <w:sz w:val="24"/>
                <w:szCs w:val="24"/>
              </w:rPr>
            </w:pPr>
            <w:r w:rsidRPr="00005C8F">
              <w:rPr>
                <w:rFonts w:ascii="Arial" w:hAnsi="Arial" w:cs="Arial"/>
                <w:sz w:val="24"/>
                <w:szCs w:val="24"/>
              </w:rPr>
              <w:t>Systematic review; adults ≥65 years</w:t>
            </w:r>
          </w:p>
        </w:tc>
        <w:tc>
          <w:tcPr>
            <w:tcW w:w="0" w:type="auto"/>
            <w:hideMark/>
          </w:tcPr>
          <w:p w14:paraId="1BFD72A5" w14:textId="6F99FA42"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Intensive glycaemic control reduces microvascular risk but elevates hypoglycaemia incidence</w:t>
            </w:r>
          </w:p>
        </w:tc>
        <w:tc>
          <w:tcPr>
            <w:tcW w:w="0" w:type="auto"/>
            <w:hideMark/>
          </w:tcPr>
          <w:p w14:paraId="6523E427" w14:textId="7C2A9393"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Underscores the importance of balancing efficacy and safety in older adults</w:t>
            </w:r>
          </w:p>
        </w:tc>
      </w:tr>
      <w:tr w:rsidR="00005C8F" w:rsidRPr="00700DF6" w14:paraId="6643B32F" w14:textId="77777777" w:rsidTr="008620D9">
        <w:tc>
          <w:tcPr>
            <w:tcW w:w="0" w:type="auto"/>
            <w:hideMark/>
          </w:tcPr>
          <w:p w14:paraId="3F9A004C" w14:textId="77777777" w:rsidR="00005C8F" w:rsidRPr="00700DF6" w:rsidRDefault="00005C8F" w:rsidP="008620D9">
            <w:pPr>
              <w:spacing w:after="160" w:line="360" w:lineRule="auto"/>
              <w:jc w:val="both"/>
              <w:rPr>
                <w:rFonts w:ascii="Arial" w:hAnsi="Arial" w:cs="Arial"/>
                <w:sz w:val="24"/>
                <w:szCs w:val="24"/>
              </w:rPr>
            </w:pPr>
            <w:r w:rsidRPr="00700DF6">
              <w:rPr>
                <w:rFonts w:ascii="Arial" w:hAnsi="Arial" w:cs="Arial"/>
                <w:sz w:val="24"/>
                <w:szCs w:val="24"/>
              </w:rPr>
              <w:t>Schram et al. (2009)</w:t>
            </w:r>
          </w:p>
        </w:tc>
        <w:tc>
          <w:tcPr>
            <w:tcW w:w="0" w:type="auto"/>
            <w:hideMark/>
          </w:tcPr>
          <w:p w14:paraId="120A4B2A" w14:textId="714F506B"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 xml:space="preserve">To examine the association between diabetes and </w:t>
            </w:r>
            <w:r w:rsidRPr="00F06D0A">
              <w:rPr>
                <w:rFonts w:ascii="Arial" w:hAnsi="Arial" w:cs="Arial"/>
                <w:sz w:val="24"/>
                <w:szCs w:val="24"/>
              </w:rPr>
              <w:lastRenderedPageBreak/>
              <w:t>quality of life in older adults</w:t>
            </w:r>
          </w:p>
        </w:tc>
        <w:tc>
          <w:tcPr>
            <w:tcW w:w="0" w:type="auto"/>
            <w:hideMark/>
          </w:tcPr>
          <w:p w14:paraId="2FF23EC9" w14:textId="4E737BE1"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lastRenderedPageBreak/>
              <w:t>Cross-sectional study; n=1,666 older adults</w:t>
            </w:r>
          </w:p>
        </w:tc>
        <w:tc>
          <w:tcPr>
            <w:tcW w:w="0" w:type="auto"/>
            <w:hideMark/>
          </w:tcPr>
          <w:p w14:paraId="7B5F6528" w14:textId="2E21712C"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Diabetes significantly associated with reduced quality of life and depression</w:t>
            </w:r>
          </w:p>
        </w:tc>
        <w:tc>
          <w:tcPr>
            <w:tcW w:w="0" w:type="auto"/>
            <w:hideMark/>
          </w:tcPr>
          <w:p w14:paraId="15B89BF5" w14:textId="799C3DD7"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Evidences the psychological burden of diabetes in later life</w:t>
            </w:r>
          </w:p>
        </w:tc>
      </w:tr>
      <w:tr w:rsidR="00005C8F" w:rsidRPr="00700DF6" w14:paraId="2D3C0849" w14:textId="77777777" w:rsidTr="008620D9">
        <w:tc>
          <w:tcPr>
            <w:tcW w:w="0" w:type="auto"/>
            <w:hideMark/>
          </w:tcPr>
          <w:p w14:paraId="4E3E0038" w14:textId="77777777" w:rsidR="00005C8F" w:rsidRPr="00700DF6" w:rsidRDefault="00005C8F" w:rsidP="008620D9">
            <w:pPr>
              <w:spacing w:after="160" w:line="360" w:lineRule="auto"/>
              <w:jc w:val="both"/>
              <w:rPr>
                <w:rFonts w:ascii="Arial" w:hAnsi="Arial" w:cs="Arial"/>
                <w:sz w:val="24"/>
                <w:szCs w:val="24"/>
              </w:rPr>
            </w:pPr>
            <w:r w:rsidRPr="00700DF6">
              <w:rPr>
                <w:rFonts w:ascii="Arial" w:hAnsi="Arial" w:cs="Arial"/>
                <w:sz w:val="24"/>
                <w:szCs w:val="24"/>
              </w:rPr>
              <w:t>Li et al. (2012)</w:t>
            </w:r>
          </w:p>
        </w:tc>
        <w:tc>
          <w:tcPr>
            <w:tcW w:w="0" w:type="auto"/>
            <w:hideMark/>
          </w:tcPr>
          <w:p w14:paraId="3B9B3EA2" w14:textId="5325A4AF"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To investigate the longitudinal relationship between diabetes and functional decline</w:t>
            </w:r>
          </w:p>
        </w:tc>
        <w:tc>
          <w:tcPr>
            <w:tcW w:w="0" w:type="auto"/>
            <w:hideMark/>
          </w:tcPr>
          <w:p w14:paraId="4DBEA1F8" w14:textId="61A1718F"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Longitudinal cohort study; n=4,263 adults ≥65 years</w:t>
            </w:r>
          </w:p>
        </w:tc>
        <w:tc>
          <w:tcPr>
            <w:tcW w:w="0" w:type="auto"/>
            <w:hideMark/>
          </w:tcPr>
          <w:p w14:paraId="25588E1F" w14:textId="42D3B4B3"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Diabetes linked to accelerated functional decline over time</w:t>
            </w:r>
          </w:p>
        </w:tc>
        <w:tc>
          <w:tcPr>
            <w:tcW w:w="0" w:type="auto"/>
            <w:hideMark/>
          </w:tcPr>
          <w:p w14:paraId="51510BBC" w14:textId="2A3A3414"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Demonstrates the impact of diabetes on functional independence</w:t>
            </w:r>
          </w:p>
        </w:tc>
      </w:tr>
      <w:tr w:rsidR="00005C8F" w:rsidRPr="00700DF6" w14:paraId="1EBECF5B" w14:textId="77777777" w:rsidTr="008620D9">
        <w:tc>
          <w:tcPr>
            <w:tcW w:w="0" w:type="auto"/>
            <w:hideMark/>
          </w:tcPr>
          <w:p w14:paraId="73169BF4" w14:textId="77777777" w:rsidR="00005C8F" w:rsidRPr="00700DF6" w:rsidRDefault="00005C8F" w:rsidP="008620D9">
            <w:pPr>
              <w:spacing w:after="160" w:line="360" w:lineRule="auto"/>
              <w:jc w:val="both"/>
              <w:rPr>
                <w:rFonts w:ascii="Arial" w:hAnsi="Arial" w:cs="Arial"/>
                <w:sz w:val="24"/>
                <w:szCs w:val="24"/>
              </w:rPr>
            </w:pPr>
            <w:r w:rsidRPr="00700DF6">
              <w:rPr>
                <w:rFonts w:ascii="Arial" w:hAnsi="Arial" w:cs="Arial"/>
                <w:sz w:val="24"/>
                <w:szCs w:val="24"/>
              </w:rPr>
              <w:t>Chatterjee et al. (2017)</w:t>
            </w:r>
          </w:p>
        </w:tc>
        <w:tc>
          <w:tcPr>
            <w:tcW w:w="0" w:type="auto"/>
            <w:hideMark/>
          </w:tcPr>
          <w:p w14:paraId="4569CBC3" w14:textId="074F6FC0"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To assess diabetes prevalence across demographic groups within the UK population</w:t>
            </w:r>
          </w:p>
        </w:tc>
        <w:tc>
          <w:tcPr>
            <w:tcW w:w="0" w:type="auto"/>
            <w:hideMark/>
          </w:tcPr>
          <w:p w14:paraId="06BAD5E1" w14:textId="7A19542A"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Epidemiological review; UK population data</w:t>
            </w:r>
          </w:p>
        </w:tc>
        <w:tc>
          <w:tcPr>
            <w:tcW w:w="0" w:type="auto"/>
            <w:hideMark/>
          </w:tcPr>
          <w:p w14:paraId="48ABCAA4" w14:textId="1100088F"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Higher diabetes prevalence among socioeconomically deprived and ethnic minority groups</w:t>
            </w:r>
          </w:p>
        </w:tc>
        <w:tc>
          <w:tcPr>
            <w:tcW w:w="0" w:type="auto"/>
            <w:hideMark/>
          </w:tcPr>
          <w:p w14:paraId="0189CE5F" w14:textId="68358F01"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Directly relevant to the demographic profile of the London Borough of Harrow</w:t>
            </w:r>
          </w:p>
        </w:tc>
      </w:tr>
      <w:tr w:rsidR="00005C8F" w:rsidRPr="00700DF6" w14:paraId="6F791958" w14:textId="77777777" w:rsidTr="008620D9">
        <w:tc>
          <w:tcPr>
            <w:tcW w:w="0" w:type="auto"/>
            <w:hideMark/>
          </w:tcPr>
          <w:p w14:paraId="19259C6C" w14:textId="77777777" w:rsidR="00005C8F" w:rsidRPr="00700DF6" w:rsidRDefault="00005C8F" w:rsidP="008620D9">
            <w:pPr>
              <w:spacing w:after="160" w:line="360" w:lineRule="auto"/>
              <w:jc w:val="both"/>
              <w:rPr>
                <w:rFonts w:ascii="Arial" w:hAnsi="Arial" w:cs="Arial"/>
                <w:sz w:val="24"/>
                <w:szCs w:val="24"/>
              </w:rPr>
            </w:pPr>
            <w:r w:rsidRPr="00700DF6">
              <w:rPr>
                <w:rFonts w:ascii="Arial" w:hAnsi="Arial" w:cs="Arial"/>
                <w:sz w:val="24"/>
                <w:szCs w:val="24"/>
              </w:rPr>
              <w:t>Diabetes UK (2023)</w:t>
            </w:r>
          </w:p>
        </w:tc>
        <w:tc>
          <w:tcPr>
            <w:tcW w:w="0" w:type="auto"/>
            <w:hideMark/>
          </w:tcPr>
          <w:p w14:paraId="52EE895A" w14:textId="6746E0E7"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To report on national diabetes prevalence trends and associated complications</w:t>
            </w:r>
          </w:p>
        </w:tc>
        <w:tc>
          <w:tcPr>
            <w:tcW w:w="0" w:type="auto"/>
            <w:hideMark/>
          </w:tcPr>
          <w:p w14:paraId="2418270A" w14:textId="50840A9F"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National organisational report; UK population data</w:t>
            </w:r>
          </w:p>
        </w:tc>
        <w:tc>
          <w:tcPr>
            <w:tcW w:w="0" w:type="auto"/>
            <w:hideMark/>
          </w:tcPr>
          <w:p w14:paraId="4D9E64A0" w14:textId="37900C75"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Rising prevalence among adults over 65 years; high rates of associated complications</w:t>
            </w:r>
          </w:p>
        </w:tc>
        <w:tc>
          <w:tcPr>
            <w:tcW w:w="0" w:type="auto"/>
            <w:hideMark/>
          </w:tcPr>
          <w:p w14:paraId="50873E97" w14:textId="3447F1F7" w:rsidR="00005C8F" w:rsidRPr="00F06D0A" w:rsidRDefault="00F06D0A" w:rsidP="008620D9">
            <w:pPr>
              <w:spacing w:after="160" w:line="360" w:lineRule="auto"/>
              <w:jc w:val="both"/>
              <w:rPr>
                <w:rFonts w:ascii="Arial" w:hAnsi="Arial" w:cs="Arial"/>
                <w:sz w:val="24"/>
                <w:szCs w:val="24"/>
              </w:rPr>
            </w:pPr>
            <w:r w:rsidRPr="00F06D0A">
              <w:rPr>
                <w:rFonts w:ascii="Arial" w:hAnsi="Arial" w:cs="Arial"/>
                <w:sz w:val="24"/>
                <w:szCs w:val="24"/>
              </w:rPr>
              <w:t>Provides contextual prevalence data to situate the review's findings</w:t>
            </w:r>
          </w:p>
        </w:tc>
      </w:tr>
      <w:bookmarkEnd w:id="4"/>
    </w:tbl>
    <w:p w14:paraId="3DAA2142" w14:textId="77777777" w:rsidR="00CC156E" w:rsidRDefault="00CC156E" w:rsidP="00CC156E">
      <w:pPr>
        <w:spacing w:before="100" w:beforeAutospacing="1" w:after="100" w:afterAutospacing="1" w:line="360" w:lineRule="auto"/>
        <w:rPr>
          <w:rFonts w:ascii="Arial" w:eastAsia="Times New Roman" w:hAnsi="Arial" w:cs="Arial"/>
          <w:b/>
          <w:bCs/>
          <w:sz w:val="24"/>
          <w:szCs w:val="24"/>
          <w:lang w:eastAsia="en-GB"/>
        </w:rPr>
      </w:pPr>
    </w:p>
    <w:p w14:paraId="31ABB3E0" w14:textId="4ADDE515" w:rsidR="00CC156E" w:rsidRPr="00CC156E" w:rsidRDefault="00CC156E" w:rsidP="00CC156E">
      <w:pPr>
        <w:spacing w:before="100" w:beforeAutospacing="1" w:after="100" w:afterAutospacing="1" w:line="360" w:lineRule="auto"/>
        <w:rPr>
          <w:rFonts w:ascii="Arial" w:eastAsia="Times New Roman" w:hAnsi="Arial" w:cs="Arial"/>
          <w:sz w:val="24"/>
          <w:szCs w:val="24"/>
          <w:lang w:eastAsia="en-GB"/>
        </w:rPr>
      </w:pPr>
      <w:r w:rsidRPr="00CC156E">
        <w:rPr>
          <w:rFonts w:ascii="Arial" w:eastAsia="Times New Roman" w:hAnsi="Arial" w:cs="Arial"/>
          <w:b/>
          <w:bCs/>
          <w:sz w:val="24"/>
          <w:szCs w:val="24"/>
          <w:lang w:eastAsia="en-GB"/>
        </w:rPr>
        <w:t>Theme 1: Physical Health Complications and Functional Decline</w:t>
      </w:r>
    </w:p>
    <w:p w14:paraId="2320536C" w14:textId="77777777" w:rsidR="00CC156E" w:rsidRPr="00CC156E" w:rsidRDefault="00CC156E" w:rsidP="00CC156E">
      <w:pPr>
        <w:spacing w:before="100" w:beforeAutospacing="1" w:after="100" w:afterAutospacing="1" w:line="360" w:lineRule="auto"/>
        <w:rPr>
          <w:rFonts w:ascii="Arial" w:eastAsia="Times New Roman" w:hAnsi="Arial" w:cs="Arial"/>
          <w:sz w:val="24"/>
          <w:szCs w:val="24"/>
          <w:lang w:eastAsia="en-GB"/>
        </w:rPr>
      </w:pPr>
      <w:r w:rsidRPr="00CC156E">
        <w:rPr>
          <w:rFonts w:ascii="Arial" w:eastAsia="Times New Roman" w:hAnsi="Arial" w:cs="Arial"/>
          <w:sz w:val="24"/>
          <w:szCs w:val="24"/>
          <w:lang w:eastAsia="en-GB"/>
        </w:rPr>
        <w:t xml:space="preserve">Evidence consistently demonstrates that type 2 diabetes significantly elevates the risk of cardiovascular disease, peripheral neuropathy, nephropathy and retinopathy among older adults (Huang et al., 2014). Sinclair et al. (2020) highlight </w:t>
      </w:r>
      <w:proofErr w:type="gramStart"/>
      <w:r w:rsidRPr="00CC156E">
        <w:rPr>
          <w:rFonts w:ascii="Arial" w:eastAsia="Times New Roman" w:hAnsi="Arial" w:cs="Arial"/>
          <w:sz w:val="24"/>
          <w:szCs w:val="24"/>
          <w:lang w:eastAsia="en-GB"/>
        </w:rPr>
        <w:t xml:space="preserve">that older </w:t>
      </w:r>
      <w:r w:rsidRPr="00CC156E">
        <w:rPr>
          <w:rFonts w:ascii="Arial" w:eastAsia="Times New Roman" w:hAnsi="Arial" w:cs="Arial"/>
          <w:sz w:val="24"/>
          <w:szCs w:val="24"/>
          <w:lang w:eastAsia="en-GB"/>
        </w:rPr>
        <w:lastRenderedPageBreak/>
        <w:t>individuals</w:t>
      </w:r>
      <w:proofErr w:type="gramEnd"/>
      <w:r w:rsidRPr="00CC156E">
        <w:rPr>
          <w:rFonts w:ascii="Arial" w:eastAsia="Times New Roman" w:hAnsi="Arial" w:cs="Arial"/>
          <w:sz w:val="24"/>
          <w:szCs w:val="24"/>
          <w:lang w:eastAsia="en-GB"/>
        </w:rPr>
        <w:t xml:space="preserve"> frequently present with frailty and multiple comorbidities, considerably complicating disease management and treatment planning. Whilst intensive glycaemic control may reduce microvascular complications, it concurrently heightens the risk of hypoglycaemia in frail elderly populations, necessitating careful clinical judgement (Huang et al., 2014).</w:t>
      </w:r>
    </w:p>
    <w:p w14:paraId="2A2D0ECF" w14:textId="77777777" w:rsidR="00CC156E" w:rsidRPr="00CC156E" w:rsidRDefault="00CC156E" w:rsidP="00CC156E">
      <w:pPr>
        <w:spacing w:before="100" w:beforeAutospacing="1" w:after="100" w:afterAutospacing="1" w:line="360" w:lineRule="auto"/>
        <w:rPr>
          <w:rFonts w:ascii="Arial" w:eastAsia="Times New Roman" w:hAnsi="Arial" w:cs="Arial"/>
          <w:sz w:val="24"/>
          <w:szCs w:val="24"/>
          <w:lang w:eastAsia="en-GB"/>
        </w:rPr>
      </w:pPr>
      <w:r w:rsidRPr="00CC156E">
        <w:rPr>
          <w:rFonts w:ascii="Arial" w:eastAsia="Times New Roman" w:hAnsi="Arial" w:cs="Arial"/>
          <w:sz w:val="24"/>
          <w:szCs w:val="24"/>
          <w:lang w:eastAsia="en-GB"/>
        </w:rPr>
        <w:t>Li et al. (2012) established that diabetes accelerates physical functional decline, resulting in reduced mobility and increased dependency. Such functional impairment directly compromises the ability to perform activities of daily living and substantially increases reliance on social care services. For older residents in areas such as Harrow, where population ageing and the prevalence of long-term conditions are pronounced, these findings underscore the considerable burden placed upon local health and social care systems.</w:t>
      </w:r>
    </w:p>
    <w:p w14:paraId="1FA1DF65" w14:textId="77777777"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b/>
          <w:bCs/>
          <w:sz w:val="24"/>
          <w:szCs w:val="24"/>
          <w:lang w:eastAsia="en-GB"/>
        </w:rPr>
        <w:t>Theme 2: Psychological Wellbeing and Depression</w:t>
      </w:r>
    </w:p>
    <w:p w14:paraId="2003F7F7" w14:textId="77777777"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sz w:val="24"/>
          <w:szCs w:val="24"/>
          <w:lang w:eastAsia="en-GB"/>
        </w:rPr>
        <w:t>Type 2 diabetes exerts a significant impact not only on physical health but also on psychological wellbeing. Schram et al. (2009) reported markedly elevated rates of depressive symptoms among older adults with diabetes relative to non-diabetic counterparts. Depression, in turn, adversely affects glycaemic control, medication adherence and broader self-care behaviours, potentially perpetuating a cycle of declining health.</w:t>
      </w:r>
    </w:p>
    <w:p w14:paraId="534C8324" w14:textId="77777777"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sz w:val="24"/>
          <w:szCs w:val="24"/>
          <w:lang w:eastAsia="en-GB"/>
        </w:rPr>
        <w:t>The demands of chronic disease management — encompassing continuous lifestyle modification, glycaemic monitoring and dietary regulation — may contribute to sustained psychological stress and anxiety (Sinclair et al., 2020). Social isolation, particularly among older adults living alone, further compounds psychological distress. Collectively, these factors are consistent with evidence demonstrating that diabetes substantially reduces health-related quality of life (Schram et al., 2009). Within ethnically diverse boroughs such as Harrow, cultural factors and entrenched health inequalities may intensify these psychological impacts, particularly where stigma or limited health literacy impedes engagement with available services (Chatterjee et al., 2017).</w:t>
      </w:r>
    </w:p>
    <w:p w14:paraId="3337D6B7" w14:textId="77777777" w:rsidR="00C13B3A" w:rsidRDefault="00C13B3A" w:rsidP="00C13B3A">
      <w:pPr>
        <w:spacing w:before="100" w:beforeAutospacing="1" w:after="100" w:afterAutospacing="1" w:line="240" w:lineRule="auto"/>
        <w:rPr>
          <w:rFonts w:ascii="Times New Roman" w:eastAsia="Times New Roman" w:hAnsi="Times New Roman" w:cs="Times New Roman"/>
          <w:b/>
          <w:bCs/>
          <w:sz w:val="24"/>
          <w:szCs w:val="24"/>
          <w:lang w:eastAsia="en-GB"/>
        </w:rPr>
      </w:pPr>
    </w:p>
    <w:p w14:paraId="1B93C1CA" w14:textId="07A07F14"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b/>
          <w:bCs/>
          <w:sz w:val="24"/>
          <w:szCs w:val="24"/>
          <w:lang w:eastAsia="en-GB"/>
        </w:rPr>
        <w:lastRenderedPageBreak/>
        <w:t>Theme 3: Self-Management, Social Support and Quality of Life</w:t>
      </w:r>
    </w:p>
    <w:p w14:paraId="0E7E352F" w14:textId="77777777"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sz w:val="24"/>
          <w:szCs w:val="24"/>
          <w:lang w:eastAsia="en-GB"/>
        </w:rPr>
        <w:t>Effective diabetes management in older adults is critically dependent upon self-management capacity and the availability of robust social support systems. Sinclair et al. (2020) advocate for person-centred care that explicitly accounts for cognitive decline and frailty in the formulation of treatment plans. Physical limitations such as reduced manual dexterity, visual impairment and memory difficulties may further constrain an individual's capacity for self-monitoring and adherence.</w:t>
      </w:r>
    </w:p>
    <w:p w14:paraId="1ACAF48A" w14:textId="77777777"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sz w:val="24"/>
          <w:szCs w:val="24"/>
          <w:lang w:eastAsia="en-GB"/>
        </w:rPr>
        <w:t>Diabetes UK (2023) reports a rising prevalence of diabetes among adults aged over 65, accompanied by high rates of associated complications and hospital admissions. Quality of life is frequently diminished as a consequence of dietary restrictions, fear of hypoglycaemic episodes and progressive loss of independence (Li et al., 2012). Nevertheless, evidence indicates that structured education programmes and community-based support can improve health outcomes and foster greater autonomy (Chatterjee et al., 2017). Integrated care approaches are therefore essential in enabling older adults to maintain independence and sustain overall wellbeing.</w:t>
      </w:r>
    </w:p>
    <w:p w14:paraId="4214733F" w14:textId="77777777"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b/>
          <w:bCs/>
          <w:sz w:val="24"/>
          <w:szCs w:val="24"/>
          <w:lang w:eastAsia="en-GB"/>
        </w:rPr>
        <w:t>Overall Synthesis</w:t>
      </w:r>
    </w:p>
    <w:p w14:paraId="259620B7" w14:textId="77777777"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sz w:val="24"/>
          <w:szCs w:val="24"/>
          <w:lang w:eastAsia="en-GB"/>
        </w:rPr>
        <w:t>Across all six studies, type 2 diabetes is consistently associated with increased physical morbidity and frailty, elevated risk of depression and diminished psychological wellbeing, accelerated functional decline and greater healthcare utilisation. The interaction between physical complications and psychological distress produces a compounding cycle that progressively undermines quality of life. Notably, several studies emphasise the imperative of individualised treatment goals in older adults to mitigate the risks of overtreatment and minimise adverse clinical events (Huang et al., 2014; Sinclair et al., 2020).</w:t>
      </w:r>
    </w:p>
    <w:p w14:paraId="0B71C461" w14:textId="77777777" w:rsidR="00C13B3A" w:rsidRPr="00C13B3A" w:rsidRDefault="00C13B3A" w:rsidP="00C13B3A">
      <w:pPr>
        <w:spacing w:before="100" w:beforeAutospacing="1" w:after="100" w:afterAutospacing="1" w:line="360" w:lineRule="auto"/>
        <w:rPr>
          <w:rFonts w:ascii="Arial" w:eastAsia="Times New Roman" w:hAnsi="Arial" w:cs="Arial"/>
          <w:sz w:val="24"/>
          <w:szCs w:val="24"/>
          <w:lang w:eastAsia="en-GB"/>
        </w:rPr>
      </w:pPr>
      <w:r w:rsidRPr="00C13B3A">
        <w:rPr>
          <w:rFonts w:ascii="Arial" w:eastAsia="Times New Roman" w:hAnsi="Arial" w:cs="Arial"/>
          <w:sz w:val="24"/>
          <w:szCs w:val="24"/>
          <w:lang w:eastAsia="en-GB"/>
        </w:rPr>
        <w:t xml:space="preserve">For older residents in Harrow, where ethnic diversity and socio-economic deprivation may amplify diabetes risk and compound its consequences, these findings reinforce the critical importance of culturally sensitive, integrated and community-based interventions. The cumulative evidence strongly supports a holistic approach that addresses both the medical management of diabetes and the psychosocial </w:t>
      </w:r>
      <w:r w:rsidRPr="00C13B3A">
        <w:rPr>
          <w:rFonts w:ascii="Arial" w:eastAsia="Times New Roman" w:hAnsi="Arial" w:cs="Arial"/>
          <w:sz w:val="24"/>
          <w:szCs w:val="24"/>
          <w:lang w:eastAsia="en-GB"/>
        </w:rPr>
        <w:lastRenderedPageBreak/>
        <w:t>dimensions of wellbeing, ensuring that care is responsive to the complex and multifaceted needs of this population.</w:t>
      </w:r>
    </w:p>
    <w:p w14:paraId="1D9C6375" w14:textId="77777777" w:rsidR="00005C8F" w:rsidRPr="00005C8F" w:rsidRDefault="00005C8F" w:rsidP="00005C8F">
      <w:pPr>
        <w:spacing w:before="100" w:beforeAutospacing="1" w:after="100" w:afterAutospacing="1" w:line="360" w:lineRule="auto"/>
        <w:rPr>
          <w:rFonts w:ascii="Arial" w:eastAsia="Times New Roman" w:hAnsi="Arial" w:cs="Arial"/>
          <w:sz w:val="24"/>
          <w:szCs w:val="24"/>
          <w:lang w:eastAsia="en-GB"/>
        </w:rPr>
      </w:pPr>
    </w:p>
    <w:p w14:paraId="4F1245E2" w14:textId="77777777" w:rsidR="00005C8F" w:rsidRPr="002435E5" w:rsidRDefault="00005C8F" w:rsidP="002435E5">
      <w:pPr>
        <w:spacing w:before="100" w:beforeAutospacing="1" w:after="100" w:afterAutospacing="1" w:line="360" w:lineRule="auto"/>
        <w:rPr>
          <w:rFonts w:ascii="Arial" w:eastAsia="Times New Roman" w:hAnsi="Arial" w:cs="Arial"/>
          <w:sz w:val="24"/>
          <w:szCs w:val="24"/>
          <w:lang w:eastAsia="en-GB"/>
        </w:rPr>
      </w:pPr>
    </w:p>
    <w:p w14:paraId="15FA3EBF" w14:textId="77777777" w:rsidR="002435E5" w:rsidRPr="00B91C40" w:rsidRDefault="002435E5" w:rsidP="00B91C40">
      <w:pPr>
        <w:spacing w:before="100" w:beforeAutospacing="1" w:after="100" w:afterAutospacing="1" w:line="360" w:lineRule="auto"/>
        <w:rPr>
          <w:rFonts w:ascii="Arial" w:eastAsia="Times New Roman" w:hAnsi="Arial" w:cs="Arial"/>
          <w:sz w:val="24"/>
          <w:szCs w:val="24"/>
          <w:lang w:eastAsia="en-GB"/>
        </w:rPr>
      </w:pPr>
    </w:p>
    <w:p w14:paraId="1F4879DF" w14:textId="77777777" w:rsidR="00B91C40" w:rsidRPr="00181419" w:rsidRDefault="00B91C40" w:rsidP="00181419">
      <w:pPr>
        <w:pStyle w:val="font-claude-response-body"/>
        <w:spacing w:line="360" w:lineRule="auto"/>
        <w:rPr>
          <w:rFonts w:ascii="Arial" w:hAnsi="Arial" w:cs="Arial"/>
        </w:rPr>
      </w:pPr>
    </w:p>
    <w:p w14:paraId="3257CCDF" w14:textId="2D97EA4D" w:rsidR="00801CAA" w:rsidRDefault="00801CAA" w:rsidP="00801CAA"/>
    <w:p w14:paraId="3804581A" w14:textId="19B4A5E7" w:rsidR="00C13B3A" w:rsidRDefault="00C13B3A" w:rsidP="00801CAA"/>
    <w:p w14:paraId="424D5B32" w14:textId="2CB0638F" w:rsidR="00C13B3A" w:rsidRDefault="00C13B3A" w:rsidP="00801CAA"/>
    <w:p w14:paraId="05E828FD" w14:textId="367922B0" w:rsidR="00C13B3A" w:rsidRDefault="00C13B3A" w:rsidP="00801CAA"/>
    <w:p w14:paraId="60349D4A" w14:textId="5D831A8A" w:rsidR="00C13B3A" w:rsidRDefault="00C13B3A" w:rsidP="00801CAA"/>
    <w:p w14:paraId="099E073D" w14:textId="0E88603E" w:rsidR="00C13B3A" w:rsidRDefault="00C13B3A" w:rsidP="00801CAA"/>
    <w:p w14:paraId="20E0DD07" w14:textId="6D8C195A" w:rsidR="00C13B3A" w:rsidRDefault="00C13B3A" w:rsidP="00801CAA"/>
    <w:p w14:paraId="32B57A4C" w14:textId="77217EF6" w:rsidR="00C13B3A" w:rsidRDefault="00C13B3A" w:rsidP="00801CAA"/>
    <w:p w14:paraId="5B109CE6" w14:textId="2760155F" w:rsidR="00C13B3A" w:rsidRDefault="00C13B3A" w:rsidP="00801CAA"/>
    <w:p w14:paraId="2C20B3FB" w14:textId="7DA56F2F" w:rsidR="00C13B3A" w:rsidRDefault="00C13B3A" w:rsidP="00801CAA"/>
    <w:p w14:paraId="4EA75775" w14:textId="04D3073D" w:rsidR="00C13B3A" w:rsidRDefault="00C13B3A" w:rsidP="00801CAA"/>
    <w:p w14:paraId="2EC95992" w14:textId="7D7E0888" w:rsidR="00C13B3A" w:rsidRDefault="00C13B3A" w:rsidP="00801CAA"/>
    <w:p w14:paraId="671A4915" w14:textId="7672983F" w:rsidR="00C13B3A" w:rsidRDefault="00C13B3A" w:rsidP="00801CAA"/>
    <w:p w14:paraId="25479F20" w14:textId="47B05A61" w:rsidR="00C13B3A" w:rsidRDefault="00C13B3A" w:rsidP="00801CAA"/>
    <w:p w14:paraId="53880737" w14:textId="2489A9DD" w:rsidR="00C13B3A" w:rsidRDefault="00C13B3A" w:rsidP="00801CAA"/>
    <w:p w14:paraId="504657CE" w14:textId="35A34F7B" w:rsidR="00C13B3A" w:rsidRDefault="00C13B3A" w:rsidP="00801CAA"/>
    <w:p w14:paraId="552CECC3" w14:textId="3783CED4" w:rsidR="00C13B3A" w:rsidRDefault="00C13B3A" w:rsidP="00801CAA"/>
    <w:p w14:paraId="56A27AA0" w14:textId="32471D46" w:rsidR="00C13B3A" w:rsidRDefault="00C13B3A" w:rsidP="00801CAA"/>
    <w:p w14:paraId="6D3AD567" w14:textId="0519BB7F" w:rsidR="00C13B3A" w:rsidRDefault="00C13B3A" w:rsidP="00801CAA"/>
    <w:p w14:paraId="473A99FA" w14:textId="2E31F76B" w:rsidR="00C13B3A" w:rsidRDefault="00C13B3A" w:rsidP="00801CAA"/>
    <w:p w14:paraId="4DED976A" w14:textId="2ED6ABA7" w:rsidR="00C13B3A" w:rsidRDefault="00C13B3A" w:rsidP="00801CAA"/>
    <w:p w14:paraId="6CED21EA" w14:textId="603AF3AF" w:rsidR="00C13B3A" w:rsidRDefault="00C13B3A" w:rsidP="00801CAA"/>
    <w:p w14:paraId="5A4422D7" w14:textId="77777777" w:rsidR="00C13B3A" w:rsidRPr="00064F83" w:rsidRDefault="00C13B3A" w:rsidP="00064F83">
      <w:pPr>
        <w:pStyle w:val="font-claude-response-body"/>
        <w:spacing w:line="360" w:lineRule="auto"/>
        <w:rPr>
          <w:rFonts w:ascii="Arial" w:hAnsi="Arial" w:cs="Arial"/>
        </w:rPr>
      </w:pPr>
      <w:r w:rsidRPr="00064F83">
        <w:rPr>
          <w:rStyle w:val="Strong"/>
          <w:rFonts w:ascii="Arial" w:eastAsiaTheme="majorEastAsia" w:hAnsi="Arial" w:cs="Arial"/>
        </w:rPr>
        <w:lastRenderedPageBreak/>
        <w:t>Discussion</w:t>
      </w:r>
    </w:p>
    <w:p w14:paraId="02F967AD"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This scoping review explored the impact of type 2 diabetes on the health and wellbeing of adults aged 65 years and older, identifying three principal themes: physical health complications and frailty; psychological wellbeing and depression; and self-management, independence and quality of life. The findings demonstrate that type 2 diabetes in older adults is not solely a metabolic disorder, but a complex, multidimensional condition necessitating holistic and integrated management.</w:t>
      </w:r>
    </w:p>
    <w:p w14:paraId="7F6D4D89" w14:textId="77777777" w:rsidR="00C13B3A" w:rsidRPr="00064F83" w:rsidRDefault="00C13B3A" w:rsidP="00064F83">
      <w:pPr>
        <w:pStyle w:val="font-claude-response-body"/>
        <w:spacing w:line="360" w:lineRule="auto"/>
        <w:rPr>
          <w:rFonts w:ascii="Arial" w:hAnsi="Arial" w:cs="Arial"/>
        </w:rPr>
      </w:pPr>
      <w:r w:rsidRPr="00064F83">
        <w:rPr>
          <w:rStyle w:val="Strong"/>
          <w:rFonts w:ascii="Arial" w:eastAsiaTheme="majorEastAsia" w:hAnsi="Arial" w:cs="Arial"/>
        </w:rPr>
        <w:t>Physical Health Complications and Frailty</w:t>
      </w:r>
    </w:p>
    <w:p w14:paraId="1F448279"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 xml:space="preserve">The reviewed literature consistently evidences </w:t>
      </w:r>
      <w:proofErr w:type="gramStart"/>
      <w:r w:rsidRPr="00064F83">
        <w:rPr>
          <w:rFonts w:ascii="Arial" w:hAnsi="Arial" w:cs="Arial"/>
        </w:rPr>
        <w:t>that older adults</w:t>
      </w:r>
      <w:proofErr w:type="gramEnd"/>
      <w:r w:rsidRPr="00064F83">
        <w:rPr>
          <w:rFonts w:ascii="Arial" w:hAnsi="Arial" w:cs="Arial"/>
        </w:rPr>
        <w:t xml:space="preserve"> with type 2 diabetes experience elevated morbidity, particularly with respect to cardiovascular disease, peripheral neuropathy, nephropathy and visual impairment (Huang et al., 2014; Sinclair et al., 2020). Physiological decline associated with advancing age, when compounded by chronic hyperglycaemia, significantly amplifies the risk of frailty and functional deterioration. Li et al. (2012) demonstrated accelerated decline in physical functioning among older adults with diabetes, with direct consequences for mobility, self-care capacity and independence.</w:t>
      </w:r>
    </w:p>
    <w:p w14:paraId="224E1F9F"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These findings are consistent with national guidance advocating individualised glycaemic targets for older adults, so as to appropriately balance clinical benefits against associated risks (NICE, 2022). Whilst intensive glycaemic control may reduce microvascular complications, it concurrently elevates the risk of hypoglycaemia — a particularly hazardous outcome in frail older populations given its association with falls and subsequent hospital admissions (Huang et al., 2014). Management strategies must therefore account for comorbidity burden, cognitive status and life expectancy, rather than the application of uniform treatment targets.</w:t>
      </w:r>
    </w:p>
    <w:p w14:paraId="2A1FCB10"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For older populations in diverse boroughs such as Harrow, where diabetes prevalence is further influenced by ethnicity and socio-economic deprivation, the burden of diabetes-related complications may be disproportionately high (Chatterjee et al., 2017). This underscores the imperative for proactive cardiovascular risk reduction, early screening and well-coordinated integrated primary care services.</w:t>
      </w:r>
    </w:p>
    <w:p w14:paraId="161C8F7B" w14:textId="77777777" w:rsidR="00C13B3A" w:rsidRPr="00064F83" w:rsidRDefault="00C13B3A" w:rsidP="00064F83">
      <w:pPr>
        <w:pStyle w:val="font-claude-response-body"/>
        <w:spacing w:line="360" w:lineRule="auto"/>
        <w:rPr>
          <w:rFonts w:ascii="Arial" w:hAnsi="Arial" w:cs="Arial"/>
        </w:rPr>
      </w:pPr>
      <w:r w:rsidRPr="00064F83">
        <w:rPr>
          <w:rStyle w:val="Strong"/>
          <w:rFonts w:ascii="Arial" w:eastAsiaTheme="majorEastAsia" w:hAnsi="Arial" w:cs="Arial"/>
        </w:rPr>
        <w:lastRenderedPageBreak/>
        <w:t>Psychological Wellbeing and Depression</w:t>
      </w:r>
    </w:p>
    <w:p w14:paraId="60B92890"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The second principal theme concerns the psychological impact of living with diabetes in later life. Schram et al. (2009) established a significant association between type 2 diabetes and depressive symptomatology. Depression not only diminishes quality of life but also impairs adherence to medication regimens, dietary guidance and glycaemic monitoring, thereby compounding adverse clinical outcomes.</w:t>
      </w:r>
    </w:p>
    <w:p w14:paraId="3A561612"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Older adults may be further exposed to psychosocial stressors including bereavement, social isolation and progressive physical decline, all of which intensify the emotional burden of living with a chronic condition (Sinclair et al., 2020). The evidence suggests that psychological distress and diabetes interact bidirectionally: suboptimal glycaemic control may exacerbate mood disturbance, whilst depression may simultaneously undermine self-management efficacy. This relationship is consistent with the biopsychosocial model of health, which recognises that effective disease management must extend beyond purely physiological measures (Engel, 1977). Routine screening for depression within diabetes reviews, alongside the integration of mental health support into primary care pathways, may therefore improve both psychological and metabolic outcomes. Within culturally diverse populations such as those in Harrow, culturally competent service provision is essential to address stigma and facilitate meaningful engagement with support services (Chatterjee et al., 2017).</w:t>
      </w:r>
    </w:p>
    <w:p w14:paraId="6EECACC1" w14:textId="77777777" w:rsidR="00C13B3A" w:rsidRPr="00064F83" w:rsidRDefault="00C13B3A" w:rsidP="00064F83">
      <w:pPr>
        <w:pStyle w:val="font-claude-response-body"/>
        <w:spacing w:line="360" w:lineRule="auto"/>
        <w:rPr>
          <w:rFonts w:ascii="Arial" w:hAnsi="Arial" w:cs="Arial"/>
        </w:rPr>
      </w:pPr>
      <w:r w:rsidRPr="00064F83">
        <w:rPr>
          <w:rStyle w:val="Strong"/>
          <w:rFonts w:ascii="Arial" w:eastAsiaTheme="majorEastAsia" w:hAnsi="Arial" w:cs="Arial"/>
        </w:rPr>
        <w:t>Self-Management, Independence and Quality of Life</w:t>
      </w:r>
    </w:p>
    <w:p w14:paraId="08AC6A58"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The third key theme concerns the challenges of effective self-management in older age. Optimal diabetes control requires sustained lifestyle modification, medication adherence and glycaemic monitoring; however, age-related factors including cognitive decline, visual impairment and reduced manual dexterity may substantially limit an individual's capacity to fulfil these demands (Sinclair et al., 2020). Li et al. (2012) further highlighted the relationship between diabetes and progressive loss of independence, reinforcing the broader social care implications of the condition.</w:t>
      </w:r>
    </w:p>
    <w:p w14:paraId="597859C1"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 xml:space="preserve">Health-related quality of life was consistently reported as lower among older adults with diabetes relative to non-diabetic peers (Schram et al., 2009). Fear of </w:t>
      </w:r>
      <w:r w:rsidRPr="00064F83">
        <w:rPr>
          <w:rFonts w:ascii="Arial" w:hAnsi="Arial" w:cs="Arial"/>
        </w:rPr>
        <w:lastRenderedPageBreak/>
        <w:t>hypoglycaemic episodes, dietary restrictions and cumulative physical limitations contribute to diminished autonomy and reduced social participation. Diabetes UK (2023) additionally reports a rising prevalence of diabetes among adults aged over 65, indicating growing and sustained demand upon both community and secondary care services.</w:t>
      </w:r>
    </w:p>
    <w:p w14:paraId="79182C42"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Importantly, evidence suggests that structured education programmes and person-centred care planning can meaningfully improve health outcomes (Sinclair et al., 2020). Individualised care frameworks, inclusive of family involvement and community-based interventions, can support autonomy whilst reducing the incidence of complications. Integrated care models, as advocated within UK health policy, seek to coordinate primary, secondary and social care services to address the complex and multifaceted needs of this population (NICE, 2022).</w:t>
      </w:r>
    </w:p>
    <w:p w14:paraId="0F84DC4F" w14:textId="77777777" w:rsidR="00C13B3A" w:rsidRPr="00064F83" w:rsidRDefault="00C13B3A" w:rsidP="00064F83">
      <w:pPr>
        <w:pStyle w:val="font-claude-response-body"/>
        <w:spacing w:line="360" w:lineRule="auto"/>
        <w:rPr>
          <w:rFonts w:ascii="Arial" w:hAnsi="Arial" w:cs="Arial"/>
        </w:rPr>
      </w:pPr>
      <w:r w:rsidRPr="00064F83">
        <w:rPr>
          <w:rStyle w:val="Strong"/>
          <w:rFonts w:ascii="Arial" w:eastAsiaTheme="majorEastAsia" w:hAnsi="Arial" w:cs="Arial"/>
        </w:rPr>
        <w:t>Implications for Health and Social Care</w:t>
      </w:r>
    </w:p>
    <w:p w14:paraId="77048EF9"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Collectively, the findings indicate that type 2 diabetes in older adults carries substantial implications for both health and social care systems. Physical complications increase healthcare utilisation, whilst functional decline generates heightened demand for domiciliary and residential support. Psychological distress further necessitates the integration of mental health provision within chronic disease management frameworks.</w:t>
      </w:r>
    </w:p>
    <w:p w14:paraId="04EDE337"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A notable strength of the available evidence is the consistent identification of multidimensional impact across diverse study designs. However, the majority of included research reflects national or international populations, rather than borough-specific contexts, highlighting a significant gap in localised evidence. There is therefore a clear need for community-level research within areas such as Harrow to better delineate local disparities and inform targeted service development.</w:t>
      </w:r>
    </w:p>
    <w:p w14:paraId="35327917" w14:textId="77777777" w:rsidR="00C13B3A" w:rsidRPr="00064F83" w:rsidRDefault="00C13B3A" w:rsidP="00064F83">
      <w:pPr>
        <w:pStyle w:val="font-claude-response-body"/>
        <w:spacing w:line="360" w:lineRule="auto"/>
        <w:rPr>
          <w:rFonts w:ascii="Arial" w:hAnsi="Arial" w:cs="Arial"/>
        </w:rPr>
      </w:pPr>
      <w:r w:rsidRPr="00064F83">
        <w:rPr>
          <w:rFonts w:ascii="Arial" w:hAnsi="Arial" w:cs="Arial"/>
        </w:rPr>
        <w:t>Overall, this review underscores the necessity of holistic, person-centred and culturally sensitive approaches to diabetes management in older adults. Addressing physical complications in isolation is insufficient; integrated strategies that simultaneously target psychological wellbeing and social independence are essential to enhance quality of life and mitigate long-term health inequalities.</w:t>
      </w:r>
    </w:p>
    <w:p w14:paraId="0D2EFE30" w14:textId="77777777" w:rsidR="00064F83" w:rsidRPr="00064F83" w:rsidRDefault="00064F83" w:rsidP="00064F83">
      <w:pPr>
        <w:pStyle w:val="font-claude-response-body"/>
        <w:spacing w:line="360" w:lineRule="auto"/>
        <w:rPr>
          <w:rFonts w:ascii="Arial" w:hAnsi="Arial" w:cs="Arial"/>
        </w:rPr>
      </w:pPr>
      <w:r w:rsidRPr="00064F83">
        <w:rPr>
          <w:rStyle w:val="Strong"/>
          <w:rFonts w:ascii="Arial" w:eastAsiaTheme="majorEastAsia" w:hAnsi="Arial" w:cs="Arial"/>
        </w:rPr>
        <w:lastRenderedPageBreak/>
        <w:t>Conclusion and Recommendations</w:t>
      </w:r>
    </w:p>
    <w:p w14:paraId="5EDA3554" w14:textId="77777777" w:rsidR="00064F83" w:rsidRPr="00064F83" w:rsidRDefault="00064F83" w:rsidP="00064F83">
      <w:pPr>
        <w:pStyle w:val="font-claude-response-body"/>
        <w:spacing w:line="360" w:lineRule="auto"/>
        <w:rPr>
          <w:rFonts w:ascii="Arial" w:hAnsi="Arial" w:cs="Arial"/>
        </w:rPr>
      </w:pPr>
      <w:r w:rsidRPr="00064F83">
        <w:rPr>
          <w:rFonts w:ascii="Arial" w:hAnsi="Arial" w:cs="Arial"/>
        </w:rPr>
        <w:t>This scoping review has demonstrated that type 2 diabetes exerts a significant and multidimensional impact upon adults aged 65 years and older. The evidence identifies three interconnected domains of consequence: increased physical morbidity and frailty; heightened psychological distress; and diminished independence and quality of life. Older adults living with type 2 diabetes face elevated risks of cardiovascular disease, peripheral neuropathy, hypoglycaemia and functional decline (Huang et al., 2014; Sinclair et al., 2020), complications that frequently interact with age-related frailty and multimorbidity to produce complex clinical presentations demanding careful, individualised management.</w:t>
      </w:r>
    </w:p>
    <w:p w14:paraId="743CB2B3" w14:textId="77777777" w:rsidR="00064F83" w:rsidRPr="00064F83" w:rsidRDefault="00064F83" w:rsidP="00064F83">
      <w:pPr>
        <w:pStyle w:val="font-claude-response-body"/>
        <w:spacing w:line="360" w:lineRule="auto"/>
        <w:rPr>
          <w:rFonts w:ascii="Arial" w:hAnsi="Arial" w:cs="Arial"/>
        </w:rPr>
      </w:pPr>
      <w:r w:rsidRPr="00064F83">
        <w:rPr>
          <w:rFonts w:ascii="Arial" w:hAnsi="Arial" w:cs="Arial"/>
        </w:rPr>
        <w:t>Beyond the physical dimension, the review identified a robust association between type 2 diabetes and depression, which adversely influences self-management behaviours and glycaemic control (Schram et al., 2009). Reduced mobility, fear of complications and social isolation further compromise wellbeing and autonomy. Given the rising prevalence of diabetes among adults aged over 65 in the United Kingdom (Diabetes UK, 2023), the condition represents a substantial and growing challenge for health and social care systems alike.</w:t>
      </w:r>
    </w:p>
    <w:p w14:paraId="57A07F67" w14:textId="7D44FDAC" w:rsidR="00064F83" w:rsidRDefault="00064F83" w:rsidP="00064F83">
      <w:pPr>
        <w:pStyle w:val="font-claude-response-body"/>
        <w:spacing w:line="360" w:lineRule="auto"/>
        <w:rPr>
          <w:rFonts w:ascii="Arial" w:hAnsi="Arial" w:cs="Arial"/>
        </w:rPr>
      </w:pPr>
      <w:r w:rsidRPr="00064F83">
        <w:rPr>
          <w:rFonts w:ascii="Arial" w:hAnsi="Arial" w:cs="Arial"/>
        </w:rPr>
        <w:t>Collectively, the findings reinforce the imperative for holistic, person-centred approaches that meaningfully integrate physical, psychological and social care. Whilst national guidance advocates individualised treatment targets and structured education (NICE, 2022), the implementation of such recommendations may vary considerably across local contexts. For ethnically diverse and socio-economically varied boroughs such as Harrow, culturally sensitive and accessible service provision is of particular importance in addressing entrenched health inequalities (Chatterjee et al., 2017).</w:t>
      </w:r>
    </w:p>
    <w:p w14:paraId="52B47C8E" w14:textId="77777777" w:rsidR="00064F83" w:rsidRPr="00064F83" w:rsidRDefault="00064F83" w:rsidP="00064F83">
      <w:pPr>
        <w:pStyle w:val="font-claude-response-body"/>
        <w:spacing w:line="360" w:lineRule="auto"/>
        <w:rPr>
          <w:rFonts w:ascii="Arial" w:hAnsi="Arial" w:cs="Arial"/>
        </w:rPr>
      </w:pPr>
      <w:r w:rsidRPr="00064F83">
        <w:rPr>
          <w:rStyle w:val="Strong"/>
          <w:rFonts w:ascii="Arial" w:eastAsiaTheme="majorEastAsia" w:hAnsi="Arial" w:cs="Arial"/>
        </w:rPr>
        <w:t>Recommendations for Future Research</w:t>
      </w:r>
    </w:p>
    <w:p w14:paraId="711B3092" w14:textId="77777777" w:rsidR="00064F83" w:rsidRPr="00064F83" w:rsidRDefault="00064F83" w:rsidP="00064F83">
      <w:pPr>
        <w:pStyle w:val="font-claude-response-body"/>
        <w:spacing w:line="360" w:lineRule="auto"/>
        <w:rPr>
          <w:rFonts w:ascii="Arial" w:hAnsi="Arial" w:cs="Arial"/>
        </w:rPr>
      </w:pPr>
      <w:r w:rsidRPr="00064F83">
        <w:rPr>
          <w:rFonts w:ascii="Arial" w:hAnsi="Arial" w:cs="Arial"/>
        </w:rPr>
        <w:t xml:space="preserve">Future research should prioritise borough-level and community-specific studies to better elucidate local patterns of diabetes prevalence, service access and health outcomes among older populations. Given that the majority of available evidence is national or international in scope, geographically focused inquiry would substantially </w:t>
      </w:r>
      <w:r w:rsidRPr="00064F83">
        <w:rPr>
          <w:rFonts w:ascii="Arial" w:hAnsi="Arial" w:cs="Arial"/>
        </w:rPr>
        <w:lastRenderedPageBreak/>
        <w:t>strengthen the evidence base for targeted local service planning. Longitudinal studies examining the long-term psychosocial impact of type 2 diabetes in older adults would further deepen understanding of how mental and physical health trajectories interact over time. Additionally, research exploring the efficacy of culturally tailored interventions for ethnically diverse older adults would make a valuable contribution to reducing health disparities within underserved communities.</w:t>
      </w:r>
    </w:p>
    <w:p w14:paraId="31C264C0" w14:textId="77777777" w:rsidR="00064F83" w:rsidRPr="00064F83" w:rsidRDefault="00064F83" w:rsidP="00064F83">
      <w:pPr>
        <w:pStyle w:val="font-claude-response-body"/>
        <w:spacing w:line="360" w:lineRule="auto"/>
        <w:rPr>
          <w:rFonts w:ascii="Arial" w:hAnsi="Arial" w:cs="Arial"/>
        </w:rPr>
      </w:pPr>
      <w:r w:rsidRPr="00064F83">
        <w:rPr>
          <w:rStyle w:val="Strong"/>
          <w:rFonts w:ascii="Arial" w:eastAsiaTheme="majorEastAsia" w:hAnsi="Arial" w:cs="Arial"/>
        </w:rPr>
        <w:t>Recommendations for Policy and Practice</w:t>
      </w:r>
    </w:p>
    <w:p w14:paraId="099FF0E5" w14:textId="77777777" w:rsidR="00064F83" w:rsidRPr="00064F83" w:rsidRDefault="00064F83" w:rsidP="00064F83">
      <w:pPr>
        <w:pStyle w:val="font-claude-response-body"/>
        <w:spacing w:line="360" w:lineRule="auto"/>
        <w:rPr>
          <w:rFonts w:ascii="Arial" w:hAnsi="Arial" w:cs="Arial"/>
        </w:rPr>
      </w:pPr>
      <w:r w:rsidRPr="00064F83">
        <w:rPr>
          <w:rFonts w:ascii="Arial" w:hAnsi="Arial" w:cs="Arial"/>
        </w:rPr>
        <w:t>At a policy level, sustained emphasis on integrated care systems is essential. Collaboration across primary care, community nursing, mental health services and social care must be strengthened to ensure coordinated and seamless care for older adults presenting with complex needs. Routine screening for depression within diabetes reviews should be embedded as standard clinical practice, reflecting the well-evidenced bidirectional relationship between psychological wellbeing and glycaemic control (Schram et al., 2009).</w:t>
      </w:r>
    </w:p>
    <w:p w14:paraId="57E93E2F" w14:textId="77777777" w:rsidR="00064F83" w:rsidRPr="00064F83" w:rsidRDefault="00064F83" w:rsidP="00064F83">
      <w:pPr>
        <w:pStyle w:val="font-claude-response-body"/>
        <w:spacing w:line="360" w:lineRule="auto"/>
        <w:rPr>
          <w:rFonts w:ascii="Arial" w:hAnsi="Arial" w:cs="Arial"/>
        </w:rPr>
      </w:pPr>
      <w:r w:rsidRPr="00064F83">
        <w:rPr>
          <w:rFonts w:ascii="Arial" w:hAnsi="Arial" w:cs="Arial"/>
        </w:rPr>
        <w:t>In practice, healthcare professionals should adopt flexible glycaemic targets that are responsive to individual levels of frailty, comorbidity burden and patient preference, in accordance with NICE (2022) guidance. Expanded access to structured education programmes and community-based self-management support can promote independence, enhance self-efficacy and reduce avoidable hospital admissions. Furthermore, investment in culturally competent care training for health and social care professionals would improve meaningful engagement with diverse populations and support more equitable service delivery.</w:t>
      </w:r>
    </w:p>
    <w:p w14:paraId="2A03655F" w14:textId="40F92DD4" w:rsidR="00064F83" w:rsidRDefault="00064F83" w:rsidP="00064F83">
      <w:pPr>
        <w:pStyle w:val="font-claude-response-body"/>
        <w:spacing w:line="360" w:lineRule="auto"/>
        <w:rPr>
          <w:rFonts w:ascii="Arial" w:hAnsi="Arial" w:cs="Arial"/>
        </w:rPr>
      </w:pPr>
      <w:r w:rsidRPr="00064F83">
        <w:rPr>
          <w:rFonts w:ascii="Arial" w:hAnsi="Arial" w:cs="Arial"/>
        </w:rPr>
        <w:t>In conclusion, type 2 diabetes in older adults constitutes a significant public health challenge requiring integrated, person-centred and locally responsive strategies. Addressing both the medical and psychosocial dimensions of care is essential to improving health outcomes, promoting autonomy and enhancing overall wellbeing among an ageing population.</w:t>
      </w:r>
    </w:p>
    <w:p w14:paraId="325FECC4" w14:textId="7112CCDE" w:rsidR="009668EB" w:rsidRDefault="009668EB" w:rsidP="00064F83">
      <w:pPr>
        <w:pStyle w:val="font-claude-response-body"/>
        <w:spacing w:line="360" w:lineRule="auto"/>
        <w:rPr>
          <w:rFonts w:ascii="Arial" w:hAnsi="Arial" w:cs="Arial"/>
        </w:rPr>
      </w:pPr>
    </w:p>
    <w:p w14:paraId="7AA47A06" w14:textId="12EA371C" w:rsidR="009668EB" w:rsidRDefault="009668EB" w:rsidP="00064F83">
      <w:pPr>
        <w:pStyle w:val="font-claude-response-body"/>
        <w:spacing w:line="360" w:lineRule="auto"/>
        <w:rPr>
          <w:rFonts w:ascii="Arial" w:hAnsi="Arial" w:cs="Arial"/>
        </w:rPr>
      </w:pPr>
    </w:p>
    <w:p w14:paraId="3E50FB9F" w14:textId="62CD978F" w:rsidR="009668EB" w:rsidRDefault="009668EB" w:rsidP="00064F83">
      <w:pPr>
        <w:pStyle w:val="font-claude-response-body"/>
        <w:spacing w:line="360" w:lineRule="auto"/>
        <w:rPr>
          <w:rFonts w:ascii="Arial" w:hAnsi="Arial" w:cs="Arial"/>
        </w:rPr>
      </w:pPr>
      <w:r>
        <w:rPr>
          <w:rFonts w:ascii="Arial" w:hAnsi="Arial" w:cs="Arial"/>
        </w:rPr>
        <w:lastRenderedPageBreak/>
        <w:t>References</w:t>
      </w:r>
    </w:p>
    <w:p w14:paraId="6DEEF9B3" w14:textId="77777777" w:rsidR="009668EB" w:rsidRPr="009668EB" w:rsidRDefault="009668EB" w:rsidP="009668EB">
      <w:pPr>
        <w:pStyle w:val="font-claude-response-body"/>
        <w:rPr>
          <w:rFonts w:ascii="Arial" w:hAnsi="Arial" w:cs="Arial"/>
        </w:rPr>
      </w:pPr>
      <w:r w:rsidRPr="009668EB">
        <w:rPr>
          <w:rFonts w:ascii="Arial" w:hAnsi="Arial" w:cs="Arial"/>
        </w:rPr>
        <w:t xml:space="preserve">American Diabetes Association (2021) 'Standards of medical care in diabetes', </w:t>
      </w:r>
      <w:r w:rsidRPr="009668EB">
        <w:rPr>
          <w:rStyle w:val="Emphasis"/>
          <w:rFonts w:ascii="Arial" w:eastAsiaTheme="majorEastAsia" w:hAnsi="Arial" w:cs="Arial"/>
        </w:rPr>
        <w:t>Diabetes Care</w:t>
      </w:r>
      <w:r w:rsidRPr="009668EB">
        <w:rPr>
          <w:rFonts w:ascii="Arial" w:hAnsi="Arial" w:cs="Arial"/>
        </w:rPr>
        <w:t xml:space="preserve">, 44(Supplement 1), </w:t>
      </w:r>
      <w:proofErr w:type="gramStart"/>
      <w:r w:rsidRPr="009668EB">
        <w:rPr>
          <w:rFonts w:ascii="Arial" w:hAnsi="Arial" w:cs="Arial"/>
        </w:rPr>
        <w:t>pp.S</w:t>
      </w:r>
      <w:proofErr w:type="gramEnd"/>
      <w:r w:rsidRPr="009668EB">
        <w:rPr>
          <w:rFonts w:ascii="Arial" w:hAnsi="Arial" w:cs="Arial"/>
        </w:rPr>
        <w:t>1–S232.</w:t>
      </w:r>
    </w:p>
    <w:p w14:paraId="03EE3042" w14:textId="77777777" w:rsidR="009668EB" w:rsidRPr="009668EB" w:rsidRDefault="009668EB" w:rsidP="009668EB">
      <w:pPr>
        <w:pStyle w:val="font-claude-response-body"/>
        <w:rPr>
          <w:rFonts w:ascii="Arial" w:hAnsi="Arial" w:cs="Arial"/>
        </w:rPr>
      </w:pPr>
      <w:r w:rsidRPr="009668EB">
        <w:rPr>
          <w:rFonts w:ascii="Arial" w:hAnsi="Arial" w:cs="Arial"/>
        </w:rPr>
        <w:t xml:space="preserve">Braun, V. and Clarke, V. (2006) 'Using thematic analysis in psychology', </w:t>
      </w:r>
      <w:r w:rsidRPr="009668EB">
        <w:rPr>
          <w:rStyle w:val="Emphasis"/>
          <w:rFonts w:ascii="Arial" w:eastAsiaTheme="majorEastAsia" w:hAnsi="Arial" w:cs="Arial"/>
        </w:rPr>
        <w:t>Qualitative Research in Psychology</w:t>
      </w:r>
      <w:r w:rsidRPr="009668EB">
        <w:rPr>
          <w:rFonts w:ascii="Arial" w:hAnsi="Arial" w:cs="Arial"/>
        </w:rPr>
        <w:t>, 3(2), pp.77–101.</w:t>
      </w:r>
    </w:p>
    <w:p w14:paraId="63BDFA90" w14:textId="77777777" w:rsidR="009668EB" w:rsidRPr="009668EB" w:rsidRDefault="009668EB" w:rsidP="009668EB">
      <w:pPr>
        <w:pStyle w:val="font-claude-response-body"/>
        <w:rPr>
          <w:rFonts w:ascii="Arial" w:hAnsi="Arial" w:cs="Arial"/>
        </w:rPr>
      </w:pPr>
      <w:r w:rsidRPr="009668EB">
        <w:rPr>
          <w:rFonts w:ascii="Arial" w:hAnsi="Arial" w:cs="Arial"/>
        </w:rPr>
        <w:t xml:space="preserve">British Psychological Society (2018) </w:t>
      </w:r>
      <w:r w:rsidRPr="009668EB">
        <w:rPr>
          <w:rStyle w:val="Emphasis"/>
          <w:rFonts w:ascii="Arial" w:eastAsiaTheme="majorEastAsia" w:hAnsi="Arial" w:cs="Arial"/>
        </w:rPr>
        <w:t>Code of Human Research Ethics</w:t>
      </w:r>
      <w:r w:rsidRPr="009668EB">
        <w:rPr>
          <w:rFonts w:ascii="Arial" w:hAnsi="Arial" w:cs="Arial"/>
        </w:rPr>
        <w:t>. Leicester: BPS.</w:t>
      </w:r>
    </w:p>
    <w:p w14:paraId="0A42550F" w14:textId="77777777" w:rsidR="009668EB" w:rsidRPr="009668EB" w:rsidRDefault="009668EB" w:rsidP="009668EB">
      <w:pPr>
        <w:pStyle w:val="font-claude-response-body"/>
        <w:rPr>
          <w:rFonts w:ascii="Arial" w:hAnsi="Arial" w:cs="Arial"/>
        </w:rPr>
      </w:pPr>
      <w:r w:rsidRPr="009668EB">
        <w:rPr>
          <w:rFonts w:ascii="Arial" w:hAnsi="Arial" w:cs="Arial"/>
        </w:rPr>
        <w:t xml:space="preserve">Bryman, A. (2016) </w:t>
      </w:r>
      <w:r w:rsidRPr="009668EB">
        <w:rPr>
          <w:rStyle w:val="Emphasis"/>
          <w:rFonts w:ascii="Arial" w:eastAsiaTheme="majorEastAsia" w:hAnsi="Arial" w:cs="Arial"/>
        </w:rPr>
        <w:t>Social Research Methods</w:t>
      </w:r>
      <w:r w:rsidRPr="009668EB">
        <w:rPr>
          <w:rFonts w:ascii="Arial" w:hAnsi="Arial" w:cs="Arial"/>
        </w:rPr>
        <w:t xml:space="preserve">. 5th </w:t>
      </w:r>
      <w:proofErr w:type="spellStart"/>
      <w:r w:rsidRPr="009668EB">
        <w:rPr>
          <w:rFonts w:ascii="Arial" w:hAnsi="Arial" w:cs="Arial"/>
        </w:rPr>
        <w:t>edn</w:t>
      </w:r>
      <w:proofErr w:type="spellEnd"/>
      <w:r w:rsidRPr="009668EB">
        <w:rPr>
          <w:rFonts w:ascii="Arial" w:hAnsi="Arial" w:cs="Arial"/>
        </w:rPr>
        <w:t>. Oxford: Oxford University Press.</w:t>
      </w:r>
    </w:p>
    <w:p w14:paraId="2DC5E5C2" w14:textId="77777777" w:rsidR="009668EB" w:rsidRPr="009668EB" w:rsidRDefault="009668EB" w:rsidP="009668EB">
      <w:pPr>
        <w:pStyle w:val="font-claude-response-body"/>
        <w:rPr>
          <w:rFonts w:ascii="Arial" w:hAnsi="Arial" w:cs="Arial"/>
        </w:rPr>
      </w:pPr>
      <w:r w:rsidRPr="009668EB">
        <w:rPr>
          <w:rFonts w:ascii="Arial" w:hAnsi="Arial" w:cs="Arial"/>
        </w:rPr>
        <w:t xml:space="preserve">Central London Community Healthcare NHS Trust (2025) </w:t>
      </w:r>
      <w:r w:rsidRPr="009668EB">
        <w:rPr>
          <w:rStyle w:val="Emphasis"/>
          <w:rFonts w:ascii="Arial" w:eastAsiaTheme="majorEastAsia" w:hAnsi="Arial" w:cs="Arial"/>
        </w:rPr>
        <w:t>DESMOND Diabetes Programme</w:t>
      </w:r>
      <w:r w:rsidRPr="009668EB">
        <w:rPr>
          <w:rFonts w:ascii="Arial" w:hAnsi="Arial" w:cs="Arial"/>
        </w:rPr>
        <w:t>. London: CLCH NHS Trust.</w:t>
      </w:r>
    </w:p>
    <w:p w14:paraId="1C0C1DFE" w14:textId="77777777" w:rsidR="009668EB" w:rsidRPr="009668EB" w:rsidRDefault="009668EB" w:rsidP="009668EB">
      <w:pPr>
        <w:pStyle w:val="font-claude-response-body"/>
        <w:rPr>
          <w:rFonts w:ascii="Arial" w:hAnsi="Arial" w:cs="Arial"/>
        </w:rPr>
      </w:pPr>
      <w:r w:rsidRPr="009668EB">
        <w:rPr>
          <w:rFonts w:ascii="Arial" w:hAnsi="Arial" w:cs="Arial"/>
        </w:rPr>
        <w:t xml:space="preserve">Chatterjee, S., </w:t>
      </w:r>
      <w:proofErr w:type="spellStart"/>
      <w:r w:rsidRPr="009668EB">
        <w:rPr>
          <w:rFonts w:ascii="Arial" w:hAnsi="Arial" w:cs="Arial"/>
        </w:rPr>
        <w:t>Khunti</w:t>
      </w:r>
      <w:proofErr w:type="spellEnd"/>
      <w:r w:rsidRPr="009668EB">
        <w:rPr>
          <w:rFonts w:ascii="Arial" w:hAnsi="Arial" w:cs="Arial"/>
        </w:rPr>
        <w:t xml:space="preserve">, K. and Davies, M.J. (2017) 'Type 2 diabetes', </w:t>
      </w:r>
      <w:r w:rsidRPr="009668EB">
        <w:rPr>
          <w:rStyle w:val="Emphasis"/>
          <w:rFonts w:ascii="Arial" w:eastAsiaTheme="majorEastAsia" w:hAnsi="Arial" w:cs="Arial"/>
        </w:rPr>
        <w:t>The Lancet</w:t>
      </w:r>
      <w:r w:rsidRPr="009668EB">
        <w:rPr>
          <w:rFonts w:ascii="Arial" w:hAnsi="Arial" w:cs="Arial"/>
        </w:rPr>
        <w:t>, 389(10085), pp.2239–2251.</w:t>
      </w:r>
    </w:p>
    <w:p w14:paraId="17E75CF0" w14:textId="77777777" w:rsidR="009668EB" w:rsidRPr="009668EB" w:rsidRDefault="009668EB" w:rsidP="009668EB">
      <w:pPr>
        <w:pStyle w:val="font-claude-response-body"/>
        <w:rPr>
          <w:rFonts w:ascii="Arial" w:hAnsi="Arial" w:cs="Arial"/>
        </w:rPr>
      </w:pPr>
      <w:r w:rsidRPr="009668EB">
        <w:rPr>
          <w:rFonts w:ascii="Arial" w:hAnsi="Arial" w:cs="Arial"/>
        </w:rPr>
        <w:t xml:space="preserve">Diabetes UK (2023) </w:t>
      </w:r>
      <w:r w:rsidRPr="009668EB">
        <w:rPr>
          <w:rStyle w:val="Emphasis"/>
          <w:rFonts w:ascii="Arial" w:eastAsiaTheme="majorEastAsia" w:hAnsi="Arial" w:cs="Arial"/>
        </w:rPr>
        <w:t>Diabetes prevalence estimates</w:t>
      </w:r>
      <w:r w:rsidRPr="009668EB">
        <w:rPr>
          <w:rFonts w:ascii="Arial" w:hAnsi="Arial" w:cs="Arial"/>
        </w:rPr>
        <w:t>. London: Diabetes UK.</w:t>
      </w:r>
    </w:p>
    <w:p w14:paraId="21E5177D" w14:textId="77777777" w:rsidR="009668EB" w:rsidRPr="009668EB" w:rsidRDefault="009668EB" w:rsidP="009668EB">
      <w:pPr>
        <w:pStyle w:val="font-claude-response-body"/>
        <w:rPr>
          <w:rFonts w:ascii="Arial" w:hAnsi="Arial" w:cs="Arial"/>
        </w:rPr>
      </w:pPr>
      <w:r w:rsidRPr="009668EB">
        <w:rPr>
          <w:rFonts w:ascii="Arial" w:hAnsi="Arial" w:cs="Arial"/>
        </w:rPr>
        <w:t xml:space="preserve">Engel, G.L. (1977) 'The need for a new medical model: a challenge for biomedicine', </w:t>
      </w:r>
      <w:r w:rsidRPr="009668EB">
        <w:rPr>
          <w:rStyle w:val="Emphasis"/>
          <w:rFonts w:ascii="Arial" w:eastAsiaTheme="majorEastAsia" w:hAnsi="Arial" w:cs="Arial"/>
        </w:rPr>
        <w:t>Science</w:t>
      </w:r>
      <w:r w:rsidRPr="009668EB">
        <w:rPr>
          <w:rFonts w:ascii="Arial" w:hAnsi="Arial" w:cs="Arial"/>
        </w:rPr>
        <w:t>, 196(4286), pp.129–136.</w:t>
      </w:r>
    </w:p>
    <w:p w14:paraId="6CC2E801" w14:textId="77777777" w:rsidR="009668EB" w:rsidRPr="009668EB" w:rsidRDefault="009668EB" w:rsidP="009668EB">
      <w:pPr>
        <w:pStyle w:val="font-claude-response-body"/>
        <w:rPr>
          <w:rFonts w:ascii="Arial" w:hAnsi="Arial" w:cs="Arial"/>
        </w:rPr>
      </w:pPr>
      <w:r w:rsidRPr="009668EB">
        <w:rPr>
          <w:rFonts w:ascii="Arial" w:hAnsi="Arial" w:cs="Arial"/>
        </w:rPr>
        <w:t xml:space="preserve">Harrow Borough Based Partnership (2025) </w:t>
      </w:r>
      <w:r w:rsidRPr="009668EB">
        <w:rPr>
          <w:rStyle w:val="Emphasis"/>
          <w:rFonts w:ascii="Arial" w:eastAsiaTheme="majorEastAsia" w:hAnsi="Arial" w:cs="Arial"/>
        </w:rPr>
        <w:t>About us</w:t>
      </w:r>
      <w:r w:rsidRPr="009668EB">
        <w:rPr>
          <w:rFonts w:ascii="Arial" w:hAnsi="Arial" w:cs="Arial"/>
        </w:rPr>
        <w:t>. London: Harrow Borough Based Partnership.</w:t>
      </w:r>
    </w:p>
    <w:p w14:paraId="0C4B6727" w14:textId="77777777" w:rsidR="009668EB" w:rsidRPr="009668EB" w:rsidRDefault="009668EB" w:rsidP="009668EB">
      <w:pPr>
        <w:pStyle w:val="font-claude-response-body"/>
        <w:rPr>
          <w:rFonts w:ascii="Arial" w:hAnsi="Arial" w:cs="Arial"/>
        </w:rPr>
      </w:pPr>
      <w:r w:rsidRPr="009668EB">
        <w:rPr>
          <w:rFonts w:ascii="Arial" w:hAnsi="Arial" w:cs="Arial"/>
        </w:rPr>
        <w:t xml:space="preserve">Harrow Council (2024) </w:t>
      </w:r>
      <w:r w:rsidRPr="009668EB">
        <w:rPr>
          <w:rStyle w:val="Emphasis"/>
          <w:rFonts w:ascii="Arial" w:eastAsiaTheme="majorEastAsia" w:hAnsi="Arial" w:cs="Arial"/>
        </w:rPr>
        <w:t>London Borough of Harrow Local Plan Integrated Impact Assessment</w:t>
      </w:r>
      <w:r w:rsidRPr="009668EB">
        <w:rPr>
          <w:rFonts w:ascii="Arial" w:hAnsi="Arial" w:cs="Arial"/>
        </w:rPr>
        <w:t>. London: Harrow Council.</w:t>
      </w:r>
    </w:p>
    <w:p w14:paraId="43C0EF27" w14:textId="77777777" w:rsidR="009668EB" w:rsidRPr="009668EB" w:rsidRDefault="009668EB" w:rsidP="009668EB">
      <w:pPr>
        <w:pStyle w:val="font-claude-response-body"/>
        <w:rPr>
          <w:rFonts w:ascii="Arial" w:hAnsi="Arial" w:cs="Arial"/>
        </w:rPr>
      </w:pPr>
      <w:r w:rsidRPr="009668EB">
        <w:rPr>
          <w:rFonts w:ascii="Arial" w:hAnsi="Arial" w:cs="Arial"/>
        </w:rPr>
        <w:t xml:space="preserve">Harrow Council (2025) </w:t>
      </w:r>
      <w:r w:rsidRPr="009668EB">
        <w:rPr>
          <w:rStyle w:val="Emphasis"/>
          <w:rFonts w:ascii="Arial" w:eastAsiaTheme="majorEastAsia" w:hAnsi="Arial" w:cs="Arial"/>
        </w:rPr>
        <w:t>NHS health checks – London Borough of Harrow</w:t>
      </w:r>
      <w:r w:rsidRPr="009668EB">
        <w:rPr>
          <w:rFonts w:ascii="Arial" w:hAnsi="Arial" w:cs="Arial"/>
        </w:rPr>
        <w:t>. London: Harrow Council.</w:t>
      </w:r>
    </w:p>
    <w:p w14:paraId="5BA3768B" w14:textId="77777777" w:rsidR="009668EB" w:rsidRPr="009668EB" w:rsidRDefault="009668EB" w:rsidP="009668EB">
      <w:pPr>
        <w:pStyle w:val="font-claude-response-body"/>
        <w:rPr>
          <w:rFonts w:ascii="Arial" w:hAnsi="Arial" w:cs="Arial"/>
        </w:rPr>
      </w:pPr>
      <w:r w:rsidRPr="009668EB">
        <w:rPr>
          <w:rFonts w:ascii="Arial" w:hAnsi="Arial" w:cs="Arial"/>
        </w:rPr>
        <w:t xml:space="preserve">Huang, E.S., Liu, J.Y., </w:t>
      </w:r>
      <w:proofErr w:type="spellStart"/>
      <w:r w:rsidRPr="009668EB">
        <w:rPr>
          <w:rFonts w:ascii="Arial" w:hAnsi="Arial" w:cs="Arial"/>
        </w:rPr>
        <w:t>Moffet</w:t>
      </w:r>
      <w:proofErr w:type="spellEnd"/>
      <w:r w:rsidRPr="009668EB">
        <w:rPr>
          <w:rFonts w:ascii="Arial" w:hAnsi="Arial" w:cs="Arial"/>
        </w:rPr>
        <w:t>, H.H., John, P.M. and Karter, A.J. (2014) '</w:t>
      </w:r>
      <w:proofErr w:type="spellStart"/>
      <w:r w:rsidRPr="009668EB">
        <w:rPr>
          <w:rFonts w:ascii="Arial" w:hAnsi="Arial" w:cs="Arial"/>
        </w:rPr>
        <w:t>Glycemic</w:t>
      </w:r>
      <w:proofErr w:type="spellEnd"/>
      <w:r w:rsidRPr="009668EB">
        <w:rPr>
          <w:rFonts w:ascii="Arial" w:hAnsi="Arial" w:cs="Arial"/>
        </w:rPr>
        <w:t xml:space="preserve"> control, complications, and death in older diabetic patients', </w:t>
      </w:r>
      <w:r w:rsidRPr="009668EB">
        <w:rPr>
          <w:rStyle w:val="Emphasis"/>
          <w:rFonts w:ascii="Arial" w:eastAsiaTheme="majorEastAsia" w:hAnsi="Arial" w:cs="Arial"/>
        </w:rPr>
        <w:t>Journal of the American Geriatrics Society</w:t>
      </w:r>
      <w:r w:rsidRPr="009668EB">
        <w:rPr>
          <w:rFonts w:ascii="Arial" w:hAnsi="Arial" w:cs="Arial"/>
        </w:rPr>
        <w:t>, 62(7), pp.1320–1334.</w:t>
      </w:r>
    </w:p>
    <w:p w14:paraId="2907A85C" w14:textId="77777777" w:rsidR="009668EB" w:rsidRPr="009668EB" w:rsidRDefault="009668EB" w:rsidP="009668EB">
      <w:pPr>
        <w:pStyle w:val="font-claude-response-body"/>
        <w:rPr>
          <w:rFonts w:ascii="Arial" w:hAnsi="Arial" w:cs="Arial"/>
        </w:rPr>
      </w:pPr>
      <w:r w:rsidRPr="009668EB">
        <w:rPr>
          <w:rFonts w:ascii="Arial" w:hAnsi="Arial" w:cs="Arial"/>
        </w:rPr>
        <w:t xml:space="preserve">Li, C., Ford, E.S., Zhao, G., </w:t>
      </w:r>
      <w:proofErr w:type="spellStart"/>
      <w:r w:rsidRPr="009668EB">
        <w:rPr>
          <w:rFonts w:ascii="Arial" w:hAnsi="Arial" w:cs="Arial"/>
        </w:rPr>
        <w:t>Strine</w:t>
      </w:r>
      <w:proofErr w:type="spellEnd"/>
      <w:r w:rsidRPr="009668EB">
        <w:rPr>
          <w:rFonts w:ascii="Arial" w:hAnsi="Arial" w:cs="Arial"/>
        </w:rPr>
        <w:t xml:space="preserve">, T.W., </w:t>
      </w:r>
      <w:proofErr w:type="spellStart"/>
      <w:r w:rsidRPr="009668EB">
        <w:rPr>
          <w:rFonts w:ascii="Arial" w:hAnsi="Arial" w:cs="Arial"/>
        </w:rPr>
        <w:t>Mokdad</w:t>
      </w:r>
      <w:proofErr w:type="spellEnd"/>
      <w:r w:rsidRPr="009668EB">
        <w:rPr>
          <w:rFonts w:ascii="Arial" w:hAnsi="Arial" w:cs="Arial"/>
        </w:rPr>
        <w:t xml:space="preserve">, A.H. (2012) 'Diabetes and functional decline in older adults', </w:t>
      </w:r>
      <w:r w:rsidRPr="009668EB">
        <w:rPr>
          <w:rStyle w:val="Emphasis"/>
          <w:rFonts w:ascii="Arial" w:eastAsiaTheme="majorEastAsia" w:hAnsi="Arial" w:cs="Arial"/>
        </w:rPr>
        <w:t>Diabetes Care</w:t>
      </w:r>
      <w:r w:rsidRPr="009668EB">
        <w:rPr>
          <w:rFonts w:ascii="Arial" w:hAnsi="Arial" w:cs="Arial"/>
        </w:rPr>
        <w:t>, 35(10), pp.2055–2061.</w:t>
      </w:r>
    </w:p>
    <w:p w14:paraId="25D2A08C" w14:textId="77777777" w:rsidR="009668EB" w:rsidRPr="009668EB" w:rsidRDefault="009668EB" w:rsidP="009668EB">
      <w:pPr>
        <w:pStyle w:val="font-claude-response-body"/>
        <w:rPr>
          <w:rFonts w:ascii="Arial" w:hAnsi="Arial" w:cs="Arial"/>
        </w:rPr>
      </w:pPr>
      <w:r w:rsidRPr="009668EB">
        <w:rPr>
          <w:rFonts w:ascii="Arial" w:hAnsi="Arial" w:cs="Arial"/>
        </w:rPr>
        <w:t xml:space="preserve">Lucia, S., </w:t>
      </w:r>
      <w:proofErr w:type="spellStart"/>
      <w:r w:rsidRPr="009668EB">
        <w:rPr>
          <w:rFonts w:ascii="Arial" w:hAnsi="Arial" w:cs="Arial"/>
        </w:rPr>
        <w:t>Fornaro</w:t>
      </w:r>
      <w:proofErr w:type="spellEnd"/>
      <w:r w:rsidRPr="009668EB">
        <w:rPr>
          <w:rFonts w:ascii="Arial" w:hAnsi="Arial" w:cs="Arial"/>
        </w:rPr>
        <w:t xml:space="preserve">, S., Federici, M. and </w:t>
      </w:r>
      <w:proofErr w:type="spellStart"/>
      <w:r w:rsidRPr="009668EB">
        <w:rPr>
          <w:rFonts w:ascii="Arial" w:hAnsi="Arial" w:cs="Arial"/>
        </w:rPr>
        <w:t>Rumiati</w:t>
      </w:r>
      <w:proofErr w:type="spellEnd"/>
      <w:r w:rsidRPr="009668EB">
        <w:rPr>
          <w:rFonts w:ascii="Arial" w:hAnsi="Arial" w:cs="Arial"/>
        </w:rPr>
        <w:t xml:space="preserve">, R.I. (2025) 'The impact of type 2 diabetes on aging: multidimensional approaches to preserve cognitive health', </w:t>
      </w:r>
      <w:r w:rsidRPr="009668EB">
        <w:rPr>
          <w:rStyle w:val="Emphasis"/>
          <w:rFonts w:ascii="Arial" w:eastAsiaTheme="majorEastAsia" w:hAnsi="Arial" w:cs="Arial"/>
        </w:rPr>
        <w:t xml:space="preserve">Acta </w:t>
      </w:r>
      <w:proofErr w:type="spellStart"/>
      <w:r w:rsidRPr="009668EB">
        <w:rPr>
          <w:rStyle w:val="Emphasis"/>
          <w:rFonts w:ascii="Arial" w:eastAsiaTheme="majorEastAsia" w:hAnsi="Arial" w:cs="Arial"/>
        </w:rPr>
        <w:t>Diabetologica</w:t>
      </w:r>
      <w:proofErr w:type="spellEnd"/>
      <w:r w:rsidRPr="009668EB">
        <w:rPr>
          <w:rFonts w:ascii="Arial" w:hAnsi="Arial" w:cs="Arial"/>
        </w:rPr>
        <w:t>, 62(12), pp.2223–2234.</w:t>
      </w:r>
    </w:p>
    <w:p w14:paraId="1C65ED82" w14:textId="77777777" w:rsidR="009668EB" w:rsidRPr="009668EB" w:rsidRDefault="009668EB" w:rsidP="009668EB">
      <w:pPr>
        <w:pStyle w:val="font-claude-response-body"/>
        <w:rPr>
          <w:rFonts w:ascii="Arial" w:hAnsi="Arial" w:cs="Arial"/>
        </w:rPr>
      </w:pPr>
      <w:r w:rsidRPr="009668EB">
        <w:rPr>
          <w:rFonts w:ascii="Arial" w:hAnsi="Arial" w:cs="Arial"/>
        </w:rPr>
        <w:t xml:space="preserve">NHS England (2025) </w:t>
      </w:r>
      <w:r w:rsidRPr="009668EB">
        <w:rPr>
          <w:rStyle w:val="Emphasis"/>
          <w:rFonts w:ascii="Arial" w:eastAsiaTheme="majorEastAsia" w:hAnsi="Arial" w:cs="Arial"/>
        </w:rPr>
        <w:t>London Diabetes Clinical Network</w:t>
      </w:r>
      <w:r w:rsidRPr="009668EB">
        <w:rPr>
          <w:rFonts w:ascii="Arial" w:hAnsi="Arial" w:cs="Arial"/>
        </w:rPr>
        <w:t>. London: NHS England.</w:t>
      </w:r>
    </w:p>
    <w:p w14:paraId="0D55551E" w14:textId="77777777" w:rsidR="009668EB" w:rsidRPr="009668EB" w:rsidRDefault="009668EB" w:rsidP="009668EB">
      <w:pPr>
        <w:pStyle w:val="font-claude-response-body"/>
        <w:rPr>
          <w:rFonts w:ascii="Arial" w:hAnsi="Arial" w:cs="Arial"/>
        </w:rPr>
      </w:pPr>
      <w:r w:rsidRPr="009668EB">
        <w:rPr>
          <w:rFonts w:ascii="Arial" w:hAnsi="Arial" w:cs="Arial"/>
        </w:rPr>
        <w:t xml:space="preserve">National Institute for Health and Care Excellence (2012) </w:t>
      </w:r>
      <w:r w:rsidRPr="009668EB">
        <w:rPr>
          <w:rStyle w:val="Emphasis"/>
          <w:rFonts w:ascii="Arial" w:eastAsiaTheme="majorEastAsia" w:hAnsi="Arial" w:cs="Arial"/>
        </w:rPr>
        <w:t>Type 2 diabetes: prevention in people at high risk (PH38)</w:t>
      </w:r>
      <w:r w:rsidRPr="009668EB">
        <w:rPr>
          <w:rFonts w:ascii="Arial" w:hAnsi="Arial" w:cs="Arial"/>
        </w:rPr>
        <w:t>. London: NICE.</w:t>
      </w:r>
    </w:p>
    <w:p w14:paraId="1DAF1EEA" w14:textId="77777777" w:rsidR="009668EB" w:rsidRPr="009668EB" w:rsidRDefault="009668EB" w:rsidP="009668EB">
      <w:pPr>
        <w:pStyle w:val="font-claude-response-body"/>
        <w:rPr>
          <w:rFonts w:ascii="Arial" w:hAnsi="Arial" w:cs="Arial"/>
        </w:rPr>
      </w:pPr>
      <w:r w:rsidRPr="009668EB">
        <w:rPr>
          <w:rFonts w:ascii="Arial" w:hAnsi="Arial" w:cs="Arial"/>
        </w:rPr>
        <w:lastRenderedPageBreak/>
        <w:t xml:space="preserve">National Institute for Health and Care Excellence (2022) </w:t>
      </w:r>
      <w:r w:rsidRPr="009668EB">
        <w:rPr>
          <w:rStyle w:val="Emphasis"/>
          <w:rFonts w:ascii="Arial" w:eastAsiaTheme="majorEastAsia" w:hAnsi="Arial" w:cs="Arial"/>
        </w:rPr>
        <w:t>Type 2 diabetes in adults: management (NG28)</w:t>
      </w:r>
      <w:r w:rsidRPr="009668EB">
        <w:rPr>
          <w:rFonts w:ascii="Arial" w:hAnsi="Arial" w:cs="Arial"/>
        </w:rPr>
        <w:t>. London: NICE.</w:t>
      </w:r>
    </w:p>
    <w:p w14:paraId="6241C7A1" w14:textId="77777777" w:rsidR="009668EB" w:rsidRPr="009668EB" w:rsidRDefault="009668EB" w:rsidP="009668EB">
      <w:pPr>
        <w:pStyle w:val="font-claude-response-body"/>
        <w:rPr>
          <w:rFonts w:ascii="Arial" w:hAnsi="Arial" w:cs="Arial"/>
        </w:rPr>
      </w:pPr>
      <w:proofErr w:type="spellStart"/>
      <w:r w:rsidRPr="009668EB">
        <w:rPr>
          <w:rFonts w:ascii="Arial" w:hAnsi="Arial" w:cs="Arial"/>
        </w:rPr>
        <w:t>Popay</w:t>
      </w:r>
      <w:proofErr w:type="spellEnd"/>
      <w:r w:rsidRPr="009668EB">
        <w:rPr>
          <w:rFonts w:ascii="Arial" w:hAnsi="Arial" w:cs="Arial"/>
        </w:rPr>
        <w:t xml:space="preserve">, J., Roberts, H., Sowden, A., </w:t>
      </w:r>
      <w:proofErr w:type="spellStart"/>
      <w:r w:rsidRPr="009668EB">
        <w:rPr>
          <w:rFonts w:ascii="Arial" w:hAnsi="Arial" w:cs="Arial"/>
        </w:rPr>
        <w:t>Petticrew</w:t>
      </w:r>
      <w:proofErr w:type="spellEnd"/>
      <w:r w:rsidRPr="009668EB">
        <w:rPr>
          <w:rFonts w:ascii="Arial" w:hAnsi="Arial" w:cs="Arial"/>
        </w:rPr>
        <w:t xml:space="preserve">, M., Arai, L., Rodgers, M. and Britten, N. (2006) </w:t>
      </w:r>
      <w:r w:rsidRPr="009668EB">
        <w:rPr>
          <w:rStyle w:val="Emphasis"/>
          <w:rFonts w:ascii="Arial" w:eastAsiaTheme="majorEastAsia" w:hAnsi="Arial" w:cs="Arial"/>
        </w:rPr>
        <w:t>Guidance on the conduct of narrative synthesis in systematic reviews</w:t>
      </w:r>
      <w:r w:rsidRPr="009668EB">
        <w:rPr>
          <w:rFonts w:ascii="Arial" w:hAnsi="Arial" w:cs="Arial"/>
        </w:rPr>
        <w:t>. Lancaster: Lancaster University.</w:t>
      </w:r>
    </w:p>
    <w:p w14:paraId="1094566A" w14:textId="77777777" w:rsidR="009668EB" w:rsidRPr="009668EB" w:rsidRDefault="009668EB" w:rsidP="009668EB">
      <w:pPr>
        <w:pStyle w:val="font-claude-response-body"/>
        <w:rPr>
          <w:rFonts w:ascii="Arial" w:hAnsi="Arial" w:cs="Arial"/>
        </w:rPr>
      </w:pPr>
      <w:r w:rsidRPr="009668EB">
        <w:rPr>
          <w:rFonts w:ascii="Arial" w:hAnsi="Arial" w:cs="Arial"/>
        </w:rPr>
        <w:t xml:space="preserve">Public Health England (2020) </w:t>
      </w:r>
      <w:r w:rsidRPr="009668EB">
        <w:rPr>
          <w:rStyle w:val="Emphasis"/>
          <w:rFonts w:ascii="Arial" w:eastAsiaTheme="majorEastAsia" w:hAnsi="Arial" w:cs="Arial"/>
        </w:rPr>
        <w:t>Local health profiles: Harrow</w:t>
      </w:r>
      <w:r w:rsidRPr="009668EB">
        <w:rPr>
          <w:rFonts w:ascii="Arial" w:hAnsi="Arial" w:cs="Arial"/>
        </w:rPr>
        <w:t>. London: PHE.</w:t>
      </w:r>
    </w:p>
    <w:p w14:paraId="25C3DBB4" w14:textId="77777777" w:rsidR="009668EB" w:rsidRPr="009668EB" w:rsidRDefault="009668EB" w:rsidP="009668EB">
      <w:pPr>
        <w:pStyle w:val="font-claude-response-body"/>
        <w:rPr>
          <w:rFonts w:ascii="Arial" w:hAnsi="Arial" w:cs="Arial"/>
        </w:rPr>
      </w:pPr>
      <w:r w:rsidRPr="009668EB">
        <w:rPr>
          <w:rFonts w:ascii="Arial" w:hAnsi="Arial" w:cs="Arial"/>
        </w:rPr>
        <w:t xml:space="preserve">Schram, M.T., Baan, C.A. and </w:t>
      </w:r>
      <w:proofErr w:type="spellStart"/>
      <w:r w:rsidRPr="009668EB">
        <w:rPr>
          <w:rFonts w:ascii="Arial" w:hAnsi="Arial" w:cs="Arial"/>
        </w:rPr>
        <w:t>Pouwer</w:t>
      </w:r>
      <w:proofErr w:type="spellEnd"/>
      <w:r w:rsidRPr="009668EB">
        <w:rPr>
          <w:rFonts w:ascii="Arial" w:hAnsi="Arial" w:cs="Arial"/>
        </w:rPr>
        <w:t xml:space="preserve">, F. (2009) 'Depression and quality of life in patients with diabetes: a systematic review from the European depression in diabetes research consortium', </w:t>
      </w:r>
      <w:proofErr w:type="spellStart"/>
      <w:r w:rsidRPr="009668EB">
        <w:rPr>
          <w:rStyle w:val="Emphasis"/>
          <w:rFonts w:ascii="Arial" w:eastAsiaTheme="majorEastAsia" w:hAnsi="Arial" w:cs="Arial"/>
        </w:rPr>
        <w:t>Diabetologia</w:t>
      </w:r>
      <w:proofErr w:type="spellEnd"/>
      <w:r w:rsidRPr="009668EB">
        <w:rPr>
          <w:rFonts w:ascii="Arial" w:hAnsi="Arial" w:cs="Arial"/>
        </w:rPr>
        <w:t>, 52(4), pp.667–675.</w:t>
      </w:r>
    </w:p>
    <w:p w14:paraId="65D04EE5" w14:textId="77777777" w:rsidR="009668EB" w:rsidRPr="009668EB" w:rsidRDefault="009668EB" w:rsidP="009668EB">
      <w:pPr>
        <w:pStyle w:val="font-claude-response-body"/>
        <w:rPr>
          <w:rFonts w:ascii="Arial" w:hAnsi="Arial" w:cs="Arial"/>
        </w:rPr>
      </w:pPr>
      <w:r w:rsidRPr="009668EB">
        <w:rPr>
          <w:rFonts w:ascii="Arial" w:hAnsi="Arial" w:cs="Arial"/>
        </w:rPr>
        <w:t>Sinclair, A., Dunning, T. and Rodriguez-</w:t>
      </w:r>
      <w:proofErr w:type="spellStart"/>
      <w:r w:rsidRPr="009668EB">
        <w:rPr>
          <w:rFonts w:ascii="Arial" w:hAnsi="Arial" w:cs="Arial"/>
        </w:rPr>
        <w:t>Mañas</w:t>
      </w:r>
      <w:proofErr w:type="spellEnd"/>
      <w:r w:rsidRPr="009668EB">
        <w:rPr>
          <w:rFonts w:ascii="Arial" w:hAnsi="Arial" w:cs="Arial"/>
        </w:rPr>
        <w:t xml:space="preserve">, L. (2020) 'Diabetes in older people: new insights and remaining challenges', </w:t>
      </w:r>
      <w:r w:rsidRPr="009668EB">
        <w:rPr>
          <w:rStyle w:val="Emphasis"/>
          <w:rFonts w:ascii="Arial" w:eastAsiaTheme="majorEastAsia" w:hAnsi="Arial" w:cs="Arial"/>
        </w:rPr>
        <w:t>The Lancet Diabetes &amp; Endocrinology</w:t>
      </w:r>
      <w:r w:rsidRPr="009668EB">
        <w:rPr>
          <w:rFonts w:ascii="Arial" w:hAnsi="Arial" w:cs="Arial"/>
        </w:rPr>
        <w:t>, 8(4), pp.346–358.</w:t>
      </w:r>
    </w:p>
    <w:p w14:paraId="036FA47A" w14:textId="77777777" w:rsidR="009668EB" w:rsidRPr="009668EB" w:rsidRDefault="009668EB" w:rsidP="009668EB">
      <w:pPr>
        <w:pStyle w:val="font-claude-response-body"/>
        <w:rPr>
          <w:rFonts w:ascii="Arial" w:hAnsi="Arial" w:cs="Arial"/>
        </w:rPr>
      </w:pPr>
      <w:r w:rsidRPr="009668EB">
        <w:rPr>
          <w:rFonts w:ascii="Arial" w:hAnsi="Arial" w:cs="Arial"/>
        </w:rPr>
        <w:t xml:space="preserve">Snoek, F.J. and Skinner, T.C. (2002) 'Psychological aspects of diabetes management', </w:t>
      </w:r>
      <w:r w:rsidRPr="009668EB">
        <w:rPr>
          <w:rStyle w:val="Emphasis"/>
          <w:rFonts w:ascii="Arial" w:eastAsiaTheme="majorEastAsia" w:hAnsi="Arial" w:cs="Arial"/>
        </w:rPr>
        <w:t>Practical Diabetes International</w:t>
      </w:r>
      <w:r w:rsidRPr="009668EB">
        <w:rPr>
          <w:rFonts w:ascii="Arial" w:hAnsi="Arial" w:cs="Arial"/>
        </w:rPr>
        <w:t>, 19(3), pp.75–77.</w:t>
      </w:r>
    </w:p>
    <w:p w14:paraId="6D058468" w14:textId="77777777" w:rsidR="009668EB" w:rsidRPr="009668EB" w:rsidRDefault="009668EB" w:rsidP="009668EB">
      <w:pPr>
        <w:pStyle w:val="font-claude-response-body"/>
        <w:rPr>
          <w:rFonts w:ascii="Arial" w:hAnsi="Arial" w:cs="Arial"/>
        </w:rPr>
      </w:pPr>
      <w:r w:rsidRPr="009668EB">
        <w:rPr>
          <w:rFonts w:ascii="Arial" w:hAnsi="Arial" w:cs="Arial"/>
        </w:rPr>
        <w:t xml:space="preserve">Strain, W.D., Hope, S.V., Green, A., Kar, P., </w:t>
      </w:r>
      <w:proofErr w:type="spellStart"/>
      <w:r w:rsidRPr="009668EB">
        <w:rPr>
          <w:rFonts w:ascii="Arial" w:hAnsi="Arial" w:cs="Arial"/>
        </w:rPr>
        <w:t>Valabhji</w:t>
      </w:r>
      <w:proofErr w:type="spellEnd"/>
      <w:r w:rsidRPr="009668EB">
        <w:rPr>
          <w:rFonts w:ascii="Arial" w:hAnsi="Arial" w:cs="Arial"/>
        </w:rPr>
        <w:t xml:space="preserve">, J. and Sinclair, A.J. (2018) 'Type 2 diabetes mellitus in older people: a brief statement of key principles of </w:t>
      </w:r>
      <w:proofErr w:type="gramStart"/>
      <w:r w:rsidRPr="009668EB">
        <w:rPr>
          <w:rFonts w:ascii="Arial" w:hAnsi="Arial" w:cs="Arial"/>
        </w:rPr>
        <w:t>modern day</w:t>
      </w:r>
      <w:proofErr w:type="gramEnd"/>
      <w:r w:rsidRPr="009668EB">
        <w:rPr>
          <w:rFonts w:ascii="Arial" w:hAnsi="Arial" w:cs="Arial"/>
        </w:rPr>
        <w:t xml:space="preserve"> management including the assessment of frailty', </w:t>
      </w:r>
      <w:r w:rsidRPr="009668EB">
        <w:rPr>
          <w:rStyle w:val="Emphasis"/>
          <w:rFonts w:ascii="Arial" w:eastAsiaTheme="majorEastAsia" w:hAnsi="Arial" w:cs="Arial"/>
        </w:rPr>
        <w:t>Diabetic Medicine</w:t>
      </w:r>
      <w:r w:rsidRPr="009668EB">
        <w:rPr>
          <w:rFonts w:ascii="Arial" w:hAnsi="Arial" w:cs="Arial"/>
        </w:rPr>
        <w:t>, 35(7), pp.838–845.</w:t>
      </w:r>
    </w:p>
    <w:p w14:paraId="07B56A71" w14:textId="77777777" w:rsidR="009668EB" w:rsidRDefault="009668EB" w:rsidP="009668EB">
      <w:pPr>
        <w:pStyle w:val="font-claude-response-body"/>
      </w:pPr>
      <w:r w:rsidRPr="009668EB">
        <w:rPr>
          <w:rFonts w:ascii="Arial" w:hAnsi="Arial" w:cs="Arial"/>
        </w:rPr>
        <w:t xml:space="preserve">World Health Organization (1948) </w:t>
      </w:r>
      <w:r w:rsidRPr="009668EB">
        <w:rPr>
          <w:rStyle w:val="Emphasis"/>
          <w:rFonts w:ascii="Arial" w:eastAsiaTheme="majorEastAsia" w:hAnsi="Arial" w:cs="Arial"/>
        </w:rPr>
        <w:t>Constitution of the World Health Organization</w:t>
      </w:r>
      <w:r w:rsidRPr="009668EB">
        <w:rPr>
          <w:rFonts w:ascii="Arial" w:hAnsi="Arial" w:cs="Arial"/>
        </w:rPr>
        <w:t>. Geneva: WHO</w:t>
      </w:r>
      <w:r>
        <w:t>.</w:t>
      </w:r>
    </w:p>
    <w:p w14:paraId="043C2B7C" w14:textId="77777777" w:rsidR="009668EB" w:rsidRPr="00064F83" w:rsidRDefault="009668EB" w:rsidP="00064F83">
      <w:pPr>
        <w:pStyle w:val="font-claude-response-body"/>
        <w:spacing w:line="360" w:lineRule="auto"/>
        <w:rPr>
          <w:rFonts w:ascii="Arial" w:hAnsi="Arial" w:cs="Arial"/>
        </w:rPr>
      </w:pPr>
    </w:p>
    <w:p w14:paraId="5AC49DA1" w14:textId="77777777" w:rsidR="00064F83" w:rsidRPr="00064F83" w:rsidRDefault="00064F83" w:rsidP="00064F83">
      <w:pPr>
        <w:pStyle w:val="font-claude-response-body"/>
        <w:spacing w:line="360" w:lineRule="auto"/>
        <w:rPr>
          <w:rFonts w:ascii="Arial" w:hAnsi="Arial" w:cs="Arial"/>
        </w:rPr>
      </w:pPr>
    </w:p>
    <w:p w14:paraId="50A36D25" w14:textId="77777777" w:rsidR="00C13B3A" w:rsidRDefault="00C13B3A" w:rsidP="00801CAA"/>
    <w:sectPr w:rsidR="00C13B3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9A82A5" w14:textId="77777777" w:rsidR="0088133D" w:rsidRDefault="0088133D" w:rsidP="008C2FDF">
      <w:pPr>
        <w:spacing w:after="0" w:line="240" w:lineRule="auto"/>
      </w:pPr>
      <w:r>
        <w:separator/>
      </w:r>
    </w:p>
  </w:endnote>
  <w:endnote w:type="continuationSeparator" w:id="0">
    <w:p w14:paraId="0F66806E" w14:textId="77777777" w:rsidR="0088133D" w:rsidRDefault="0088133D" w:rsidP="008C2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057380"/>
      <w:docPartObj>
        <w:docPartGallery w:val="Page Numbers (Bottom of Page)"/>
        <w:docPartUnique/>
      </w:docPartObj>
    </w:sdtPr>
    <w:sdtEndPr>
      <w:rPr>
        <w:noProof/>
      </w:rPr>
    </w:sdtEndPr>
    <w:sdtContent>
      <w:p w14:paraId="18118B0E" w14:textId="301E65C3" w:rsidR="008C2FDF" w:rsidRDefault="008C2F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F6FF47" w14:textId="77777777" w:rsidR="008C2FDF" w:rsidRDefault="008C2F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A140FA" w14:textId="77777777" w:rsidR="0088133D" w:rsidRDefault="0088133D" w:rsidP="008C2FDF">
      <w:pPr>
        <w:spacing w:after="0" w:line="240" w:lineRule="auto"/>
      </w:pPr>
      <w:r>
        <w:separator/>
      </w:r>
    </w:p>
  </w:footnote>
  <w:footnote w:type="continuationSeparator" w:id="0">
    <w:p w14:paraId="10EC17C9" w14:textId="77777777" w:rsidR="0088133D" w:rsidRDefault="0088133D" w:rsidP="008C2FD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0F2ED6"/>
    <w:multiLevelType w:val="multilevel"/>
    <w:tmpl w:val="29C82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A9F0206"/>
    <w:multiLevelType w:val="multilevel"/>
    <w:tmpl w:val="BFA6D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D1F5CED"/>
    <w:multiLevelType w:val="multilevel"/>
    <w:tmpl w:val="8C32D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1CAA"/>
    <w:rsid w:val="00005C8F"/>
    <w:rsid w:val="00064F83"/>
    <w:rsid w:val="001108AF"/>
    <w:rsid w:val="00147520"/>
    <w:rsid w:val="00181419"/>
    <w:rsid w:val="002435E5"/>
    <w:rsid w:val="002B5BB2"/>
    <w:rsid w:val="003023BB"/>
    <w:rsid w:val="003D4EB6"/>
    <w:rsid w:val="00801CAA"/>
    <w:rsid w:val="0088133D"/>
    <w:rsid w:val="008C2FDF"/>
    <w:rsid w:val="008F32E0"/>
    <w:rsid w:val="009668EB"/>
    <w:rsid w:val="00AB7DA7"/>
    <w:rsid w:val="00B91C40"/>
    <w:rsid w:val="00C13B3A"/>
    <w:rsid w:val="00CC156E"/>
    <w:rsid w:val="00F06D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1936E"/>
  <w15:chartTrackingRefBased/>
  <w15:docId w15:val="{E594C0C2-F430-4D03-9E05-BF5F2B594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1CAA"/>
  </w:style>
  <w:style w:type="paragraph" w:styleId="Heading1">
    <w:name w:val="heading 1"/>
    <w:basedOn w:val="Normal"/>
    <w:next w:val="Normal"/>
    <w:link w:val="Heading1Char"/>
    <w:uiPriority w:val="9"/>
    <w:qFormat/>
    <w:rsid w:val="00801C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814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C13B3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801CA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1CAA"/>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01C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1CAA"/>
    <w:pPr>
      <w:outlineLvl w:val="9"/>
    </w:pPr>
    <w:rPr>
      <w:lang w:val="en-US"/>
    </w:rPr>
  </w:style>
  <w:style w:type="paragraph" w:styleId="TOC1">
    <w:name w:val="toc 1"/>
    <w:basedOn w:val="Normal"/>
    <w:next w:val="Normal"/>
    <w:autoRedefine/>
    <w:uiPriority w:val="39"/>
    <w:unhideWhenUsed/>
    <w:rsid w:val="00801CAA"/>
    <w:pPr>
      <w:spacing w:after="100"/>
    </w:pPr>
  </w:style>
  <w:style w:type="paragraph" w:styleId="TOC2">
    <w:name w:val="toc 2"/>
    <w:basedOn w:val="Normal"/>
    <w:next w:val="Normal"/>
    <w:autoRedefine/>
    <w:uiPriority w:val="39"/>
    <w:unhideWhenUsed/>
    <w:rsid w:val="00801CAA"/>
    <w:pPr>
      <w:spacing w:after="100"/>
      <w:ind w:left="220"/>
    </w:pPr>
  </w:style>
  <w:style w:type="paragraph" w:styleId="TOC3">
    <w:name w:val="toc 3"/>
    <w:basedOn w:val="Normal"/>
    <w:next w:val="Normal"/>
    <w:autoRedefine/>
    <w:uiPriority w:val="39"/>
    <w:unhideWhenUsed/>
    <w:rsid w:val="00801CAA"/>
    <w:pPr>
      <w:spacing w:after="100"/>
      <w:ind w:left="440"/>
    </w:pPr>
  </w:style>
  <w:style w:type="character" w:styleId="Hyperlink">
    <w:name w:val="Hyperlink"/>
    <w:basedOn w:val="DefaultParagraphFont"/>
    <w:uiPriority w:val="99"/>
    <w:unhideWhenUsed/>
    <w:rsid w:val="00801CAA"/>
    <w:rPr>
      <w:color w:val="0563C1" w:themeColor="hyperlink"/>
      <w:u w:val="single"/>
    </w:rPr>
  </w:style>
  <w:style w:type="paragraph" w:customStyle="1" w:styleId="font-claude-response-body">
    <w:name w:val="font-claude-response-body"/>
    <w:basedOn w:val="Normal"/>
    <w:rsid w:val="00801C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81419"/>
    <w:rPr>
      <w:i/>
      <w:iCs/>
    </w:rPr>
  </w:style>
  <w:style w:type="character" w:customStyle="1" w:styleId="Heading2Char">
    <w:name w:val="Heading 2 Char"/>
    <w:basedOn w:val="DefaultParagraphFont"/>
    <w:link w:val="Heading2"/>
    <w:uiPriority w:val="9"/>
    <w:semiHidden/>
    <w:rsid w:val="00181419"/>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B91C40"/>
    <w:rPr>
      <w:b/>
      <w:bCs/>
    </w:rPr>
  </w:style>
  <w:style w:type="paragraph" w:customStyle="1" w:styleId="whitespace-normal">
    <w:name w:val="whitespace-normal"/>
    <w:basedOn w:val="Normal"/>
    <w:rsid w:val="00B91C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91C40"/>
    <w:pPr>
      <w:ind w:left="720"/>
      <w:contextualSpacing/>
    </w:pPr>
  </w:style>
  <w:style w:type="table" w:styleId="TableGrid">
    <w:name w:val="Table Grid"/>
    <w:basedOn w:val="TableNormal"/>
    <w:uiPriority w:val="39"/>
    <w:rsid w:val="00005C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C13B3A"/>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8C2F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FDF"/>
  </w:style>
  <w:style w:type="paragraph" w:styleId="Footer">
    <w:name w:val="footer"/>
    <w:basedOn w:val="Normal"/>
    <w:link w:val="FooterChar"/>
    <w:uiPriority w:val="99"/>
    <w:unhideWhenUsed/>
    <w:rsid w:val="008C2F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29182">
      <w:bodyDiv w:val="1"/>
      <w:marLeft w:val="0"/>
      <w:marRight w:val="0"/>
      <w:marTop w:val="0"/>
      <w:marBottom w:val="0"/>
      <w:divBdr>
        <w:top w:val="none" w:sz="0" w:space="0" w:color="auto"/>
        <w:left w:val="none" w:sz="0" w:space="0" w:color="auto"/>
        <w:bottom w:val="none" w:sz="0" w:space="0" w:color="auto"/>
        <w:right w:val="none" w:sz="0" w:space="0" w:color="auto"/>
      </w:divBdr>
    </w:div>
    <w:div w:id="135953168">
      <w:bodyDiv w:val="1"/>
      <w:marLeft w:val="0"/>
      <w:marRight w:val="0"/>
      <w:marTop w:val="0"/>
      <w:marBottom w:val="0"/>
      <w:divBdr>
        <w:top w:val="none" w:sz="0" w:space="0" w:color="auto"/>
        <w:left w:val="none" w:sz="0" w:space="0" w:color="auto"/>
        <w:bottom w:val="none" w:sz="0" w:space="0" w:color="auto"/>
        <w:right w:val="none" w:sz="0" w:space="0" w:color="auto"/>
      </w:divBdr>
    </w:div>
    <w:div w:id="161052301">
      <w:bodyDiv w:val="1"/>
      <w:marLeft w:val="0"/>
      <w:marRight w:val="0"/>
      <w:marTop w:val="0"/>
      <w:marBottom w:val="0"/>
      <w:divBdr>
        <w:top w:val="none" w:sz="0" w:space="0" w:color="auto"/>
        <w:left w:val="none" w:sz="0" w:space="0" w:color="auto"/>
        <w:bottom w:val="none" w:sz="0" w:space="0" w:color="auto"/>
        <w:right w:val="none" w:sz="0" w:space="0" w:color="auto"/>
      </w:divBdr>
    </w:div>
    <w:div w:id="353072325">
      <w:bodyDiv w:val="1"/>
      <w:marLeft w:val="0"/>
      <w:marRight w:val="0"/>
      <w:marTop w:val="0"/>
      <w:marBottom w:val="0"/>
      <w:divBdr>
        <w:top w:val="none" w:sz="0" w:space="0" w:color="auto"/>
        <w:left w:val="none" w:sz="0" w:space="0" w:color="auto"/>
        <w:bottom w:val="none" w:sz="0" w:space="0" w:color="auto"/>
        <w:right w:val="none" w:sz="0" w:space="0" w:color="auto"/>
      </w:divBdr>
    </w:div>
    <w:div w:id="682510576">
      <w:bodyDiv w:val="1"/>
      <w:marLeft w:val="0"/>
      <w:marRight w:val="0"/>
      <w:marTop w:val="0"/>
      <w:marBottom w:val="0"/>
      <w:divBdr>
        <w:top w:val="none" w:sz="0" w:space="0" w:color="auto"/>
        <w:left w:val="none" w:sz="0" w:space="0" w:color="auto"/>
        <w:bottom w:val="none" w:sz="0" w:space="0" w:color="auto"/>
        <w:right w:val="none" w:sz="0" w:space="0" w:color="auto"/>
      </w:divBdr>
    </w:div>
    <w:div w:id="801268101">
      <w:bodyDiv w:val="1"/>
      <w:marLeft w:val="0"/>
      <w:marRight w:val="0"/>
      <w:marTop w:val="0"/>
      <w:marBottom w:val="0"/>
      <w:divBdr>
        <w:top w:val="none" w:sz="0" w:space="0" w:color="auto"/>
        <w:left w:val="none" w:sz="0" w:space="0" w:color="auto"/>
        <w:bottom w:val="none" w:sz="0" w:space="0" w:color="auto"/>
        <w:right w:val="none" w:sz="0" w:space="0" w:color="auto"/>
      </w:divBdr>
    </w:div>
    <w:div w:id="991984863">
      <w:bodyDiv w:val="1"/>
      <w:marLeft w:val="0"/>
      <w:marRight w:val="0"/>
      <w:marTop w:val="0"/>
      <w:marBottom w:val="0"/>
      <w:divBdr>
        <w:top w:val="none" w:sz="0" w:space="0" w:color="auto"/>
        <w:left w:val="none" w:sz="0" w:space="0" w:color="auto"/>
        <w:bottom w:val="none" w:sz="0" w:space="0" w:color="auto"/>
        <w:right w:val="none" w:sz="0" w:space="0" w:color="auto"/>
      </w:divBdr>
    </w:div>
    <w:div w:id="1011027922">
      <w:bodyDiv w:val="1"/>
      <w:marLeft w:val="0"/>
      <w:marRight w:val="0"/>
      <w:marTop w:val="0"/>
      <w:marBottom w:val="0"/>
      <w:divBdr>
        <w:top w:val="none" w:sz="0" w:space="0" w:color="auto"/>
        <w:left w:val="none" w:sz="0" w:space="0" w:color="auto"/>
        <w:bottom w:val="none" w:sz="0" w:space="0" w:color="auto"/>
        <w:right w:val="none" w:sz="0" w:space="0" w:color="auto"/>
      </w:divBdr>
    </w:div>
    <w:div w:id="1016611822">
      <w:bodyDiv w:val="1"/>
      <w:marLeft w:val="0"/>
      <w:marRight w:val="0"/>
      <w:marTop w:val="0"/>
      <w:marBottom w:val="0"/>
      <w:divBdr>
        <w:top w:val="none" w:sz="0" w:space="0" w:color="auto"/>
        <w:left w:val="none" w:sz="0" w:space="0" w:color="auto"/>
        <w:bottom w:val="none" w:sz="0" w:space="0" w:color="auto"/>
        <w:right w:val="none" w:sz="0" w:space="0" w:color="auto"/>
      </w:divBdr>
    </w:div>
    <w:div w:id="1028292378">
      <w:bodyDiv w:val="1"/>
      <w:marLeft w:val="0"/>
      <w:marRight w:val="0"/>
      <w:marTop w:val="0"/>
      <w:marBottom w:val="0"/>
      <w:divBdr>
        <w:top w:val="none" w:sz="0" w:space="0" w:color="auto"/>
        <w:left w:val="none" w:sz="0" w:space="0" w:color="auto"/>
        <w:bottom w:val="none" w:sz="0" w:space="0" w:color="auto"/>
        <w:right w:val="none" w:sz="0" w:space="0" w:color="auto"/>
      </w:divBdr>
    </w:div>
    <w:div w:id="1054699765">
      <w:bodyDiv w:val="1"/>
      <w:marLeft w:val="0"/>
      <w:marRight w:val="0"/>
      <w:marTop w:val="0"/>
      <w:marBottom w:val="0"/>
      <w:divBdr>
        <w:top w:val="none" w:sz="0" w:space="0" w:color="auto"/>
        <w:left w:val="none" w:sz="0" w:space="0" w:color="auto"/>
        <w:bottom w:val="none" w:sz="0" w:space="0" w:color="auto"/>
        <w:right w:val="none" w:sz="0" w:space="0" w:color="auto"/>
      </w:divBdr>
    </w:div>
    <w:div w:id="1133912685">
      <w:bodyDiv w:val="1"/>
      <w:marLeft w:val="0"/>
      <w:marRight w:val="0"/>
      <w:marTop w:val="0"/>
      <w:marBottom w:val="0"/>
      <w:divBdr>
        <w:top w:val="none" w:sz="0" w:space="0" w:color="auto"/>
        <w:left w:val="none" w:sz="0" w:space="0" w:color="auto"/>
        <w:bottom w:val="none" w:sz="0" w:space="0" w:color="auto"/>
        <w:right w:val="none" w:sz="0" w:space="0" w:color="auto"/>
      </w:divBdr>
    </w:div>
    <w:div w:id="1184589595">
      <w:bodyDiv w:val="1"/>
      <w:marLeft w:val="0"/>
      <w:marRight w:val="0"/>
      <w:marTop w:val="0"/>
      <w:marBottom w:val="0"/>
      <w:divBdr>
        <w:top w:val="none" w:sz="0" w:space="0" w:color="auto"/>
        <w:left w:val="none" w:sz="0" w:space="0" w:color="auto"/>
        <w:bottom w:val="none" w:sz="0" w:space="0" w:color="auto"/>
        <w:right w:val="none" w:sz="0" w:space="0" w:color="auto"/>
      </w:divBdr>
    </w:div>
    <w:div w:id="1254510254">
      <w:bodyDiv w:val="1"/>
      <w:marLeft w:val="0"/>
      <w:marRight w:val="0"/>
      <w:marTop w:val="0"/>
      <w:marBottom w:val="0"/>
      <w:divBdr>
        <w:top w:val="none" w:sz="0" w:space="0" w:color="auto"/>
        <w:left w:val="none" w:sz="0" w:space="0" w:color="auto"/>
        <w:bottom w:val="none" w:sz="0" w:space="0" w:color="auto"/>
        <w:right w:val="none" w:sz="0" w:space="0" w:color="auto"/>
      </w:divBdr>
    </w:div>
    <w:div w:id="1308584179">
      <w:bodyDiv w:val="1"/>
      <w:marLeft w:val="0"/>
      <w:marRight w:val="0"/>
      <w:marTop w:val="0"/>
      <w:marBottom w:val="0"/>
      <w:divBdr>
        <w:top w:val="none" w:sz="0" w:space="0" w:color="auto"/>
        <w:left w:val="none" w:sz="0" w:space="0" w:color="auto"/>
        <w:bottom w:val="none" w:sz="0" w:space="0" w:color="auto"/>
        <w:right w:val="none" w:sz="0" w:space="0" w:color="auto"/>
      </w:divBdr>
    </w:div>
    <w:div w:id="1504928441">
      <w:bodyDiv w:val="1"/>
      <w:marLeft w:val="0"/>
      <w:marRight w:val="0"/>
      <w:marTop w:val="0"/>
      <w:marBottom w:val="0"/>
      <w:divBdr>
        <w:top w:val="none" w:sz="0" w:space="0" w:color="auto"/>
        <w:left w:val="none" w:sz="0" w:space="0" w:color="auto"/>
        <w:bottom w:val="none" w:sz="0" w:space="0" w:color="auto"/>
        <w:right w:val="none" w:sz="0" w:space="0" w:color="auto"/>
      </w:divBdr>
    </w:div>
    <w:div w:id="1518303756">
      <w:bodyDiv w:val="1"/>
      <w:marLeft w:val="0"/>
      <w:marRight w:val="0"/>
      <w:marTop w:val="0"/>
      <w:marBottom w:val="0"/>
      <w:divBdr>
        <w:top w:val="none" w:sz="0" w:space="0" w:color="auto"/>
        <w:left w:val="none" w:sz="0" w:space="0" w:color="auto"/>
        <w:bottom w:val="none" w:sz="0" w:space="0" w:color="auto"/>
        <w:right w:val="none" w:sz="0" w:space="0" w:color="auto"/>
      </w:divBdr>
    </w:div>
    <w:div w:id="1686666480">
      <w:bodyDiv w:val="1"/>
      <w:marLeft w:val="0"/>
      <w:marRight w:val="0"/>
      <w:marTop w:val="0"/>
      <w:marBottom w:val="0"/>
      <w:divBdr>
        <w:top w:val="none" w:sz="0" w:space="0" w:color="auto"/>
        <w:left w:val="none" w:sz="0" w:space="0" w:color="auto"/>
        <w:bottom w:val="none" w:sz="0" w:space="0" w:color="auto"/>
        <w:right w:val="none" w:sz="0" w:space="0" w:color="auto"/>
      </w:divBdr>
    </w:div>
    <w:div w:id="1707174435">
      <w:bodyDiv w:val="1"/>
      <w:marLeft w:val="0"/>
      <w:marRight w:val="0"/>
      <w:marTop w:val="0"/>
      <w:marBottom w:val="0"/>
      <w:divBdr>
        <w:top w:val="none" w:sz="0" w:space="0" w:color="auto"/>
        <w:left w:val="none" w:sz="0" w:space="0" w:color="auto"/>
        <w:bottom w:val="none" w:sz="0" w:space="0" w:color="auto"/>
        <w:right w:val="none" w:sz="0" w:space="0" w:color="auto"/>
      </w:divBdr>
    </w:div>
    <w:div w:id="1867712669">
      <w:bodyDiv w:val="1"/>
      <w:marLeft w:val="0"/>
      <w:marRight w:val="0"/>
      <w:marTop w:val="0"/>
      <w:marBottom w:val="0"/>
      <w:divBdr>
        <w:top w:val="none" w:sz="0" w:space="0" w:color="auto"/>
        <w:left w:val="none" w:sz="0" w:space="0" w:color="auto"/>
        <w:bottom w:val="none" w:sz="0" w:space="0" w:color="auto"/>
        <w:right w:val="none" w:sz="0" w:space="0" w:color="auto"/>
      </w:divBdr>
    </w:div>
    <w:div w:id="1879125550">
      <w:bodyDiv w:val="1"/>
      <w:marLeft w:val="0"/>
      <w:marRight w:val="0"/>
      <w:marTop w:val="0"/>
      <w:marBottom w:val="0"/>
      <w:divBdr>
        <w:top w:val="none" w:sz="0" w:space="0" w:color="auto"/>
        <w:left w:val="none" w:sz="0" w:space="0" w:color="auto"/>
        <w:bottom w:val="none" w:sz="0" w:space="0" w:color="auto"/>
        <w:right w:val="none" w:sz="0" w:space="0" w:color="auto"/>
      </w:divBdr>
    </w:div>
    <w:div w:id="1885170873">
      <w:bodyDiv w:val="1"/>
      <w:marLeft w:val="0"/>
      <w:marRight w:val="0"/>
      <w:marTop w:val="0"/>
      <w:marBottom w:val="0"/>
      <w:divBdr>
        <w:top w:val="none" w:sz="0" w:space="0" w:color="auto"/>
        <w:left w:val="none" w:sz="0" w:space="0" w:color="auto"/>
        <w:bottom w:val="none" w:sz="0" w:space="0" w:color="auto"/>
        <w:right w:val="none" w:sz="0" w:space="0" w:color="auto"/>
      </w:divBdr>
    </w:div>
    <w:div w:id="1950694487">
      <w:bodyDiv w:val="1"/>
      <w:marLeft w:val="0"/>
      <w:marRight w:val="0"/>
      <w:marTop w:val="0"/>
      <w:marBottom w:val="0"/>
      <w:divBdr>
        <w:top w:val="none" w:sz="0" w:space="0" w:color="auto"/>
        <w:left w:val="none" w:sz="0" w:space="0" w:color="auto"/>
        <w:bottom w:val="none" w:sz="0" w:space="0" w:color="auto"/>
        <w:right w:val="none" w:sz="0" w:space="0" w:color="auto"/>
      </w:divBdr>
    </w:div>
    <w:div w:id="2037080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23</Pages>
  <Words>5250</Words>
  <Characters>29928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Danesha Parkinson</dc:creator>
  <cp:keywords/>
  <dc:description/>
  <cp:lastModifiedBy>Danesha Parkinson</cp:lastModifiedBy>
  <cp:revision>2</cp:revision>
  <dcterms:created xsi:type="dcterms:W3CDTF">2026-04-23T12:10:00Z</dcterms:created>
  <dcterms:modified xsi:type="dcterms:W3CDTF">2026-04-23T12:10:00Z</dcterms:modified>
</cp:coreProperties>
</file>