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8570887" w:displacedByCustomXml="next"/>
    <w:sdt>
      <w:sdtPr>
        <w:id w:val="-27717569"/>
        <w:docPartObj>
          <w:docPartGallery w:val="Cover Pages"/>
          <w:docPartUnique/>
        </w:docPartObj>
      </w:sdtPr>
      <w:sdtContent>
        <w:p w14:paraId="4E3DECF4" w14:textId="0549806A" w:rsidR="00A73453" w:rsidRPr="00A73453" w:rsidRDefault="00A73453" w:rsidP="00A73453">
          <w:r w:rsidRPr="00FA48F6">
            <w:rPr>
              <w:rFonts w:ascii="Arial" w:hAnsi="Arial" w:cs="Arial"/>
              <w:b/>
              <w:sz w:val="32"/>
              <w:szCs w:val="32"/>
            </w:rPr>
            <w:t xml:space="preserve"> UNIVERSITY OF WALES TRINITY SAINT DAVID </w:t>
          </w:r>
        </w:p>
        <w:p w14:paraId="38B81F23" w14:textId="77777777" w:rsidR="00A73453" w:rsidRDefault="00A73453" w:rsidP="00A73453">
          <w:pPr>
            <w:spacing w:line="480" w:lineRule="auto"/>
            <w:rPr>
              <w:rFonts w:ascii="Arial" w:hAnsi="Arial" w:cs="Arial"/>
              <w:b/>
              <w:sz w:val="28"/>
              <w:szCs w:val="28"/>
            </w:rPr>
          </w:pPr>
          <w:r>
            <w:rPr>
              <w:rFonts w:ascii="Arial" w:hAnsi="Arial" w:cs="Arial"/>
              <w:b/>
              <w:sz w:val="28"/>
              <w:szCs w:val="28"/>
            </w:rPr>
            <w:t xml:space="preserve">                                                                                                       Programme : Cert HE Skills for the Workplace (Health and social Care)</w:t>
          </w:r>
        </w:p>
        <w:p w14:paraId="0A8F5B08" w14:textId="77777777" w:rsidR="00A73453" w:rsidRDefault="00A73453" w:rsidP="00A73453">
          <w:pPr>
            <w:spacing w:line="480" w:lineRule="auto"/>
            <w:rPr>
              <w:rFonts w:ascii="Arial" w:hAnsi="Arial" w:cs="Arial"/>
              <w:b/>
              <w:sz w:val="28"/>
              <w:szCs w:val="28"/>
            </w:rPr>
          </w:pPr>
          <w:r>
            <w:rPr>
              <w:rFonts w:ascii="Arial" w:hAnsi="Arial" w:cs="Arial"/>
              <w:b/>
              <w:sz w:val="28"/>
              <w:szCs w:val="28"/>
            </w:rPr>
            <w:t>Module : Problem Solving and Decision Making</w:t>
          </w:r>
        </w:p>
        <w:p w14:paraId="38A4092A" w14:textId="77777777" w:rsidR="00A73453" w:rsidRDefault="00A73453" w:rsidP="00A73453">
          <w:pPr>
            <w:spacing w:line="480" w:lineRule="auto"/>
            <w:rPr>
              <w:rFonts w:ascii="Arial" w:hAnsi="Arial" w:cs="Arial"/>
              <w:b/>
              <w:sz w:val="28"/>
              <w:szCs w:val="28"/>
            </w:rPr>
          </w:pPr>
          <w:r>
            <w:rPr>
              <w:rFonts w:ascii="Arial" w:hAnsi="Arial" w:cs="Arial"/>
              <w:b/>
              <w:sz w:val="28"/>
              <w:szCs w:val="28"/>
            </w:rPr>
            <w:t>Module code :BMSW4004</w:t>
          </w:r>
        </w:p>
        <w:p w14:paraId="08006023" w14:textId="77777777" w:rsidR="00A73453" w:rsidRDefault="00A73453" w:rsidP="00A73453">
          <w:pPr>
            <w:spacing w:line="480" w:lineRule="auto"/>
            <w:rPr>
              <w:rFonts w:ascii="Arial" w:hAnsi="Arial" w:cs="Arial"/>
              <w:b/>
              <w:sz w:val="28"/>
              <w:szCs w:val="28"/>
            </w:rPr>
          </w:pPr>
          <w:r>
            <w:rPr>
              <w:rFonts w:ascii="Arial" w:hAnsi="Arial" w:cs="Arial"/>
              <w:b/>
              <w:sz w:val="28"/>
              <w:szCs w:val="28"/>
            </w:rPr>
            <w:t>Term 2</w:t>
          </w:r>
        </w:p>
        <w:p w14:paraId="1174C3F5" w14:textId="77777777" w:rsidR="00A73453" w:rsidRDefault="00A73453" w:rsidP="00A73453">
          <w:pPr>
            <w:spacing w:line="480" w:lineRule="auto"/>
            <w:rPr>
              <w:rFonts w:ascii="Arial" w:hAnsi="Arial" w:cs="Arial"/>
              <w:b/>
              <w:sz w:val="28"/>
              <w:szCs w:val="28"/>
            </w:rPr>
          </w:pPr>
          <w:r>
            <w:rPr>
              <w:rFonts w:ascii="Arial" w:hAnsi="Arial" w:cs="Arial"/>
              <w:b/>
              <w:sz w:val="28"/>
              <w:szCs w:val="28"/>
            </w:rPr>
            <w:t xml:space="preserve">Student : Alexandru Gabriel Serban (2028156) </w:t>
          </w:r>
        </w:p>
        <w:p w14:paraId="478E4C0B" w14:textId="77777777" w:rsidR="00A73453" w:rsidRDefault="00A73453" w:rsidP="00A73453">
          <w:pPr>
            <w:spacing w:line="480" w:lineRule="auto"/>
            <w:rPr>
              <w:rFonts w:ascii="Arial" w:hAnsi="Arial" w:cs="Arial"/>
              <w:b/>
              <w:sz w:val="28"/>
              <w:szCs w:val="28"/>
            </w:rPr>
          </w:pPr>
          <w:r>
            <w:rPr>
              <w:rFonts w:ascii="Arial" w:hAnsi="Arial" w:cs="Arial"/>
              <w:b/>
              <w:sz w:val="28"/>
              <w:szCs w:val="28"/>
            </w:rPr>
            <w:t xml:space="preserve">Prof: Charles Oham </w:t>
          </w:r>
        </w:p>
        <w:p w14:paraId="31D05EF9" w14:textId="2B697897" w:rsidR="006F703F" w:rsidRDefault="00A73453" w:rsidP="006F703F">
          <w:pPr>
            <w:spacing w:line="480" w:lineRule="auto"/>
          </w:pPr>
          <w:r>
            <w:br w:type="page"/>
          </w:r>
        </w:p>
        <w:p w14:paraId="0A8D4BCE" w14:textId="58C6BEEE" w:rsidR="00BC6058" w:rsidRDefault="00BC6058" w:rsidP="006F703F">
          <w:pPr>
            <w:spacing w:line="480" w:lineRule="auto"/>
            <w:rPr>
              <w:rFonts w:asciiTheme="majorHAnsi" w:eastAsiaTheme="majorEastAsia" w:hAnsiTheme="majorHAnsi" w:cstheme="majorBidi"/>
              <w:color w:val="2F5496" w:themeColor="accent1" w:themeShade="BF"/>
              <w:sz w:val="32"/>
              <w:szCs w:val="32"/>
            </w:rPr>
          </w:pPr>
        </w:p>
      </w:sdtContent>
    </w:sdt>
    <w:sdt>
      <w:sdtPr>
        <w:id w:val="-75713371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17DA3CD" w14:textId="363AD86B" w:rsidR="00BC6058" w:rsidRPr="00BC6058" w:rsidRDefault="00BC6058">
          <w:pPr>
            <w:pStyle w:val="TOCHeading"/>
            <w:rPr>
              <w:rFonts w:ascii="Arial" w:hAnsi="Arial" w:cs="Arial"/>
            </w:rPr>
          </w:pPr>
          <w:r>
            <w:t>Contents</w:t>
          </w:r>
        </w:p>
        <w:p w14:paraId="03684F53" w14:textId="6DB94E1E" w:rsidR="00BC6058" w:rsidRPr="00BC6058" w:rsidRDefault="00BC6058">
          <w:pPr>
            <w:pStyle w:val="TOC1"/>
            <w:tabs>
              <w:tab w:val="right" w:leader="dot" w:pos="9350"/>
            </w:tabs>
            <w:rPr>
              <w:rFonts w:ascii="Arial" w:hAnsi="Arial" w:cs="Arial"/>
              <w:noProof/>
            </w:rPr>
          </w:pPr>
          <w:r w:rsidRPr="00BC6058">
            <w:rPr>
              <w:rFonts w:ascii="Arial" w:hAnsi="Arial" w:cs="Arial"/>
            </w:rPr>
            <w:fldChar w:fldCharType="begin"/>
          </w:r>
          <w:r w:rsidRPr="00BC6058">
            <w:rPr>
              <w:rFonts w:ascii="Arial" w:hAnsi="Arial" w:cs="Arial"/>
            </w:rPr>
            <w:instrText xml:space="preserve"> TOC \o "1-3" \h \z \u </w:instrText>
          </w:r>
          <w:r w:rsidRPr="00BC6058">
            <w:rPr>
              <w:rFonts w:ascii="Arial" w:hAnsi="Arial" w:cs="Arial"/>
            </w:rPr>
            <w:fldChar w:fldCharType="separate"/>
          </w:r>
          <w:hyperlink w:anchor="_Toc90978880" w:history="1">
            <w:r w:rsidRPr="00BC6058">
              <w:rPr>
                <w:rStyle w:val="Hyperlink"/>
                <w:rFonts w:ascii="Arial" w:hAnsi="Arial" w:cs="Arial"/>
                <w:noProof/>
              </w:rPr>
              <w:t>Introduction</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_Toc90978880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2</w:t>
            </w:r>
            <w:r w:rsidRPr="00BC6058">
              <w:rPr>
                <w:rFonts w:ascii="Arial" w:hAnsi="Arial" w:cs="Arial"/>
                <w:noProof/>
                <w:webHidden/>
              </w:rPr>
              <w:fldChar w:fldCharType="end"/>
            </w:r>
          </w:hyperlink>
        </w:p>
        <w:p w14:paraId="53B7CAB7" w14:textId="326177B7" w:rsidR="00BC6058" w:rsidRPr="00BC6058" w:rsidRDefault="00BC6058">
          <w:pPr>
            <w:pStyle w:val="TOC1"/>
            <w:tabs>
              <w:tab w:val="right" w:leader="dot" w:pos="9350"/>
            </w:tabs>
            <w:rPr>
              <w:rFonts w:ascii="Arial" w:hAnsi="Arial" w:cs="Arial"/>
              <w:noProof/>
            </w:rPr>
          </w:pPr>
          <w:hyperlink w:anchor="_Toc90978881" w:history="1">
            <w:r w:rsidRPr="00BC6058">
              <w:rPr>
                <w:rStyle w:val="Hyperlink"/>
                <w:rFonts w:ascii="Arial" w:hAnsi="Arial" w:cs="Arial"/>
                <w:noProof/>
              </w:rPr>
              <w:t>Problems at workplace</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_Toc90978881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2</w:t>
            </w:r>
            <w:r w:rsidRPr="00BC6058">
              <w:rPr>
                <w:rFonts w:ascii="Arial" w:hAnsi="Arial" w:cs="Arial"/>
                <w:noProof/>
                <w:webHidden/>
              </w:rPr>
              <w:fldChar w:fldCharType="end"/>
            </w:r>
          </w:hyperlink>
        </w:p>
        <w:p w14:paraId="4CE8A4B9" w14:textId="09D4696A" w:rsidR="00BC6058" w:rsidRPr="00BC6058" w:rsidRDefault="00BC6058">
          <w:pPr>
            <w:pStyle w:val="TOC1"/>
            <w:tabs>
              <w:tab w:val="right" w:leader="dot" w:pos="9350"/>
            </w:tabs>
            <w:rPr>
              <w:rFonts w:ascii="Arial" w:hAnsi="Arial" w:cs="Arial"/>
              <w:noProof/>
            </w:rPr>
          </w:pPr>
          <w:hyperlink w:anchor="_Toc90978882" w:history="1">
            <w:r w:rsidRPr="00BC6058">
              <w:rPr>
                <w:rStyle w:val="Hyperlink"/>
                <w:rFonts w:ascii="Arial" w:hAnsi="Arial" w:cs="Arial"/>
                <w:noProof/>
              </w:rPr>
              <w:t>Decision making in problem-solving</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_Toc90978882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3</w:t>
            </w:r>
            <w:r w:rsidRPr="00BC6058">
              <w:rPr>
                <w:rFonts w:ascii="Arial" w:hAnsi="Arial" w:cs="Arial"/>
                <w:noProof/>
                <w:webHidden/>
              </w:rPr>
              <w:fldChar w:fldCharType="end"/>
            </w:r>
          </w:hyperlink>
        </w:p>
        <w:p w14:paraId="140429AC" w14:textId="1601FC38" w:rsidR="00BC6058" w:rsidRPr="00BC6058" w:rsidRDefault="00BC6058">
          <w:pPr>
            <w:pStyle w:val="TOC1"/>
            <w:tabs>
              <w:tab w:val="right" w:leader="dot" w:pos="9350"/>
            </w:tabs>
            <w:rPr>
              <w:rFonts w:ascii="Arial" w:hAnsi="Arial" w:cs="Arial"/>
              <w:noProof/>
            </w:rPr>
          </w:pPr>
          <w:hyperlink w:anchor="_Toc90978883" w:history="1">
            <w:r w:rsidRPr="00BC6058">
              <w:rPr>
                <w:rStyle w:val="Hyperlink"/>
                <w:rFonts w:ascii="Arial" w:hAnsi="Arial" w:cs="Arial"/>
                <w:noProof/>
              </w:rPr>
              <w:t>Potential solutions</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_Toc90978883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4</w:t>
            </w:r>
            <w:r w:rsidRPr="00BC6058">
              <w:rPr>
                <w:rFonts w:ascii="Arial" w:hAnsi="Arial" w:cs="Arial"/>
                <w:noProof/>
                <w:webHidden/>
              </w:rPr>
              <w:fldChar w:fldCharType="end"/>
            </w:r>
          </w:hyperlink>
        </w:p>
        <w:p w14:paraId="7EBF6480" w14:textId="660A19F7" w:rsidR="00BC6058" w:rsidRPr="00BC6058" w:rsidRDefault="00BC6058">
          <w:pPr>
            <w:pStyle w:val="TOC1"/>
            <w:tabs>
              <w:tab w:val="right" w:leader="dot" w:pos="9350"/>
            </w:tabs>
            <w:rPr>
              <w:rFonts w:ascii="Arial" w:hAnsi="Arial" w:cs="Arial"/>
              <w:noProof/>
            </w:rPr>
          </w:pPr>
          <w:hyperlink w:anchor="_Toc90978884" w:history="1">
            <w:r w:rsidRPr="00BC6058">
              <w:rPr>
                <w:rStyle w:val="Hyperlink"/>
                <w:rFonts w:ascii="Arial" w:hAnsi="Arial" w:cs="Arial"/>
                <w:noProof/>
              </w:rPr>
              <w:t>Solution evaluation</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_Toc90978884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5</w:t>
            </w:r>
            <w:r w:rsidRPr="00BC6058">
              <w:rPr>
                <w:rFonts w:ascii="Arial" w:hAnsi="Arial" w:cs="Arial"/>
                <w:noProof/>
                <w:webHidden/>
              </w:rPr>
              <w:fldChar w:fldCharType="end"/>
            </w:r>
          </w:hyperlink>
        </w:p>
        <w:p w14:paraId="0F7F8B79" w14:textId="2E53036E" w:rsidR="00BC6058" w:rsidRPr="00BC6058" w:rsidRDefault="00BC6058">
          <w:pPr>
            <w:pStyle w:val="TOC1"/>
            <w:tabs>
              <w:tab w:val="right" w:leader="dot" w:pos="9350"/>
            </w:tabs>
            <w:rPr>
              <w:rFonts w:ascii="Arial" w:hAnsi="Arial" w:cs="Arial"/>
              <w:noProof/>
            </w:rPr>
          </w:pPr>
          <w:hyperlink w:anchor="_Toc90978885" w:history="1">
            <w:r w:rsidRPr="00BC6058">
              <w:rPr>
                <w:rStyle w:val="Hyperlink"/>
                <w:rFonts w:ascii="Arial" w:hAnsi="Arial" w:cs="Arial"/>
                <w:noProof/>
              </w:rPr>
              <w:t>Solution implementation plan</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_Toc90978885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5</w:t>
            </w:r>
            <w:r w:rsidRPr="00BC6058">
              <w:rPr>
                <w:rFonts w:ascii="Arial" w:hAnsi="Arial" w:cs="Arial"/>
                <w:noProof/>
                <w:webHidden/>
              </w:rPr>
              <w:fldChar w:fldCharType="end"/>
            </w:r>
          </w:hyperlink>
        </w:p>
        <w:p w14:paraId="2B1655EF" w14:textId="4EC842D5" w:rsidR="00BC6058" w:rsidRPr="00BC6058" w:rsidRDefault="00BC6058">
          <w:pPr>
            <w:pStyle w:val="TOC1"/>
            <w:tabs>
              <w:tab w:val="right" w:leader="dot" w:pos="9350"/>
            </w:tabs>
            <w:rPr>
              <w:rFonts w:ascii="Arial" w:hAnsi="Arial" w:cs="Arial"/>
              <w:noProof/>
            </w:rPr>
          </w:pPr>
          <w:hyperlink w:anchor="_Toc90978886" w:history="1">
            <w:r w:rsidRPr="00BC6058">
              <w:rPr>
                <w:rStyle w:val="Hyperlink"/>
                <w:rFonts w:ascii="Arial" w:hAnsi="Arial" w:cs="Arial"/>
                <w:noProof/>
              </w:rPr>
              <w:t>Plan communication to stakeholders</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_Toc90978886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6</w:t>
            </w:r>
            <w:r w:rsidRPr="00BC6058">
              <w:rPr>
                <w:rFonts w:ascii="Arial" w:hAnsi="Arial" w:cs="Arial"/>
                <w:noProof/>
                <w:webHidden/>
              </w:rPr>
              <w:fldChar w:fldCharType="end"/>
            </w:r>
          </w:hyperlink>
        </w:p>
        <w:p w14:paraId="12EB756A" w14:textId="49FF8323" w:rsidR="00BC6058" w:rsidRPr="00BC6058" w:rsidRDefault="00BC6058">
          <w:pPr>
            <w:pStyle w:val="TOC1"/>
            <w:tabs>
              <w:tab w:val="right" w:leader="dot" w:pos="9350"/>
            </w:tabs>
            <w:rPr>
              <w:rFonts w:ascii="Arial" w:hAnsi="Arial" w:cs="Arial"/>
              <w:noProof/>
            </w:rPr>
          </w:pPr>
          <w:hyperlink w:anchor="_Toc90978887" w:history="1">
            <w:r w:rsidRPr="00BC6058">
              <w:rPr>
                <w:rStyle w:val="Hyperlink"/>
                <w:rFonts w:ascii="Arial" w:hAnsi="Arial" w:cs="Arial"/>
                <w:noProof/>
              </w:rPr>
              <w:t>Techniques for successful implementation</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_Toc90978887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7</w:t>
            </w:r>
            <w:r w:rsidRPr="00BC6058">
              <w:rPr>
                <w:rFonts w:ascii="Arial" w:hAnsi="Arial" w:cs="Arial"/>
                <w:noProof/>
                <w:webHidden/>
              </w:rPr>
              <w:fldChar w:fldCharType="end"/>
            </w:r>
          </w:hyperlink>
        </w:p>
        <w:p w14:paraId="6E0410D6" w14:textId="702426B8" w:rsidR="00BC6058" w:rsidRPr="00BC6058" w:rsidRDefault="00BC6058">
          <w:pPr>
            <w:pStyle w:val="TOC1"/>
            <w:tabs>
              <w:tab w:val="right" w:leader="dot" w:pos="9350"/>
            </w:tabs>
            <w:rPr>
              <w:rFonts w:ascii="Arial" w:hAnsi="Arial" w:cs="Arial"/>
              <w:noProof/>
            </w:rPr>
          </w:pPr>
          <w:hyperlink w:anchor="_Toc90978888" w:history="1">
            <w:r w:rsidRPr="00BC6058">
              <w:rPr>
                <w:rStyle w:val="Hyperlink"/>
                <w:rFonts w:ascii="Arial" w:hAnsi="Arial" w:cs="Arial"/>
                <w:noProof/>
              </w:rPr>
              <w:t>References</w:t>
            </w:r>
            <w:r w:rsidRPr="00BC6058">
              <w:rPr>
                <w:rFonts w:ascii="Arial" w:hAnsi="Arial" w:cs="Arial"/>
                <w:noProof/>
                <w:webHidden/>
              </w:rPr>
              <w:tab/>
            </w:r>
            <w:r w:rsidRPr="00BC6058">
              <w:rPr>
                <w:rFonts w:ascii="Arial" w:hAnsi="Arial" w:cs="Arial"/>
                <w:noProof/>
                <w:webHidden/>
              </w:rPr>
              <w:fldChar w:fldCharType="begin"/>
            </w:r>
            <w:r w:rsidRPr="00BC6058">
              <w:rPr>
                <w:rFonts w:ascii="Arial" w:hAnsi="Arial" w:cs="Arial"/>
                <w:noProof/>
                <w:webHidden/>
              </w:rPr>
              <w:instrText xml:space="preserve"> PAGEREF _Toc90978888 \h </w:instrText>
            </w:r>
            <w:r w:rsidRPr="00BC6058">
              <w:rPr>
                <w:rFonts w:ascii="Arial" w:hAnsi="Arial" w:cs="Arial"/>
                <w:noProof/>
                <w:webHidden/>
              </w:rPr>
            </w:r>
            <w:r w:rsidRPr="00BC6058">
              <w:rPr>
                <w:rFonts w:ascii="Arial" w:hAnsi="Arial" w:cs="Arial"/>
                <w:noProof/>
                <w:webHidden/>
              </w:rPr>
              <w:fldChar w:fldCharType="separate"/>
            </w:r>
            <w:r w:rsidRPr="00BC6058">
              <w:rPr>
                <w:rFonts w:ascii="Arial" w:hAnsi="Arial" w:cs="Arial"/>
                <w:noProof/>
                <w:webHidden/>
              </w:rPr>
              <w:t>8</w:t>
            </w:r>
            <w:r w:rsidRPr="00BC6058">
              <w:rPr>
                <w:rFonts w:ascii="Arial" w:hAnsi="Arial" w:cs="Arial"/>
                <w:noProof/>
                <w:webHidden/>
              </w:rPr>
              <w:fldChar w:fldCharType="end"/>
            </w:r>
          </w:hyperlink>
        </w:p>
        <w:p w14:paraId="4C01A39F" w14:textId="35EE5848" w:rsidR="00BC6058" w:rsidRDefault="00BC6058">
          <w:r w:rsidRPr="00BC6058">
            <w:rPr>
              <w:rFonts w:ascii="Arial" w:hAnsi="Arial" w:cs="Arial"/>
              <w:b/>
              <w:bCs/>
              <w:noProof/>
            </w:rPr>
            <w:fldChar w:fldCharType="end"/>
          </w:r>
        </w:p>
      </w:sdtContent>
    </w:sdt>
    <w:p w14:paraId="2DDCE3DB" w14:textId="77777777" w:rsidR="00BC6058" w:rsidRDefault="00BC6058" w:rsidP="00BC6058">
      <w:pPr>
        <w:pStyle w:val="Heading1"/>
        <w:spacing w:line="360" w:lineRule="auto"/>
        <w:rPr>
          <w:rFonts w:ascii="Arial" w:hAnsi="Arial" w:cs="Arial"/>
        </w:rPr>
      </w:pPr>
    </w:p>
    <w:p w14:paraId="307A2A03" w14:textId="77777777" w:rsidR="00BC6058" w:rsidRDefault="00BC6058">
      <w:pPr>
        <w:spacing w:after="160" w:line="259" w:lineRule="auto"/>
        <w:rPr>
          <w:rFonts w:ascii="Arial" w:eastAsiaTheme="majorEastAsia" w:hAnsi="Arial" w:cs="Arial"/>
          <w:b/>
          <w:bCs/>
          <w:color w:val="2F5496" w:themeColor="accent1" w:themeShade="BF"/>
          <w:sz w:val="28"/>
          <w:szCs w:val="28"/>
        </w:rPr>
      </w:pPr>
      <w:r>
        <w:rPr>
          <w:rFonts w:ascii="Arial" w:hAnsi="Arial" w:cs="Arial"/>
        </w:rPr>
        <w:br w:type="page"/>
      </w:r>
    </w:p>
    <w:p w14:paraId="650609D3" w14:textId="0E1E0388" w:rsidR="00F94244" w:rsidRPr="00BC6058" w:rsidRDefault="00F94244" w:rsidP="00BC6058">
      <w:pPr>
        <w:pStyle w:val="Heading1"/>
        <w:spacing w:line="360" w:lineRule="auto"/>
        <w:rPr>
          <w:rFonts w:ascii="Arial" w:hAnsi="Arial" w:cs="Arial"/>
          <w:sz w:val="22"/>
          <w:szCs w:val="22"/>
        </w:rPr>
      </w:pPr>
      <w:bookmarkStart w:id="1" w:name="_Toc90978880"/>
      <w:r w:rsidRPr="003822A8">
        <w:rPr>
          <w:rFonts w:ascii="Arial" w:hAnsi="Arial" w:cs="Arial"/>
        </w:rPr>
        <w:lastRenderedPageBreak/>
        <w:t>Introduction</w:t>
      </w:r>
      <w:bookmarkEnd w:id="0"/>
      <w:bookmarkEnd w:id="1"/>
    </w:p>
    <w:p w14:paraId="76A0A254" w14:textId="77777777" w:rsidR="003822A8" w:rsidRPr="00BC6058" w:rsidRDefault="003822A8" w:rsidP="00BC6058">
      <w:pPr>
        <w:spacing w:line="360" w:lineRule="auto"/>
        <w:ind w:firstLine="720"/>
        <w:rPr>
          <w:rFonts w:ascii="Arial" w:hAnsi="Arial" w:cs="Arial"/>
        </w:rPr>
      </w:pPr>
    </w:p>
    <w:p w14:paraId="33B3E368" w14:textId="09E378DE" w:rsidR="00F94244" w:rsidRPr="00BC6058" w:rsidRDefault="00F94244" w:rsidP="00BC6058">
      <w:pPr>
        <w:spacing w:line="360" w:lineRule="auto"/>
        <w:ind w:firstLine="720"/>
        <w:rPr>
          <w:rFonts w:ascii="Arial" w:hAnsi="Arial" w:cs="Arial"/>
        </w:rPr>
      </w:pPr>
      <w:r w:rsidRPr="00BC6058">
        <w:rPr>
          <w:rFonts w:ascii="Arial" w:hAnsi="Arial" w:cs="Arial"/>
        </w:rPr>
        <w:t>Job satisfaction is one of the most widely studied work attitudes and one of the most widely researched topics in Industrial/Organizational Psychology. The hypothesized occupation of employee satisfaction has been confirmed by a few work motivation ideas. Work satisfaction has been linked to effectiveness, motivation, disobedience, accidents, mental well-being, and general life satisfaction as a result of this clarifying inquiry. Ordinary speculation within the study was that, to some measure, an individual's aroused mood is influenced by communiques with their work environment. People are distinguished by their professions, such as subject matter experts, legal consultants, or educators. As a result, a solitary's professional success is a huge piece of research (Senek et al., 2020).</w:t>
      </w:r>
    </w:p>
    <w:p w14:paraId="7C426FF2" w14:textId="4D4561E9" w:rsidR="00A56F8E" w:rsidRPr="00BC6058" w:rsidRDefault="00F94244" w:rsidP="00BC6058">
      <w:pPr>
        <w:spacing w:line="360" w:lineRule="auto"/>
        <w:rPr>
          <w:rFonts w:ascii="Arial" w:hAnsi="Arial" w:cs="Arial"/>
        </w:rPr>
      </w:pPr>
      <w:r w:rsidRPr="00BC6058">
        <w:rPr>
          <w:rFonts w:ascii="Arial" w:hAnsi="Arial" w:cs="Arial"/>
        </w:rPr>
        <w:t xml:space="preserve">The most widely accepted and widely accepted theory of job satisfaction was proposed by the creator, who defined work satisfaction as a happy or positive aroused condition resulting from the evaluation of one's work or professional tasks. Occupation satisfaction is divided into three categories: ecstatic, scholarly, and leadership.                                      </w:t>
      </w:r>
    </w:p>
    <w:p w14:paraId="79C9F4AB" w14:textId="53BC39D5" w:rsidR="00F94244" w:rsidRPr="00BC6058" w:rsidRDefault="00F94244" w:rsidP="00BC6058">
      <w:pPr>
        <w:spacing w:line="360" w:lineRule="auto"/>
        <w:rPr>
          <w:rFonts w:ascii="Arial" w:hAnsi="Arial" w:cs="Arial"/>
        </w:rPr>
      </w:pPr>
    </w:p>
    <w:p w14:paraId="7098A16E" w14:textId="77777777" w:rsidR="00F94244" w:rsidRPr="00BC6058" w:rsidRDefault="00F94244" w:rsidP="00BC6058">
      <w:pPr>
        <w:spacing w:line="360" w:lineRule="auto"/>
        <w:ind w:firstLine="720"/>
        <w:rPr>
          <w:rFonts w:ascii="Arial" w:hAnsi="Arial" w:cs="Arial"/>
        </w:rPr>
      </w:pPr>
      <w:r w:rsidRPr="00BC6058">
        <w:rPr>
          <w:rFonts w:ascii="Arial" w:hAnsi="Arial" w:cs="Arial"/>
        </w:rPr>
        <w:t>The energetic part refers to sentiments like weariness, strain, stress, and energy that are associated with the business. Workplace satisfaction is a scholastic term that refers to how one feels about their work, whether it is fantastic, cognitively challenging/testing, or rewarding. Finally, the social section recalls people's activities associated with their jobs, such as tardiness, working almost too hard, and feigning illness to escape work.</w:t>
      </w:r>
    </w:p>
    <w:p w14:paraId="2A75E3A9" w14:textId="77777777" w:rsidR="00F94244" w:rsidRPr="00BC6058" w:rsidRDefault="00F94244" w:rsidP="00BC6058">
      <w:pPr>
        <w:pStyle w:val="Heading1"/>
        <w:spacing w:line="360" w:lineRule="auto"/>
        <w:rPr>
          <w:rFonts w:ascii="Arial" w:hAnsi="Arial" w:cs="Arial"/>
          <w:sz w:val="22"/>
          <w:szCs w:val="22"/>
        </w:rPr>
      </w:pPr>
      <w:bookmarkStart w:id="2" w:name="_Toc88570888"/>
      <w:bookmarkStart w:id="3" w:name="_Toc90978881"/>
      <w:r w:rsidRPr="00BC6058">
        <w:rPr>
          <w:rFonts w:ascii="Arial" w:hAnsi="Arial" w:cs="Arial"/>
          <w:sz w:val="22"/>
          <w:szCs w:val="22"/>
        </w:rPr>
        <w:t>Problems at workplace</w:t>
      </w:r>
      <w:bookmarkEnd w:id="2"/>
      <w:bookmarkEnd w:id="3"/>
    </w:p>
    <w:p w14:paraId="15AFB08F" w14:textId="77777777" w:rsidR="003822A8" w:rsidRPr="00BC6058" w:rsidRDefault="003822A8" w:rsidP="00BC6058">
      <w:pPr>
        <w:spacing w:line="360" w:lineRule="auto"/>
        <w:ind w:firstLine="720"/>
        <w:rPr>
          <w:rFonts w:ascii="Arial" w:hAnsi="Arial" w:cs="Arial"/>
        </w:rPr>
      </w:pPr>
    </w:p>
    <w:p w14:paraId="07AB970D" w14:textId="2DF11B43" w:rsidR="00F94244" w:rsidRPr="00BC6058" w:rsidRDefault="00F94244" w:rsidP="00BC6058">
      <w:pPr>
        <w:spacing w:line="360" w:lineRule="auto"/>
        <w:ind w:firstLine="720"/>
        <w:rPr>
          <w:rFonts w:ascii="Arial" w:hAnsi="Arial" w:cs="Arial"/>
        </w:rPr>
      </w:pPr>
      <w:r w:rsidRPr="00BC6058">
        <w:rPr>
          <w:rFonts w:ascii="Arial" w:hAnsi="Arial" w:cs="Arial"/>
        </w:rPr>
        <w:t xml:space="preserve">Agents in the United Kingdom work an average of 34 hours per week or 1,791 hours per year. When you contemplate this flow, it's not surprising that work discontent can be attained by investing a significant portion of our energy in an office environment, especially when the environment isn't conducive to inspiration. The greatest solution to eliminate this particular rationale for job disenchantment is to create open entryways within the workplace to make it a more pleasant environment for disgruntled employees. To establish a more specific relationship with one another, organize standard gathering snacks, work social occasions, and gathering </w:t>
      </w:r>
      <w:r w:rsidRPr="00BC6058">
        <w:rPr>
          <w:rFonts w:ascii="Arial" w:hAnsi="Arial" w:cs="Arial"/>
        </w:rPr>
        <w:lastRenderedPageBreak/>
        <w:t xml:space="preserve">building activities. Introduce new office perks such as a free normal item day or a casual wear day. By generating additional working climate energy, it creates a practically guaranteed atmosphere that delegates will expect and in which everyone should participate where they work and collaborate (Iliffe and Manthorpe, 2019). </w:t>
      </w:r>
    </w:p>
    <w:p w14:paraId="0032B1C2" w14:textId="5CD70381" w:rsidR="00F94244" w:rsidRPr="00BC6058" w:rsidRDefault="00F94244" w:rsidP="00BC6058">
      <w:pPr>
        <w:spacing w:line="360" w:lineRule="auto"/>
        <w:ind w:firstLine="720"/>
        <w:rPr>
          <w:rFonts w:ascii="Arial" w:hAnsi="Arial" w:cs="Arial"/>
        </w:rPr>
      </w:pPr>
      <w:r w:rsidRPr="00BC6058">
        <w:rPr>
          <w:rFonts w:ascii="Arial" w:hAnsi="Arial" w:cs="Arial"/>
        </w:rPr>
        <w:t>Occupation happiness is frequently based on how empowered a worker is made to feel at work. They require the opportunity to demonstrate their originality or inventiveness, and understanding that they will be denied by an unmatched opponent can frequently result in disappointment. According to satisfaction at work-study, only 35% of administrative educated professionals and 34% of accounting experts are offered to empower opportunities at work. Only 40% of women believe they have an impact, and only 34% of workers aged 55 and over believe they are empowered. Burnout is not only a preventative measure for project growth and convenience; it is also one of the major causes of laborer dissatisfaction. 595,000 workers have recently acknowledged experiencing work-related stress, depression, or anxiety, resulting in 5.4 million lost working days. Agents who don't draw a clear line between business and home life can rapidly become stressed and unable to relax. To re-establish a healthy balance between</w:t>
      </w:r>
      <w:r w:rsidRPr="00BC6058">
        <w:rPr>
          <w:rFonts w:ascii="Arial" w:hAnsi="Arial" w:cs="Arial"/>
        </w:rPr>
        <w:t xml:space="preserve"> </w:t>
      </w:r>
      <w:r w:rsidRPr="00BC6058">
        <w:rPr>
          <w:rFonts w:ascii="Arial" w:hAnsi="Arial" w:cs="Arial"/>
        </w:rPr>
        <w:t>fun and serious activities, managers have begun to provide flexible working as an extra benefit – according to our research, it is the most frequently mentioned benefit by employees.</w:t>
      </w:r>
    </w:p>
    <w:p w14:paraId="33DA01F2" w14:textId="77777777" w:rsidR="00F94244" w:rsidRPr="00BC6058" w:rsidRDefault="00F94244" w:rsidP="00BC6058">
      <w:pPr>
        <w:spacing w:line="360" w:lineRule="auto"/>
        <w:ind w:firstLine="720"/>
        <w:rPr>
          <w:rFonts w:ascii="Arial" w:hAnsi="Arial" w:cs="Arial"/>
        </w:rPr>
      </w:pPr>
      <w:r w:rsidRPr="00BC6058">
        <w:rPr>
          <w:rFonts w:ascii="Arial" w:hAnsi="Arial" w:cs="Arial"/>
        </w:rPr>
        <w:t>When trying to figure out why people are dissatisfied at work, you could want to look at the tasks that each agent is being drawn closer to accomplishing. Agents who are busy with 'valuable' work are 3.2 times more likely to be satisfied at work. Representatives should feel as if they are making a genuine contribution and should be enthusiastic about the work they are being assigned. To avoid upsetting experts in your gathering, try combining personal interests and career objectives with the organization's objections. Sharing results can also help to instill pride and pleasure in your employees, especially if they were previously responsible for obtaining them. The proportion of affirmation and admiration a delegate receives from the chiefs is also consolidated by occupation satisfaction elements. According to another ADP research, 66 percent of UK workers do not feel valued, and a large number of them might consider leaving for another job as a result.</w:t>
      </w:r>
    </w:p>
    <w:p w14:paraId="4D8969AC" w14:textId="77777777" w:rsidR="00F94244" w:rsidRPr="00BC6058" w:rsidRDefault="00F94244" w:rsidP="00BC6058">
      <w:pPr>
        <w:pStyle w:val="Heading1"/>
        <w:spacing w:line="360" w:lineRule="auto"/>
        <w:rPr>
          <w:rFonts w:ascii="Arial" w:hAnsi="Arial" w:cs="Arial"/>
          <w:sz w:val="22"/>
          <w:szCs w:val="22"/>
        </w:rPr>
      </w:pPr>
      <w:bookmarkStart w:id="4" w:name="_Toc88570889"/>
      <w:bookmarkStart w:id="5" w:name="_Toc90978882"/>
      <w:r w:rsidRPr="00BC6058">
        <w:rPr>
          <w:rFonts w:ascii="Arial" w:hAnsi="Arial" w:cs="Arial"/>
          <w:sz w:val="22"/>
          <w:szCs w:val="22"/>
        </w:rPr>
        <w:t>Decision making in problem-solving</w:t>
      </w:r>
      <w:bookmarkEnd w:id="4"/>
      <w:bookmarkEnd w:id="5"/>
    </w:p>
    <w:p w14:paraId="13B5CE51" w14:textId="77777777" w:rsidR="003822A8" w:rsidRPr="00BC6058" w:rsidRDefault="003822A8" w:rsidP="00BC6058">
      <w:pPr>
        <w:spacing w:line="360" w:lineRule="auto"/>
        <w:ind w:firstLine="720"/>
        <w:rPr>
          <w:rFonts w:ascii="Arial" w:hAnsi="Arial" w:cs="Arial"/>
        </w:rPr>
      </w:pPr>
    </w:p>
    <w:p w14:paraId="0066CCBF" w14:textId="387C4D7F" w:rsidR="00F94244" w:rsidRPr="00BC6058" w:rsidRDefault="00F94244" w:rsidP="00BC6058">
      <w:pPr>
        <w:spacing w:line="360" w:lineRule="auto"/>
        <w:ind w:firstLine="720"/>
        <w:rPr>
          <w:rFonts w:ascii="Arial" w:hAnsi="Arial" w:cs="Arial"/>
        </w:rPr>
      </w:pPr>
      <w:r w:rsidRPr="00BC6058">
        <w:rPr>
          <w:rFonts w:ascii="Arial" w:hAnsi="Arial" w:cs="Arial"/>
        </w:rPr>
        <w:lastRenderedPageBreak/>
        <w:t>Even though the strategy for conclusive reasoning and dynamic that we will explain next appears to be extremely obvious, we frequently do not suspect or choose not to apply it. In light of this, we begin addressing a problem only to discover that we have been disoriented and must retrace our steps. I'm sure we've all had that "Okay, by and by what?" moment in the middle of a project or activity. As a logical side project, I've taken up carpentry, and I've instilled awe-inspiring reverence for the essence of an early game plan. It's aggravating to get to a critical point in constructing or repairing something only to discover that you need to unscrew a recently sunk assist with boarding, that you need to return to the hardware store to get something that you didn't think to get earlier, or that you need to begin immediately.           We'll look at the social event-decision-making interaction, heading approaches, and effects on these cycles in this section. From the initial thinking about a dangerous circumstance through the final choice, the decisive reasoning cycle includes examinations, conversations, exercises,</w:t>
      </w:r>
      <w:r w:rsidRPr="00BC6058">
        <w:rPr>
          <w:rFonts w:ascii="Arial" w:hAnsi="Arial" w:cs="Arial"/>
        </w:rPr>
        <w:t xml:space="preserve"> </w:t>
      </w:r>
      <w:r w:rsidRPr="00BC6058">
        <w:rPr>
          <w:rFonts w:ascii="Arial" w:hAnsi="Arial" w:cs="Arial"/>
        </w:rPr>
        <w:t>and decisions. The issues that gatherings face vary, but some common ones include planning gatherings, raising resources, organizing events, keeping an eye out for customer or local conflicts, creating or changing things or organizations to meet requirements, supporting people, and revealing issues concerning issues or causes (Arvan et al., 2019).</w:t>
      </w:r>
    </w:p>
    <w:p w14:paraId="02C97BD4" w14:textId="77777777" w:rsidR="00F94244" w:rsidRPr="00BC6058" w:rsidRDefault="00F94244" w:rsidP="00BC6058">
      <w:pPr>
        <w:pStyle w:val="Heading1"/>
        <w:spacing w:line="360" w:lineRule="auto"/>
        <w:rPr>
          <w:rFonts w:ascii="Arial" w:hAnsi="Arial" w:cs="Arial"/>
          <w:sz w:val="22"/>
          <w:szCs w:val="22"/>
        </w:rPr>
      </w:pPr>
      <w:bookmarkStart w:id="6" w:name="_Toc88570890"/>
      <w:bookmarkStart w:id="7" w:name="_Toc90978883"/>
      <w:r w:rsidRPr="00BC6058">
        <w:rPr>
          <w:rFonts w:ascii="Arial" w:hAnsi="Arial" w:cs="Arial"/>
          <w:sz w:val="22"/>
          <w:szCs w:val="22"/>
        </w:rPr>
        <w:t>Potential solutions</w:t>
      </w:r>
      <w:bookmarkEnd w:id="6"/>
      <w:bookmarkEnd w:id="7"/>
    </w:p>
    <w:p w14:paraId="6B1A5C06" w14:textId="77777777" w:rsidR="003822A8" w:rsidRPr="00BC6058" w:rsidRDefault="003822A8" w:rsidP="00BC6058">
      <w:pPr>
        <w:spacing w:line="360" w:lineRule="auto"/>
        <w:ind w:firstLine="360"/>
        <w:rPr>
          <w:rFonts w:ascii="Arial" w:hAnsi="Arial" w:cs="Arial"/>
        </w:rPr>
      </w:pPr>
    </w:p>
    <w:p w14:paraId="06A02F97" w14:textId="4594735C" w:rsidR="00F94244" w:rsidRPr="00BC6058" w:rsidRDefault="00F94244" w:rsidP="00BC6058">
      <w:pPr>
        <w:spacing w:line="360" w:lineRule="auto"/>
        <w:ind w:firstLine="360"/>
        <w:rPr>
          <w:rFonts w:ascii="Arial" w:hAnsi="Arial" w:cs="Arial"/>
        </w:rPr>
      </w:pPr>
      <w:r w:rsidRPr="00BC6058">
        <w:rPr>
          <w:rFonts w:ascii="Arial" w:hAnsi="Arial" w:cs="Arial"/>
        </w:rPr>
        <w:t>The below are maybe one or two alternative ways in which adventures or bosses can combat specialist work unhappiness and prevent an agent from being angry while working (Cox and Root, 2020):</w:t>
      </w:r>
    </w:p>
    <w:p w14:paraId="4A4E5EDA" w14:textId="77777777" w:rsidR="00F94244" w:rsidRPr="00BC6058" w:rsidRDefault="00F94244" w:rsidP="00BC6058">
      <w:pPr>
        <w:pStyle w:val="ListParagraph"/>
        <w:numPr>
          <w:ilvl w:val="0"/>
          <w:numId w:val="1"/>
        </w:numPr>
        <w:spacing w:line="360" w:lineRule="auto"/>
        <w:rPr>
          <w:rFonts w:ascii="Arial" w:hAnsi="Arial" w:cs="Arial"/>
        </w:rPr>
      </w:pPr>
      <w:r w:rsidRPr="00BC6058">
        <w:rPr>
          <w:rFonts w:ascii="Arial" w:hAnsi="Arial" w:cs="Arial"/>
        </w:rPr>
        <w:t>Provide a clear set of objectives and instructions: To your representatives, try to characterize precise aims and titles. They will have trust in their display and pledges if you give them clear rules. You should also make yourself available if they have any inquiries or aren't sure what they're looking for.</w:t>
      </w:r>
    </w:p>
    <w:p w14:paraId="3B99B530" w14:textId="77777777" w:rsidR="00F94244" w:rsidRPr="00BC6058" w:rsidRDefault="00F94244" w:rsidP="00BC6058">
      <w:pPr>
        <w:pStyle w:val="ListParagraph"/>
        <w:numPr>
          <w:ilvl w:val="0"/>
          <w:numId w:val="1"/>
        </w:numPr>
        <w:spacing w:line="360" w:lineRule="auto"/>
        <w:rPr>
          <w:rFonts w:ascii="Arial" w:hAnsi="Arial" w:cs="Arial"/>
        </w:rPr>
      </w:pPr>
      <w:r w:rsidRPr="00BC6058">
        <w:rPr>
          <w:rFonts w:ascii="Arial" w:hAnsi="Arial" w:cs="Arial"/>
        </w:rPr>
        <w:t>Give Your Employees a Variety of Work: Giving a delegate monotonous work is ineffective and inconvenient. Select delegates for a variety of challenging projects. Allow them to try different things once in a while so they don't become exhausted.</w:t>
      </w:r>
    </w:p>
    <w:p w14:paraId="12C8C875" w14:textId="77777777" w:rsidR="00F94244" w:rsidRPr="00BC6058" w:rsidRDefault="00F94244" w:rsidP="00BC6058">
      <w:pPr>
        <w:pStyle w:val="ListParagraph"/>
        <w:numPr>
          <w:ilvl w:val="0"/>
          <w:numId w:val="1"/>
        </w:numPr>
        <w:spacing w:line="360" w:lineRule="auto"/>
        <w:rPr>
          <w:rFonts w:ascii="Arial" w:hAnsi="Arial" w:cs="Arial"/>
        </w:rPr>
      </w:pPr>
      <w:r w:rsidRPr="00BC6058">
        <w:rPr>
          <w:rFonts w:ascii="Arial" w:hAnsi="Arial" w:cs="Arial"/>
        </w:rPr>
        <w:t xml:space="preserve">Maintain Consistent Communication with Your Subordinates: Maintain consistent communication with your workers. An open channel of communication with your workers demonstrates that their opinions and abilities are valued and that they are valued </w:t>
      </w:r>
      <w:r w:rsidRPr="00BC6058">
        <w:rPr>
          <w:rFonts w:ascii="Arial" w:hAnsi="Arial" w:cs="Arial"/>
        </w:rPr>
        <w:lastRenderedPageBreak/>
        <w:t>members of the team. In the same way, this avoids any complications that may occur as a result of miscommunication.</w:t>
      </w:r>
    </w:p>
    <w:p w14:paraId="3BBEF810" w14:textId="77777777" w:rsidR="00F94244" w:rsidRPr="00BC6058" w:rsidRDefault="00F94244" w:rsidP="00BC6058">
      <w:pPr>
        <w:pStyle w:val="ListParagraph"/>
        <w:numPr>
          <w:ilvl w:val="0"/>
          <w:numId w:val="1"/>
        </w:numPr>
        <w:spacing w:line="360" w:lineRule="auto"/>
        <w:rPr>
          <w:rFonts w:ascii="Arial" w:hAnsi="Arial" w:cs="Arial"/>
        </w:rPr>
      </w:pPr>
      <w:r w:rsidRPr="00BC6058">
        <w:rPr>
          <w:rFonts w:ascii="Arial" w:hAnsi="Arial" w:cs="Arial"/>
        </w:rPr>
        <w:t>Maintain the No Favoritism Policy: Treat everyone fairly. Prejudice will only serve to lower the spirits of individual delegates. Nepotism in the workplace might give the impression that their hard work is unimportant and that simply being oriented in the direction of the delegate gets confirmation, aggravating workers who don't feel valued for putting forth a little effort in their work.</w:t>
      </w:r>
    </w:p>
    <w:p w14:paraId="076281B4" w14:textId="28EC8027" w:rsidR="00F94244" w:rsidRPr="00BC6058" w:rsidRDefault="00F94244" w:rsidP="00BC6058">
      <w:pPr>
        <w:pStyle w:val="ListParagraph"/>
        <w:numPr>
          <w:ilvl w:val="0"/>
          <w:numId w:val="1"/>
        </w:numPr>
        <w:spacing w:line="360" w:lineRule="auto"/>
        <w:rPr>
          <w:rFonts w:ascii="Arial" w:hAnsi="Arial" w:cs="Arial"/>
        </w:rPr>
      </w:pPr>
      <w:r w:rsidRPr="00BC6058">
        <w:rPr>
          <w:rFonts w:ascii="Arial" w:hAnsi="Arial" w:cs="Arial"/>
        </w:rPr>
        <w:t>Recognize and Appreciate Your Employees: Demonstrate to your delegates that their tireless efforts are noticed and appreciated. Praise them for their outstanding</w:t>
      </w:r>
      <w:r w:rsidRPr="00BC6058">
        <w:rPr>
          <w:rFonts w:ascii="Arial" w:hAnsi="Arial" w:cs="Arial"/>
        </w:rPr>
        <w:t xml:space="preserve"> </w:t>
      </w:r>
      <w:r w:rsidRPr="00BC6058">
        <w:rPr>
          <w:rFonts w:ascii="Arial" w:hAnsi="Arial" w:cs="Arial"/>
        </w:rPr>
        <w:t>performance and inform them of the wonderful work they've done that hasn't gone unnoticed. Set up a system in which they are rewarded – this can be in the form of monetary compensation, such as raises or remunerations, or the form of other awards, such as association parties and cultural occasion outings.</w:t>
      </w:r>
    </w:p>
    <w:p w14:paraId="69169B2C" w14:textId="77777777" w:rsidR="00F94244" w:rsidRPr="00BC6058" w:rsidRDefault="00F94244" w:rsidP="00BC6058">
      <w:pPr>
        <w:pStyle w:val="Heading1"/>
        <w:spacing w:line="360" w:lineRule="auto"/>
        <w:rPr>
          <w:rFonts w:ascii="Arial" w:hAnsi="Arial" w:cs="Arial"/>
          <w:sz w:val="22"/>
          <w:szCs w:val="22"/>
        </w:rPr>
      </w:pPr>
      <w:bookmarkStart w:id="8" w:name="_Toc88570891"/>
      <w:bookmarkStart w:id="9" w:name="_Toc90978884"/>
      <w:r w:rsidRPr="00BC6058">
        <w:rPr>
          <w:rFonts w:ascii="Arial" w:hAnsi="Arial" w:cs="Arial"/>
          <w:sz w:val="22"/>
          <w:szCs w:val="22"/>
        </w:rPr>
        <w:t>Solution evaluation</w:t>
      </w:r>
      <w:bookmarkEnd w:id="8"/>
      <w:bookmarkEnd w:id="9"/>
    </w:p>
    <w:p w14:paraId="44C99AFB" w14:textId="77777777" w:rsidR="003822A8" w:rsidRPr="00BC6058" w:rsidRDefault="003822A8" w:rsidP="00BC6058">
      <w:pPr>
        <w:spacing w:line="360" w:lineRule="auto"/>
        <w:ind w:firstLine="720"/>
        <w:rPr>
          <w:rFonts w:ascii="Arial" w:hAnsi="Arial" w:cs="Arial"/>
        </w:rPr>
      </w:pPr>
    </w:p>
    <w:p w14:paraId="234BDD73" w14:textId="7161821E" w:rsidR="00F94244" w:rsidRPr="00BC6058" w:rsidRDefault="00F94244" w:rsidP="00BC6058">
      <w:pPr>
        <w:spacing w:line="360" w:lineRule="auto"/>
        <w:ind w:firstLine="720"/>
        <w:rPr>
          <w:rFonts w:ascii="Arial" w:hAnsi="Arial" w:cs="Arial"/>
        </w:rPr>
      </w:pPr>
      <w:r w:rsidRPr="00BC6058">
        <w:rPr>
          <w:rFonts w:ascii="Arial" w:hAnsi="Arial" w:cs="Arial"/>
        </w:rPr>
        <w:t>Game plans can be evaluated for their credibility, satisfaction, and worth during this phase of arrangement evaluation. When the various game plans have been narrowed down based on more distinct differentiation in terms of relevance and authenticity, the social gathering should examine each course of action in terms of its prospective effects—particularly hostile outcomes. Gatherings that are expected to declare their reasoning for their decisions or whose decisions may be subject to public scrutiny would be wise to create a set of surveying metrics for each game plan. Furthermore, plans of action can be assessed in terms of how well they suit the social occasion's charge and the gathering's boundaries. Many people may ask, "Does this course of action fulfill the primary explanation or objective of the social event?" to do this and is it possible to carry out the strategy with our current resources and affiliations? How should this game plan be maintained, funded, implemented, and evaluated? During this process of decisive reasoning, secondary strains, and major battles, two previously discussed thoughts, emerge, and assembling people must employ exceptional conclusive thinking and listening abilities (Araghian et al., 2018).</w:t>
      </w:r>
    </w:p>
    <w:p w14:paraId="307B3EEC" w14:textId="77777777" w:rsidR="00F94244" w:rsidRPr="00BC6058" w:rsidRDefault="00F94244" w:rsidP="00BC6058">
      <w:pPr>
        <w:pStyle w:val="Heading1"/>
        <w:spacing w:line="360" w:lineRule="auto"/>
        <w:rPr>
          <w:rFonts w:ascii="Arial" w:hAnsi="Arial" w:cs="Arial"/>
          <w:sz w:val="22"/>
          <w:szCs w:val="22"/>
        </w:rPr>
      </w:pPr>
      <w:bookmarkStart w:id="10" w:name="_Toc88570892"/>
      <w:bookmarkStart w:id="11" w:name="_Toc90978885"/>
      <w:r w:rsidRPr="00BC6058">
        <w:rPr>
          <w:rFonts w:ascii="Arial" w:hAnsi="Arial" w:cs="Arial"/>
          <w:sz w:val="22"/>
          <w:szCs w:val="22"/>
        </w:rPr>
        <w:t>Solution implementation plan</w:t>
      </w:r>
      <w:bookmarkEnd w:id="10"/>
      <w:bookmarkEnd w:id="11"/>
    </w:p>
    <w:p w14:paraId="328CCBE9" w14:textId="77777777" w:rsidR="003822A8" w:rsidRPr="00BC6058" w:rsidRDefault="003822A8" w:rsidP="00BC6058">
      <w:pPr>
        <w:spacing w:line="360" w:lineRule="auto"/>
        <w:ind w:firstLine="360"/>
        <w:rPr>
          <w:rFonts w:ascii="Arial" w:hAnsi="Arial" w:cs="Arial"/>
        </w:rPr>
      </w:pPr>
    </w:p>
    <w:p w14:paraId="0329BBC7" w14:textId="34B8D9EB" w:rsidR="00F94244" w:rsidRPr="00BC6058" w:rsidRDefault="00F94244" w:rsidP="00BC6058">
      <w:pPr>
        <w:spacing w:line="360" w:lineRule="auto"/>
        <w:ind w:firstLine="360"/>
        <w:rPr>
          <w:rFonts w:ascii="Arial" w:hAnsi="Arial" w:cs="Arial"/>
        </w:rPr>
      </w:pPr>
      <w:r w:rsidRPr="00BC6058">
        <w:rPr>
          <w:rFonts w:ascii="Arial" w:hAnsi="Arial" w:cs="Arial"/>
        </w:rPr>
        <w:lastRenderedPageBreak/>
        <w:t>The success of a framework is determined by how well you perceive and address the problem. Ace problem solvers will change contexts more frequently while performing a technique, consider more game plans, examine courses of action more cautiously before dismissing them, and arrive at more practical goals. ITS recommends strategies for executing your solution (Kiba-Janiak, 2019):</w:t>
      </w:r>
    </w:p>
    <w:p w14:paraId="7315852D" w14:textId="77777777" w:rsidR="00F94244" w:rsidRPr="00BC6058" w:rsidRDefault="00F94244" w:rsidP="00BC6058">
      <w:pPr>
        <w:pStyle w:val="ListParagraph"/>
        <w:numPr>
          <w:ilvl w:val="0"/>
          <w:numId w:val="2"/>
        </w:numPr>
        <w:spacing w:line="360" w:lineRule="auto"/>
        <w:rPr>
          <w:rFonts w:ascii="Arial" w:hAnsi="Arial" w:cs="Arial"/>
        </w:rPr>
      </w:pPr>
      <w:r w:rsidRPr="00BC6058">
        <w:rPr>
          <w:rFonts w:ascii="Arial" w:hAnsi="Arial" w:cs="Arial"/>
        </w:rPr>
        <w:t>Identify the exercises that are required.</w:t>
      </w:r>
    </w:p>
    <w:p w14:paraId="16764256" w14:textId="7C8E64E6" w:rsidR="00F94244" w:rsidRPr="00BC6058" w:rsidRDefault="00F94244" w:rsidP="00BC6058">
      <w:pPr>
        <w:pStyle w:val="ListParagraph"/>
        <w:numPr>
          <w:ilvl w:val="0"/>
          <w:numId w:val="2"/>
        </w:numPr>
        <w:spacing w:line="360" w:lineRule="auto"/>
        <w:rPr>
          <w:rFonts w:ascii="Arial" w:hAnsi="Arial" w:cs="Arial"/>
        </w:rPr>
      </w:pPr>
      <w:r w:rsidRPr="00BC6058">
        <w:rPr>
          <w:rFonts w:ascii="Arial" w:hAnsi="Arial" w:cs="Arial"/>
        </w:rPr>
        <w:t>Make a schedule for the exercises.</w:t>
      </w:r>
      <w:r w:rsidRPr="00BC6058">
        <w:rPr>
          <w:rFonts w:ascii="Arial" w:hAnsi="Arial" w:cs="Arial"/>
        </w:rPr>
        <w:t xml:space="preserve"> </w:t>
      </w:r>
      <w:r w:rsidRPr="00BC6058">
        <w:rPr>
          <w:rFonts w:ascii="Arial" w:hAnsi="Arial" w:cs="Arial"/>
        </w:rPr>
        <w:t>Recognize the requisite resources.</w:t>
      </w:r>
    </w:p>
    <w:p w14:paraId="51DBA865" w14:textId="77777777" w:rsidR="00F94244" w:rsidRPr="00BC6058" w:rsidRDefault="00F94244" w:rsidP="00BC6058">
      <w:pPr>
        <w:pStyle w:val="ListParagraph"/>
        <w:numPr>
          <w:ilvl w:val="0"/>
          <w:numId w:val="2"/>
        </w:numPr>
        <w:spacing w:line="360" w:lineRule="auto"/>
        <w:rPr>
          <w:rFonts w:ascii="Arial" w:hAnsi="Arial" w:cs="Arial"/>
        </w:rPr>
      </w:pPr>
      <w:r w:rsidRPr="00BC6058">
        <w:rPr>
          <w:rFonts w:ascii="Arial" w:hAnsi="Arial" w:cs="Arial"/>
        </w:rPr>
        <w:t>Put in place counter-measures in the event of an unfavorable outcome.</w:t>
      </w:r>
    </w:p>
    <w:p w14:paraId="72D80BA5" w14:textId="77777777" w:rsidR="00F94244" w:rsidRPr="00BC6058" w:rsidRDefault="00F94244" w:rsidP="00BC6058">
      <w:pPr>
        <w:pStyle w:val="ListParagraph"/>
        <w:numPr>
          <w:ilvl w:val="0"/>
          <w:numId w:val="2"/>
        </w:numPr>
        <w:spacing w:line="360" w:lineRule="auto"/>
        <w:rPr>
          <w:rFonts w:ascii="Arial" w:hAnsi="Arial" w:cs="Arial"/>
        </w:rPr>
      </w:pPr>
      <w:r w:rsidRPr="00BC6058">
        <w:rPr>
          <w:rFonts w:ascii="Arial" w:hAnsi="Arial" w:cs="Arial"/>
        </w:rPr>
        <w:t>Recognize the movement's leaders.</w:t>
      </w:r>
    </w:p>
    <w:p w14:paraId="6543BACA" w14:textId="77777777" w:rsidR="00F94244" w:rsidRPr="00BC6058" w:rsidRDefault="00F94244" w:rsidP="00BC6058">
      <w:pPr>
        <w:pStyle w:val="ListParagraph"/>
        <w:numPr>
          <w:ilvl w:val="0"/>
          <w:numId w:val="2"/>
        </w:numPr>
        <w:spacing w:line="360" w:lineRule="auto"/>
        <w:rPr>
          <w:rFonts w:ascii="Arial" w:hAnsi="Arial" w:cs="Arial"/>
        </w:rPr>
      </w:pPr>
      <w:r w:rsidRPr="00BC6058">
        <w:rPr>
          <w:rFonts w:ascii="Arial" w:hAnsi="Arial" w:cs="Arial"/>
        </w:rPr>
        <w:t>Conduct a review of the game plan.</w:t>
      </w:r>
    </w:p>
    <w:p w14:paraId="7261CF57" w14:textId="77777777" w:rsidR="00F94244" w:rsidRPr="00BC6058" w:rsidRDefault="00F94244" w:rsidP="00BC6058">
      <w:pPr>
        <w:spacing w:line="360" w:lineRule="auto"/>
        <w:rPr>
          <w:rFonts w:ascii="Arial" w:hAnsi="Arial" w:cs="Arial"/>
        </w:rPr>
      </w:pPr>
      <w:r w:rsidRPr="00BC6058">
        <w:rPr>
          <w:rFonts w:ascii="Arial" w:hAnsi="Arial" w:cs="Arial"/>
        </w:rPr>
        <w:t>For associations, there are three Cs to consider (Kiba-Janiak, 2019):</w:t>
      </w:r>
    </w:p>
    <w:p w14:paraId="2D5C3564" w14:textId="77777777" w:rsidR="00F94244" w:rsidRPr="00BC6058" w:rsidRDefault="00F94244" w:rsidP="00BC6058">
      <w:pPr>
        <w:pStyle w:val="ListParagraph"/>
        <w:numPr>
          <w:ilvl w:val="0"/>
          <w:numId w:val="3"/>
        </w:numPr>
        <w:spacing w:line="360" w:lineRule="auto"/>
        <w:rPr>
          <w:rFonts w:ascii="Arial" w:hAnsi="Arial" w:cs="Arial"/>
        </w:rPr>
      </w:pPr>
      <w:r w:rsidRPr="00BC6058">
        <w:rPr>
          <w:rFonts w:ascii="Arial" w:hAnsi="Arial" w:cs="Arial"/>
        </w:rPr>
        <w:t>Clarity: be clear about your approach. Techniques are given as obvious level intonations that engage with board and pioneer levels but fall flat with mid-level and front-line employees.</w:t>
      </w:r>
    </w:p>
    <w:p w14:paraId="45790FAD" w14:textId="77777777" w:rsidR="00F94244" w:rsidRPr="00BC6058" w:rsidRDefault="00F94244" w:rsidP="00BC6058">
      <w:pPr>
        <w:pStyle w:val="ListParagraph"/>
        <w:numPr>
          <w:ilvl w:val="0"/>
          <w:numId w:val="3"/>
        </w:numPr>
        <w:spacing w:line="360" w:lineRule="auto"/>
        <w:rPr>
          <w:rFonts w:ascii="Arial" w:hAnsi="Arial" w:cs="Arial"/>
        </w:rPr>
      </w:pPr>
      <w:r w:rsidRPr="00BC6058">
        <w:rPr>
          <w:rFonts w:ascii="Arial" w:hAnsi="Arial" w:cs="Arial"/>
        </w:rPr>
        <w:t>Communication: I've never been a part of an organization where I've heard from people repeatedly or with a great degree of clarity.</w:t>
      </w:r>
    </w:p>
    <w:p w14:paraId="505B2B3A" w14:textId="77777777" w:rsidR="00F94244" w:rsidRPr="00BC6058" w:rsidRDefault="00F94244" w:rsidP="00BC6058">
      <w:pPr>
        <w:pStyle w:val="ListParagraph"/>
        <w:numPr>
          <w:ilvl w:val="0"/>
          <w:numId w:val="3"/>
        </w:numPr>
        <w:spacing w:line="360" w:lineRule="auto"/>
        <w:rPr>
          <w:rFonts w:ascii="Arial" w:hAnsi="Arial" w:cs="Arial"/>
        </w:rPr>
      </w:pPr>
      <w:r w:rsidRPr="00BC6058">
        <w:rPr>
          <w:rFonts w:ascii="Arial" w:hAnsi="Arial" w:cs="Arial"/>
        </w:rPr>
        <w:t>Falling: Ideally, you'll recall your chiefs for their collaboration, and they'll assist you in interpreting the sections of the philosophy that pertain to your valuable regions. This allows them to create and guarantee the most widely used method of dismantling the framework and putting together execution plans with a high probability of success.</w:t>
      </w:r>
    </w:p>
    <w:p w14:paraId="54961F91" w14:textId="77777777" w:rsidR="00F94244" w:rsidRPr="00BC6058" w:rsidRDefault="00F94244" w:rsidP="00BC6058">
      <w:pPr>
        <w:pStyle w:val="Heading1"/>
        <w:spacing w:line="360" w:lineRule="auto"/>
        <w:rPr>
          <w:rFonts w:ascii="Arial" w:hAnsi="Arial" w:cs="Arial"/>
          <w:sz w:val="22"/>
          <w:szCs w:val="22"/>
        </w:rPr>
      </w:pPr>
      <w:bookmarkStart w:id="12" w:name="_Toc88570893"/>
      <w:bookmarkStart w:id="13" w:name="_Toc90978886"/>
      <w:r w:rsidRPr="00BC6058">
        <w:rPr>
          <w:rFonts w:ascii="Arial" w:hAnsi="Arial" w:cs="Arial"/>
          <w:sz w:val="22"/>
          <w:szCs w:val="22"/>
        </w:rPr>
        <w:t>Plan communication to stakeholders</w:t>
      </w:r>
      <w:bookmarkEnd w:id="12"/>
      <w:bookmarkEnd w:id="13"/>
    </w:p>
    <w:p w14:paraId="7F3E2164" w14:textId="77777777" w:rsidR="003822A8" w:rsidRPr="00BC6058" w:rsidRDefault="003822A8" w:rsidP="00BC6058">
      <w:pPr>
        <w:spacing w:line="360" w:lineRule="auto"/>
        <w:ind w:firstLine="720"/>
        <w:rPr>
          <w:rFonts w:ascii="Arial" w:hAnsi="Arial" w:cs="Arial"/>
        </w:rPr>
      </w:pPr>
    </w:p>
    <w:p w14:paraId="28E69A12" w14:textId="5A1C0023" w:rsidR="003822A8" w:rsidRPr="00BC6058" w:rsidRDefault="00F94244" w:rsidP="00BC6058">
      <w:pPr>
        <w:spacing w:line="360" w:lineRule="auto"/>
        <w:ind w:firstLine="720"/>
        <w:rPr>
          <w:rFonts w:ascii="Arial" w:hAnsi="Arial" w:cs="Arial"/>
        </w:rPr>
      </w:pPr>
      <w:r w:rsidRPr="00BC6058">
        <w:rPr>
          <w:rFonts w:ascii="Arial" w:hAnsi="Arial" w:cs="Arial"/>
        </w:rPr>
        <w:t xml:space="preserve">This social gathering is centered on determining the affiliation's primary course of action. If you're worried that information from your senior gathering will leak before the social event, send an email or text message before notifying. Represent the main concepts of a fundamental course of action during the social event, just as you would any new terms or ways of terms. To develop a set around what the system indicates for the improvement of the association, provide a more comprehensive base for the authentic setting of the relationship. You can discuss the crucial aspects of what precipitated your turn of events, previous challenges, and how this has influenced your future path. Draw unmistakable models of your high ground and weights. Determine who the resistance is by the end of the day. It might surprise you to learn how little </w:t>
      </w:r>
      <w:r w:rsidRPr="00BC6058">
        <w:rPr>
          <w:rFonts w:ascii="Arial" w:hAnsi="Arial" w:cs="Arial"/>
        </w:rPr>
        <w:lastRenderedPageBreak/>
        <w:t>people consider the influence of competition on your business and direction. Remember that everyone has a distinct level of vision, so make sure you didn't just depict the numbers in the basic plan, but also what the terminology means and why they're</w:t>
      </w:r>
      <w:r w:rsidR="003822A8" w:rsidRPr="00BC6058">
        <w:rPr>
          <w:rFonts w:ascii="Arial" w:hAnsi="Arial" w:cs="Arial"/>
        </w:rPr>
        <w:t xml:space="preserve"> </w:t>
      </w:r>
      <w:r w:rsidR="003822A8" w:rsidRPr="00BC6058">
        <w:rPr>
          <w:rFonts w:ascii="Arial" w:hAnsi="Arial" w:cs="Arial"/>
        </w:rPr>
        <w:t>crucial to comprehending the firm. Inquire with them at each meeting with their supervisors about the subtleties and ramifications of how they handle their responsibilities within the organization. Set up a bulletin board or assessment practices to keep everyone informed about the course of action (be clear) (Mireri and Oringo, 2019).</w:t>
      </w:r>
    </w:p>
    <w:p w14:paraId="31B16D4C" w14:textId="6B1760EF" w:rsidR="003822A8" w:rsidRPr="00BC6058" w:rsidRDefault="003822A8" w:rsidP="00BC6058">
      <w:pPr>
        <w:pStyle w:val="Heading1"/>
        <w:spacing w:line="360" w:lineRule="auto"/>
        <w:rPr>
          <w:rFonts w:ascii="Arial" w:hAnsi="Arial" w:cs="Arial"/>
          <w:sz w:val="22"/>
          <w:szCs w:val="22"/>
        </w:rPr>
      </w:pPr>
      <w:bookmarkStart w:id="14" w:name="_Toc88570894"/>
      <w:bookmarkStart w:id="15" w:name="_Toc90978887"/>
      <w:r w:rsidRPr="00BC6058">
        <w:rPr>
          <w:rFonts w:ascii="Arial" w:hAnsi="Arial" w:cs="Arial"/>
          <w:sz w:val="22"/>
          <w:szCs w:val="22"/>
        </w:rPr>
        <w:t>Techniques for successful implementation</w:t>
      </w:r>
      <w:bookmarkEnd w:id="14"/>
      <w:bookmarkEnd w:id="15"/>
    </w:p>
    <w:p w14:paraId="7AEEA363" w14:textId="77777777" w:rsidR="003822A8" w:rsidRPr="00BC6058" w:rsidRDefault="003822A8" w:rsidP="00BC6058">
      <w:pPr>
        <w:spacing w:line="360" w:lineRule="auto"/>
        <w:rPr>
          <w:rFonts w:ascii="Arial" w:hAnsi="Arial" w:cs="Arial"/>
        </w:rPr>
      </w:pPr>
    </w:p>
    <w:p w14:paraId="7EBABE65" w14:textId="77777777" w:rsidR="003822A8" w:rsidRPr="00BC6058" w:rsidRDefault="003822A8" w:rsidP="00BC6058">
      <w:pPr>
        <w:spacing w:line="360" w:lineRule="auto"/>
        <w:ind w:firstLine="720"/>
        <w:rPr>
          <w:rFonts w:ascii="Arial" w:hAnsi="Arial" w:cs="Arial"/>
        </w:rPr>
      </w:pPr>
      <w:r w:rsidRPr="00BC6058">
        <w:rPr>
          <w:rFonts w:ascii="Arial" w:hAnsi="Arial" w:cs="Arial"/>
        </w:rPr>
        <w:t>The underlying advance of the cycle is immediate: You ought to recognize the goals that the new framework should achieve. Without a sensible picture of what you're endeavoring to accomplish, it will in general be difficult to set up a game plan for arriving. To make an effort not to unexpectedly cause low determination, review the outcomes and presentations—both the victories and frustrations—of past change drives to sort out what's reasonable given your period and resources (Mireri and Oringo, 2019). Use this experience to describe what accomplishment resembles. All specialist work should agree with authoritative objectives and the CEO's vision for the association. Having conversations with organizations and chiefs concerning how to delegate work changes over into the association's destinations should be centered around and happen reliably.</w:t>
      </w:r>
    </w:p>
    <w:p w14:paraId="1BA2FEEC" w14:textId="2B16B3D5" w:rsidR="003822A8" w:rsidRPr="00BC6058" w:rsidRDefault="003822A8" w:rsidP="00BC6058">
      <w:pPr>
        <w:pStyle w:val="ListParagraph"/>
        <w:spacing w:line="360" w:lineRule="auto"/>
        <w:rPr>
          <w:rFonts w:ascii="Arial" w:hAnsi="Arial" w:cs="Arial"/>
        </w:rPr>
      </w:pPr>
    </w:p>
    <w:p w14:paraId="20FDC0AE" w14:textId="77777777" w:rsidR="003822A8" w:rsidRPr="00BC6058" w:rsidRDefault="003822A8" w:rsidP="00BC6058">
      <w:pPr>
        <w:spacing w:after="160" w:line="360" w:lineRule="auto"/>
        <w:rPr>
          <w:rFonts w:ascii="Arial" w:hAnsi="Arial" w:cs="Arial"/>
        </w:rPr>
      </w:pPr>
      <w:r w:rsidRPr="00BC6058">
        <w:rPr>
          <w:rFonts w:ascii="Arial" w:hAnsi="Arial" w:cs="Arial"/>
        </w:rPr>
        <w:br w:type="page"/>
      </w:r>
    </w:p>
    <w:p w14:paraId="7B529B24" w14:textId="77777777" w:rsidR="00F94244" w:rsidRPr="00BC6058" w:rsidRDefault="00F94244" w:rsidP="00BC6058">
      <w:pPr>
        <w:pStyle w:val="ListParagraph"/>
        <w:spacing w:line="360" w:lineRule="auto"/>
        <w:rPr>
          <w:rFonts w:ascii="Arial" w:hAnsi="Arial" w:cs="Arial"/>
        </w:rPr>
      </w:pPr>
    </w:p>
    <w:p w14:paraId="38EDB978" w14:textId="77777777" w:rsidR="003822A8" w:rsidRPr="00BC6058" w:rsidRDefault="003822A8" w:rsidP="00BC6058">
      <w:pPr>
        <w:pStyle w:val="Heading1"/>
        <w:spacing w:line="360" w:lineRule="auto"/>
        <w:rPr>
          <w:rFonts w:ascii="Arial" w:hAnsi="Arial" w:cs="Arial"/>
          <w:sz w:val="22"/>
          <w:szCs w:val="22"/>
        </w:rPr>
      </w:pPr>
      <w:bookmarkStart w:id="16" w:name="_Toc90978888"/>
      <w:r w:rsidRPr="00BC6058">
        <w:rPr>
          <w:rFonts w:ascii="Arial" w:hAnsi="Arial" w:cs="Arial"/>
          <w:sz w:val="22"/>
          <w:szCs w:val="22"/>
        </w:rPr>
        <w:t>References</w:t>
      </w:r>
      <w:bookmarkEnd w:id="16"/>
    </w:p>
    <w:p w14:paraId="517B4ACE" w14:textId="77777777" w:rsidR="003822A8" w:rsidRPr="00BC6058" w:rsidRDefault="003822A8" w:rsidP="00BC6058">
      <w:pPr>
        <w:tabs>
          <w:tab w:val="left" w:pos="1125"/>
        </w:tabs>
        <w:spacing w:line="360" w:lineRule="auto"/>
        <w:ind w:left="1123" w:hanging="1123"/>
        <w:rPr>
          <w:rFonts w:ascii="Arial" w:hAnsi="Arial" w:cs="Arial"/>
        </w:rPr>
      </w:pPr>
    </w:p>
    <w:p w14:paraId="12F10198" w14:textId="718D36C6" w:rsidR="003822A8" w:rsidRPr="00BC6058" w:rsidRDefault="003822A8" w:rsidP="00BC6058">
      <w:pPr>
        <w:tabs>
          <w:tab w:val="left" w:pos="1125"/>
        </w:tabs>
        <w:spacing w:line="360" w:lineRule="auto"/>
        <w:ind w:left="1123" w:hanging="1123"/>
        <w:rPr>
          <w:rFonts w:ascii="Arial" w:hAnsi="Arial" w:cs="Arial"/>
        </w:rPr>
      </w:pPr>
      <w:r w:rsidRPr="00BC6058">
        <w:rPr>
          <w:rFonts w:ascii="Arial" w:hAnsi="Arial" w:cs="Arial"/>
        </w:rPr>
        <w:t>Araghian, R., Ghonsooly, B., &amp; Ghanizadeh, A. (2018). Investigating problem-solving strategies of translation trainees with high and low levels of self-efficacy. Translation, Cognition &amp; Behavior, 1(1), 74-97.</w:t>
      </w:r>
    </w:p>
    <w:p w14:paraId="42D6E542" w14:textId="77777777" w:rsidR="003822A8" w:rsidRPr="00BC6058" w:rsidRDefault="003822A8" w:rsidP="00BC6058">
      <w:pPr>
        <w:tabs>
          <w:tab w:val="left" w:pos="1125"/>
        </w:tabs>
        <w:spacing w:line="360" w:lineRule="auto"/>
        <w:ind w:left="1123" w:hanging="1123"/>
        <w:rPr>
          <w:rFonts w:ascii="Arial" w:hAnsi="Arial" w:cs="Arial"/>
        </w:rPr>
      </w:pPr>
      <w:r w:rsidRPr="00BC6058">
        <w:rPr>
          <w:rFonts w:ascii="Arial" w:hAnsi="Arial" w:cs="Arial"/>
        </w:rPr>
        <w:t>Arvan, M. L., Pindek, S., Andel, S. A., &amp; Spector, P. E. (2019). Too good for your job? Disentangling the relationships between objective overqualification, perceived overqualification, and job dissatisfaction. Journal of Vocational Behavior, 115, 103323.</w:t>
      </w:r>
    </w:p>
    <w:p w14:paraId="4925E1ED" w14:textId="77777777" w:rsidR="003822A8" w:rsidRPr="00BC6058" w:rsidRDefault="003822A8" w:rsidP="00BC6058">
      <w:pPr>
        <w:tabs>
          <w:tab w:val="left" w:pos="1125"/>
        </w:tabs>
        <w:spacing w:line="360" w:lineRule="auto"/>
        <w:ind w:left="1123" w:hanging="1123"/>
        <w:rPr>
          <w:rFonts w:ascii="Arial" w:hAnsi="Arial" w:cs="Arial"/>
        </w:rPr>
      </w:pPr>
      <w:r w:rsidRPr="00BC6058">
        <w:rPr>
          <w:rFonts w:ascii="Arial" w:hAnsi="Arial" w:cs="Arial"/>
        </w:rPr>
        <w:t>Cox, S. K., &amp; Root, J. R. (2020). Modified schema-based instruction to develop flexible mathematics problem-solving strategies for students with an autism spectrum disorder. Remedial and Special Education, 41(3), 139-151.</w:t>
      </w:r>
    </w:p>
    <w:p w14:paraId="4D592FD7" w14:textId="77777777" w:rsidR="003822A8" w:rsidRPr="00BC6058" w:rsidRDefault="003822A8" w:rsidP="00BC6058">
      <w:pPr>
        <w:tabs>
          <w:tab w:val="left" w:pos="1125"/>
        </w:tabs>
        <w:spacing w:line="360" w:lineRule="auto"/>
        <w:ind w:left="1123" w:hanging="1123"/>
        <w:rPr>
          <w:rFonts w:ascii="Arial" w:hAnsi="Arial" w:cs="Arial"/>
        </w:rPr>
      </w:pPr>
      <w:r w:rsidRPr="00BC6058">
        <w:rPr>
          <w:rFonts w:ascii="Arial" w:hAnsi="Arial" w:cs="Arial"/>
        </w:rPr>
        <w:t>D'angelo, S., Syddall, H., Ntani, G., Harris, E. C., Linaker, C., Cooper, C., ... &amp; Walker-Bone, K. (2021). How does job dissatisfaction interact with self-rated health in determining the risk of health-related job loss? Prospective findings from the Health and Employment After Fifty (HEAF) study. Occupational and Environmental Medicine, 78(1), 36-42.</w:t>
      </w:r>
    </w:p>
    <w:p w14:paraId="77038800" w14:textId="571A599B" w:rsidR="00F94244" w:rsidRDefault="00F94244" w:rsidP="00F94244"/>
    <w:sectPr w:rsidR="00F94244" w:rsidSect="00BC605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401"/>
    <w:multiLevelType w:val="hybridMultilevel"/>
    <w:tmpl w:val="58460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F616E8"/>
    <w:multiLevelType w:val="hybridMultilevel"/>
    <w:tmpl w:val="B35C6CBC"/>
    <w:lvl w:ilvl="0" w:tplc="A2B2FF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B21D80"/>
    <w:multiLevelType w:val="hybridMultilevel"/>
    <w:tmpl w:val="FA7ADD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244"/>
    <w:rsid w:val="003822A8"/>
    <w:rsid w:val="006F703F"/>
    <w:rsid w:val="00A56F8E"/>
    <w:rsid w:val="00A73453"/>
    <w:rsid w:val="00BC6058"/>
    <w:rsid w:val="00F94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35F82"/>
  <w15:chartTrackingRefBased/>
  <w15:docId w15:val="{02187132-FAFA-4003-8143-756E03BF9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244"/>
    <w:pPr>
      <w:spacing w:after="200" w:line="276" w:lineRule="auto"/>
    </w:pPr>
  </w:style>
  <w:style w:type="paragraph" w:styleId="Heading1">
    <w:name w:val="heading 1"/>
    <w:basedOn w:val="Normal"/>
    <w:next w:val="Normal"/>
    <w:link w:val="Heading1Char"/>
    <w:uiPriority w:val="9"/>
    <w:qFormat/>
    <w:rsid w:val="00F9424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244"/>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F94244"/>
    <w:pPr>
      <w:ind w:left="720"/>
      <w:contextualSpacing/>
    </w:pPr>
  </w:style>
  <w:style w:type="paragraph" w:styleId="TOCHeading">
    <w:name w:val="TOC Heading"/>
    <w:basedOn w:val="Heading1"/>
    <w:next w:val="Normal"/>
    <w:uiPriority w:val="39"/>
    <w:unhideWhenUsed/>
    <w:qFormat/>
    <w:rsid w:val="00BC605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BC6058"/>
    <w:pPr>
      <w:spacing w:after="100"/>
    </w:pPr>
  </w:style>
  <w:style w:type="character" w:styleId="Hyperlink">
    <w:name w:val="Hyperlink"/>
    <w:basedOn w:val="DefaultParagraphFont"/>
    <w:uiPriority w:val="99"/>
    <w:unhideWhenUsed/>
    <w:rsid w:val="00BC6058"/>
    <w:rPr>
      <w:color w:val="0563C1" w:themeColor="hyperlink"/>
      <w:u w:val="single"/>
    </w:rPr>
  </w:style>
  <w:style w:type="paragraph" w:styleId="NoSpacing">
    <w:name w:val="No Spacing"/>
    <w:link w:val="NoSpacingChar"/>
    <w:uiPriority w:val="1"/>
    <w:qFormat/>
    <w:rsid w:val="00BC6058"/>
    <w:pPr>
      <w:spacing w:after="0" w:line="240" w:lineRule="auto"/>
    </w:pPr>
    <w:rPr>
      <w:rFonts w:eastAsiaTheme="minorEastAsia"/>
    </w:rPr>
  </w:style>
  <w:style w:type="character" w:customStyle="1" w:styleId="NoSpacingChar">
    <w:name w:val="No Spacing Char"/>
    <w:basedOn w:val="DefaultParagraphFont"/>
    <w:link w:val="NoSpacing"/>
    <w:uiPriority w:val="1"/>
    <w:rsid w:val="00BC605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11703-B255-4C10-BAB1-EE8757CC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2327</Words>
  <Characters>13267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MODULE</Company>
  <LinksUpToDate>false</LinksUpToDate>
  <CharactersWithSpaces>15563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TOOLS AND TECHNIQUES</dc:title>
  <dc:subject>PROGRAMME :CERT HE SKILLS FOR THE WORKPLACE</dc:subject>
  <dc:creator>alexandru serban</dc:creator>
  <cp:keywords/>
  <dc:description/>
  <cp:lastModifiedBy>alexandru serban</cp:lastModifiedBy>
  <cp:revision>1</cp:revision>
  <dcterms:created xsi:type="dcterms:W3CDTF">2021-12-21T19:20:00Z</dcterms:created>
  <dcterms:modified xsi:type="dcterms:W3CDTF">2021-12-21T19:45:00Z</dcterms:modified>
</cp:coreProperties>
</file>