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26427C" w14:textId="77777777" w:rsidR="002C5002" w:rsidRDefault="002C5002" w:rsidP="002C5002">
      <w:pPr>
        <w:jc w:val="center"/>
      </w:pPr>
      <w:r>
        <w:rPr>
          <w:noProof/>
        </w:rPr>
        <w:drawing>
          <wp:inline distT="0" distB="0" distL="0" distR="0" wp14:anchorId="05840D22" wp14:editId="35F89683">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1CD194B9" w14:textId="77777777" w:rsidR="002C5002" w:rsidRDefault="002C5002" w:rsidP="002C5002">
      <w:pPr>
        <w:jc w:val="center"/>
      </w:pPr>
    </w:p>
    <w:p w14:paraId="2F43327B" w14:textId="77777777" w:rsidR="002C5002" w:rsidRDefault="002C5002" w:rsidP="002C5002">
      <w:pPr>
        <w:jc w:val="center"/>
      </w:pPr>
    </w:p>
    <w:p w14:paraId="3FF47824" w14:textId="77777777" w:rsidR="00431C09" w:rsidRPr="0096026F" w:rsidRDefault="00431C09" w:rsidP="00431C09">
      <w:pPr>
        <w:jc w:val="center"/>
        <w:rPr>
          <w:b/>
          <w:i/>
          <w:sz w:val="28"/>
        </w:rPr>
      </w:pPr>
      <w:r w:rsidRPr="0096026F">
        <w:rPr>
          <w:b/>
          <w:bCs/>
          <w:i/>
          <w:sz w:val="28"/>
        </w:rPr>
        <w:t>International Business Consultancy Report on Unilever’s International Operations and Strategic Position in Bangladesh</w:t>
      </w:r>
    </w:p>
    <w:p w14:paraId="20B1E6A8" w14:textId="77777777" w:rsidR="002C5002" w:rsidRDefault="002C5002" w:rsidP="00431C09"/>
    <w:p w14:paraId="63EA6BE2" w14:textId="77777777" w:rsidR="002C5002" w:rsidRDefault="002C5002" w:rsidP="00431C09"/>
    <w:p w14:paraId="3339A76D" w14:textId="77777777" w:rsidR="002C5002" w:rsidRPr="00646406" w:rsidRDefault="002C5002" w:rsidP="002C5002">
      <w:pPr>
        <w:jc w:val="center"/>
        <w:rPr>
          <w:rFonts w:ascii="Arial" w:hAnsi="Arial" w:cs="Arial"/>
          <w:b/>
          <w:bCs/>
        </w:rPr>
      </w:pPr>
      <w:r w:rsidRPr="00646406">
        <w:rPr>
          <w:rFonts w:ascii="Arial" w:hAnsi="Arial" w:cs="Arial"/>
          <w:b/>
          <w:bCs/>
        </w:rPr>
        <w:t>Student Name:</w:t>
      </w:r>
      <w:r>
        <w:rPr>
          <w:rFonts w:ascii="Arial" w:hAnsi="Arial" w:cs="Arial"/>
          <w:b/>
          <w:bCs/>
        </w:rPr>
        <w:t xml:space="preserve"> </w:t>
      </w:r>
      <w:proofErr w:type="spellStart"/>
      <w:r w:rsidR="00431C09" w:rsidRPr="00431C09">
        <w:rPr>
          <w:rFonts w:ascii="Arial" w:hAnsi="Arial" w:cs="Arial"/>
          <w:bCs/>
        </w:rPr>
        <w:t>Tajwar</w:t>
      </w:r>
      <w:proofErr w:type="spellEnd"/>
      <w:r w:rsidR="00431C09" w:rsidRPr="00431C09">
        <w:rPr>
          <w:rFonts w:ascii="Arial" w:hAnsi="Arial" w:cs="Arial"/>
          <w:bCs/>
        </w:rPr>
        <w:t xml:space="preserve"> Ahmed</w:t>
      </w:r>
    </w:p>
    <w:p w14:paraId="45D8D0C5" w14:textId="77777777" w:rsidR="002C5002" w:rsidRPr="00646406" w:rsidRDefault="002C5002" w:rsidP="002C5002">
      <w:pPr>
        <w:jc w:val="center"/>
        <w:rPr>
          <w:rFonts w:ascii="Arial" w:hAnsi="Arial" w:cs="Arial"/>
          <w:b/>
          <w:bCs/>
        </w:rPr>
      </w:pPr>
      <w:r w:rsidRPr="00646406">
        <w:rPr>
          <w:rFonts w:ascii="Arial" w:hAnsi="Arial" w:cs="Arial"/>
          <w:b/>
          <w:bCs/>
        </w:rPr>
        <w:t>Student ID:</w:t>
      </w:r>
      <w:r>
        <w:rPr>
          <w:rFonts w:ascii="Arial" w:hAnsi="Arial" w:cs="Arial"/>
          <w:b/>
          <w:bCs/>
        </w:rPr>
        <w:t xml:space="preserve"> </w:t>
      </w:r>
      <w:r w:rsidRPr="002C5002">
        <w:rPr>
          <w:rFonts w:ascii="Arial" w:hAnsi="Arial" w:cs="Arial"/>
          <w:bCs/>
        </w:rPr>
        <w:t>2436033</w:t>
      </w:r>
    </w:p>
    <w:p w14:paraId="29CDFD0B" w14:textId="77777777" w:rsidR="002C5002" w:rsidRPr="00646406" w:rsidRDefault="002C5002" w:rsidP="002C5002">
      <w:pPr>
        <w:jc w:val="center"/>
        <w:rPr>
          <w:rFonts w:ascii="Arial" w:hAnsi="Arial" w:cs="Arial"/>
        </w:rPr>
      </w:pPr>
    </w:p>
    <w:p w14:paraId="5E7162EA" w14:textId="77777777" w:rsidR="002C5002" w:rsidRPr="00646406" w:rsidRDefault="002C5002" w:rsidP="002C5002">
      <w:pPr>
        <w:jc w:val="center"/>
        <w:rPr>
          <w:rFonts w:ascii="Arial" w:hAnsi="Arial" w:cs="Arial"/>
        </w:rPr>
      </w:pPr>
    </w:p>
    <w:p w14:paraId="3EEC95A2" w14:textId="77777777" w:rsidR="002C5002" w:rsidRPr="00646406" w:rsidRDefault="002C5002" w:rsidP="002C5002">
      <w:pPr>
        <w:jc w:val="center"/>
        <w:rPr>
          <w:rFonts w:ascii="Arial" w:hAnsi="Arial" w:cs="Arial"/>
          <w:b/>
          <w:bCs/>
        </w:rPr>
      </w:pPr>
      <w:r w:rsidRPr="00646406">
        <w:rPr>
          <w:rFonts w:ascii="Arial" w:hAnsi="Arial" w:cs="Arial"/>
          <w:b/>
          <w:bCs/>
        </w:rPr>
        <w:t xml:space="preserve">Module Name: </w:t>
      </w:r>
      <w:r w:rsidRPr="002C5002">
        <w:rPr>
          <w:rFonts w:ascii="Arial" w:hAnsi="Arial" w:cs="Arial"/>
          <w:bCs/>
        </w:rPr>
        <w:t>International Business Concepts</w:t>
      </w:r>
    </w:p>
    <w:p w14:paraId="15352D8A" w14:textId="77777777" w:rsidR="002C5002" w:rsidRPr="00646406" w:rsidRDefault="002C5002" w:rsidP="002C5002">
      <w:pPr>
        <w:jc w:val="center"/>
        <w:rPr>
          <w:rFonts w:ascii="Arial" w:hAnsi="Arial" w:cs="Arial"/>
          <w:b/>
          <w:bCs/>
        </w:rPr>
      </w:pPr>
    </w:p>
    <w:p w14:paraId="3420B7C3" w14:textId="77777777" w:rsidR="002C5002" w:rsidRPr="002C5002" w:rsidRDefault="002C5002" w:rsidP="002C5002">
      <w:pPr>
        <w:jc w:val="center"/>
        <w:rPr>
          <w:rFonts w:ascii="Arial" w:hAnsi="Arial" w:cs="Arial"/>
          <w:bCs/>
        </w:rPr>
      </w:pPr>
      <w:r>
        <w:rPr>
          <w:rFonts w:ascii="Arial" w:hAnsi="Arial" w:cs="Arial"/>
          <w:b/>
          <w:bCs/>
        </w:rPr>
        <w:t xml:space="preserve">Module Code: </w:t>
      </w:r>
      <w:r w:rsidRPr="002C5002">
        <w:rPr>
          <w:rFonts w:ascii="Arial" w:hAnsi="Arial" w:cs="Arial"/>
          <w:bCs/>
        </w:rPr>
        <w:t>LCMB7034</w:t>
      </w:r>
    </w:p>
    <w:p w14:paraId="66368942" w14:textId="77777777" w:rsidR="002C5002" w:rsidRDefault="002C5002" w:rsidP="002C5002">
      <w:pPr>
        <w:jc w:val="center"/>
        <w:rPr>
          <w:rFonts w:ascii="Arial" w:hAnsi="Arial" w:cs="Arial"/>
          <w:b/>
          <w:bCs/>
        </w:rPr>
      </w:pPr>
    </w:p>
    <w:p w14:paraId="553C8583" w14:textId="77777777" w:rsidR="002C5002" w:rsidRDefault="002C5002" w:rsidP="002C5002">
      <w:pPr>
        <w:jc w:val="center"/>
        <w:rPr>
          <w:rFonts w:ascii="Arial" w:hAnsi="Arial" w:cs="Arial"/>
          <w:b/>
          <w:bCs/>
        </w:rPr>
      </w:pPr>
    </w:p>
    <w:p w14:paraId="0DDAD8F2" w14:textId="77777777" w:rsidR="002C5002" w:rsidRDefault="002C5002" w:rsidP="002C5002">
      <w:pPr>
        <w:jc w:val="center"/>
        <w:rPr>
          <w:rFonts w:ascii="Arial" w:hAnsi="Arial" w:cs="Arial"/>
          <w:b/>
          <w:bCs/>
        </w:rPr>
      </w:pPr>
    </w:p>
    <w:p w14:paraId="1FC1740A" w14:textId="77777777" w:rsidR="002C5002" w:rsidRDefault="002C5002" w:rsidP="002C5002">
      <w:pPr>
        <w:jc w:val="center"/>
        <w:rPr>
          <w:rFonts w:ascii="Arial" w:hAnsi="Arial" w:cs="Arial"/>
          <w:b/>
          <w:bCs/>
        </w:rPr>
      </w:pPr>
    </w:p>
    <w:p w14:paraId="5B8D58FB" w14:textId="77777777" w:rsidR="002C5002" w:rsidRDefault="002C5002" w:rsidP="002C5002">
      <w:pPr>
        <w:jc w:val="center"/>
        <w:rPr>
          <w:rFonts w:ascii="Arial" w:hAnsi="Arial" w:cs="Arial"/>
          <w:bCs/>
        </w:rPr>
      </w:pPr>
      <w:r w:rsidRPr="00646406">
        <w:rPr>
          <w:rFonts w:ascii="Arial" w:hAnsi="Arial" w:cs="Arial"/>
          <w:b/>
          <w:bCs/>
        </w:rPr>
        <w:t>Lecturer’s Name:</w:t>
      </w:r>
      <w:r>
        <w:rPr>
          <w:rFonts w:ascii="Arial" w:hAnsi="Arial" w:cs="Arial"/>
          <w:b/>
          <w:bCs/>
        </w:rPr>
        <w:t xml:space="preserve"> </w:t>
      </w:r>
      <w:r w:rsidRPr="002C5002">
        <w:rPr>
          <w:rFonts w:ascii="Arial" w:hAnsi="Arial" w:cs="Arial"/>
          <w:bCs/>
        </w:rPr>
        <w:t>Jean Wang</w:t>
      </w:r>
    </w:p>
    <w:p w14:paraId="589B7B9C" w14:textId="77777777" w:rsidR="00177C41" w:rsidRDefault="00177C41" w:rsidP="002C5002">
      <w:pPr>
        <w:jc w:val="center"/>
        <w:rPr>
          <w:rFonts w:ascii="Arial" w:hAnsi="Arial" w:cs="Arial"/>
          <w:bCs/>
        </w:rPr>
      </w:pPr>
    </w:p>
    <w:p w14:paraId="5FE1F520" w14:textId="77777777" w:rsidR="00177C41" w:rsidRDefault="00177C41" w:rsidP="002C5002">
      <w:pPr>
        <w:jc w:val="center"/>
        <w:rPr>
          <w:rFonts w:ascii="Arial" w:hAnsi="Arial" w:cs="Arial"/>
          <w:bCs/>
        </w:rPr>
      </w:pPr>
    </w:p>
    <w:p w14:paraId="7A85A437" w14:textId="3A585FF4" w:rsidR="00177C41" w:rsidRPr="00646406" w:rsidRDefault="00177C41" w:rsidP="002C5002">
      <w:pPr>
        <w:jc w:val="center"/>
        <w:rPr>
          <w:rFonts w:ascii="Arial" w:hAnsi="Arial" w:cs="Arial"/>
          <w:b/>
          <w:bCs/>
        </w:rPr>
      </w:pPr>
      <w:r w:rsidRPr="00177C41">
        <w:rPr>
          <w:rFonts w:ascii="Arial" w:hAnsi="Arial" w:cs="Arial"/>
          <w:b/>
          <w:bCs/>
        </w:rPr>
        <w:t>Word Count:</w:t>
      </w:r>
      <w:r>
        <w:rPr>
          <w:rFonts w:ascii="Arial" w:hAnsi="Arial" w:cs="Arial"/>
          <w:bCs/>
        </w:rPr>
        <w:t xml:space="preserve"> 5</w:t>
      </w:r>
      <w:r w:rsidR="00801C52">
        <w:rPr>
          <w:rFonts w:ascii="Arial" w:hAnsi="Arial" w:cs="Arial"/>
          <w:bCs/>
        </w:rPr>
        <w:t>411</w:t>
      </w:r>
    </w:p>
    <w:p w14:paraId="73F9B8C7" w14:textId="77777777" w:rsidR="002C5002" w:rsidRPr="00646406" w:rsidRDefault="002C5002" w:rsidP="002C5002">
      <w:pPr>
        <w:jc w:val="center"/>
        <w:rPr>
          <w:rFonts w:ascii="Arial" w:hAnsi="Arial" w:cs="Arial"/>
          <w:b/>
          <w:bCs/>
        </w:rPr>
      </w:pPr>
    </w:p>
    <w:p w14:paraId="4E32B296" w14:textId="77777777" w:rsidR="002C5002" w:rsidRPr="00646406" w:rsidRDefault="002C5002" w:rsidP="002C5002">
      <w:pPr>
        <w:jc w:val="center"/>
        <w:rPr>
          <w:rFonts w:ascii="Arial" w:hAnsi="Arial" w:cs="Arial"/>
          <w:b/>
          <w:bCs/>
        </w:rPr>
      </w:pPr>
    </w:p>
    <w:p w14:paraId="09FA0DEB" w14:textId="77777777" w:rsidR="0096026F" w:rsidRDefault="0096026F" w:rsidP="00177C41">
      <w:pPr>
        <w:rPr>
          <w:b/>
          <w:bCs/>
          <w:i/>
          <w:sz w:val="28"/>
        </w:rPr>
      </w:pPr>
    </w:p>
    <w:sdt>
      <w:sdtPr>
        <w:rPr>
          <w:rFonts w:asciiTheme="minorHAnsi" w:eastAsiaTheme="minorHAnsi" w:hAnsiTheme="minorHAnsi" w:cstheme="minorBidi"/>
          <w:color w:val="auto"/>
          <w:sz w:val="22"/>
          <w:szCs w:val="22"/>
        </w:rPr>
        <w:id w:val="1792172580"/>
        <w:docPartObj>
          <w:docPartGallery w:val="Table of Contents"/>
          <w:docPartUnique/>
        </w:docPartObj>
      </w:sdtPr>
      <w:sdtEndPr>
        <w:rPr>
          <w:b/>
          <w:bCs/>
          <w:noProof/>
        </w:rPr>
      </w:sdtEndPr>
      <w:sdtContent>
        <w:p w14:paraId="58F4B9A6" w14:textId="77777777" w:rsidR="001574C8" w:rsidRDefault="001574C8">
          <w:pPr>
            <w:pStyle w:val="TOCHeading"/>
          </w:pPr>
          <w:r>
            <w:t>Contents</w:t>
          </w:r>
        </w:p>
        <w:p w14:paraId="3F8307DF" w14:textId="77777777" w:rsidR="00850158" w:rsidRDefault="001574C8">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16458796" w:history="1">
            <w:r w:rsidR="00850158" w:rsidRPr="0011686B">
              <w:rPr>
                <w:rStyle w:val="Hyperlink"/>
                <w:noProof/>
              </w:rPr>
              <w:t>1. Introduction</w:t>
            </w:r>
            <w:r w:rsidR="00850158">
              <w:rPr>
                <w:noProof/>
                <w:webHidden/>
              </w:rPr>
              <w:tab/>
            </w:r>
            <w:r w:rsidR="00850158">
              <w:rPr>
                <w:noProof/>
                <w:webHidden/>
              </w:rPr>
              <w:fldChar w:fldCharType="begin"/>
            </w:r>
            <w:r w:rsidR="00850158">
              <w:rPr>
                <w:noProof/>
                <w:webHidden/>
              </w:rPr>
              <w:instrText xml:space="preserve"> PAGEREF _Toc216458796 \h </w:instrText>
            </w:r>
            <w:r w:rsidR="00850158">
              <w:rPr>
                <w:noProof/>
                <w:webHidden/>
              </w:rPr>
            </w:r>
            <w:r w:rsidR="00850158">
              <w:rPr>
                <w:noProof/>
                <w:webHidden/>
              </w:rPr>
              <w:fldChar w:fldCharType="separate"/>
            </w:r>
            <w:r w:rsidR="00850158">
              <w:rPr>
                <w:noProof/>
                <w:webHidden/>
              </w:rPr>
              <w:t>2</w:t>
            </w:r>
            <w:r w:rsidR="00850158">
              <w:rPr>
                <w:noProof/>
                <w:webHidden/>
              </w:rPr>
              <w:fldChar w:fldCharType="end"/>
            </w:r>
          </w:hyperlink>
        </w:p>
        <w:p w14:paraId="20D1C570" w14:textId="77777777" w:rsidR="00850158" w:rsidRDefault="00850158">
          <w:pPr>
            <w:pStyle w:val="TOC1"/>
            <w:tabs>
              <w:tab w:val="right" w:leader="dot" w:pos="9350"/>
            </w:tabs>
            <w:rPr>
              <w:rFonts w:eastAsiaTheme="minorEastAsia"/>
              <w:noProof/>
            </w:rPr>
          </w:pPr>
          <w:hyperlink w:anchor="_Toc216458797" w:history="1">
            <w:r w:rsidRPr="0011686B">
              <w:rPr>
                <w:rStyle w:val="Hyperlink"/>
                <w:noProof/>
              </w:rPr>
              <w:t>2. Internationalisation Analysis of Unilever</w:t>
            </w:r>
            <w:r>
              <w:rPr>
                <w:noProof/>
                <w:webHidden/>
              </w:rPr>
              <w:tab/>
            </w:r>
            <w:r>
              <w:rPr>
                <w:noProof/>
                <w:webHidden/>
              </w:rPr>
              <w:fldChar w:fldCharType="begin"/>
            </w:r>
            <w:r>
              <w:rPr>
                <w:noProof/>
                <w:webHidden/>
              </w:rPr>
              <w:instrText xml:space="preserve"> PAGEREF _Toc216458797 \h </w:instrText>
            </w:r>
            <w:r>
              <w:rPr>
                <w:noProof/>
                <w:webHidden/>
              </w:rPr>
            </w:r>
            <w:r>
              <w:rPr>
                <w:noProof/>
                <w:webHidden/>
              </w:rPr>
              <w:fldChar w:fldCharType="separate"/>
            </w:r>
            <w:r>
              <w:rPr>
                <w:noProof/>
                <w:webHidden/>
              </w:rPr>
              <w:t>3</w:t>
            </w:r>
            <w:r>
              <w:rPr>
                <w:noProof/>
                <w:webHidden/>
              </w:rPr>
              <w:fldChar w:fldCharType="end"/>
            </w:r>
          </w:hyperlink>
        </w:p>
        <w:p w14:paraId="2A9021D8" w14:textId="77777777" w:rsidR="00850158" w:rsidRDefault="00850158">
          <w:pPr>
            <w:pStyle w:val="TOC2"/>
            <w:tabs>
              <w:tab w:val="right" w:leader="dot" w:pos="9350"/>
            </w:tabs>
            <w:rPr>
              <w:rFonts w:eastAsiaTheme="minorEastAsia"/>
              <w:noProof/>
            </w:rPr>
          </w:pPr>
          <w:hyperlink w:anchor="_Toc216458798" w:history="1">
            <w:r w:rsidRPr="0011686B">
              <w:rPr>
                <w:rStyle w:val="Hyperlink"/>
                <w:noProof/>
              </w:rPr>
              <w:t>2.1 Unilever’s global operation strategies</w:t>
            </w:r>
            <w:r>
              <w:rPr>
                <w:noProof/>
                <w:webHidden/>
              </w:rPr>
              <w:tab/>
            </w:r>
            <w:r>
              <w:rPr>
                <w:noProof/>
                <w:webHidden/>
              </w:rPr>
              <w:fldChar w:fldCharType="begin"/>
            </w:r>
            <w:r>
              <w:rPr>
                <w:noProof/>
                <w:webHidden/>
              </w:rPr>
              <w:instrText xml:space="preserve"> PAGEREF _Toc216458798 \h </w:instrText>
            </w:r>
            <w:r>
              <w:rPr>
                <w:noProof/>
                <w:webHidden/>
              </w:rPr>
            </w:r>
            <w:r>
              <w:rPr>
                <w:noProof/>
                <w:webHidden/>
              </w:rPr>
              <w:fldChar w:fldCharType="separate"/>
            </w:r>
            <w:r>
              <w:rPr>
                <w:noProof/>
                <w:webHidden/>
              </w:rPr>
              <w:t>3</w:t>
            </w:r>
            <w:r>
              <w:rPr>
                <w:noProof/>
                <w:webHidden/>
              </w:rPr>
              <w:fldChar w:fldCharType="end"/>
            </w:r>
          </w:hyperlink>
        </w:p>
        <w:p w14:paraId="766F323C" w14:textId="77777777" w:rsidR="00850158" w:rsidRDefault="00850158">
          <w:pPr>
            <w:pStyle w:val="TOC3"/>
            <w:tabs>
              <w:tab w:val="right" w:leader="dot" w:pos="9350"/>
            </w:tabs>
            <w:rPr>
              <w:rFonts w:eastAsiaTheme="minorEastAsia"/>
              <w:noProof/>
            </w:rPr>
          </w:pPr>
          <w:hyperlink w:anchor="_Toc216458799" w:history="1">
            <w:r w:rsidRPr="0011686B">
              <w:rPr>
                <w:rStyle w:val="Hyperlink"/>
                <w:noProof/>
              </w:rPr>
              <w:t>2.1.1 Key Benefits of International Operations</w:t>
            </w:r>
            <w:r>
              <w:rPr>
                <w:noProof/>
                <w:webHidden/>
              </w:rPr>
              <w:tab/>
            </w:r>
            <w:r>
              <w:rPr>
                <w:noProof/>
                <w:webHidden/>
              </w:rPr>
              <w:fldChar w:fldCharType="begin"/>
            </w:r>
            <w:r>
              <w:rPr>
                <w:noProof/>
                <w:webHidden/>
              </w:rPr>
              <w:instrText xml:space="preserve"> PAGEREF _Toc216458799 \h </w:instrText>
            </w:r>
            <w:r>
              <w:rPr>
                <w:noProof/>
                <w:webHidden/>
              </w:rPr>
            </w:r>
            <w:r>
              <w:rPr>
                <w:noProof/>
                <w:webHidden/>
              </w:rPr>
              <w:fldChar w:fldCharType="separate"/>
            </w:r>
            <w:r>
              <w:rPr>
                <w:noProof/>
                <w:webHidden/>
              </w:rPr>
              <w:t>3</w:t>
            </w:r>
            <w:r>
              <w:rPr>
                <w:noProof/>
                <w:webHidden/>
              </w:rPr>
              <w:fldChar w:fldCharType="end"/>
            </w:r>
          </w:hyperlink>
        </w:p>
        <w:p w14:paraId="22E70EAD" w14:textId="77777777" w:rsidR="00850158" w:rsidRDefault="00850158">
          <w:pPr>
            <w:pStyle w:val="TOC3"/>
            <w:tabs>
              <w:tab w:val="right" w:leader="dot" w:pos="9350"/>
            </w:tabs>
            <w:rPr>
              <w:rFonts w:eastAsiaTheme="minorEastAsia"/>
              <w:noProof/>
            </w:rPr>
          </w:pPr>
          <w:hyperlink w:anchor="_Toc216458800" w:history="1">
            <w:r w:rsidRPr="0011686B">
              <w:rPr>
                <w:rStyle w:val="Hyperlink"/>
                <w:noProof/>
              </w:rPr>
              <w:t>2.1.2 Challenges of International Operations</w:t>
            </w:r>
            <w:r>
              <w:rPr>
                <w:noProof/>
                <w:webHidden/>
              </w:rPr>
              <w:tab/>
            </w:r>
            <w:r>
              <w:rPr>
                <w:noProof/>
                <w:webHidden/>
              </w:rPr>
              <w:fldChar w:fldCharType="begin"/>
            </w:r>
            <w:r>
              <w:rPr>
                <w:noProof/>
                <w:webHidden/>
              </w:rPr>
              <w:instrText xml:space="preserve"> PAGEREF _Toc216458800 \h </w:instrText>
            </w:r>
            <w:r>
              <w:rPr>
                <w:noProof/>
                <w:webHidden/>
              </w:rPr>
            </w:r>
            <w:r>
              <w:rPr>
                <w:noProof/>
                <w:webHidden/>
              </w:rPr>
              <w:fldChar w:fldCharType="separate"/>
            </w:r>
            <w:r>
              <w:rPr>
                <w:noProof/>
                <w:webHidden/>
              </w:rPr>
              <w:t>4</w:t>
            </w:r>
            <w:r>
              <w:rPr>
                <w:noProof/>
                <w:webHidden/>
              </w:rPr>
              <w:fldChar w:fldCharType="end"/>
            </w:r>
          </w:hyperlink>
        </w:p>
        <w:p w14:paraId="152AC576" w14:textId="77777777" w:rsidR="00850158" w:rsidRDefault="00850158">
          <w:pPr>
            <w:pStyle w:val="TOC2"/>
            <w:tabs>
              <w:tab w:val="right" w:leader="dot" w:pos="9350"/>
            </w:tabs>
            <w:rPr>
              <w:rFonts w:eastAsiaTheme="minorEastAsia"/>
              <w:noProof/>
            </w:rPr>
          </w:pPr>
          <w:hyperlink w:anchor="_Toc216458801" w:history="1">
            <w:r w:rsidRPr="0011686B">
              <w:rPr>
                <w:rStyle w:val="Hyperlink"/>
                <w:noProof/>
              </w:rPr>
              <w:t>2.2 Unilever’s Internationalisation Strategy- Entry Modes</w:t>
            </w:r>
            <w:r>
              <w:rPr>
                <w:noProof/>
                <w:webHidden/>
              </w:rPr>
              <w:tab/>
            </w:r>
            <w:r>
              <w:rPr>
                <w:noProof/>
                <w:webHidden/>
              </w:rPr>
              <w:fldChar w:fldCharType="begin"/>
            </w:r>
            <w:r>
              <w:rPr>
                <w:noProof/>
                <w:webHidden/>
              </w:rPr>
              <w:instrText xml:space="preserve"> PAGEREF _Toc216458801 \h </w:instrText>
            </w:r>
            <w:r>
              <w:rPr>
                <w:noProof/>
                <w:webHidden/>
              </w:rPr>
            </w:r>
            <w:r>
              <w:rPr>
                <w:noProof/>
                <w:webHidden/>
              </w:rPr>
              <w:fldChar w:fldCharType="separate"/>
            </w:r>
            <w:r>
              <w:rPr>
                <w:noProof/>
                <w:webHidden/>
              </w:rPr>
              <w:t>5</w:t>
            </w:r>
            <w:r>
              <w:rPr>
                <w:noProof/>
                <w:webHidden/>
              </w:rPr>
              <w:fldChar w:fldCharType="end"/>
            </w:r>
          </w:hyperlink>
        </w:p>
        <w:p w14:paraId="24E605B4" w14:textId="77777777" w:rsidR="00850158" w:rsidRDefault="00850158">
          <w:pPr>
            <w:pStyle w:val="TOC1"/>
            <w:tabs>
              <w:tab w:val="right" w:leader="dot" w:pos="9350"/>
            </w:tabs>
            <w:rPr>
              <w:rFonts w:eastAsiaTheme="minorEastAsia"/>
              <w:noProof/>
            </w:rPr>
          </w:pPr>
          <w:hyperlink w:anchor="_Toc216458802" w:history="1">
            <w:r w:rsidRPr="0011686B">
              <w:rPr>
                <w:rStyle w:val="Hyperlink"/>
                <w:noProof/>
              </w:rPr>
              <w:t>3. Emerging Market Analysis - Bangladesh</w:t>
            </w:r>
            <w:r>
              <w:rPr>
                <w:noProof/>
                <w:webHidden/>
              </w:rPr>
              <w:tab/>
            </w:r>
            <w:r>
              <w:rPr>
                <w:noProof/>
                <w:webHidden/>
              </w:rPr>
              <w:fldChar w:fldCharType="begin"/>
            </w:r>
            <w:r>
              <w:rPr>
                <w:noProof/>
                <w:webHidden/>
              </w:rPr>
              <w:instrText xml:space="preserve"> PAGEREF _Toc216458802 \h </w:instrText>
            </w:r>
            <w:r>
              <w:rPr>
                <w:noProof/>
                <w:webHidden/>
              </w:rPr>
            </w:r>
            <w:r>
              <w:rPr>
                <w:noProof/>
                <w:webHidden/>
              </w:rPr>
              <w:fldChar w:fldCharType="separate"/>
            </w:r>
            <w:r>
              <w:rPr>
                <w:noProof/>
                <w:webHidden/>
              </w:rPr>
              <w:t>6</w:t>
            </w:r>
            <w:r>
              <w:rPr>
                <w:noProof/>
                <w:webHidden/>
              </w:rPr>
              <w:fldChar w:fldCharType="end"/>
            </w:r>
          </w:hyperlink>
        </w:p>
        <w:p w14:paraId="277588F5" w14:textId="77777777" w:rsidR="00850158" w:rsidRDefault="00850158">
          <w:pPr>
            <w:pStyle w:val="TOC2"/>
            <w:tabs>
              <w:tab w:val="right" w:leader="dot" w:pos="9350"/>
            </w:tabs>
            <w:rPr>
              <w:rFonts w:eastAsiaTheme="minorEastAsia"/>
              <w:noProof/>
            </w:rPr>
          </w:pPr>
          <w:hyperlink w:anchor="_Toc216458803" w:history="1">
            <w:r w:rsidRPr="0011686B">
              <w:rPr>
                <w:rStyle w:val="Hyperlink"/>
                <w:noProof/>
              </w:rPr>
              <w:t>3.1 Overview of the Bangladeshi Business Environment in the FMCG Industry</w:t>
            </w:r>
            <w:r>
              <w:rPr>
                <w:noProof/>
                <w:webHidden/>
              </w:rPr>
              <w:tab/>
            </w:r>
            <w:r>
              <w:rPr>
                <w:noProof/>
                <w:webHidden/>
              </w:rPr>
              <w:fldChar w:fldCharType="begin"/>
            </w:r>
            <w:r>
              <w:rPr>
                <w:noProof/>
                <w:webHidden/>
              </w:rPr>
              <w:instrText xml:space="preserve"> PAGEREF _Toc216458803 \h </w:instrText>
            </w:r>
            <w:r>
              <w:rPr>
                <w:noProof/>
                <w:webHidden/>
              </w:rPr>
            </w:r>
            <w:r>
              <w:rPr>
                <w:noProof/>
                <w:webHidden/>
              </w:rPr>
              <w:fldChar w:fldCharType="separate"/>
            </w:r>
            <w:r>
              <w:rPr>
                <w:noProof/>
                <w:webHidden/>
              </w:rPr>
              <w:t>6</w:t>
            </w:r>
            <w:r>
              <w:rPr>
                <w:noProof/>
                <w:webHidden/>
              </w:rPr>
              <w:fldChar w:fldCharType="end"/>
            </w:r>
          </w:hyperlink>
        </w:p>
        <w:p w14:paraId="6313EC2E" w14:textId="77777777" w:rsidR="00850158" w:rsidRDefault="00850158">
          <w:pPr>
            <w:pStyle w:val="TOC2"/>
            <w:tabs>
              <w:tab w:val="right" w:leader="dot" w:pos="9350"/>
            </w:tabs>
            <w:rPr>
              <w:rFonts w:eastAsiaTheme="minorEastAsia"/>
              <w:noProof/>
            </w:rPr>
          </w:pPr>
          <w:hyperlink w:anchor="_Toc216458804" w:history="1">
            <w:r w:rsidRPr="0011686B">
              <w:rPr>
                <w:rStyle w:val="Hyperlink"/>
                <w:noProof/>
              </w:rPr>
              <w:t>3.1.1 Market Size and Growth Trends</w:t>
            </w:r>
            <w:r>
              <w:rPr>
                <w:noProof/>
                <w:webHidden/>
              </w:rPr>
              <w:tab/>
            </w:r>
            <w:r>
              <w:rPr>
                <w:noProof/>
                <w:webHidden/>
              </w:rPr>
              <w:fldChar w:fldCharType="begin"/>
            </w:r>
            <w:r>
              <w:rPr>
                <w:noProof/>
                <w:webHidden/>
              </w:rPr>
              <w:instrText xml:space="preserve"> PAGEREF _Toc216458804 \h </w:instrText>
            </w:r>
            <w:r>
              <w:rPr>
                <w:noProof/>
                <w:webHidden/>
              </w:rPr>
            </w:r>
            <w:r>
              <w:rPr>
                <w:noProof/>
                <w:webHidden/>
              </w:rPr>
              <w:fldChar w:fldCharType="separate"/>
            </w:r>
            <w:r>
              <w:rPr>
                <w:noProof/>
                <w:webHidden/>
              </w:rPr>
              <w:t>6</w:t>
            </w:r>
            <w:r>
              <w:rPr>
                <w:noProof/>
                <w:webHidden/>
              </w:rPr>
              <w:fldChar w:fldCharType="end"/>
            </w:r>
          </w:hyperlink>
        </w:p>
        <w:p w14:paraId="0E587E00" w14:textId="77777777" w:rsidR="00850158" w:rsidRDefault="00850158">
          <w:pPr>
            <w:pStyle w:val="TOC3"/>
            <w:tabs>
              <w:tab w:val="right" w:leader="dot" w:pos="9350"/>
            </w:tabs>
            <w:rPr>
              <w:rFonts w:eastAsiaTheme="minorEastAsia"/>
              <w:noProof/>
            </w:rPr>
          </w:pPr>
          <w:hyperlink w:anchor="_Toc216458805" w:history="1">
            <w:r w:rsidRPr="0011686B">
              <w:rPr>
                <w:rStyle w:val="Hyperlink"/>
                <w:noProof/>
              </w:rPr>
              <w:t>3.1.2 Consumer Behaviour and Market Segmentation</w:t>
            </w:r>
            <w:r>
              <w:rPr>
                <w:noProof/>
                <w:webHidden/>
              </w:rPr>
              <w:tab/>
            </w:r>
            <w:r>
              <w:rPr>
                <w:noProof/>
                <w:webHidden/>
              </w:rPr>
              <w:fldChar w:fldCharType="begin"/>
            </w:r>
            <w:r>
              <w:rPr>
                <w:noProof/>
                <w:webHidden/>
              </w:rPr>
              <w:instrText xml:space="preserve"> PAGEREF _Toc216458805 \h </w:instrText>
            </w:r>
            <w:r>
              <w:rPr>
                <w:noProof/>
                <w:webHidden/>
              </w:rPr>
            </w:r>
            <w:r>
              <w:rPr>
                <w:noProof/>
                <w:webHidden/>
              </w:rPr>
              <w:fldChar w:fldCharType="separate"/>
            </w:r>
            <w:r>
              <w:rPr>
                <w:noProof/>
                <w:webHidden/>
              </w:rPr>
              <w:t>7</w:t>
            </w:r>
            <w:r>
              <w:rPr>
                <w:noProof/>
                <w:webHidden/>
              </w:rPr>
              <w:fldChar w:fldCharType="end"/>
            </w:r>
          </w:hyperlink>
        </w:p>
        <w:p w14:paraId="73E67EF1" w14:textId="77777777" w:rsidR="00850158" w:rsidRDefault="00850158">
          <w:pPr>
            <w:pStyle w:val="TOC3"/>
            <w:tabs>
              <w:tab w:val="right" w:leader="dot" w:pos="9350"/>
            </w:tabs>
            <w:rPr>
              <w:rFonts w:eastAsiaTheme="minorEastAsia"/>
              <w:noProof/>
            </w:rPr>
          </w:pPr>
          <w:hyperlink w:anchor="_Toc216458806" w:history="1">
            <w:r w:rsidRPr="0011686B">
              <w:rPr>
                <w:rStyle w:val="Hyperlink"/>
                <w:noProof/>
              </w:rPr>
              <w:t>3.1.3 Regulatory and Institutional Environment</w:t>
            </w:r>
            <w:r>
              <w:rPr>
                <w:noProof/>
                <w:webHidden/>
              </w:rPr>
              <w:tab/>
            </w:r>
            <w:r>
              <w:rPr>
                <w:noProof/>
                <w:webHidden/>
              </w:rPr>
              <w:fldChar w:fldCharType="begin"/>
            </w:r>
            <w:r>
              <w:rPr>
                <w:noProof/>
                <w:webHidden/>
              </w:rPr>
              <w:instrText xml:space="preserve"> PAGEREF _Toc216458806 \h </w:instrText>
            </w:r>
            <w:r>
              <w:rPr>
                <w:noProof/>
                <w:webHidden/>
              </w:rPr>
            </w:r>
            <w:r>
              <w:rPr>
                <w:noProof/>
                <w:webHidden/>
              </w:rPr>
              <w:fldChar w:fldCharType="separate"/>
            </w:r>
            <w:r>
              <w:rPr>
                <w:noProof/>
                <w:webHidden/>
              </w:rPr>
              <w:t>8</w:t>
            </w:r>
            <w:r>
              <w:rPr>
                <w:noProof/>
                <w:webHidden/>
              </w:rPr>
              <w:fldChar w:fldCharType="end"/>
            </w:r>
          </w:hyperlink>
        </w:p>
        <w:p w14:paraId="6CA0E58D" w14:textId="77777777" w:rsidR="00850158" w:rsidRDefault="00850158">
          <w:pPr>
            <w:pStyle w:val="TOC3"/>
            <w:tabs>
              <w:tab w:val="right" w:leader="dot" w:pos="9350"/>
            </w:tabs>
            <w:rPr>
              <w:rFonts w:eastAsiaTheme="minorEastAsia"/>
              <w:noProof/>
            </w:rPr>
          </w:pPr>
          <w:hyperlink w:anchor="_Toc216458807" w:history="1">
            <w:r w:rsidRPr="0011686B">
              <w:rPr>
                <w:rStyle w:val="Hyperlink"/>
                <w:noProof/>
              </w:rPr>
              <w:t>3.1.4 Supply Chain and Infrastructure Conditions</w:t>
            </w:r>
            <w:r>
              <w:rPr>
                <w:noProof/>
                <w:webHidden/>
              </w:rPr>
              <w:tab/>
            </w:r>
            <w:r>
              <w:rPr>
                <w:noProof/>
                <w:webHidden/>
              </w:rPr>
              <w:fldChar w:fldCharType="begin"/>
            </w:r>
            <w:r>
              <w:rPr>
                <w:noProof/>
                <w:webHidden/>
              </w:rPr>
              <w:instrText xml:space="preserve"> PAGEREF _Toc216458807 \h </w:instrText>
            </w:r>
            <w:r>
              <w:rPr>
                <w:noProof/>
                <w:webHidden/>
              </w:rPr>
            </w:r>
            <w:r>
              <w:rPr>
                <w:noProof/>
                <w:webHidden/>
              </w:rPr>
              <w:fldChar w:fldCharType="separate"/>
            </w:r>
            <w:r>
              <w:rPr>
                <w:noProof/>
                <w:webHidden/>
              </w:rPr>
              <w:t>8</w:t>
            </w:r>
            <w:r>
              <w:rPr>
                <w:noProof/>
                <w:webHidden/>
              </w:rPr>
              <w:fldChar w:fldCharType="end"/>
            </w:r>
          </w:hyperlink>
        </w:p>
        <w:p w14:paraId="739331C1" w14:textId="77777777" w:rsidR="00850158" w:rsidRDefault="00850158">
          <w:pPr>
            <w:pStyle w:val="TOC2"/>
            <w:tabs>
              <w:tab w:val="right" w:leader="dot" w:pos="9350"/>
            </w:tabs>
            <w:rPr>
              <w:rFonts w:eastAsiaTheme="minorEastAsia"/>
              <w:noProof/>
            </w:rPr>
          </w:pPr>
          <w:hyperlink w:anchor="_Toc216458808" w:history="1">
            <w:r w:rsidRPr="0011686B">
              <w:rPr>
                <w:rStyle w:val="Hyperlink"/>
                <w:noProof/>
              </w:rPr>
              <w:t>3.2 Critical analysis of entry mode strategy and value chain in Bangladesh</w:t>
            </w:r>
            <w:r>
              <w:rPr>
                <w:noProof/>
                <w:webHidden/>
              </w:rPr>
              <w:tab/>
            </w:r>
            <w:r>
              <w:rPr>
                <w:noProof/>
                <w:webHidden/>
              </w:rPr>
              <w:fldChar w:fldCharType="begin"/>
            </w:r>
            <w:r>
              <w:rPr>
                <w:noProof/>
                <w:webHidden/>
              </w:rPr>
              <w:instrText xml:space="preserve"> PAGEREF _Toc216458808 \h </w:instrText>
            </w:r>
            <w:r>
              <w:rPr>
                <w:noProof/>
                <w:webHidden/>
              </w:rPr>
            </w:r>
            <w:r>
              <w:rPr>
                <w:noProof/>
                <w:webHidden/>
              </w:rPr>
              <w:fldChar w:fldCharType="separate"/>
            </w:r>
            <w:r>
              <w:rPr>
                <w:noProof/>
                <w:webHidden/>
              </w:rPr>
              <w:t>8</w:t>
            </w:r>
            <w:r>
              <w:rPr>
                <w:noProof/>
                <w:webHidden/>
              </w:rPr>
              <w:fldChar w:fldCharType="end"/>
            </w:r>
          </w:hyperlink>
        </w:p>
        <w:p w14:paraId="70E8A9BA" w14:textId="77777777" w:rsidR="00850158" w:rsidRDefault="00850158">
          <w:pPr>
            <w:pStyle w:val="TOC3"/>
            <w:tabs>
              <w:tab w:val="right" w:leader="dot" w:pos="9350"/>
            </w:tabs>
            <w:rPr>
              <w:rFonts w:eastAsiaTheme="minorEastAsia"/>
              <w:noProof/>
            </w:rPr>
          </w:pPr>
          <w:hyperlink w:anchor="_Toc216458809" w:history="1">
            <w:r w:rsidRPr="0011686B">
              <w:rPr>
                <w:rStyle w:val="Hyperlink"/>
                <w:noProof/>
              </w:rPr>
              <w:t>3.2.1 Dunning’s OLI Framework Analysis</w:t>
            </w:r>
            <w:r>
              <w:rPr>
                <w:noProof/>
                <w:webHidden/>
              </w:rPr>
              <w:tab/>
            </w:r>
            <w:r>
              <w:rPr>
                <w:noProof/>
                <w:webHidden/>
              </w:rPr>
              <w:fldChar w:fldCharType="begin"/>
            </w:r>
            <w:r>
              <w:rPr>
                <w:noProof/>
                <w:webHidden/>
              </w:rPr>
              <w:instrText xml:space="preserve"> PAGEREF _Toc216458809 \h </w:instrText>
            </w:r>
            <w:r>
              <w:rPr>
                <w:noProof/>
                <w:webHidden/>
              </w:rPr>
            </w:r>
            <w:r>
              <w:rPr>
                <w:noProof/>
                <w:webHidden/>
              </w:rPr>
              <w:fldChar w:fldCharType="separate"/>
            </w:r>
            <w:r>
              <w:rPr>
                <w:noProof/>
                <w:webHidden/>
              </w:rPr>
              <w:t>8</w:t>
            </w:r>
            <w:r>
              <w:rPr>
                <w:noProof/>
                <w:webHidden/>
              </w:rPr>
              <w:fldChar w:fldCharType="end"/>
            </w:r>
          </w:hyperlink>
        </w:p>
        <w:p w14:paraId="28C44513" w14:textId="77777777" w:rsidR="00850158" w:rsidRDefault="00850158">
          <w:pPr>
            <w:pStyle w:val="TOC3"/>
            <w:tabs>
              <w:tab w:val="right" w:leader="dot" w:pos="9350"/>
            </w:tabs>
            <w:rPr>
              <w:rFonts w:eastAsiaTheme="minorEastAsia"/>
              <w:noProof/>
            </w:rPr>
          </w:pPr>
          <w:hyperlink w:anchor="_Toc216458810" w:history="1">
            <w:r w:rsidRPr="0011686B">
              <w:rPr>
                <w:rStyle w:val="Hyperlink"/>
                <w:noProof/>
              </w:rPr>
              <w:t>3.2.2 Why Unilever Prefers FDI and Full Ownership</w:t>
            </w:r>
            <w:r>
              <w:rPr>
                <w:noProof/>
                <w:webHidden/>
              </w:rPr>
              <w:tab/>
            </w:r>
            <w:r>
              <w:rPr>
                <w:noProof/>
                <w:webHidden/>
              </w:rPr>
              <w:fldChar w:fldCharType="begin"/>
            </w:r>
            <w:r>
              <w:rPr>
                <w:noProof/>
                <w:webHidden/>
              </w:rPr>
              <w:instrText xml:space="preserve"> PAGEREF _Toc216458810 \h </w:instrText>
            </w:r>
            <w:r>
              <w:rPr>
                <w:noProof/>
                <w:webHidden/>
              </w:rPr>
            </w:r>
            <w:r>
              <w:rPr>
                <w:noProof/>
                <w:webHidden/>
              </w:rPr>
              <w:fldChar w:fldCharType="separate"/>
            </w:r>
            <w:r>
              <w:rPr>
                <w:noProof/>
                <w:webHidden/>
              </w:rPr>
              <w:t>12</w:t>
            </w:r>
            <w:r>
              <w:rPr>
                <w:noProof/>
                <w:webHidden/>
              </w:rPr>
              <w:fldChar w:fldCharType="end"/>
            </w:r>
          </w:hyperlink>
        </w:p>
        <w:p w14:paraId="0C9AB12A" w14:textId="77777777" w:rsidR="00850158" w:rsidRDefault="00850158">
          <w:pPr>
            <w:pStyle w:val="TOC3"/>
            <w:tabs>
              <w:tab w:val="right" w:leader="dot" w:pos="9350"/>
            </w:tabs>
            <w:rPr>
              <w:rFonts w:eastAsiaTheme="minorEastAsia"/>
              <w:noProof/>
            </w:rPr>
          </w:pPr>
          <w:hyperlink w:anchor="_Toc216458811" w:history="1">
            <w:r w:rsidRPr="0011686B">
              <w:rPr>
                <w:rStyle w:val="Hyperlink"/>
                <w:noProof/>
              </w:rPr>
              <w:t>3.2.3 Hofstede’s Cultural Dimension Comparison: UK vs Bangladesh</w:t>
            </w:r>
            <w:r>
              <w:rPr>
                <w:noProof/>
                <w:webHidden/>
              </w:rPr>
              <w:tab/>
            </w:r>
            <w:r>
              <w:rPr>
                <w:noProof/>
                <w:webHidden/>
              </w:rPr>
              <w:fldChar w:fldCharType="begin"/>
            </w:r>
            <w:r>
              <w:rPr>
                <w:noProof/>
                <w:webHidden/>
              </w:rPr>
              <w:instrText xml:space="preserve"> PAGEREF _Toc216458811 \h </w:instrText>
            </w:r>
            <w:r>
              <w:rPr>
                <w:noProof/>
                <w:webHidden/>
              </w:rPr>
            </w:r>
            <w:r>
              <w:rPr>
                <w:noProof/>
                <w:webHidden/>
              </w:rPr>
              <w:fldChar w:fldCharType="separate"/>
            </w:r>
            <w:r>
              <w:rPr>
                <w:noProof/>
                <w:webHidden/>
              </w:rPr>
              <w:t>12</w:t>
            </w:r>
            <w:r>
              <w:rPr>
                <w:noProof/>
                <w:webHidden/>
              </w:rPr>
              <w:fldChar w:fldCharType="end"/>
            </w:r>
          </w:hyperlink>
        </w:p>
        <w:p w14:paraId="258B41C5" w14:textId="77777777" w:rsidR="00850158" w:rsidRDefault="00850158">
          <w:pPr>
            <w:pStyle w:val="TOC1"/>
            <w:tabs>
              <w:tab w:val="right" w:leader="dot" w:pos="9350"/>
            </w:tabs>
            <w:rPr>
              <w:rFonts w:eastAsiaTheme="minorEastAsia"/>
              <w:noProof/>
            </w:rPr>
          </w:pPr>
          <w:hyperlink w:anchor="_Toc216458812" w:history="1">
            <w:r w:rsidRPr="0011686B">
              <w:rPr>
                <w:rStyle w:val="Hyperlink"/>
                <w:noProof/>
              </w:rPr>
              <w:t>4. Recommendations on Unilever’s Long-Term Operations in Bangladesh</w:t>
            </w:r>
            <w:r>
              <w:rPr>
                <w:noProof/>
                <w:webHidden/>
              </w:rPr>
              <w:tab/>
            </w:r>
            <w:r>
              <w:rPr>
                <w:noProof/>
                <w:webHidden/>
              </w:rPr>
              <w:fldChar w:fldCharType="begin"/>
            </w:r>
            <w:r>
              <w:rPr>
                <w:noProof/>
                <w:webHidden/>
              </w:rPr>
              <w:instrText xml:space="preserve"> PAGEREF _Toc216458812 \h </w:instrText>
            </w:r>
            <w:r>
              <w:rPr>
                <w:noProof/>
                <w:webHidden/>
              </w:rPr>
            </w:r>
            <w:r>
              <w:rPr>
                <w:noProof/>
                <w:webHidden/>
              </w:rPr>
              <w:fldChar w:fldCharType="separate"/>
            </w:r>
            <w:r>
              <w:rPr>
                <w:noProof/>
                <w:webHidden/>
              </w:rPr>
              <w:t>17</w:t>
            </w:r>
            <w:r>
              <w:rPr>
                <w:noProof/>
                <w:webHidden/>
              </w:rPr>
              <w:fldChar w:fldCharType="end"/>
            </w:r>
          </w:hyperlink>
        </w:p>
        <w:p w14:paraId="6A66EE2B" w14:textId="77777777" w:rsidR="00850158" w:rsidRDefault="00850158">
          <w:pPr>
            <w:pStyle w:val="TOC2"/>
            <w:tabs>
              <w:tab w:val="right" w:leader="dot" w:pos="9350"/>
            </w:tabs>
            <w:rPr>
              <w:rFonts w:eastAsiaTheme="minorEastAsia"/>
              <w:noProof/>
            </w:rPr>
          </w:pPr>
          <w:hyperlink w:anchor="_Toc216458813" w:history="1">
            <w:r w:rsidRPr="0011686B">
              <w:rPr>
                <w:rStyle w:val="Hyperlink"/>
                <w:noProof/>
              </w:rPr>
              <w:t>4.1 Recommendation 1: SOP Adjustment for Cultural Sensitivity</w:t>
            </w:r>
            <w:r>
              <w:rPr>
                <w:noProof/>
                <w:webHidden/>
              </w:rPr>
              <w:tab/>
            </w:r>
            <w:r>
              <w:rPr>
                <w:noProof/>
                <w:webHidden/>
              </w:rPr>
              <w:fldChar w:fldCharType="begin"/>
            </w:r>
            <w:r>
              <w:rPr>
                <w:noProof/>
                <w:webHidden/>
              </w:rPr>
              <w:instrText xml:space="preserve"> PAGEREF _Toc216458813 \h </w:instrText>
            </w:r>
            <w:r>
              <w:rPr>
                <w:noProof/>
                <w:webHidden/>
              </w:rPr>
            </w:r>
            <w:r>
              <w:rPr>
                <w:noProof/>
                <w:webHidden/>
              </w:rPr>
              <w:fldChar w:fldCharType="separate"/>
            </w:r>
            <w:r>
              <w:rPr>
                <w:noProof/>
                <w:webHidden/>
              </w:rPr>
              <w:t>17</w:t>
            </w:r>
            <w:r>
              <w:rPr>
                <w:noProof/>
                <w:webHidden/>
              </w:rPr>
              <w:fldChar w:fldCharType="end"/>
            </w:r>
          </w:hyperlink>
        </w:p>
        <w:p w14:paraId="09CBCC07" w14:textId="77777777" w:rsidR="00850158" w:rsidRDefault="00850158">
          <w:pPr>
            <w:pStyle w:val="TOC2"/>
            <w:tabs>
              <w:tab w:val="right" w:leader="dot" w:pos="9350"/>
            </w:tabs>
            <w:rPr>
              <w:rFonts w:eastAsiaTheme="minorEastAsia"/>
              <w:noProof/>
            </w:rPr>
          </w:pPr>
          <w:hyperlink w:anchor="_Toc216458814" w:history="1">
            <w:r w:rsidRPr="0011686B">
              <w:rPr>
                <w:rStyle w:val="Hyperlink"/>
                <w:noProof/>
              </w:rPr>
              <w:t>4.2 Recommendation 2: SOP Adjustment for Localised Supply Chain</w:t>
            </w:r>
            <w:r>
              <w:rPr>
                <w:noProof/>
                <w:webHidden/>
              </w:rPr>
              <w:tab/>
            </w:r>
            <w:r>
              <w:rPr>
                <w:noProof/>
                <w:webHidden/>
              </w:rPr>
              <w:fldChar w:fldCharType="begin"/>
            </w:r>
            <w:r>
              <w:rPr>
                <w:noProof/>
                <w:webHidden/>
              </w:rPr>
              <w:instrText xml:space="preserve"> PAGEREF _Toc216458814 \h </w:instrText>
            </w:r>
            <w:r>
              <w:rPr>
                <w:noProof/>
                <w:webHidden/>
              </w:rPr>
            </w:r>
            <w:r>
              <w:rPr>
                <w:noProof/>
                <w:webHidden/>
              </w:rPr>
              <w:fldChar w:fldCharType="separate"/>
            </w:r>
            <w:r>
              <w:rPr>
                <w:noProof/>
                <w:webHidden/>
              </w:rPr>
              <w:t>18</w:t>
            </w:r>
            <w:r>
              <w:rPr>
                <w:noProof/>
                <w:webHidden/>
              </w:rPr>
              <w:fldChar w:fldCharType="end"/>
            </w:r>
          </w:hyperlink>
        </w:p>
        <w:p w14:paraId="6A5EEB4D" w14:textId="77777777" w:rsidR="00850158" w:rsidRDefault="00850158">
          <w:pPr>
            <w:pStyle w:val="TOC2"/>
            <w:tabs>
              <w:tab w:val="right" w:leader="dot" w:pos="9350"/>
            </w:tabs>
            <w:rPr>
              <w:rFonts w:eastAsiaTheme="minorEastAsia"/>
              <w:noProof/>
            </w:rPr>
          </w:pPr>
          <w:hyperlink w:anchor="_Toc216458815" w:history="1">
            <w:r w:rsidRPr="0011686B">
              <w:rPr>
                <w:rStyle w:val="Hyperlink"/>
                <w:noProof/>
              </w:rPr>
              <w:t>4.3 Recommendation 3: SOP Adjustment for Digital &amp; Rural Inclusion</w:t>
            </w:r>
            <w:r>
              <w:rPr>
                <w:noProof/>
                <w:webHidden/>
              </w:rPr>
              <w:tab/>
            </w:r>
            <w:r>
              <w:rPr>
                <w:noProof/>
                <w:webHidden/>
              </w:rPr>
              <w:fldChar w:fldCharType="begin"/>
            </w:r>
            <w:r>
              <w:rPr>
                <w:noProof/>
                <w:webHidden/>
              </w:rPr>
              <w:instrText xml:space="preserve"> PAGEREF _Toc216458815 \h </w:instrText>
            </w:r>
            <w:r>
              <w:rPr>
                <w:noProof/>
                <w:webHidden/>
              </w:rPr>
            </w:r>
            <w:r>
              <w:rPr>
                <w:noProof/>
                <w:webHidden/>
              </w:rPr>
              <w:fldChar w:fldCharType="separate"/>
            </w:r>
            <w:r>
              <w:rPr>
                <w:noProof/>
                <w:webHidden/>
              </w:rPr>
              <w:t>18</w:t>
            </w:r>
            <w:r>
              <w:rPr>
                <w:noProof/>
                <w:webHidden/>
              </w:rPr>
              <w:fldChar w:fldCharType="end"/>
            </w:r>
          </w:hyperlink>
        </w:p>
        <w:p w14:paraId="5675E31B" w14:textId="77777777" w:rsidR="00850158" w:rsidRDefault="00850158">
          <w:pPr>
            <w:pStyle w:val="TOC2"/>
            <w:tabs>
              <w:tab w:val="right" w:leader="dot" w:pos="9350"/>
            </w:tabs>
            <w:rPr>
              <w:rFonts w:eastAsiaTheme="minorEastAsia"/>
              <w:noProof/>
            </w:rPr>
          </w:pPr>
          <w:hyperlink w:anchor="_Toc216458816" w:history="1">
            <w:r w:rsidRPr="0011686B">
              <w:rPr>
                <w:rStyle w:val="Hyperlink"/>
                <w:noProof/>
              </w:rPr>
              <w:t>4.4 Linking Recommendations Back to OLI and Cultural Factors</w:t>
            </w:r>
            <w:r>
              <w:rPr>
                <w:noProof/>
                <w:webHidden/>
              </w:rPr>
              <w:tab/>
            </w:r>
            <w:r>
              <w:rPr>
                <w:noProof/>
                <w:webHidden/>
              </w:rPr>
              <w:fldChar w:fldCharType="begin"/>
            </w:r>
            <w:r>
              <w:rPr>
                <w:noProof/>
                <w:webHidden/>
              </w:rPr>
              <w:instrText xml:space="preserve"> PAGEREF _Toc216458816 \h </w:instrText>
            </w:r>
            <w:r>
              <w:rPr>
                <w:noProof/>
                <w:webHidden/>
              </w:rPr>
            </w:r>
            <w:r>
              <w:rPr>
                <w:noProof/>
                <w:webHidden/>
              </w:rPr>
              <w:fldChar w:fldCharType="separate"/>
            </w:r>
            <w:r>
              <w:rPr>
                <w:noProof/>
                <w:webHidden/>
              </w:rPr>
              <w:t>19</w:t>
            </w:r>
            <w:r>
              <w:rPr>
                <w:noProof/>
                <w:webHidden/>
              </w:rPr>
              <w:fldChar w:fldCharType="end"/>
            </w:r>
          </w:hyperlink>
        </w:p>
        <w:p w14:paraId="03965F80" w14:textId="77777777" w:rsidR="00850158" w:rsidRDefault="00850158">
          <w:pPr>
            <w:pStyle w:val="TOC2"/>
            <w:tabs>
              <w:tab w:val="right" w:leader="dot" w:pos="9350"/>
            </w:tabs>
            <w:rPr>
              <w:rFonts w:eastAsiaTheme="minorEastAsia"/>
              <w:noProof/>
            </w:rPr>
          </w:pPr>
          <w:hyperlink w:anchor="_Toc216458817" w:history="1">
            <w:r w:rsidRPr="0011686B">
              <w:rPr>
                <w:rStyle w:val="Hyperlink"/>
                <w:noProof/>
              </w:rPr>
              <w:t>4.5 Opportunities for Unilever in Bangladesh</w:t>
            </w:r>
            <w:r>
              <w:rPr>
                <w:noProof/>
                <w:webHidden/>
              </w:rPr>
              <w:tab/>
            </w:r>
            <w:r>
              <w:rPr>
                <w:noProof/>
                <w:webHidden/>
              </w:rPr>
              <w:fldChar w:fldCharType="begin"/>
            </w:r>
            <w:r>
              <w:rPr>
                <w:noProof/>
                <w:webHidden/>
              </w:rPr>
              <w:instrText xml:space="preserve"> PAGEREF _Toc216458817 \h </w:instrText>
            </w:r>
            <w:r>
              <w:rPr>
                <w:noProof/>
                <w:webHidden/>
              </w:rPr>
            </w:r>
            <w:r>
              <w:rPr>
                <w:noProof/>
                <w:webHidden/>
              </w:rPr>
              <w:fldChar w:fldCharType="separate"/>
            </w:r>
            <w:r>
              <w:rPr>
                <w:noProof/>
                <w:webHidden/>
              </w:rPr>
              <w:t>19</w:t>
            </w:r>
            <w:r>
              <w:rPr>
                <w:noProof/>
                <w:webHidden/>
              </w:rPr>
              <w:fldChar w:fldCharType="end"/>
            </w:r>
          </w:hyperlink>
        </w:p>
        <w:p w14:paraId="3ADA5910" w14:textId="77777777" w:rsidR="00850158" w:rsidRDefault="00850158">
          <w:pPr>
            <w:pStyle w:val="TOC2"/>
            <w:tabs>
              <w:tab w:val="right" w:leader="dot" w:pos="9350"/>
            </w:tabs>
            <w:rPr>
              <w:rFonts w:eastAsiaTheme="minorEastAsia"/>
              <w:noProof/>
            </w:rPr>
          </w:pPr>
          <w:hyperlink w:anchor="_Toc216458818" w:history="1">
            <w:r w:rsidRPr="0011686B">
              <w:rPr>
                <w:rStyle w:val="Hyperlink"/>
                <w:noProof/>
              </w:rPr>
              <w:t>4.6 Challenges and Solutions for Multinational FMCG Firms in Bangladesh</w:t>
            </w:r>
            <w:r>
              <w:rPr>
                <w:noProof/>
                <w:webHidden/>
              </w:rPr>
              <w:tab/>
            </w:r>
            <w:r>
              <w:rPr>
                <w:noProof/>
                <w:webHidden/>
              </w:rPr>
              <w:fldChar w:fldCharType="begin"/>
            </w:r>
            <w:r>
              <w:rPr>
                <w:noProof/>
                <w:webHidden/>
              </w:rPr>
              <w:instrText xml:space="preserve"> PAGEREF _Toc216458818 \h </w:instrText>
            </w:r>
            <w:r>
              <w:rPr>
                <w:noProof/>
                <w:webHidden/>
              </w:rPr>
            </w:r>
            <w:r>
              <w:rPr>
                <w:noProof/>
                <w:webHidden/>
              </w:rPr>
              <w:fldChar w:fldCharType="separate"/>
            </w:r>
            <w:r>
              <w:rPr>
                <w:noProof/>
                <w:webHidden/>
              </w:rPr>
              <w:t>20</w:t>
            </w:r>
            <w:r>
              <w:rPr>
                <w:noProof/>
                <w:webHidden/>
              </w:rPr>
              <w:fldChar w:fldCharType="end"/>
            </w:r>
          </w:hyperlink>
        </w:p>
        <w:p w14:paraId="6597910E" w14:textId="77777777" w:rsidR="00850158" w:rsidRDefault="00850158">
          <w:pPr>
            <w:pStyle w:val="TOC1"/>
            <w:tabs>
              <w:tab w:val="right" w:leader="dot" w:pos="9350"/>
            </w:tabs>
            <w:rPr>
              <w:rFonts w:eastAsiaTheme="minorEastAsia"/>
              <w:noProof/>
            </w:rPr>
          </w:pPr>
          <w:hyperlink w:anchor="_Toc216458819" w:history="1">
            <w:r w:rsidRPr="0011686B">
              <w:rPr>
                <w:rStyle w:val="Hyperlink"/>
                <w:noProof/>
              </w:rPr>
              <w:t>5. Conclusion</w:t>
            </w:r>
            <w:r>
              <w:rPr>
                <w:noProof/>
                <w:webHidden/>
              </w:rPr>
              <w:tab/>
            </w:r>
            <w:r>
              <w:rPr>
                <w:noProof/>
                <w:webHidden/>
              </w:rPr>
              <w:fldChar w:fldCharType="begin"/>
            </w:r>
            <w:r>
              <w:rPr>
                <w:noProof/>
                <w:webHidden/>
              </w:rPr>
              <w:instrText xml:space="preserve"> PAGEREF _Toc216458819 \h </w:instrText>
            </w:r>
            <w:r>
              <w:rPr>
                <w:noProof/>
                <w:webHidden/>
              </w:rPr>
            </w:r>
            <w:r>
              <w:rPr>
                <w:noProof/>
                <w:webHidden/>
              </w:rPr>
              <w:fldChar w:fldCharType="separate"/>
            </w:r>
            <w:r>
              <w:rPr>
                <w:noProof/>
                <w:webHidden/>
              </w:rPr>
              <w:t>20</w:t>
            </w:r>
            <w:r>
              <w:rPr>
                <w:noProof/>
                <w:webHidden/>
              </w:rPr>
              <w:fldChar w:fldCharType="end"/>
            </w:r>
          </w:hyperlink>
        </w:p>
        <w:p w14:paraId="02A4A28D" w14:textId="77777777" w:rsidR="00850158" w:rsidRDefault="00850158">
          <w:pPr>
            <w:pStyle w:val="TOC1"/>
            <w:tabs>
              <w:tab w:val="right" w:leader="dot" w:pos="9350"/>
            </w:tabs>
            <w:rPr>
              <w:rFonts w:eastAsiaTheme="minorEastAsia"/>
              <w:noProof/>
            </w:rPr>
          </w:pPr>
          <w:hyperlink w:anchor="_Toc216458820" w:history="1">
            <w:r w:rsidRPr="0011686B">
              <w:rPr>
                <w:rStyle w:val="Hyperlink"/>
                <w:noProof/>
              </w:rPr>
              <w:t>References</w:t>
            </w:r>
            <w:r>
              <w:rPr>
                <w:noProof/>
                <w:webHidden/>
              </w:rPr>
              <w:tab/>
            </w:r>
            <w:r>
              <w:rPr>
                <w:noProof/>
                <w:webHidden/>
              </w:rPr>
              <w:fldChar w:fldCharType="begin"/>
            </w:r>
            <w:r>
              <w:rPr>
                <w:noProof/>
                <w:webHidden/>
              </w:rPr>
              <w:instrText xml:space="preserve"> PAGEREF _Toc216458820 \h </w:instrText>
            </w:r>
            <w:r>
              <w:rPr>
                <w:noProof/>
                <w:webHidden/>
              </w:rPr>
            </w:r>
            <w:r>
              <w:rPr>
                <w:noProof/>
                <w:webHidden/>
              </w:rPr>
              <w:fldChar w:fldCharType="separate"/>
            </w:r>
            <w:r>
              <w:rPr>
                <w:noProof/>
                <w:webHidden/>
              </w:rPr>
              <w:t>22</w:t>
            </w:r>
            <w:r>
              <w:rPr>
                <w:noProof/>
                <w:webHidden/>
              </w:rPr>
              <w:fldChar w:fldCharType="end"/>
            </w:r>
          </w:hyperlink>
        </w:p>
        <w:p w14:paraId="00FCB43F" w14:textId="77777777" w:rsidR="0096026F" w:rsidRPr="008B2410" w:rsidRDefault="001574C8">
          <w:r>
            <w:rPr>
              <w:b/>
              <w:bCs/>
              <w:noProof/>
            </w:rPr>
            <w:fldChar w:fldCharType="end"/>
          </w:r>
        </w:p>
      </w:sdtContent>
    </w:sdt>
    <w:p w14:paraId="799B9121" w14:textId="77777777" w:rsidR="001574C8" w:rsidRDefault="001574C8">
      <w:pPr>
        <w:rPr>
          <w:rFonts w:ascii="Times New Roman" w:eastAsiaTheme="majorEastAsia" w:hAnsi="Times New Roman" w:cstheme="majorBidi"/>
          <w:b/>
          <w:color w:val="000000" w:themeColor="text1"/>
          <w:sz w:val="32"/>
          <w:szCs w:val="32"/>
        </w:rPr>
      </w:pPr>
      <w:r>
        <w:br w:type="page"/>
      </w:r>
    </w:p>
    <w:p w14:paraId="601B9152" w14:textId="77777777" w:rsidR="0096026F" w:rsidRPr="000962B6" w:rsidRDefault="00A754F6" w:rsidP="000962B6">
      <w:pPr>
        <w:pStyle w:val="Heading1"/>
      </w:pPr>
      <w:bookmarkStart w:id="0" w:name="_Toc216458796"/>
      <w:r w:rsidRPr="000962B6">
        <w:t xml:space="preserve">1. </w:t>
      </w:r>
      <w:r w:rsidR="0096026F" w:rsidRPr="000962B6">
        <w:t>Introduction</w:t>
      </w:r>
      <w:bookmarkEnd w:id="0"/>
    </w:p>
    <w:p w14:paraId="1CA2EB01" w14:textId="77777777" w:rsidR="00125DE1" w:rsidRDefault="00125DE1" w:rsidP="0096026F">
      <w:pPr>
        <w:spacing w:line="360" w:lineRule="auto"/>
        <w:jc w:val="both"/>
        <w:rPr>
          <w:rFonts w:ascii="Times New Roman" w:hAnsi="Times New Roman" w:cs="Times New Roman"/>
          <w:sz w:val="24"/>
        </w:rPr>
      </w:pPr>
    </w:p>
    <w:p w14:paraId="311E54A3" w14:textId="77777777" w:rsidR="00125DE1" w:rsidRDefault="004C1E00" w:rsidP="00125DE1">
      <w:pPr>
        <w:spacing w:line="360" w:lineRule="auto"/>
        <w:jc w:val="center"/>
        <w:rPr>
          <w:rFonts w:ascii="Times New Roman" w:hAnsi="Times New Roman" w:cs="Times New Roman"/>
          <w:sz w:val="24"/>
        </w:rPr>
      </w:pPr>
      <w:r>
        <w:rPr>
          <w:noProof/>
        </w:rPr>
        <w:drawing>
          <wp:inline distT="0" distB="0" distL="0" distR="0" wp14:anchorId="1CB2EC2B" wp14:editId="171AF987">
            <wp:extent cx="2072640" cy="2072640"/>
            <wp:effectExtent l="0" t="0" r="3810" b="3810"/>
            <wp:docPr id="3" name="Picture 3" descr="Unilever Bangladesh | Unile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lever Bangladesh | Unilev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2640" cy="2072640"/>
                    </a:xfrm>
                    <a:prstGeom prst="rect">
                      <a:avLst/>
                    </a:prstGeom>
                    <a:noFill/>
                    <a:ln>
                      <a:noFill/>
                    </a:ln>
                  </pic:spPr>
                </pic:pic>
              </a:graphicData>
            </a:graphic>
          </wp:inline>
        </w:drawing>
      </w:r>
    </w:p>
    <w:p w14:paraId="73A1D1CB" w14:textId="77777777" w:rsidR="00125DE1" w:rsidRPr="00125DE1" w:rsidRDefault="00125DE1" w:rsidP="008169BC">
      <w:pPr>
        <w:spacing w:line="360" w:lineRule="auto"/>
        <w:jc w:val="center"/>
        <w:rPr>
          <w:rFonts w:ascii="Times New Roman" w:hAnsi="Times New Roman" w:cs="Times New Roman"/>
          <w:b/>
          <w:sz w:val="24"/>
        </w:rPr>
      </w:pPr>
      <w:r w:rsidRPr="00125DE1">
        <w:rPr>
          <w:rFonts w:ascii="Times New Roman" w:hAnsi="Times New Roman" w:cs="Times New Roman"/>
          <w:b/>
          <w:sz w:val="24"/>
        </w:rPr>
        <w:t xml:space="preserve">Figure 1: Unilever </w:t>
      </w:r>
      <w:r w:rsidR="004C1E00">
        <w:rPr>
          <w:rFonts w:ascii="Times New Roman" w:hAnsi="Times New Roman" w:cs="Times New Roman"/>
          <w:b/>
          <w:sz w:val="24"/>
        </w:rPr>
        <w:t>Logo</w:t>
      </w:r>
      <w:r w:rsidR="008169BC">
        <w:rPr>
          <w:rFonts w:ascii="Times New Roman" w:hAnsi="Times New Roman" w:cs="Times New Roman"/>
          <w:b/>
          <w:sz w:val="24"/>
        </w:rPr>
        <w:t xml:space="preserve"> </w:t>
      </w:r>
      <w:r w:rsidR="004C1E00" w:rsidRPr="004C1E00">
        <w:rPr>
          <w:rFonts w:ascii="Times New Roman" w:hAnsi="Times New Roman" w:cs="Times New Roman"/>
          <w:b/>
          <w:sz w:val="24"/>
        </w:rPr>
        <w:t>(Unilever Bangladesh, 2010)</w:t>
      </w:r>
    </w:p>
    <w:p w14:paraId="21FA5E1F" w14:textId="6AA2836A" w:rsidR="008B2410" w:rsidRPr="008B2410" w:rsidRDefault="008B2410" w:rsidP="008B2410">
      <w:pPr>
        <w:spacing w:line="360" w:lineRule="auto"/>
        <w:jc w:val="both"/>
        <w:rPr>
          <w:rFonts w:ascii="Times New Roman" w:hAnsi="Times New Roman" w:cs="Times New Roman"/>
          <w:sz w:val="24"/>
        </w:rPr>
      </w:pPr>
      <w:r w:rsidRPr="008B2410">
        <w:rPr>
          <w:rFonts w:ascii="Times New Roman" w:hAnsi="Times New Roman" w:cs="Times New Roman"/>
          <w:sz w:val="24"/>
        </w:rPr>
        <w:t xml:space="preserve">This consultancy report assesses the international business </w:t>
      </w:r>
      <w:r w:rsidR="0084251E" w:rsidRPr="008B2410">
        <w:rPr>
          <w:rFonts w:ascii="Times New Roman" w:hAnsi="Times New Roman" w:cs="Times New Roman"/>
          <w:sz w:val="24"/>
        </w:rPr>
        <w:t>practices</w:t>
      </w:r>
      <w:r w:rsidRPr="008B2410">
        <w:rPr>
          <w:rFonts w:ascii="Times New Roman" w:hAnsi="Times New Roman" w:cs="Times New Roman"/>
          <w:sz w:val="24"/>
        </w:rPr>
        <w:t xml:space="preserve"> of Unilever Plc (Unilever) with a particular reference to its strategic location in Bangladesh, a developing economy that is showing great potential growth to fast-moving consumer goods companies. Unilever is a multinational company in the UK but has a strong presence in the rest of the world, Unilever Bangladesh Limited (UBL</w:t>
      </w:r>
      <w:r w:rsidR="002C5002">
        <w:rPr>
          <w:rFonts w:ascii="Times New Roman" w:hAnsi="Times New Roman" w:cs="Times New Roman"/>
          <w:sz w:val="24"/>
        </w:rPr>
        <w:t xml:space="preserve">), </w:t>
      </w:r>
      <w:r w:rsidRPr="008B2410">
        <w:rPr>
          <w:rFonts w:ascii="Times New Roman" w:hAnsi="Times New Roman" w:cs="Times New Roman"/>
          <w:sz w:val="24"/>
        </w:rPr>
        <w:t xml:space="preserve">that has been in operation in Bangladesh more than sixty years. Unilever Bangladesh Limited shows the interest of Unilever in the </w:t>
      </w:r>
      <w:r w:rsidR="0084251E" w:rsidRPr="008B2410">
        <w:rPr>
          <w:rFonts w:ascii="Times New Roman" w:hAnsi="Times New Roman" w:cs="Times New Roman"/>
          <w:sz w:val="24"/>
        </w:rPr>
        <w:t>localization</w:t>
      </w:r>
      <w:r w:rsidRPr="008B2410">
        <w:rPr>
          <w:rFonts w:ascii="Times New Roman" w:hAnsi="Times New Roman" w:cs="Times New Roman"/>
          <w:sz w:val="24"/>
        </w:rPr>
        <w:t xml:space="preserve"> process and the consistent investment in the emerging market situation (Unilever PLC, 2025).</w:t>
      </w:r>
    </w:p>
    <w:p w14:paraId="1CF98B07" w14:textId="77777777" w:rsidR="008B2410" w:rsidRPr="008B2410" w:rsidRDefault="008B2410" w:rsidP="008B2410">
      <w:pPr>
        <w:spacing w:line="360" w:lineRule="auto"/>
        <w:jc w:val="both"/>
        <w:rPr>
          <w:rFonts w:ascii="Times New Roman" w:hAnsi="Times New Roman" w:cs="Times New Roman"/>
          <w:sz w:val="24"/>
        </w:rPr>
      </w:pPr>
      <w:r w:rsidRPr="008B2410">
        <w:rPr>
          <w:rFonts w:ascii="Times New Roman" w:hAnsi="Times New Roman" w:cs="Times New Roman"/>
          <w:sz w:val="24"/>
        </w:rPr>
        <w:t>The mission of Unilever is to ensure that sustainable living becomes the new norm by providing its customers with affordable and high-quality products that enhance their everyday life, whereas the vision of the company focuses on responsible development in the long term through innovation, environmental responsibility and social impact.</w:t>
      </w:r>
    </w:p>
    <w:p w14:paraId="2C575520" w14:textId="293A5FE4" w:rsidR="008169BC" w:rsidRDefault="008B2410" w:rsidP="008B2410">
      <w:pPr>
        <w:spacing w:line="360" w:lineRule="auto"/>
        <w:jc w:val="both"/>
        <w:rPr>
          <w:rFonts w:ascii="Times New Roman" w:hAnsi="Times New Roman" w:cs="Times New Roman"/>
          <w:sz w:val="24"/>
        </w:rPr>
      </w:pPr>
      <w:r w:rsidRPr="008B2410">
        <w:rPr>
          <w:rFonts w:ascii="Times New Roman" w:hAnsi="Times New Roman" w:cs="Times New Roman"/>
          <w:sz w:val="24"/>
        </w:rPr>
        <w:t>The report will discuss</w:t>
      </w:r>
      <w:r w:rsidR="00A14586">
        <w:rPr>
          <w:rFonts w:ascii="Times New Roman" w:hAnsi="Times New Roman" w:cs="Times New Roman"/>
          <w:sz w:val="24"/>
        </w:rPr>
        <w:t xml:space="preserve"> </w:t>
      </w:r>
      <w:r w:rsidRPr="008B2410">
        <w:rPr>
          <w:rFonts w:ascii="Times New Roman" w:hAnsi="Times New Roman" w:cs="Times New Roman"/>
          <w:sz w:val="24"/>
        </w:rPr>
        <w:t xml:space="preserve">the advantages and disadvantages of the </w:t>
      </w:r>
      <w:r w:rsidR="00507B23" w:rsidRPr="008B2410">
        <w:rPr>
          <w:rFonts w:ascii="Times New Roman" w:hAnsi="Times New Roman" w:cs="Times New Roman"/>
          <w:sz w:val="24"/>
        </w:rPr>
        <w:t>internationalization</w:t>
      </w:r>
      <w:r w:rsidRPr="008B2410">
        <w:rPr>
          <w:rFonts w:ascii="Times New Roman" w:hAnsi="Times New Roman" w:cs="Times New Roman"/>
          <w:sz w:val="24"/>
        </w:rPr>
        <w:t xml:space="preserve"> by </w:t>
      </w:r>
      <w:r w:rsidR="00507B23">
        <w:rPr>
          <w:rFonts w:ascii="Times New Roman" w:hAnsi="Times New Roman" w:cs="Times New Roman"/>
          <w:sz w:val="24"/>
        </w:rPr>
        <w:t xml:space="preserve">Unilever </w:t>
      </w:r>
      <w:r w:rsidRPr="008B2410">
        <w:rPr>
          <w:rFonts w:ascii="Times New Roman" w:hAnsi="Times New Roman" w:cs="Times New Roman"/>
          <w:sz w:val="24"/>
        </w:rPr>
        <w:t>the application of the Ownership-Location-</w:t>
      </w:r>
      <w:r w:rsidR="00507B23" w:rsidRPr="008B2410">
        <w:rPr>
          <w:rFonts w:ascii="Times New Roman" w:hAnsi="Times New Roman" w:cs="Times New Roman"/>
          <w:sz w:val="24"/>
        </w:rPr>
        <w:t>Internalization</w:t>
      </w:r>
      <w:r w:rsidRPr="008B2410">
        <w:rPr>
          <w:rFonts w:ascii="Times New Roman" w:hAnsi="Times New Roman" w:cs="Times New Roman"/>
          <w:sz w:val="24"/>
        </w:rPr>
        <w:t xml:space="preserve"> (OLI) factors under which Unilever has entered Bangladesh</w:t>
      </w:r>
      <w:r w:rsidR="00124D01">
        <w:rPr>
          <w:rFonts w:ascii="Times New Roman" w:hAnsi="Times New Roman" w:cs="Times New Roman"/>
          <w:sz w:val="24"/>
        </w:rPr>
        <w:t>,</w:t>
      </w:r>
      <w:r w:rsidRPr="008B2410">
        <w:rPr>
          <w:rFonts w:ascii="Times New Roman" w:hAnsi="Times New Roman" w:cs="Times New Roman"/>
          <w:sz w:val="24"/>
        </w:rPr>
        <w:t xml:space="preserve"> the differences in the culture of the UK and Bangladesh and its effects on entry strategy and performance and finally, the recommendation of the possible changes to the standard operation procedures (SOPs) of Unilever in</w:t>
      </w:r>
      <w:r>
        <w:rPr>
          <w:rFonts w:ascii="Times New Roman" w:hAnsi="Times New Roman" w:cs="Times New Roman"/>
          <w:sz w:val="24"/>
        </w:rPr>
        <w:t xml:space="preserve"> order to succeed in Bangladesh</w:t>
      </w:r>
      <w:r w:rsidR="008169BC" w:rsidRPr="0096026F">
        <w:rPr>
          <w:rFonts w:ascii="Times New Roman" w:hAnsi="Times New Roman" w:cs="Times New Roman"/>
          <w:sz w:val="24"/>
        </w:rPr>
        <w:t>.</w:t>
      </w:r>
    </w:p>
    <w:p w14:paraId="2D696E57" w14:textId="3391FA72" w:rsidR="002A5132" w:rsidRDefault="000962B6" w:rsidP="002A5132">
      <w:pPr>
        <w:pStyle w:val="Heading1"/>
      </w:pPr>
      <w:bookmarkStart w:id="1" w:name="_Toc216458797"/>
      <w:r>
        <w:rPr>
          <w:rStyle w:val="Strong"/>
          <w:b/>
          <w:bCs w:val="0"/>
        </w:rPr>
        <w:t>2</w:t>
      </w:r>
      <w:r w:rsidRPr="000962B6">
        <w:rPr>
          <w:rStyle w:val="Strong"/>
          <w:b/>
          <w:bCs w:val="0"/>
        </w:rPr>
        <w:t xml:space="preserve">. </w:t>
      </w:r>
      <w:r w:rsidR="00E60397" w:rsidRPr="000962B6">
        <w:rPr>
          <w:rStyle w:val="Strong"/>
          <w:b/>
          <w:bCs w:val="0"/>
        </w:rPr>
        <w:t>Internationalization</w:t>
      </w:r>
      <w:r w:rsidRPr="000962B6">
        <w:rPr>
          <w:rStyle w:val="Strong"/>
          <w:b/>
          <w:bCs w:val="0"/>
        </w:rPr>
        <w:t xml:space="preserve"> Analysis of Unilever</w:t>
      </w:r>
      <w:bookmarkEnd w:id="1"/>
    </w:p>
    <w:p w14:paraId="40BABE8C" w14:textId="77777777" w:rsidR="002A5132" w:rsidRPr="002A5132" w:rsidRDefault="002A5132" w:rsidP="002A5132">
      <w:pPr>
        <w:pStyle w:val="Heading2"/>
      </w:pPr>
      <w:bookmarkStart w:id="2" w:name="_Toc216458798"/>
      <w:r>
        <w:t>2</w:t>
      </w:r>
      <w:r w:rsidRPr="002A5132">
        <w:t>.</w:t>
      </w:r>
      <w:r>
        <w:t>1</w:t>
      </w:r>
      <w:r w:rsidRPr="002A5132">
        <w:t xml:space="preserve"> </w:t>
      </w:r>
      <w:r>
        <w:t>Unilever’s global operation strategies</w:t>
      </w:r>
      <w:bookmarkEnd w:id="2"/>
    </w:p>
    <w:p w14:paraId="572CCA83" w14:textId="77777777" w:rsidR="002A5132" w:rsidRDefault="002A5132" w:rsidP="002A5132">
      <w:pPr>
        <w:pStyle w:val="Heading3"/>
      </w:pPr>
      <w:bookmarkStart w:id="3" w:name="_Toc216458799"/>
      <w:r>
        <w:t xml:space="preserve">2.1.1 </w:t>
      </w:r>
      <w:r w:rsidRPr="002A5132">
        <w:t>Key Benefits of International Operations</w:t>
      </w:r>
      <w:bookmarkEnd w:id="3"/>
    </w:p>
    <w:p w14:paraId="6C61F2A2" w14:textId="77777777" w:rsidR="002A5132" w:rsidRDefault="002A5132" w:rsidP="002A5132">
      <w:pPr>
        <w:spacing w:line="360" w:lineRule="auto"/>
        <w:jc w:val="both"/>
        <w:rPr>
          <w:rFonts w:ascii="Times New Roman" w:hAnsi="Times New Roman" w:cs="Times New Roman"/>
          <w:sz w:val="24"/>
        </w:rPr>
      </w:pPr>
      <w:r w:rsidRPr="002A5132">
        <w:rPr>
          <w:rFonts w:ascii="Times New Roman" w:hAnsi="Times New Roman" w:cs="Times New Roman"/>
          <w:b/>
          <w:bCs/>
          <w:sz w:val="24"/>
        </w:rPr>
        <w:t>Global Market Diversification and Brand Reach</w:t>
      </w:r>
    </w:p>
    <w:p w14:paraId="04A6120A" w14:textId="5EB80465" w:rsidR="002A5132" w:rsidRPr="002A5132" w:rsidRDefault="00E60397" w:rsidP="002A5132">
      <w:pPr>
        <w:spacing w:line="360" w:lineRule="auto"/>
        <w:jc w:val="both"/>
        <w:rPr>
          <w:rFonts w:ascii="Times New Roman" w:hAnsi="Times New Roman" w:cs="Times New Roman"/>
          <w:sz w:val="24"/>
        </w:rPr>
      </w:pPr>
      <w:r w:rsidRPr="008B2410">
        <w:rPr>
          <w:rFonts w:ascii="Times New Roman" w:hAnsi="Times New Roman" w:cs="Times New Roman"/>
          <w:sz w:val="24"/>
        </w:rPr>
        <w:t>Globalization</w:t>
      </w:r>
      <w:r w:rsidR="008B2410" w:rsidRPr="008B2410">
        <w:rPr>
          <w:rFonts w:ascii="Times New Roman" w:hAnsi="Times New Roman" w:cs="Times New Roman"/>
          <w:sz w:val="24"/>
        </w:rPr>
        <w:t xml:space="preserve"> of Unilever  has a</w:t>
      </w:r>
      <w:r w:rsidR="00601A46">
        <w:rPr>
          <w:rFonts w:ascii="Times New Roman" w:hAnsi="Times New Roman" w:cs="Times New Roman"/>
          <w:sz w:val="24"/>
        </w:rPr>
        <w:t xml:space="preserve"> </w:t>
      </w:r>
      <w:r w:rsidR="008B2410" w:rsidRPr="008B2410">
        <w:rPr>
          <w:rFonts w:ascii="Times New Roman" w:hAnsi="Times New Roman" w:cs="Times New Roman"/>
          <w:sz w:val="24"/>
        </w:rPr>
        <w:t xml:space="preserve"> strategic advantages that support the company as one of the most successful multinational companies in the world. With operations in over 190 countries, Unilever is diversified in terms of its revenue base, as well as dependence on one market and can exploit economies of scale within its global value chain (Unilever, 2024). The multinational nature of the company also enhances the strength of its brands, which allows the spread of internationally </w:t>
      </w:r>
      <w:r w:rsidR="00626680" w:rsidRPr="008B2410">
        <w:rPr>
          <w:rFonts w:ascii="Times New Roman" w:hAnsi="Times New Roman" w:cs="Times New Roman"/>
          <w:sz w:val="24"/>
        </w:rPr>
        <w:t>recognized</w:t>
      </w:r>
      <w:r w:rsidR="008B2410" w:rsidRPr="008B2410">
        <w:rPr>
          <w:rFonts w:ascii="Times New Roman" w:hAnsi="Times New Roman" w:cs="Times New Roman"/>
          <w:sz w:val="24"/>
        </w:rPr>
        <w:t xml:space="preserve"> brands like Lifebuoy, Lux, dove, </w:t>
      </w:r>
      <w:r w:rsidR="00626680" w:rsidRPr="008B2410">
        <w:rPr>
          <w:rFonts w:ascii="Times New Roman" w:hAnsi="Times New Roman" w:cs="Times New Roman"/>
          <w:sz w:val="24"/>
        </w:rPr>
        <w:t>Sun silk</w:t>
      </w:r>
      <w:r w:rsidR="008B2410" w:rsidRPr="008B2410">
        <w:rPr>
          <w:rFonts w:ascii="Times New Roman" w:hAnsi="Times New Roman" w:cs="Times New Roman"/>
          <w:sz w:val="24"/>
        </w:rPr>
        <w:t xml:space="preserve"> and Surf Excel to both the developed and the developing markets. This wide presence enables a consistent global brand and at the same time enables local adaptation by having subsidiaries such as Unilever Bangladesh Limited (UBL) which was found</w:t>
      </w:r>
      <w:r w:rsidR="008B2410">
        <w:rPr>
          <w:rFonts w:ascii="Times New Roman" w:hAnsi="Times New Roman" w:cs="Times New Roman"/>
          <w:sz w:val="24"/>
        </w:rPr>
        <w:t>ed in 1964 (Unilever PLC, 2025)</w:t>
      </w:r>
      <w:r w:rsidR="002A5132" w:rsidRPr="002A5132">
        <w:rPr>
          <w:rFonts w:ascii="Times New Roman" w:hAnsi="Times New Roman" w:cs="Times New Roman"/>
          <w:sz w:val="24"/>
        </w:rPr>
        <w:t>.</w:t>
      </w:r>
    </w:p>
    <w:p w14:paraId="720EAD5F" w14:textId="77777777" w:rsidR="002A5132" w:rsidRDefault="002A5132" w:rsidP="002A5132">
      <w:pPr>
        <w:spacing w:line="360" w:lineRule="auto"/>
        <w:jc w:val="both"/>
        <w:rPr>
          <w:rFonts w:ascii="Times New Roman" w:hAnsi="Times New Roman" w:cs="Times New Roman"/>
          <w:sz w:val="24"/>
        </w:rPr>
      </w:pPr>
      <w:r w:rsidRPr="002A5132">
        <w:rPr>
          <w:rFonts w:ascii="Times New Roman" w:hAnsi="Times New Roman" w:cs="Times New Roman"/>
          <w:b/>
          <w:bCs/>
          <w:sz w:val="24"/>
        </w:rPr>
        <w:t>Global R&amp;D Capabilities and Innovation Transfer</w:t>
      </w:r>
    </w:p>
    <w:p w14:paraId="381E0801" w14:textId="40CCB7AE" w:rsidR="002A5132" w:rsidRPr="002A5132" w:rsidRDefault="008B2410" w:rsidP="002A5132">
      <w:pPr>
        <w:spacing w:line="360" w:lineRule="auto"/>
        <w:jc w:val="both"/>
        <w:rPr>
          <w:rFonts w:ascii="Times New Roman" w:hAnsi="Times New Roman" w:cs="Times New Roman"/>
          <w:sz w:val="24"/>
        </w:rPr>
      </w:pPr>
      <w:r w:rsidRPr="008B2410">
        <w:rPr>
          <w:rFonts w:ascii="Times New Roman" w:hAnsi="Times New Roman" w:cs="Times New Roman"/>
          <w:sz w:val="24"/>
        </w:rPr>
        <w:t xml:space="preserve">Another key advantage of the international business of Unilever is that it has a distributed R&amp;D strength that is facilitated by innovation </w:t>
      </w:r>
      <w:r w:rsidR="005775BF" w:rsidRPr="008B2410">
        <w:rPr>
          <w:rFonts w:ascii="Times New Roman" w:hAnsi="Times New Roman" w:cs="Times New Roman"/>
          <w:sz w:val="24"/>
        </w:rPr>
        <w:t>centers</w:t>
      </w:r>
      <w:r w:rsidRPr="008B2410">
        <w:rPr>
          <w:rFonts w:ascii="Times New Roman" w:hAnsi="Times New Roman" w:cs="Times New Roman"/>
          <w:sz w:val="24"/>
        </w:rPr>
        <w:t xml:space="preserve"> located in the UK, Netherlands, India, China, and the USA (Unilever, 2024). The network improves the technological learning and speed of development of new products. Such innovations as humidity-safe skin creams and heat-resistant deodorants, made by Unilever as global formulations, are </w:t>
      </w:r>
      <w:r w:rsidR="005775BF" w:rsidRPr="008B2410">
        <w:rPr>
          <w:rFonts w:ascii="Times New Roman" w:hAnsi="Times New Roman" w:cs="Times New Roman"/>
          <w:sz w:val="24"/>
        </w:rPr>
        <w:t>localized</w:t>
      </w:r>
      <w:r w:rsidRPr="008B2410">
        <w:rPr>
          <w:rFonts w:ascii="Times New Roman" w:hAnsi="Times New Roman" w:cs="Times New Roman"/>
          <w:sz w:val="24"/>
        </w:rPr>
        <w:t xml:space="preserve"> to fit local climatic and cultural conditions in Bangladesh with UBL, demonstrating the Unilever global innovation approac</w:t>
      </w:r>
      <w:r>
        <w:rPr>
          <w:rFonts w:ascii="Times New Roman" w:hAnsi="Times New Roman" w:cs="Times New Roman"/>
          <w:sz w:val="24"/>
        </w:rPr>
        <w:t xml:space="preserve">h of being </w:t>
      </w:r>
      <w:proofErr w:type="spellStart"/>
      <w:r>
        <w:rPr>
          <w:rFonts w:ascii="Times New Roman" w:hAnsi="Times New Roman" w:cs="Times New Roman"/>
          <w:sz w:val="24"/>
        </w:rPr>
        <w:t>glocal</w:t>
      </w:r>
      <w:proofErr w:type="spellEnd"/>
      <w:r>
        <w:rPr>
          <w:rFonts w:ascii="Times New Roman" w:hAnsi="Times New Roman" w:cs="Times New Roman"/>
          <w:sz w:val="24"/>
        </w:rPr>
        <w:t xml:space="preserve"> (Jones, 2005)</w:t>
      </w:r>
      <w:r w:rsidR="002A5132" w:rsidRPr="002A5132">
        <w:rPr>
          <w:rFonts w:ascii="Times New Roman" w:hAnsi="Times New Roman" w:cs="Times New Roman"/>
          <w:sz w:val="24"/>
        </w:rPr>
        <w:t>.</w:t>
      </w:r>
    </w:p>
    <w:p w14:paraId="7325D6D1" w14:textId="77777777" w:rsidR="002A5132" w:rsidRDefault="002A5132" w:rsidP="002A5132">
      <w:pPr>
        <w:spacing w:line="360" w:lineRule="auto"/>
        <w:jc w:val="both"/>
        <w:rPr>
          <w:rFonts w:ascii="Times New Roman" w:hAnsi="Times New Roman" w:cs="Times New Roman"/>
          <w:sz w:val="24"/>
        </w:rPr>
      </w:pPr>
      <w:r w:rsidRPr="002A5132">
        <w:rPr>
          <w:rFonts w:ascii="Times New Roman" w:hAnsi="Times New Roman" w:cs="Times New Roman"/>
          <w:b/>
          <w:bCs/>
          <w:sz w:val="24"/>
        </w:rPr>
        <w:t>Supply-Chain Integration and Cost Efficiency</w:t>
      </w:r>
    </w:p>
    <w:p w14:paraId="0DAF0292" w14:textId="3EF27811" w:rsidR="002A5132" w:rsidRPr="002A5132" w:rsidRDefault="008B2410" w:rsidP="002A5132">
      <w:pPr>
        <w:spacing w:line="360" w:lineRule="auto"/>
        <w:jc w:val="both"/>
        <w:rPr>
          <w:rFonts w:ascii="Times New Roman" w:hAnsi="Times New Roman" w:cs="Times New Roman"/>
          <w:sz w:val="24"/>
        </w:rPr>
      </w:pPr>
      <w:r w:rsidRPr="008B2410">
        <w:rPr>
          <w:rFonts w:ascii="Times New Roman" w:hAnsi="Times New Roman" w:cs="Times New Roman"/>
          <w:sz w:val="24"/>
        </w:rPr>
        <w:t xml:space="preserve">The sourcing and supply-chain efficiencies of Unilever are also reinforced by </w:t>
      </w:r>
      <w:r w:rsidR="00DE0AF7" w:rsidRPr="008B2410">
        <w:rPr>
          <w:rFonts w:ascii="Times New Roman" w:hAnsi="Times New Roman" w:cs="Times New Roman"/>
          <w:sz w:val="24"/>
        </w:rPr>
        <w:t>internationalization</w:t>
      </w:r>
      <w:r w:rsidRPr="008B2410">
        <w:rPr>
          <w:rFonts w:ascii="Times New Roman" w:hAnsi="Times New Roman" w:cs="Times New Roman"/>
          <w:sz w:val="24"/>
        </w:rPr>
        <w:t xml:space="preserve">. The company buys palm oil, tea, dairy inputs and chemicals with the suppliers in Kenya, India and Indonesia, and </w:t>
      </w:r>
      <w:r w:rsidR="003C1FA7" w:rsidRPr="008B2410">
        <w:rPr>
          <w:rFonts w:ascii="Times New Roman" w:hAnsi="Times New Roman" w:cs="Times New Roman"/>
          <w:sz w:val="24"/>
        </w:rPr>
        <w:t>utilizes</w:t>
      </w:r>
      <w:r w:rsidRPr="008B2410">
        <w:rPr>
          <w:rFonts w:ascii="Times New Roman" w:hAnsi="Times New Roman" w:cs="Times New Roman"/>
          <w:sz w:val="24"/>
        </w:rPr>
        <w:t xml:space="preserve"> local agricultural and packaging materials in Bangladesh (Unilever, 2024). This type of integration enhances cost effectiveness and resilience of supply. In addition, international activities enable Unilever to streamline its production capacity, which is evidenced by the plants of UBL in </w:t>
      </w:r>
      <w:proofErr w:type="spellStart"/>
      <w:r w:rsidRPr="008B2410">
        <w:rPr>
          <w:rFonts w:ascii="Times New Roman" w:hAnsi="Times New Roman" w:cs="Times New Roman"/>
          <w:sz w:val="24"/>
        </w:rPr>
        <w:t>Chattogram</w:t>
      </w:r>
      <w:proofErr w:type="spellEnd"/>
      <w:r w:rsidRPr="008B2410">
        <w:rPr>
          <w:rFonts w:ascii="Times New Roman" w:hAnsi="Times New Roman" w:cs="Times New Roman"/>
          <w:sz w:val="24"/>
        </w:rPr>
        <w:t xml:space="preserve"> and </w:t>
      </w:r>
      <w:proofErr w:type="spellStart"/>
      <w:r w:rsidRPr="008B2410">
        <w:rPr>
          <w:rFonts w:ascii="Times New Roman" w:hAnsi="Times New Roman" w:cs="Times New Roman"/>
          <w:sz w:val="24"/>
        </w:rPr>
        <w:t>Kalurghat</w:t>
      </w:r>
      <w:proofErr w:type="spellEnd"/>
      <w:r w:rsidRPr="008B2410">
        <w:rPr>
          <w:rFonts w:ascii="Times New Roman" w:hAnsi="Times New Roman" w:cs="Times New Roman"/>
          <w:sz w:val="24"/>
        </w:rPr>
        <w:t xml:space="preserve"> that most of the na</w:t>
      </w:r>
      <w:r>
        <w:rPr>
          <w:rFonts w:ascii="Times New Roman" w:hAnsi="Times New Roman" w:cs="Times New Roman"/>
          <w:sz w:val="24"/>
        </w:rPr>
        <w:t>tional demand in FMCG is served</w:t>
      </w:r>
      <w:r w:rsidR="002A5132" w:rsidRPr="002A5132">
        <w:rPr>
          <w:rFonts w:ascii="Times New Roman" w:hAnsi="Times New Roman" w:cs="Times New Roman"/>
          <w:sz w:val="24"/>
        </w:rPr>
        <w:t>.</w:t>
      </w:r>
    </w:p>
    <w:p w14:paraId="0E024B39" w14:textId="77777777" w:rsidR="002A5132" w:rsidRDefault="002A5132" w:rsidP="002A5132">
      <w:pPr>
        <w:spacing w:line="360" w:lineRule="auto"/>
        <w:jc w:val="both"/>
        <w:rPr>
          <w:rFonts w:ascii="Times New Roman" w:hAnsi="Times New Roman" w:cs="Times New Roman"/>
          <w:sz w:val="24"/>
        </w:rPr>
      </w:pPr>
      <w:r w:rsidRPr="002A5132">
        <w:rPr>
          <w:rFonts w:ascii="Times New Roman" w:hAnsi="Times New Roman" w:cs="Times New Roman"/>
          <w:b/>
          <w:bCs/>
          <w:sz w:val="24"/>
        </w:rPr>
        <w:t>Access to High-Growth Emerging Markets</w:t>
      </w:r>
    </w:p>
    <w:p w14:paraId="090C7552" w14:textId="63F5837F" w:rsidR="002A5132" w:rsidRPr="002A5132" w:rsidRDefault="008B2410" w:rsidP="002A5132">
      <w:pPr>
        <w:spacing w:line="360" w:lineRule="auto"/>
        <w:jc w:val="both"/>
        <w:rPr>
          <w:rFonts w:ascii="Times New Roman" w:hAnsi="Times New Roman" w:cs="Times New Roman"/>
          <w:sz w:val="24"/>
        </w:rPr>
      </w:pPr>
      <w:r w:rsidRPr="008B2410">
        <w:rPr>
          <w:rFonts w:ascii="Times New Roman" w:hAnsi="Times New Roman" w:cs="Times New Roman"/>
          <w:sz w:val="24"/>
        </w:rPr>
        <w:t>Unilever enjoys the advantage of having a presence in the rapidly developing economies. The developing FMCG industry of Bangladesh, increasing income and huge population makes foreign direct investment and long-</w:t>
      </w:r>
      <w:r>
        <w:rPr>
          <w:rFonts w:ascii="Times New Roman" w:hAnsi="Times New Roman" w:cs="Times New Roman"/>
          <w:sz w:val="24"/>
        </w:rPr>
        <w:t>term profitability maintainable</w:t>
      </w:r>
      <w:r w:rsidR="00A0113F">
        <w:rPr>
          <w:rFonts w:ascii="Times New Roman" w:hAnsi="Times New Roman" w:cs="Times New Roman"/>
          <w:sz w:val="24"/>
        </w:rPr>
        <w:t xml:space="preserve"> </w:t>
      </w:r>
      <w:r w:rsidR="00FE7123" w:rsidRPr="00FE7123">
        <w:rPr>
          <w:rFonts w:ascii="Times New Roman" w:hAnsi="Times New Roman" w:cs="Times New Roman"/>
          <w:sz w:val="24"/>
        </w:rPr>
        <w:t xml:space="preserve">(Hussain and </w:t>
      </w:r>
      <w:proofErr w:type="spellStart"/>
      <w:r w:rsidR="00FE7123" w:rsidRPr="00FE7123">
        <w:rPr>
          <w:rFonts w:ascii="Times New Roman" w:hAnsi="Times New Roman" w:cs="Times New Roman"/>
          <w:sz w:val="24"/>
        </w:rPr>
        <w:t>Haque</w:t>
      </w:r>
      <w:proofErr w:type="spellEnd"/>
      <w:r w:rsidR="00FE7123" w:rsidRPr="00FE7123">
        <w:rPr>
          <w:rFonts w:ascii="Times New Roman" w:hAnsi="Times New Roman" w:cs="Times New Roman"/>
          <w:sz w:val="24"/>
        </w:rPr>
        <w:t>, 2016)</w:t>
      </w:r>
      <w:r w:rsidR="00FE7123">
        <w:rPr>
          <w:rFonts w:ascii="Times New Roman" w:hAnsi="Times New Roman" w:cs="Times New Roman"/>
          <w:sz w:val="24"/>
        </w:rPr>
        <w:t>.</w:t>
      </w:r>
    </w:p>
    <w:p w14:paraId="3DFD7353" w14:textId="77777777" w:rsidR="002A5132" w:rsidRPr="002A5132" w:rsidRDefault="002A5132" w:rsidP="002A5132">
      <w:pPr>
        <w:pStyle w:val="Heading3"/>
      </w:pPr>
      <w:bookmarkStart w:id="4" w:name="_Toc216458800"/>
      <w:r>
        <w:t xml:space="preserve">2.1.2 </w:t>
      </w:r>
      <w:r w:rsidRPr="002A5132">
        <w:t>Challenges of International Operations</w:t>
      </w:r>
      <w:bookmarkEnd w:id="4"/>
      <w:r w:rsidRPr="002A5132">
        <w:t xml:space="preserve"> </w:t>
      </w:r>
    </w:p>
    <w:p w14:paraId="3F3E1B42" w14:textId="77777777" w:rsidR="002A5132" w:rsidRDefault="002A5132" w:rsidP="002A5132">
      <w:pPr>
        <w:spacing w:line="360" w:lineRule="auto"/>
        <w:jc w:val="both"/>
        <w:rPr>
          <w:rFonts w:ascii="Times New Roman" w:hAnsi="Times New Roman" w:cs="Times New Roman"/>
          <w:sz w:val="24"/>
        </w:rPr>
      </w:pPr>
      <w:r w:rsidRPr="002A5132">
        <w:rPr>
          <w:rFonts w:ascii="Times New Roman" w:hAnsi="Times New Roman" w:cs="Times New Roman"/>
          <w:b/>
          <w:bCs/>
          <w:sz w:val="24"/>
        </w:rPr>
        <w:t>Maintaining Global Product Quality Standards</w:t>
      </w:r>
    </w:p>
    <w:p w14:paraId="4CA8803A" w14:textId="46132537" w:rsidR="002A5132" w:rsidRPr="002A5132" w:rsidRDefault="008A0226" w:rsidP="002A5132">
      <w:pPr>
        <w:spacing w:line="360" w:lineRule="auto"/>
        <w:jc w:val="both"/>
        <w:rPr>
          <w:rFonts w:ascii="Times New Roman" w:hAnsi="Times New Roman" w:cs="Times New Roman"/>
          <w:sz w:val="24"/>
        </w:rPr>
      </w:pPr>
      <w:r w:rsidRPr="008A0226">
        <w:rPr>
          <w:rFonts w:ascii="Times New Roman" w:hAnsi="Times New Roman" w:cs="Times New Roman"/>
          <w:sz w:val="24"/>
        </w:rPr>
        <w:t xml:space="preserve">Unilever </w:t>
      </w:r>
      <w:proofErr w:type="spellStart"/>
      <w:r w:rsidRPr="008A0226">
        <w:rPr>
          <w:rFonts w:ascii="Times New Roman" w:hAnsi="Times New Roman" w:cs="Times New Roman"/>
          <w:sz w:val="24"/>
        </w:rPr>
        <w:t>internationational</w:t>
      </w:r>
      <w:proofErr w:type="spellEnd"/>
      <w:r w:rsidRPr="008A0226">
        <w:rPr>
          <w:rFonts w:ascii="Times New Roman" w:hAnsi="Times New Roman" w:cs="Times New Roman"/>
          <w:sz w:val="24"/>
        </w:rPr>
        <w:t xml:space="preserve"> activities have </w:t>
      </w:r>
      <w:r w:rsidR="0045289C">
        <w:rPr>
          <w:rFonts w:ascii="Times New Roman" w:hAnsi="Times New Roman" w:cs="Times New Roman"/>
          <w:sz w:val="24"/>
        </w:rPr>
        <w:t xml:space="preserve">some </w:t>
      </w:r>
      <w:r w:rsidRPr="008A0226">
        <w:rPr>
          <w:rFonts w:ascii="Times New Roman" w:hAnsi="Times New Roman" w:cs="Times New Roman"/>
          <w:sz w:val="24"/>
        </w:rPr>
        <w:t xml:space="preserve">major challenges. The first challenge is to ensure that the quality of the products remains uniform even when they are sold in different geographic markets. The management of numerous R&amp;D </w:t>
      </w:r>
      <w:r w:rsidR="00270103" w:rsidRPr="008A0226">
        <w:rPr>
          <w:rFonts w:ascii="Times New Roman" w:hAnsi="Times New Roman" w:cs="Times New Roman"/>
          <w:sz w:val="24"/>
        </w:rPr>
        <w:t>centers</w:t>
      </w:r>
      <w:r w:rsidRPr="008A0226">
        <w:rPr>
          <w:rFonts w:ascii="Times New Roman" w:hAnsi="Times New Roman" w:cs="Times New Roman"/>
          <w:sz w:val="24"/>
        </w:rPr>
        <w:t xml:space="preserve"> necessitates the assurance of the fact that the local modifications do not harm the global benchmarks (Unilever, 2024). This especially becomes complicated in the emerging markets with different climatic conditions or usage like </w:t>
      </w:r>
      <w:r>
        <w:rPr>
          <w:rFonts w:ascii="Times New Roman" w:hAnsi="Times New Roman" w:cs="Times New Roman"/>
          <w:sz w:val="24"/>
        </w:rPr>
        <w:t>the high humidity in Bangladesh</w:t>
      </w:r>
      <w:r w:rsidR="002A5132" w:rsidRPr="002A5132">
        <w:rPr>
          <w:rFonts w:ascii="Times New Roman" w:hAnsi="Times New Roman" w:cs="Times New Roman"/>
          <w:sz w:val="24"/>
        </w:rPr>
        <w:t>.</w:t>
      </w:r>
    </w:p>
    <w:p w14:paraId="774C1552" w14:textId="77777777" w:rsidR="002A5132" w:rsidRDefault="002A5132" w:rsidP="002A5132">
      <w:pPr>
        <w:spacing w:line="360" w:lineRule="auto"/>
        <w:jc w:val="both"/>
        <w:rPr>
          <w:rFonts w:ascii="Times New Roman" w:hAnsi="Times New Roman" w:cs="Times New Roman"/>
          <w:sz w:val="24"/>
        </w:rPr>
      </w:pPr>
      <w:r w:rsidRPr="002A5132">
        <w:rPr>
          <w:rFonts w:ascii="Times New Roman" w:hAnsi="Times New Roman" w:cs="Times New Roman"/>
          <w:b/>
          <w:bCs/>
          <w:sz w:val="24"/>
        </w:rPr>
        <w:t>Supply-Chain Vulnerabilities and Sustainability Pressures</w:t>
      </w:r>
    </w:p>
    <w:p w14:paraId="3CDAEC57" w14:textId="77777777" w:rsidR="002A5132" w:rsidRPr="002A5132" w:rsidRDefault="008A0226" w:rsidP="002A5132">
      <w:pPr>
        <w:spacing w:line="360" w:lineRule="auto"/>
        <w:jc w:val="both"/>
        <w:rPr>
          <w:rFonts w:ascii="Times New Roman" w:hAnsi="Times New Roman" w:cs="Times New Roman"/>
          <w:sz w:val="24"/>
        </w:rPr>
      </w:pPr>
      <w:r w:rsidRPr="008A0226">
        <w:rPr>
          <w:rFonts w:ascii="Times New Roman" w:hAnsi="Times New Roman" w:cs="Times New Roman"/>
          <w:sz w:val="24"/>
        </w:rPr>
        <w:t>Unilever has also been vulnerable in its global sourcing network. As much as procurement in different regions lowers the cost, it exposes it to supply disruption, commodity shortage, and regulatory changes in the exporting countries (</w:t>
      </w:r>
      <w:proofErr w:type="spellStart"/>
      <w:r w:rsidRPr="008A0226">
        <w:rPr>
          <w:rFonts w:ascii="Times New Roman" w:hAnsi="Times New Roman" w:cs="Times New Roman"/>
          <w:sz w:val="24"/>
        </w:rPr>
        <w:t>Sodhi</w:t>
      </w:r>
      <w:proofErr w:type="spellEnd"/>
      <w:r w:rsidRPr="008A0226">
        <w:rPr>
          <w:rFonts w:ascii="Times New Roman" w:hAnsi="Times New Roman" w:cs="Times New Roman"/>
          <w:sz w:val="24"/>
        </w:rPr>
        <w:t xml:space="preserve"> and Tang, 2024). Depending on palm oil or the imports of chemicals need to be audited on sustainability to pre</w:t>
      </w:r>
      <w:r>
        <w:rPr>
          <w:rFonts w:ascii="Times New Roman" w:hAnsi="Times New Roman" w:cs="Times New Roman"/>
          <w:sz w:val="24"/>
        </w:rPr>
        <w:t>vent the risk of ethical issues</w:t>
      </w:r>
      <w:r w:rsidR="002A5132" w:rsidRPr="002A5132">
        <w:rPr>
          <w:rFonts w:ascii="Times New Roman" w:hAnsi="Times New Roman" w:cs="Times New Roman"/>
          <w:sz w:val="24"/>
        </w:rPr>
        <w:t>.</w:t>
      </w:r>
    </w:p>
    <w:p w14:paraId="35A9A1B1" w14:textId="77777777" w:rsidR="002A5132" w:rsidRDefault="002A5132" w:rsidP="002A5132">
      <w:pPr>
        <w:spacing w:line="360" w:lineRule="auto"/>
        <w:jc w:val="both"/>
        <w:rPr>
          <w:rFonts w:ascii="Times New Roman" w:hAnsi="Times New Roman" w:cs="Times New Roman"/>
          <w:sz w:val="24"/>
        </w:rPr>
      </w:pPr>
      <w:r w:rsidRPr="002A5132">
        <w:rPr>
          <w:rFonts w:ascii="Times New Roman" w:hAnsi="Times New Roman" w:cs="Times New Roman"/>
          <w:b/>
          <w:bCs/>
          <w:sz w:val="24"/>
        </w:rPr>
        <w:t>Infrastructure Limitations and Distribution Complexity</w:t>
      </w:r>
    </w:p>
    <w:p w14:paraId="47ACE635" w14:textId="1D650019" w:rsidR="002A5132" w:rsidRPr="002A5132" w:rsidRDefault="008A0226" w:rsidP="002A5132">
      <w:pPr>
        <w:spacing w:line="360" w:lineRule="auto"/>
        <w:jc w:val="both"/>
        <w:rPr>
          <w:rFonts w:ascii="Times New Roman" w:hAnsi="Times New Roman" w:cs="Times New Roman"/>
          <w:sz w:val="24"/>
        </w:rPr>
      </w:pPr>
      <w:r w:rsidRPr="008A0226">
        <w:rPr>
          <w:rFonts w:ascii="Times New Roman" w:hAnsi="Times New Roman" w:cs="Times New Roman"/>
          <w:sz w:val="24"/>
        </w:rPr>
        <w:t>The infrastructure in Bangladesh is problematic. Despite the fact that UBL distribution network includes almost 600,000 retail stores, to serve rural and remote locations, the company should logistically adjust and collaborate with local distributors (Unilever PLC, 2025). Ineffective transport systems may raise distribution expenses and decrease</w:t>
      </w:r>
      <w:r>
        <w:rPr>
          <w:rFonts w:ascii="Times New Roman" w:hAnsi="Times New Roman" w:cs="Times New Roman"/>
          <w:sz w:val="24"/>
        </w:rPr>
        <w:t xml:space="preserve"> efficiency of the supply chain</w:t>
      </w:r>
      <w:r w:rsidR="002A5132" w:rsidRPr="002A5132">
        <w:rPr>
          <w:rFonts w:ascii="Times New Roman" w:hAnsi="Times New Roman" w:cs="Times New Roman"/>
          <w:sz w:val="24"/>
        </w:rPr>
        <w:t>.</w:t>
      </w:r>
    </w:p>
    <w:p w14:paraId="4F08501A" w14:textId="77777777" w:rsidR="002A5132" w:rsidRDefault="002A5132" w:rsidP="002A5132">
      <w:pPr>
        <w:spacing w:line="360" w:lineRule="auto"/>
        <w:jc w:val="both"/>
        <w:rPr>
          <w:rFonts w:ascii="Times New Roman" w:hAnsi="Times New Roman" w:cs="Times New Roman"/>
          <w:sz w:val="24"/>
        </w:rPr>
      </w:pPr>
      <w:r w:rsidRPr="002A5132">
        <w:rPr>
          <w:rFonts w:ascii="Times New Roman" w:hAnsi="Times New Roman" w:cs="Times New Roman"/>
          <w:b/>
          <w:bCs/>
          <w:sz w:val="24"/>
        </w:rPr>
        <w:t>Cultural and Regulatory Adaptation Requirements</w:t>
      </w:r>
    </w:p>
    <w:p w14:paraId="0CF5CEEA" w14:textId="388A5281" w:rsidR="002A5132" w:rsidRPr="002A5132" w:rsidRDefault="008A0226" w:rsidP="002A5132">
      <w:pPr>
        <w:spacing w:line="360" w:lineRule="auto"/>
        <w:jc w:val="both"/>
        <w:rPr>
          <w:rFonts w:ascii="Times New Roman" w:hAnsi="Times New Roman" w:cs="Times New Roman"/>
          <w:sz w:val="24"/>
        </w:rPr>
      </w:pPr>
      <w:r w:rsidRPr="008A0226">
        <w:rPr>
          <w:rFonts w:ascii="Times New Roman" w:hAnsi="Times New Roman" w:cs="Times New Roman"/>
          <w:sz w:val="24"/>
        </w:rPr>
        <w:t xml:space="preserve">Marketing and branding is also a problem due to cultural differences. The strategies that are successful in the West cannot be directly applied in the collectivist societies. </w:t>
      </w:r>
      <w:r w:rsidR="00EF0AE5">
        <w:rPr>
          <w:rFonts w:ascii="Times New Roman" w:hAnsi="Times New Roman" w:cs="Times New Roman"/>
          <w:sz w:val="24"/>
        </w:rPr>
        <w:t xml:space="preserve">Unilever Bangladesh </w:t>
      </w:r>
      <w:r w:rsidR="00C21AC3">
        <w:rPr>
          <w:rFonts w:ascii="Times New Roman" w:hAnsi="Times New Roman" w:cs="Times New Roman"/>
          <w:sz w:val="24"/>
        </w:rPr>
        <w:t>Limited</w:t>
      </w:r>
      <w:r w:rsidRPr="008A0226">
        <w:rPr>
          <w:rFonts w:ascii="Times New Roman" w:hAnsi="Times New Roman" w:cs="Times New Roman"/>
          <w:sz w:val="24"/>
        </w:rPr>
        <w:t xml:space="preserve"> will need to </w:t>
      </w:r>
      <w:r w:rsidR="00C21AC3" w:rsidRPr="008A0226">
        <w:rPr>
          <w:rFonts w:ascii="Times New Roman" w:hAnsi="Times New Roman" w:cs="Times New Roman"/>
          <w:sz w:val="24"/>
        </w:rPr>
        <w:t>customize</w:t>
      </w:r>
      <w:r w:rsidRPr="008A0226">
        <w:rPr>
          <w:rFonts w:ascii="Times New Roman" w:hAnsi="Times New Roman" w:cs="Times New Roman"/>
          <w:sz w:val="24"/>
        </w:rPr>
        <w:t xml:space="preserve"> the campaigns with the message in </w:t>
      </w:r>
      <w:proofErr w:type="spellStart"/>
      <w:r w:rsidRPr="008A0226">
        <w:rPr>
          <w:rFonts w:ascii="Times New Roman" w:hAnsi="Times New Roman" w:cs="Times New Roman"/>
          <w:sz w:val="24"/>
        </w:rPr>
        <w:t>Bangali</w:t>
      </w:r>
      <w:proofErr w:type="spellEnd"/>
      <w:r w:rsidRPr="008A0226">
        <w:rPr>
          <w:rFonts w:ascii="Times New Roman" w:hAnsi="Times New Roman" w:cs="Times New Roman"/>
          <w:sz w:val="24"/>
        </w:rPr>
        <w:t>, local celebrities and family-friendly messages (</w:t>
      </w:r>
      <w:proofErr w:type="spellStart"/>
      <w:r w:rsidRPr="008A0226">
        <w:rPr>
          <w:rFonts w:ascii="Times New Roman" w:hAnsi="Times New Roman" w:cs="Times New Roman"/>
          <w:sz w:val="24"/>
        </w:rPr>
        <w:t>Saad</w:t>
      </w:r>
      <w:proofErr w:type="spellEnd"/>
      <w:r w:rsidRPr="008A0226">
        <w:rPr>
          <w:rFonts w:ascii="Times New Roman" w:hAnsi="Times New Roman" w:cs="Times New Roman"/>
          <w:sz w:val="24"/>
        </w:rPr>
        <w:t>, 2024; Hossain et al., 2022). Also, there is uncertainty in the regulation and the costs of compliance due to the complexity of different legal</w:t>
      </w:r>
      <w:r>
        <w:rPr>
          <w:rFonts w:ascii="Times New Roman" w:hAnsi="Times New Roman" w:cs="Times New Roman"/>
          <w:sz w:val="24"/>
        </w:rPr>
        <w:t xml:space="preserve"> systems in different countries</w:t>
      </w:r>
      <w:r w:rsidR="002A5132" w:rsidRPr="002A5132">
        <w:rPr>
          <w:rFonts w:ascii="Times New Roman" w:hAnsi="Times New Roman" w:cs="Times New Roman"/>
          <w:sz w:val="24"/>
        </w:rPr>
        <w:t>.</w:t>
      </w:r>
    </w:p>
    <w:p w14:paraId="4D0F95D6" w14:textId="77777777" w:rsidR="002A5132" w:rsidRDefault="002A5132" w:rsidP="002A5132">
      <w:pPr>
        <w:spacing w:line="360" w:lineRule="auto"/>
        <w:jc w:val="both"/>
        <w:rPr>
          <w:rFonts w:ascii="Times New Roman" w:hAnsi="Times New Roman" w:cs="Times New Roman"/>
          <w:sz w:val="24"/>
        </w:rPr>
      </w:pPr>
      <w:r w:rsidRPr="002A5132">
        <w:rPr>
          <w:rFonts w:ascii="Times New Roman" w:hAnsi="Times New Roman" w:cs="Times New Roman"/>
          <w:b/>
          <w:bCs/>
          <w:sz w:val="24"/>
        </w:rPr>
        <w:t>Financial and Economic Risks Across Markets</w:t>
      </w:r>
    </w:p>
    <w:p w14:paraId="69F420BC" w14:textId="6C6A1669" w:rsidR="002A5132" w:rsidRPr="002A5132" w:rsidRDefault="00E31C0C" w:rsidP="002A5132">
      <w:pPr>
        <w:spacing w:line="360" w:lineRule="auto"/>
        <w:jc w:val="both"/>
        <w:rPr>
          <w:rFonts w:ascii="Times New Roman" w:hAnsi="Times New Roman" w:cs="Times New Roman"/>
          <w:sz w:val="24"/>
        </w:rPr>
      </w:pPr>
      <w:r>
        <w:rPr>
          <w:rFonts w:ascii="Times New Roman" w:hAnsi="Times New Roman" w:cs="Times New Roman"/>
          <w:sz w:val="24"/>
        </w:rPr>
        <w:t>The</w:t>
      </w:r>
      <w:r w:rsidR="008A0226" w:rsidRPr="008A0226">
        <w:rPr>
          <w:rFonts w:ascii="Times New Roman" w:hAnsi="Times New Roman" w:cs="Times New Roman"/>
          <w:sz w:val="24"/>
        </w:rPr>
        <w:t xml:space="preserve"> </w:t>
      </w:r>
      <w:r w:rsidRPr="008A0226">
        <w:rPr>
          <w:rFonts w:ascii="Times New Roman" w:hAnsi="Times New Roman" w:cs="Times New Roman"/>
          <w:sz w:val="24"/>
        </w:rPr>
        <w:t>centralized</w:t>
      </w:r>
      <w:r w:rsidR="008A0226" w:rsidRPr="008A0226">
        <w:rPr>
          <w:rFonts w:ascii="Times New Roman" w:hAnsi="Times New Roman" w:cs="Times New Roman"/>
          <w:sz w:val="24"/>
        </w:rPr>
        <w:t xml:space="preserve"> financial system in Unilever will have to deal with currency volatility, unequal taxation and economic instability in the emerging markets (Unilever, 2024). The risks entail a strong financial management in order to sustain</w:t>
      </w:r>
      <w:r w:rsidR="008A0226">
        <w:rPr>
          <w:rFonts w:ascii="Times New Roman" w:hAnsi="Times New Roman" w:cs="Times New Roman"/>
          <w:sz w:val="24"/>
        </w:rPr>
        <w:t xml:space="preserve"> profitability across the world</w:t>
      </w:r>
      <w:r w:rsidR="002A5132" w:rsidRPr="002A5132">
        <w:rPr>
          <w:rFonts w:ascii="Times New Roman" w:hAnsi="Times New Roman" w:cs="Times New Roman"/>
          <w:sz w:val="24"/>
        </w:rPr>
        <w:t>.</w:t>
      </w:r>
    </w:p>
    <w:p w14:paraId="5598BF03" w14:textId="4B43EC5C" w:rsidR="00AD3427" w:rsidRPr="00AB2646" w:rsidRDefault="000B4C8C" w:rsidP="00AB2646">
      <w:pPr>
        <w:pStyle w:val="Heading2"/>
      </w:pPr>
      <w:bookmarkStart w:id="5" w:name="_Toc216458801"/>
      <w:r>
        <w:t>2</w:t>
      </w:r>
      <w:r w:rsidR="000962B6" w:rsidRPr="000962B6">
        <w:t>.2 Unilever’s</w:t>
      </w:r>
      <w:r>
        <w:t xml:space="preserve"> </w:t>
      </w:r>
      <w:r w:rsidR="00957FC0">
        <w:t>Internationalization</w:t>
      </w:r>
      <w:r>
        <w:t xml:space="preserve"> Strategy-</w:t>
      </w:r>
      <w:r w:rsidR="000962B6" w:rsidRPr="000962B6">
        <w:t xml:space="preserve"> Entry Modes</w:t>
      </w:r>
      <w:bookmarkEnd w:id="5"/>
      <w:r w:rsidR="000962B6" w:rsidRPr="000962B6">
        <w:t xml:space="preserve"> </w:t>
      </w:r>
    </w:p>
    <w:p w14:paraId="5FE4B373" w14:textId="77777777" w:rsidR="000962B6" w:rsidRPr="00AB2646" w:rsidRDefault="000962B6" w:rsidP="00AB2646">
      <w:pPr>
        <w:rPr>
          <w:rFonts w:ascii="Times New Roman" w:hAnsi="Times New Roman" w:cs="Times New Roman"/>
          <w:b/>
          <w:sz w:val="24"/>
        </w:rPr>
      </w:pPr>
      <w:r w:rsidRPr="00AB2646">
        <w:rPr>
          <w:rFonts w:ascii="Times New Roman" w:hAnsi="Times New Roman" w:cs="Times New Roman"/>
          <w:b/>
          <w:sz w:val="24"/>
        </w:rPr>
        <w:t>Global Entry Modes Used by Unilever</w:t>
      </w:r>
    </w:p>
    <w:p w14:paraId="63C5290D" w14:textId="3C5D9E4B" w:rsidR="000962B6" w:rsidRDefault="008A0226" w:rsidP="000962B6">
      <w:pPr>
        <w:spacing w:line="360" w:lineRule="auto"/>
        <w:jc w:val="both"/>
        <w:rPr>
          <w:rFonts w:ascii="Times New Roman" w:hAnsi="Times New Roman" w:cs="Times New Roman"/>
          <w:sz w:val="24"/>
        </w:rPr>
      </w:pPr>
      <w:r w:rsidRPr="008A0226">
        <w:rPr>
          <w:rFonts w:ascii="Times New Roman" w:hAnsi="Times New Roman" w:cs="Times New Roman"/>
          <w:sz w:val="24"/>
        </w:rPr>
        <w:t>Unilever has been growing in its international portfolio by acquiring, investing greenfield, and forming strategic alliances, depending on the maturity of the market and the availability of appropriate partners. In developed markets like the United States, acquisitions have been prevalent like the one involving Dollar Shave Club with the aim of acquiring a quick access and competencies to the market (</w:t>
      </w:r>
      <w:proofErr w:type="spellStart"/>
      <w:r w:rsidRPr="008A0226">
        <w:rPr>
          <w:rFonts w:ascii="Times New Roman" w:hAnsi="Times New Roman" w:cs="Times New Roman"/>
          <w:sz w:val="24"/>
        </w:rPr>
        <w:t>Terlep</w:t>
      </w:r>
      <w:proofErr w:type="spellEnd"/>
      <w:r w:rsidRPr="008A0226">
        <w:rPr>
          <w:rFonts w:ascii="Times New Roman" w:hAnsi="Times New Roman" w:cs="Times New Roman"/>
          <w:sz w:val="24"/>
        </w:rPr>
        <w:t xml:space="preserve">, 2016). Conversely, Unilever tends to use wholly owned subsidiaries to ensure the consistency and operational conformity of its global standards in emerging markets where brand development, supply-chain creation and local adaptation are critical factors (Jones, 2005). According to research by Kang and Lee (2022), firms that have either a high degree of technological or brand assets do not tend to </w:t>
      </w:r>
      <w:r w:rsidR="00957FC0" w:rsidRPr="008A0226">
        <w:rPr>
          <w:rFonts w:ascii="Times New Roman" w:hAnsi="Times New Roman" w:cs="Times New Roman"/>
          <w:sz w:val="24"/>
        </w:rPr>
        <w:t>license</w:t>
      </w:r>
      <w:r w:rsidRPr="008A0226">
        <w:rPr>
          <w:rFonts w:ascii="Times New Roman" w:hAnsi="Times New Roman" w:cs="Times New Roman"/>
          <w:sz w:val="24"/>
        </w:rPr>
        <w:t xml:space="preserve"> their product as this raises the risk of knowledge leaking an</w:t>
      </w:r>
      <w:r>
        <w:rPr>
          <w:rFonts w:ascii="Times New Roman" w:hAnsi="Times New Roman" w:cs="Times New Roman"/>
          <w:sz w:val="24"/>
        </w:rPr>
        <w:t>d loss of competitive advantage</w:t>
      </w:r>
      <w:r w:rsidR="000962B6" w:rsidRPr="00AD3427">
        <w:rPr>
          <w:rFonts w:ascii="Times New Roman" w:hAnsi="Times New Roman" w:cs="Times New Roman"/>
          <w:sz w:val="24"/>
        </w:rPr>
        <w:t>.</w:t>
      </w:r>
    </w:p>
    <w:p w14:paraId="1DC4D59B" w14:textId="77777777" w:rsidR="00AB2646" w:rsidRPr="00AB2646" w:rsidRDefault="00AB2646" w:rsidP="00AB2646">
      <w:pPr>
        <w:spacing w:line="360" w:lineRule="auto"/>
        <w:jc w:val="both"/>
        <w:rPr>
          <w:rFonts w:ascii="Times New Roman" w:hAnsi="Times New Roman" w:cs="Times New Roman"/>
          <w:b/>
          <w:bCs/>
          <w:sz w:val="24"/>
        </w:rPr>
      </w:pPr>
      <w:r w:rsidRPr="00AB2646">
        <w:rPr>
          <w:rFonts w:ascii="Times New Roman" w:hAnsi="Times New Roman" w:cs="Times New Roman"/>
          <w:b/>
          <w:bCs/>
          <w:sz w:val="24"/>
        </w:rPr>
        <w:t>Dominant Entry Mode Across Markets</w:t>
      </w:r>
    </w:p>
    <w:p w14:paraId="61CFE4F1" w14:textId="6A994B08" w:rsidR="008A0226" w:rsidRPr="00AD3427" w:rsidRDefault="00AB2646" w:rsidP="00AB2646">
      <w:pPr>
        <w:spacing w:line="360" w:lineRule="auto"/>
        <w:jc w:val="both"/>
        <w:rPr>
          <w:rFonts w:ascii="Times New Roman" w:hAnsi="Times New Roman" w:cs="Times New Roman"/>
          <w:sz w:val="24"/>
        </w:rPr>
      </w:pPr>
      <w:r w:rsidRPr="00AB2646">
        <w:rPr>
          <w:rFonts w:ascii="Times New Roman" w:hAnsi="Times New Roman" w:cs="Times New Roman"/>
          <w:sz w:val="24"/>
        </w:rPr>
        <w:t xml:space="preserve">Although Unilever has used a range of entry modes internationally, the dominant mode across major growth markets remains the </w:t>
      </w:r>
      <w:r w:rsidRPr="00AB2646">
        <w:rPr>
          <w:rFonts w:ascii="Times New Roman" w:hAnsi="Times New Roman" w:cs="Times New Roman"/>
          <w:bCs/>
          <w:sz w:val="24"/>
        </w:rPr>
        <w:t>wholly owned subsidiary</w:t>
      </w:r>
      <w:r w:rsidRPr="00AB2646">
        <w:rPr>
          <w:rFonts w:ascii="Times New Roman" w:hAnsi="Times New Roman" w:cs="Times New Roman"/>
          <w:sz w:val="24"/>
        </w:rPr>
        <w:t xml:space="preserve">. This pattern is consistent with the findings of </w:t>
      </w:r>
      <w:proofErr w:type="spellStart"/>
      <w:r w:rsidRPr="00AB2646">
        <w:rPr>
          <w:rFonts w:ascii="Times New Roman" w:hAnsi="Times New Roman" w:cs="Times New Roman"/>
          <w:sz w:val="24"/>
        </w:rPr>
        <w:t>Morschett</w:t>
      </w:r>
      <w:proofErr w:type="spellEnd"/>
      <w:r w:rsidRPr="00AB2646">
        <w:rPr>
          <w:rFonts w:ascii="Times New Roman" w:hAnsi="Times New Roman" w:cs="Times New Roman"/>
          <w:sz w:val="24"/>
        </w:rPr>
        <w:t xml:space="preserve"> et al. (2025) that multinational firms in the FMCG sector </w:t>
      </w:r>
      <w:r w:rsidR="00100AA2" w:rsidRPr="00AB2646">
        <w:rPr>
          <w:rFonts w:ascii="Times New Roman" w:hAnsi="Times New Roman" w:cs="Times New Roman"/>
          <w:sz w:val="24"/>
        </w:rPr>
        <w:t>favor</w:t>
      </w:r>
      <w:r w:rsidRPr="00AB2646">
        <w:rPr>
          <w:rFonts w:ascii="Times New Roman" w:hAnsi="Times New Roman" w:cs="Times New Roman"/>
          <w:sz w:val="24"/>
        </w:rPr>
        <w:t xml:space="preserve"> high-control modes when scale economies, brand integrity and product </w:t>
      </w:r>
      <w:r w:rsidR="00100AA2" w:rsidRPr="00AB2646">
        <w:rPr>
          <w:rFonts w:ascii="Times New Roman" w:hAnsi="Times New Roman" w:cs="Times New Roman"/>
          <w:sz w:val="24"/>
        </w:rPr>
        <w:t>standardization</w:t>
      </w:r>
      <w:r w:rsidRPr="00AB2646">
        <w:rPr>
          <w:rFonts w:ascii="Times New Roman" w:hAnsi="Times New Roman" w:cs="Times New Roman"/>
          <w:sz w:val="24"/>
        </w:rPr>
        <w:t xml:space="preserve"> are strategic priorities. In Bangladesh, this strategy has enabled Unilever to secure market leadership, ensure consistent product quality and maintain long-term operational efficiency</w:t>
      </w:r>
      <w:r w:rsidR="000D69BC">
        <w:rPr>
          <w:rFonts w:ascii="Times New Roman" w:hAnsi="Times New Roman" w:cs="Times New Roman"/>
          <w:sz w:val="24"/>
        </w:rPr>
        <w:t>.</w:t>
      </w:r>
    </w:p>
    <w:p w14:paraId="7F8EDDBE" w14:textId="77777777" w:rsidR="000962B6" w:rsidRPr="00AB2646" w:rsidRDefault="000962B6" w:rsidP="00AB2646">
      <w:pPr>
        <w:rPr>
          <w:rFonts w:ascii="Times New Roman" w:hAnsi="Times New Roman" w:cs="Times New Roman"/>
          <w:b/>
          <w:sz w:val="24"/>
        </w:rPr>
      </w:pPr>
      <w:r w:rsidRPr="00AB2646">
        <w:rPr>
          <w:rFonts w:ascii="Times New Roman" w:hAnsi="Times New Roman" w:cs="Times New Roman"/>
          <w:b/>
          <w:sz w:val="24"/>
        </w:rPr>
        <w:t>Entry Mode in Bangladesh: Wholly Owned Subsidiary</w:t>
      </w:r>
    </w:p>
    <w:p w14:paraId="26DDCD51" w14:textId="77777777" w:rsidR="000962B6" w:rsidRPr="000962B6" w:rsidRDefault="008A0226" w:rsidP="000962B6">
      <w:pPr>
        <w:spacing w:line="360" w:lineRule="auto"/>
        <w:jc w:val="both"/>
        <w:rPr>
          <w:rFonts w:ascii="Times New Roman" w:hAnsi="Times New Roman" w:cs="Times New Roman"/>
          <w:sz w:val="24"/>
        </w:rPr>
      </w:pPr>
      <w:r w:rsidRPr="008A0226">
        <w:rPr>
          <w:rFonts w:ascii="Times New Roman" w:hAnsi="Times New Roman" w:cs="Times New Roman"/>
          <w:sz w:val="24"/>
        </w:rPr>
        <w:t>Unilever Bangladesh Limited (UBL) represents the preference of the company towards complete ownership in the emerging economies that are of strategic significance. Unilever Bangladesh Limited is a wholly owned subsidiary that was established in 1964 and is involved in manufacturing, distribution and marketing in Bangladesh (Unilever, 2024). This mode of entry enables Unilever to have the full control of its intellectual property, quality production, and brand strategy components that are vital in ensuring consistency in the markets where the consumer trust and brand reputation are</w:t>
      </w:r>
      <w:r>
        <w:rPr>
          <w:rFonts w:ascii="Times New Roman" w:hAnsi="Times New Roman" w:cs="Times New Roman"/>
          <w:sz w:val="24"/>
        </w:rPr>
        <w:t xml:space="preserve"> the main competitive resources</w:t>
      </w:r>
      <w:r w:rsidR="000962B6" w:rsidRPr="000962B6">
        <w:rPr>
          <w:rFonts w:ascii="Times New Roman" w:hAnsi="Times New Roman" w:cs="Times New Roman"/>
          <w:sz w:val="24"/>
        </w:rPr>
        <w:t>.</w:t>
      </w:r>
    </w:p>
    <w:p w14:paraId="261A69AE" w14:textId="77777777" w:rsidR="000962B6" w:rsidRPr="000962B6" w:rsidRDefault="000962B6" w:rsidP="000962B6">
      <w:pPr>
        <w:spacing w:line="360" w:lineRule="auto"/>
        <w:jc w:val="both"/>
        <w:rPr>
          <w:rFonts w:ascii="Times New Roman" w:hAnsi="Times New Roman" w:cs="Times New Roman"/>
          <w:b/>
          <w:bCs/>
          <w:sz w:val="24"/>
        </w:rPr>
      </w:pPr>
      <w:r w:rsidRPr="000962B6">
        <w:rPr>
          <w:rFonts w:ascii="Times New Roman" w:hAnsi="Times New Roman" w:cs="Times New Roman"/>
          <w:b/>
          <w:bCs/>
          <w:sz w:val="24"/>
        </w:rPr>
        <w:t xml:space="preserve">Historical Evolution of </w:t>
      </w:r>
      <w:r w:rsidR="00AB2646" w:rsidRPr="00AB2646">
        <w:rPr>
          <w:rFonts w:ascii="Times New Roman" w:hAnsi="Times New Roman" w:cs="Times New Roman"/>
          <w:b/>
          <w:bCs/>
          <w:sz w:val="24"/>
        </w:rPr>
        <w:t>Unilever’s Entry Strategy in Bangladesh</w:t>
      </w:r>
    </w:p>
    <w:p w14:paraId="5E54F61A" w14:textId="6DC3A2FA" w:rsidR="000B4C8C" w:rsidRPr="000962B6" w:rsidRDefault="008A0226" w:rsidP="000962B6">
      <w:pPr>
        <w:spacing w:line="360" w:lineRule="auto"/>
        <w:jc w:val="both"/>
        <w:rPr>
          <w:rFonts w:ascii="Times New Roman" w:hAnsi="Times New Roman" w:cs="Times New Roman"/>
          <w:sz w:val="24"/>
        </w:rPr>
      </w:pPr>
      <w:r w:rsidRPr="008A0226">
        <w:rPr>
          <w:rFonts w:ascii="Times New Roman" w:hAnsi="Times New Roman" w:cs="Times New Roman"/>
          <w:sz w:val="24"/>
        </w:rPr>
        <w:t xml:space="preserve">The </w:t>
      </w:r>
      <w:r w:rsidR="003F2E78" w:rsidRPr="008A0226">
        <w:rPr>
          <w:rFonts w:ascii="Times New Roman" w:hAnsi="Times New Roman" w:cs="Times New Roman"/>
          <w:sz w:val="24"/>
        </w:rPr>
        <w:t>internationalization</w:t>
      </w:r>
      <w:r w:rsidRPr="008A0226">
        <w:rPr>
          <w:rFonts w:ascii="Times New Roman" w:hAnsi="Times New Roman" w:cs="Times New Roman"/>
          <w:sz w:val="24"/>
        </w:rPr>
        <w:t xml:space="preserve"> theory used by Unilever in entering the global market is that of </w:t>
      </w:r>
      <w:r w:rsidR="003F2E78" w:rsidRPr="008A0226">
        <w:rPr>
          <w:rFonts w:ascii="Times New Roman" w:hAnsi="Times New Roman" w:cs="Times New Roman"/>
          <w:sz w:val="24"/>
        </w:rPr>
        <w:t>internationalization</w:t>
      </w:r>
      <w:r w:rsidRPr="008A0226">
        <w:rPr>
          <w:rFonts w:ascii="Times New Roman" w:hAnsi="Times New Roman" w:cs="Times New Roman"/>
          <w:sz w:val="24"/>
        </w:rPr>
        <w:t xml:space="preserve"> where firms usually start with low-commitment modes of </w:t>
      </w:r>
      <w:r w:rsidR="003F2E78" w:rsidRPr="008A0226">
        <w:rPr>
          <w:rFonts w:ascii="Times New Roman" w:hAnsi="Times New Roman" w:cs="Times New Roman"/>
          <w:sz w:val="24"/>
        </w:rPr>
        <w:t>internationalization</w:t>
      </w:r>
      <w:r w:rsidRPr="008A0226">
        <w:rPr>
          <w:rFonts w:ascii="Times New Roman" w:hAnsi="Times New Roman" w:cs="Times New Roman"/>
          <w:sz w:val="24"/>
        </w:rPr>
        <w:t xml:space="preserve"> like exporting and eventually shift to higher-equity modes as the firm becomes familiar with the market. Unilever has over the decades strengthened its commitment in Bangladesh by increasing its manufacturing capacity, </w:t>
      </w:r>
      <w:r w:rsidR="003F2E78" w:rsidRPr="008A0226">
        <w:rPr>
          <w:rFonts w:ascii="Times New Roman" w:hAnsi="Times New Roman" w:cs="Times New Roman"/>
          <w:sz w:val="24"/>
        </w:rPr>
        <w:t>localization</w:t>
      </w:r>
      <w:r w:rsidRPr="008A0226">
        <w:rPr>
          <w:rFonts w:ascii="Times New Roman" w:hAnsi="Times New Roman" w:cs="Times New Roman"/>
          <w:sz w:val="24"/>
        </w:rPr>
        <w:t xml:space="preserve"> and integration of the supply chain and also by incorporating Bangladesh into its global R&amp;D and procurement systems. Industry reports affirm that the Unilever Bangladesh Limited is currently manufacturing more than 96 percent of the Unilever products in Bangladesh, as a long-term strategic transition where the company started with the exploration of the market to the full </w:t>
      </w:r>
      <w:r w:rsidR="00BF02CC" w:rsidRPr="008A0226">
        <w:rPr>
          <w:rFonts w:ascii="Times New Roman" w:hAnsi="Times New Roman" w:cs="Times New Roman"/>
          <w:sz w:val="24"/>
        </w:rPr>
        <w:t>internalization</w:t>
      </w:r>
      <w:r w:rsidRPr="008A0226">
        <w:rPr>
          <w:rFonts w:ascii="Times New Roman" w:hAnsi="Times New Roman" w:cs="Times New Roman"/>
          <w:sz w:val="24"/>
        </w:rPr>
        <w:t xml:space="preserve"> of the operations</w:t>
      </w:r>
      <w:r>
        <w:rPr>
          <w:rFonts w:ascii="Times New Roman" w:hAnsi="Times New Roman" w:cs="Times New Roman"/>
          <w:sz w:val="24"/>
        </w:rPr>
        <w:t xml:space="preserve"> (The Business Standard, 2024b)</w:t>
      </w:r>
      <w:r w:rsidR="000962B6" w:rsidRPr="000962B6">
        <w:rPr>
          <w:rFonts w:ascii="Times New Roman" w:hAnsi="Times New Roman" w:cs="Times New Roman"/>
          <w:sz w:val="24"/>
        </w:rPr>
        <w:t>.</w:t>
      </w:r>
    </w:p>
    <w:p w14:paraId="7C721EA1" w14:textId="77777777" w:rsidR="00DC39A3" w:rsidRDefault="00E138FF" w:rsidP="00D14014">
      <w:pPr>
        <w:pStyle w:val="Heading1"/>
      </w:pPr>
      <w:bookmarkStart w:id="6" w:name="_Toc216458802"/>
      <w:r>
        <w:t>3</w:t>
      </w:r>
      <w:r w:rsidR="00D14014">
        <w:t>. Emerging Market Analysis -</w:t>
      </w:r>
      <w:r w:rsidR="00D14014" w:rsidRPr="00D14014">
        <w:t xml:space="preserve"> Bangladesh</w:t>
      </w:r>
      <w:bookmarkEnd w:id="6"/>
      <w:r w:rsidR="00D14014" w:rsidRPr="00D14014">
        <w:t xml:space="preserve"> </w:t>
      </w:r>
    </w:p>
    <w:p w14:paraId="410E08DD" w14:textId="77777777" w:rsidR="00E138FF" w:rsidRPr="00E86861" w:rsidRDefault="00E138FF" w:rsidP="00E138FF">
      <w:pPr>
        <w:pStyle w:val="Heading2"/>
      </w:pPr>
      <w:bookmarkStart w:id="7" w:name="_Toc216458803"/>
      <w:r>
        <w:t>3</w:t>
      </w:r>
      <w:r w:rsidRPr="00E86861">
        <w:t>.1 Overview of the Bangladeshi Business Environment in the FMCG Industry</w:t>
      </w:r>
      <w:bookmarkEnd w:id="7"/>
    </w:p>
    <w:p w14:paraId="5276E239" w14:textId="77777777" w:rsidR="00E138FF" w:rsidRPr="00E86861" w:rsidRDefault="00E138FF" w:rsidP="00E138FF">
      <w:pPr>
        <w:pStyle w:val="Heading2"/>
      </w:pPr>
      <w:bookmarkStart w:id="8" w:name="_Toc216458804"/>
      <w:r>
        <w:t>3</w:t>
      </w:r>
      <w:r w:rsidRPr="00E86861">
        <w:t>.1.1 Market Size and Growth Trends</w:t>
      </w:r>
      <w:bookmarkEnd w:id="8"/>
    </w:p>
    <w:p w14:paraId="35D179AD" w14:textId="5B844697" w:rsidR="008A0226" w:rsidRPr="008A0226" w:rsidRDefault="008A0226" w:rsidP="008A0226">
      <w:pPr>
        <w:spacing w:line="360" w:lineRule="auto"/>
        <w:jc w:val="both"/>
        <w:rPr>
          <w:rFonts w:ascii="Times New Roman" w:hAnsi="Times New Roman" w:cs="Times New Roman"/>
          <w:bCs/>
          <w:sz w:val="24"/>
        </w:rPr>
      </w:pPr>
      <w:r w:rsidRPr="008A0226">
        <w:rPr>
          <w:rFonts w:ascii="Times New Roman" w:hAnsi="Times New Roman" w:cs="Times New Roman"/>
          <w:bCs/>
          <w:sz w:val="24"/>
        </w:rPr>
        <w:t xml:space="preserve">The fast-moving consumer goods (FMCG) industry in Bangladesh has witnessed a stable growth in the past 10 years, which can be attributed to the strong GDP growth, demographic shift, and </w:t>
      </w:r>
      <w:r w:rsidR="0091460B" w:rsidRPr="008A0226">
        <w:rPr>
          <w:rFonts w:ascii="Times New Roman" w:hAnsi="Times New Roman" w:cs="Times New Roman"/>
          <w:bCs/>
          <w:sz w:val="24"/>
        </w:rPr>
        <w:t>urbanization</w:t>
      </w:r>
      <w:r w:rsidRPr="008A0226">
        <w:rPr>
          <w:rFonts w:ascii="Times New Roman" w:hAnsi="Times New Roman" w:cs="Times New Roman"/>
          <w:bCs/>
          <w:sz w:val="24"/>
        </w:rPr>
        <w:t xml:space="preserve">. According to the World Bank (2023), the average economic growth of Bangladesh is over 6 per year, and it has resulted in the improvement of household incomes and an increase in the demand of packaged products both in urban and semi-urban regions. The increasing disposable income in the emerging markets is generally </w:t>
      </w:r>
      <w:r w:rsidR="0027423B" w:rsidRPr="008A0226">
        <w:rPr>
          <w:rFonts w:ascii="Times New Roman" w:hAnsi="Times New Roman" w:cs="Times New Roman"/>
          <w:bCs/>
          <w:sz w:val="24"/>
        </w:rPr>
        <w:t>characterized</w:t>
      </w:r>
      <w:r w:rsidRPr="008A0226">
        <w:rPr>
          <w:rFonts w:ascii="Times New Roman" w:hAnsi="Times New Roman" w:cs="Times New Roman"/>
          <w:bCs/>
          <w:sz w:val="24"/>
        </w:rPr>
        <w:t xml:space="preserve"> by consumer switching towards branded and packaged FMCG products as opposed to </w:t>
      </w:r>
      <w:proofErr w:type="gramStart"/>
      <w:r w:rsidRPr="008A0226">
        <w:rPr>
          <w:rFonts w:ascii="Times New Roman" w:hAnsi="Times New Roman" w:cs="Times New Roman"/>
          <w:bCs/>
          <w:sz w:val="24"/>
        </w:rPr>
        <w:t>loose</w:t>
      </w:r>
      <w:proofErr w:type="gramEnd"/>
      <w:r w:rsidRPr="008A0226">
        <w:rPr>
          <w:rFonts w:ascii="Times New Roman" w:hAnsi="Times New Roman" w:cs="Times New Roman"/>
          <w:bCs/>
          <w:sz w:val="24"/>
        </w:rPr>
        <w:t xml:space="preserve"> and unbranded products (</w:t>
      </w:r>
      <w:proofErr w:type="spellStart"/>
      <w:r w:rsidRPr="008A0226">
        <w:rPr>
          <w:rFonts w:ascii="Times New Roman" w:hAnsi="Times New Roman" w:cs="Times New Roman"/>
          <w:bCs/>
          <w:sz w:val="24"/>
        </w:rPr>
        <w:t>Sheth</w:t>
      </w:r>
      <w:proofErr w:type="spellEnd"/>
      <w:r w:rsidRPr="008A0226">
        <w:rPr>
          <w:rFonts w:ascii="Times New Roman" w:hAnsi="Times New Roman" w:cs="Times New Roman"/>
          <w:bCs/>
          <w:sz w:val="24"/>
        </w:rPr>
        <w:t>, 2011).</w:t>
      </w:r>
    </w:p>
    <w:p w14:paraId="4035BAF0" w14:textId="5F1547CE" w:rsidR="00E138FF" w:rsidRPr="00E86861" w:rsidRDefault="008A0226" w:rsidP="008A0226">
      <w:pPr>
        <w:spacing w:line="360" w:lineRule="auto"/>
        <w:jc w:val="both"/>
        <w:rPr>
          <w:rFonts w:ascii="Times New Roman" w:hAnsi="Times New Roman" w:cs="Times New Roman"/>
          <w:bCs/>
          <w:sz w:val="24"/>
        </w:rPr>
      </w:pPr>
      <w:r w:rsidRPr="008A0226">
        <w:rPr>
          <w:rFonts w:ascii="Times New Roman" w:hAnsi="Times New Roman" w:cs="Times New Roman"/>
          <w:bCs/>
          <w:sz w:val="24"/>
        </w:rPr>
        <w:t xml:space="preserve">The FMCG market in Bangladesh is estimated by the industry reports as approximately USD 4 billion, and its growth is projected to go on because of the rising consumption of personal care, hygiene and household products (The Business Standard, 2024a). Demand diversification is further increasing due to </w:t>
      </w:r>
      <w:r w:rsidR="00F94F88" w:rsidRPr="008A0226">
        <w:rPr>
          <w:rFonts w:ascii="Times New Roman" w:hAnsi="Times New Roman" w:cs="Times New Roman"/>
          <w:bCs/>
          <w:sz w:val="24"/>
        </w:rPr>
        <w:t>urbanization</w:t>
      </w:r>
      <w:r w:rsidRPr="008A0226">
        <w:rPr>
          <w:rFonts w:ascii="Times New Roman" w:hAnsi="Times New Roman" w:cs="Times New Roman"/>
          <w:bCs/>
          <w:sz w:val="24"/>
        </w:rPr>
        <w:t xml:space="preserve"> and growth of modern retail forms. NIQ (2022) reports that skincare, detergents and oral care have registered high growth, due to the changing consumer preference to quality and brand reliability. These tendencies make Bangladesh a more and more appealing destination of multinational compa</w:t>
      </w:r>
      <w:r>
        <w:rPr>
          <w:rFonts w:ascii="Times New Roman" w:hAnsi="Times New Roman" w:cs="Times New Roman"/>
          <w:bCs/>
          <w:sz w:val="24"/>
        </w:rPr>
        <w:t>nies working in the FMCG sector</w:t>
      </w:r>
      <w:r w:rsidR="00E138FF" w:rsidRPr="00E86861">
        <w:rPr>
          <w:rFonts w:ascii="Times New Roman" w:hAnsi="Times New Roman" w:cs="Times New Roman"/>
          <w:bCs/>
          <w:sz w:val="24"/>
        </w:rPr>
        <w:t>.</w:t>
      </w:r>
    </w:p>
    <w:p w14:paraId="685161E7" w14:textId="2A99F97F" w:rsidR="00E138FF" w:rsidRPr="00E86861" w:rsidRDefault="00E138FF" w:rsidP="00E138FF">
      <w:pPr>
        <w:pStyle w:val="Heading3"/>
      </w:pPr>
      <w:bookmarkStart w:id="9" w:name="_Toc216458805"/>
      <w:r>
        <w:t>3</w:t>
      </w:r>
      <w:r w:rsidRPr="00E86861">
        <w:t xml:space="preserve">.1.2 Consumer </w:t>
      </w:r>
      <w:r w:rsidR="00A51B89" w:rsidRPr="00E86861">
        <w:t>Behavior</w:t>
      </w:r>
      <w:r w:rsidRPr="00E86861">
        <w:t xml:space="preserve"> and Market Segmentation</w:t>
      </w:r>
      <w:bookmarkEnd w:id="9"/>
    </w:p>
    <w:p w14:paraId="1525B728" w14:textId="46EFB9F4" w:rsidR="008A0226" w:rsidRPr="008A0226" w:rsidRDefault="008A0226" w:rsidP="008A0226">
      <w:pPr>
        <w:spacing w:line="360" w:lineRule="auto"/>
        <w:jc w:val="both"/>
        <w:rPr>
          <w:rFonts w:ascii="Times New Roman" w:hAnsi="Times New Roman" w:cs="Times New Roman"/>
          <w:bCs/>
          <w:sz w:val="24"/>
        </w:rPr>
      </w:pPr>
      <w:r w:rsidRPr="008A0226">
        <w:rPr>
          <w:rFonts w:ascii="Times New Roman" w:hAnsi="Times New Roman" w:cs="Times New Roman"/>
          <w:bCs/>
          <w:sz w:val="24"/>
        </w:rPr>
        <w:t xml:space="preserve">The consumer </w:t>
      </w:r>
      <w:r w:rsidR="00A51B89" w:rsidRPr="008A0226">
        <w:rPr>
          <w:rFonts w:ascii="Times New Roman" w:hAnsi="Times New Roman" w:cs="Times New Roman"/>
          <w:bCs/>
          <w:sz w:val="24"/>
        </w:rPr>
        <w:t>behavior</w:t>
      </w:r>
      <w:r w:rsidRPr="008A0226">
        <w:rPr>
          <w:rFonts w:ascii="Times New Roman" w:hAnsi="Times New Roman" w:cs="Times New Roman"/>
          <w:bCs/>
          <w:sz w:val="24"/>
        </w:rPr>
        <w:t xml:space="preserve"> in Bangladesh indicates a mixture of collectivist cultural preferences </w:t>
      </w:r>
      <w:r w:rsidR="00A51B89">
        <w:rPr>
          <w:rFonts w:ascii="Times New Roman" w:hAnsi="Times New Roman" w:cs="Times New Roman"/>
          <w:bCs/>
          <w:sz w:val="24"/>
        </w:rPr>
        <w:t>and</w:t>
      </w:r>
      <w:r w:rsidRPr="008A0226">
        <w:rPr>
          <w:rFonts w:ascii="Times New Roman" w:hAnsi="Times New Roman" w:cs="Times New Roman"/>
          <w:bCs/>
          <w:sz w:val="24"/>
        </w:rPr>
        <w:t xml:space="preserve"> modern consumption desires. Studies of collectivist cultures indicate that family orientations, social demands and </w:t>
      </w:r>
      <w:proofErr w:type="gramStart"/>
      <w:r w:rsidRPr="008A0226">
        <w:rPr>
          <w:rFonts w:ascii="Times New Roman" w:hAnsi="Times New Roman" w:cs="Times New Roman"/>
          <w:bCs/>
          <w:sz w:val="24"/>
        </w:rPr>
        <w:t>trust based</w:t>
      </w:r>
      <w:proofErr w:type="gramEnd"/>
      <w:r w:rsidRPr="008A0226">
        <w:rPr>
          <w:rFonts w:ascii="Times New Roman" w:hAnsi="Times New Roman" w:cs="Times New Roman"/>
          <w:bCs/>
          <w:sz w:val="24"/>
        </w:rPr>
        <w:t xml:space="preserve"> judgments influence the decision to purchase a product (De </w:t>
      </w:r>
      <w:proofErr w:type="spellStart"/>
      <w:r w:rsidRPr="008A0226">
        <w:rPr>
          <w:rFonts w:ascii="Times New Roman" w:hAnsi="Times New Roman" w:cs="Times New Roman"/>
          <w:bCs/>
          <w:sz w:val="24"/>
        </w:rPr>
        <w:t>Mooij</w:t>
      </w:r>
      <w:proofErr w:type="spellEnd"/>
      <w:r w:rsidRPr="008A0226">
        <w:rPr>
          <w:rFonts w:ascii="Times New Roman" w:hAnsi="Times New Roman" w:cs="Times New Roman"/>
          <w:bCs/>
          <w:sz w:val="24"/>
        </w:rPr>
        <w:t xml:space="preserve"> and Hofstede, 2011). Brand reputation is a very important factor that determines purchase </w:t>
      </w:r>
      <w:r w:rsidR="00A51B89" w:rsidRPr="008A0226">
        <w:rPr>
          <w:rFonts w:ascii="Times New Roman" w:hAnsi="Times New Roman" w:cs="Times New Roman"/>
          <w:bCs/>
          <w:sz w:val="24"/>
        </w:rPr>
        <w:t>behavior</w:t>
      </w:r>
      <w:r w:rsidRPr="008A0226">
        <w:rPr>
          <w:rFonts w:ascii="Times New Roman" w:hAnsi="Times New Roman" w:cs="Times New Roman"/>
          <w:bCs/>
          <w:sz w:val="24"/>
        </w:rPr>
        <w:t xml:space="preserve"> as Bangladeshi consumers usually tend to buy brands that </w:t>
      </w:r>
      <w:r w:rsidR="009D7268">
        <w:rPr>
          <w:rFonts w:ascii="Times New Roman" w:hAnsi="Times New Roman" w:cs="Times New Roman"/>
          <w:bCs/>
          <w:sz w:val="24"/>
        </w:rPr>
        <w:t>for</w:t>
      </w:r>
      <w:r w:rsidRPr="008A0226">
        <w:rPr>
          <w:rFonts w:ascii="Times New Roman" w:hAnsi="Times New Roman" w:cs="Times New Roman"/>
          <w:bCs/>
          <w:sz w:val="24"/>
        </w:rPr>
        <w:t xml:space="preserve"> safety, reliability and acceptance by the social environment.</w:t>
      </w:r>
    </w:p>
    <w:p w14:paraId="62F04402" w14:textId="2A47769D" w:rsidR="00E138FF" w:rsidRPr="00E86861" w:rsidRDefault="008A0226" w:rsidP="008A0226">
      <w:pPr>
        <w:spacing w:line="360" w:lineRule="auto"/>
        <w:jc w:val="both"/>
        <w:rPr>
          <w:rFonts w:ascii="Times New Roman" w:hAnsi="Times New Roman" w:cs="Times New Roman"/>
          <w:bCs/>
          <w:sz w:val="24"/>
        </w:rPr>
      </w:pPr>
      <w:r w:rsidRPr="008A0226">
        <w:rPr>
          <w:rFonts w:ascii="Times New Roman" w:hAnsi="Times New Roman" w:cs="Times New Roman"/>
          <w:bCs/>
          <w:sz w:val="24"/>
        </w:rPr>
        <w:t>The consumers in the urban population are increasingly aspirational and prefer international brands that are associated with lifestyle improvement and hygiene mindset</w:t>
      </w:r>
      <w:r w:rsidR="00B70624">
        <w:rPr>
          <w:rFonts w:ascii="Times New Roman" w:hAnsi="Times New Roman" w:cs="Times New Roman"/>
          <w:bCs/>
          <w:sz w:val="24"/>
        </w:rPr>
        <w:t xml:space="preserve">. </w:t>
      </w:r>
      <w:r w:rsidRPr="008A0226">
        <w:rPr>
          <w:rFonts w:ascii="Times New Roman" w:hAnsi="Times New Roman" w:cs="Times New Roman"/>
          <w:bCs/>
          <w:sz w:val="24"/>
        </w:rPr>
        <w:t xml:space="preserve">On the contrary, the rural consumers are very price sensitive and depend on affordability and accessibility. This aligns with the results of </w:t>
      </w:r>
      <w:proofErr w:type="spellStart"/>
      <w:r w:rsidR="00F56B79" w:rsidRPr="00F56B79">
        <w:rPr>
          <w:rFonts w:ascii="Times New Roman" w:hAnsi="Times New Roman" w:cs="Times New Roman"/>
          <w:bCs/>
          <w:sz w:val="24"/>
        </w:rPr>
        <w:t>Arunachalam</w:t>
      </w:r>
      <w:proofErr w:type="spellEnd"/>
      <w:r w:rsidR="00F56B79" w:rsidRPr="00F56B79">
        <w:rPr>
          <w:rFonts w:ascii="Times New Roman" w:hAnsi="Times New Roman" w:cs="Times New Roman"/>
          <w:bCs/>
          <w:sz w:val="24"/>
        </w:rPr>
        <w:t xml:space="preserve"> et al. (2020)</w:t>
      </w:r>
      <w:r w:rsidRPr="008A0226">
        <w:rPr>
          <w:rFonts w:ascii="Times New Roman" w:hAnsi="Times New Roman" w:cs="Times New Roman"/>
          <w:bCs/>
          <w:sz w:val="24"/>
        </w:rPr>
        <w:t>, who note that consumers in developing economies with low income tend to buy in small amounts to control their cash flow, which has led to the emergence of sa</w:t>
      </w:r>
      <w:r>
        <w:rPr>
          <w:rFonts w:ascii="Times New Roman" w:hAnsi="Times New Roman" w:cs="Times New Roman"/>
          <w:bCs/>
          <w:sz w:val="24"/>
        </w:rPr>
        <w:t xml:space="preserve">chet-based purchasing </w:t>
      </w:r>
      <w:r w:rsidR="003D2726">
        <w:rPr>
          <w:rFonts w:ascii="Times New Roman" w:hAnsi="Times New Roman" w:cs="Times New Roman"/>
          <w:bCs/>
          <w:sz w:val="24"/>
        </w:rPr>
        <w:t>behavior</w:t>
      </w:r>
      <w:r w:rsidR="00E138FF" w:rsidRPr="00E86861">
        <w:rPr>
          <w:rFonts w:ascii="Times New Roman" w:hAnsi="Times New Roman" w:cs="Times New Roman"/>
          <w:bCs/>
          <w:sz w:val="24"/>
        </w:rPr>
        <w:t>.</w:t>
      </w:r>
    </w:p>
    <w:p w14:paraId="366DEFB2" w14:textId="77777777" w:rsidR="00E138FF" w:rsidRPr="00E86861" w:rsidRDefault="00E138FF" w:rsidP="00E138FF">
      <w:pPr>
        <w:spacing w:line="360" w:lineRule="auto"/>
        <w:jc w:val="both"/>
        <w:rPr>
          <w:rFonts w:ascii="Times New Roman" w:hAnsi="Times New Roman" w:cs="Times New Roman"/>
          <w:bCs/>
          <w:sz w:val="24"/>
        </w:rPr>
      </w:pPr>
      <w:r w:rsidRPr="00E86861">
        <w:rPr>
          <w:rFonts w:ascii="Times New Roman" w:hAnsi="Times New Roman" w:cs="Times New Roman"/>
          <w:bCs/>
          <w:sz w:val="24"/>
        </w:rPr>
        <w:t>Market segmentation therefore divides along income and geographic lines:</w:t>
      </w:r>
    </w:p>
    <w:p w14:paraId="329159E1" w14:textId="77777777" w:rsidR="00E138FF" w:rsidRPr="00E86861" w:rsidRDefault="00E138FF" w:rsidP="00E138FF">
      <w:pPr>
        <w:numPr>
          <w:ilvl w:val="0"/>
          <w:numId w:val="1"/>
        </w:numPr>
        <w:spacing w:line="360" w:lineRule="auto"/>
        <w:jc w:val="both"/>
        <w:rPr>
          <w:rFonts w:ascii="Times New Roman" w:hAnsi="Times New Roman" w:cs="Times New Roman"/>
          <w:bCs/>
          <w:sz w:val="24"/>
        </w:rPr>
      </w:pPr>
      <w:r w:rsidRPr="00E86861">
        <w:rPr>
          <w:rFonts w:ascii="Times New Roman" w:hAnsi="Times New Roman" w:cs="Times New Roman"/>
          <w:b/>
          <w:bCs/>
          <w:sz w:val="24"/>
        </w:rPr>
        <w:t>Urban middle and affluent consumers</w:t>
      </w:r>
      <w:r w:rsidRPr="00E86861">
        <w:rPr>
          <w:rFonts w:ascii="Times New Roman" w:hAnsi="Times New Roman" w:cs="Times New Roman"/>
          <w:bCs/>
          <w:sz w:val="24"/>
        </w:rPr>
        <w:t>: demand premium and global-standard products.</w:t>
      </w:r>
    </w:p>
    <w:p w14:paraId="0D31DAE4" w14:textId="77777777" w:rsidR="00E138FF" w:rsidRPr="00E86861" w:rsidRDefault="00E138FF" w:rsidP="00E138FF">
      <w:pPr>
        <w:numPr>
          <w:ilvl w:val="0"/>
          <w:numId w:val="1"/>
        </w:numPr>
        <w:spacing w:line="360" w:lineRule="auto"/>
        <w:jc w:val="both"/>
        <w:rPr>
          <w:rFonts w:ascii="Times New Roman" w:hAnsi="Times New Roman" w:cs="Times New Roman"/>
          <w:bCs/>
          <w:sz w:val="24"/>
        </w:rPr>
      </w:pPr>
      <w:r w:rsidRPr="00E86861">
        <w:rPr>
          <w:rFonts w:ascii="Times New Roman" w:hAnsi="Times New Roman" w:cs="Times New Roman"/>
          <w:b/>
          <w:bCs/>
          <w:sz w:val="24"/>
        </w:rPr>
        <w:t>Rural and low-income consumers</w:t>
      </w:r>
      <w:r w:rsidRPr="00E86861">
        <w:rPr>
          <w:rFonts w:ascii="Times New Roman" w:hAnsi="Times New Roman" w:cs="Times New Roman"/>
          <w:bCs/>
          <w:sz w:val="24"/>
        </w:rPr>
        <w:t xml:space="preserve">: </w:t>
      </w:r>
      <w:proofErr w:type="spellStart"/>
      <w:r w:rsidRPr="00E86861">
        <w:rPr>
          <w:rFonts w:ascii="Times New Roman" w:hAnsi="Times New Roman" w:cs="Times New Roman"/>
          <w:bCs/>
          <w:sz w:val="24"/>
        </w:rPr>
        <w:t>emphasise</w:t>
      </w:r>
      <w:proofErr w:type="spellEnd"/>
      <w:r w:rsidRPr="00E86861">
        <w:rPr>
          <w:rFonts w:ascii="Times New Roman" w:hAnsi="Times New Roman" w:cs="Times New Roman"/>
          <w:bCs/>
          <w:sz w:val="24"/>
        </w:rPr>
        <w:t xml:space="preserve"> affordability, pack-size convenience and essential goods.</w:t>
      </w:r>
    </w:p>
    <w:p w14:paraId="4CA7219D" w14:textId="01FB6530" w:rsidR="00E138FF" w:rsidRPr="00E86861" w:rsidRDefault="00E138FF" w:rsidP="00E138FF">
      <w:pPr>
        <w:spacing w:line="360" w:lineRule="auto"/>
        <w:jc w:val="both"/>
        <w:rPr>
          <w:rFonts w:ascii="Times New Roman" w:hAnsi="Times New Roman" w:cs="Times New Roman"/>
          <w:bCs/>
          <w:sz w:val="24"/>
        </w:rPr>
      </w:pPr>
      <w:r w:rsidRPr="00E86861">
        <w:rPr>
          <w:rFonts w:ascii="Times New Roman" w:hAnsi="Times New Roman" w:cs="Times New Roman"/>
          <w:bCs/>
          <w:sz w:val="24"/>
        </w:rPr>
        <w:t xml:space="preserve">This dual structure creates opportunities for both </w:t>
      </w:r>
      <w:r w:rsidR="000F4520" w:rsidRPr="00E86861">
        <w:rPr>
          <w:rFonts w:ascii="Times New Roman" w:hAnsi="Times New Roman" w:cs="Times New Roman"/>
          <w:bCs/>
          <w:sz w:val="24"/>
        </w:rPr>
        <w:t>periodization</w:t>
      </w:r>
      <w:r w:rsidRPr="00E86861">
        <w:rPr>
          <w:rFonts w:ascii="Times New Roman" w:hAnsi="Times New Roman" w:cs="Times New Roman"/>
          <w:bCs/>
          <w:sz w:val="24"/>
        </w:rPr>
        <w:t xml:space="preserve"> and mass-market expansion.</w:t>
      </w:r>
    </w:p>
    <w:p w14:paraId="42C15422" w14:textId="77777777" w:rsidR="00E138FF" w:rsidRPr="00E86861" w:rsidRDefault="00E138FF" w:rsidP="00E138FF">
      <w:pPr>
        <w:pStyle w:val="Heading3"/>
      </w:pPr>
      <w:bookmarkStart w:id="10" w:name="_Toc216458806"/>
      <w:r>
        <w:t>3</w:t>
      </w:r>
      <w:r w:rsidRPr="00E86861">
        <w:t>.1.3 Regulatory and Institutional Environment</w:t>
      </w:r>
      <w:bookmarkEnd w:id="10"/>
    </w:p>
    <w:p w14:paraId="0DC57CDD" w14:textId="3C9CBC27" w:rsidR="00E138FF" w:rsidRPr="00E86861" w:rsidRDefault="00467BEE" w:rsidP="008A0226">
      <w:pPr>
        <w:spacing w:line="360" w:lineRule="auto"/>
        <w:jc w:val="both"/>
        <w:rPr>
          <w:rFonts w:ascii="Times New Roman" w:hAnsi="Times New Roman" w:cs="Times New Roman"/>
          <w:bCs/>
          <w:sz w:val="24"/>
        </w:rPr>
      </w:pPr>
      <w:r w:rsidRPr="00467BEE">
        <w:rPr>
          <w:rFonts w:ascii="Times New Roman" w:hAnsi="Times New Roman" w:cs="Times New Roman"/>
          <w:bCs/>
          <w:sz w:val="24"/>
        </w:rPr>
        <w:t xml:space="preserve">The regulatory environment in Bangladesh has both opportunities and limitations to FMCG multinationals. Although, government policies are aggressive in promoting foreign direct investment by supporting local manufacturing and sourcing, institutional weaknesses still exist. </w:t>
      </w:r>
      <w:proofErr w:type="spellStart"/>
      <w:r w:rsidRPr="00467BEE">
        <w:rPr>
          <w:rFonts w:ascii="Times New Roman" w:hAnsi="Times New Roman" w:cs="Times New Roman"/>
          <w:bCs/>
          <w:sz w:val="24"/>
        </w:rPr>
        <w:t>Sobhan</w:t>
      </w:r>
      <w:proofErr w:type="spellEnd"/>
      <w:r w:rsidRPr="00467BEE">
        <w:rPr>
          <w:rFonts w:ascii="Times New Roman" w:hAnsi="Times New Roman" w:cs="Times New Roman"/>
          <w:bCs/>
          <w:sz w:val="24"/>
        </w:rPr>
        <w:t xml:space="preserve"> (2016) notes that the most prevalent challenges in emerging markets like Bangladesh are regulatory inconsistency, bureaucracy and poor implementation, which worsen operational risk to the multinational companies. Other problems faced by the FMCG companies that import chemical-based or cosmetic products include the changing tariffs, customs hold ups, and changing compliance rules. As Ahsan and </w:t>
      </w:r>
      <w:proofErr w:type="spellStart"/>
      <w:r w:rsidRPr="00467BEE">
        <w:rPr>
          <w:rFonts w:ascii="Times New Roman" w:hAnsi="Times New Roman" w:cs="Times New Roman"/>
          <w:bCs/>
          <w:sz w:val="24"/>
        </w:rPr>
        <w:t>Musteen</w:t>
      </w:r>
      <w:proofErr w:type="spellEnd"/>
      <w:r w:rsidRPr="00467BEE">
        <w:rPr>
          <w:rFonts w:ascii="Times New Roman" w:hAnsi="Times New Roman" w:cs="Times New Roman"/>
          <w:bCs/>
          <w:sz w:val="24"/>
        </w:rPr>
        <w:t xml:space="preserve"> (2019), since companies in institutional instability tend to be forced to choose high-control entry modes and ensure continued regulatory involvement to reduce risk. Despite the signs of progress due to reforms, including Special Economic Zones and trade facilitation </w:t>
      </w:r>
      <w:proofErr w:type="spellStart"/>
      <w:r w:rsidRPr="00467BEE">
        <w:rPr>
          <w:rFonts w:ascii="Times New Roman" w:hAnsi="Times New Roman" w:cs="Times New Roman"/>
          <w:bCs/>
          <w:sz w:val="24"/>
        </w:rPr>
        <w:t>programmes</w:t>
      </w:r>
      <w:proofErr w:type="spellEnd"/>
      <w:r w:rsidRPr="00467BEE">
        <w:rPr>
          <w:rFonts w:ascii="Times New Roman" w:hAnsi="Times New Roman" w:cs="Times New Roman"/>
          <w:bCs/>
          <w:sz w:val="24"/>
        </w:rPr>
        <w:t>, the entire regulatory environment is still unpredictable, which creates structural obstacles to the cont</w:t>
      </w:r>
      <w:r>
        <w:rPr>
          <w:rFonts w:ascii="Times New Roman" w:hAnsi="Times New Roman" w:cs="Times New Roman"/>
          <w:bCs/>
          <w:sz w:val="24"/>
        </w:rPr>
        <w:t>inued growth of the FMCG sector</w:t>
      </w:r>
      <w:r w:rsidR="00E138FF" w:rsidRPr="00E86861">
        <w:rPr>
          <w:rFonts w:ascii="Times New Roman" w:hAnsi="Times New Roman" w:cs="Times New Roman"/>
          <w:bCs/>
          <w:sz w:val="24"/>
        </w:rPr>
        <w:t>.</w:t>
      </w:r>
    </w:p>
    <w:p w14:paraId="6C53DBF6" w14:textId="77777777" w:rsidR="00E138FF" w:rsidRPr="00E86861" w:rsidRDefault="00E138FF" w:rsidP="00E138FF">
      <w:pPr>
        <w:pStyle w:val="Heading3"/>
      </w:pPr>
      <w:bookmarkStart w:id="11" w:name="_Toc216458807"/>
      <w:r>
        <w:t>3</w:t>
      </w:r>
      <w:r w:rsidRPr="00E86861">
        <w:t>.1.4 Supply Chain and Infrastructure Conditions</w:t>
      </w:r>
      <w:bookmarkEnd w:id="11"/>
    </w:p>
    <w:p w14:paraId="682A569D" w14:textId="79744553" w:rsidR="00E138FF" w:rsidRPr="00E86861" w:rsidRDefault="00467BEE" w:rsidP="008A0226">
      <w:pPr>
        <w:spacing w:line="360" w:lineRule="auto"/>
        <w:jc w:val="both"/>
        <w:rPr>
          <w:rFonts w:ascii="Times New Roman" w:hAnsi="Times New Roman" w:cs="Times New Roman"/>
          <w:bCs/>
          <w:sz w:val="24"/>
        </w:rPr>
      </w:pPr>
      <w:r w:rsidRPr="00467BEE">
        <w:rPr>
          <w:rFonts w:ascii="Times New Roman" w:hAnsi="Times New Roman" w:cs="Times New Roman"/>
          <w:bCs/>
          <w:sz w:val="24"/>
        </w:rPr>
        <w:t xml:space="preserve">Efficient supply- chain activities are key to the success of the FMCG, but the infrastructure in Bangladesh remains under serious limitations. According to Ali, Rahman and </w:t>
      </w:r>
      <w:proofErr w:type="spellStart"/>
      <w:r w:rsidRPr="00467BEE">
        <w:rPr>
          <w:rFonts w:ascii="Times New Roman" w:hAnsi="Times New Roman" w:cs="Times New Roman"/>
          <w:bCs/>
          <w:sz w:val="24"/>
        </w:rPr>
        <w:t>Frederico</w:t>
      </w:r>
      <w:proofErr w:type="spellEnd"/>
      <w:r w:rsidRPr="00467BEE">
        <w:rPr>
          <w:rFonts w:ascii="Times New Roman" w:hAnsi="Times New Roman" w:cs="Times New Roman"/>
          <w:bCs/>
          <w:sz w:val="24"/>
        </w:rPr>
        <w:t xml:space="preserve"> (2021), transport bottlenecks, road and high distribution costs, especially in rural and</w:t>
      </w:r>
      <w:r w:rsidR="006504BE">
        <w:rPr>
          <w:rFonts w:ascii="Times New Roman" w:hAnsi="Times New Roman" w:cs="Times New Roman"/>
          <w:bCs/>
          <w:sz w:val="24"/>
        </w:rPr>
        <w:t xml:space="preserve"> </w:t>
      </w:r>
      <w:r w:rsidRPr="00467BEE">
        <w:rPr>
          <w:rFonts w:ascii="Times New Roman" w:hAnsi="Times New Roman" w:cs="Times New Roman"/>
          <w:bCs/>
          <w:sz w:val="24"/>
        </w:rPr>
        <w:t xml:space="preserve">urban areas influence the logistics networks. These difficulties raise lead times and destroy product availability. The prevalence of the traditional retail (more than 90% of the FMCG distribution) establishes a fragmented low-visibility supply chain (NIQ, 2022). Research on new markets demonstrates that this fragmentation is an obstacle to efficiency and needs a hybrid form of distribution that combines wholesalers, village-level retailers and growing modern trade formats (Nag and </w:t>
      </w:r>
      <w:proofErr w:type="spellStart"/>
      <w:r w:rsidRPr="00467BEE">
        <w:rPr>
          <w:rFonts w:ascii="Times New Roman" w:hAnsi="Times New Roman" w:cs="Times New Roman"/>
          <w:bCs/>
          <w:sz w:val="24"/>
        </w:rPr>
        <w:t>Ferdausy</w:t>
      </w:r>
      <w:proofErr w:type="spellEnd"/>
      <w:r w:rsidRPr="00467BEE">
        <w:rPr>
          <w:rFonts w:ascii="Times New Roman" w:hAnsi="Times New Roman" w:cs="Times New Roman"/>
          <w:bCs/>
          <w:sz w:val="24"/>
        </w:rPr>
        <w:t xml:space="preserve">, 2021). The multinationals will then need to be adaptive in distribution, enhance local channel relationship and investment in supply-chain systems that are responsive to the structural limitations </w:t>
      </w:r>
      <w:r>
        <w:rPr>
          <w:rFonts w:ascii="Times New Roman" w:hAnsi="Times New Roman" w:cs="Times New Roman"/>
          <w:bCs/>
          <w:sz w:val="24"/>
        </w:rPr>
        <w:t>of Bangladesh to be competitive</w:t>
      </w:r>
      <w:r w:rsidR="00E138FF" w:rsidRPr="00E86861">
        <w:rPr>
          <w:rFonts w:ascii="Times New Roman" w:hAnsi="Times New Roman" w:cs="Times New Roman"/>
          <w:bCs/>
          <w:sz w:val="24"/>
        </w:rPr>
        <w:t>.</w:t>
      </w:r>
    </w:p>
    <w:p w14:paraId="3B49B4C1" w14:textId="77777777" w:rsidR="00E138FF" w:rsidRPr="00E138FF" w:rsidRDefault="00E138FF" w:rsidP="008B2410">
      <w:pPr>
        <w:pStyle w:val="Heading2"/>
      </w:pPr>
      <w:bookmarkStart w:id="12" w:name="_Toc216458808"/>
      <w:r w:rsidRPr="00E138FF">
        <w:t xml:space="preserve">3.2 Critical analysis of entry mode strategy and value chain in </w:t>
      </w:r>
      <w:r w:rsidR="008B2410">
        <w:t>Bangladesh</w:t>
      </w:r>
      <w:bookmarkEnd w:id="12"/>
    </w:p>
    <w:p w14:paraId="15A82349" w14:textId="77777777" w:rsidR="00E138FF" w:rsidRDefault="008B2410" w:rsidP="008B2410">
      <w:pPr>
        <w:pStyle w:val="Heading3"/>
      </w:pPr>
      <w:bookmarkStart w:id="13" w:name="_Toc216458809"/>
      <w:r>
        <w:t>3.2.1</w:t>
      </w:r>
      <w:r w:rsidR="00E138FF" w:rsidRPr="003438E5">
        <w:t xml:space="preserve"> Dunning’s OLI Framework Analysis</w:t>
      </w:r>
      <w:bookmarkEnd w:id="13"/>
    </w:p>
    <w:p w14:paraId="6E5E72D2" w14:textId="77777777" w:rsidR="00E138FF" w:rsidRDefault="00E138FF" w:rsidP="00E138FF">
      <w:r w:rsidRPr="00AD4C72">
        <w:rPr>
          <w:noProof/>
          <w:sz w:val="18"/>
        </w:rPr>
        <w:drawing>
          <wp:inline distT="0" distB="0" distL="0" distR="0" wp14:anchorId="00E36399" wp14:editId="2E7096DC">
            <wp:extent cx="6530340" cy="2979420"/>
            <wp:effectExtent l="0" t="0" r="3810" b="30480"/>
            <wp:docPr id="2" name="Diagram 2">
              <a:extLst xmlns:a="http://schemas.openxmlformats.org/drawingml/2006/main">
                <a:ext uri="{FF2B5EF4-FFF2-40B4-BE49-F238E27FC236}">
                  <a16:creationId xmlns:a16="http://schemas.microsoft.com/office/drawing/2014/main" id="{CD92A671-7A09-0579-61B9-8DC1F2AAFA3A}"/>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867D12F" w14:textId="77777777" w:rsidR="00E138FF" w:rsidRDefault="00E138FF" w:rsidP="00E138FF">
      <w:pPr>
        <w:jc w:val="center"/>
        <w:rPr>
          <w:rFonts w:ascii="Times New Roman" w:hAnsi="Times New Roman" w:cs="Times New Roman"/>
          <w:b/>
          <w:sz w:val="24"/>
        </w:rPr>
      </w:pPr>
    </w:p>
    <w:p w14:paraId="01D0CB53" w14:textId="77777777" w:rsidR="00E138FF" w:rsidRPr="00AD4C72" w:rsidRDefault="00E138FF" w:rsidP="00E138FF">
      <w:pPr>
        <w:jc w:val="center"/>
        <w:rPr>
          <w:rFonts w:ascii="Times New Roman" w:hAnsi="Times New Roman" w:cs="Times New Roman"/>
          <w:b/>
          <w:sz w:val="24"/>
        </w:rPr>
      </w:pPr>
      <w:r w:rsidRPr="00AD4C72">
        <w:rPr>
          <w:rFonts w:ascii="Times New Roman" w:hAnsi="Times New Roman" w:cs="Times New Roman"/>
          <w:b/>
          <w:sz w:val="24"/>
        </w:rPr>
        <w:t>Figure 2: OLI Framework (Created by Author)</w:t>
      </w:r>
    </w:p>
    <w:p w14:paraId="4214DB0F" w14:textId="77777777" w:rsidR="00E138FF" w:rsidRPr="00132C37" w:rsidRDefault="00E138FF" w:rsidP="00E138FF"/>
    <w:p w14:paraId="3524B93A" w14:textId="77777777" w:rsidR="00E138FF" w:rsidRPr="008B2410" w:rsidRDefault="00E138FF" w:rsidP="008B2410">
      <w:pPr>
        <w:rPr>
          <w:rFonts w:ascii="Times New Roman" w:hAnsi="Times New Roman" w:cs="Times New Roman"/>
          <w:b/>
          <w:sz w:val="24"/>
        </w:rPr>
      </w:pPr>
      <w:r w:rsidRPr="008B2410">
        <w:rPr>
          <w:rFonts w:ascii="Times New Roman" w:hAnsi="Times New Roman" w:cs="Times New Roman"/>
          <w:b/>
          <w:sz w:val="24"/>
        </w:rPr>
        <w:t xml:space="preserve">Ownership Advantages </w:t>
      </w:r>
    </w:p>
    <w:p w14:paraId="5CE2AA54" w14:textId="77777777" w:rsidR="002C5002" w:rsidRPr="002C5002" w:rsidRDefault="002C5002" w:rsidP="002C5002">
      <w:pPr>
        <w:spacing w:line="360" w:lineRule="auto"/>
        <w:jc w:val="both"/>
        <w:rPr>
          <w:rFonts w:ascii="Times New Roman" w:hAnsi="Times New Roman" w:cs="Times New Roman"/>
          <w:sz w:val="24"/>
        </w:rPr>
      </w:pPr>
      <w:r w:rsidRPr="002C5002">
        <w:rPr>
          <w:rFonts w:ascii="Times New Roman" w:hAnsi="Times New Roman" w:cs="Times New Roman"/>
          <w:sz w:val="24"/>
        </w:rPr>
        <w:t>As the eclectic paradigm suggests, corporations that engage in international production need to have Ownership advantages, special resources that enable them to be superior to domestic rivals (Dunning, 2015). The O-advantages of Unilever are vast and the core of its performance in the emerging markets like</w:t>
      </w:r>
      <w:r>
        <w:rPr>
          <w:rFonts w:ascii="Times New Roman" w:hAnsi="Times New Roman" w:cs="Times New Roman"/>
          <w:sz w:val="24"/>
        </w:rPr>
        <w:t xml:space="preserve"> Bangladesh.</w:t>
      </w:r>
    </w:p>
    <w:p w14:paraId="7EAD448F" w14:textId="4E0B8EA8" w:rsidR="002C5002" w:rsidRPr="002C5002" w:rsidRDefault="002C5002" w:rsidP="002C5002">
      <w:pPr>
        <w:spacing w:line="360" w:lineRule="auto"/>
        <w:jc w:val="both"/>
        <w:rPr>
          <w:rFonts w:ascii="Times New Roman" w:hAnsi="Times New Roman" w:cs="Times New Roman"/>
          <w:sz w:val="24"/>
        </w:rPr>
      </w:pPr>
      <w:r w:rsidRPr="002C5002">
        <w:rPr>
          <w:rFonts w:ascii="Times New Roman" w:hAnsi="Times New Roman" w:cs="Times New Roman"/>
          <w:sz w:val="24"/>
        </w:rPr>
        <w:t xml:space="preserve">Its diversified and globally known brand portfolio of Lifebuoy, Lux, Dove and </w:t>
      </w:r>
      <w:r w:rsidR="00346ADF" w:rsidRPr="002C5002">
        <w:rPr>
          <w:rFonts w:ascii="Times New Roman" w:hAnsi="Times New Roman" w:cs="Times New Roman"/>
          <w:sz w:val="24"/>
        </w:rPr>
        <w:t>Sun silk</w:t>
      </w:r>
      <w:r w:rsidRPr="002C5002">
        <w:rPr>
          <w:rFonts w:ascii="Times New Roman" w:hAnsi="Times New Roman" w:cs="Times New Roman"/>
          <w:sz w:val="24"/>
        </w:rPr>
        <w:t xml:space="preserve"> is a strength that offers great market power and consumer confidence (Jones, 2005). Brand equity is high and this </w:t>
      </w:r>
      <w:r w:rsidR="00346ADF" w:rsidRPr="002C5002">
        <w:rPr>
          <w:rFonts w:ascii="Times New Roman" w:hAnsi="Times New Roman" w:cs="Times New Roman"/>
          <w:sz w:val="24"/>
        </w:rPr>
        <w:t>minimizes</w:t>
      </w:r>
      <w:r w:rsidRPr="002C5002">
        <w:rPr>
          <w:rFonts w:ascii="Times New Roman" w:hAnsi="Times New Roman" w:cs="Times New Roman"/>
          <w:sz w:val="24"/>
        </w:rPr>
        <w:t xml:space="preserve"> the resistance to new markets. Unilever also enjoys proprietary research and development resources in innovation </w:t>
      </w:r>
      <w:r w:rsidR="00346ADF" w:rsidRPr="002C5002">
        <w:rPr>
          <w:rFonts w:ascii="Times New Roman" w:hAnsi="Times New Roman" w:cs="Times New Roman"/>
          <w:sz w:val="24"/>
        </w:rPr>
        <w:t>centers</w:t>
      </w:r>
      <w:r w:rsidRPr="002C5002">
        <w:rPr>
          <w:rFonts w:ascii="Times New Roman" w:hAnsi="Times New Roman" w:cs="Times New Roman"/>
          <w:sz w:val="24"/>
        </w:rPr>
        <w:t xml:space="preserve"> in the UK, Netherlands, India, China and the USA, which allows the development of formulations that are specific to varied climatic and cultural conditions (Unilever, 2024). The transfer of knowledge amongst subsidiaries also </w:t>
      </w:r>
      <w:r>
        <w:rPr>
          <w:rFonts w:ascii="Times New Roman" w:hAnsi="Times New Roman" w:cs="Times New Roman"/>
          <w:sz w:val="24"/>
        </w:rPr>
        <w:t>enhances competitive advantage.</w:t>
      </w:r>
    </w:p>
    <w:p w14:paraId="582C1F4E" w14:textId="4219CF90" w:rsidR="002C5002" w:rsidRPr="002C5002" w:rsidRDefault="002C5002" w:rsidP="002C5002">
      <w:pPr>
        <w:spacing w:line="360" w:lineRule="auto"/>
        <w:jc w:val="both"/>
        <w:rPr>
          <w:rFonts w:ascii="Times New Roman" w:hAnsi="Times New Roman" w:cs="Times New Roman"/>
          <w:sz w:val="24"/>
        </w:rPr>
      </w:pPr>
      <w:r w:rsidRPr="002C5002">
        <w:rPr>
          <w:rFonts w:ascii="Times New Roman" w:hAnsi="Times New Roman" w:cs="Times New Roman"/>
          <w:sz w:val="24"/>
        </w:rPr>
        <w:t xml:space="preserve">The global supply-chain competencies of Unilever are also strengthening its </w:t>
      </w:r>
      <w:r w:rsidR="00346ADF">
        <w:rPr>
          <w:rFonts w:ascii="Times New Roman" w:hAnsi="Times New Roman" w:cs="Times New Roman"/>
          <w:sz w:val="24"/>
        </w:rPr>
        <w:t xml:space="preserve">Ownership </w:t>
      </w:r>
      <w:r w:rsidRPr="002C5002">
        <w:rPr>
          <w:rFonts w:ascii="Times New Roman" w:hAnsi="Times New Roman" w:cs="Times New Roman"/>
          <w:sz w:val="24"/>
        </w:rPr>
        <w:t>advantages. The economies of scale are created by coordinated sourcing, manufacturing and distribution in many geographies, reducing input costs and quality uniformity (</w:t>
      </w:r>
      <w:proofErr w:type="spellStart"/>
      <w:r w:rsidRPr="002C5002">
        <w:rPr>
          <w:rFonts w:ascii="Times New Roman" w:hAnsi="Times New Roman" w:cs="Times New Roman"/>
          <w:sz w:val="24"/>
        </w:rPr>
        <w:t>Sodhi</w:t>
      </w:r>
      <w:proofErr w:type="spellEnd"/>
      <w:r w:rsidRPr="002C5002">
        <w:rPr>
          <w:rFonts w:ascii="Times New Roman" w:hAnsi="Times New Roman" w:cs="Times New Roman"/>
          <w:sz w:val="24"/>
        </w:rPr>
        <w:t xml:space="preserve"> and Tang, 2024). Such competencies in Bangladesh also enable effective manufacturing of high demand FMCG products and quick repl</w:t>
      </w:r>
      <w:r>
        <w:rPr>
          <w:rFonts w:ascii="Times New Roman" w:hAnsi="Times New Roman" w:cs="Times New Roman"/>
          <w:sz w:val="24"/>
        </w:rPr>
        <w:t>enishment within retail chains.</w:t>
      </w:r>
    </w:p>
    <w:p w14:paraId="2FB9C8D5" w14:textId="299CBBD8" w:rsidR="00177C41" w:rsidRDefault="002C5002" w:rsidP="002C5002">
      <w:pPr>
        <w:spacing w:line="360" w:lineRule="auto"/>
        <w:jc w:val="both"/>
        <w:rPr>
          <w:rFonts w:ascii="Times New Roman" w:hAnsi="Times New Roman" w:cs="Times New Roman"/>
          <w:sz w:val="24"/>
        </w:rPr>
      </w:pPr>
      <w:r w:rsidRPr="002C5002">
        <w:rPr>
          <w:rFonts w:ascii="Times New Roman" w:hAnsi="Times New Roman" w:cs="Times New Roman"/>
          <w:sz w:val="24"/>
        </w:rPr>
        <w:t xml:space="preserve">Lastly, the managerial and </w:t>
      </w:r>
      <w:r w:rsidR="003E68C9" w:rsidRPr="002C5002">
        <w:rPr>
          <w:rFonts w:ascii="Times New Roman" w:hAnsi="Times New Roman" w:cs="Times New Roman"/>
          <w:sz w:val="24"/>
        </w:rPr>
        <w:t>organizational</w:t>
      </w:r>
      <w:r w:rsidRPr="002C5002">
        <w:rPr>
          <w:rFonts w:ascii="Times New Roman" w:hAnsi="Times New Roman" w:cs="Times New Roman"/>
          <w:sz w:val="24"/>
        </w:rPr>
        <w:t xml:space="preserve"> skills of Unilever, which have been built over decades of business in international markets, offer sophisticated marketing, human resource and brand-building skills. This type of tacit </w:t>
      </w:r>
      <w:r w:rsidR="003E68C9" w:rsidRPr="002C5002">
        <w:rPr>
          <w:rFonts w:ascii="Times New Roman" w:hAnsi="Times New Roman" w:cs="Times New Roman"/>
          <w:sz w:val="24"/>
        </w:rPr>
        <w:t>organizational</w:t>
      </w:r>
      <w:r w:rsidRPr="002C5002">
        <w:rPr>
          <w:rFonts w:ascii="Times New Roman" w:hAnsi="Times New Roman" w:cs="Times New Roman"/>
          <w:sz w:val="24"/>
        </w:rPr>
        <w:t xml:space="preserve"> knowledge is hard to replicate by local companies, and it is a substantial ownership-specific advantage (Kang and Lee, 2022). </w:t>
      </w:r>
    </w:p>
    <w:p w14:paraId="055A5086" w14:textId="41D49C96" w:rsidR="00E138FF" w:rsidRPr="003438E5" w:rsidRDefault="002C5002" w:rsidP="002C5002">
      <w:pPr>
        <w:spacing w:line="360" w:lineRule="auto"/>
        <w:jc w:val="both"/>
        <w:rPr>
          <w:rFonts w:ascii="Times New Roman" w:hAnsi="Times New Roman" w:cs="Times New Roman"/>
          <w:sz w:val="24"/>
        </w:rPr>
      </w:pPr>
      <w:r w:rsidRPr="002C5002">
        <w:rPr>
          <w:rFonts w:ascii="Times New Roman" w:hAnsi="Times New Roman" w:cs="Times New Roman"/>
          <w:sz w:val="24"/>
        </w:rPr>
        <w:t>All these O</w:t>
      </w:r>
      <w:r w:rsidR="003E68C9">
        <w:rPr>
          <w:rFonts w:ascii="Times New Roman" w:hAnsi="Times New Roman" w:cs="Times New Roman"/>
          <w:sz w:val="24"/>
        </w:rPr>
        <w:t xml:space="preserve">wnership </w:t>
      </w:r>
      <w:r w:rsidRPr="002C5002">
        <w:rPr>
          <w:rFonts w:ascii="Times New Roman" w:hAnsi="Times New Roman" w:cs="Times New Roman"/>
          <w:sz w:val="24"/>
        </w:rPr>
        <w:t xml:space="preserve">advantages place Unilever in a strong competitive position in </w:t>
      </w:r>
      <w:r>
        <w:rPr>
          <w:rFonts w:ascii="Times New Roman" w:hAnsi="Times New Roman" w:cs="Times New Roman"/>
          <w:sz w:val="24"/>
        </w:rPr>
        <w:t>the Bangladesh FMCG environment</w:t>
      </w:r>
      <w:r w:rsidR="00E138FF" w:rsidRPr="003438E5">
        <w:rPr>
          <w:rFonts w:ascii="Times New Roman" w:hAnsi="Times New Roman" w:cs="Times New Roman"/>
          <w:sz w:val="24"/>
        </w:rPr>
        <w:t>.</w:t>
      </w:r>
    </w:p>
    <w:p w14:paraId="74CFE08B" w14:textId="77777777" w:rsidR="00E138FF" w:rsidRPr="008B2410" w:rsidRDefault="00E138FF" w:rsidP="008B2410">
      <w:pPr>
        <w:rPr>
          <w:rFonts w:ascii="Times New Roman" w:hAnsi="Times New Roman" w:cs="Times New Roman"/>
          <w:b/>
          <w:sz w:val="24"/>
        </w:rPr>
      </w:pPr>
      <w:r w:rsidRPr="008B2410">
        <w:rPr>
          <w:rFonts w:ascii="Times New Roman" w:hAnsi="Times New Roman" w:cs="Times New Roman"/>
          <w:b/>
          <w:sz w:val="24"/>
        </w:rPr>
        <w:t xml:space="preserve">Location Advantages - Bangladesh </w:t>
      </w:r>
    </w:p>
    <w:p w14:paraId="65E639B7" w14:textId="0D4AE22F" w:rsidR="002C5002" w:rsidRPr="002C5002" w:rsidRDefault="002C5002" w:rsidP="002C5002">
      <w:pPr>
        <w:spacing w:line="360" w:lineRule="auto"/>
        <w:jc w:val="both"/>
        <w:rPr>
          <w:rFonts w:ascii="Times New Roman" w:hAnsi="Times New Roman" w:cs="Times New Roman"/>
          <w:sz w:val="24"/>
        </w:rPr>
      </w:pPr>
      <w:r w:rsidRPr="002C5002">
        <w:rPr>
          <w:rFonts w:ascii="Times New Roman" w:hAnsi="Times New Roman" w:cs="Times New Roman"/>
          <w:sz w:val="24"/>
        </w:rPr>
        <w:t xml:space="preserve">Location advantages are host-country factors that are </w:t>
      </w:r>
      <w:r w:rsidR="0005610C" w:rsidRPr="002C5002">
        <w:rPr>
          <w:rFonts w:ascii="Times New Roman" w:hAnsi="Times New Roman" w:cs="Times New Roman"/>
          <w:sz w:val="24"/>
        </w:rPr>
        <w:t>favorable</w:t>
      </w:r>
      <w:r w:rsidRPr="002C5002">
        <w:rPr>
          <w:rFonts w:ascii="Times New Roman" w:hAnsi="Times New Roman" w:cs="Times New Roman"/>
          <w:sz w:val="24"/>
        </w:rPr>
        <w:t xml:space="preserve"> to foreign investment (Dunning, 2015). There are some L</w:t>
      </w:r>
      <w:r w:rsidR="0005610C">
        <w:rPr>
          <w:rFonts w:ascii="Times New Roman" w:hAnsi="Times New Roman" w:cs="Times New Roman"/>
          <w:sz w:val="24"/>
        </w:rPr>
        <w:t xml:space="preserve">ocation </w:t>
      </w:r>
      <w:r w:rsidRPr="002C5002">
        <w:rPr>
          <w:rFonts w:ascii="Times New Roman" w:hAnsi="Times New Roman" w:cs="Times New Roman"/>
          <w:sz w:val="24"/>
        </w:rPr>
        <w:t xml:space="preserve">advantages of Bangladesh which justify the same reason why Unilever still </w:t>
      </w:r>
      <w:r>
        <w:rPr>
          <w:rFonts w:ascii="Times New Roman" w:hAnsi="Times New Roman" w:cs="Times New Roman"/>
          <w:sz w:val="24"/>
        </w:rPr>
        <w:t>uses wholly owned subsidiaries.</w:t>
      </w:r>
    </w:p>
    <w:p w14:paraId="4C41202F" w14:textId="7E09C58C" w:rsidR="002C5002" w:rsidRPr="002C5002" w:rsidRDefault="002C5002" w:rsidP="002C5002">
      <w:pPr>
        <w:spacing w:line="360" w:lineRule="auto"/>
        <w:jc w:val="both"/>
        <w:rPr>
          <w:rFonts w:ascii="Times New Roman" w:hAnsi="Times New Roman" w:cs="Times New Roman"/>
          <w:sz w:val="24"/>
        </w:rPr>
      </w:pPr>
      <w:r w:rsidRPr="002C5002">
        <w:rPr>
          <w:rFonts w:ascii="Times New Roman" w:hAnsi="Times New Roman" w:cs="Times New Roman"/>
          <w:sz w:val="24"/>
        </w:rPr>
        <w:t xml:space="preserve">The greatest strength that it possesses is size </w:t>
      </w:r>
      <w:r w:rsidR="0076709C">
        <w:rPr>
          <w:rFonts w:ascii="Times New Roman" w:hAnsi="Times New Roman" w:cs="Times New Roman"/>
          <w:sz w:val="24"/>
        </w:rPr>
        <w:t xml:space="preserve">of </w:t>
      </w:r>
      <w:r w:rsidRPr="002C5002">
        <w:rPr>
          <w:rFonts w:ascii="Times New Roman" w:hAnsi="Times New Roman" w:cs="Times New Roman"/>
          <w:sz w:val="24"/>
        </w:rPr>
        <w:t xml:space="preserve">Bangladesh, with a population of more than 170 million and an increasingly fast-growing middle-income group, is considered one of the fastest-growing FMCG markets in South Asia (World Bank, 2024). Increased incomes and </w:t>
      </w:r>
      <w:r w:rsidR="00F50578" w:rsidRPr="002C5002">
        <w:rPr>
          <w:rFonts w:ascii="Times New Roman" w:hAnsi="Times New Roman" w:cs="Times New Roman"/>
          <w:sz w:val="24"/>
        </w:rPr>
        <w:t>urbanization</w:t>
      </w:r>
      <w:r w:rsidRPr="002C5002">
        <w:rPr>
          <w:rFonts w:ascii="Times New Roman" w:hAnsi="Times New Roman" w:cs="Times New Roman"/>
          <w:sz w:val="24"/>
        </w:rPr>
        <w:t xml:space="preserve"> have led to the growth in the demand of personal care and household products, which are the core Unilever categories, with evidence showing that FMCG growth is driven by demographic and rising standards </w:t>
      </w:r>
      <w:r>
        <w:rPr>
          <w:rFonts w:ascii="Times New Roman" w:hAnsi="Times New Roman" w:cs="Times New Roman"/>
          <w:sz w:val="24"/>
        </w:rPr>
        <w:t>of living (Karim et al., 2024).</w:t>
      </w:r>
    </w:p>
    <w:p w14:paraId="797C8AD4" w14:textId="5946D5F8" w:rsidR="002C5002" w:rsidRPr="002C5002" w:rsidRDefault="002C5002" w:rsidP="002C5002">
      <w:pPr>
        <w:spacing w:line="360" w:lineRule="auto"/>
        <w:jc w:val="both"/>
        <w:rPr>
          <w:rFonts w:ascii="Times New Roman" w:hAnsi="Times New Roman" w:cs="Times New Roman"/>
          <w:sz w:val="24"/>
        </w:rPr>
      </w:pPr>
      <w:r w:rsidRPr="002C5002">
        <w:rPr>
          <w:rFonts w:ascii="Times New Roman" w:hAnsi="Times New Roman" w:cs="Times New Roman"/>
          <w:sz w:val="24"/>
        </w:rPr>
        <w:t xml:space="preserve">Bangladesh is also a source of cheap </w:t>
      </w:r>
      <w:r w:rsidR="009A5629" w:rsidRPr="002C5002">
        <w:rPr>
          <w:rFonts w:ascii="Times New Roman" w:hAnsi="Times New Roman" w:cs="Times New Roman"/>
          <w:sz w:val="24"/>
        </w:rPr>
        <w:t>labor</w:t>
      </w:r>
      <w:r w:rsidRPr="002C5002">
        <w:rPr>
          <w:rFonts w:ascii="Times New Roman" w:hAnsi="Times New Roman" w:cs="Times New Roman"/>
          <w:sz w:val="24"/>
        </w:rPr>
        <w:t xml:space="preserve"> and production environment. Unilever Bangladesh manufactures more than 96 percent of its domestic market volume domestically, which decreases the reliance on imports and increases the responsiveness of its supply chain (The Business Standard, 2024b). Local production is in line with the sustainability and </w:t>
      </w:r>
      <w:r w:rsidR="00A34F00" w:rsidRPr="002C5002">
        <w:rPr>
          <w:rFonts w:ascii="Times New Roman" w:hAnsi="Times New Roman" w:cs="Times New Roman"/>
          <w:sz w:val="24"/>
        </w:rPr>
        <w:t>l</w:t>
      </w:r>
      <w:r w:rsidR="00A34F00">
        <w:rPr>
          <w:rFonts w:ascii="Times New Roman" w:hAnsi="Times New Roman" w:cs="Times New Roman"/>
          <w:sz w:val="24"/>
        </w:rPr>
        <w:t>ocalization</w:t>
      </w:r>
      <w:r>
        <w:rPr>
          <w:rFonts w:ascii="Times New Roman" w:hAnsi="Times New Roman" w:cs="Times New Roman"/>
          <w:sz w:val="24"/>
        </w:rPr>
        <w:t xml:space="preserve"> agenda of Unilever.</w:t>
      </w:r>
    </w:p>
    <w:p w14:paraId="39E6EC77" w14:textId="3B3E0D5F" w:rsidR="002C5002" w:rsidRPr="002C5002" w:rsidRDefault="002C5002" w:rsidP="002C5002">
      <w:pPr>
        <w:spacing w:line="360" w:lineRule="auto"/>
        <w:jc w:val="both"/>
        <w:rPr>
          <w:rFonts w:ascii="Times New Roman" w:hAnsi="Times New Roman" w:cs="Times New Roman"/>
          <w:sz w:val="24"/>
        </w:rPr>
      </w:pPr>
      <w:r w:rsidRPr="002C5002">
        <w:rPr>
          <w:rFonts w:ascii="Times New Roman" w:hAnsi="Times New Roman" w:cs="Times New Roman"/>
          <w:sz w:val="24"/>
        </w:rPr>
        <w:t xml:space="preserve">In the institutional aspect, the manufacturing policies in Bangladesh that are friendly to FDI have promoted long-term investment. The recent studies on South Asian FDI flows can single out Bangladesh as a country that becomes more appealing because of the comparative political stability and </w:t>
      </w:r>
      <w:r w:rsidR="00A34F00" w:rsidRPr="002C5002">
        <w:rPr>
          <w:rFonts w:ascii="Times New Roman" w:hAnsi="Times New Roman" w:cs="Times New Roman"/>
          <w:sz w:val="24"/>
        </w:rPr>
        <w:t>favorable</w:t>
      </w:r>
      <w:r w:rsidRPr="002C5002">
        <w:rPr>
          <w:rFonts w:ascii="Times New Roman" w:hAnsi="Times New Roman" w:cs="Times New Roman"/>
          <w:sz w:val="24"/>
        </w:rPr>
        <w:t xml:space="preserve"> access to regi</w:t>
      </w:r>
      <w:r>
        <w:rPr>
          <w:rFonts w:ascii="Times New Roman" w:hAnsi="Times New Roman" w:cs="Times New Roman"/>
          <w:sz w:val="24"/>
        </w:rPr>
        <w:t xml:space="preserve">onal markets (Al </w:t>
      </w:r>
      <w:proofErr w:type="spellStart"/>
      <w:r>
        <w:rPr>
          <w:rFonts w:ascii="Times New Roman" w:hAnsi="Times New Roman" w:cs="Times New Roman"/>
          <w:sz w:val="24"/>
        </w:rPr>
        <w:t>Abbasi</w:t>
      </w:r>
      <w:proofErr w:type="spellEnd"/>
      <w:r>
        <w:rPr>
          <w:rFonts w:ascii="Times New Roman" w:hAnsi="Times New Roman" w:cs="Times New Roman"/>
          <w:sz w:val="24"/>
        </w:rPr>
        <w:t>, 2022).</w:t>
      </w:r>
    </w:p>
    <w:p w14:paraId="6B0A5809" w14:textId="52DD1604" w:rsidR="002C5002" w:rsidRPr="002C5002" w:rsidRDefault="002C5002" w:rsidP="002C5002">
      <w:pPr>
        <w:spacing w:line="360" w:lineRule="auto"/>
        <w:jc w:val="both"/>
        <w:rPr>
          <w:rFonts w:ascii="Times New Roman" w:hAnsi="Times New Roman" w:cs="Times New Roman"/>
          <w:sz w:val="24"/>
        </w:rPr>
      </w:pPr>
      <w:r w:rsidRPr="002C5002">
        <w:rPr>
          <w:rFonts w:ascii="Times New Roman" w:hAnsi="Times New Roman" w:cs="Times New Roman"/>
          <w:sz w:val="24"/>
        </w:rPr>
        <w:t xml:space="preserve">Strong brand loyalty, especially in the hygiene and personal-care sector, culturally is more beneficial to companies such as Unilever that have strong global brands. According to the theory of </w:t>
      </w:r>
      <w:r w:rsidR="006664C6" w:rsidRPr="002C5002">
        <w:rPr>
          <w:rFonts w:ascii="Times New Roman" w:hAnsi="Times New Roman" w:cs="Times New Roman"/>
          <w:sz w:val="24"/>
        </w:rPr>
        <w:t>internationalization</w:t>
      </w:r>
      <w:r w:rsidRPr="002C5002">
        <w:rPr>
          <w:rFonts w:ascii="Times New Roman" w:hAnsi="Times New Roman" w:cs="Times New Roman"/>
          <w:sz w:val="24"/>
        </w:rPr>
        <w:t>, firms can get better returns when proprietary brands satisfy the local culture (</w:t>
      </w:r>
      <w:proofErr w:type="spellStart"/>
      <w:r w:rsidRPr="002C5002">
        <w:rPr>
          <w:rFonts w:ascii="Times New Roman" w:hAnsi="Times New Roman" w:cs="Times New Roman"/>
          <w:sz w:val="24"/>
        </w:rPr>
        <w:t>Nath</w:t>
      </w:r>
      <w:proofErr w:type="spellEnd"/>
      <w:r w:rsidRPr="002C5002">
        <w:rPr>
          <w:rFonts w:ascii="Times New Roman" w:hAnsi="Times New Roman" w:cs="Times New Roman"/>
          <w:sz w:val="24"/>
        </w:rPr>
        <w:t xml:space="preserve">, </w:t>
      </w:r>
      <w:proofErr w:type="spellStart"/>
      <w:r w:rsidRPr="002C5002">
        <w:rPr>
          <w:rFonts w:ascii="Times New Roman" w:hAnsi="Times New Roman" w:cs="Times New Roman"/>
          <w:sz w:val="24"/>
        </w:rPr>
        <w:t>Kirca</w:t>
      </w:r>
      <w:proofErr w:type="spellEnd"/>
      <w:r w:rsidRPr="002C5002">
        <w:rPr>
          <w:rFonts w:ascii="Times New Roman" w:hAnsi="Times New Roman" w:cs="Times New Roman"/>
          <w:sz w:val="24"/>
        </w:rPr>
        <w:t xml:space="preserve"> and Kim, 2020</w:t>
      </w:r>
      <w:r>
        <w:rPr>
          <w:rFonts w:ascii="Times New Roman" w:hAnsi="Times New Roman" w:cs="Times New Roman"/>
          <w:sz w:val="24"/>
        </w:rPr>
        <w:t>).</w:t>
      </w:r>
    </w:p>
    <w:p w14:paraId="06E04410" w14:textId="2916F8AF" w:rsidR="00E138FF" w:rsidRPr="00D14014" w:rsidRDefault="002C5002" w:rsidP="002C5002">
      <w:pPr>
        <w:spacing w:line="360" w:lineRule="auto"/>
        <w:jc w:val="both"/>
        <w:rPr>
          <w:rFonts w:ascii="Times New Roman" w:hAnsi="Times New Roman" w:cs="Times New Roman"/>
          <w:sz w:val="24"/>
        </w:rPr>
      </w:pPr>
      <w:r w:rsidRPr="002C5002">
        <w:rPr>
          <w:rFonts w:ascii="Times New Roman" w:hAnsi="Times New Roman" w:cs="Times New Roman"/>
          <w:sz w:val="24"/>
        </w:rPr>
        <w:t>All of these L</w:t>
      </w:r>
      <w:r w:rsidR="0071715A">
        <w:rPr>
          <w:rFonts w:ascii="Times New Roman" w:hAnsi="Times New Roman" w:cs="Times New Roman"/>
          <w:sz w:val="24"/>
        </w:rPr>
        <w:t xml:space="preserve">ocation </w:t>
      </w:r>
      <w:r w:rsidRPr="002C5002">
        <w:rPr>
          <w:rFonts w:ascii="Times New Roman" w:hAnsi="Times New Roman" w:cs="Times New Roman"/>
          <w:sz w:val="24"/>
        </w:rPr>
        <w:t xml:space="preserve">advantages, which include market scale, economies of scale, institutional support and cultural fit, are very strong in </w:t>
      </w:r>
      <w:r w:rsidR="0071715A" w:rsidRPr="002C5002">
        <w:rPr>
          <w:rFonts w:ascii="Times New Roman" w:hAnsi="Times New Roman" w:cs="Times New Roman"/>
          <w:sz w:val="24"/>
        </w:rPr>
        <w:t>favor</w:t>
      </w:r>
      <w:r w:rsidRPr="002C5002">
        <w:rPr>
          <w:rFonts w:ascii="Times New Roman" w:hAnsi="Times New Roman" w:cs="Times New Roman"/>
          <w:sz w:val="24"/>
        </w:rPr>
        <w:t xml:space="preserve"> of Unilever strategic commitment to Banglade</w:t>
      </w:r>
      <w:r>
        <w:rPr>
          <w:rFonts w:ascii="Times New Roman" w:hAnsi="Times New Roman" w:cs="Times New Roman"/>
          <w:sz w:val="24"/>
        </w:rPr>
        <w:t>sh via high-control entry modes</w:t>
      </w:r>
      <w:r w:rsidR="00E138FF" w:rsidRPr="003438E5">
        <w:rPr>
          <w:rFonts w:ascii="Times New Roman" w:hAnsi="Times New Roman" w:cs="Times New Roman"/>
          <w:sz w:val="24"/>
        </w:rPr>
        <w:t>.</w:t>
      </w:r>
    </w:p>
    <w:p w14:paraId="649FD7C7" w14:textId="1A0611E1" w:rsidR="00E138FF" w:rsidRPr="008B2410" w:rsidRDefault="002A1B1A" w:rsidP="008B2410">
      <w:pPr>
        <w:rPr>
          <w:rFonts w:ascii="Times New Roman" w:hAnsi="Times New Roman" w:cs="Times New Roman"/>
          <w:b/>
          <w:sz w:val="24"/>
        </w:rPr>
      </w:pPr>
      <w:r w:rsidRPr="008B2410">
        <w:rPr>
          <w:rFonts w:ascii="Times New Roman" w:hAnsi="Times New Roman" w:cs="Times New Roman"/>
          <w:b/>
          <w:sz w:val="24"/>
        </w:rPr>
        <w:t>Internalization</w:t>
      </w:r>
      <w:r w:rsidR="00E138FF" w:rsidRPr="008B2410">
        <w:rPr>
          <w:rFonts w:ascii="Times New Roman" w:hAnsi="Times New Roman" w:cs="Times New Roman"/>
          <w:b/>
          <w:sz w:val="24"/>
        </w:rPr>
        <w:t xml:space="preserve"> Advantages </w:t>
      </w:r>
    </w:p>
    <w:p w14:paraId="6325CF72" w14:textId="4C49D4E1" w:rsidR="008A0226" w:rsidRPr="008A0226" w:rsidRDefault="002A1B1A" w:rsidP="008A0226">
      <w:pPr>
        <w:spacing w:line="360" w:lineRule="auto"/>
        <w:jc w:val="both"/>
        <w:rPr>
          <w:rFonts w:ascii="Times New Roman" w:hAnsi="Times New Roman" w:cs="Times New Roman"/>
          <w:sz w:val="24"/>
        </w:rPr>
      </w:pPr>
      <w:r w:rsidRPr="008A0226">
        <w:rPr>
          <w:rFonts w:ascii="Times New Roman" w:hAnsi="Times New Roman" w:cs="Times New Roman"/>
          <w:sz w:val="24"/>
        </w:rPr>
        <w:t>Internalization</w:t>
      </w:r>
      <w:r w:rsidR="008A0226" w:rsidRPr="008A0226">
        <w:rPr>
          <w:rFonts w:ascii="Times New Roman" w:hAnsi="Times New Roman" w:cs="Times New Roman"/>
          <w:sz w:val="24"/>
        </w:rPr>
        <w:t xml:space="preserve"> benefits are those that a multinational accrues when it </w:t>
      </w:r>
      <w:r w:rsidRPr="008A0226">
        <w:rPr>
          <w:rFonts w:ascii="Times New Roman" w:hAnsi="Times New Roman" w:cs="Times New Roman"/>
          <w:sz w:val="24"/>
        </w:rPr>
        <w:t>internalizes</w:t>
      </w:r>
      <w:r w:rsidR="008A0226" w:rsidRPr="008A0226">
        <w:rPr>
          <w:rFonts w:ascii="Times New Roman" w:hAnsi="Times New Roman" w:cs="Times New Roman"/>
          <w:sz w:val="24"/>
        </w:rPr>
        <w:t xml:space="preserve"> cross-border transactions instead of using external markets thus lowering transaction costs, safeguarding intangible resources (e.g., technology, know-how), and cross-border quality control (Gaur et al., 2019). In the case of a company like Unilever, these benefits play a major role in determining the choice of operation mode of either using wholly owned subsidiaries instead of </w:t>
      </w:r>
      <w:r w:rsidRPr="008A0226">
        <w:rPr>
          <w:rFonts w:ascii="Times New Roman" w:hAnsi="Times New Roman" w:cs="Times New Roman"/>
          <w:sz w:val="24"/>
        </w:rPr>
        <w:t>licensing</w:t>
      </w:r>
      <w:r w:rsidR="008A0226" w:rsidRPr="008A0226">
        <w:rPr>
          <w:rFonts w:ascii="Times New Roman" w:hAnsi="Times New Roman" w:cs="Times New Roman"/>
          <w:sz w:val="24"/>
        </w:rPr>
        <w:t xml:space="preserve"> or joint-ventures in Bangladesh.</w:t>
      </w:r>
    </w:p>
    <w:p w14:paraId="3C9446AB" w14:textId="5640EE9D" w:rsidR="008A0226" w:rsidRPr="008A0226" w:rsidRDefault="002C5068" w:rsidP="008A0226">
      <w:pPr>
        <w:spacing w:line="360" w:lineRule="auto"/>
        <w:jc w:val="both"/>
        <w:rPr>
          <w:rFonts w:ascii="Times New Roman" w:hAnsi="Times New Roman" w:cs="Times New Roman"/>
          <w:sz w:val="24"/>
        </w:rPr>
      </w:pPr>
      <w:r>
        <w:rPr>
          <w:rFonts w:ascii="Times New Roman" w:hAnsi="Times New Roman" w:cs="Times New Roman"/>
          <w:sz w:val="24"/>
        </w:rPr>
        <w:t>T</w:t>
      </w:r>
      <w:r w:rsidR="008A0226" w:rsidRPr="008A0226">
        <w:rPr>
          <w:rFonts w:ascii="Times New Roman" w:hAnsi="Times New Roman" w:cs="Times New Roman"/>
          <w:sz w:val="24"/>
        </w:rPr>
        <w:t xml:space="preserve">hrough </w:t>
      </w:r>
      <w:r w:rsidRPr="008A0226">
        <w:rPr>
          <w:rFonts w:ascii="Times New Roman" w:hAnsi="Times New Roman" w:cs="Times New Roman"/>
          <w:sz w:val="24"/>
        </w:rPr>
        <w:t>internalization</w:t>
      </w:r>
      <w:r w:rsidR="008A0226" w:rsidRPr="008A0226">
        <w:rPr>
          <w:rFonts w:ascii="Times New Roman" w:hAnsi="Times New Roman" w:cs="Times New Roman"/>
          <w:sz w:val="24"/>
        </w:rPr>
        <w:t xml:space="preserve"> of production and distribution through its own subsidiary (Unilever Bangladesh Limited, UBL), Unilever does not have to face the risk of external contracting: loss of control over the quality of production, possible leakage of the proprietary formulations, uneven quality, and breakage of the supply-chain. </w:t>
      </w:r>
      <w:r w:rsidRPr="008A0226">
        <w:rPr>
          <w:rFonts w:ascii="Times New Roman" w:hAnsi="Times New Roman" w:cs="Times New Roman"/>
          <w:sz w:val="24"/>
        </w:rPr>
        <w:t>Internalization</w:t>
      </w:r>
      <w:r w:rsidR="008A0226" w:rsidRPr="008A0226">
        <w:rPr>
          <w:rFonts w:ascii="Times New Roman" w:hAnsi="Times New Roman" w:cs="Times New Roman"/>
          <w:sz w:val="24"/>
        </w:rPr>
        <w:t xml:space="preserve"> can enable Unilever to protect its core competitive advantages, which include recipes, brand standards, quality control procedures, which are fundamental to the fast-moving consumer goods (FMCG) industry, where brand equity is based on consumer trust and product reliability (Gaur et al., 2019).</w:t>
      </w:r>
    </w:p>
    <w:p w14:paraId="1F67EA6F" w14:textId="1963EB3D" w:rsidR="008A0226" w:rsidRPr="008A0226" w:rsidRDefault="002C5068" w:rsidP="008A0226">
      <w:pPr>
        <w:spacing w:line="360" w:lineRule="auto"/>
        <w:jc w:val="both"/>
        <w:rPr>
          <w:rFonts w:ascii="Times New Roman" w:hAnsi="Times New Roman" w:cs="Times New Roman"/>
          <w:sz w:val="24"/>
        </w:rPr>
      </w:pPr>
      <w:r>
        <w:rPr>
          <w:rFonts w:ascii="Times New Roman" w:hAnsi="Times New Roman" w:cs="Times New Roman"/>
          <w:sz w:val="24"/>
        </w:rPr>
        <w:t>I</w:t>
      </w:r>
      <w:r w:rsidRPr="008A0226">
        <w:rPr>
          <w:rFonts w:ascii="Times New Roman" w:hAnsi="Times New Roman" w:cs="Times New Roman"/>
          <w:sz w:val="24"/>
        </w:rPr>
        <w:t>nternalization</w:t>
      </w:r>
      <w:r w:rsidR="008A0226" w:rsidRPr="008A0226">
        <w:rPr>
          <w:rFonts w:ascii="Times New Roman" w:hAnsi="Times New Roman" w:cs="Times New Roman"/>
          <w:sz w:val="24"/>
        </w:rPr>
        <w:t xml:space="preserve"> promotes effective coordination of the global value chain. Since Unilever has the advantage of operating R/D, sourcing, manufacturing and distribution in the same firm network, it does not incur the extra transaction costs and information</w:t>
      </w:r>
      <w:r w:rsidR="00615A34">
        <w:rPr>
          <w:rFonts w:ascii="Times New Roman" w:hAnsi="Times New Roman" w:cs="Times New Roman"/>
          <w:sz w:val="24"/>
        </w:rPr>
        <w:t xml:space="preserve"> </w:t>
      </w:r>
      <w:r w:rsidR="008A0226" w:rsidRPr="008A0226">
        <w:rPr>
          <w:rFonts w:ascii="Times New Roman" w:hAnsi="Times New Roman" w:cs="Times New Roman"/>
          <w:sz w:val="24"/>
        </w:rPr>
        <w:t xml:space="preserve">that would otherwise be experienced in the case of outsourcing or contracting such functions to outside third parties (Dunning &amp; </w:t>
      </w:r>
      <w:proofErr w:type="spellStart"/>
      <w:r w:rsidR="008A0226" w:rsidRPr="008A0226">
        <w:rPr>
          <w:rFonts w:ascii="Times New Roman" w:hAnsi="Times New Roman" w:cs="Times New Roman"/>
          <w:sz w:val="24"/>
        </w:rPr>
        <w:t>Lundan</w:t>
      </w:r>
      <w:proofErr w:type="spellEnd"/>
      <w:r w:rsidR="008A0226" w:rsidRPr="008A0226">
        <w:rPr>
          <w:rFonts w:ascii="Times New Roman" w:hAnsi="Times New Roman" w:cs="Times New Roman"/>
          <w:sz w:val="24"/>
        </w:rPr>
        <w:t xml:space="preserve">, 2008). Supplier markets in Bangladesh can be fragmented and the regulatory oversight can be </w:t>
      </w:r>
      <w:r w:rsidR="00B1205C">
        <w:rPr>
          <w:rFonts w:ascii="Times New Roman" w:hAnsi="Times New Roman" w:cs="Times New Roman"/>
          <w:sz w:val="24"/>
        </w:rPr>
        <w:t>unequal</w:t>
      </w:r>
      <w:r w:rsidR="008A0226" w:rsidRPr="008A0226">
        <w:rPr>
          <w:rFonts w:ascii="Times New Roman" w:hAnsi="Times New Roman" w:cs="Times New Roman"/>
          <w:sz w:val="24"/>
        </w:rPr>
        <w:t xml:space="preserve"> in </w:t>
      </w:r>
      <w:r w:rsidR="00B1205C" w:rsidRPr="008A0226">
        <w:rPr>
          <w:rFonts w:ascii="Times New Roman" w:hAnsi="Times New Roman" w:cs="Times New Roman"/>
          <w:sz w:val="24"/>
        </w:rPr>
        <w:t>internalizing</w:t>
      </w:r>
      <w:r w:rsidR="008A0226" w:rsidRPr="008A0226">
        <w:rPr>
          <w:rFonts w:ascii="Times New Roman" w:hAnsi="Times New Roman" w:cs="Times New Roman"/>
          <w:sz w:val="24"/>
        </w:rPr>
        <w:t xml:space="preserve"> these value-chain activities, so that uncertainty is mitigated, governance costs reduced, and assuring compliance with the global hygiene, sustainability and product safety norms.</w:t>
      </w:r>
    </w:p>
    <w:p w14:paraId="709975C5" w14:textId="78D00BB5" w:rsidR="00E138FF" w:rsidRPr="003438E5" w:rsidRDefault="008A0226" w:rsidP="008A0226">
      <w:pPr>
        <w:spacing w:line="360" w:lineRule="auto"/>
        <w:jc w:val="both"/>
        <w:rPr>
          <w:rFonts w:ascii="Times New Roman" w:hAnsi="Times New Roman" w:cs="Times New Roman"/>
          <w:sz w:val="24"/>
        </w:rPr>
      </w:pPr>
      <w:r w:rsidRPr="008A0226">
        <w:rPr>
          <w:rFonts w:ascii="Times New Roman" w:hAnsi="Times New Roman" w:cs="Times New Roman"/>
          <w:sz w:val="24"/>
        </w:rPr>
        <w:t xml:space="preserve">The </w:t>
      </w:r>
      <w:r w:rsidR="00B1205C" w:rsidRPr="008A0226">
        <w:rPr>
          <w:rFonts w:ascii="Times New Roman" w:hAnsi="Times New Roman" w:cs="Times New Roman"/>
          <w:sz w:val="24"/>
        </w:rPr>
        <w:t>internalization</w:t>
      </w:r>
      <w:r w:rsidRPr="008A0226">
        <w:rPr>
          <w:rFonts w:ascii="Times New Roman" w:hAnsi="Times New Roman" w:cs="Times New Roman"/>
          <w:sz w:val="24"/>
        </w:rPr>
        <w:t xml:space="preserve"> will help Unilever to take advantage of economies of scale and scope on a global basis, and can move innovations (product formulations, packaging technologies, sustainable sourcing standards) that have been made elsewhere around the world to its operations in Bangladesh without </w:t>
      </w:r>
      <w:r w:rsidR="00B00CA5">
        <w:rPr>
          <w:rFonts w:ascii="Times New Roman" w:hAnsi="Times New Roman" w:cs="Times New Roman"/>
          <w:sz w:val="24"/>
        </w:rPr>
        <w:t>agreement</w:t>
      </w:r>
      <w:r w:rsidRPr="008A0226">
        <w:rPr>
          <w:rFonts w:ascii="Times New Roman" w:hAnsi="Times New Roman" w:cs="Times New Roman"/>
          <w:sz w:val="24"/>
        </w:rPr>
        <w:t xml:space="preserve">. This assists in sustaining global </w:t>
      </w:r>
      <w:r w:rsidR="00B00CA5" w:rsidRPr="008A0226">
        <w:rPr>
          <w:rFonts w:ascii="Times New Roman" w:hAnsi="Times New Roman" w:cs="Times New Roman"/>
          <w:sz w:val="24"/>
        </w:rPr>
        <w:t>standardization</w:t>
      </w:r>
      <w:r w:rsidRPr="008A0226">
        <w:rPr>
          <w:rFonts w:ascii="Times New Roman" w:hAnsi="Times New Roman" w:cs="Times New Roman"/>
          <w:sz w:val="24"/>
        </w:rPr>
        <w:t xml:space="preserve"> and accommodating local consumer demands, which is a characteristic of effective global FMCG multinationals t</w:t>
      </w:r>
      <w:r>
        <w:rPr>
          <w:rFonts w:ascii="Times New Roman" w:hAnsi="Times New Roman" w:cs="Times New Roman"/>
          <w:sz w:val="24"/>
        </w:rPr>
        <w:t>hat are in the emerging markets</w:t>
      </w:r>
      <w:r w:rsidR="00E138FF" w:rsidRPr="003438E5">
        <w:rPr>
          <w:rFonts w:ascii="Times New Roman" w:hAnsi="Times New Roman" w:cs="Times New Roman"/>
          <w:sz w:val="24"/>
        </w:rPr>
        <w:t>.</w:t>
      </w:r>
    </w:p>
    <w:p w14:paraId="4A47F16A" w14:textId="77777777" w:rsidR="00E138FF" w:rsidRPr="008B2410" w:rsidRDefault="0031539D" w:rsidP="0031539D">
      <w:pPr>
        <w:rPr>
          <w:rFonts w:ascii="Times New Roman" w:hAnsi="Times New Roman" w:cs="Times New Roman"/>
          <w:b/>
          <w:sz w:val="24"/>
        </w:rPr>
      </w:pPr>
      <w:r w:rsidRPr="0031539D">
        <w:rPr>
          <w:rFonts w:ascii="Times New Roman" w:hAnsi="Times New Roman" w:cs="Times New Roman"/>
          <w:b/>
          <w:bCs/>
          <w:sz w:val="24"/>
        </w:rPr>
        <w:t>OLI-Based Explanation of Unilever’s Entry Mode</w:t>
      </w:r>
    </w:p>
    <w:p w14:paraId="45054A3F" w14:textId="593C89F5" w:rsidR="00E138FF" w:rsidRDefault="008A0226" w:rsidP="00E138FF">
      <w:pPr>
        <w:spacing w:line="360" w:lineRule="auto"/>
        <w:jc w:val="both"/>
        <w:rPr>
          <w:rFonts w:ascii="Times New Roman" w:hAnsi="Times New Roman" w:cs="Times New Roman"/>
          <w:sz w:val="24"/>
        </w:rPr>
      </w:pPr>
      <w:r w:rsidRPr="008A0226">
        <w:rPr>
          <w:rFonts w:ascii="Times New Roman" w:hAnsi="Times New Roman" w:cs="Times New Roman"/>
          <w:sz w:val="24"/>
        </w:rPr>
        <w:t xml:space="preserve">By conjoining its good ownership benefits with the locational benefits of Bangladesh and its </w:t>
      </w:r>
      <w:r w:rsidR="0019093D" w:rsidRPr="008A0226">
        <w:rPr>
          <w:rFonts w:ascii="Times New Roman" w:hAnsi="Times New Roman" w:cs="Times New Roman"/>
          <w:sz w:val="24"/>
        </w:rPr>
        <w:t>internalization</w:t>
      </w:r>
      <w:r w:rsidRPr="008A0226">
        <w:rPr>
          <w:rFonts w:ascii="Times New Roman" w:hAnsi="Times New Roman" w:cs="Times New Roman"/>
          <w:sz w:val="24"/>
        </w:rPr>
        <w:t xml:space="preserve"> benefits of fully controlled operations, the decision taken by Unilever to enter Bangladesh through wholly owned subsidiary (FDI) will be the logically optimal entry mode. The OLI framework anticipates exactly this type of result; in the cases where firm-specific assets, </w:t>
      </w:r>
      <w:r w:rsidR="0019093D" w:rsidRPr="008A0226">
        <w:rPr>
          <w:rFonts w:ascii="Times New Roman" w:hAnsi="Times New Roman" w:cs="Times New Roman"/>
          <w:sz w:val="24"/>
        </w:rPr>
        <w:t>favorable</w:t>
      </w:r>
      <w:r w:rsidRPr="008A0226">
        <w:rPr>
          <w:rFonts w:ascii="Times New Roman" w:hAnsi="Times New Roman" w:cs="Times New Roman"/>
          <w:sz w:val="24"/>
        </w:rPr>
        <w:t xml:space="preserve"> host-country conditions, and ability to </w:t>
      </w:r>
      <w:r w:rsidR="0019093D" w:rsidRPr="008A0226">
        <w:rPr>
          <w:rFonts w:ascii="Times New Roman" w:hAnsi="Times New Roman" w:cs="Times New Roman"/>
          <w:sz w:val="24"/>
        </w:rPr>
        <w:t>internalize</w:t>
      </w:r>
      <w:r w:rsidRPr="008A0226">
        <w:rPr>
          <w:rFonts w:ascii="Times New Roman" w:hAnsi="Times New Roman" w:cs="Times New Roman"/>
          <w:sz w:val="24"/>
        </w:rPr>
        <w:t xml:space="preserve"> cross-border operations are in line, foreign direct investment and subsidiary ownership will be the most efficient and sustainable entry </w:t>
      </w:r>
      <w:r>
        <w:rPr>
          <w:rFonts w:ascii="Times New Roman" w:hAnsi="Times New Roman" w:cs="Times New Roman"/>
          <w:sz w:val="24"/>
        </w:rPr>
        <w:t xml:space="preserve">mode (Dunning and </w:t>
      </w:r>
      <w:proofErr w:type="spellStart"/>
      <w:r>
        <w:rPr>
          <w:rFonts w:ascii="Times New Roman" w:hAnsi="Times New Roman" w:cs="Times New Roman"/>
          <w:sz w:val="24"/>
        </w:rPr>
        <w:t>Lundan</w:t>
      </w:r>
      <w:proofErr w:type="spellEnd"/>
      <w:r>
        <w:rPr>
          <w:rFonts w:ascii="Times New Roman" w:hAnsi="Times New Roman" w:cs="Times New Roman"/>
          <w:sz w:val="24"/>
        </w:rPr>
        <w:t>, 2008)</w:t>
      </w:r>
      <w:r w:rsidR="00E138FF" w:rsidRPr="003438E5">
        <w:rPr>
          <w:rFonts w:ascii="Times New Roman" w:hAnsi="Times New Roman" w:cs="Times New Roman"/>
          <w:sz w:val="24"/>
        </w:rPr>
        <w:t>.</w:t>
      </w:r>
    </w:p>
    <w:p w14:paraId="76FE2B73" w14:textId="77777777" w:rsidR="00E138FF" w:rsidRPr="008B2410" w:rsidRDefault="00E138FF" w:rsidP="008B2410">
      <w:pPr>
        <w:pStyle w:val="Heading3"/>
      </w:pPr>
      <w:bookmarkStart w:id="14" w:name="_Toc216458810"/>
      <w:r w:rsidRPr="008B2410">
        <w:t>3.2</w:t>
      </w:r>
      <w:r w:rsidR="008B2410" w:rsidRPr="008B2410">
        <w:t>.2</w:t>
      </w:r>
      <w:r w:rsidRPr="008B2410">
        <w:t xml:space="preserve"> Why Unilever Prefers FDI and Full Ownership</w:t>
      </w:r>
      <w:bookmarkEnd w:id="14"/>
    </w:p>
    <w:p w14:paraId="0FD5CF72" w14:textId="036357AE" w:rsidR="008B2410" w:rsidRDefault="00467BEE" w:rsidP="00E138FF">
      <w:pPr>
        <w:spacing w:line="360" w:lineRule="auto"/>
        <w:jc w:val="both"/>
        <w:rPr>
          <w:rFonts w:ascii="Times New Roman" w:hAnsi="Times New Roman" w:cs="Times New Roman"/>
          <w:sz w:val="24"/>
        </w:rPr>
      </w:pPr>
      <w:r w:rsidRPr="00467BEE">
        <w:rPr>
          <w:rFonts w:ascii="Times New Roman" w:hAnsi="Times New Roman" w:cs="Times New Roman"/>
          <w:sz w:val="24"/>
        </w:rPr>
        <w:t xml:space="preserve">The choice of wholly owned subsidiaries by Unilever is based on the fact that it requires good governance, brand custodianship and integration of operations. The literature indicates that wholly owned subsidiaries are prevalent when the companies have significant ownership benefits like proprietary technologies, global brands and advanced marketing skills since such benefits cannot be fully controlled and used to enhance performance (Wei and Lee, 2025). Full ownership in Bangladesh allow Unilever to apply the global quality standards, to invest in the modern technologies of production and combine the local activities with the global supply chain. As well, FDI can enable Unilever to react quickly to the changing consumer </w:t>
      </w:r>
      <w:r w:rsidR="0019093D" w:rsidRPr="00467BEE">
        <w:rPr>
          <w:rFonts w:ascii="Times New Roman" w:hAnsi="Times New Roman" w:cs="Times New Roman"/>
          <w:sz w:val="24"/>
        </w:rPr>
        <w:t>behavior</w:t>
      </w:r>
      <w:r w:rsidRPr="00467BEE">
        <w:rPr>
          <w:rFonts w:ascii="Times New Roman" w:hAnsi="Times New Roman" w:cs="Times New Roman"/>
          <w:sz w:val="24"/>
        </w:rPr>
        <w:t>, regulatory environment and competitive</w:t>
      </w:r>
      <w:r>
        <w:rPr>
          <w:rFonts w:ascii="Times New Roman" w:hAnsi="Times New Roman" w:cs="Times New Roman"/>
          <w:sz w:val="24"/>
        </w:rPr>
        <w:t xml:space="preserve"> forces in the emerging markets</w:t>
      </w:r>
      <w:r w:rsidR="00E138FF" w:rsidRPr="00AB2646">
        <w:rPr>
          <w:rFonts w:ascii="Times New Roman" w:hAnsi="Times New Roman" w:cs="Times New Roman"/>
          <w:sz w:val="24"/>
        </w:rPr>
        <w:t>.</w:t>
      </w:r>
    </w:p>
    <w:p w14:paraId="1883F4D9" w14:textId="77777777" w:rsidR="002C5002" w:rsidRPr="00E138FF" w:rsidRDefault="002C5002" w:rsidP="00E138FF">
      <w:pPr>
        <w:spacing w:line="360" w:lineRule="auto"/>
        <w:jc w:val="both"/>
        <w:rPr>
          <w:rFonts w:ascii="Times New Roman" w:hAnsi="Times New Roman" w:cs="Times New Roman"/>
          <w:sz w:val="24"/>
        </w:rPr>
      </w:pPr>
    </w:p>
    <w:p w14:paraId="1954F7A9" w14:textId="77777777" w:rsidR="00D14014" w:rsidRDefault="008B2410" w:rsidP="008B2410">
      <w:pPr>
        <w:pStyle w:val="Heading3"/>
      </w:pPr>
      <w:bookmarkStart w:id="15" w:name="_Toc216458811"/>
      <w:r>
        <w:t>3.2.3</w:t>
      </w:r>
      <w:r w:rsidR="003438E5" w:rsidRPr="003438E5">
        <w:t xml:space="preserve"> Hofstede’s Cultural Dimension Comparison: UK vs Banglades</w:t>
      </w:r>
      <w:r w:rsidR="00D14014">
        <w:t>h</w:t>
      </w:r>
      <w:bookmarkEnd w:id="15"/>
      <w:r w:rsidR="00D14014">
        <w:t xml:space="preserve"> </w:t>
      </w:r>
    </w:p>
    <w:p w14:paraId="6BADC52A" w14:textId="77777777" w:rsidR="00AD4C72" w:rsidRDefault="000B08EF" w:rsidP="00E03DFE">
      <w:r w:rsidRPr="000B08EF">
        <w:rPr>
          <w:noProof/>
        </w:rPr>
        <w:drawing>
          <wp:inline distT="0" distB="0" distL="0" distR="0" wp14:anchorId="30584B31" wp14:editId="464970E7">
            <wp:extent cx="5989320" cy="34594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009677" cy="3471238"/>
                    </a:xfrm>
                    <a:prstGeom prst="rect">
                      <a:avLst/>
                    </a:prstGeom>
                  </pic:spPr>
                </pic:pic>
              </a:graphicData>
            </a:graphic>
          </wp:inline>
        </w:drawing>
      </w:r>
    </w:p>
    <w:p w14:paraId="0471D3FF" w14:textId="77777777" w:rsidR="00AD4C72" w:rsidRPr="00AD4C72" w:rsidRDefault="00AD4C72" w:rsidP="00AD4C72">
      <w:pPr>
        <w:jc w:val="center"/>
        <w:rPr>
          <w:rFonts w:ascii="Times New Roman" w:hAnsi="Times New Roman" w:cs="Times New Roman"/>
          <w:b/>
          <w:sz w:val="24"/>
        </w:rPr>
      </w:pPr>
      <w:r w:rsidRPr="00AD4C72">
        <w:rPr>
          <w:rFonts w:ascii="Times New Roman" w:hAnsi="Times New Roman" w:cs="Times New Roman"/>
          <w:b/>
          <w:sz w:val="24"/>
        </w:rPr>
        <w:t xml:space="preserve">Figure 3: Hofstede Dimensions </w:t>
      </w:r>
      <w:r w:rsidR="00E03DFE" w:rsidRPr="00E03DFE">
        <w:rPr>
          <w:rFonts w:ascii="Times New Roman" w:hAnsi="Times New Roman" w:cs="Times New Roman"/>
          <w:b/>
          <w:sz w:val="24"/>
        </w:rPr>
        <w:t>(The Culture Factor Group, 2023)</w:t>
      </w:r>
    </w:p>
    <w:p w14:paraId="1DDE9B4E" w14:textId="77777777" w:rsidR="00E03DFE" w:rsidRDefault="00E03DFE" w:rsidP="00E03DFE">
      <w:pPr>
        <w:spacing w:line="360" w:lineRule="auto"/>
        <w:jc w:val="both"/>
        <w:rPr>
          <w:rFonts w:ascii="Times New Roman" w:hAnsi="Times New Roman" w:cs="Times New Roman"/>
          <w:b/>
          <w:bCs/>
          <w:sz w:val="24"/>
        </w:rPr>
      </w:pPr>
    </w:p>
    <w:p w14:paraId="7FF8C59D" w14:textId="77777777" w:rsidR="00E03DFE" w:rsidRPr="00E03DFE" w:rsidRDefault="00E03DFE" w:rsidP="00E03DFE">
      <w:pPr>
        <w:spacing w:line="360" w:lineRule="auto"/>
        <w:jc w:val="both"/>
        <w:rPr>
          <w:rFonts w:ascii="Times New Roman" w:hAnsi="Times New Roman" w:cs="Times New Roman"/>
          <w:b/>
          <w:bCs/>
          <w:sz w:val="24"/>
        </w:rPr>
      </w:pPr>
      <w:r w:rsidRPr="00E03DFE">
        <w:rPr>
          <w:rFonts w:ascii="Times New Roman" w:hAnsi="Times New Roman" w:cs="Times New Roman"/>
          <w:b/>
          <w:bCs/>
          <w:sz w:val="24"/>
        </w:rPr>
        <w:t>Power Distance</w:t>
      </w:r>
    </w:p>
    <w:p w14:paraId="05C226C7" w14:textId="77777777" w:rsidR="00E03DFE" w:rsidRPr="00E03DFE" w:rsidRDefault="00E03DFE" w:rsidP="00E03DFE">
      <w:pPr>
        <w:spacing w:line="360" w:lineRule="auto"/>
        <w:jc w:val="both"/>
        <w:rPr>
          <w:rFonts w:ascii="Times New Roman" w:hAnsi="Times New Roman" w:cs="Times New Roman"/>
          <w:bCs/>
          <w:sz w:val="24"/>
        </w:rPr>
      </w:pPr>
      <w:r w:rsidRPr="00E03DFE">
        <w:rPr>
          <w:rFonts w:ascii="Times New Roman" w:hAnsi="Times New Roman" w:cs="Times New Roman"/>
          <w:bCs/>
          <w:sz w:val="24"/>
        </w:rPr>
        <w:t>Power distance refers to how much a society accepts unequal distribution of power and hierarchical relationships (Hofstede, 2001).</w:t>
      </w:r>
    </w:p>
    <w:p w14:paraId="045654D2" w14:textId="77777777" w:rsidR="00E03DFE" w:rsidRPr="00E03DFE" w:rsidRDefault="00E03DFE" w:rsidP="00E03DFE">
      <w:pPr>
        <w:spacing w:line="360" w:lineRule="auto"/>
        <w:jc w:val="both"/>
        <w:rPr>
          <w:rFonts w:ascii="Times New Roman" w:hAnsi="Times New Roman" w:cs="Times New Roman"/>
          <w:b/>
          <w:bCs/>
          <w:sz w:val="24"/>
        </w:rPr>
      </w:pPr>
      <w:r w:rsidRPr="00E03DFE">
        <w:rPr>
          <w:rFonts w:ascii="Times New Roman" w:hAnsi="Times New Roman" w:cs="Times New Roman"/>
          <w:b/>
          <w:bCs/>
          <w:sz w:val="24"/>
        </w:rPr>
        <w:t>United Kingdom</w:t>
      </w:r>
    </w:p>
    <w:p w14:paraId="7F00BC6D" w14:textId="5C527628" w:rsidR="00E03DFE" w:rsidRPr="00E03DFE" w:rsidRDefault="00467BEE" w:rsidP="00467BEE">
      <w:pPr>
        <w:spacing w:line="360" w:lineRule="auto"/>
        <w:jc w:val="both"/>
        <w:rPr>
          <w:rFonts w:ascii="Times New Roman" w:hAnsi="Times New Roman" w:cs="Times New Roman"/>
          <w:bCs/>
          <w:sz w:val="24"/>
        </w:rPr>
      </w:pPr>
      <w:r w:rsidRPr="00467BEE">
        <w:rPr>
          <w:rFonts w:ascii="Times New Roman" w:hAnsi="Times New Roman" w:cs="Times New Roman"/>
          <w:bCs/>
          <w:sz w:val="24"/>
        </w:rPr>
        <w:t xml:space="preserve">UK has a score of 35 on power distance, which means that it has a strong preference of </w:t>
      </w:r>
      <w:r w:rsidR="00FA74EF">
        <w:rPr>
          <w:rFonts w:ascii="Times New Roman" w:hAnsi="Times New Roman" w:cs="Times New Roman"/>
          <w:bCs/>
          <w:sz w:val="24"/>
        </w:rPr>
        <w:t xml:space="preserve"> </w:t>
      </w:r>
      <w:r w:rsidR="00FA74EF" w:rsidRPr="00467BEE">
        <w:rPr>
          <w:rFonts w:ascii="Times New Roman" w:hAnsi="Times New Roman" w:cs="Times New Roman"/>
          <w:bCs/>
          <w:sz w:val="24"/>
        </w:rPr>
        <w:t>organizational</w:t>
      </w:r>
      <w:r w:rsidRPr="00467BEE">
        <w:rPr>
          <w:rFonts w:ascii="Times New Roman" w:hAnsi="Times New Roman" w:cs="Times New Roman"/>
          <w:bCs/>
          <w:sz w:val="24"/>
        </w:rPr>
        <w:t xml:space="preserve"> structures and participatory management. The employees usually anticipate open communication, transparency and the possibility to challenge decisions. Workplaces stress on autonomy, consultative leadership and </w:t>
      </w:r>
      <w:r w:rsidR="00BB7F6E" w:rsidRPr="00467BEE">
        <w:rPr>
          <w:rFonts w:ascii="Times New Roman" w:hAnsi="Times New Roman" w:cs="Times New Roman"/>
          <w:bCs/>
          <w:sz w:val="24"/>
        </w:rPr>
        <w:t>decentralized</w:t>
      </w:r>
      <w:r w:rsidRPr="00467BEE">
        <w:rPr>
          <w:rFonts w:ascii="Times New Roman" w:hAnsi="Times New Roman" w:cs="Times New Roman"/>
          <w:bCs/>
          <w:sz w:val="24"/>
        </w:rPr>
        <w:t xml:space="preserve"> authority. The managers are supposed to explain their decisions and to interact with employees on equal terms and not as superiors.</w:t>
      </w:r>
    </w:p>
    <w:p w14:paraId="5A498E05" w14:textId="77777777" w:rsidR="00E03DFE" w:rsidRPr="00E03DFE" w:rsidRDefault="00E03DFE" w:rsidP="00E03DFE">
      <w:pPr>
        <w:spacing w:line="360" w:lineRule="auto"/>
        <w:jc w:val="both"/>
        <w:rPr>
          <w:rFonts w:ascii="Times New Roman" w:hAnsi="Times New Roman" w:cs="Times New Roman"/>
          <w:b/>
          <w:bCs/>
          <w:sz w:val="24"/>
        </w:rPr>
      </w:pPr>
      <w:r w:rsidRPr="00E03DFE">
        <w:rPr>
          <w:rFonts w:ascii="Times New Roman" w:hAnsi="Times New Roman" w:cs="Times New Roman"/>
          <w:b/>
          <w:bCs/>
          <w:sz w:val="24"/>
        </w:rPr>
        <w:t>Bangladesh</w:t>
      </w:r>
    </w:p>
    <w:p w14:paraId="52DA295C" w14:textId="0B49DCB8" w:rsidR="00E03DFE" w:rsidRDefault="00467BEE" w:rsidP="00E03DFE">
      <w:pPr>
        <w:spacing w:line="360" w:lineRule="auto"/>
        <w:jc w:val="both"/>
        <w:rPr>
          <w:rFonts w:ascii="Times New Roman" w:hAnsi="Times New Roman" w:cs="Times New Roman"/>
          <w:bCs/>
          <w:sz w:val="24"/>
        </w:rPr>
      </w:pPr>
      <w:r w:rsidRPr="00467BEE">
        <w:rPr>
          <w:rFonts w:ascii="Times New Roman" w:hAnsi="Times New Roman" w:cs="Times New Roman"/>
          <w:bCs/>
          <w:sz w:val="24"/>
        </w:rPr>
        <w:t xml:space="preserve">The score of Bangladesh is 80, which means that it has very high hierarchy acceptance. Employees want authoritative leadership, hierarchy and top-down decision making. It is culturally inappropriate to challenge managers and power is vested at high levels. The leaders are paternalistic and employees do not intend actions but follow orders. This high hierarchical orientation is reflected in the workplace </w:t>
      </w:r>
      <w:r w:rsidR="002D0138" w:rsidRPr="00467BEE">
        <w:rPr>
          <w:rFonts w:ascii="Times New Roman" w:hAnsi="Times New Roman" w:cs="Times New Roman"/>
          <w:bCs/>
          <w:sz w:val="24"/>
        </w:rPr>
        <w:t>behavior</w:t>
      </w:r>
      <w:r w:rsidRPr="00467BEE">
        <w:rPr>
          <w:rFonts w:ascii="Times New Roman" w:hAnsi="Times New Roman" w:cs="Times New Roman"/>
          <w:bCs/>
          <w:sz w:val="24"/>
        </w:rPr>
        <w:t xml:space="preserve"> as we</w:t>
      </w:r>
      <w:r>
        <w:rPr>
          <w:rFonts w:ascii="Times New Roman" w:hAnsi="Times New Roman" w:cs="Times New Roman"/>
          <w:bCs/>
          <w:sz w:val="24"/>
        </w:rPr>
        <w:t>ll as in the consumer relations</w:t>
      </w:r>
      <w:r w:rsidR="00E03DFE" w:rsidRPr="00E03DFE">
        <w:rPr>
          <w:rFonts w:ascii="Times New Roman" w:hAnsi="Times New Roman" w:cs="Times New Roman"/>
          <w:bCs/>
          <w:sz w:val="24"/>
        </w:rPr>
        <w:t>.</w:t>
      </w:r>
    </w:p>
    <w:p w14:paraId="16719C92" w14:textId="77777777" w:rsidR="00A0113F" w:rsidRPr="0031539D" w:rsidRDefault="0031539D" w:rsidP="00E03DFE">
      <w:pPr>
        <w:spacing w:line="360" w:lineRule="auto"/>
        <w:jc w:val="both"/>
        <w:rPr>
          <w:bCs/>
        </w:rPr>
      </w:pPr>
      <w:r w:rsidRPr="0031539D">
        <w:rPr>
          <w:rFonts w:ascii="Times New Roman" w:hAnsi="Times New Roman" w:cs="Times New Roman"/>
          <w:bCs/>
          <w:sz w:val="24"/>
        </w:rPr>
        <w:t>Power distance is highly impactful for Unilever in Bangladesh, as it directly shapes management style and necessitates hierarchical leadership to ensure operational effectiveness.</w:t>
      </w:r>
      <w:r>
        <w:rPr>
          <w:rFonts w:ascii="Times New Roman" w:hAnsi="Times New Roman" w:cs="Times New Roman"/>
          <w:bCs/>
          <w:sz w:val="24"/>
        </w:rPr>
        <w:t xml:space="preserve"> </w:t>
      </w:r>
      <w:r w:rsidR="00A0113F" w:rsidRPr="00A0113F">
        <w:rPr>
          <w:rFonts w:ascii="Times New Roman" w:hAnsi="Times New Roman" w:cs="Times New Roman"/>
          <w:bCs/>
          <w:sz w:val="24"/>
        </w:rPr>
        <w:t>Unilever’s wholly owned subsidiary enables hierarchical management in Bangladesh while maintaining participative practices in the UK.</w:t>
      </w:r>
      <w:r w:rsidRPr="0031539D">
        <w:rPr>
          <w:rFonts w:ascii="Times New Roman" w:hAnsi="Times New Roman" w:cs="Times New Roman"/>
          <w:bCs/>
          <w:sz w:val="24"/>
        </w:rPr>
        <w:t xml:space="preserve"> </w:t>
      </w:r>
    </w:p>
    <w:p w14:paraId="1F9040F7" w14:textId="77777777" w:rsidR="00E03DFE" w:rsidRPr="00E03DFE" w:rsidRDefault="00E03DFE" w:rsidP="00E03DFE">
      <w:pPr>
        <w:spacing w:line="360" w:lineRule="auto"/>
        <w:jc w:val="both"/>
        <w:rPr>
          <w:rFonts w:ascii="Times New Roman" w:hAnsi="Times New Roman" w:cs="Times New Roman"/>
          <w:b/>
          <w:bCs/>
          <w:sz w:val="24"/>
        </w:rPr>
      </w:pPr>
      <w:r w:rsidRPr="00E03DFE">
        <w:rPr>
          <w:rFonts w:ascii="Times New Roman" w:hAnsi="Times New Roman" w:cs="Times New Roman"/>
          <w:b/>
          <w:bCs/>
          <w:sz w:val="24"/>
        </w:rPr>
        <w:t>Individualism vs Collectivism</w:t>
      </w:r>
    </w:p>
    <w:p w14:paraId="7C1918D8" w14:textId="44323C1E" w:rsidR="00A0113F" w:rsidRPr="00E03DFE" w:rsidRDefault="00A0113F" w:rsidP="00E03DFE">
      <w:pPr>
        <w:spacing w:line="360" w:lineRule="auto"/>
        <w:jc w:val="both"/>
        <w:rPr>
          <w:rFonts w:ascii="Times New Roman" w:hAnsi="Times New Roman" w:cs="Times New Roman"/>
          <w:bCs/>
          <w:sz w:val="24"/>
        </w:rPr>
      </w:pPr>
      <w:r w:rsidRPr="00A0113F">
        <w:rPr>
          <w:rFonts w:ascii="Times New Roman" w:hAnsi="Times New Roman" w:cs="Times New Roman"/>
          <w:bCs/>
          <w:sz w:val="24"/>
        </w:rPr>
        <w:t xml:space="preserve">Individualism versus collectivism refers to the extent to which </w:t>
      </w:r>
      <w:proofErr w:type="gramStart"/>
      <w:r w:rsidRPr="00A0113F">
        <w:rPr>
          <w:rFonts w:ascii="Times New Roman" w:hAnsi="Times New Roman" w:cs="Times New Roman"/>
          <w:bCs/>
          <w:sz w:val="24"/>
        </w:rPr>
        <w:t>individuals</w:t>
      </w:r>
      <w:proofErr w:type="gramEnd"/>
      <w:r w:rsidRPr="00A0113F">
        <w:rPr>
          <w:rFonts w:ascii="Times New Roman" w:hAnsi="Times New Roman" w:cs="Times New Roman"/>
          <w:bCs/>
          <w:sz w:val="24"/>
        </w:rPr>
        <w:t xml:space="preserve"> </w:t>
      </w:r>
      <w:r w:rsidR="00FF0322" w:rsidRPr="00A0113F">
        <w:rPr>
          <w:rFonts w:ascii="Times New Roman" w:hAnsi="Times New Roman" w:cs="Times New Roman"/>
          <w:bCs/>
          <w:sz w:val="24"/>
        </w:rPr>
        <w:t>priorities</w:t>
      </w:r>
      <w:r w:rsidRPr="00A0113F">
        <w:rPr>
          <w:rFonts w:ascii="Times New Roman" w:hAnsi="Times New Roman" w:cs="Times New Roman"/>
          <w:bCs/>
          <w:sz w:val="24"/>
        </w:rPr>
        <w:t xml:space="preserve"> personal goals and independence over group loyalty, social harmony and collective responsibility (Hofst</w:t>
      </w:r>
      <w:r>
        <w:rPr>
          <w:rFonts w:ascii="Times New Roman" w:hAnsi="Times New Roman" w:cs="Times New Roman"/>
          <w:bCs/>
          <w:sz w:val="24"/>
        </w:rPr>
        <w:t xml:space="preserve">ede, Hofstede and </w:t>
      </w:r>
      <w:proofErr w:type="spellStart"/>
      <w:r>
        <w:rPr>
          <w:rFonts w:ascii="Times New Roman" w:hAnsi="Times New Roman" w:cs="Times New Roman"/>
          <w:bCs/>
          <w:sz w:val="24"/>
        </w:rPr>
        <w:t>Minkov</w:t>
      </w:r>
      <w:proofErr w:type="spellEnd"/>
      <w:r>
        <w:rPr>
          <w:rFonts w:ascii="Times New Roman" w:hAnsi="Times New Roman" w:cs="Times New Roman"/>
          <w:bCs/>
          <w:sz w:val="24"/>
        </w:rPr>
        <w:t>, 2010)</w:t>
      </w:r>
      <w:r w:rsidR="00E03DFE" w:rsidRPr="00E03DFE">
        <w:rPr>
          <w:rFonts w:ascii="Times New Roman" w:hAnsi="Times New Roman" w:cs="Times New Roman"/>
          <w:bCs/>
          <w:sz w:val="24"/>
        </w:rPr>
        <w:t>.</w:t>
      </w:r>
    </w:p>
    <w:p w14:paraId="69DB23DB" w14:textId="77777777" w:rsidR="00E03DFE" w:rsidRPr="00E03DFE" w:rsidRDefault="00E03DFE" w:rsidP="00E03DFE">
      <w:pPr>
        <w:spacing w:line="360" w:lineRule="auto"/>
        <w:jc w:val="both"/>
        <w:rPr>
          <w:rFonts w:ascii="Times New Roman" w:hAnsi="Times New Roman" w:cs="Times New Roman"/>
          <w:b/>
          <w:bCs/>
          <w:sz w:val="24"/>
        </w:rPr>
      </w:pPr>
      <w:r w:rsidRPr="00E03DFE">
        <w:rPr>
          <w:rFonts w:ascii="Times New Roman" w:hAnsi="Times New Roman" w:cs="Times New Roman"/>
          <w:b/>
          <w:bCs/>
          <w:sz w:val="24"/>
        </w:rPr>
        <w:t>United Kingdom</w:t>
      </w:r>
    </w:p>
    <w:p w14:paraId="16FB7F79" w14:textId="6466CD77" w:rsidR="00E03DFE" w:rsidRPr="00E03DFE" w:rsidRDefault="00467BEE" w:rsidP="00E03DFE">
      <w:pPr>
        <w:spacing w:line="360" w:lineRule="auto"/>
        <w:jc w:val="both"/>
        <w:rPr>
          <w:rFonts w:ascii="Times New Roman" w:hAnsi="Times New Roman" w:cs="Times New Roman"/>
          <w:bCs/>
          <w:sz w:val="24"/>
        </w:rPr>
      </w:pPr>
      <w:r w:rsidRPr="00467BEE">
        <w:rPr>
          <w:rFonts w:ascii="Times New Roman" w:hAnsi="Times New Roman" w:cs="Times New Roman"/>
          <w:bCs/>
          <w:sz w:val="24"/>
        </w:rPr>
        <w:t xml:space="preserve">The UK is very individualistic with the score of 76. Independence, personal success and </w:t>
      </w:r>
      <w:proofErr w:type="gramStart"/>
      <w:r w:rsidRPr="00467BEE">
        <w:rPr>
          <w:rFonts w:ascii="Times New Roman" w:hAnsi="Times New Roman" w:cs="Times New Roman"/>
          <w:bCs/>
          <w:sz w:val="24"/>
        </w:rPr>
        <w:t xml:space="preserve">self </w:t>
      </w:r>
      <w:r w:rsidR="00FF0322" w:rsidRPr="00467BEE">
        <w:rPr>
          <w:rFonts w:ascii="Times New Roman" w:hAnsi="Times New Roman" w:cs="Times New Roman"/>
          <w:bCs/>
          <w:sz w:val="24"/>
        </w:rPr>
        <w:t>realization</w:t>
      </w:r>
      <w:proofErr w:type="gramEnd"/>
      <w:r w:rsidRPr="00467BEE">
        <w:rPr>
          <w:rFonts w:ascii="Times New Roman" w:hAnsi="Times New Roman" w:cs="Times New Roman"/>
          <w:bCs/>
          <w:sz w:val="24"/>
        </w:rPr>
        <w:t xml:space="preserve"> are highly valued among people. </w:t>
      </w:r>
      <w:r w:rsidR="00FF0322" w:rsidRPr="00467BEE">
        <w:rPr>
          <w:rFonts w:ascii="Times New Roman" w:hAnsi="Times New Roman" w:cs="Times New Roman"/>
          <w:bCs/>
          <w:sz w:val="24"/>
        </w:rPr>
        <w:t>Organizations</w:t>
      </w:r>
      <w:r w:rsidRPr="00467BEE">
        <w:rPr>
          <w:rFonts w:ascii="Times New Roman" w:hAnsi="Times New Roman" w:cs="Times New Roman"/>
          <w:bCs/>
          <w:sz w:val="24"/>
        </w:rPr>
        <w:t xml:space="preserve"> focus on individual performance indicators, merit pay and individual responsibility. Marketing in UK often targets the personal benefits and personal identity (De </w:t>
      </w:r>
      <w:proofErr w:type="spellStart"/>
      <w:r w:rsidRPr="00467BEE">
        <w:rPr>
          <w:rFonts w:ascii="Times New Roman" w:hAnsi="Times New Roman" w:cs="Times New Roman"/>
          <w:bCs/>
          <w:sz w:val="24"/>
        </w:rPr>
        <w:t>Mooij</w:t>
      </w:r>
      <w:proofErr w:type="spellEnd"/>
      <w:r w:rsidRPr="00467BEE">
        <w:rPr>
          <w:rFonts w:ascii="Times New Roman" w:hAnsi="Times New Roman" w:cs="Times New Roman"/>
          <w:bCs/>
          <w:sz w:val="24"/>
        </w:rPr>
        <w:t xml:space="preserve"> and Hofstede, 2011). There is less obligation orientation in the social relationship and efficiency more than group cohesion i</w:t>
      </w:r>
      <w:r>
        <w:rPr>
          <w:rFonts w:ascii="Times New Roman" w:hAnsi="Times New Roman" w:cs="Times New Roman"/>
          <w:bCs/>
          <w:sz w:val="24"/>
        </w:rPr>
        <w:t>n the professional interactions</w:t>
      </w:r>
      <w:r w:rsidR="00E03DFE" w:rsidRPr="00E03DFE">
        <w:rPr>
          <w:rFonts w:ascii="Times New Roman" w:hAnsi="Times New Roman" w:cs="Times New Roman"/>
          <w:bCs/>
          <w:sz w:val="24"/>
        </w:rPr>
        <w:t>.</w:t>
      </w:r>
    </w:p>
    <w:p w14:paraId="4956028C" w14:textId="77777777" w:rsidR="00E03DFE" w:rsidRPr="00E03DFE" w:rsidRDefault="00E03DFE" w:rsidP="00E03DFE">
      <w:pPr>
        <w:spacing w:line="360" w:lineRule="auto"/>
        <w:jc w:val="both"/>
        <w:rPr>
          <w:rFonts w:ascii="Times New Roman" w:hAnsi="Times New Roman" w:cs="Times New Roman"/>
          <w:b/>
          <w:bCs/>
          <w:sz w:val="24"/>
        </w:rPr>
      </w:pPr>
      <w:r w:rsidRPr="00E03DFE">
        <w:rPr>
          <w:rFonts w:ascii="Times New Roman" w:hAnsi="Times New Roman" w:cs="Times New Roman"/>
          <w:b/>
          <w:bCs/>
          <w:sz w:val="24"/>
        </w:rPr>
        <w:t>Bangladesh</w:t>
      </w:r>
    </w:p>
    <w:p w14:paraId="03AC9A8B" w14:textId="327272DD" w:rsidR="00E03DFE" w:rsidRDefault="00467BEE" w:rsidP="00E03DFE">
      <w:pPr>
        <w:spacing w:line="360" w:lineRule="auto"/>
        <w:jc w:val="both"/>
        <w:rPr>
          <w:rFonts w:ascii="Times New Roman" w:hAnsi="Times New Roman" w:cs="Times New Roman"/>
          <w:bCs/>
          <w:sz w:val="24"/>
        </w:rPr>
      </w:pPr>
      <w:r w:rsidRPr="00467BEE">
        <w:rPr>
          <w:rFonts w:ascii="Times New Roman" w:hAnsi="Times New Roman" w:cs="Times New Roman"/>
          <w:bCs/>
          <w:sz w:val="24"/>
        </w:rPr>
        <w:t xml:space="preserve">Bangladesh has a score of 5, which means that it is one of the most collectivist cultures in the world. Family networks, community expectations and in-group loyalty influence social </w:t>
      </w:r>
      <w:r w:rsidR="00FF0322" w:rsidRPr="00467BEE">
        <w:rPr>
          <w:rFonts w:ascii="Times New Roman" w:hAnsi="Times New Roman" w:cs="Times New Roman"/>
          <w:bCs/>
          <w:sz w:val="24"/>
        </w:rPr>
        <w:t>behavior</w:t>
      </w:r>
      <w:r w:rsidRPr="00467BEE">
        <w:rPr>
          <w:rFonts w:ascii="Times New Roman" w:hAnsi="Times New Roman" w:cs="Times New Roman"/>
          <w:bCs/>
          <w:sz w:val="24"/>
        </w:rPr>
        <w:t>. Individual rewards are less effective as compared to teamwork and relational leadership. Employees value and embrace harmony and shun conflict, which are collectivistic values (Liu et al., 2020). The communal values also affect consumers in their decision making, preferring brands that give much focus to family, care and social bel</w:t>
      </w:r>
      <w:r>
        <w:rPr>
          <w:rFonts w:ascii="Times New Roman" w:hAnsi="Times New Roman" w:cs="Times New Roman"/>
          <w:bCs/>
          <w:sz w:val="24"/>
        </w:rPr>
        <w:t>onging</w:t>
      </w:r>
      <w:r w:rsidR="00E03DFE" w:rsidRPr="00E03DFE">
        <w:rPr>
          <w:rFonts w:ascii="Times New Roman" w:hAnsi="Times New Roman" w:cs="Times New Roman"/>
          <w:bCs/>
          <w:sz w:val="24"/>
        </w:rPr>
        <w:t>.</w:t>
      </w:r>
    </w:p>
    <w:p w14:paraId="0FB16645" w14:textId="77777777" w:rsidR="00A0113F" w:rsidRDefault="0031539D" w:rsidP="00E03DFE">
      <w:pPr>
        <w:spacing w:line="360" w:lineRule="auto"/>
        <w:jc w:val="both"/>
        <w:rPr>
          <w:rFonts w:ascii="Times New Roman" w:hAnsi="Times New Roman" w:cs="Times New Roman"/>
          <w:bCs/>
          <w:sz w:val="24"/>
        </w:rPr>
      </w:pPr>
      <w:r w:rsidRPr="0031539D">
        <w:rPr>
          <w:rFonts w:ascii="Times New Roman" w:hAnsi="Times New Roman" w:cs="Times New Roman"/>
          <w:bCs/>
          <w:sz w:val="24"/>
        </w:rPr>
        <w:t>Collectivism significantly affects Unilever’s operations in Bangladesh by shaping HR practices and requiring team-oriented management to achieve market success.</w:t>
      </w:r>
      <w:r>
        <w:rPr>
          <w:rFonts w:ascii="Times New Roman" w:hAnsi="Times New Roman" w:cs="Times New Roman"/>
          <w:bCs/>
          <w:sz w:val="24"/>
        </w:rPr>
        <w:t xml:space="preserve"> </w:t>
      </w:r>
      <w:r w:rsidR="00A0113F" w:rsidRPr="00A0113F">
        <w:rPr>
          <w:rFonts w:ascii="Times New Roman" w:hAnsi="Times New Roman" w:cs="Times New Roman"/>
          <w:bCs/>
          <w:sz w:val="24"/>
        </w:rPr>
        <w:t>Full ownership allows Unilever to apply individual performance systems in the UK and team-based HR practices in collectivist Bangladesh.</w:t>
      </w:r>
    </w:p>
    <w:p w14:paraId="23AD1925" w14:textId="77777777" w:rsidR="0031539D" w:rsidRPr="00E03DFE" w:rsidRDefault="0031539D" w:rsidP="00E03DFE">
      <w:pPr>
        <w:spacing w:line="360" w:lineRule="auto"/>
        <w:jc w:val="both"/>
        <w:rPr>
          <w:rFonts w:ascii="Times New Roman" w:hAnsi="Times New Roman" w:cs="Times New Roman"/>
          <w:bCs/>
          <w:sz w:val="24"/>
        </w:rPr>
      </w:pPr>
    </w:p>
    <w:p w14:paraId="42AA5D22" w14:textId="77777777" w:rsidR="00E03DFE" w:rsidRPr="00E03DFE" w:rsidRDefault="00E03DFE" w:rsidP="00E03DFE">
      <w:pPr>
        <w:spacing w:line="360" w:lineRule="auto"/>
        <w:jc w:val="both"/>
        <w:rPr>
          <w:rFonts w:ascii="Times New Roman" w:hAnsi="Times New Roman" w:cs="Times New Roman"/>
          <w:b/>
          <w:bCs/>
          <w:sz w:val="24"/>
        </w:rPr>
      </w:pPr>
      <w:r w:rsidRPr="00E03DFE">
        <w:rPr>
          <w:rFonts w:ascii="Times New Roman" w:hAnsi="Times New Roman" w:cs="Times New Roman"/>
          <w:b/>
          <w:bCs/>
          <w:sz w:val="24"/>
        </w:rPr>
        <w:t>Uncertainty Avoidance</w:t>
      </w:r>
    </w:p>
    <w:p w14:paraId="1CC3C023" w14:textId="77777777" w:rsidR="00E03DFE" w:rsidRPr="00E03DFE" w:rsidRDefault="00A0113F" w:rsidP="00E03DFE">
      <w:pPr>
        <w:spacing w:line="360" w:lineRule="auto"/>
        <w:jc w:val="both"/>
        <w:rPr>
          <w:rFonts w:ascii="Times New Roman" w:hAnsi="Times New Roman" w:cs="Times New Roman"/>
          <w:bCs/>
          <w:sz w:val="24"/>
        </w:rPr>
      </w:pPr>
      <w:r w:rsidRPr="00A0113F">
        <w:rPr>
          <w:rFonts w:ascii="Times New Roman" w:hAnsi="Times New Roman" w:cs="Times New Roman"/>
          <w:bCs/>
          <w:sz w:val="24"/>
        </w:rPr>
        <w:t xml:space="preserve">Uncertainty avoidance describes the degree to which members of a culture feel uncomfortable with ambiguity and uncertainty, leading to a preference for rules, structure and </w:t>
      </w:r>
      <w:r>
        <w:rPr>
          <w:rFonts w:ascii="Times New Roman" w:hAnsi="Times New Roman" w:cs="Times New Roman"/>
          <w:bCs/>
          <w:sz w:val="24"/>
        </w:rPr>
        <w:t>predictability (Hofstede, 2001)</w:t>
      </w:r>
      <w:r w:rsidR="00E03DFE" w:rsidRPr="00E03DFE">
        <w:rPr>
          <w:rFonts w:ascii="Times New Roman" w:hAnsi="Times New Roman" w:cs="Times New Roman"/>
          <w:bCs/>
          <w:sz w:val="24"/>
        </w:rPr>
        <w:t>.</w:t>
      </w:r>
    </w:p>
    <w:p w14:paraId="1CAECFF1" w14:textId="77777777" w:rsidR="00E03DFE" w:rsidRPr="00E03DFE" w:rsidRDefault="00E03DFE" w:rsidP="00E03DFE">
      <w:pPr>
        <w:spacing w:line="360" w:lineRule="auto"/>
        <w:jc w:val="both"/>
        <w:rPr>
          <w:rFonts w:ascii="Times New Roman" w:hAnsi="Times New Roman" w:cs="Times New Roman"/>
          <w:b/>
          <w:bCs/>
          <w:sz w:val="24"/>
        </w:rPr>
      </w:pPr>
      <w:r w:rsidRPr="00E03DFE">
        <w:rPr>
          <w:rFonts w:ascii="Times New Roman" w:hAnsi="Times New Roman" w:cs="Times New Roman"/>
          <w:b/>
          <w:bCs/>
          <w:sz w:val="24"/>
        </w:rPr>
        <w:t>United Kingdom</w:t>
      </w:r>
    </w:p>
    <w:p w14:paraId="796C0021" w14:textId="77777777" w:rsidR="00E03DFE" w:rsidRPr="00E03DFE" w:rsidRDefault="00E03DFE" w:rsidP="00E03DFE">
      <w:pPr>
        <w:spacing w:line="360" w:lineRule="auto"/>
        <w:jc w:val="both"/>
        <w:rPr>
          <w:rFonts w:ascii="Times New Roman" w:hAnsi="Times New Roman" w:cs="Times New Roman"/>
          <w:bCs/>
          <w:sz w:val="24"/>
        </w:rPr>
      </w:pPr>
      <w:r w:rsidRPr="00E03DFE">
        <w:rPr>
          <w:rFonts w:ascii="Times New Roman" w:hAnsi="Times New Roman" w:cs="Times New Roman"/>
          <w:bCs/>
          <w:sz w:val="24"/>
        </w:rPr>
        <w:t>The UK’s score of 35 indicates relatively low uncertainty avoidance. British consumers and employees are more open to innovation, flexible procedures and ambiguity. Change is generally viewed positively, and workplaces tolerate diverse approaches to problem-solving. People rely less on rigid rules and adapt quickly to evolving conditions.</w:t>
      </w:r>
    </w:p>
    <w:p w14:paraId="3F4DD8F1" w14:textId="77777777" w:rsidR="00E03DFE" w:rsidRPr="00E03DFE" w:rsidRDefault="00E03DFE" w:rsidP="00E03DFE">
      <w:pPr>
        <w:spacing w:line="360" w:lineRule="auto"/>
        <w:jc w:val="both"/>
        <w:rPr>
          <w:rFonts w:ascii="Times New Roman" w:hAnsi="Times New Roman" w:cs="Times New Roman"/>
          <w:b/>
          <w:bCs/>
          <w:sz w:val="24"/>
        </w:rPr>
      </w:pPr>
      <w:r w:rsidRPr="00E03DFE">
        <w:rPr>
          <w:rFonts w:ascii="Times New Roman" w:hAnsi="Times New Roman" w:cs="Times New Roman"/>
          <w:b/>
          <w:bCs/>
          <w:sz w:val="24"/>
        </w:rPr>
        <w:t>Bangladesh</w:t>
      </w:r>
    </w:p>
    <w:p w14:paraId="28885F35" w14:textId="30D36F2A" w:rsidR="00E03DFE" w:rsidRDefault="00467BEE" w:rsidP="00E03DFE">
      <w:pPr>
        <w:spacing w:line="360" w:lineRule="auto"/>
        <w:jc w:val="both"/>
        <w:rPr>
          <w:rFonts w:ascii="Times New Roman" w:hAnsi="Times New Roman" w:cs="Times New Roman"/>
          <w:bCs/>
          <w:sz w:val="24"/>
        </w:rPr>
      </w:pPr>
      <w:r w:rsidRPr="00467BEE">
        <w:rPr>
          <w:rFonts w:ascii="Times New Roman" w:hAnsi="Times New Roman" w:cs="Times New Roman"/>
          <w:bCs/>
          <w:sz w:val="24"/>
        </w:rPr>
        <w:t xml:space="preserve">Bangladesh has a score of 60 which represents moderately high uncertainty avoidance. Customers like security, familiar brands and dependability. They are apprehensive about new products and they depend a lot on word of mouth. In </w:t>
      </w:r>
      <w:r w:rsidR="008A2851" w:rsidRPr="00467BEE">
        <w:rPr>
          <w:rFonts w:ascii="Times New Roman" w:hAnsi="Times New Roman" w:cs="Times New Roman"/>
          <w:bCs/>
          <w:sz w:val="24"/>
        </w:rPr>
        <w:t>organizations</w:t>
      </w:r>
      <w:r w:rsidRPr="00467BEE">
        <w:rPr>
          <w:rFonts w:ascii="Times New Roman" w:hAnsi="Times New Roman" w:cs="Times New Roman"/>
          <w:bCs/>
          <w:sz w:val="24"/>
        </w:rPr>
        <w:t>, employees prefer routine jobs, direction and clear expectations (Liu et al., 2020). Such cultural inclination helps in good bra</w:t>
      </w:r>
      <w:r>
        <w:rPr>
          <w:rFonts w:ascii="Times New Roman" w:hAnsi="Times New Roman" w:cs="Times New Roman"/>
          <w:bCs/>
          <w:sz w:val="24"/>
        </w:rPr>
        <w:t>nd loyalty in the FMCG industry</w:t>
      </w:r>
      <w:r w:rsidR="00E03DFE" w:rsidRPr="00E03DFE">
        <w:rPr>
          <w:rFonts w:ascii="Times New Roman" w:hAnsi="Times New Roman" w:cs="Times New Roman"/>
          <w:bCs/>
          <w:sz w:val="24"/>
        </w:rPr>
        <w:t>.</w:t>
      </w:r>
    </w:p>
    <w:p w14:paraId="12B93CF0" w14:textId="42863D88" w:rsidR="00A0113F" w:rsidRPr="00E03DFE" w:rsidRDefault="0031539D" w:rsidP="00E03DFE">
      <w:pPr>
        <w:spacing w:line="360" w:lineRule="auto"/>
        <w:jc w:val="both"/>
        <w:rPr>
          <w:rFonts w:ascii="Times New Roman" w:hAnsi="Times New Roman" w:cs="Times New Roman"/>
          <w:bCs/>
          <w:sz w:val="24"/>
        </w:rPr>
      </w:pPr>
      <w:r w:rsidRPr="0031539D">
        <w:rPr>
          <w:rFonts w:ascii="Times New Roman" w:hAnsi="Times New Roman" w:cs="Times New Roman"/>
          <w:bCs/>
          <w:sz w:val="24"/>
        </w:rPr>
        <w:t xml:space="preserve">Uncertainty avoidance strongly influences consumer trust in Bangladesh, requiring Unilever to </w:t>
      </w:r>
      <w:r w:rsidR="00C30CAE" w:rsidRPr="0031539D">
        <w:rPr>
          <w:rFonts w:ascii="Times New Roman" w:hAnsi="Times New Roman" w:cs="Times New Roman"/>
          <w:bCs/>
          <w:sz w:val="24"/>
        </w:rPr>
        <w:t>priorities</w:t>
      </w:r>
      <w:r w:rsidRPr="0031539D">
        <w:rPr>
          <w:rFonts w:ascii="Times New Roman" w:hAnsi="Times New Roman" w:cs="Times New Roman"/>
          <w:bCs/>
          <w:sz w:val="24"/>
        </w:rPr>
        <w:t xml:space="preserve"> consistent, trust-based branding strategies.</w:t>
      </w:r>
      <w:r>
        <w:rPr>
          <w:rFonts w:ascii="Times New Roman" w:hAnsi="Times New Roman" w:cs="Times New Roman"/>
          <w:bCs/>
          <w:sz w:val="24"/>
        </w:rPr>
        <w:t xml:space="preserve"> </w:t>
      </w:r>
      <w:r w:rsidR="00A0113F" w:rsidRPr="00A0113F">
        <w:rPr>
          <w:rFonts w:ascii="Times New Roman" w:hAnsi="Times New Roman" w:cs="Times New Roman"/>
          <w:bCs/>
          <w:sz w:val="24"/>
        </w:rPr>
        <w:t>Unilever’s high-control entry mode ensures consistent quality and trust-based branding for uncertainty-averse Bangladeshi consumers</w:t>
      </w:r>
      <w:r w:rsidR="00A0113F">
        <w:rPr>
          <w:rFonts w:ascii="Times New Roman" w:hAnsi="Times New Roman" w:cs="Times New Roman"/>
          <w:bCs/>
          <w:sz w:val="24"/>
        </w:rPr>
        <w:t>.</w:t>
      </w:r>
    </w:p>
    <w:p w14:paraId="67637E01" w14:textId="77777777" w:rsidR="00E03DFE" w:rsidRPr="00E03DFE" w:rsidRDefault="00E03DFE" w:rsidP="00E03DFE">
      <w:pPr>
        <w:spacing w:line="360" w:lineRule="auto"/>
        <w:jc w:val="both"/>
        <w:rPr>
          <w:rFonts w:ascii="Times New Roman" w:hAnsi="Times New Roman" w:cs="Times New Roman"/>
          <w:b/>
          <w:bCs/>
          <w:sz w:val="24"/>
        </w:rPr>
      </w:pPr>
      <w:r w:rsidRPr="00E03DFE">
        <w:rPr>
          <w:rFonts w:ascii="Times New Roman" w:hAnsi="Times New Roman" w:cs="Times New Roman"/>
          <w:b/>
          <w:bCs/>
          <w:sz w:val="24"/>
        </w:rPr>
        <w:t>Masculinity vs Femininity</w:t>
      </w:r>
    </w:p>
    <w:p w14:paraId="6EE5DCC1" w14:textId="3BD2D3A8" w:rsidR="00E03DFE" w:rsidRPr="00E03DFE" w:rsidRDefault="00A0113F" w:rsidP="00E03DFE">
      <w:pPr>
        <w:spacing w:line="360" w:lineRule="auto"/>
        <w:jc w:val="both"/>
        <w:rPr>
          <w:rFonts w:ascii="Times New Roman" w:hAnsi="Times New Roman" w:cs="Times New Roman"/>
          <w:bCs/>
          <w:sz w:val="24"/>
        </w:rPr>
      </w:pPr>
      <w:r w:rsidRPr="00A0113F">
        <w:rPr>
          <w:rFonts w:ascii="Times New Roman" w:hAnsi="Times New Roman" w:cs="Times New Roman"/>
          <w:bCs/>
          <w:sz w:val="24"/>
        </w:rPr>
        <w:t xml:space="preserve">Masculinity versus femininity reflects whether a society </w:t>
      </w:r>
      <w:r w:rsidR="00C30CAE" w:rsidRPr="00A0113F">
        <w:rPr>
          <w:rFonts w:ascii="Times New Roman" w:hAnsi="Times New Roman" w:cs="Times New Roman"/>
          <w:bCs/>
          <w:sz w:val="24"/>
        </w:rPr>
        <w:t>emphasizes</w:t>
      </w:r>
      <w:r w:rsidRPr="00A0113F">
        <w:rPr>
          <w:rFonts w:ascii="Times New Roman" w:hAnsi="Times New Roman" w:cs="Times New Roman"/>
          <w:bCs/>
          <w:sz w:val="24"/>
        </w:rPr>
        <w:t xml:space="preserve"> competitiveness, achievement and success or values cooperation, care for others and quality of life (Hofstede, Hofstede and </w:t>
      </w:r>
      <w:proofErr w:type="spellStart"/>
      <w:r w:rsidRPr="00A0113F">
        <w:rPr>
          <w:rFonts w:ascii="Times New Roman" w:hAnsi="Times New Roman" w:cs="Times New Roman"/>
          <w:bCs/>
          <w:sz w:val="24"/>
        </w:rPr>
        <w:t>Minkov</w:t>
      </w:r>
      <w:proofErr w:type="spellEnd"/>
      <w:r w:rsidRPr="00A0113F">
        <w:rPr>
          <w:rFonts w:ascii="Times New Roman" w:hAnsi="Times New Roman" w:cs="Times New Roman"/>
          <w:bCs/>
          <w:sz w:val="24"/>
        </w:rPr>
        <w:t>, 2010).</w:t>
      </w:r>
    </w:p>
    <w:p w14:paraId="0352C3A4" w14:textId="77777777" w:rsidR="00E03DFE" w:rsidRPr="00E03DFE" w:rsidRDefault="00E03DFE" w:rsidP="00E03DFE">
      <w:pPr>
        <w:spacing w:line="360" w:lineRule="auto"/>
        <w:jc w:val="both"/>
        <w:rPr>
          <w:rFonts w:ascii="Times New Roman" w:hAnsi="Times New Roman" w:cs="Times New Roman"/>
          <w:b/>
          <w:bCs/>
          <w:sz w:val="24"/>
        </w:rPr>
      </w:pPr>
      <w:r w:rsidRPr="00E03DFE">
        <w:rPr>
          <w:rFonts w:ascii="Times New Roman" w:hAnsi="Times New Roman" w:cs="Times New Roman"/>
          <w:b/>
          <w:bCs/>
          <w:sz w:val="24"/>
        </w:rPr>
        <w:t>United Kingdom</w:t>
      </w:r>
    </w:p>
    <w:p w14:paraId="192810DF" w14:textId="6261351B" w:rsidR="00E03DFE" w:rsidRPr="00E03DFE" w:rsidRDefault="00467BEE" w:rsidP="00E03DFE">
      <w:pPr>
        <w:spacing w:line="360" w:lineRule="auto"/>
        <w:jc w:val="both"/>
        <w:rPr>
          <w:rFonts w:ascii="Times New Roman" w:hAnsi="Times New Roman" w:cs="Times New Roman"/>
          <w:bCs/>
          <w:sz w:val="24"/>
        </w:rPr>
      </w:pPr>
      <w:r w:rsidRPr="00467BEE">
        <w:rPr>
          <w:rFonts w:ascii="Times New Roman" w:hAnsi="Times New Roman" w:cs="Times New Roman"/>
          <w:bCs/>
          <w:sz w:val="24"/>
        </w:rPr>
        <w:t xml:space="preserve">UK has a score of 66, which means that it has a moderate masculine culture. Work places focus on achievement, performance, aggressive communication and ambition. Competition is perceived to be healthy and achievement is gauged on visible achievements. Personal success, differentiation, and confidence are also </w:t>
      </w:r>
      <w:r w:rsidR="00C30CAE" w:rsidRPr="00467BEE">
        <w:rPr>
          <w:rFonts w:ascii="Times New Roman" w:hAnsi="Times New Roman" w:cs="Times New Roman"/>
          <w:bCs/>
          <w:sz w:val="24"/>
        </w:rPr>
        <w:t>emphasize</w:t>
      </w:r>
      <w:r w:rsidR="00C30CAE">
        <w:rPr>
          <w:rFonts w:ascii="Times New Roman" w:hAnsi="Times New Roman" w:cs="Times New Roman"/>
          <w:bCs/>
          <w:sz w:val="24"/>
        </w:rPr>
        <w:t>d</w:t>
      </w:r>
      <w:r>
        <w:rPr>
          <w:rFonts w:ascii="Times New Roman" w:hAnsi="Times New Roman" w:cs="Times New Roman"/>
          <w:bCs/>
          <w:sz w:val="24"/>
        </w:rPr>
        <w:t xml:space="preserve"> in marketing (De </w:t>
      </w:r>
      <w:proofErr w:type="spellStart"/>
      <w:r>
        <w:rPr>
          <w:rFonts w:ascii="Times New Roman" w:hAnsi="Times New Roman" w:cs="Times New Roman"/>
          <w:bCs/>
          <w:sz w:val="24"/>
        </w:rPr>
        <w:t>Mooij</w:t>
      </w:r>
      <w:proofErr w:type="spellEnd"/>
      <w:r>
        <w:rPr>
          <w:rFonts w:ascii="Times New Roman" w:hAnsi="Times New Roman" w:cs="Times New Roman"/>
          <w:bCs/>
          <w:sz w:val="24"/>
        </w:rPr>
        <w:t>, 2021)</w:t>
      </w:r>
      <w:r w:rsidR="00E03DFE" w:rsidRPr="00E03DFE">
        <w:rPr>
          <w:rFonts w:ascii="Times New Roman" w:hAnsi="Times New Roman" w:cs="Times New Roman"/>
          <w:bCs/>
          <w:sz w:val="24"/>
        </w:rPr>
        <w:t>.</w:t>
      </w:r>
    </w:p>
    <w:p w14:paraId="311BE786" w14:textId="77777777" w:rsidR="00E03DFE" w:rsidRPr="00E03DFE" w:rsidRDefault="00E03DFE" w:rsidP="00E03DFE">
      <w:pPr>
        <w:spacing w:line="360" w:lineRule="auto"/>
        <w:jc w:val="both"/>
        <w:rPr>
          <w:rFonts w:ascii="Times New Roman" w:hAnsi="Times New Roman" w:cs="Times New Roman"/>
          <w:b/>
          <w:bCs/>
          <w:sz w:val="24"/>
        </w:rPr>
      </w:pPr>
      <w:r w:rsidRPr="00E03DFE">
        <w:rPr>
          <w:rFonts w:ascii="Times New Roman" w:hAnsi="Times New Roman" w:cs="Times New Roman"/>
          <w:b/>
          <w:bCs/>
          <w:sz w:val="24"/>
        </w:rPr>
        <w:t>Bangladesh</w:t>
      </w:r>
    </w:p>
    <w:p w14:paraId="168DC61D" w14:textId="02891FA6" w:rsidR="00E03DFE" w:rsidRPr="00A0113F" w:rsidRDefault="00467BEE" w:rsidP="00E03DFE">
      <w:pPr>
        <w:spacing w:line="360" w:lineRule="auto"/>
        <w:jc w:val="both"/>
        <w:rPr>
          <w:rFonts w:ascii="Times New Roman" w:hAnsi="Times New Roman" w:cs="Times New Roman"/>
          <w:bCs/>
          <w:sz w:val="24"/>
        </w:rPr>
      </w:pPr>
      <w:r w:rsidRPr="00467BEE">
        <w:rPr>
          <w:rFonts w:ascii="Times New Roman" w:hAnsi="Times New Roman" w:cs="Times New Roman"/>
          <w:bCs/>
          <w:sz w:val="24"/>
        </w:rPr>
        <w:t>Bangladesh is rated 55 indicating that they are balanced with a feminine orientation, albeit to a small degree. Cultural values focus on humility, nurturing, understanding and upholding peace. Human beings prefer to cooperate than to compete, and emotionally or family-focused marketing is more likely to reach deeper into the consumer (</w:t>
      </w:r>
      <w:proofErr w:type="spellStart"/>
      <w:r w:rsidRPr="00467BEE">
        <w:rPr>
          <w:rFonts w:ascii="Times New Roman" w:hAnsi="Times New Roman" w:cs="Times New Roman"/>
          <w:bCs/>
          <w:sz w:val="24"/>
        </w:rPr>
        <w:t>Morshed</w:t>
      </w:r>
      <w:proofErr w:type="spellEnd"/>
      <w:r w:rsidRPr="00467BEE">
        <w:rPr>
          <w:rFonts w:ascii="Times New Roman" w:hAnsi="Times New Roman" w:cs="Times New Roman"/>
          <w:bCs/>
          <w:sz w:val="24"/>
        </w:rPr>
        <w:t xml:space="preserve"> and </w:t>
      </w:r>
      <w:proofErr w:type="spellStart"/>
      <w:r w:rsidRPr="00467BEE">
        <w:rPr>
          <w:rFonts w:ascii="Times New Roman" w:hAnsi="Times New Roman" w:cs="Times New Roman"/>
          <w:bCs/>
          <w:sz w:val="24"/>
        </w:rPr>
        <w:t>Hoque</w:t>
      </w:r>
      <w:proofErr w:type="spellEnd"/>
      <w:r w:rsidRPr="00467BEE">
        <w:rPr>
          <w:rFonts w:ascii="Times New Roman" w:hAnsi="Times New Roman" w:cs="Times New Roman"/>
          <w:bCs/>
          <w:sz w:val="24"/>
        </w:rPr>
        <w:t xml:space="preserve">, 2025). Relational focus of the society leads to branding strategies that </w:t>
      </w:r>
      <w:r w:rsidR="00C30CAE" w:rsidRPr="00467BEE">
        <w:rPr>
          <w:rFonts w:ascii="Times New Roman" w:hAnsi="Times New Roman" w:cs="Times New Roman"/>
          <w:bCs/>
          <w:sz w:val="24"/>
        </w:rPr>
        <w:t>emphasize</w:t>
      </w:r>
      <w:r w:rsidRPr="00467BEE">
        <w:rPr>
          <w:rFonts w:ascii="Times New Roman" w:hAnsi="Times New Roman" w:cs="Times New Roman"/>
          <w:bCs/>
          <w:sz w:val="24"/>
        </w:rPr>
        <w:t xml:space="preserve"> on warmth, togethernes</w:t>
      </w:r>
      <w:r>
        <w:rPr>
          <w:rFonts w:ascii="Times New Roman" w:hAnsi="Times New Roman" w:cs="Times New Roman"/>
          <w:bCs/>
          <w:sz w:val="24"/>
        </w:rPr>
        <w:t xml:space="preserve">s and well-being of </w:t>
      </w:r>
      <w:r w:rsidRPr="00A0113F">
        <w:rPr>
          <w:rFonts w:ascii="Times New Roman" w:hAnsi="Times New Roman" w:cs="Times New Roman"/>
          <w:bCs/>
          <w:sz w:val="24"/>
        </w:rPr>
        <w:t>the society</w:t>
      </w:r>
      <w:r w:rsidR="00E03DFE" w:rsidRPr="00A0113F">
        <w:rPr>
          <w:rFonts w:ascii="Times New Roman" w:hAnsi="Times New Roman" w:cs="Times New Roman"/>
          <w:bCs/>
          <w:sz w:val="24"/>
        </w:rPr>
        <w:t>.</w:t>
      </w:r>
    </w:p>
    <w:p w14:paraId="57F6167C" w14:textId="77777777" w:rsidR="00A0113F" w:rsidRPr="00E03DFE" w:rsidRDefault="00A0113F" w:rsidP="00E03DFE">
      <w:pPr>
        <w:spacing w:line="360" w:lineRule="auto"/>
        <w:jc w:val="both"/>
        <w:rPr>
          <w:rFonts w:ascii="Times New Roman" w:hAnsi="Times New Roman" w:cs="Times New Roman"/>
          <w:bCs/>
          <w:sz w:val="24"/>
        </w:rPr>
      </w:pPr>
      <w:r w:rsidRPr="00A0113F">
        <w:rPr>
          <w:rFonts w:ascii="Times New Roman" w:hAnsi="Times New Roman" w:cs="Times New Roman"/>
          <w:bCs/>
          <w:sz w:val="24"/>
        </w:rPr>
        <w:t>The subsidiary structure supports Unilever’s long-term sustainability and community engagement strategies in Bangladesh.</w:t>
      </w:r>
    </w:p>
    <w:p w14:paraId="16C9659F" w14:textId="77777777" w:rsidR="00E03DFE" w:rsidRPr="00E03DFE" w:rsidRDefault="00E03DFE" w:rsidP="00E03DFE">
      <w:pPr>
        <w:spacing w:line="360" w:lineRule="auto"/>
        <w:jc w:val="both"/>
        <w:rPr>
          <w:rFonts w:ascii="Times New Roman" w:hAnsi="Times New Roman" w:cs="Times New Roman"/>
          <w:b/>
          <w:bCs/>
          <w:sz w:val="24"/>
        </w:rPr>
      </w:pPr>
      <w:r w:rsidRPr="00E03DFE">
        <w:rPr>
          <w:rFonts w:ascii="Times New Roman" w:hAnsi="Times New Roman" w:cs="Times New Roman"/>
          <w:b/>
          <w:bCs/>
          <w:sz w:val="24"/>
        </w:rPr>
        <w:t>Long-Term Orientation</w:t>
      </w:r>
    </w:p>
    <w:p w14:paraId="474C3EAE" w14:textId="6CD0AEDC" w:rsidR="00E03DFE" w:rsidRPr="00E03DFE" w:rsidRDefault="00A0113F" w:rsidP="00E03DFE">
      <w:pPr>
        <w:spacing w:line="360" w:lineRule="auto"/>
        <w:jc w:val="both"/>
        <w:rPr>
          <w:rFonts w:ascii="Times New Roman" w:hAnsi="Times New Roman" w:cs="Times New Roman"/>
          <w:bCs/>
          <w:sz w:val="24"/>
        </w:rPr>
      </w:pPr>
      <w:r w:rsidRPr="00A0113F">
        <w:rPr>
          <w:rFonts w:ascii="Times New Roman" w:hAnsi="Times New Roman" w:cs="Times New Roman"/>
          <w:bCs/>
          <w:sz w:val="24"/>
        </w:rPr>
        <w:t xml:space="preserve">Long-term orientation indicates the extent to which a culture values future-oriented </w:t>
      </w:r>
      <w:r w:rsidR="005744DE" w:rsidRPr="00A0113F">
        <w:rPr>
          <w:rFonts w:ascii="Times New Roman" w:hAnsi="Times New Roman" w:cs="Times New Roman"/>
          <w:bCs/>
          <w:sz w:val="24"/>
        </w:rPr>
        <w:t>behaviors</w:t>
      </w:r>
      <w:r w:rsidRPr="00A0113F">
        <w:rPr>
          <w:rFonts w:ascii="Times New Roman" w:hAnsi="Times New Roman" w:cs="Times New Roman"/>
          <w:bCs/>
          <w:sz w:val="24"/>
        </w:rPr>
        <w:t xml:space="preserve"> such as perseverance, adaptability and long-term planning rather than short-term results and tradi</w:t>
      </w:r>
      <w:r>
        <w:rPr>
          <w:rFonts w:ascii="Times New Roman" w:hAnsi="Times New Roman" w:cs="Times New Roman"/>
          <w:bCs/>
          <w:sz w:val="24"/>
        </w:rPr>
        <w:t>tions (Hofstede and Bond, 1988)</w:t>
      </w:r>
      <w:r w:rsidR="00E03DFE" w:rsidRPr="00E03DFE">
        <w:rPr>
          <w:rFonts w:ascii="Times New Roman" w:hAnsi="Times New Roman" w:cs="Times New Roman"/>
          <w:bCs/>
          <w:sz w:val="24"/>
        </w:rPr>
        <w:t>.</w:t>
      </w:r>
    </w:p>
    <w:p w14:paraId="530D82B6" w14:textId="77777777" w:rsidR="00E03DFE" w:rsidRPr="00E03DFE" w:rsidRDefault="00E03DFE" w:rsidP="00E03DFE">
      <w:pPr>
        <w:spacing w:line="360" w:lineRule="auto"/>
        <w:jc w:val="both"/>
        <w:rPr>
          <w:rFonts w:ascii="Times New Roman" w:hAnsi="Times New Roman" w:cs="Times New Roman"/>
          <w:b/>
          <w:bCs/>
          <w:sz w:val="24"/>
        </w:rPr>
      </w:pPr>
      <w:r w:rsidRPr="00E03DFE">
        <w:rPr>
          <w:rFonts w:ascii="Times New Roman" w:hAnsi="Times New Roman" w:cs="Times New Roman"/>
          <w:b/>
          <w:bCs/>
          <w:sz w:val="24"/>
        </w:rPr>
        <w:t>United Kingdom</w:t>
      </w:r>
    </w:p>
    <w:p w14:paraId="485C505D" w14:textId="77777777" w:rsidR="00E03DFE" w:rsidRPr="00E03DFE" w:rsidRDefault="008A0226" w:rsidP="00E03DFE">
      <w:pPr>
        <w:spacing w:line="360" w:lineRule="auto"/>
        <w:jc w:val="both"/>
        <w:rPr>
          <w:rFonts w:ascii="Times New Roman" w:hAnsi="Times New Roman" w:cs="Times New Roman"/>
          <w:bCs/>
          <w:sz w:val="24"/>
        </w:rPr>
      </w:pPr>
      <w:r w:rsidRPr="008A0226">
        <w:rPr>
          <w:rFonts w:ascii="Times New Roman" w:hAnsi="Times New Roman" w:cs="Times New Roman"/>
          <w:bCs/>
          <w:sz w:val="24"/>
        </w:rPr>
        <w:t xml:space="preserve">The UK score is 51 which indicates a comparatively </w:t>
      </w:r>
      <w:proofErr w:type="gramStart"/>
      <w:r w:rsidRPr="008A0226">
        <w:rPr>
          <w:rFonts w:ascii="Times New Roman" w:hAnsi="Times New Roman" w:cs="Times New Roman"/>
          <w:bCs/>
          <w:sz w:val="24"/>
        </w:rPr>
        <w:t>short term</w:t>
      </w:r>
      <w:proofErr w:type="gramEnd"/>
      <w:r w:rsidRPr="008A0226">
        <w:rPr>
          <w:rFonts w:ascii="Times New Roman" w:hAnsi="Times New Roman" w:cs="Times New Roman"/>
          <w:bCs/>
          <w:sz w:val="24"/>
        </w:rPr>
        <w:t xml:space="preserve"> normative orientation. Consumers appreciate instant outcomes, directness and effectiveness. The businesses are more inclined to short planning cycles, fast RO</w:t>
      </w:r>
      <w:r>
        <w:rPr>
          <w:rFonts w:ascii="Times New Roman" w:hAnsi="Times New Roman" w:cs="Times New Roman"/>
          <w:bCs/>
          <w:sz w:val="24"/>
        </w:rPr>
        <w:t>I and indicators of performance</w:t>
      </w:r>
      <w:r w:rsidR="00E03DFE" w:rsidRPr="00E03DFE">
        <w:rPr>
          <w:rFonts w:ascii="Times New Roman" w:hAnsi="Times New Roman" w:cs="Times New Roman"/>
          <w:bCs/>
          <w:sz w:val="24"/>
        </w:rPr>
        <w:t>.</w:t>
      </w:r>
    </w:p>
    <w:p w14:paraId="1883EE3B" w14:textId="77777777" w:rsidR="00E03DFE" w:rsidRPr="00E03DFE" w:rsidRDefault="00E03DFE" w:rsidP="00E03DFE">
      <w:pPr>
        <w:spacing w:line="360" w:lineRule="auto"/>
        <w:jc w:val="both"/>
        <w:rPr>
          <w:rFonts w:ascii="Times New Roman" w:hAnsi="Times New Roman" w:cs="Times New Roman"/>
          <w:b/>
          <w:bCs/>
          <w:sz w:val="24"/>
        </w:rPr>
      </w:pPr>
      <w:r w:rsidRPr="00E03DFE">
        <w:rPr>
          <w:rFonts w:ascii="Times New Roman" w:hAnsi="Times New Roman" w:cs="Times New Roman"/>
          <w:b/>
          <w:bCs/>
          <w:sz w:val="24"/>
        </w:rPr>
        <w:t>Bangladesh</w:t>
      </w:r>
    </w:p>
    <w:p w14:paraId="18571D3C" w14:textId="77777777" w:rsidR="002A5132" w:rsidRDefault="008A0226" w:rsidP="003438E5">
      <w:pPr>
        <w:spacing w:line="360" w:lineRule="auto"/>
        <w:jc w:val="both"/>
        <w:rPr>
          <w:rFonts w:ascii="Times New Roman" w:hAnsi="Times New Roman" w:cs="Times New Roman"/>
          <w:bCs/>
          <w:sz w:val="24"/>
        </w:rPr>
      </w:pPr>
      <w:r w:rsidRPr="008A0226">
        <w:rPr>
          <w:rFonts w:ascii="Times New Roman" w:hAnsi="Times New Roman" w:cs="Times New Roman"/>
          <w:bCs/>
          <w:sz w:val="24"/>
        </w:rPr>
        <w:t xml:space="preserve">Bangladesh has a long-term orientation score of 38, meaning that it has lower although still present long-term orientation. Cultural attributes focus on persistence, flexibility and </w:t>
      </w:r>
      <w:proofErr w:type="gramStart"/>
      <w:r w:rsidRPr="008A0226">
        <w:rPr>
          <w:rFonts w:ascii="Times New Roman" w:hAnsi="Times New Roman" w:cs="Times New Roman"/>
          <w:bCs/>
          <w:sz w:val="24"/>
        </w:rPr>
        <w:t>long term</w:t>
      </w:r>
      <w:proofErr w:type="gramEnd"/>
      <w:r w:rsidRPr="008A0226">
        <w:rPr>
          <w:rFonts w:ascii="Times New Roman" w:hAnsi="Times New Roman" w:cs="Times New Roman"/>
          <w:bCs/>
          <w:sz w:val="24"/>
        </w:rPr>
        <w:t xml:space="preserve"> relationship. Consumers appreciate reliability, consistency and brands which show commitment to communities in the long term. This is in line with the sustainability and social impact activities of Unilever, which help in establishing long-term trust (Unilever, 2024).</w:t>
      </w:r>
    </w:p>
    <w:p w14:paraId="61094B6E" w14:textId="77777777" w:rsidR="00A0113F" w:rsidRPr="00E03DFE" w:rsidRDefault="00A0113F" w:rsidP="003438E5">
      <w:pPr>
        <w:spacing w:line="360" w:lineRule="auto"/>
        <w:jc w:val="both"/>
        <w:rPr>
          <w:rFonts w:ascii="Times New Roman" w:hAnsi="Times New Roman" w:cs="Times New Roman"/>
          <w:bCs/>
          <w:sz w:val="24"/>
        </w:rPr>
      </w:pPr>
      <w:r w:rsidRPr="00A0113F">
        <w:rPr>
          <w:rFonts w:ascii="Times New Roman" w:hAnsi="Times New Roman" w:cs="Times New Roman"/>
          <w:bCs/>
          <w:sz w:val="24"/>
        </w:rPr>
        <w:t>Unilever adapts competitive management in the UK and relationship-focused practices in Bangladesh through full ownership.</w:t>
      </w:r>
    </w:p>
    <w:p w14:paraId="3C9FA37D" w14:textId="77777777" w:rsidR="00EC1CC3" w:rsidRPr="00EC1CC3" w:rsidRDefault="008B2410" w:rsidP="00EC1CC3">
      <w:pPr>
        <w:pStyle w:val="Heading1"/>
      </w:pPr>
      <w:bookmarkStart w:id="16" w:name="_Toc216458812"/>
      <w:r>
        <w:rPr>
          <w:rStyle w:val="Strong"/>
          <w:b/>
          <w:bCs w:val="0"/>
        </w:rPr>
        <w:t>4</w:t>
      </w:r>
      <w:r w:rsidR="00EC1CC3" w:rsidRPr="00EC1CC3">
        <w:rPr>
          <w:rStyle w:val="Strong"/>
          <w:b/>
          <w:bCs w:val="0"/>
        </w:rPr>
        <w:t>. Recommendations on Unilever’s Long-Term Operations in Bangladesh</w:t>
      </w:r>
      <w:bookmarkEnd w:id="16"/>
      <w:r w:rsidR="00EC1CC3" w:rsidRPr="00EC1CC3">
        <w:rPr>
          <w:rStyle w:val="Strong"/>
          <w:b/>
          <w:bCs w:val="0"/>
        </w:rPr>
        <w:t xml:space="preserve"> </w:t>
      </w:r>
    </w:p>
    <w:p w14:paraId="534FB4CC" w14:textId="77777777" w:rsidR="00EC1CC3" w:rsidRDefault="00FE7123" w:rsidP="00EC1CC3">
      <w:pPr>
        <w:pStyle w:val="NormalWeb"/>
        <w:spacing w:line="360" w:lineRule="auto"/>
        <w:jc w:val="both"/>
      </w:pPr>
      <w:r w:rsidRPr="00FE7123">
        <w:t>Based on OLI and cultural analysis, targeted SOP adjustments are recommended to ensure Unilever’s long-term success.</w:t>
      </w:r>
    </w:p>
    <w:p w14:paraId="33D7CD67" w14:textId="77777777" w:rsidR="00EC1CC3" w:rsidRPr="00EC1CC3" w:rsidRDefault="008B2410" w:rsidP="00EC1CC3">
      <w:pPr>
        <w:pStyle w:val="Heading2"/>
      </w:pPr>
      <w:bookmarkStart w:id="17" w:name="_Toc216458813"/>
      <w:r>
        <w:rPr>
          <w:rStyle w:val="Strong"/>
          <w:b/>
          <w:bCs/>
        </w:rPr>
        <w:t>4</w:t>
      </w:r>
      <w:r w:rsidR="00EC1CC3" w:rsidRPr="00EC1CC3">
        <w:rPr>
          <w:rStyle w:val="Strong"/>
          <w:b/>
          <w:bCs/>
        </w:rPr>
        <w:t>.1 Recommendation 1: SOP Adjustment for Cultural Sensitivity</w:t>
      </w:r>
      <w:bookmarkEnd w:id="17"/>
      <w:r w:rsidR="00EC1CC3" w:rsidRPr="00EC1CC3">
        <w:rPr>
          <w:rStyle w:val="Strong"/>
          <w:b/>
          <w:bCs/>
        </w:rPr>
        <w:t xml:space="preserve"> </w:t>
      </w:r>
    </w:p>
    <w:p w14:paraId="78EFB358" w14:textId="77777777" w:rsidR="00467BEE" w:rsidRDefault="00467BEE" w:rsidP="00467BEE">
      <w:pPr>
        <w:pStyle w:val="NormalWeb"/>
        <w:spacing w:line="360" w:lineRule="auto"/>
        <w:jc w:val="both"/>
      </w:pPr>
      <w:r>
        <w:t xml:space="preserve">Bangladesh is a collectivist country (score 5) and has very </w:t>
      </w:r>
      <w:proofErr w:type="gramStart"/>
      <w:r>
        <w:t>high power</w:t>
      </w:r>
      <w:proofErr w:type="gramEnd"/>
      <w:r>
        <w:t xml:space="preserve"> distance (80)</w:t>
      </w:r>
      <w:r w:rsidR="00FE7123">
        <w:t>,</w:t>
      </w:r>
      <w:r>
        <w:t xml:space="preserve"> meaning that Unilever will have to modify SOPs to make the branding, communication and HR activities align with the culture. Collectivist consumers want collectivist brands that focus on family, social harmony and identity (De </w:t>
      </w:r>
      <w:proofErr w:type="spellStart"/>
      <w:r>
        <w:t>Mooij</w:t>
      </w:r>
      <w:proofErr w:type="spellEnd"/>
      <w:r>
        <w:t xml:space="preserve"> and Hofstede, 2011). Thus, the SOPs should enforce culturally predetermined messages, where the rules of campaign directives demand such topics as community care and emotional appeal- unlike the individualistic branding that prevailed within the UK.</w:t>
      </w:r>
    </w:p>
    <w:p w14:paraId="1EC02963" w14:textId="77777777" w:rsidR="00467BEE" w:rsidRDefault="00467BEE" w:rsidP="00467BEE">
      <w:pPr>
        <w:pStyle w:val="NormalWeb"/>
        <w:spacing w:line="360" w:lineRule="auto"/>
        <w:jc w:val="both"/>
      </w:pPr>
      <w:r>
        <w:t>Ownership-advantage, Unilever has a good global brand portfolio which is not wasted, but without culturally adjusted SOPs the assets may not be leveraged (Jones, 2005). Integrating cultural requirements into SOPs allows taking the full potential of its advantages as an ownership.</w:t>
      </w:r>
    </w:p>
    <w:p w14:paraId="4D007C87" w14:textId="1BA7A435" w:rsidR="00467BEE" w:rsidRDefault="00467BEE" w:rsidP="00467BEE">
      <w:pPr>
        <w:pStyle w:val="NormalWeb"/>
        <w:spacing w:line="360" w:lineRule="auto"/>
        <w:jc w:val="both"/>
      </w:pPr>
      <w:r>
        <w:t xml:space="preserve">The moderately high uncertainty-avoidance (60) of Bangladesh also necessitates the </w:t>
      </w:r>
      <w:r w:rsidR="005744DE">
        <w:t>formalization</w:t>
      </w:r>
      <w:r>
        <w:t xml:space="preserve"> of rigorous ethical-marketing criteria, such as stringent checking of claims and non-ambiguous communication, to enhance consumer trust, which is the primary focus of hygiene and personal-care categories (Gaur et al., 2019).</w:t>
      </w:r>
    </w:p>
    <w:p w14:paraId="26B61E69" w14:textId="57D6D990" w:rsidR="00EC1CC3" w:rsidRDefault="00467BEE" w:rsidP="00467BEE">
      <w:pPr>
        <w:pStyle w:val="NormalWeb"/>
        <w:spacing w:line="360" w:lineRule="auto"/>
        <w:jc w:val="both"/>
      </w:pPr>
      <w:r>
        <w:t xml:space="preserve">Lastly, SOPs ought to </w:t>
      </w:r>
      <w:r w:rsidR="005744DE">
        <w:t>institutionalize</w:t>
      </w:r>
      <w:r>
        <w:t xml:space="preserve"> representative marketing. It has been demonstrated that culturally compatible advertising is an important factor in enhancing the brand credibility in new markets (Rather, </w:t>
      </w:r>
      <w:proofErr w:type="spellStart"/>
      <w:r>
        <w:t>Tehseen</w:t>
      </w:r>
      <w:proofErr w:type="spellEnd"/>
      <w:r>
        <w:t xml:space="preserve"> and </w:t>
      </w:r>
      <w:proofErr w:type="spellStart"/>
      <w:r>
        <w:t>Parrey</w:t>
      </w:r>
      <w:proofErr w:type="spellEnd"/>
      <w:r>
        <w:t>, 2018). These SOP changes make sure that there is uniform adjustment among the teams, that Unilever can leverage on the Ownership benefits, and that these are in tandem with the cultural expectations of Bangladesh</w:t>
      </w:r>
      <w:r w:rsidR="00EC1CC3">
        <w:t>.</w:t>
      </w:r>
    </w:p>
    <w:p w14:paraId="33B9740B" w14:textId="77777777" w:rsidR="00177C41" w:rsidRDefault="00177C41" w:rsidP="00467BEE">
      <w:pPr>
        <w:pStyle w:val="NormalWeb"/>
        <w:spacing w:line="360" w:lineRule="auto"/>
        <w:jc w:val="both"/>
      </w:pPr>
    </w:p>
    <w:p w14:paraId="6CA591ED" w14:textId="77777777" w:rsidR="00177C41" w:rsidRDefault="00177C41" w:rsidP="00467BEE">
      <w:pPr>
        <w:pStyle w:val="NormalWeb"/>
        <w:spacing w:line="360" w:lineRule="auto"/>
        <w:jc w:val="both"/>
      </w:pPr>
    </w:p>
    <w:p w14:paraId="26DC1953" w14:textId="578D81F2" w:rsidR="00EC1CC3" w:rsidRPr="00EC1CC3" w:rsidRDefault="008B2410" w:rsidP="00EC1CC3">
      <w:pPr>
        <w:pStyle w:val="Heading2"/>
      </w:pPr>
      <w:bookmarkStart w:id="18" w:name="_Toc216458814"/>
      <w:r>
        <w:rPr>
          <w:rStyle w:val="Strong"/>
          <w:b/>
          <w:bCs/>
        </w:rPr>
        <w:t>4</w:t>
      </w:r>
      <w:r w:rsidR="00EC1CC3" w:rsidRPr="00EC1CC3">
        <w:rPr>
          <w:rStyle w:val="Strong"/>
          <w:b/>
          <w:bCs/>
        </w:rPr>
        <w:t xml:space="preserve">.2 Recommendation 2: SOP Adjustment for </w:t>
      </w:r>
      <w:r w:rsidR="00F4090E" w:rsidRPr="00EC1CC3">
        <w:rPr>
          <w:rStyle w:val="Strong"/>
          <w:b/>
          <w:bCs/>
        </w:rPr>
        <w:t>Localized</w:t>
      </w:r>
      <w:r w:rsidR="00EC1CC3" w:rsidRPr="00EC1CC3">
        <w:rPr>
          <w:rStyle w:val="Strong"/>
          <w:b/>
          <w:bCs/>
        </w:rPr>
        <w:t xml:space="preserve"> Supply Chain</w:t>
      </w:r>
      <w:bookmarkEnd w:id="18"/>
      <w:r w:rsidR="00EC1CC3" w:rsidRPr="00EC1CC3">
        <w:rPr>
          <w:rStyle w:val="Strong"/>
          <w:b/>
          <w:bCs/>
        </w:rPr>
        <w:t xml:space="preserve"> </w:t>
      </w:r>
    </w:p>
    <w:p w14:paraId="64C4521A" w14:textId="37E01D80" w:rsidR="00467BEE" w:rsidRDefault="00467BEE" w:rsidP="00467BEE">
      <w:pPr>
        <w:pStyle w:val="NormalWeb"/>
        <w:spacing w:line="360" w:lineRule="auto"/>
        <w:jc w:val="both"/>
      </w:pPr>
      <w:r>
        <w:t xml:space="preserve">The supply-chain </w:t>
      </w:r>
      <w:r w:rsidR="00F4090E">
        <w:t>localization</w:t>
      </w:r>
      <w:r>
        <w:t xml:space="preserve"> is strategically necessary because Bangladesh has the Location advantages in the form of low </w:t>
      </w:r>
      <w:r w:rsidR="00F4090E">
        <w:t>labor</w:t>
      </w:r>
      <w:r>
        <w:t xml:space="preserve"> cost, high population and growing FMCG demand. However, there is a threat of infrastructural inefficiencies and disjointed retail chains (</w:t>
      </w:r>
      <w:proofErr w:type="spellStart"/>
      <w:r>
        <w:t>Blyde</w:t>
      </w:r>
      <w:proofErr w:type="spellEnd"/>
      <w:r>
        <w:t xml:space="preserve"> and Molina, 2015). In line with this, SOPs will have to increase the local sourcing, </w:t>
      </w:r>
      <w:r w:rsidR="00F4090E">
        <w:t>decentralized</w:t>
      </w:r>
      <w:r>
        <w:t xml:space="preserve"> distribution and sustainability </w:t>
      </w:r>
      <w:r w:rsidR="00F4090E">
        <w:t>practices</w:t>
      </w:r>
      <w:r>
        <w:t>.</w:t>
      </w:r>
    </w:p>
    <w:p w14:paraId="5A8E9E30" w14:textId="7321BD57" w:rsidR="00467BEE" w:rsidRDefault="00467BEE" w:rsidP="00467BEE">
      <w:pPr>
        <w:pStyle w:val="NormalWeb"/>
        <w:spacing w:line="360" w:lineRule="auto"/>
        <w:jc w:val="both"/>
      </w:pPr>
      <w:r>
        <w:t xml:space="preserve">The Bangladeshi sourcing and agricultural inputs and packaging materials should be </w:t>
      </w:r>
      <w:r w:rsidR="00F4090E">
        <w:t>formalized</w:t>
      </w:r>
      <w:r>
        <w:t xml:space="preserve"> in the local sourcing SOPs. This lowers the transaction cost, enhances supply security and exploits cost efficiencies of Bangladesh, and </w:t>
      </w:r>
      <w:r w:rsidR="00F4090E">
        <w:t>minimizes</w:t>
      </w:r>
      <w:r>
        <w:t xml:space="preserve"> exposure to world supply disruptions.</w:t>
      </w:r>
    </w:p>
    <w:p w14:paraId="2C57831C" w14:textId="2488C80B" w:rsidR="00467BEE" w:rsidRDefault="00F4090E" w:rsidP="00467BEE">
      <w:pPr>
        <w:pStyle w:val="NormalWeb"/>
        <w:spacing w:line="360" w:lineRule="auto"/>
        <w:jc w:val="both"/>
      </w:pPr>
      <w:r>
        <w:t>Decentralized</w:t>
      </w:r>
      <w:r w:rsidR="00467BEE">
        <w:t xml:space="preserve"> distribution structures should also be incorporated in the SOPs. In the emerging markets, the last-mile coverage is enhanced by micro-distributors, rural delivery hubs and region-specific delivery routes </w:t>
      </w:r>
      <w:r w:rsidR="00F56B79" w:rsidRPr="00F56B79">
        <w:t xml:space="preserve">(Escamilla, </w:t>
      </w:r>
      <w:proofErr w:type="spellStart"/>
      <w:r w:rsidR="00F56B79" w:rsidRPr="00F56B79">
        <w:t>Fransoo</w:t>
      </w:r>
      <w:proofErr w:type="spellEnd"/>
      <w:r w:rsidR="00F56B79" w:rsidRPr="00F56B79">
        <w:t xml:space="preserve"> and Tang, 2020)</w:t>
      </w:r>
      <w:r w:rsidR="00467BEE">
        <w:t xml:space="preserve">. These SOPs strengthen the </w:t>
      </w:r>
      <w:r>
        <w:t>Internalization</w:t>
      </w:r>
      <w:r w:rsidR="00467BEE">
        <w:t xml:space="preserve"> benefits where Unilever maintains the quality of distribution instead of using the services of external intermediaries.</w:t>
      </w:r>
    </w:p>
    <w:p w14:paraId="344DA3B0" w14:textId="4E1DC161" w:rsidR="00EC1CC3" w:rsidRDefault="00467BEE" w:rsidP="00467BEE">
      <w:pPr>
        <w:pStyle w:val="NormalWeb"/>
        <w:spacing w:line="360" w:lineRule="auto"/>
        <w:jc w:val="both"/>
      </w:pPr>
      <w:r>
        <w:t xml:space="preserve">Waste </w:t>
      </w:r>
      <w:r w:rsidR="00F4090E">
        <w:t>minimization</w:t>
      </w:r>
      <w:r>
        <w:t xml:space="preserve">, water conservation, emissions monitoring and recyclable containers should be </w:t>
      </w:r>
      <w:r w:rsidR="00F4090E">
        <w:t>institutionalized</w:t>
      </w:r>
      <w:r>
        <w:t xml:space="preserve"> using Sustainability SOPs. These are in line with the community-oriented values and the long-term trust-building in Bangladesh (</w:t>
      </w:r>
      <w:proofErr w:type="spellStart"/>
      <w:r>
        <w:t>Sheth</w:t>
      </w:r>
      <w:proofErr w:type="spellEnd"/>
      <w:r>
        <w:t>, 2011). Sustainability also improves the benefits of Ownership of Unilever because it leverages on its proven global skills-capabilities which are not easily met by the rival companies within the domestic local market</w:t>
      </w:r>
      <w:r w:rsidR="00EC1CC3">
        <w:t>.</w:t>
      </w:r>
    </w:p>
    <w:p w14:paraId="218D5A9A" w14:textId="77777777" w:rsidR="00EC1CC3" w:rsidRPr="0017717B" w:rsidRDefault="008B2410" w:rsidP="0017717B">
      <w:pPr>
        <w:pStyle w:val="Heading2"/>
      </w:pPr>
      <w:bookmarkStart w:id="19" w:name="_Toc216458815"/>
      <w:r>
        <w:rPr>
          <w:rStyle w:val="Strong"/>
          <w:b/>
          <w:bCs/>
        </w:rPr>
        <w:t>4</w:t>
      </w:r>
      <w:r w:rsidR="00EC1CC3" w:rsidRPr="0017717B">
        <w:rPr>
          <w:rStyle w:val="Strong"/>
          <w:b/>
          <w:bCs/>
        </w:rPr>
        <w:t>.3 Recommendation 3: SOP Adjustment for Digital &amp; Rural Inclusion</w:t>
      </w:r>
      <w:bookmarkEnd w:id="19"/>
      <w:r w:rsidR="00EC1CC3" w:rsidRPr="0017717B">
        <w:rPr>
          <w:rStyle w:val="Strong"/>
          <w:b/>
          <w:bCs/>
        </w:rPr>
        <w:t xml:space="preserve"> </w:t>
      </w:r>
    </w:p>
    <w:p w14:paraId="46D97A3F" w14:textId="6367D172" w:rsidR="00467BEE" w:rsidRDefault="00467BEE" w:rsidP="00467BEE">
      <w:pPr>
        <w:pStyle w:val="NormalWeb"/>
        <w:spacing w:line="360" w:lineRule="auto"/>
        <w:jc w:val="both"/>
      </w:pPr>
      <w:r>
        <w:t xml:space="preserve">The high mobile penetration and widespread use of mobile financial services in Bangladesh ensures a high degree of </w:t>
      </w:r>
      <w:r w:rsidR="00943E71">
        <w:t>digitalization</w:t>
      </w:r>
      <w:r>
        <w:t xml:space="preserve"> that develops strategic Location advantage that should be </w:t>
      </w:r>
      <w:r w:rsidR="00943E71">
        <w:t>formalized</w:t>
      </w:r>
      <w:r>
        <w:t xml:space="preserve"> in SOPs. </w:t>
      </w:r>
      <w:r w:rsidR="00943E71">
        <w:t>Digitalization</w:t>
      </w:r>
      <w:r>
        <w:t xml:space="preserve"> enhances the integration of the value chain, eliminates information asymmetry and improves decision-making (</w:t>
      </w:r>
      <w:proofErr w:type="spellStart"/>
      <w:r>
        <w:t>Shirkoohi</w:t>
      </w:r>
      <w:proofErr w:type="spellEnd"/>
      <w:r>
        <w:t xml:space="preserve"> and </w:t>
      </w:r>
      <w:proofErr w:type="spellStart"/>
      <w:r>
        <w:t>Mohiuddin</w:t>
      </w:r>
      <w:proofErr w:type="spellEnd"/>
      <w:r>
        <w:t>, 2025).</w:t>
      </w:r>
    </w:p>
    <w:p w14:paraId="2033947C" w14:textId="3D8DDDA9" w:rsidR="00467BEE" w:rsidRDefault="00467BEE" w:rsidP="00467BEE">
      <w:pPr>
        <w:pStyle w:val="NormalWeb"/>
        <w:spacing w:line="360" w:lineRule="auto"/>
        <w:jc w:val="both"/>
      </w:pPr>
      <w:r>
        <w:t xml:space="preserve">Unilever should then make a mobile-first engagement strategy institutional, so that all interactions with consumers, content and promotions as well as service interactions are mobile </w:t>
      </w:r>
      <w:r w:rsidR="004546DC">
        <w:t>optimized</w:t>
      </w:r>
      <w:r>
        <w:t xml:space="preserve">. In the case of rural markets, SOPs must mandate the use of digital technologies like mobile ordering, digitally enabled micro-distribution, GPS-based route </w:t>
      </w:r>
      <w:r w:rsidR="00943E71">
        <w:t>optimization</w:t>
      </w:r>
      <w:r>
        <w:t>, and digitally enabled micro-distribution. These systems enhance market visibility and responsiveness of the supply chain.</w:t>
      </w:r>
    </w:p>
    <w:p w14:paraId="75D42B77" w14:textId="6F20AD3D" w:rsidR="00467BEE" w:rsidRDefault="00467BEE" w:rsidP="00467BEE">
      <w:pPr>
        <w:pStyle w:val="NormalWeb"/>
        <w:spacing w:line="360" w:lineRule="auto"/>
        <w:jc w:val="both"/>
      </w:pPr>
      <w:r>
        <w:t>Digital payment systems (</w:t>
      </w:r>
      <w:proofErr w:type="spellStart"/>
      <w:r>
        <w:t>bKash</w:t>
      </w:r>
      <w:proofErr w:type="spellEnd"/>
      <w:r>
        <w:t xml:space="preserve">, </w:t>
      </w:r>
      <w:proofErr w:type="spellStart"/>
      <w:r>
        <w:t>Nagad</w:t>
      </w:r>
      <w:proofErr w:type="spellEnd"/>
      <w:r>
        <w:t xml:space="preserve">) should also be integrated into SOPs, and these systems should be present in the transactions of retailers and distributor payments. This </w:t>
      </w:r>
      <w:r w:rsidR="004546DC">
        <w:t>minimizes</w:t>
      </w:r>
      <w:r>
        <w:t xml:space="preserve"> risks in cash handling and enhances transparency, which directly contributes to the benefits of </w:t>
      </w:r>
      <w:r w:rsidR="004546DC">
        <w:t>Internalization</w:t>
      </w:r>
      <w:r>
        <w:t>, since digital data is not scattered among the intermediaries but is under the strict control of the firm.</w:t>
      </w:r>
    </w:p>
    <w:p w14:paraId="67946CF0" w14:textId="2F06E8B9" w:rsidR="00EC1CC3" w:rsidRDefault="00467BEE" w:rsidP="00467BEE">
      <w:pPr>
        <w:pStyle w:val="NormalWeb"/>
        <w:spacing w:line="360" w:lineRule="auto"/>
        <w:jc w:val="both"/>
      </w:pPr>
      <w:r>
        <w:t xml:space="preserve">Also, cultural adaptation is aided by digital inclusion. This is because in an uncertainty-avoidant collectivist culture, uncertainty is </w:t>
      </w:r>
      <w:r w:rsidR="004546DC">
        <w:t>minimized</w:t>
      </w:r>
      <w:r>
        <w:t xml:space="preserve"> through transparent and traceable digital processes that help establish perceived risk and trust- strengthening Unilever Ownership of existing brand credibility</w:t>
      </w:r>
      <w:r w:rsidR="00EC1CC3">
        <w:t>.</w:t>
      </w:r>
    </w:p>
    <w:p w14:paraId="44242501" w14:textId="77777777" w:rsidR="00EC1CC3" w:rsidRPr="0017717B" w:rsidRDefault="008B2410" w:rsidP="0017717B">
      <w:pPr>
        <w:pStyle w:val="Heading2"/>
      </w:pPr>
      <w:bookmarkStart w:id="20" w:name="_Toc216458816"/>
      <w:r>
        <w:rPr>
          <w:rStyle w:val="Strong"/>
          <w:b/>
          <w:bCs/>
        </w:rPr>
        <w:t>4</w:t>
      </w:r>
      <w:r w:rsidR="00EC1CC3" w:rsidRPr="0017717B">
        <w:rPr>
          <w:rStyle w:val="Strong"/>
          <w:b/>
          <w:bCs/>
        </w:rPr>
        <w:t>.4 Linking Recommendations Back to OLI and Cultural Factors</w:t>
      </w:r>
      <w:bookmarkEnd w:id="20"/>
      <w:r w:rsidR="00EC1CC3" w:rsidRPr="0017717B">
        <w:rPr>
          <w:rStyle w:val="Strong"/>
          <w:b/>
          <w:bCs/>
        </w:rPr>
        <w:t xml:space="preserve"> </w:t>
      </w:r>
    </w:p>
    <w:p w14:paraId="39AC6DD5" w14:textId="76B12EFD" w:rsidR="00FE7123" w:rsidRDefault="00467BEE" w:rsidP="00EC1CC3">
      <w:pPr>
        <w:pStyle w:val="NormalWeb"/>
        <w:spacing w:line="360" w:lineRule="auto"/>
        <w:jc w:val="both"/>
      </w:pPr>
      <w:r w:rsidRPr="00467BEE">
        <w:t xml:space="preserve">The suggested SOP modifications bring to life some of the core findings of the OLI theory and cultural dimensions of Hofstede. Cultural-sensitivity SOPS </w:t>
      </w:r>
      <w:r w:rsidR="00732BF1" w:rsidRPr="00467BEE">
        <w:t>maximize</w:t>
      </w:r>
      <w:r w:rsidRPr="00467BEE">
        <w:t xml:space="preserve"> the advantages of Ownership (brand equity, managerial expertise) and match the culture of Bangladesh, which is collectivist, high power-distance. Supply-chain </w:t>
      </w:r>
      <w:r w:rsidR="00732BF1" w:rsidRPr="00467BEE">
        <w:t>localization</w:t>
      </w:r>
      <w:r w:rsidRPr="00467BEE">
        <w:t xml:space="preserve"> </w:t>
      </w:r>
      <w:r w:rsidR="00732BF1" w:rsidRPr="00467BEE">
        <w:t>utilizes</w:t>
      </w:r>
      <w:r w:rsidRPr="00467BEE">
        <w:t xml:space="preserve"> Location advantages and defends </w:t>
      </w:r>
      <w:r w:rsidR="00732BF1" w:rsidRPr="00467BEE">
        <w:t>Internalization</w:t>
      </w:r>
      <w:r w:rsidRPr="00467BEE">
        <w:t xml:space="preserve"> advantages by using processes that are in the control of the firm, </w:t>
      </w:r>
      <w:r w:rsidR="00732BF1" w:rsidRPr="00467BEE">
        <w:t>minimizing</w:t>
      </w:r>
      <w:r w:rsidRPr="00467BEE">
        <w:t xml:space="preserve"> risk and increasing quality. Digital and rural inclusion enhances the benefits of </w:t>
      </w:r>
      <w:r w:rsidR="00732BF1" w:rsidRPr="00467BEE">
        <w:t>Internalization</w:t>
      </w:r>
      <w:r w:rsidRPr="00467BEE">
        <w:t xml:space="preserve"> by enhancing coordination, efficiency in data control and distribution. Taken together, these SOPs will translate the theoretical knowledge into practical processes that will help Unilever achieve long-term success in Ban</w:t>
      </w:r>
      <w:r>
        <w:t>gladesh in terms of competition</w:t>
      </w:r>
      <w:r w:rsidR="00EC1CC3">
        <w:t>.</w:t>
      </w:r>
    </w:p>
    <w:p w14:paraId="26FE4F62" w14:textId="77777777" w:rsidR="00FE7123" w:rsidRPr="00E86861" w:rsidRDefault="00FE7123" w:rsidP="00FE7123">
      <w:pPr>
        <w:pStyle w:val="Heading2"/>
      </w:pPr>
      <w:bookmarkStart w:id="21" w:name="_Toc216458817"/>
      <w:r>
        <w:t>4.</w:t>
      </w:r>
      <w:r w:rsidRPr="00E86861">
        <w:t>5 Opportunities for Unilever in Bangladesh</w:t>
      </w:r>
      <w:bookmarkEnd w:id="21"/>
    </w:p>
    <w:p w14:paraId="053835A0" w14:textId="5AAD6952" w:rsidR="00FE7123" w:rsidRPr="00E86861" w:rsidRDefault="00FE7123" w:rsidP="00FE7123">
      <w:pPr>
        <w:spacing w:line="360" w:lineRule="auto"/>
        <w:jc w:val="both"/>
        <w:rPr>
          <w:rFonts w:ascii="Times New Roman" w:hAnsi="Times New Roman" w:cs="Times New Roman"/>
          <w:bCs/>
          <w:sz w:val="24"/>
        </w:rPr>
      </w:pPr>
      <w:r w:rsidRPr="00467BEE">
        <w:rPr>
          <w:rFonts w:ascii="Times New Roman" w:hAnsi="Times New Roman" w:cs="Times New Roman"/>
          <w:bCs/>
          <w:sz w:val="24"/>
        </w:rPr>
        <w:t xml:space="preserve">Unilever has a number of strategic opportunities in Bangladesh. The fast-growing middle class offers a high level of demand in the field of personal care, hygiene and home-care products (World Bank, 2023). In line with the arguments by </w:t>
      </w:r>
      <w:proofErr w:type="spellStart"/>
      <w:r w:rsidRPr="00467BEE">
        <w:rPr>
          <w:rFonts w:ascii="Times New Roman" w:hAnsi="Times New Roman" w:cs="Times New Roman"/>
          <w:bCs/>
          <w:sz w:val="24"/>
        </w:rPr>
        <w:t>Sheth</w:t>
      </w:r>
      <w:proofErr w:type="spellEnd"/>
      <w:r w:rsidRPr="00467BEE">
        <w:rPr>
          <w:rFonts w:ascii="Times New Roman" w:hAnsi="Times New Roman" w:cs="Times New Roman"/>
          <w:bCs/>
          <w:sz w:val="24"/>
        </w:rPr>
        <w:t xml:space="preserve"> (2011) on the </w:t>
      </w:r>
      <w:r w:rsidR="00732BF1" w:rsidRPr="00467BEE">
        <w:rPr>
          <w:rFonts w:ascii="Times New Roman" w:hAnsi="Times New Roman" w:cs="Times New Roman"/>
          <w:bCs/>
          <w:sz w:val="24"/>
        </w:rPr>
        <w:t>behavior</w:t>
      </w:r>
      <w:r w:rsidRPr="00467BEE">
        <w:rPr>
          <w:rFonts w:ascii="Times New Roman" w:hAnsi="Times New Roman" w:cs="Times New Roman"/>
          <w:bCs/>
          <w:sz w:val="24"/>
        </w:rPr>
        <w:t xml:space="preserve"> of emerging markets, an increase in disposable incomes promotes adoption of branded FMCG goods. The rural markets also hold a significant potential since low-income consumers are slowly shifting their consumption of unbranded to branded necessities, which is supported by evidence that sachet-sized products make them more affordable (</w:t>
      </w:r>
      <w:proofErr w:type="spellStart"/>
      <w:r w:rsidRPr="00467BEE">
        <w:rPr>
          <w:rFonts w:ascii="Times New Roman" w:hAnsi="Times New Roman" w:cs="Times New Roman"/>
          <w:bCs/>
          <w:sz w:val="24"/>
        </w:rPr>
        <w:t>Arunachalam</w:t>
      </w:r>
      <w:proofErr w:type="spellEnd"/>
      <w:r w:rsidRPr="00467BEE">
        <w:rPr>
          <w:rFonts w:ascii="Times New Roman" w:hAnsi="Times New Roman" w:cs="Times New Roman"/>
          <w:bCs/>
          <w:sz w:val="24"/>
        </w:rPr>
        <w:t xml:space="preserve"> et al., 2020). Local production increases responsiveness, decreases importation and makes supply-chains more resilient. Also, there is increased focus on post-pandemic hygiene, which is very alig</w:t>
      </w:r>
      <w:r>
        <w:rPr>
          <w:rFonts w:ascii="Times New Roman" w:hAnsi="Times New Roman" w:cs="Times New Roman"/>
          <w:bCs/>
          <w:sz w:val="24"/>
        </w:rPr>
        <w:t>ned to the products of Unilever</w:t>
      </w:r>
      <w:r w:rsidRPr="00E86861">
        <w:rPr>
          <w:rFonts w:ascii="Times New Roman" w:hAnsi="Times New Roman" w:cs="Times New Roman"/>
          <w:bCs/>
          <w:sz w:val="24"/>
        </w:rPr>
        <w:t>.</w:t>
      </w:r>
    </w:p>
    <w:p w14:paraId="586DF87D" w14:textId="77777777" w:rsidR="00FE7123" w:rsidRPr="00E86861" w:rsidRDefault="00FE7123" w:rsidP="00FE7123">
      <w:pPr>
        <w:pStyle w:val="Heading2"/>
      </w:pPr>
      <w:bookmarkStart w:id="22" w:name="_Toc216458818"/>
      <w:r>
        <w:t>4.</w:t>
      </w:r>
      <w:r w:rsidRPr="00E86861">
        <w:t xml:space="preserve">6 Challenges </w:t>
      </w:r>
      <w:r>
        <w:t xml:space="preserve">and Solutions </w:t>
      </w:r>
      <w:r w:rsidRPr="00E86861">
        <w:t>for Multinational FMCG Firms in Bangladesh</w:t>
      </w:r>
      <w:bookmarkEnd w:id="22"/>
    </w:p>
    <w:p w14:paraId="0DE2CA8D" w14:textId="3D7FC544" w:rsidR="00FE7123" w:rsidRPr="00FE7123" w:rsidRDefault="00FE7123" w:rsidP="00FE7123">
      <w:pPr>
        <w:spacing w:line="360" w:lineRule="auto"/>
        <w:jc w:val="both"/>
        <w:rPr>
          <w:rFonts w:ascii="Times New Roman" w:hAnsi="Times New Roman" w:cs="Times New Roman"/>
          <w:bCs/>
          <w:sz w:val="24"/>
        </w:rPr>
      </w:pPr>
      <w:r w:rsidRPr="00FE7123">
        <w:rPr>
          <w:rFonts w:ascii="Times New Roman" w:hAnsi="Times New Roman" w:cs="Times New Roman"/>
          <w:bCs/>
          <w:sz w:val="24"/>
        </w:rPr>
        <w:t xml:space="preserve">FMCG multinationals face significant challenges despite the </w:t>
      </w:r>
      <w:r w:rsidR="00732BF1" w:rsidRPr="00FE7123">
        <w:rPr>
          <w:rFonts w:ascii="Times New Roman" w:hAnsi="Times New Roman" w:cs="Times New Roman"/>
          <w:bCs/>
          <w:sz w:val="24"/>
        </w:rPr>
        <w:t>favorable</w:t>
      </w:r>
      <w:r w:rsidRPr="00FE7123">
        <w:rPr>
          <w:rFonts w:ascii="Times New Roman" w:hAnsi="Times New Roman" w:cs="Times New Roman"/>
          <w:bCs/>
          <w:sz w:val="24"/>
        </w:rPr>
        <w:t xml:space="preserve"> opportunities. Inefficiencies in infrastructure and rural penetration increase logistics costs and regulatory uncertainty and compliance costs contribute to operational risk. Competitive pressure is increased by the presence of local firms who have the ability to provide cheaper prices and culturally oriented formulations. The consumers of emerging markets tend to alternate between international and domestic brands based on the price sensitivity and social perception (</w:t>
      </w:r>
      <w:proofErr w:type="spellStart"/>
      <w:r w:rsidRPr="00FE7123">
        <w:rPr>
          <w:rFonts w:ascii="Times New Roman" w:hAnsi="Times New Roman" w:cs="Times New Roman"/>
          <w:bCs/>
          <w:sz w:val="24"/>
        </w:rPr>
        <w:t>Akram</w:t>
      </w:r>
      <w:proofErr w:type="spellEnd"/>
      <w:r w:rsidRPr="00FE7123">
        <w:rPr>
          <w:rFonts w:ascii="Times New Roman" w:hAnsi="Times New Roman" w:cs="Times New Roman"/>
          <w:bCs/>
          <w:sz w:val="24"/>
        </w:rPr>
        <w:t xml:space="preserve">, </w:t>
      </w:r>
      <w:proofErr w:type="spellStart"/>
      <w:r w:rsidRPr="00FE7123">
        <w:rPr>
          <w:rFonts w:ascii="Times New Roman" w:hAnsi="Times New Roman" w:cs="Times New Roman"/>
          <w:bCs/>
          <w:sz w:val="24"/>
        </w:rPr>
        <w:t>Merunka</w:t>
      </w:r>
      <w:proofErr w:type="spellEnd"/>
      <w:r w:rsidRPr="00FE7123">
        <w:rPr>
          <w:rFonts w:ascii="Times New Roman" w:hAnsi="Times New Roman" w:cs="Times New Roman"/>
          <w:bCs/>
          <w:sz w:val="24"/>
        </w:rPr>
        <w:t xml:space="preserve"> and </w:t>
      </w:r>
      <w:proofErr w:type="spellStart"/>
      <w:r w:rsidRPr="00FE7123">
        <w:rPr>
          <w:rFonts w:ascii="Times New Roman" w:hAnsi="Times New Roman" w:cs="Times New Roman"/>
          <w:bCs/>
          <w:sz w:val="24"/>
        </w:rPr>
        <w:t>Shakaib</w:t>
      </w:r>
      <w:proofErr w:type="spellEnd"/>
      <w:r w:rsidRPr="00FE7123">
        <w:rPr>
          <w:rFonts w:ascii="Times New Roman" w:hAnsi="Times New Roman" w:cs="Times New Roman"/>
          <w:bCs/>
          <w:sz w:val="24"/>
        </w:rPr>
        <w:t xml:space="preserve"> </w:t>
      </w:r>
      <w:proofErr w:type="spellStart"/>
      <w:r w:rsidRPr="00FE7123">
        <w:rPr>
          <w:rFonts w:ascii="Times New Roman" w:hAnsi="Times New Roman" w:cs="Times New Roman"/>
          <w:bCs/>
          <w:sz w:val="24"/>
        </w:rPr>
        <w:t>Akram</w:t>
      </w:r>
      <w:proofErr w:type="spellEnd"/>
      <w:r w:rsidRPr="00FE7123">
        <w:rPr>
          <w:rFonts w:ascii="Times New Roman" w:hAnsi="Times New Roman" w:cs="Times New Roman"/>
          <w:bCs/>
          <w:sz w:val="24"/>
        </w:rPr>
        <w:t xml:space="preserve">, 2011), which limits the development of high-end markets. In addition, financial and supply-chain risks require proper management due to the currency volatility and fluctuations in global prices of raw materials. In order to deal with these issues, companies like Unilever have resorted to </w:t>
      </w:r>
      <w:r w:rsidR="00732BF1" w:rsidRPr="00FE7123">
        <w:rPr>
          <w:rFonts w:ascii="Times New Roman" w:hAnsi="Times New Roman" w:cs="Times New Roman"/>
          <w:bCs/>
          <w:sz w:val="24"/>
        </w:rPr>
        <w:t>localized</w:t>
      </w:r>
      <w:r w:rsidRPr="00FE7123">
        <w:rPr>
          <w:rFonts w:ascii="Times New Roman" w:hAnsi="Times New Roman" w:cs="Times New Roman"/>
          <w:bCs/>
          <w:sz w:val="24"/>
        </w:rPr>
        <w:t xml:space="preserve"> production, </w:t>
      </w:r>
      <w:r w:rsidR="00732BF1" w:rsidRPr="00FE7123">
        <w:rPr>
          <w:rFonts w:ascii="Times New Roman" w:hAnsi="Times New Roman" w:cs="Times New Roman"/>
          <w:bCs/>
          <w:sz w:val="24"/>
        </w:rPr>
        <w:t>decentralized</w:t>
      </w:r>
      <w:r w:rsidRPr="00FE7123">
        <w:rPr>
          <w:rFonts w:ascii="Times New Roman" w:hAnsi="Times New Roman" w:cs="Times New Roman"/>
          <w:bCs/>
          <w:sz w:val="24"/>
        </w:rPr>
        <w:t xml:space="preserve"> rural distribution and flexible pricing policies in order to stay competitive. Also, high regulatory involvement, hedging systems and coordinated supply-chain reduce financial and operational </w:t>
      </w:r>
      <w:r>
        <w:rPr>
          <w:rFonts w:ascii="Times New Roman" w:hAnsi="Times New Roman" w:cs="Times New Roman"/>
          <w:bCs/>
          <w:sz w:val="24"/>
        </w:rPr>
        <w:t>risks in the Bangladeshi market.</w:t>
      </w:r>
    </w:p>
    <w:p w14:paraId="50812F5B" w14:textId="77777777" w:rsidR="00E138FF" w:rsidRDefault="008B2410" w:rsidP="008B2410">
      <w:pPr>
        <w:pStyle w:val="Heading1"/>
      </w:pPr>
      <w:bookmarkStart w:id="23" w:name="_Toc216458819"/>
      <w:r>
        <w:t xml:space="preserve">5. </w:t>
      </w:r>
      <w:r w:rsidR="00E138FF" w:rsidRPr="00E138FF">
        <w:t>Conclusion</w:t>
      </w:r>
      <w:bookmarkEnd w:id="23"/>
      <w:r w:rsidR="00E138FF" w:rsidRPr="00E138FF">
        <w:t xml:space="preserve"> </w:t>
      </w:r>
    </w:p>
    <w:p w14:paraId="07028F60" w14:textId="6789FBE4" w:rsidR="00467BEE" w:rsidRPr="00467BEE" w:rsidRDefault="00E138FF" w:rsidP="00467BEE">
      <w:pPr>
        <w:spacing w:line="360" w:lineRule="auto"/>
        <w:jc w:val="both"/>
        <w:rPr>
          <w:rFonts w:ascii="Times New Roman" w:hAnsi="Times New Roman" w:cs="Times New Roman"/>
          <w:bCs/>
          <w:sz w:val="24"/>
        </w:rPr>
      </w:pPr>
      <w:r w:rsidRPr="00E138FF">
        <w:rPr>
          <w:rFonts w:ascii="Times New Roman" w:hAnsi="Times New Roman" w:cs="Times New Roman"/>
          <w:bCs/>
          <w:sz w:val="24"/>
        </w:rPr>
        <w:t xml:space="preserve">This report has examined Unilever’s international business operations with a focus on its strategic engagement in Bangladesh. The analysis demonstrated that Unilever’s global success is underpinned by strong ownership advantages, including brand equity, advanced R&amp;D capabilities and global supply-chain expertise, while its international operations also present coordination and </w:t>
      </w:r>
      <w:r w:rsidR="00BB7E29" w:rsidRPr="00E138FF">
        <w:rPr>
          <w:rFonts w:ascii="Times New Roman" w:hAnsi="Times New Roman" w:cs="Times New Roman"/>
          <w:bCs/>
          <w:sz w:val="24"/>
        </w:rPr>
        <w:t>localization</w:t>
      </w:r>
      <w:r w:rsidRPr="00E138FF">
        <w:rPr>
          <w:rFonts w:ascii="Times New Roman" w:hAnsi="Times New Roman" w:cs="Times New Roman"/>
          <w:bCs/>
          <w:sz w:val="24"/>
        </w:rPr>
        <w:t xml:space="preserve"> challenges. </w:t>
      </w:r>
      <w:r w:rsidR="00467BEE" w:rsidRPr="00467BEE">
        <w:rPr>
          <w:rFonts w:ascii="Times New Roman" w:hAnsi="Times New Roman" w:cs="Times New Roman"/>
          <w:bCs/>
          <w:sz w:val="24"/>
        </w:rPr>
        <w:t>The historical use of high-control entry modes adopted by Unilever was found to be quite consistent with Dunning OLI framework</w:t>
      </w:r>
      <w:r w:rsidR="00BB7E29">
        <w:rPr>
          <w:rFonts w:ascii="Times New Roman" w:hAnsi="Times New Roman" w:cs="Times New Roman"/>
          <w:bCs/>
          <w:sz w:val="24"/>
        </w:rPr>
        <w:t>.</w:t>
      </w:r>
    </w:p>
    <w:p w14:paraId="08431D23" w14:textId="022F4850" w:rsidR="00467BEE" w:rsidRPr="00467BEE" w:rsidRDefault="00467BEE" w:rsidP="00467BEE">
      <w:pPr>
        <w:spacing w:line="360" w:lineRule="auto"/>
        <w:jc w:val="both"/>
        <w:rPr>
          <w:rFonts w:ascii="Times New Roman" w:hAnsi="Times New Roman" w:cs="Times New Roman"/>
          <w:bCs/>
          <w:sz w:val="24"/>
        </w:rPr>
      </w:pPr>
      <w:r w:rsidRPr="00467BEE">
        <w:rPr>
          <w:rFonts w:ascii="Times New Roman" w:hAnsi="Times New Roman" w:cs="Times New Roman"/>
          <w:bCs/>
          <w:sz w:val="24"/>
        </w:rPr>
        <w:t xml:space="preserve">The cultural differences between the UK and Bangladesh especially in the areas of power distance, collectivism and uncertainty avoidance are a clear indication that culturally sensitive management, marketing and human resources </w:t>
      </w:r>
      <w:r w:rsidR="00233BC3" w:rsidRPr="00467BEE">
        <w:rPr>
          <w:rFonts w:ascii="Times New Roman" w:hAnsi="Times New Roman" w:cs="Times New Roman"/>
          <w:bCs/>
          <w:sz w:val="24"/>
        </w:rPr>
        <w:t>practices</w:t>
      </w:r>
      <w:r w:rsidRPr="00467BEE">
        <w:rPr>
          <w:rFonts w:ascii="Times New Roman" w:hAnsi="Times New Roman" w:cs="Times New Roman"/>
          <w:bCs/>
          <w:sz w:val="24"/>
        </w:rPr>
        <w:t xml:space="preserve"> are required.</w:t>
      </w:r>
    </w:p>
    <w:p w14:paraId="11C1713A" w14:textId="4142159D" w:rsidR="00E138FF" w:rsidRPr="00E138FF" w:rsidRDefault="00467BEE" w:rsidP="00467BEE">
      <w:pPr>
        <w:spacing w:line="360" w:lineRule="auto"/>
        <w:jc w:val="both"/>
        <w:rPr>
          <w:rFonts w:ascii="Times New Roman" w:hAnsi="Times New Roman" w:cs="Times New Roman"/>
          <w:bCs/>
          <w:sz w:val="24"/>
        </w:rPr>
      </w:pPr>
      <w:r w:rsidRPr="00467BEE">
        <w:rPr>
          <w:rFonts w:ascii="Times New Roman" w:hAnsi="Times New Roman" w:cs="Times New Roman"/>
          <w:bCs/>
          <w:sz w:val="24"/>
        </w:rPr>
        <w:t xml:space="preserve">Three important SOP changes were proposed in the recommendations that included incorporation of cultural sensitivity in branding and management process, enhanced </w:t>
      </w:r>
      <w:r w:rsidR="00880F50" w:rsidRPr="00467BEE">
        <w:rPr>
          <w:rFonts w:ascii="Times New Roman" w:hAnsi="Times New Roman" w:cs="Times New Roman"/>
          <w:bCs/>
          <w:sz w:val="24"/>
        </w:rPr>
        <w:t>localization</w:t>
      </w:r>
      <w:r w:rsidRPr="00467BEE">
        <w:rPr>
          <w:rFonts w:ascii="Times New Roman" w:hAnsi="Times New Roman" w:cs="Times New Roman"/>
          <w:bCs/>
          <w:sz w:val="24"/>
        </w:rPr>
        <w:t xml:space="preserve"> of operations in the supply-chain operations as well as promotion of digital and rural inclusion. </w:t>
      </w:r>
      <w:r w:rsidR="00177C41">
        <w:rPr>
          <w:rFonts w:ascii="Times New Roman" w:hAnsi="Times New Roman" w:cs="Times New Roman"/>
          <w:bCs/>
          <w:sz w:val="24"/>
        </w:rPr>
        <w:t xml:space="preserve">These </w:t>
      </w:r>
      <w:r w:rsidR="00880F50">
        <w:rPr>
          <w:rFonts w:ascii="Times New Roman" w:hAnsi="Times New Roman" w:cs="Times New Roman"/>
          <w:bCs/>
          <w:sz w:val="24"/>
        </w:rPr>
        <w:t>changes</w:t>
      </w:r>
      <w:r w:rsidRPr="00467BEE">
        <w:rPr>
          <w:rFonts w:ascii="Times New Roman" w:hAnsi="Times New Roman" w:cs="Times New Roman"/>
          <w:bCs/>
          <w:sz w:val="24"/>
        </w:rPr>
        <w:t xml:space="preserve"> guarantee strategic fit to OLI insights and cultural realities, making Unilever competitive in the long-term in Bangladesh.</w:t>
      </w:r>
    </w:p>
    <w:p w14:paraId="452189AC" w14:textId="77777777" w:rsidR="00E86861" w:rsidRDefault="00E86861">
      <w:pPr>
        <w:rPr>
          <w:rFonts w:ascii="Times New Roman" w:hAnsi="Times New Roman" w:cs="Times New Roman"/>
          <w:bCs/>
          <w:sz w:val="24"/>
        </w:rPr>
      </w:pPr>
      <w:r>
        <w:rPr>
          <w:rFonts w:ascii="Times New Roman" w:hAnsi="Times New Roman" w:cs="Times New Roman"/>
          <w:bCs/>
          <w:sz w:val="24"/>
        </w:rPr>
        <w:br w:type="page"/>
      </w:r>
    </w:p>
    <w:p w14:paraId="32AB6FE4" w14:textId="77777777" w:rsidR="00E86861" w:rsidRPr="00E86861" w:rsidRDefault="00E86861">
      <w:pPr>
        <w:rPr>
          <w:rFonts w:ascii="Times New Roman" w:hAnsi="Times New Roman" w:cs="Times New Roman"/>
          <w:bCs/>
          <w:sz w:val="24"/>
        </w:rPr>
      </w:pPr>
    </w:p>
    <w:p w14:paraId="75F04096" w14:textId="77777777" w:rsidR="0096026F" w:rsidRDefault="0096026F" w:rsidP="00A35D81">
      <w:pPr>
        <w:pStyle w:val="Heading1"/>
      </w:pPr>
      <w:bookmarkStart w:id="24" w:name="_Toc216458820"/>
      <w:r w:rsidRPr="0096026F">
        <w:t>References</w:t>
      </w:r>
      <w:bookmarkEnd w:id="24"/>
      <w:r w:rsidRPr="0096026F">
        <w:t xml:space="preserve"> </w:t>
      </w:r>
    </w:p>
    <w:p w14:paraId="1CEAB4A1" w14:textId="77777777" w:rsidR="00F56B79" w:rsidRDefault="00F56B79" w:rsidP="00F56B79">
      <w:pPr>
        <w:pStyle w:val="NormalWeb"/>
        <w:spacing w:before="0" w:beforeAutospacing="0" w:after="240" w:afterAutospacing="0" w:line="360" w:lineRule="auto"/>
        <w:jc w:val="both"/>
      </w:pPr>
      <w:r>
        <w:t xml:space="preserve">Ahsan, M. and </w:t>
      </w:r>
      <w:proofErr w:type="spellStart"/>
      <w:r>
        <w:t>Musteen</w:t>
      </w:r>
      <w:proofErr w:type="spellEnd"/>
      <w:r>
        <w:t xml:space="preserve">, M. (2019). Multinational enterprises’ Entry Mode Strategies and Uncertainty: A Review and Extension. </w:t>
      </w:r>
      <w:r>
        <w:rPr>
          <w:i/>
          <w:iCs/>
        </w:rPr>
        <w:t>International Journal of Management Reviews</w:t>
      </w:r>
      <w:r>
        <w:t xml:space="preserve">, 13(4), pp.376–392. </w:t>
      </w:r>
      <w:proofErr w:type="spellStart"/>
      <w:r>
        <w:t>doi:https</w:t>
      </w:r>
      <w:proofErr w:type="spellEnd"/>
      <w:r>
        <w:t>://doi.org/10.1111/j.1468-2370.2010.00296.x.</w:t>
      </w:r>
    </w:p>
    <w:p w14:paraId="73203AF5" w14:textId="77777777" w:rsidR="00F56B79" w:rsidRDefault="00F56B79" w:rsidP="00F56B79">
      <w:pPr>
        <w:pStyle w:val="NormalWeb"/>
        <w:spacing w:before="0" w:beforeAutospacing="0" w:after="240" w:afterAutospacing="0" w:line="360" w:lineRule="auto"/>
        <w:jc w:val="both"/>
      </w:pPr>
      <w:proofErr w:type="spellStart"/>
      <w:r>
        <w:t>Akram</w:t>
      </w:r>
      <w:proofErr w:type="spellEnd"/>
      <w:r>
        <w:t xml:space="preserve">, A., </w:t>
      </w:r>
      <w:proofErr w:type="spellStart"/>
      <w:r>
        <w:t>Merunka</w:t>
      </w:r>
      <w:proofErr w:type="spellEnd"/>
      <w:r>
        <w:t xml:space="preserve">, D. and </w:t>
      </w:r>
      <w:proofErr w:type="spellStart"/>
      <w:r>
        <w:t>Shakaib</w:t>
      </w:r>
      <w:proofErr w:type="spellEnd"/>
      <w:r>
        <w:t xml:space="preserve"> </w:t>
      </w:r>
      <w:proofErr w:type="spellStart"/>
      <w:r>
        <w:t>Akram</w:t>
      </w:r>
      <w:proofErr w:type="spellEnd"/>
      <w:r>
        <w:t xml:space="preserve">, M. (2011). Perceived brand </w:t>
      </w:r>
      <w:proofErr w:type="spellStart"/>
      <w:r>
        <w:t>globalness</w:t>
      </w:r>
      <w:proofErr w:type="spellEnd"/>
      <w:r>
        <w:t xml:space="preserve"> in emerging markets and the moderating role of consumer ethnocentrism. </w:t>
      </w:r>
      <w:r>
        <w:rPr>
          <w:i/>
          <w:iCs/>
        </w:rPr>
        <w:t>International Journal of Emerging Markets</w:t>
      </w:r>
      <w:r>
        <w:t xml:space="preserve">, 6(4), pp.291–303. </w:t>
      </w:r>
      <w:proofErr w:type="spellStart"/>
      <w:r>
        <w:t>doi:https</w:t>
      </w:r>
      <w:proofErr w:type="spellEnd"/>
      <w:r>
        <w:t>://doi.org/10.1108/17468801111170329.</w:t>
      </w:r>
    </w:p>
    <w:p w14:paraId="3682CB3B" w14:textId="1A4C0678" w:rsidR="00F56B79" w:rsidRPr="00D14014" w:rsidRDefault="00F56B79" w:rsidP="00F56B79">
      <w:pPr>
        <w:pStyle w:val="NormalWeb"/>
        <w:spacing w:after="240" w:line="360" w:lineRule="auto"/>
        <w:jc w:val="both"/>
        <w:rPr>
          <w:bCs/>
        </w:rPr>
      </w:pPr>
      <w:r w:rsidRPr="00D14014">
        <w:rPr>
          <w:bCs/>
        </w:rPr>
        <w:t xml:space="preserve">Al </w:t>
      </w:r>
      <w:proofErr w:type="spellStart"/>
      <w:r w:rsidRPr="00D14014">
        <w:rPr>
          <w:bCs/>
        </w:rPr>
        <w:t>Abbasi</w:t>
      </w:r>
      <w:proofErr w:type="spellEnd"/>
      <w:r w:rsidRPr="00D14014">
        <w:rPr>
          <w:bCs/>
        </w:rPr>
        <w:t>, A.A.</w:t>
      </w:r>
      <w:r w:rsidR="009F4F92">
        <w:rPr>
          <w:bCs/>
        </w:rPr>
        <w:t>(</w:t>
      </w:r>
      <w:r w:rsidRPr="00D14014">
        <w:rPr>
          <w:bCs/>
        </w:rPr>
        <w:t>2022</w:t>
      </w:r>
      <w:r w:rsidR="009F4F92">
        <w:rPr>
          <w:bCs/>
        </w:rPr>
        <w:t>)</w:t>
      </w:r>
      <w:r w:rsidRPr="00D14014">
        <w:rPr>
          <w:bCs/>
        </w:rPr>
        <w:t>. Impact of Foreign Direct Investment on Manufacturing Sector of Bangladesh. </w:t>
      </w:r>
      <w:r w:rsidRPr="00D14014">
        <w:rPr>
          <w:bCs/>
          <w:i/>
          <w:iCs/>
        </w:rPr>
        <w:t>International Journal of Innovation, Creativity and Change</w:t>
      </w:r>
      <w:r w:rsidRPr="00D14014">
        <w:rPr>
          <w:bCs/>
        </w:rPr>
        <w:t>, </w:t>
      </w:r>
      <w:r w:rsidRPr="00D14014">
        <w:rPr>
          <w:bCs/>
          <w:i/>
          <w:iCs/>
        </w:rPr>
        <w:t>16</w:t>
      </w:r>
      <w:r w:rsidRPr="00D14014">
        <w:rPr>
          <w:bCs/>
        </w:rPr>
        <w:t>(3), pp.224-247.</w:t>
      </w:r>
    </w:p>
    <w:p w14:paraId="7A0E9346" w14:textId="7B948609" w:rsidR="00F56B79" w:rsidRDefault="00F56B79" w:rsidP="00F56B79">
      <w:pPr>
        <w:pStyle w:val="NormalWeb"/>
        <w:spacing w:before="0" w:beforeAutospacing="0" w:after="240" w:afterAutospacing="0" w:line="360" w:lineRule="auto"/>
        <w:jc w:val="both"/>
      </w:pPr>
      <w:r>
        <w:t xml:space="preserve">Ali, M., Rahman, S.M. and </w:t>
      </w:r>
      <w:proofErr w:type="spellStart"/>
      <w:r>
        <w:t>Frederico</w:t>
      </w:r>
      <w:proofErr w:type="spellEnd"/>
      <w:r>
        <w:t xml:space="preserve">, G.F. (2021). Capability components of supply chain resilience for readymade garments (RMG) sector in Bangladesh during COVID-19. </w:t>
      </w:r>
      <w:r>
        <w:rPr>
          <w:i/>
          <w:iCs/>
        </w:rPr>
        <w:t>Modern Supply Chain Research and Applications</w:t>
      </w:r>
      <w:r>
        <w:t xml:space="preserve">, ahead-of-print(ahead-of-print). </w:t>
      </w:r>
      <w:proofErr w:type="spellStart"/>
      <w:r>
        <w:t>doi:https</w:t>
      </w:r>
      <w:proofErr w:type="spellEnd"/>
      <w:r>
        <w:t>://doi.org/10.1108/mscra-06-2020-0015.</w:t>
      </w:r>
    </w:p>
    <w:p w14:paraId="1C34DAE5" w14:textId="77777777" w:rsidR="00F56B79" w:rsidRDefault="00F56B79" w:rsidP="00F56B79">
      <w:pPr>
        <w:pStyle w:val="NormalWeb"/>
        <w:spacing w:before="0" w:beforeAutospacing="0" w:after="240" w:afterAutospacing="0" w:line="360" w:lineRule="auto"/>
        <w:jc w:val="both"/>
      </w:pPr>
      <w:proofErr w:type="spellStart"/>
      <w:r>
        <w:t>Arunachalam</w:t>
      </w:r>
      <w:proofErr w:type="spellEnd"/>
      <w:r>
        <w:t xml:space="preserve">, S., </w:t>
      </w:r>
      <w:proofErr w:type="spellStart"/>
      <w:r>
        <w:t>Bahadir</w:t>
      </w:r>
      <w:proofErr w:type="spellEnd"/>
      <w:r>
        <w:t xml:space="preserve">, S.C., </w:t>
      </w:r>
      <w:proofErr w:type="spellStart"/>
      <w:r>
        <w:t>Bharadwaj</w:t>
      </w:r>
      <w:proofErr w:type="spellEnd"/>
      <w:r>
        <w:t xml:space="preserve">, S.G. and </w:t>
      </w:r>
      <w:proofErr w:type="spellStart"/>
      <w:r>
        <w:t>Guesalaga</w:t>
      </w:r>
      <w:proofErr w:type="spellEnd"/>
      <w:r>
        <w:t xml:space="preserve">, R. (2020). New product introductions for low-income consumers in emerging markets. </w:t>
      </w:r>
      <w:r>
        <w:rPr>
          <w:i/>
          <w:iCs/>
        </w:rPr>
        <w:t>Journal of the Academy of Marketing Science</w:t>
      </w:r>
      <w:r>
        <w:t xml:space="preserve">, [online] 48. </w:t>
      </w:r>
      <w:proofErr w:type="spellStart"/>
      <w:r>
        <w:t>doi:https</w:t>
      </w:r>
      <w:proofErr w:type="spellEnd"/>
      <w:r>
        <w:t>://doi.org/10.1007/s11747-019-00648-8.</w:t>
      </w:r>
    </w:p>
    <w:p w14:paraId="32BE3D69" w14:textId="77777777" w:rsidR="00F56B79" w:rsidRDefault="00F56B79" w:rsidP="00F56B79">
      <w:pPr>
        <w:pStyle w:val="NormalWeb"/>
        <w:spacing w:before="0" w:beforeAutospacing="0" w:after="240" w:afterAutospacing="0" w:line="360" w:lineRule="auto"/>
        <w:jc w:val="both"/>
      </w:pPr>
      <w:proofErr w:type="spellStart"/>
      <w:r>
        <w:t>Blyde</w:t>
      </w:r>
      <w:proofErr w:type="spellEnd"/>
      <w:r>
        <w:t xml:space="preserve">, J. and Molina, D. (2015). Logistic infrastructure and the international location of fragmented production. </w:t>
      </w:r>
      <w:r>
        <w:rPr>
          <w:i/>
          <w:iCs/>
        </w:rPr>
        <w:t>Journal of International Economics</w:t>
      </w:r>
      <w:r>
        <w:t xml:space="preserve">, 95(2), pp.319–332. </w:t>
      </w:r>
      <w:proofErr w:type="spellStart"/>
      <w:r>
        <w:t>doi:https</w:t>
      </w:r>
      <w:proofErr w:type="spellEnd"/>
      <w:r>
        <w:t>://doi.org/10.1016/j.jinteco.2014.11.010.</w:t>
      </w:r>
    </w:p>
    <w:p w14:paraId="4746C427" w14:textId="77777777" w:rsidR="00F56B79" w:rsidRDefault="00F56B79" w:rsidP="00F56B79">
      <w:pPr>
        <w:pStyle w:val="NormalWeb"/>
        <w:spacing w:before="0" w:beforeAutospacing="0" w:after="240" w:afterAutospacing="0" w:line="360" w:lineRule="auto"/>
        <w:jc w:val="both"/>
      </w:pPr>
      <w:r>
        <w:t xml:space="preserve">De </w:t>
      </w:r>
      <w:proofErr w:type="spellStart"/>
      <w:r>
        <w:t>Mooij</w:t>
      </w:r>
      <w:proofErr w:type="spellEnd"/>
      <w:r>
        <w:t xml:space="preserve">, M. and Hofstede, G. (2011). Cross-Cultural Consumer Behavior: a Review of Research Findings. </w:t>
      </w:r>
      <w:r>
        <w:rPr>
          <w:i/>
          <w:iCs/>
        </w:rPr>
        <w:t>Journal of International Consumer Marketing</w:t>
      </w:r>
      <w:r>
        <w:t xml:space="preserve">, 23(3-4), pp.181–192. </w:t>
      </w:r>
      <w:proofErr w:type="spellStart"/>
      <w:r>
        <w:t>doi:https</w:t>
      </w:r>
      <w:proofErr w:type="spellEnd"/>
      <w:r>
        <w:t>://doi.org/10.1080/08961530.2011.578057.</w:t>
      </w:r>
    </w:p>
    <w:p w14:paraId="00DFF24D" w14:textId="77777777" w:rsidR="00F56B79" w:rsidRDefault="00F56B79" w:rsidP="00F56B79">
      <w:pPr>
        <w:pStyle w:val="NormalWeb"/>
        <w:spacing w:before="0" w:beforeAutospacing="0" w:after="240" w:afterAutospacing="0" w:line="360" w:lineRule="auto"/>
        <w:jc w:val="both"/>
      </w:pPr>
      <w:r>
        <w:t xml:space="preserve">Dunning, J.H. (2015). Toward an Eclectic Theory of International Production: Some Empirical Tests. </w:t>
      </w:r>
      <w:r>
        <w:rPr>
          <w:i/>
          <w:iCs/>
        </w:rPr>
        <w:t>The Eclectic Paradigm</w:t>
      </w:r>
      <w:r>
        <w:t xml:space="preserve">, pp.23–49. </w:t>
      </w:r>
      <w:proofErr w:type="spellStart"/>
      <w:r>
        <w:t>doi:https</w:t>
      </w:r>
      <w:proofErr w:type="spellEnd"/>
      <w:r>
        <w:t>://doi.org/10.1007/978-1-137-54471-1_2.</w:t>
      </w:r>
    </w:p>
    <w:p w14:paraId="2A5F1731" w14:textId="1A50EAFC" w:rsidR="00F56B79" w:rsidRDefault="00F56B79" w:rsidP="00F56B79">
      <w:pPr>
        <w:pStyle w:val="NormalWeb"/>
        <w:spacing w:after="240" w:line="360" w:lineRule="auto"/>
        <w:jc w:val="both"/>
        <w:rPr>
          <w:bCs/>
        </w:rPr>
      </w:pPr>
      <w:r w:rsidRPr="00D14014">
        <w:rPr>
          <w:bCs/>
        </w:rPr>
        <w:t xml:space="preserve">Dunning, J.H. and </w:t>
      </w:r>
      <w:proofErr w:type="spellStart"/>
      <w:r w:rsidRPr="00D14014">
        <w:rPr>
          <w:bCs/>
        </w:rPr>
        <w:t>Lundan</w:t>
      </w:r>
      <w:proofErr w:type="spellEnd"/>
      <w:r w:rsidRPr="00D14014">
        <w:rPr>
          <w:bCs/>
        </w:rPr>
        <w:t>,</w:t>
      </w:r>
      <w:r w:rsidR="00CD0AE2">
        <w:rPr>
          <w:bCs/>
        </w:rPr>
        <w:t xml:space="preserve"> </w:t>
      </w:r>
      <w:r w:rsidRPr="00D14014">
        <w:rPr>
          <w:bCs/>
        </w:rPr>
        <w:t>S.M.</w:t>
      </w:r>
      <w:r w:rsidR="00CD0AE2">
        <w:rPr>
          <w:bCs/>
        </w:rPr>
        <w:t xml:space="preserve"> </w:t>
      </w:r>
      <w:r w:rsidR="00735561">
        <w:rPr>
          <w:bCs/>
        </w:rPr>
        <w:t>(</w:t>
      </w:r>
      <w:r w:rsidRPr="00D14014">
        <w:rPr>
          <w:bCs/>
        </w:rPr>
        <w:t>2008</w:t>
      </w:r>
      <w:r w:rsidR="00735561">
        <w:rPr>
          <w:bCs/>
        </w:rPr>
        <w:t>)</w:t>
      </w:r>
      <w:r w:rsidRPr="00D14014">
        <w:rPr>
          <w:bCs/>
        </w:rPr>
        <w:t>. </w:t>
      </w:r>
      <w:r w:rsidRPr="00D14014">
        <w:rPr>
          <w:bCs/>
          <w:i/>
          <w:iCs/>
        </w:rPr>
        <w:t>Multinational enterprises and the global economy</w:t>
      </w:r>
      <w:r w:rsidRPr="00D14014">
        <w:rPr>
          <w:bCs/>
        </w:rPr>
        <w:t>. Edward Elgar Publishing.</w:t>
      </w:r>
    </w:p>
    <w:p w14:paraId="1D097484" w14:textId="77777777" w:rsidR="00F56B79" w:rsidRDefault="00F56B79" w:rsidP="00F56B79">
      <w:pPr>
        <w:pStyle w:val="NormalWeb"/>
        <w:spacing w:before="0" w:beforeAutospacing="0" w:after="240" w:afterAutospacing="0" w:line="360" w:lineRule="auto"/>
        <w:jc w:val="both"/>
      </w:pPr>
      <w:r>
        <w:t xml:space="preserve">Escamilla, R., </w:t>
      </w:r>
      <w:proofErr w:type="spellStart"/>
      <w:r>
        <w:t>Fransoo</w:t>
      </w:r>
      <w:proofErr w:type="spellEnd"/>
      <w:r>
        <w:t xml:space="preserve">, J.C. and Tang, C.S. (2020). Improving Agility, Adaptability, Alignment, Accessibility, and Affordability in </w:t>
      </w:r>
      <w:proofErr w:type="spellStart"/>
      <w:r>
        <w:t>Nanostore</w:t>
      </w:r>
      <w:proofErr w:type="spellEnd"/>
      <w:r>
        <w:t xml:space="preserve"> Supply Chains. </w:t>
      </w:r>
      <w:r>
        <w:rPr>
          <w:i/>
          <w:iCs/>
        </w:rPr>
        <w:t>Production and Operations Management</w:t>
      </w:r>
      <w:r>
        <w:t xml:space="preserve">, 30(3). </w:t>
      </w:r>
      <w:proofErr w:type="spellStart"/>
      <w:r>
        <w:t>doi:https</w:t>
      </w:r>
      <w:proofErr w:type="spellEnd"/>
      <w:r>
        <w:t>://doi.org/10.1111/poms.13309.</w:t>
      </w:r>
    </w:p>
    <w:p w14:paraId="0EC7B666" w14:textId="77777777" w:rsidR="00F56B79" w:rsidRDefault="00F56B79" w:rsidP="00F56B79">
      <w:pPr>
        <w:pStyle w:val="NormalWeb"/>
        <w:spacing w:before="0" w:beforeAutospacing="0" w:after="240" w:afterAutospacing="0" w:line="360" w:lineRule="auto"/>
        <w:jc w:val="both"/>
      </w:pPr>
      <w:r>
        <w:t xml:space="preserve">Gaur, A.S., </w:t>
      </w:r>
      <w:proofErr w:type="spellStart"/>
      <w:r>
        <w:t>Pattnaik</w:t>
      </w:r>
      <w:proofErr w:type="spellEnd"/>
      <w:r>
        <w:t xml:space="preserve">, C., Singh, D. and Lee, J.Y. (2019). Internalization advantage and subsidiary performance: The role of business group affiliation and host country characteristics. </w:t>
      </w:r>
      <w:r>
        <w:rPr>
          <w:i/>
          <w:iCs/>
        </w:rPr>
        <w:t>Journal of International Business Studies</w:t>
      </w:r>
      <w:r>
        <w:t xml:space="preserve">, 50(8), pp.1253–1282. </w:t>
      </w:r>
      <w:proofErr w:type="spellStart"/>
      <w:r>
        <w:t>doi:https</w:t>
      </w:r>
      <w:proofErr w:type="spellEnd"/>
      <w:r>
        <w:t>://doi.org/10.1057/s41267-019-00236-6.</w:t>
      </w:r>
    </w:p>
    <w:p w14:paraId="1EAD18FF" w14:textId="77777777" w:rsidR="00F56B79" w:rsidRDefault="00F56B79" w:rsidP="00F56B79">
      <w:pPr>
        <w:pStyle w:val="NormalWeb"/>
        <w:spacing w:before="0" w:beforeAutospacing="0" w:after="240" w:afterAutospacing="0" w:line="360" w:lineRule="auto"/>
        <w:jc w:val="both"/>
      </w:pPr>
      <w:r>
        <w:t xml:space="preserve">Hofstede, G. and Bond, M.H. (1988). The Confucius connection: from Cultural Roots to Economic Growth. </w:t>
      </w:r>
      <w:r>
        <w:rPr>
          <w:i/>
          <w:iCs/>
        </w:rPr>
        <w:t>Organizational Dynamics</w:t>
      </w:r>
      <w:r>
        <w:t xml:space="preserve">, 16(4), pp.5–21. </w:t>
      </w:r>
      <w:proofErr w:type="spellStart"/>
      <w:r>
        <w:t>doi:https</w:t>
      </w:r>
      <w:proofErr w:type="spellEnd"/>
      <w:r>
        <w:t>://doi.org/10.1016/0090-2616(88)90009-5.</w:t>
      </w:r>
    </w:p>
    <w:p w14:paraId="71A4B7BA" w14:textId="07A2AFAC" w:rsidR="00F56B79" w:rsidRDefault="00F56B79" w:rsidP="00F56B79">
      <w:pPr>
        <w:pStyle w:val="NormalWeb"/>
        <w:spacing w:after="240" w:line="360" w:lineRule="auto"/>
        <w:jc w:val="both"/>
        <w:rPr>
          <w:bCs/>
        </w:rPr>
      </w:pPr>
      <w:r w:rsidRPr="00190CDF">
        <w:rPr>
          <w:bCs/>
        </w:rPr>
        <w:t xml:space="preserve">Hofstede, G., </w:t>
      </w:r>
      <w:r w:rsidR="00F46966">
        <w:rPr>
          <w:bCs/>
        </w:rPr>
        <w:t>(</w:t>
      </w:r>
      <w:r w:rsidRPr="00190CDF">
        <w:rPr>
          <w:bCs/>
        </w:rPr>
        <w:t>2001</w:t>
      </w:r>
      <w:r w:rsidR="00C14E77">
        <w:rPr>
          <w:bCs/>
        </w:rPr>
        <w:t>)</w:t>
      </w:r>
      <w:r w:rsidRPr="00190CDF">
        <w:rPr>
          <w:bCs/>
        </w:rPr>
        <w:t xml:space="preserve">. Culture's consequences 2nd </w:t>
      </w:r>
      <w:proofErr w:type="spellStart"/>
      <w:r w:rsidR="00943C7F">
        <w:rPr>
          <w:bCs/>
        </w:rPr>
        <w:t>ed</w:t>
      </w:r>
      <w:proofErr w:type="spellEnd"/>
      <w:r w:rsidRPr="00190CDF">
        <w:rPr>
          <w:bCs/>
        </w:rPr>
        <w:t xml:space="preserve"> . </w:t>
      </w:r>
      <w:r w:rsidRPr="00190CDF">
        <w:rPr>
          <w:bCs/>
          <w:i/>
          <w:iCs/>
        </w:rPr>
        <w:t>Thousand Oaks, CA</w:t>
      </w:r>
      <w:r w:rsidR="00426F2B">
        <w:rPr>
          <w:bCs/>
        </w:rPr>
        <w:t xml:space="preserve">: </w:t>
      </w:r>
      <w:r w:rsidR="000B3CE3" w:rsidRPr="000B3CE3">
        <w:rPr>
          <w:bCs/>
          <w:i/>
          <w:iCs/>
        </w:rPr>
        <w:t>sage</w:t>
      </w:r>
      <w:r w:rsidR="000B3CE3">
        <w:rPr>
          <w:bCs/>
        </w:rPr>
        <w:t>.</w:t>
      </w:r>
    </w:p>
    <w:p w14:paraId="57294EE5" w14:textId="0B8711A5" w:rsidR="00F56B79" w:rsidRPr="00A0113F" w:rsidRDefault="00F56B79" w:rsidP="00F56B79">
      <w:pPr>
        <w:spacing w:line="360" w:lineRule="auto"/>
        <w:jc w:val="both"/>
        <w:rPr>
          <w:rFonts w:ascii="Times New Roman" w:hAnsi="Times New Roman" w:cs="Times New Roman"/>
          <w:sz w:val="24"/>
        </w:rPr>
      </w:pPr>
      <w:proofErr w:type="spellStart"/>
      <w:r w:rsidRPr="004F40C6">
        <w:rPr>
          <w:rFonts w:ascii="Times New Roman" w:hAnsi="Times New Roman" w:cs="Times New Roman"/>
          <w:sz w:val="24"/>
        </w:rPr>
        <w:t>Hoftede</w:t>
      </w:r>
      <w:proofErr w:type="spellEnd"/>
      <w:r w:rsidRPr="004F40C6">
        <w:rPr>
          <w:rFonts w:ascii="Times New Roman" w:hAnsi="Times New Roman" w:cs="Times New Roman"/>
          <w:sz w:val="24"/>
        </w:rPr>
        <w:t xml:space="preserve">, G., Hofstede, G.J. and </w:t>
      </w:r>
      <w:proofErr w:type="spellStart"/>
      <w:r w:rsidRPr="004F40C6">
        <w:rPr>
          <w:rFonts w:ascii="Times New Roman" w:hAnsi="Times New Roman" w:cs="Times New Roman"/>
          <w:sz w:val="24"/>
        </w:rPr>
        <w:t>Minkov</w:t>
      </w:r>
      <w:proofErr w:type="spellEnd"/>
      <w:r w:rsidRPr="004F40C6">
        <w:rPr>
          <w:rFonts w:ascii="Times New Roman" w:hAnsi="Times New Roman" w:cs="Times New Roman"/>
          <w:sz w:val="24"/>
        </w:rPr>
        <w:t xml:space="preserve">, M. </w:t>
      </w:r>
      <w:r w:rsidR="00897519">
        <w:rPr>
          <w:rFonts w:ascii="Times New Roman" w:hAnsi="Times New Roman" w:cs="Times New Roman"/>
          <w:sz w:val="24"/>
        </w:rPr>
        <w:t>(</w:t>
      </w:r>
      <w:r w:rsidRPr="004F40C6">
        <w:rPr>
          <w:rFonts w:ascii="Times New Roman" w:hAnsi="Times New Roman" w:cs="Times New Roman"/>
          <w:sz w:val="24"/>
        </w:rPr>
        <w:t>2010</w:t>
      </w:r>
      <w:r w:rsidR="00897519">
        <w:rPr>
          <w:rFonts w:ascii="Times New Roman" w:hAnsi="Times New Roman" w:cs="Times New Roman"/>
          <w:sz w:val="24"/>
        </w:rPr>
        <w:t>)</w:t>
      </w:r>
      <w:r w:rsidRPr="004F40C6">
        <w:rPr>
          <w:rFonts w:ascii="Times New Roman" w:hAnsi="Times New Roman" w:cs="Times New Roman"/>
          <w:sz w:val="24"/>
        </w:rPr>
        <w:t>. </w:t>
      </w:r>
      <w:r w:rsidRPr="004F40C6">
        <w:rPr>
          <w:rFonts w:ascii="Times New Roman" w:hAnsi="Times New Roman" w:cs="Times New Roman"/>
          <w:i/>
          <w:iCs/>
          <w:sz w:val="24"/>
        </w:rPr>
        <w:t>Cultures and organizations: software of the mind: intercultural cooperation and its importance for survival</w:t>
      </w:r>
      <w:r w:rsidRPr="004F40C6">
        <w:rPr>
          <w:rFonts w:ascii="Times New Roman" w:hAnsi="Times New Roman" w:cs="Times New Roman"/>
          <w:sz w:val="24"/>
        </w:rPr>
        <w:t>. McGraw-Hill.</w:t>
      </w:r>
    </w:p>
    <w:p w14:paraId="66C49436" w14:textId="77777777" w:rsidR="00F56B79" w:rsidRDefault="00F56B79" w:rsidP="00F56B79">
      <w:pPr>
        <w:pStyle w:val="NormalWeb"/>
        <w:spacing w:before="0" w:beforeAutospacing="0" w:after="240" w:afterAutospacing="0" w:line="360" w:lineRule="auto"/>
        <w:jc w:val="both"/>
      </w:pPr>
      <w:r>
        <w:t xml:space="preserve">Hossain, M.U., </w:t>
      </w:r>
      <w:proofErr w:type="spellStart"/>
      <w:r>
        <w:t>Ishmam</w:t>
      </w:r>
      <w:proofErr w:type="spellEnd"/>
      <w:r>
        <w:t xml:space="preserve">, M., </w:t>
      </w:r>
      <w:proofErr w:type="spellStart"/>
      <w:r>
        <w:t>Tahsin</w:t>
      </w:r>
      <w:proofErr w:type="spellEnd"/>
      <w:r>
        <w:t xml:space="preserve">, S., </w:t>
      </w:r>
      <w:proofErr w:type="spellStart"/>
      <w:r>
        <w:t>Bairagee</w:t>
      </w:r>
      <w:proofErr w:type="spellEnd"/>
      <w:r>
        <w:t xml:space="preserve">, S.F. and Rahman, S. (2022). </w:t>
      </w:r>
      <w:r>
        <w:rPr>
          <w:i/>
          <w:iCs/>
        </w:rPr>
        <w:t>UNILEVER: TRANSFORMING TO DIGITAL DISTRIBUTION CHANNEL IN BANGLADESH</w:t>
      </w:r>
      <w:r>
        <w:t xml:space="preserve">. [online] </w:t>
      </w:r>
      <w:proofErr w:type="spellStart"/>
      <w:r>
        <w:t>doi:https</w:t>
      </w:r>
      <w:proofErr w:type="spellEnd"/>
      <w:r>
        <w:t>://doi.org/10.13140/RG.2.2.24192.51200.</w:t>
      </w:r>
    </w:p>
    <w:p w14:paraId="1E76C079" w14:textId="77777777" w:rsidR="00F56B79" w:rsidRDefault="00F56B79" w:rsidP="00F56B79">
      <w:pPr>
        <w:pStyle w:val="NormalWeb"/>
        <w:spacing w:before="0" w:beforeAutospacing="0" w:after="240" w:afterAutospacing="0" w:line="360" w:lineRule="auto"/>
        <w:jc w:val="both"/>
      </w:pPr>
      <w:r>
        <w:t xml:space="preserve">Hussain, M. and </w:t>
      </w:r>
      <w:proofErr w:type="spellStart"/>
      <w:r>
        <w:t>Haque</w:t>
      </w:r>
      <w:proofErr w:type="spellEnd"/>
      <w:r>
        <w:t xml:space="preserve">, M. (2016). Foreign Direct Investment, Trade, and Economic Growth: An Empirical Analysis of Bangladesh. </w:t>
      </w:r>
      <w:r>
        <w:rPr>
          <w:i/>
          <w:iCs/>
        </w:rPr>
        <w:t>Economies</w:t>
      </w:r>
      <w:r>
        <w:t xml:space="preserve">, 4(4), p.7. </w:t>
      </w:r>
      <w:proofErr w:type="spellStart"/>
      <w:r>
        <w:t>doi:https</w:t>
      </w:r>
      <w:proofErr w:type="spellEnd"/>
      <w:r>
        <w:t>://doi.org/10.3390/economies4020007.</w:t>
      </w:r>
    </w:p>
    <w:p w14:paraId="4CC2A82A" w14:textId="3088AA5E" w:rsidR="00F56B79" w:rsidRDefault="00F56B79" w:rsidP="00F56B79">
      <w:pPr>
        <w:spacing w:line="360" w:lineRule="auto"/>
        <w:jc w:val="both"/>
        <w:rPr>
          <w:rFonts w:ascii="Times New Roman" w:hAnsi="Times New Roman" w:cs="Times New Roman"/>
          <w:sz w:val="24"/>
        </w:rPr>
      </w:pPr>
      <w:r w:rsidRPr="002A470E">
        <w:rPr>
          <w:rFonts w:ascii="Times New Roman" w:hAnsi="Times New Roman" w:cs="Times New Roman"/>
          <w:sz w:val="24"/>
        </w:rPr>
        <w:t xml:space="preserve">Jones, G. </w:t>
      </w:r>
      <w:r w:rsidR="00152FF3">
        <w:rPr>
          <w:rFonts w:ascii="Times New Roman" w:hAnsi="Times New Roman" w:cs="Times New Roman"/>
          <w:sz w:val="24"/>
        </w:rPr>
        <w:t>(</w:t>
      </w:r>
      <w:r w:rsidRPr="002A470E">
        <w:rPr>
          <w:rFonts w:ascii="Times New Roman" w:hAnsi="Times New Roman" w:cs="Times New Roman"/>
          <w:sz w:val="24"/>
        </w:rPr>
        <w:t>2005</w:t>
      </w:r>
      <w:r w:rsidR="00152FF3">
        <w:rPr>
          <w:rFonts w:ascii="Times New Roman" w:hAnsi="Times New Roman" w:cs="Times New Roman"/>
          <w:sz w:val="24"/>
        </w:rPr>
        <w:t>)</w:t>
      </w:r>
      <w:r w:rsidRPr="002A470E">
        <w:rPr>
          <w:rFonts w:ascii="Times New Roman" w:hAnsi="Times New Roman" w:cs="Times New Roman"/>
          <w:sz w:val="24"/>
        </w:rPr>
        <w:t>. </w:t>
      </w:r>
      <w:r w:rsidRPr="002A470E">
        <w:rPr>
          <w:rFonts w:ascii="Times New Roman" w:hAnsi="Times New Roman" w:cs="Times New Roman"/>
          <w:i/>
          <w:iCs/>
          <w:sz w:val="24"/>
        </w:rPr>
        <w:t>Renewing Unilever: Transformation and tradition: Transformation and Tradition</w:t>
      </w:r>
      <w:r w:rsidRPr="002A470E">
        <w:rPr>
          <w:rFonts w:ascii="Times New Roman" w:hAnsi="Times New Roman" w:cs="Times New Roman"/>
          <w:sz w:val="24"/>
        </w:rPr>
        <w:t>. Oxford University Press, UK.</w:t>
      </w:r>
    </w:p>
    <w:p w14:paraId="62BA34AA" w14:textId="77777777" w:rsidR="00F56B79" w:rsidRDefault="00F56B79" w:rsidP="00F56B79">
      <w:pPr>
        <w:pStyle w:val="NormalWeb"/>
        <w:spacing w:before="0" w:beforeAutospacing="0" w:after="240" w:afterAutospacing="0" w:line="360" w:lineRule="auto"/>
        <w:jc w:val="both"/>
      </w:pPr>
      <w:r>
        <w:t xml:space="preserve">Kang, H. and Lee, W. (2022). How innovating firms manage knowledge leakage: A natural experiment on the threat of worker departure. </w:t>
      </w:r>
      <w:r>
        <w:rPr>
          <w:i/>
          <w:iCs/>
        </w:rPr>
        <w:t>Strategic Management Journal</w:t>
      </w:r>
      <w:r>
        <w:t xml:space="preserve">. </w:t>
      </w:r>
      <w:proofErr w:type="spellStart"/>
      <w:r>
        <w:t>doi:https</w:t>
      </w:r>
      <w:proofErr w:type="spellEnd"/>
      <w:r>
        <w:t>://doi.org/10.1002/smj.3404.</w:t>
      </w:r>
    </w:p>
    <w:p w14:paraId="1C833CB2" w14:textId="77777777" w:rsidR="00F56B79" w:rsidRDefault="00F56B79" w:rsidP="00F56B79">
      <w:pPr>
        <w:pStyle w:val="NormalWeb"/>
        <w:spacing w:before="0" w:beforeAutospacing="0" w:after="240" w:afterAutospacing="0" w:line="360" w:lineRule="auto"/>
        <w:jc w:val="both"/>
      </w:pPr>
      <w:r>
        <w:t xml:space="preserve">Karim, R., </w:t>
      </w:r>
      <w:proofErr w:type="spellStart"/>
      <w:r>
        <w:t>Pk</w:t>
      </w:r>
      <w:proofErr w:type="spellEnd"/>
      <w:r>
        <w:t xml:space="preserve">, M.A.B., </w:t>
      </w:r>
      <w:proofErr w:type="spellStart"/>
      <w:r>
        <w:t>Dey</w:t>
      </w:r>
      <w:proofErr w:type="spellEnd"/>
      <w:r>
        <w:t xml:space="preserve">, P., Akbar, M.A. and Osman, M.S. (2024). A study about the prediction of population growth and demographic transition in Bangladesh. </w:t>
      </w:r>
      <w:r>
        <w:rPr>
          <w:i/>
          <w:iCs/>
        </w:rPr>
        <w:t>Journal of Umm Al-</w:t>
      </w:r>
      <w:proofErr w:type="spellStart"/>
      <w:r>
        <w:rPr>
          <w:i/>
          <w:iCs/>
        </w:rPr>
        <w:t>Qura</w:t>
      </w:r>
      <w:proofErr w:type="spellEnd"/>
      <w:r>
        <w:rPr>
          <w:i/>
          <w:iCs/>
        </w:rPr>
        <w:t xml:space="preserve"> University for Applied Sciences</w:t>
      </w:r>
      <w:r>
        <w:t xml:space="preserve">. </w:t>
      </w:r>
      <w:proofErr w:type="spellStart"/>
      <w:r>
        <w:t>doi:https</w:t>
      </w:r>
      <w:proofErr w:type="spellEnd"/>
      <w:r>
        <w:t>://doi.org/10.1007/s43994-024-00150-0.</w:t>
      </w:r>
    </w:p>
    <w:p w14:paraId="71BC3175" w14:textId="77777777" w:rsidR="00F56B79" w:rsidRDefault="00F56B79" w:rsidP="00F56B79">
      <w:pPr>
        <w:pStyle w:val="NormalWeb"/>
        <w:spacing w:before="0" w:beforeAutospacing="0" w:after="240" w:afterAutospacing="0" w:line="360" w:lineRule="auto"/>
        <w:jc w:val="both"/>
      </w:pPr>
      <w:r>
        <w:t xml:space="preserve">Liu, F., Wu, J., Huang, X. and Fong, P.S.W. (2020). Impact of intra-group </w:t>
      </w:r>
      <w:proofErr w:type="spellStart"/>
      <w:r>
        <w:t>coopetitive</w:t>
      </w:r>
      <w:proofErr w:type="spellEnd"/>
      <w:r>
        <w:t xml:space="preserve"> incentives on the performance outcomes of knowledge sharing: evidence from a randomized experiment. </w:t>
      </w:r>
      <w:r>
        <w:rPr>
          <w:i/>
          <w:iCs/>
        </w:rPr>
        <w:t>Journal of Knowledge Management</w:t>
      </w:r>
      <w:r>
        <w:t xml:space="preserve">, 24(2), pp.346–368. </w:t>
      </w:r>
      <w:proofErr w:type="spellStart"/>
      <w:r>
        <w:t>doi:https</w:t>
      </w:r>
      <w:proofErr w:type="spellEnd"/>
      <w:r>
        <w:t>://doi.org/10.1108/jkm-05-2019-0256.</w:t>
      </w:r>
    </w:p>
    <w:p w14:paraId="5BC24991" w14:textId="77777777" w:rsidR="00F56B79" w:rsidRDefault="00F56B79" w:rsidP="00F56B79">
      <w:pPr>
        <w:pStyle w:val="NormalWeb"/>
        <w:spacing w:before="0" w:beforeAutospacing="0" w:after="240" w:afterAutospacing="0" w:line="360" w:lineRule="auto"/>
        <w:jc w:val="both"/>
      </w:pPr>
      <w:proofErr w:type="spellStart"/>
      <w:r>
        <w:t>Morschett</w:t>
      </w:r>
      <w:proofErr w:type="spellEnd"/>
      <w:r>
        <w:t xml:space="preserve">, D., Schramm-Klein, H., </w:t>
      </w:r>
      <w:proofErr w:type="spellStart"/>
      <w:r>
        <w:t>Zentes</w:t>
      </w:r>
      <w:proofErr w:type="spellEnd"/>
      <w:r>
        <w:t xml:space="preserve">, J. and Bader, B. (2025). Cooperative Foreign Operation Modes. pp.421–445. </w:t>
      </w:r>
      <w:proofErr w:type="spellStart"/>
      <w:r>
        <w:t>doi:https</w:t>
      </w:r>
      <w:proofErr w:type="spellEnd"/>
      <w:r>
        <w:t>://doi.org/10.1007/978-3-031-86213-7_17.</w:t>
      </w:r>
    </w:p>
    <w:p w14:paraId="478D2774" w14:textId="77777777" w:rsidR="00F56B79" w:rsidRDefault="00F56B79" w:rsidP="00F56B79">
      <w:pPr>
        <w:pStyle w:val="NormalWeb"/>
        <w:spacing w:before="0" w:beforeAutospacing="0" w:after="240" w:afterAutospacing="0" w:line="360" w:lineRule="auto"/>
        <w:jc w:val="both"/>
      </w:pPr>
      <w:proofErr w:type="spellStart"/>
      <w:r>
        <w:t>Morshed</w:t>
      </w:r>
      <w:proofErr w:type="spellEnd"/>
      <w:r>
        <w:t xml:space="preserve">, K. and </w:t>
      </w:r>
      <w:proofErr w:type="spellStart"/>
      <w:r>
        <w:t>Hoque</w:t>
      </w:r>
      <w:proofErr w:type="spellEnd"/>
      <w:r>
        <w:t xml:space="preserve">, </w:t>
      </w:r>
      <w:proofErr w:type="spellStart"/>
      <w:r>
        <w:t>Md.N</w:t>
      </w:r>
      <w:proofErr w:type="spellEnd"/>
      <w:r>
        <w:t xml:space="preserve">. (2025). The Influence of Social Media on Consumers’ Purchase Decisions: Evidence from Electronic Products in Bangladesh. </w:t>
      </w:r>
      <w:r>
        <w:rPr>
          <w:i/>
          <w:iCs/>
        </w:rPr>
        <w:t>Chinese Business Review</w:t>
      </w:r>
      <w:r>
        <w:t xml:space="preserve">, [online] 24(3), p.118. </w:t>
      </w:r>
      <w:proofErr w:type="spellStart"/>
      <w:r>
        <w:t>doi:https</w:t>
      </w:r>
      <w:proofErr w:type="spellEnd"/>
      <w:r>
        <w:t>://doi.org/10.17265/1537-1506/2025.03.004.</w:t>
      </w:r>
    </w:p>
    <w:p w14:paraId="0D2F5693" w14:textId="77777777" w:rsidR="00F56B79" w:rsidRDefault="00F56B79" w:rsidP="00F56B79">
      <w:pPr>
        <w:pStyle w:val="NormalWeb"/>
        <w:spacing w:before="0" w:beforeAutospacing="0" w:after="240" w:afterAutospacing="0" w:line="360" w:lineRule="auto"/>
        <w:jc w:val="both"/>
      </w:pPr>
      <w:r>
        <w:t xml:space="preserve">Nag, T. and </w:t>
      </w:r>
      <w:proofErr w:type="spellStart"/>
      <w:r>
        <w:t>Ferdausy</w:t>
      </w:r>
      <w:proofErr w:type="spellEnd"/>
      <w:r>
        <w:t xml:space="preserve">, </w:t>
      </w:r>
      <w:proofErr w:type="spellStart"/>
      <w:r>
        <w:t>Dr.S</w:t>
      </w:r>
      <w:proofErr w:type="spellEnd"/>
      <w:r>
        <w:t xml:space="preserve">. (2021). Supply Chain Management Practices and Supply Chain Performance in the Manufacturing Industries of Bangladesh. </w:t>
      </w:r>
      <w:r>
        <w:rPr>
          <w:i/>
          <w:iCs/>
        </w:rPr>
        <w:t>Logistics &amp; Supply Chain Review</w:t>
      </w:r>
      <w:r>
        <w:t>, 2(1), pp.1–26. doi:https://doi.org/10.38157/logistics-supply-chain-review.v2i1.192.</w:t>
      </w:r>
    </w:p>
    <w:p w14:paraId="6C18F92D" w14:textId="77777777" w:rsidR="00F56B79" w:rsidRDefault="00F56B79" w:rsidP="00F56B79">
      <w:pPr>
        <w:pStyle w:val="NormalWeb"/>
        <w:spacing w:before="0" w:beforeAutospacing="0" w:after="240" w:afterAutospacing="0" w:line="360" w:lineRule="auto"/>
        <w:jc w:val="both"/>
      </w:pPr>
      <w:proofErr w:type="spellStart"/>
      <w:r>
        <w:t>Nath</w:t>
      </w:r>
      <w:proofErr w:type="spellEnd"/>
      <w:r>
        <w:t xml:space="preserve">, P., </w:t>
      </w:r>
      <w:proofErr w:type="spellStart"/>
      <w:r>
        <w:t>Kirca</w:t>
      </w:r>
      <w:proofErr w:type="spellEnd"/>
      <w:r>
        <w:t xml:space="preserve">, A.H. and Kim, S. (2020). EXPRESS: A Study of The Internationalization–Performance Relationship in Global Retailing: The Moderating Role of Brand Standardization and Cultural Diversity. </w:t>
      </w:r>
      <w:r>
        <w:rPr>
          <w:i/>
          <w:iCs/>
        </w:rPr>
        <w:t>Journal of International Marketing</w:t>
      </w:r>
      <w:r>
        <w:t xml:space="preserve">, 29(1), p.1069031X2097654. </w:t>
      </w:r>
      <w:proofErr w:type="spellStart"/>
      <w:r>
        <w:t>doi:https</w:t>
      </w:r>
      <w:proofErr w:type="spellEnd"/>
      <w:r>
        <w:t>://doi.org/10.1177/1069031x20976542.</w:t>
      </w:r>
    </w:p>
    <w:p w14:paraId="151C20E5" w14:textId="77777777" w:rsidR="00F56B79" w:rsidRDefault="00F56B79" w:rsidP="00F56B79">
      <w:pPr>
        <w:pStyle w:val="NormalWeb"/>
        <w:spacing w:before="0" w:beforeAutospacing="0" w:after="240" w:afterAutospacing="0" w:line="360" w:lineRule="auto"/>
        <w:jc w:val="both"/>
      </w:pPr>
      <w:r>
        <w:t xml:space="preserve">NIQ (2022). </w:t>
      </w:r>
      <w:r>
        <w:rPr>
          <w:i/>
          <w:iCs/>
        </w:rPr>
        <w:t>The 2022 state of consumers</w:t>
      </w:r>
      <w:r>
        <w:t xml:space="preserve">. [online] </w:t>
      </w:r>
      <w:proofErr w:type="spellStart"/>
      <w:r>
        <w:t>NielsenIQ</w:t>
      </w:r>
      <w:proofErr w:type="spellEnd"/>
      <w:r>
        <w:t>. Available at: https://nielseniq.com/global/en/insights/analysis/2022/the-2022-state-of-consumers/.</w:t>
      </w:r>
    </w:p>
    <w:p w14:paraId="7326BA3E" w14:textId="77777777" w:rsidR="00F56B79" w:rsidRDefault="00F56B79" w:rsidP="00F56B79">
      <w:pPr>
        <w:pStyle w:val="NormalWeb"/>
        <w:spacing w:before="0" w:beforeAutospacing="0" w:after="240" w:afterAutospacing="0" w:line="360" w:lineRule="auto"/>
        <w:jc w:val="both"/>
      </w:pPr>
      <w:r>
        <w:t xml:space="preserve">Rather, R.A., </w:t>
      </w:r>
      <w:proofErr w:type="spellStart"/>
      <w:r>
        <w:t>Tehseen</w:t>
      </w:r>
      <w:proofErr w:type="spellEnd"/>
      <w:r>
        <w:t xml:space="preserve">, S. and </w:t>
      </w:r>
      <w:proofErr w:type="spellStart"/>
      <w:r>
        <w:t>Parrey</w:t>
      </w:r>
      <w:proofErr w:type="spellEnd"/>
      <w:r>
        <w:t xml:space="preserve">, S.H. (2018). Promoting customer brand engagement and brand loyalty through customer brand identification and value congruity. </w:t>
      </w:r>
      <w:r>
        <w:rPr>
          <w:i/>
          <w:iCs/>
        </w:rPr>
        <w:t>Spanish Journal of Marketing - ESIC</w:t>
      </w:r>
      <w:r>
        <w:t xml:space="preserve">, [online] 22(3), pp.319–337. </w:t>
      </w:r>
      <w:proofErr w:type="spellStart"/>
      <w:r>
        <w:t>doi:https</w:t>
      </w:r>
      <w:proofErr w:type="spellEnd"/>
      <w:r>
        <w:t>://doi.org/10.1108/sjme-06-2018-0030.</w:t>
      </w:r>
    </w:p>
    <w:p w14:paraId="2FC3E08C" w14:textId="7999D6B1" w:rsidR="00F56B79" w:rsidRDefault="00F56B79" w:rsidP="00F56B79">
      <w:pPr>
        <w:pStyle w:val="NormalWeb"/>
        <w:spacing w:after="240" w:line="360" w:lineRule="auto"/>
        <w:jc w:val="both"/>
        <w:rPr>
          <w:bCs/>
        </w:rPr>
      </w:pPr>
      <w:proofErr w:type="spellStart"/>
      <w:r w:rsidRPr="00D14014">
        <w:rPr>
          <w:bCs/>
        </w:rPr>
        <w:t>Saad</w:t>
      </w:r>
      <w:proofErr w:type="spellEnd"/>
      <w:r w:rsidRPr="00D14014">
        <w:rPr>
          <w:bCs/>
        </w:rPr>
        <w:t>, K.M.H.</w:t>
      </w:r>
      <w:r w:rsidR="00E77E0A">
        <w:rPr>
          <w:bCs/>
        </w:rPr>
        <w:t xml:space="preserve"> </w:t>
      </w:r>
      <w:r w:rsidR="00A21C35">
        <w:rPr>
          <w:bCs/>
        </w:rPr>
        <w:t>(</w:t>
      </w:r>
      <w:r w:rsidRPr="00D14014">
        <w:rPr>
          <w:bCs/>
        </w:rPr>
        <w:t>2024</w:t>
      </w:r>
      <w:r w:rsidR="00E77E0A">
        <w:rPr>
          <w:bCs/>
        </w:rPr>
        <w:t>)</w:t>
      </w:r>
      <w:r w:rsidRPr="00D14014">
        <w:rPr>
          <w:bCs/>
        </w:rPr>
        <w:t>. </w:t>
      </w:r>
      <w:r w:rsidRPr="00D14014">
        <w:rPr>
          <w:bCs/>
          <w:i/>
          <w:iCs/>
        </w:rPr>
        <w:t>The dynamics of cultural imperialism in Bangladesh: Unveiling Dominant Influence</w:t>
      </w:r>
      <w:r w:rsidRPr="00D14014">
        <w:rPr>
          <w:bCs/>
        </w:rPr>
        <w:t xml:space="preserve"> (Doctoral dissertation, </w:t>
      </w:r>
      <w:proofErr w:type="spellStart"/>
      <w:r w:rsidRPr="00D14014">
        <w:rPr>
          <w:bCs/>
        </w:rPr>
        <w:t>Brac</w:t>
      </w:r>
      <w:proofErr w:type="spellEnd"/>
      <w:r w:rsidRPr="00D14014">
        <w:rPr>
          <w:bCs/>
        </w:rPr>
        <w:t xml:space="preserve"> University).</w:t>
      </w:r>
    </w:p>
    <w:p w14:paraId="088A36CD" w14:textId="77777777" w:rsidR="00F56B79" w:rsidRDefault="00F56B79" w:rsidP="00F56B79">
      <w:pPr>
        <w:pStyle w:val="NormalWeb"/>
        <w:spacing w:before="0" w:beforeAutospacing="0" w:after="240" w:afterAutospacing="0" w:line="360" w:lineRule="auto"/>
        <w:jc w:val="both"/>
      </w:pPr>
      <w:proofErr w:type="spellStart"/>
      <w:r>
        <w:t>Sheth</w:t>
      </w:r>
      <w:proofErr w:type="spellEnd"/>
      <w:r>
        <w:t xml:space="preserve">, J.N. (2011). Impact of Emerging Markets on Marketing: Rethinking Existing Perspectives and Practices. </w:t>
      </w:r>
      <w:r>
        <w:rPr>
          <w:i/>
          <w:iCs/>
        </w:rPr>
        <w:t>Journal of Marketing</w:t>
      </w:r>
      <w:r>
        <w:t xml:space="preserve">, 75(4), pp.166–182. </w:t>
      </w:r>
      <w:proofErr w:type="spellStart"/>
      <w:r>
        <w:t>doi:https</w:t>
      </w:r>
      <w:proofErr w:type="spellEnd"/>
      <w:r>
        <w:t>://doi.org/10.1509/jmkg.75.4.166.</w:t>
      </w:r>
    </w:p>
    <w:p w14:paraId="39650514" w14:textId="77777777" w:rsidR="00F56B79" w:rsidRDefault="00F56B79" w:rsidP="00F56B79">
      <w:pPr>
        <w:pStyle w:val="NormalWeb"/>
        <w:spacing w:before="0" w:beforeAutospacing="0" w:after="240" w:afterAutospacing="0" w:line="360" w:lineRule="auto"/>
        <w:jc w:val="both"/>
      </w:pPr>
      <w:proofErr w:type="spellStart"/>
      <w:r>
        <w:t>Shirkoohi</w:t>
      </w:r>
      <w:proofErr w:type="spellEnd"/>
      <w:r>
        <w:t xml:space="preserve">, S.M. and </w:t>
      </w:r>
      <w:proofErr w:type="spellStart"/>
      <w:r>
        <w:t>Mohiuddin</w:t>
      </w:r>
      <w:proofErr w:type="spellEnd"/>
      <w:r>
        <w:t xml:space="preserve">, M. (2025). Developing sustainable global value chain: role of multi-stakeholder collaborations and digitalization. </w:t>
      </w:r>
      <w:r>
        <w:rPr>
          <w:i/>
          <w:iCs/>
        </w:rPr>
        <w:t>Cleaner Logistics and Supply Chain</w:t>
      </w:r>
      <w:r>
        <w:t xml:space="preserve">, 17, p.100271. </w:t>
      </w:r>
      <w:proofErr w:type="spellStart"/>
      <w:r>
        <w:t>doi:https</w:t>
      </w:r>
      <w:proofErr w:type="spellEnd"/>
      <w:r>
        <w:t>://doi.org/10.1016/j.clscn.2025.100271.</w:t>
      </w:r>
    </w:p>
    <w:p w14:paraId="7380A95A" w14:textId="77777777" w:rsidR="00F56B79" w:rsidRDefault="00F56B79" w:rsidP="00F56B79">
      <w:pPr>
        <w:pStyle w:val="NormalWeb"/>
        <w:spacing w:before="0" w:beforeAutospacing="0" w:after="240" w:afterAutospacing="0" w:line="360" w:lineRule="auto"/>
        <w:jc w:val="both"/>
      </w:pPr>
      <w:proofErr w:type="spellStart"/>
      <w:r>
        <w:t>Sobhan</w:t>
      </w:r>
      <w:proofErr w:type="spellEnd"/>
      <w:r>
        <w:t xml:space="preserve">, A. (2016). Where Institutional Logics of Corporate Governance Collide: Overstatement of Compliance in a Developing Country, Bangladesh. </w:t>
      </w:r>
      <w:r>
        <w:rPr>
          <w:i/>
          <w:iCs/>
        </w:rPr>
        <w:t>Corporate Governance: An International Review</w:t>
      </w:r>
      <w:r>
        <w:t xml:space="preserve">, 24(6), pp.599–618. </w:t>
      </w:r>
      <w:proofErr w:type="spellStart"/>
      <w:r>
        <w:t>doi:https</w:t>
      </w:r>
      <w:proofErr w:type="spellEnd"/>
      <w:r>
        <w:t>://doi.org/10.1111/corg.12163.</w:t>
      </w:r>
    </w:p>
    <w:p w14:paraId="29EDE0C6" w14:textId="77777777" w:rsidR="00F56B79" w:rsidRDefault="00F56B79" w:rsidP="00F56B79">
      <w:pPr>
        <w:pStyle w:val="NormalWeb"/>
        <w:spacing w:before="0" w:beforeAutospacing="0" w:after="240" w:afterAutospacing="0" w:line="360" w:lineRule="auto"/>
        <w:jc w:val="both"/>
      </w:pPr>
      <w:proofErr w:type="spellStart"/>
      <w:r>
        <w:t>Sodhi</w:t>
      </w:r>
      <w:proofErr w:type="spellEnd"/>
      <w:r>
        <w:t xml:space="preserve">, M.S. and Tang, C.S. (2024). Social Responsibility in Supply Chains. </w:t>
      </w:r>
      <w:r>
        <w:rPr>
          <w:i/>
          <w:iCs/>
        </w:rPr>
        <w:t>Springer series in supply chain management</w:t>
      </w:r>
      <w:r>
        <w:t xml:space="preserve">, pp.505–527. </w:t>
      </w:r>
      <w:proofErr w:type="spellStart"/>
      <w:r>
        <w:t>doi:https</w:t>
      </w:r>
      <w:proofErr w:type="spellEnd"/>
      <w:r>
        <w:t>://doi.org/10.1007/978-3-031-45565-0_21.</w:t>
      </w:r>
    </w:p>
    <w:p w14:paraId="25D4E82B" w14:textId="77777777" w:rsidR="00F56B79" w:rsidRDefault="00F56B79" w:rsidP="00F56B79">
      <w:pPr>
        <w:pStyle w:val="NormalWeb"/>
        <w:spacing w:before="0" w:beforeAutospacing="0" w:after="240" w:afterAutospacing="0" w:line="360" w:lineRule="auto"/>
        <w:jc w:val="both"/>
      </w:pPr>
      <w:proofErr w:type="spellStart"/>
      <w:r>
        <w:t>Terlep</w:t>
      </w:r>
      <w:proofErr w:type="spellEnd"/>
      <w:r>
        <w:t xml:space="preserve">, S. (2016). </w:t>
      </w:r>
      <w:r>
        <w:rPr>
          <w:i/>
          <w:iCs/>
        </w:rPr>
        <w:t>Unilever Buys Dollar Shave Club</w:t>
      </w:r>
      <w:r>
        <w:t>. [online] The Wall Street Journal. Available at: https://www.wsj.com/articles/unilever-buys-dollar-shave-club-1469014176 [Accessed 2 Dec. 2025].</w:t>
      </w:r>
    </w:p>
    <w:p w14:paraId="73DB8419" w14:textId="77777777" w:rsidR="00F56B79" w:rsidRDefault="00F56B79" w:rsidP="00F56B79">
      <w:pPr>
        <w:pStyle w:val="NormalWeb"/>
        <w:spacing w:before="0" w:beforeAutospacing="0" w:after="240" w:afterAutospacing="0" w:line="360" w:lineRule="auto"/>
        <w:jc w:val="both"/>
      </w:pPr>
      <w:r>
        <w:t xml:space="preserve">The Business Standard. (2024a). </w:t>
      </w:r>
      <w:r>
        <w:rPr>
          <w:i/>
          <w:iCs/>
        </w:rPr>
        <w:t>Despite economic pressure, FMCG industry still has room to grow</w:t>
      </w:r>
      <w:r>
        <w:t>. [online] Available at: https://www.tbsnews.net/supplement/despite-economic-pressure-fmcg-industry-still-has-room-grow-980941.</w:t>
      </w:r>
    </w:p>
    <w:p w14:paraId="4767A20D" w14:textId="77777777" w:rsidR="00F56B79" w:rsidRDefault="00F56B79" w:rsidP="00F56B79">
      <w:pPr>
        <w:pStyle w:val="NormalWeb"/>
        <w:spacing w:before="0" w:beforeAutospacing="0" w:after="240" w:afterAutospacing="0" w:line="360" w:lineRule="auto"/>
        <w:jc w:val="both"/>
      </w:pPr>
      <w:r>
        <w:t xml:space="preserve">The Business Standard. (2024b). </w:t>
      </w:r>
      <w:r>
        <w:rPr>
          <w:i/>
          <w:iCs/>
        </w:rPr>
        <w:t>Unilever Bangladesh to acquire 20 acres of land to scale up production</w:t>
      </w:r>
      <w:r>
        <w:t>. [online] Available at: https://www.tbsnews.net/economy/unilever-bangladesh-acquire-20-acres-land-scale-production-824376.</w:t>
      </w:r>
    </w:p>
    <w:p w14:paraId="6DC0A702" w14:textId="77777777" w:rsidR="00F56B79" w:rsidRDefault="00F56B79" w:rsidP="00F56B79">
      <w:pPr>
        <w:pStyle w:val="NormalWeb"/>
        <w:spacing w:before="0" w:beforeAutospacing="0" w:after="240" w:afterAutospacing="0" w:line="360" w:lineRule="auto"/>
        <w:jc w:val="both"/>
      </w:pPr>
      <w:r w:rsidRPr="00E03DFE">
        <w:rPr>
          <w:bCs/>
        </w:rPr>
        <w:t>The Culture Factor Group</w:t>
      </w:r>
      <w:r w:rsidRPr="00E03DFE">
        <w:t xml:space="preserve"> (2023) </w:t>
      </w:r>
      <w:r w:rsidRPr="00E03DFE">
        <w:rPr>
          <w:i/>
          <w:iCs/>
        </w:rPr>
        <w:t>Country Comparison Tool</w:t>
      </w:r>
      <w:r w:rsidRPr="00E03DFE">
        <w:t xml:space="preserve">. Available at: </w:t>
      </w:r>
      <w:hyperlink r:id="rId16" w:tgtFrame="_new" w:history="1">
        <w:r w:rsidRPr="00E03DFE">
          <w:rPr>
            <w:rStyle w:val="Hyperlink"/>
          </w:rPr>
          <w:t>https://www.theculturefactor.com/country-comparison-tool?countries=bangladesh%2Cunited+kingdom</w:t>
        </w:r>
      </w:hyperlink>
      <w:r w:rsidRPr="00E03DFE">
        <w:t xml:space="preserve"> (Accessed: 5 </w:t>
      </w:r>
      <w:r>
        <w:t>December</w:t>
      </w:r>
      <w:r w:rsidRPr="00E03DFE">
        <w:t xml:space="preserve"> 2025).</w:t>
      </w:r>
    </w:p>
    <w:p w14:paraId="12D3F336" w14:textId="77777777" w:rsidR="00F56B79" w:rsidRDefault="00F56B79" w:rsidP="00F56B79">
      <w:pPr>
        <w:pStyle w:val="NormalWeb"/>
        <w:spacing w:before="0" w:beforeAutospacing="0" w:after="240" w:afterAutospacing="0" w:line="360" w:lineRule="auto"/>
        <w:jc w:val="both"/>
      </w:pPr>
      <w:r>
        <w:t xml:space="preserve">Unilever (2024). </w:t>
      </w:r>
      <w:r>
        <w:rPr>
          <w:i/>
          <w:iCs/>
        </w:rPr>
        <w:t>Annual Report and Accounts 2024</w:t>
      </w:r>
      <w:r>
        <w:t>. [online] Unilever. Available at: https://www.unilever.com/investors/annual-report-and-accounts/.</w:t>
      </w:r>
    </w:p>
    <w:p w14:paraId="68261F47" w14:textId="77777777" w:rsidR="00F56B79" w:rsidRDefault="00F56B79" w:rsidP="00F56B79">
      <w:pPr>
        <w:pStyle w:val="NormalWeb"/>
        <w:spacing w:before="0" w:beforeAutospacing="0" w:after="240" w:afterAutospacing="0" w:line="360" w:lineRule="auto"/>
        <w:jc w:val="both"/>
      </w:pPr>
      <w:r>
        <w:t xml:space="preserve">Unilever Bangladesh. (2010). </w:t>
      </w:r>
      <w:r>
        <w:rPr>
          <w:i/>
          <w:iCs/>
        </w:rPr>
        <w:t>Home</w:t>
      </w:r>
      <w:r>
        <w:t>. [online] Available at: https://www.unilever.com.bd/.</w:t>
      </w:r>
    </w:p>
    <w:p w14:paraId="7F654679" w14:textId="210C4535" w:rsidR="00F56B79" w:rsidRDefault="00F56B79" w:rsidP="00F56B79">
      <w:pPr>
        <w:pStyle w:val="NormalWeb"/>
        <w:spacing w:before="0" w:beforeAutospacing="0" w:after="240" w:afterAutospacing="0" w:line="360" w:lineRule="auto"/>
        <w:jc w:val="both"/>
      </w:pPr>
      <w:r>
        <w:t xml:space="preserve">Unilever PLC (2025). </w:t>
      </w:r>
      <w:r>
        <w:rPr>
          <w:i/>
          <w:iCs/>
        </w:rPr>
        <w:t>Our History</w:t>
      </w:r>
      <w:r>
        <w:t>. [online] Unilever. Available at: https://www.unilever.com.bd/our-company/our-history/? [Accessed 19 Nov. 2025].</w:t>
      </w:r>
    </w:p>
    <w:p w14:paraId="6B4D79C1" w14:textId="77777777" w:rsidR="00F56B79" w:rsidRDefault="00F56B79" w:rsidP="00F56B79">
      <w:pPr>
        <w:pStyle w:val="NormalWeb"/>
        <w:spacing w:before="0" w:beforeAutospacing="0" w:after="240" w:afterAutospacing="0" w:line="360" w:lineRule="auto"/>
        <w:jc w:val="both"/>
      </w:pPr>
      <w:r>
        <w:t xml:space="preserve">Wei, C. and Lee, J.M. (2025). Intellectual Property Rights Regime and Ownership Decisions in Cross-border Acquisitions by Emerging Market Multinationals. </w:t>
      </w:r>
      <w:r>
        <w:rPr>
          <w:i/>
          <w:iCs/>
        </w:rPr>
        <w:t>Management International Review</w:t>
      </w:r>
      <w:r>
        <w:t xml:space="preserve">. </w:t>
      </w:r>
      <w:proofErr w:type="spellStart"/>
      <w:r>
        <w:t>doi:https</w:t>
      </w:r>
      <w:proofErr w:type="spellEnd"/>
      <w:r>
        <w:t>://doi.org/10.1007/s11575-025-00587-3.</w:t>
      </w:r>
    </w:p>
    <w:p w14:paraId="1644CD3D" w14:textId="77777777" w:rsidR="00F56B79" w:rsidRDefault="00F56B79" w:rsidP="00F56B79">
      <w:pPr>
        <w:pStyle w:val="NormalWeb"/>
        <w:spacing w:before="0" w:beforeAutospacing="0" w:after="240" w:afterAutospacing="0" w:line="360" w:lineRule="auto"/>
        <w:jc w:val="both"/>
      </w:pPr>
      <w:r>
        <w:t xml:space="preserve">World Bank (2023). </w:t>
      </w:r>
      <w:r>
        <w:rPr>
          <w:i/>
          <w:iCs/>
        </w:rPr>
        <w:t>Bangladesh Development Update New Frontiers in Poverty Reduction</w:t>
      </w:r>
      <w:r>
        <w:t>. [online] Available at: https://thedocs.worldbank.org/en/doc/cf07cf58f2c345063c972a47209b8c11-0310012023/original/Bangladesh-Development-Update-October-2023.pdf.</w:t>
      </w:r>
    </w:p>
    <w:p w14:paraId="688254D4" w14:textId="77777777" w:rsidR="00F56B79" w:rsidRDefault="00F56B79" w:rsidP="00F56B79">
      <w:pPr>
        <w:pStyle w:val="NormalWeb"/>
        <w:spacing w:before="0" w:beforeAutospacing="0" w:after="240" w:afterAutospacing="0" w:line="360" w:lineRule="auto"/>
        <w:jc w:val="both"/>
      </w:pPr>
      <w:r>
        <w:t xml:space="preserve">World Bank (2024). </w:t>
      </w:r>
      <w:r>
        <w:rPr>
          <w:i/>
          <w:iCs/>
        </w:rPr>
        <w:t>The World Bank In Bangladesh</w:t>
      </w:r>
      <w:r>
        <w:t xml:space="preserve">. [online] World Bank. Available at: </w:t>
      </w:r>
      <w:hyperlink r:id="rId17" w:history="1">
        <w:r w:rsidRPr="00345C06">
          <w:rPr>
            <w:rStyle w:val="Hyperlink"/>
          </w:rPr>
          <w:t>https://www.worldbank.org/en/country/bangladesh/overview</w:t>
        </w:r>
      </w:hyperlink>
      <w:r>
        <w:t>.</w:t>
      </w:r>
    </w:p>
    <w:p w14:paraId="6AFD47A4" w14:textId="77777777" w:rsidR="00F56B79" w:rsidRDefault="00F56B79" w:rsidP="00A0113F">
      <w:pPr>
        <w:pStyle w:val="NormalWeb"/>
        <w:spacing w:before="0" w:beforeAutospacing="0" w:after="240" w:afterAutospacing="0" w:line="360" w:lineRule="auto"/>
        <w:jc w:val="both"/>
      </w:pPr>
    </w:p>
    <w:p w14:paraId="11B25DBC" w14:textId="77777777" w:rsidR="00F56B79" w:rsidRDefault="00F56B79" w:rsidP="00A0113F">
      <w:pPr>
        <w:pStyle w:val="NormalWeb"/>
        <w:spacing w:before="0" w:beforeAutospacing="0" w:after="240" w:afterAutospacing="0" w:line="360" w:lineRule="auto"/>
        <w:jc w:val="both"/>
      </w:pPr>
    </w:p>
    <w:p w14:paraId="02C2B238" w14:textId="77777777" w:rsidR="00A0113F" w:rsidRDefault="00A0113F" w:rsidP="00B14D7E">
      <w:pPr>
        <w:pStyle w:val="NormalWeb"/>
        <w:spacing w:before="0" w:beforeAutospacing="0" w:after="240" w:afterAutospacing="0" w:line="360" w:lineRule="auto"/>
        <w:jc w:val="both"/>
      </w:pPr>
    </w:p>
    <w:p w14:paraId="023BB550" w14:textId="77777777" w:rsidR="00AD4C72" w:rsidRPr="00D14014" w:rsidRDefault="00AD4C72" w:rsidP="00D14014">
      <w:pPr>
        <w:pStyle w:val="NormalWeb"/>
        <w:spacing w:after="240" w:line="360" w:lineRule="auto"/>
        <w:jc w:val="both"/>
        <w:rPr>
          <w:bCs/>
        </w:rPr>
      </w:pPr>
    </w:p>
    <w:p w14:paraId="47A75C8F" w14:textId="77777777" w:rsidR="00D14014" w:rsidRPr="00D14014" w:rsidRDefault="00D14014" w:rsidP="00D14014">
      <w:pPr>
        <w:pStyle w:val="NormalWeb"/>
        <w:spacing w:after="240" w:line="360" w:lineRule="auto"/>
        <w:jc w:val="both"/>
        <w:rPr>
          <w:bCs/>
        </w:rPr>
      </w:pPr>
    </w:p>
    <w:p w14:paraId="7A96C803" w14:textId="77777777" w:rsidR="005B2F24" w:rsidRPr="0096026F" w:rsidRDefault="005B2F24" w:rsidP="0096026F">
      <w:pPr>
        <w:spacing w:line="360" w:lineRule="auto"/>
        <w:jc w:val="both"/>
        <w:rPr>
          <w:sz w:val="24"/>
          <w:szCs w:val="24"/>
        </w:rPr>
      </w:pPr>
    </w:p>
    <w:sectPr w:rsidR="005B2F24" w:rsidRPr="0096026F" w:rsidSect="001574C8">
      <w:footerReference w:type="default" r:id="rId1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8912D8" w14:textId="77777777" w:rsidR="00283C82" w:rsidRDefault="00283C82" w:rsidP="0096026F">
      <w:pPr>
        <w:spacing w:after="0" w:line="240" w:lineRule="auto"/>
      </w:pPr>
      <w:r>
        <w:separator/>
      </w:r>
    </w:p>
  </w:endnote>
  <w:endnote w:type="continuationSeparator" w:id="0">
    <w:p w14:paraId="11476CDE" w14:textId="77777777" w:rsidR="00283C82" w:rsidRDefault="00283C82" w:rsidP="009602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5212686"/>
      <w:docPartObj>
        <w:docPartGallery w:val="Page Numbers (Bottom of Page)"/>
        <w:docPartUnique/>
      </w:docPartObj>
    </w:sdtPr>
    <w:sdtEndPr>
      <w:rPr>
        <w:color w:val="7F7F7F" w:themeColor="background1" w:themeShade="7F"/>
        <w:spacing w:val="60"/>
      </w:rPr>
    </w:sdtEndPr>
    <w:sdtContent>
      <w:p w14:paraId="2C9B4A5A" w14:textId="77777777" w:rsidR="00FE7123" w:rsidRDefault="00FE7123">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F56B79" w:rsidRPr="00F56B79">
          <w:rPr>
            <w:b/>
            <w:bCs/>
            <w:noProof/>
          </w:rPr>
          <w:t>24</w:t>
        </w:r>
        <w:r>
          <w:rPr>
            <w:b/>
            <w:bCs/>
            <w:noProof/>
          </w:rPr>
          <w:fldChar w:fldCharType="end"/>
        </w:r>
        <w:r>
          <w:rPr>
            <w:b/>
            <w:bCs/>
          </w:rPr>
          <w:t xml:space="preserve"> | </w:t>
        </w:r>
        <w:r>
          <w:rPr>
            <w:color w:val="7F7F7F" w:themeColor="background1" w:themeShade="7F"/>
            <w:spacing w:val="60"/>
          </w:rPr>
          <w:t>Page</w:t>
        </w:r>
      </w:p>
    </w:sdtContent>
  </w:sdt>
  <w:p w14:paraId="5C8025A7" w14:textId="77777777" w:rsidR="00FE7123" w:rsidRDefault="00FE71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523793" w14:textId="77777777" w:rsidR="00283C82" w:rsidRDefault="00283C82" w:rsidP="0096026F">
      <w:pPr>
        <w:spacing w:after="0" w:line="240" w:lineRule="auto"/>
      </w:pPr>
      <w:r>
        <w:separator/>
      </w:r>
    </w:p>
  </w:footnote>
  <w:footnote w:type="continuationSeparator" w:id="0">
    <w:p w14:paraId="4D4C4EC6" w14:textId="77777777" w:rsidR="00283C82" w:rsidRDefault="00283C82" w:rsidP="009602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B25BB0"/>
    <w:multiLevelType w:val="multilevel"/>
    <w:tmpl w:val="6D829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32668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026F"/>
    <w:rsid w:val="0005610C"/>
    <w:rsid w:val="000962B6"/>
    <w:rsid w:val="000B08EF"/>
    <w:rsid w:val="000B3CE3"/>
    <w:rsid w:val="000B4C8C"/>
    <w:rsid w:val="000D69BC"/>
    <w:rsid w:val="000F2BFB"/>
    <w:rsid w:val="000F4520"/>
    <w:rsid w:val="00100AA2"/>
    <w:rsid w:val="00124D01"/>
    <w:rsid w:val="00125DE1"/>
    <w:rsid w:val="00132C37"/>
    <w:rsid w:val="00152FF3"/>
    <w:rsid w:val="001574C8"/>
    <w:rsid w:val="0017717B"/>
    <w:rsid w:val="00177C41"/>
    <w:rsid w:val="0019093D"/>
    <w:rsid w:val="00190CDF"/>
    <w:rsid w:val="001F42DD"/>
    <w:rsid w:val="00233BC3"/>
    <w:rsid w:val="00270103"/>
    <w:rsid w:val="0027423B"/>
    <w:rsid w:val="00283C82"/>
    <w:rsid w:val="00285308"/>
    <w:rsid w:val="00290C2D"/>
    <w:rsid w:val="002A1B1A"/>
    <w:rsid w:val="002A470E"/>
    <w:rsid w:val="002A5132"/>
    <w:rsid w:val="002C5002"/>
    <w:rsid w:val="002C5068"/>
    <w:rsid w:val="002D0138"/>
    <w:rsid w:val="002D0E47"/>
    <w:rsid w:val="0031539D"/>
    <w:rsid w:val="003438E5"/>
    <w:rsid w:val="00346ADF"/>
    <w:rsid w:val="0035773E"/>
    <w:rsid w:val="003C1FA7"/>
    <w:rsid w:val="003D2726"/>
    <w:rsid w:val="003E68C9"/>
    <w:rsid w:val="003F2E78"/>
    <w:rsid w:val="0040354B"/>
    <w:rsid w:val="00426F2B"/>
    <w:rsid w:val="00431C09"/>
    <w:rsid w:val="00432418"/>
    <w:rsid w:val="0045289C"/>
    <w:rsid w:val="004546DC"/>
    <w:rsid w:val="00467BEE"/>
    <w:rsid w:val="00494EFA"/>
    <w:rsid w:val="004C1E00"/>
    <w:rsid w:val="00507B23"/>
    <w:rsid w:val="005744DE"/>
    <w:rsid w:val="005775BF"/>
    <w:rsid w:val="005B2F24"/>
    <w:rsid w:val="005B5814"/>
    <w:rsid w:val="00601A46"/>
    <w:rsid w:val="00615A34"/>
    <w:rsid w:val="00626680"/>
    <w:rsid w:val="006504BE"/>
    <w:rsid w:val="006664C6"/>
    <w:rsid w:val="00684226"/>
    <w:rsid w:val="006935B3"/>
    <w:rsid w:val="006C4CFB"/>
    <w:rsid w:val="0071715A"/>
    <w:rsid w:val="00732BF1"/>
    <w:rsid w:val="00735561"/>
    <w:rsid w:val="007472E9"/>
    <w:rsid w:val="0076709C"/>
    <w:rsid w:val="00801C52"/>
    <w:rsid w:val="008169BC"/>
    <w:rsid w:val="0084251E"/>
    <w:rsid w:val="00850158"/>
    <w:rsid w:val="00880F50"/>
    <w:rsid w:val="00897519"/>
    <w:rsid w:val="008A0226"/>
    <w:rsid w:val="008A2851"/>
    <w:rsid w:val="008B2410"/>
    <w:rsid w:val="008E4C53"/>
    <w:rsid w:val="008F7E93"/>
    <w:rsid w:val="0091460B"/>
    <w:rsid w:val="00926EB1"/>
    <w:rsid w:val="00943C7F"/>
    <w:rsid w:val="00943E71"/>
    <w:rsid w:val="00957FC0"/>
    <w:rsid w:val="0096026F"/>
    <w:rsid w:val="0099397F"/>
    <w:rsid w:val="009A5629"/>
    <w:rsid w:val="009D7268"/>
    <w:rsid w:val="009F4F92"/>
    <w:rsid w:val="00A0113F"/>
    <w:rsid w:val="00A14586"/>
    <w:rsid w:val="00A21C35"/>
    <w:rsid w:val="00A34F00"/>
    <w:rsid w:val="00A35D81"/>
    <w:rsid w:val="00A51B89"/>
    <w:rsid w:val="00A754F6"/>
    <w:rsid w:val="00AB2646"/>
    <w:rsid w:val="00AC5E24"/>
    <w:rsid w:val="00AD3427"/>
    <w:rsid w:val="00AD4C72"/>
    <w:rsid w:val="00B00CA5"/>
    <w:rsid w:val="00B1205C"/>
    <w:rsid w:val="00B14D7E"/>
    <w:rsid w:val="00B70624"/>
    <w:rsid w:val="00BB7E29"/>
    <w:rsid w:val="00BB7F6E"/>
    <w:rsid w:val="00BF02CC"/>
    <w:rsid w:val="00C14E77"/>
    <w:rsid w:val="00C21AC3"/>
    <w:rsid w:val="00C30CAE"/>
    <w:rsid w:val="00C80497"/>
    <w:rsid w:val="00CD0AE2"/>
    <w:rsid w:val="00D14014"/>
    <w:rsid w:val="00D252A1"/>
    <w:rsid w:val="00DC39A3"/>
    <w:rsid w:val="00DE0AF7"/>
    <w:rsid w:val="00E03DFE"/>
    <w:rsid w:val="00E138FF"/>
    <w:rsid w:val="00E202FF"/>
    <w:rsid w:val="00E31C0C"/>
    <w:rsid w:val="00E41FB7"/>
    <w:rsid w:val="00E60397"/>
    <w:rsid w:val="00E77E0A"/>
    <w:rsid w:val="00E86861"/>
    <w:rsid w:val="00EC1CC3"/>
    <w:rsid w:val="00EF0AE5"/>
    <w:rsid w:val="00F4090E"/>
    <w:rsid w:val="00F41260"/>
    <w:rsid w:val="00F46966"/>
    <w:rsid w:val="00F50578"/>
    <w:rsid w:val="00F56B79"/>
    <w:rsid w:val="00F94F88"/>
    <w:rsid w:val="00F96AC8"/>
    <w:rsid w:val="00FA74EF"/>
    <w:rsid w:val="00FC4402"/>
    <w:rsid w:val="00FE7123"/>
    <w:rsid w:val="00FF03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895FA9"/>
  <w15:chartTrackingRefBased/>
  <w15:docId w15:val="{518C0257-5AA6-4F98-AC16-118F630BC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54F6"/>
    <w:pPr>
      <w:keepNext/>
      <w:keepLines/>
      <w:spacing w:before="240" w:after="0"/>
      <w:outlineLvl w:val="0"/>
    </w:pPr>
    <w:rPr>
      <w:rFonts w:ascii="Times New Roman" w:eastAsiaTheme="majorEastAsia" w:hAnsi="Times New Roman" w:cstheme="majorBidi"/>
      <w:b/>
      <w:color w:val="000000" w:themeColor="text1"/>
      <w:sz w:val="32"/>
      <w:szCs w:val="32"/>
    </w:rPr>
  </w:style>
  <w:style w:type="paragraph" w:styleId="Heading2">
    <w:name w:val="heading 2"/>
    <w:basedOn w:val="Normal"/>
    <w:link w:val="Heading2Char"/>
    <w:uiPriority w:val="9"/>
    <w:qFormat/>
    <w:rsid w:val="0040354B"/>
    <w:pPr>
      <w:spacing w:before="100" w:beforeAutospacing="1" w:after="100" w:afterAutospacing="1" w:line="240" w:lineRule="auto"/>
      <w:outlineLvl w:val="1"/>
    </w:pPr>
    <w:rPr>
      <w:rFonts w:ascii="Times New Roman" w:eastAsia="Times New Roman" w:hAnsi="Times New Roman" w:cs="Times New Roman"/>
      <w:b/>
      <w:bCs/>
      <w:color w:val="000000" w:themeColor="text1"/>
      <w:sz w:val="28"/>
      <w:szCs w:val="36"/>
    </w:rPr>
  </w:style>
  <w:style w:type="paragraph" w:styleId="Heading3">
    <w:name w:val="heading 3"/>
    <w:basedOn w:val="Normal"/>
    <w:link w:val="Heading3Char"/>
    <w:uiPriority w:val="9"/>
    <w:qFormat/>
    <w:rsid w:val="000962B6"/>
    <w:pPr>
      <w:spacing w:before="100" w:beforeAutospacing="1" w:after="100" w:afterAutospacing="1" w:line="240" w:lineRule="auto"/>
      <w:outlineLvl w:val="2"/>
    </w:pPr>
    <w:rPr>
      <w:rFonts w:ascii="Times New Roman" w:eastAsia="Times New Roman" w:hAnsi="Times New Roman" w:cs="Times New Roman"/>
      <w:b/>
      <w:bCs/>
      <w:sz w:val="24"/>
      <w:szCs w:val="27"/>
    </w:rPr>
  </w:style>
  <w:style w:type="paragraph" w:styleId="Heading4">
    <w:name w:val="heading 4"/>
    <w:basedOn w:val="Normal"/>
    <w:next w:val="Normal"/>
    <w:link w:val="Heading4Char"/>
    <w:uiPriority w:val="9"/>
    <w:semiHidden/>
    <w:unhideWhenUsed/>
    <w:qFormat/>
    <w:rsid w:val="000962B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0354B"/>
    <w:rPr>
      <w:rFonts w:ascii="Times New Roman" w:eastAsia="Times New Roman" w:hAnsi="Times New Roman" w:cs="Times New Roman"/>
      <w:b/>
      <w:bCs/>
      <w:color w:val="000000" w:themeColor="text1"/>
      <w:sz w:val="28"/>
      <w:szCs w:val="36"/>
    </w:rPr>
  </w:style>
  <w:style w:type="character" w:customStyle="1" w:styleId="Heading3Char">
    <w:name w:val="Heading 3 Char"/>
    <w:basedOn w:val="DefaultParagraphFont"/>
    <w:link w:val="Heading3"/>
    <w:uiPriority w:val="9"/>
    <w:rsid w:val="000962B6"/>
    <w:rPr>
      <w:rFonts w:ascii="Times New Roman" w:eastAsia="Times New Roman" w:hAnsi="Times New Roman" w:cs="Times New Roman"/>
      <w:b/>
      <w:bCs/>
      <w:sz w:val="24"/>
      <w:szCs w:val="27"/>
    </w:rPr>
  </w:style>
  <w:style w:type="paragraph" w:styleId="NormalWeb">
    <w:name w:val="Normal (Web)"/>
    <w:basedOn w:val="Normal"/>
    <w:uiPriority w:val="99"/>
    <w:unhideWhenUsed/>
    <w:rsid w:val="0096026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6026F"/>
    <w:rPr>
      <w:i/>
      <w:iCs/>
    </w:rPr>
  </w:style>
  <w:style w:type="character" w:styleId="Hyperlink">
    <w:name w:val="Hyperlink"/>
    <w:basedOn w:val="DefaultParagraphFont"/>
    <w:uiPriority w:val="99"/>
    <w:unhideWhenUsed/>
    <w:rsid w:val="0096026F"/>
    <w:rPr>
      <w:color w:val="0000FF"/>
      <w:u w:val="single"/>
    </w:rPr>
  </w:style>
  <w:style w:type="character" w:customStyle="1" w:styleId="Heading1Char">
    <w:name w:val="Heading 1 Char"/>
    <w:basedOn w:val="DefaultParagraphFont"/>
    <w:link w:val="Heading1"/>
    <w:uiPriority w:val="9"/>
    <w:rsid w:val="00A754F6"/>
    <w:rPr>
      <w:rFonts w:ascii="Times New Roman" w:eastAsiaTheme="majorEastAsia" w:hAnsi="Times New Roman" w:cstheme="majorBidi"/>
      <w:b/>
      <w:color w:val="000000" w:themeColor="text1"/>
      <w:sz w:val="32"/>
      <w:szCs w:val="32"/>
    </w:rPr>
  </w:style>
  <w:style w:type="paragraph" w:styleId="Header">
    <w:name w:val="header"/>
    <w:basedOn w:val="Normal"/>
    <w:link w:val="HeaderChar"/>
    <w:uiPriority w:val="99"/>
    <w:unhideWhenUsed/>
    <w:rsid w:val="009602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026F"/>
  </w:style>
  <w:style w:type="paragraph" w:styleId="Footer">
    <w:name w:val="footer"/>
    <w:basedOn w:val="Normal"/>
    <w:link w:val="FooterChar"/>
    <w:uiPriority w:val="99"/>
    <w:unhideWhenUsed/>
    <w:rsid w:val="009602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026F"/>
  </w:style>
  <w:style w:type="character" w:customStyle="1" w:styleId="Heading4Char">
    <w:name w:val="Heading 4 Char"/>
    <w:basedOn w:val="DefaultParagraphFont"/>
    <w:link w:val="Heading4"/>
    <w:uiPriority w:val="9"/>
    <w:semiHidden/>
    <w:rsid w:val="000962B6"/>
    <w:rPr>
      <w:rFonts w:asciiTheme="majorHAnsi" w:eastAsiaTheme="majorEastAsia" w:hAnsiTheme="majorHAnsi" w:cstheme="majorBidi"/>
      <w:i/>
      <w:iCs/>
      <w:color w:val="2E74B5" w:themeColor="accent1" w:themeShade="BF"/>
    </w:rPr>
  </w:style>
  <w:style w:type="character" w:styleId="Strong">
    <w:name w:val="Strong"/>
    <w:basedOn w:val="DefaultParagraphFont"/>
    <w:uiPriority w:val="22"/>
    <w:qFormat/>
    <w:rsid w:val="000962B6"/>
    <w:rPr>
      <w:b/>
      <w:bCs/>
    </w:rPr>
  </w:style>
  <w:style w:type="character" w:styleId="FollowedHyperlink">
    <w:name w:val="FollowedHyperlink"/>
    <w:basedOn w:val="DefaultParagraphFont"/>
    <w:uiPriority w:val="99"/>
    <w:semiHidden/>
    <w:unhideWhenUsed/>
    <w:rsid w:val="00DC39A3"/>
    <w:rPr>
      <w:color w:val="954F72" w:themeColor="followedHyperlink"/>
      <w:u w:val="single"/>
    </w:rPr>
  </w:style>
  <w:style w:type="paragraph" w:styleId="NoSpacing">
    <w:name w:val="No Spacing"/>
    <w:link w:val="NoSpacingChar"/>
    <w:uiPriority w:val="1"/>
    <w:qFormat/>
    <w:rsid w:val="001574C8"/>
    <w:pPr>
      <w:spacing w:after="0" w:line="240" w:lineRule="auto"/>
    </w:pPr>
    <w:rPr>
      <w:rFonts w:eastAsiaTheme="minorEastAsia"/>
    </w:rPr>
  </w:style>
  <w:style w:type="character" w:customStyle="1" w:styleId="NoSpacingChar">
    <w:name w:val="No Spacing Char"/>
    <w:basedOn w:val="DefaultParagraphFont"/>
    <w:link w:val="NoSpacing"/>
    <w:uiPriority w:val="1"/>
    <w:rsid w:val="001574C8"/>
    <w:rPr>
      <w:rFonts w:eastAsiaTheme="minorEastAsia"/>
    </w:rPr>
  </w:style>
  <w:style w:type="paragraph" w:styleId="TOCHeading">
    <w:name w:val="TOC Heading"/>
    <w:basedOn w:val="Heading1"/>
    <w:next w:val="Normal"/>
    <w:uiPriority w:val="39"/>
    <w:unhideWhenUsed/>
    <w:qFormat/>
    <w:rsid w:val="001574C8"/>
    <w:pPr>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1574C8"/>
    <w:pPr>
      <w:spacing w:after="100"/>
    </w:pPr>
  </w:style>
  <w:style w:type="paragraph" w:styleId="TOC2">
    <w:name w:val="toc 2"/>
    <w:basedOn w:val="Normal"/>
    <w:next w:val="Normal"/>
    <w:autoRedefine/>
    <w:uiPriority w:val="39"/>
    <w:unhideWhenUsed/>
    <w:rsid w:val="001574C8"/>
    <w:pPr>
      <w:spacing w:after="100"/>
      <w:ind w:left="220"/>
    </w:pPr>
  </w:style>
  <w:style w:type="paragraph" w:styleId="TOC3">
    <w:name w:val="toc 3"/>
    <w:basedOn w:val="Normal"/>
    <w:next w:val="Normal"/>
    <w:autoRedefine/>
    <w:uiPriority w:val="39"/>
    <w:unhideWhenUsed/>
    <w:rsid w:val="001574C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07145">
      <w:bodyDiv w:val="1"/>
      <w:marLeft w:val="0"/>
      <w:marRight w:val="0"/>
      <w:marTop w:val="0"/>
      <w:marBottom w:val="0"/>
      <w:divBdr>
        <w:top w:val="none" w:sz="0" w:space="0" w:color="auto"/>
        <w:left w:val="none" w:sz="0" w:space="0" w:color="auto"/>
        <w:bottom w:val="none" w:sz="0" w:space="0" w:color="auto"/>
        <w:right w:val="none" w:sz="0" w:space="0" w:color="auto"/>
      </w:divBdr>
    </w:div>
    <w:div w:id="10255733">
      <w:bodyDiv w:val="1"/>
      <w:marLeft w:val="0"/>
      <w:marRight w:val="0"/>
      <w:marTop w:val="0"/>
      <w:marBottom w:val="0"/>
      <w:divBdr>
        <w:top w:val="none" w:sz="0" w:space="0" w:color="auto"/>
        <w:left w:val="none" w:sz="0" w:space="0" w:color="auto"/>
        <w:bottom w:val="none" w:sz="0" w:space="0" w:color="auto"/>
        <w:right w:val="none" w:sz="0" w:space="0" w:color="auto"/>
      </w:divBdr>
    </w:div>
    <w:div w:id="16398453">
      <w:bodyDiv w:val="1"/>
      <w:marLeft w:val="0"/>
      <w:marRight w:val="0"/>
      <w:marTop w:val="0"/>
      <w:marBottom w:val="0"/>
      <w:divBdr>
        <w:top w:val="none" w:sz="0" w:space="0" w:color="auto"/>
        <w:left w:val="none" w:sz="0" w:space="0" w:color="auto"/>
        <w:bottom w:val="none" w:sz="0" w:space="0" w:color="auto"/>
        <w:right w:val="none" w:sz="0" w:space="0" w:color="auto"/>
      </w:divBdr>
    </w:div>
    <w:div w:id="38825403">
      <w:bodyDiv w:val="1"/>
      <w:marLeft w:val="0"/>
      <w:marRight w:val="0"/>
      <w:marTop w:val="0"/>
      <w:marBottom w:val="0"/>
      <w:divBdr>
        <w:top w:val="none" w:sz="0" w:space="0" w:color="auto"/>
        <w:left w:val="none" w:sz="0" w:space="0" w:color="auto"/>
        <w:bottom w:val="none" w:sz="0" w:space="0" w:color="auto"/>
        <w:right w:val="none" w:sz="0" w:space="0" w:color="auto"/>
      </w:divBdr>
    </w:div>
    <w:div w:id="95372329">
      <w:bodyDiv w:val="1"/>
      <w:marLeft w:val="0"/>
      <w:marRight w:val="0"/>
      <w:marTop w:val="0"/>
      <w:marBottom w:val="0"/>
      <w:divBdr>
        <w:top w:val="none" w:sz="0" w:space="0" w:color="auto"/>
        <w:left w:val="none" w:sz="0" w:space="0" w:color="auto"/>
        <w:bottom w:val="none" w:sz="0" w:space="0" w:color="auto"/>
        <w:right w:val="none" w:sz="0" w:space="0" w:color="auto"/>
      </w:divBdr>
    </w:div>
    <w:div w:id="116947974">
      <w:bodyDiv w:val="1"/>
      <w:marLeft w:val="0"/>
      <w:marRight w:val="0"/>
      <w:marTop w:val="0"/>
      <w:marBottom w:val="0"/>
      <w:divBdr>
        <w:top w:val="none" w:sz="0" w:space="0" w:color="auto"/>
        <w:left w:val="none" w:sz="0" w:space="0" w:color="auto"/>
        <w:bottom w:val="none" w:sz="0" w:space="0" w:color="auto"/>
        <w:right w:val="none" w:sz="0" w:space="0" w:color="auto"/>
      </w:divBdr>
    </w:div>
    <w:div w:id="218636416">
      <w:bodyDiv w:val="1"/>
      <w:marLeft w:val="0"/>
      <w:marRight w:val="0"/>
      <w:marTop w:val="0"/>
      <w:marBottom w:val="0"/>
      <w:divBdr>
        <w:top w:val="none" w:sz="0" w:space="0" w:color="auto"/>
        <w:left w:val="none" w:sz="0" w:space="0" w:color="auto"/>
        <w:bottom w:val="none" w:sz="0" w:space="0" w:color="auto"/>
        <w:right w:val="none" w:sz="0" w:space="0" w:color="auto"/>
      </w:divBdr>
    </w:div>
    <w:div w:id="288971138">
      <w:bodyDiv w:val="1"/>
      <w:marLeft w:val="0"/>
      <w:marRight w:val="0"/>
      <w:marTop w:val="0"/>
      <w:marBottom w:val="0"/>
      <w:divBdr>
        <w:top w:val="none" w:sz="0" w:space="0" w:color="auto"/>
        <w:left w:val="none" w:sz="0" w:space="0" w:color="auto"/>
        <w:bottom w:val="none" w:sz="0" w:space="0" w:color="auto"/>
        <w:right w:val="none" w:sz="0" w:space="0" w:color="auto"/>
      </w:divBdr>
    </w:div>
    <w:div w:id="328406034">
      <w:bodyDiv w:val="1"/>
      <w:marLeft w:val="0"/>
      <w:marRight w:val="0"/>
      <w:marTop w:val="0"/>
      <w:marBottom w:val="0"/>
      <w:divBdr>
        <w:top w:val="none" w:sz="0" w:space="0" w:color="auto"/>
        <w:left w:val="none" w:sz="0" w:space="0" w:color="auto"/>
        <w:bottom w:val="none" w:sz="0" w:space="0" w:color="auto"/>
        <w:right w:val="none" w:sz="0" w:space="0" w:color="auto"/>
      </w:divBdr>
    </w:div>
    <w:div w:id="329992877">
      <w:bodyDiv w:val="1"/>
      <w:marLeft w:val="0"/>
      <w:marRight w:val="0"/>
      <w:marTop w:val="0"/>
      <w:marBottom w:val="0"/>
      <w:divBdr>
        <w:top w:val="none" w:sz="0" w:space="0" w:color="auto"/>
        <w:left w:val="none" w:sz="0" w:space="0" w:color="auto"/>
        <w:bottom w:val="none" w:sz="0" w:space="0" w:color="auto"/>
        <w:right w:val="none" w:sz="0" w:space="0" w:color="auto"/>
      </w:divBdr>
    </w:div>
    <w:div w:id="362444126">
      <w:bodyDiv w:val="1"/>
      <w:marLeft w:val="0"/>
      <w:marRight w:val="0"/>
      <w:marTop w:val="0"/>
      <w:marBottom w:val="0"/>
      <w:divBdr>
        <w:top w:val="none" w:sz="0" w:space="0" w:color="auto"/>
        <w:left w:val="none" w:sz="0" w:space="0" w:color="auto"/>
        <w:bottom w:val="none" w:sz="0" w:space="0" w:color="auto"/>
        <w:right w:val="none" w:sz="0" w:space="0" w:color="auto"/>
      </w:divBdr>
    </w:div>
    <w:div w:id="377364680">
      <w:bodyDiv w:val="1"/>
      <w:marLeft w:val="0"/>
      <w:marRight w:val="0"/>
      <w:marTop w:val="0"/>
      <w:marBottom w:val="0"/>
      <w:divBdr>
        <w:top w:val="none" w:sz="0" w:space="0" w:color="auto"/>
        <w:left w:val="none" w:sz="0" w:space="0" w:color="auto"/>
        <w:bottom w:val="none" w:sz="0" w:space="0" w:color="auto"/>
        <w:right w:val="none" w:sz="0" w:space="0" w:color="auto"/>
      </w:divBdr>
    </w:div>
    <w:div w:id="384526734">
      <w:bodyDiv w:val="1"/>
      <w:marLeft w:val="0"/>
      <w:marRight w:val="0"/>
      <w:marTop w:val="0"/>
      <w:marBottom w:val="0"/>
      <w:divBdr>
        <w:top w:val="none" w:sz="0" w:space="0" w:color="auto"/>
        <w:left w:val="none" w:sz="0" w:space="0" w:color="auto"/>
        <w:bottom w:val="none" w:sz="0" w:space="0" w:color="auto"/>
        <w:right w:val="none" w:sz="0" w:space="0" w:color="auto"/>
      </w:divBdr>
    </w:div>
    <w:div w:id="394158231">
      <w:bodyDiv w:val="1"/>
      <w:marLeft w:val="0"/>
      <w:marRight w:val="0"/>
      <w:marTop w:val="0"/>
      <w:marBottom w:val="0"/>
      <w:divBdr>
        <w:top w:val="none" w:sz="0" w:space="0" w:color="auto"/>
        <w:left w:val="none" w:sz="0" w:space="0" w:color="auto"/>
        <w:bottom w:val="none" w:sz="0" w:space="0" w:color="auto"/>
        <w:right w:val="none" w:sz="0" w:space="0" w:color="auto"/>
      </w:divBdr>
    </w:div>
    <w:div w:id="394280062">
      <w:bodyDiv w:val="1"/>
      <w:marLeft w:val="0"/>
      <w:marRight w:val="0"/>
      <w:marTop w:val="0"/>
      <w:marBottom w:val="0"/>
      <w:divBdr>
        <w:top w:val="none" w:sz="0" w:space="0" w:color="auto"/>
        <w:left w:val="none" w:sz="0" w:space="0" w:color="auto"/>
        <w:bottom w:val="none" w:sz="0" w:space="0" w:color="auto"/>
        <w:right w:val="none" w:sz="0" w:space="0" w:color="auto"/>
      </w:divBdr>
    </w:div>
    <w:div w:id="396975132">
      <w:bodyDiv w:val="1"/>
      <w:marLeft w:val="0"/>
      <w:marRight w:val="0"/>
      <w:marTop w:val="0"/>
      <w:marBottom w:val="0"/>
      <w:divBdr>
        <w:top w:val="none" w:sz="0" w:space="0" w:color="auto"/>
        <w:left w:val="none" w:sz="0" w:space="0" w:color="auto"/>
        <w:bottom w:val="none" w:sz="0" w:space="0" w:color="auto"/>
        <w:right w:val="none" w:sz="0" w:space="0" w:color="auto"/>
      </w:divBdr>
    </w:div>
    <w:div w:id="455376035">
      <w:bodyDiv w:val="1"/>
      <w:marLeft w:val="0"/>
      <w:marRight w:val="0"/>
      <w:marTop w:val="0"/>
      <w:marBottom w:val="0"/>
      <w:divBdr>
        <w:top w:val="none" w:sz="0" w:space="0" w:color="auto"/>
        <w:left w:val="none" w:sz="0" w:space="0" w:color="auto"/>
        <w:bottom w:val="none" w:sz="0" w:space="0" w:color="auto"/>
        <w:right w:val="none" w:sz="0" w:space="0" w:color="auto"/>
      </w:divBdr>
    </w:div>
    <w:div w:id="460417532">
      <w:bodyDiv w:val="1"/>
      <w:marLeft w:val="0"/>
      <w:marRight w:val="0"/>
      <w:marTop w:val="0"/>
      <w:marBottom w:val="0"/>
      <w:divBdr>
        <w:top w:val="none" w:sz="0" w:space="0" w:color="auto"/>
        <w:left w:val="none" w:sz="0" w:space="0" w:color="auto"/>
        <w:bottom w:val="none" w:sz="0" w:space="0" w:color="auto"/>
        <w:right w:val="none" w:sz="0" w:space="0" w:color="auto"/>
      </w:divBdr>
    </w:div>
    <w:div w:id="479002667">
      <w:bodyDiv w:val="1"/>
      <w:marLeft w:val="0"/>
      <w:marRight w:val="0"/>
      <w:marTop w:val="0"/>
      <w:marBottom w:val="0"/>
      <w:divBdr>
        <w:top w:val="none" w:sz="0" w:space="0" w:color="auto"/>
        <w:left w:val="none" w:sz="0" w:space="0" w:color="auto"/>
        <w:bottom w:val="none" w:sz="0" w:space="0" w:color="auto"/>
        <w:right w:val="none" w:sz="0" w:space="0" w:color="auto"/>
      </w:divBdr>
    </w:div>
    <w:div w:id="514149104">
      <w:bodyDiv w:val="1"/>
      <w:marLeft w:val="0"/>
      <w:marRight w:val="0"/>
      <w:marTop w:val="0"/>
      <w:marBottom w:val="0"/>
      <w:divBdr>
        <w:top w:val="none" w:sz="0" w:space="0" w:color="auto"/>
        <w:left w:val="none" w:sz="0" w:space="0" w:color="auto"/>
        <w:bottom w:val="none" w:sz="0" w:space="0" w:color="auto"/>
        <w:right w:val="none" w:sz="0" w:space="0" w:color="auto"/>
      </w:divBdr>
    </w:div>
    <w:div w:id="528224720">
      <w:bodyDiv w:val="1"/>
      <w:marLeft w:val="0"/>
      <w:marRight w:val="0"/>
      <w:marTop w:val="0"/>
      <w:marBottom w:val="0"/>
      <w:divBdr>
        <w:top w:val="none" w:sz="0" w:space="0" w:color="auto"/>
        <w:left w:val="none" w:sz="0" w:space="0" w:color="auto"/>
        <w:bottom w:val="none" w:sz="0" w:space="0" w:color="auto"/>
        <w:right w:val="none" w:sz="0" w:space="0" w:color="auto"/>
      </w:divBdr>
    </w:div>
    <w:div w:id="559708255">
      <w:bodyDiv w:val="1"/>
      <w:marLeft w:val="0"/>
      <w:marRight w:val="0"/>
      <w:marTop w:val="0"/>
      <w:marBottom w:val="0"/>
      <w:divBdr>
        <w:top w:val="none" w:sz="0" w:space="0" w:color="auto"/>
        <w:left w:val="none" w:sz="0" w:space="0" w:color="auto"/>
        <w:bottom w:val="none" w:sz="0" w:space="0" w:color="auto"/>
        <w:right w:val="none" w:sz="0" w:space="0" w:color="auto"/>
      </w:divBdr>
    </w:div>
    <w:div w:id="570576684">
      <w:bodyDiv w:val="1"/>
      <w:marLeft w:val="0"/>
      <w:marRight w:val="0"/>
      <w:marTop w:val="0"/>
      <w:marBottom w:val="0"/>
      <w:divBdr>
        <w:top w:val="none" w:sz="0" w:space="0" w:color="auto"/>
        <w:left w:val="none" w:sz="0" w:space="0" w:color="auto"/>
        <w:bottom w:val="none" w:sz="0" w:space="0" w:color="auto"/>
        <w:right w:val="none" w:sz="0" w:space="0" w:color="auto"/>
      </w:divBdr>
    </w:div>
    <w:div w:id="571234740">
      <w:bodyDiv w:val="1"/>
      <w:marLeft w:val="0"/>
      <w:marRight w:val="0"/>
      <w:marTop w:val="0"/>
      <w:marBottom w:val="0"/>
      <w:divBdr>
        <w:top w:val="none" w:sz="0" w:space="0" w:color="auto"/>
        <w:left w:val="none" w:sz="0" w:space="0" w:color="auto"/>
        <w:bottom w:val="none" w:sz="0" w:space="0" w:color="auto"/>
        <w:right w:val="none" w:sz="0" w:space="0" w:color="auto"/>
      </w:divBdr>
      <w:divsChild>
        <w:div w:id="1254169993">
          <w:marLeft w:val="0"/>
          <w:marRight w:val="0"/>
          <w:marTop w:val="0"/>
          <w:marBottom w:val="0"/>
          <w:divBdr>
            <w:top w:val="none" w:sz="0" w:space="0" w:color="auto"/>
            <w:left w:val="none" w:sz="0" w:space="0" w:color="auto"/>
            <w:bottom w:val="none" w:sz="0" w:space="0" w:color="auto"/>
            <w:right w:val="none" w:sz="0" w:space="0" w:color="auto"/>
          </w:divBdr>
        </w:div>
      </w:divsChild>
    </w:div>
    <w:div w:id="595207864">
      <w:bodyDiv w:val="1"/>
      <w:marLeft w:val="0"/>
      <w:marRight w:val="0"/>
      <w:marTop w:val="0"/>
      <w:marBottom w:val="0"/>
      <w:divBdr>
        <w:top w:val="none" w:sz="0" w:space="0" w:color="auto"/>
        <w:left w:val="none" w:sz="0" w:space="0" w:color="auto"/>
        <w:bottom w:val="none" w:sz="0" w:space="0" w:color="auto"/>
        <w:right w:val="none" w:sz="0" w:space="0" w:color="auto"/>
      </w:divBdr>
    </w:div>
    <w:div w:id="642153373">
      <w:bodyDiv w:val="1"/>
      <w:marLeft w:val="0"/>
      <w:marRight w:val="0"/>
      <w:marTop w:val="0"/>
      <w:marBottom w:val="0"/>
      <w:divBdr>
        <w:top w:val="none" w:sz="0" w:space="0" w:color="auto"/>
        <w:left w:val="none" w:sz="0" w:space="0" w:color="auto"/>
        <w:bottom w:val="none" w:sz="0" w:space="0" w:color="auto"/>
        <w:right w:val="none" w:sz="0" w:space="0" w:color="auto"/>
      </w:divBdr>
    </w:div>
    <w:div w:id="669873038">
      <w:bodyDiv w:val="1"/>
      <w:marLeft w:val="0"/>
      <w:marRight w:val="0"/>
      <w:marTop w:val="0"/>
      <w:marBottom w:val="0"/>
      <w:divBdr>
        <w:top w:val="none" w:sz="0" w:space="0" w:color="auto"/>
        <w:left w:val="none" w:sz="0" w:space="0" w:color="auto"/>
        <w:bottom w:val="none" w:sz="0" w:space="0" w:color="auto"/>
        <w:right w:val="none" w:sz="0" w:space="0" w:color="auto"/>
      </w:divBdr>
    </w:div>
    <w:div w:id="677735913">
      <w:bodyDiv w:val="1"/>
      <w:marLeft w:val="0"/>
      <w:marRight w:val="0"/>
      <w:marTop w:val="0"/>
      <w:marBottom w:val="0"/>
      <w:divBdr>
        <w:top w:val="none" w:sz="0" w:space="0" w:color="auto"/>
        <w:left w:val="none" w:sz="0" w:space="0" w:color="auto"/>
        <w:bottom w:val="none" w:sz="0" w:space="0" w:color="auto"/>
        <w:right w:val="none" w:sz="0" w:space="0" w:color="auto"/>
      </w:divBdr>
    </w:div>
    <w:div w:id="680011200">
      <w:bodyDiv w:val="1"/>
      <w:marLeft w:val="0"/>
      <w:marRight w:val="0"/>
      <w:marTop w:val="0"/>
      <w:marBottom w:val="0"/>
      <w:divBdr>
        <w:top w:val="none" w:sz="0" w:space="0" w:color="auto"/>
        <w:left w:val="none" w:sz="0" w:space="0" w:color="auto"/>
        <w:bottom w:val="none" w:sz="0" w:space="0" w:color="auto"/>
        <w:right w:val="none" w:sz="0" w:space="0" w:color="auto"/>
      </w:divBdr>
    </w:div>
    <w:div w:id="680476773">
      <w:bodyDiv w:val="1"/>
      <w:marLeft w:val="0"/>
      <w:marRight w:val="0"/>
      <w:marTop w:val="0"/>
      <w:marBottom w:val="0"/>
      <w:divBdr>
        <w:top w:val="none" w:sz="0" w:space="0" w:color="auto"/>
        <w:left w:val="none" w:sz="0" w:space="0" w:color="auto"/>
        <w:bottom w:val="none" w:sz="0" w:space="0" w:color="auto"/>
        <w:right w:val="none" w:sz="0" w:space="0" w:color="auto"/>
      </w:divBdr>
    </w:div>
    <w:div w:id="686634658">
      <w:bodyDiv w:val="1"/>
      <w:marLeft w:val="0"/>
      <w:marRight w:val="0"/>
      <w:marTop w:val="0"/>
      <w:marBottom w:val="0"/>
      <w:divBdr>
        <w:top w:val="none" w:sz="0" w:space="0" w:color="auto"/>
        <w:left w:val="none" w:sz="0" w:space="0" w:color="auto"/>
        <w:bottom w:val="none" w:sz="0" w:space="0" w:color="auto"/>
        <w:right w:val="none" w:sz="0" w:space="0" w:color="auto"/>
      </w:divBdr>
    </w:div>
    <w:div w:id="695011390">
      <w:bodyDiv w:val="1"/>
      <w:marLeft w:val="0"/>
      <w:marRight w:val="0"/>
      <w:marTop w:val="0"/>
      <w:marBottom w:val="0"/>
      <w:divBdr>
        <w:top w:val="none" w:sz="0" w:space="0" w:color="auto"/>
        <w:left w:val="none" w:sz="0" w:space="0" w:color="auto"/>
        <w:bottom w:val="none" w:sz="0" w:space="0" w:color="auto"/>
        <w:right w:val="none" w:sz="0" w:space="0" w:color="auto"/>
      </w:divBdr>
    </w:div>
    <w:div w:id="699823902">
      <w:bodyDiv w:val="1"/>
      <w:marLeft w:val="0"/>
      <w:marRight w:val="0"/>
      <w:marTop w:val="0"/>
      <w:marBottom w:val="0"/>
      <w:divBdr>
        <w:top w:val="none" w:sz="0" w:space="0" w:color="auto"/>
        <w:left w:val="none" w:sz="0" w:space="0" w:color="auto"/>
        <w:bottom w:val="none" w:sz="0" w:space="0" w:color="auto"/>
        <w:right w:val="none" w:sz="0" w:space="0" w:color="auto"/>
      </w:divBdr>
    </w:div>
    <w:div w:id="703408989">
      <w:bodyDiv w:val="1"/>
      <w:marLeft w:val="0"/>
      <w:marRight w:val="0"/>
      <w:marTop w:val="0"/>
      <w:marBottom w:val="0"/>
      <w:divBdr>
        <w:top w:val="none" w:sz="0" w:space="0" w:color="auto"/>
        <w:left w:val="none" w:sz="0" w:space="0" w:color="auto"/>
        <w:bottom w:val="none" w:sz="0" w:space="0" w:color="auto"/>
        <w:right w:val="none" w:sz="0" w:space="0" w:color="auto"/>
      </w:divBdr>
    </w:div>
    <w:div w:id="715129820">
      <w:bodyDiv w:val="1"/>
      <w:marLeft w:val="0"/>
      <w:marRight w:val="0"/>
      <w:marTop w:val="0"/>
      <w:marBottom w:val="0"/>
      <w:divBdr>
        <w:top w:val="none" w:sz="0" w:space="0" w:color="auto"/>
        <w:left w:val="none" w:sz="0" w:space="0" w:color="auto"/>
        <w:bottom w:val="none" w:sz="0" w:space="0" w:color="auto"/>
        <w:right w:val="none" w:sz="0" w:space="0" w:color="auto"/>
      </w:divBdr>
    </w:div>
    <w:div w:id="731150784">
      <w:bodyDiv w:val="1"/>
      <w:marLeft w:val="0"/>
      <w:marRight w:val="0"/>
      <w:marTop w:val="0"/>
      <w:marBottom w:val="0"/>
      <w:divBdr>
        <w:top w:val="none" w:sz="0" w:space="0" w:color="auto"/>
        <w:left w:val="none" w:sz="0" w:space="0" w:color="auto"/>
        <w:bottom w:val="none" w:sz="0" w:space="0" w:color="auto"/>
        <w:right w:val="none" w:sz="0" w:space="0" w:color="auto"/>
      </w:divBdr>
    </w:div>
    <w:div w:id="735590521">
      <w:bodyDiv w:val="1"/>
      <w:marLeft w:val="0"/>
      <w:marRight w:val="0"/>
      <w:marTop w:val="0"/>
      <w:marBottom w:val="0"/>
      <w:divBdr>
        <w:top w:val="none" w:sz="0" w:space="0" w:color="auto"/>
        <w:left w:val="none" w:sz="0" w:space="0" w:color="auto"/>
        <w:bottom w:val="none" w:sz="0" w:space="0" w:color="auto"/>
        <w:right w:val="none" w:sz="0" w:space="0" w:color="auto"/>
      </w:divBdr>
    </w:div>
    <w:div w:id="747926711">
      <w:bodyDiv w:val="1"/>
      <w:marLeft w:val="0"/>
      <w:marRight w:val="0"/>
      <w:marTop w:val="0"/>
      <w:marBottom w:val="0"/>
      <w:divBdr>
        <w:top w:val="none" w:sz="0" w:space="0" w:color="auto"/>
        <w:left w:val="none" w:sz="0" w:space="0" w:color="auto"/>
        <w:bottom w:val="none" w:sz="0" w:space="0" w:color="auto"/>
        <w:right w:val="none" w:sz="0" w:space="0" w:color="auto"/>
      </w:divBdr>
    </w:div>
    <w:div w:id="757025754">
      <w:bodyDiv w:val="1"/>
      <w:marLeft w:val="0"/>
      <w:marRight w:val="0"/>
      <w:marTop w:val="0"/>
      <w:marBottom w:val="0"/>
      <w:divBdr>
        <w:top w:val="none" w:sz="0" w:space="0" w:color="auto"/>
        <w:left w:val="none" w:sz="0" w:space="0" w:color="auto"/>
        <w:bottom w:val="none" w:sz="0" w:space="0" w:color="auto"/>
        <w:right w:val="none" w:sz="0" w:space="0" w:color="auto"/>
      </w:divBdr>
    </w:div>
    <w:div w:id="780952790">
      <w:bodyDiv w:val="1"/>
      <w:marLeft w:val="0"/>
      <w:marRight w:val="0"/>
      <w:marTop w:val="0"/>
      <w:marBottom w:val="0"/>
      <w:divBdr>
        <w:top w:val="none" w:sz="0" w:space="0" w:color="auto"/>
        <w:left w:val="none" w:sz="0" w:space="0" w:color="auto"/>
        <w:bottom w:val="none" w:sz="0" w:space="0" w:color="auto"/>
        <w:right w:val="none" w:sz="0" w:space="0" w:color="auto"/>
      </w:divBdr>
    </w:div>
    <w:div w:id="799999112">
      <w:bodyDiv w:val="1"/>
      <w:marLeft w:val="0"/>
      <w:marRight w:val="0"/>
      <w:marTop w:val="0"/>
      <w:marBottom w:val="0"/>
      <w:divBdr>
        <w:top w:val="none" w:sz="0" w:space="0" w:color="auto"/>
        <w:left w:val="none" w:sz="0" w:space="0" w:color="auto"/>
        <w:bottom w:val="none" w:sz="0" w:space="0" w:color="auto"/>
        <w:right w:val="none" w:sz="0" w:space="0" w:color="auto"/>
      </w:divBdr>
    </w:div>
    <w:div w:id="843864953">
      <w:bodyDiv w:val="1"/>
      <w:marLeft w:val="0"/>
      <w:marRight w:val="0"/>
      <w:marTop w:val="0"/>
      <w:marBottom w:val="0"/>
      <w:divBdr>
        <w:top w:val="none" w:sz="0" w:space="0" w:color="auto"/>
        <w:left w:val="none" w:sz="0" w:space="0" w:color="auto"/>
        <w:bottom w:val="none" w:sz="0" w:space="0" w:color="auto"/>
        <w:right w:val="none" w:sz="0" w:space="0" w:color="auto"/>
      </w:divBdr>
    </w:div>
    <w:div w:id="890380657">
      <w:bodyDiv w:val="1"/>
      <w:marLeft w:val="0"/>
      <w:marRight w:val="0"/>
      <w:marTop w:val="0"/>
      <w:marBottom w:val="0"/>
      <w:divBdr>
        <w:top w:val="none" w:sz="0" w:space="0" w:color="auto"/>
        <w:left w:val="none" w:sz="0" w:space="0" w:color="auto"/>
        <w:bottom w:val="none" w:sz="0" w:space="0" w:color="auto"/>
        <w:right w:val="none" w:sz="0" w:space="0" w:color="auto"/>
      </w:divBdr>
    </w:div>
    <w:div w:id="922645388">
      <w:bodyDiv w:val="1"/>
      <w:marLeft w:val="0"/>
      <w:marRight w:val="0"/>
      <w:marTop w:val="0"/>
      <w:marBottom w:val="0"/>
      <w:divBdr>
        <w:top w:val="none" w:sz="0" w:space="0" w:color="auto"/>
        <w:left w:val="none" w:sz="0" w:space="0" w:color="auto"/>
        <w:bottom w:val="none" w:sz="0" w:space="0" w:color="auto"/>
        <w:right w:val="none" w:sz="0" w:space="0" w:color="auto"/>
      </w:divBdr>
    </w:div>
    <w:div w:id="936795202">
      <w:bodyDiv w:val="1"/>
      <w:marLeft w:val="0"/>
      <w:marRight w:val="0"/>
      <w:marTop w:val="0"/>
      <w:marBottom w:val="0"/>
      <w:divBdr>
        <w:top w:val="none" w:sz="0" w:space="0" w:color="auto"/>
        <w:left w:val="none" w:sz="0" w:space="0" w:color="auto"/>
        <w:bottom w:val="none" w:sz="0" w:space="0" w:color="auto"/>
        <w:right w:val="none" w:sz="0" w:space="0" w:color="auto"/>
      </w:divBdr>
    </w:div>
    <w:div w:id="941649168">
      <w:bodyDiv w:val="1"/>
      <w:marLeft w:val="0"/>
      <w:marRight w:val="0"/>
      <w:marTop w:val="0"/>
      <w:marBottom w:val="0"/>
      <w:divBdr>
        <w:top w:val="none" w:sz="0" w:space="0" w:color="auto"/>
        <w:left w:val="none" w:sz="0" w:space="0" w:color="auto"/>
        <w:bottom w:val="none" w:sz="0" w:space="0" w:color="auto"/>
        <w:right w:val="none" w:sz="0" w:space="0" w:color="auto"/>
      </w:divBdr>
    </w:div>
    <w:div w:id="987127920">
      <w:bodyDiv w:val="1"/>
      <w:marLeft w:val="0"/>
      <w:marRight w:val="0"/>
      <w:marTop w:val="0"/>
      <w:marBottom w:val="0"/>
      <w:divBdr>
        <w:top w:val="none" w:sz="0" w:space="0" w:color="auto"/>
        <w:left w:val="none" w:sz="0" w:space="0" w:color="auto"/>
        <w:bottom w:val="none" w:sz="0" w:space="0" w:color="auto"/>
        <w:right w:val="none" w:sz="0" w:space="0" w:color="auto"/>
      </w:divBdr>
      <w:divsChild>
        <w:div w:id="504631072">
          <w:marLeft w:val="0"/>
          <w:marRight w:val="0"/>
          <w:marTop w:val="0"/>
          <w:marBottom w:val="0"/>
          <w:divBdr>
            <w:top w:val="none" w:sz="0" w:space="0" w:color="auto"/>
            <w:left w:val="none" w:sz="0" w:space="0" w:color="auto"/>
            <w:bottom w:val="none" w:sz="0" w:space="0" w:color="auto"/>
            <w:right w:val="none" w:sz="0" w:space="0" w:color="auto"/>
          </w:divBdr>
        </w:div>
      </w:divsChild>
    </w:div>
    <w:div w:id="987590748">
      <w:bodyDiv w:val="1"/>
      <w:marLeft w:val="0"/>
      <w:marRight w:val="0"/>
      <w:marTop w:val="0"/>
      <w:marBottom w:val="0"/>
      <w:divBdr>
        <w:top w:val="none" w:sz="0" w:space="0" w:color="auto"/>
        <w:left w:val="none" w:sz="0" w:space="0" w:color="auto"/>
        <w:bottom w:val="none" w:sz="0" w:space="0" w:color="auto"/>
        <w:right w:val="none" w:sz="0" w:space="0" w:color="auto"/>
      </w:divBdr>
    </w:div>
    <w:div w:id="1008824151">
      <w:bodyDiv w:val="1"/>
      <w:marLeft w:val="0"/>
      <w:marRight w:val="0"/>
      <w:marTop w:val="0"/>
      <w:marBottom w:val="0"/>
      <w:divBdr>
        <w:top w:val="none" w:sz="0" w:space="0" w:color="auto"/>
        <w:left w:val="none" w:sz="0" w:space="0" w:color="auto"/>
        <w:bottom w:val="none" w:sz="0" w:space="0" w:color="auto"/>
        <w:right w:val="none" w:sz="0" w:space="0" w:color="auto"/>
      </w:divBdr>
    </w:div>
    <w:div w:id="1052466255">
      <w:bodyDiv w:val="1"/>
      <w:marLeft w:val="0"/>
      <w:marRight w:val="0"/>
      <w:marTop w:val="0"/>
      <w:marBottom w:val="0"/>
      <w:divBdr>
        <w:top w:val="none" w:sz="0" w:space="0" w:color="auto"/>
        <w:left w:val="none" w:sz="0" w:space="0" w:color="auto"/>
        <w:bottom w:val="none" w:sz="0" w:space="0" w:color="auto"/>
        <w:right w:val="none" w:sz="0" w:space="0" w:color="auto"/>
      </w:divBdr>
    </w:div>
    <w:div w:id="1062946618">
      <w:bodyDiv w:val="1"/>
      <w:marLeft w:val="0"/>
      <w:marRight w:val="0"/>
      <w:marTop w:val="0"/>
      <w:marBottom w:val="0"/>
      <w:divBdr>
        <w:top w:val="none" w:sz="0" w:space="0" w:color="auto"/>
        <w:left w:val="none" w:sz="0" w:space="0" w:color="auto"/>
        <w:bottom w:val="none" w:sz="0" w:space="0" w:color="auto"/>
        <w:right w:val="none" w:sz="0" w:space="0" w:color="auto"/>
      </w:divBdr>
    </w:div>
    <w:div w:id="1070883969">
      <w:bodyDiv w:val="1"/>
      <w:marLeft w:val="0"/>
      <w:marRight w:val="0"/>
      <w:marTop w:val="0"/>
      <w:marBottom w:val="0"/>
      <w:divBdr>
        <w:top w:val="none" w:sz="0" w:space="0" w:color="auto"/>
        <w:left w:val="none" w:sz="0" w:space="0" w:color="auto"/>
        <w:bottom w:val="none" w:sz="0" w:space="0" w:color="auto"/>
        <w:right w:val="none" w:sz="0" w:space="0" w:color="auto"/>
      </w:divBdr>
      <w:divsChild>
        <w:div w:id="1518540523">
          <w:marLeft w:val="0"/>
          <w:marRight w:val="0"/>
          <w:marTop w:val="0"/>
          <w:marBottom w:val="0"/>
          <w:divBdr>
            <w:top w:val="none" w:sz="0" w:space="0" w:color="auto"/>
            <w:left w:val="none" w:sz="0" w:space="0" w:color="auto"/>
            <w:bottom w:val="none" w:sz="0" w:space="0" w:color="auto"/>
            <w:right w:val="none" w:sz="0" w:space="0" w:color="auto"/>
          </w:divBdr>
        </w:div>
      </w:divsChild>
    </w:div>
    <w:div w:id="1114205238">
      <w:bodyDiv w:val="1"/>
      <w:marLeft w:val="0"/>
      <w:marRight w:val="0"/>
      <w:marTop w:val="0"/>
      <w:marBottom w:val="0"/>
      <w:divBdr>
        <w:top w:val="none" w:sz="0" w:space="0" w:color="auto"/>
        <w:left w:val="none" w:sz="0" w:space="0" w:color="auto"/>
        <w:bottom w:val="none" w:sz="0" w:space="0" w:color="auto"/>
        <w:right w:val="none" w:sz="0" w:space="0" w:color="auto"/>
      </w:divBdr>
    </w:div>
    <w:div w:id="1124692924">
      <w:bodyDiv w:val="1"/>
      <w:marLeft w:val="0"/>
      <w:marRight w:val="0"/>
      <w:marTop w:val="0"/>
      <w:marBottom w:val="0"/>
      <w:divBdr>
        <w:top w:val="none" w:sz="0" w:space="0" w:color="auto"/>
        <w:left w:val="none" w:sz="0" w:space="0" w:color="auto"/>
        <w:bottom w:val="none" w:sz="0" w:space="0" w:color="auto"/>
        <w:right w:val="none" w:sz="0" w:space="0" w:color="auto"/>
      </w:divBdr>
    </w:div>
    <w:div w:id="1130981019">
      <w:bodyDiv w:val="1"/>
      <w:marLeft w:val="0"/>
      <w:marRight w:val="0"/>
      <w:marTop w:val="0"/>
      <w:marBottom w:val="0"/>
      <w:divBdr>
        <w:top w:val="none" w:sz="0" w:space="0" w:color="auto"/>
        <w:left w:val="none" w:sz="0" w:space="0" w:color="auto"/>
        <w:bottom w:val="none" w:sz="0" w:space="0" w:color="auto"/>
        <w:right w:val="none" w:sz="0" w:space="0" w:color="auto"/>
      </w:divBdr>
    </w:div>
    <w:div w:id="1166089412">
      <w:bodyDiv w:val="1"/>
      <w:marLeft w:val="0"/>
      <w:marRight w:val="0"/>
      <w:marTop w:val="0"/>
      <w:marBottom w:val="0"/>
      <w:divBdr>
        <w:top w:val="none" w:sz="0" w:space="0" w:color="auto"/>
        <w:left w:val="none" w:sz="0" w:space="0" w:color="auto"/>
        <w:bottom w:val="none" w:sz="0" w:space="0" w:color="auto"/>
        <w:right w:val="none" w:sz="0" w:space="0" w:color="auto"/>
      </w:divBdr>
    </w:div>
    <w:div w:id="1181433528">
      <w:bodyDiv w:val="1"/>
      <w:marLeft w:val="0"/>
      <w:marRight w:val="0"/>
      <w:marTop w:val="0"/>
      <w:marBottom w:val="0"/>
      <w:divBdr>
        <w:top w:val="none" w:sz="0" w:space="0" w:color="auto"/>
        <w:left w:val="none" w:sz="0" w:space="0" w:color="auto"/>
        <w:bottom w:val="none" w:sz="0" w:space="0" w:color="auto"/>
        <w:right w:val="none" w:sz="0" w:space="0" w:color="auto"/>
      </w:divBdr>
    </w:div>
    <w:div w:id="1188520612">
      <w:bodyDiv w:val="1"/>
      <w:marLeft w:val="0"/>
      <w:marRight w:val="0"/>
      <w:marTop w:val="0"/>
      <w:marBottom w:val="0"/>
      <w:divBdr>
        <w:top w:val="none" w:sz="0" w:space="0" w:color="auto"/>
        <w:left w:val="none" w:sz="0" w:space="0" w:color="auto"/>
        <w:bottom w:val="none" w:sz="0" w:space="0" w:color="auto"/>
        <w:right w:val="none" w:sz="0" w:space="0" w:color="auto"/>
      </w:divBdr>
    </w:div>
    <w:div w:id="1195121434">
      <w:bodyDiv w:val="1"/>
      <w:marLeft w:val="0"/>
      <w:marRight w:val="0"/>
      <w:marTop w:val="0"/>
      <w:marBottom w:val="0"/>
      <w:divBdr>
        <w:top w:val="none" w:sz="0" w:space="0" w:color="auto"/>
        <w:left w:val="none" w:sz="0" w:space="0" w:color="auto"/>
        <w:bottom w:val="none" w:sz="0" w:space="0" w:color="auto"/>
        <w:right w:val="none" w:sz="0" w:space="0" w:color="auto"/>
      </w:divBdr>
    </w:div>
    <w:div w:id="1202354743">
      <w:bodyDiv w:val="1"/>
      <w:marLeft w:val="0"/>
      <w:marRight w:val="0"/>
      <w:marTop w:val="0"/>
      <w:marBottom w:val="0"/>
      <w:divBdr>
        <w:top w:val="none" w:sz="0" w:space="0" w:color="auto"/>
        <w:left w:val="none" w:sz="0" w:space="0" w:color="auto"/>
        <w:bottom w:val="none" w:sz="0" w:space="0" w:color="auto"/>
        <w:right w:val="none" w:sz="0" w:space="0" w:color="auto"/>
      </w:divBdr>
    </w:div>
    <w:div w:id="1220632231">
      <w:bodyDiv w:val="1"/>
      <w:marLeft w:val="0"/>
      <w:marRight w:val="0"/>
      <w:marTop w:val="0"/>
      <w:marBottom w:val="0"/>
      <w:divBdr>
        <w:top w:val="none" w:sz="0" w:space="0" w:color="auto"/>
        <w:left w:val="none" w:sz="0" w:space="0" w:color="auto"/>
        <w:bottom w:val="none" w:sz="0" w:space="0" w:color="auto"/>
        <w:right w:val="none" w:sz="0" w:space="0" w:color="auto"/>
      </w:divBdr>
    </w:div>
    <w:div w:id="1240749555">
      <w:bodyDiv w:val="1"/>
      <w:marLeft w:val="0"/>
      <w:marRight w:val="0"/>
      <w:marTop w:val="0"/>
      <w:marBottom w:val="0"/>
      <w:divBdr>
        <w:top w:val="none" w:sz="0" w:space="0" w:color="auto"/>
        <w:left w:val="none" w:sz="0" w:space="0" w:color="auto"/>
        <w:bottom w:val="none" w:sz="0" w:space="0" w:color="auto"/>
        <w:right w:val="none" w:sz="0" w:space="0" w:color="auto"/>
      </w:divBdr>
    </w:div>
    <w:div w:id="1264416510">
      <w:bodyDiv w:val="1"/>
      <w:marLeft w:val="0"/>
      <w:marRight w:val="0"/>
      <w:marTop w:val="0"/>
      <w:marBottom w:val="0"/>
      <w:divBdr>
        <w:top w:val="none" w:sz="0" w:space="0" w:color="auto"/>
        <w:left w:val="none" w:sz="0" w:space="0" w:color="auto"/>
        <w:bottom w:val="none" w:sz="0" w:space="0" w:color="auto"/>
        <w:right w:val="none" w:sz="0" w:space="0" w:color="auto"/>
      </w:divBdr>
    </w:div>
    <w:div w:id="1273780572">
      <w:bodyDiv w:val="1"/>
      <w:marLeft w:val="0"/>
      <w:marRight w:val="0"/>
      <w:marTop w:val="0"/>
      <w:marBottom w:val="0"/>
      <w:divBdr>
        <w:top w:val="none" w:sz="0" w:space="0" w:color="auto"/>
        <w:left w:val="none" w:sz="0" w:space="0" w:color="auto"/>
        <w:bottom w:val="none" w:sz="0" w:space="0" w:color="auto"/>
        <w:right w:val="none" w:sz="0" w:space="0" w:color="auto"/>
      </w:divBdr>
    </w:div>
    <w:div w:id="1303928784">
      <w:bodyDiv w:val="1"/>
      <w:marLeft w:val="0"/>
      <w:marRight w:val="0"/>
      <w:marTop w:val="0"/>
      <w:marBottom w:val="0"/>
      <w:divBdr>
        <w:top w:val="none" w:sz="0" w:space="0" w:color="auto"/>
        <w:left w:val="none" w:sz="0" w:space="0" w:color="auto"/>
        <w:bottom w:val="none" w:sz="0" w:space="0" w:color="auto"/>
        <w:right w:val="none" w:sz="0" w:space="0" w:color="auto"/>
      </w:divBdr>
    </w:div>
    <w:div w:id="1323313688">
      <w:bodyDiv w:val="1"/>
      <w:marLeft w:val="0"/>
      <w:marRight w:val="0"/>
      <w:marTop w:val="0"/>
      <w:marBottom w:val="0"/>
      <w:divBdr>
        <w:top w:val="none" w:sz="0" w:space="0" w:color="auto"/>
        <w:left w:val="none" w:sz="0" w:space="0" w:color="auto"/>
        <w:bottom w:val="none" w:sz="0" w:space="0" w:color="auto"/>
        <w:right w:val="none" w:sz="0" w:space="0" w:color="auto"/>
      </w:divBdr>
      <w:divsChild>
        <w:div w:id="697699247">
          <w:marLeft w:val="0"/>
          <w:marRight w:val="0"/>
          <w:marTop w:val="0"/>
          <w:marBottom w:val="0"/>
          <w:divBdr>
            <w:top w:val="none" w:sz="0" w:space="0" w:color="auto"/>
            <w:left w:val="none" w:sz="0" w:space="0" w:color="auto"/>
            <w:bottom w:val="none" w:sz="0" w:space="0" w:color="auto"/>
            <w:right w:val="none" w:sz="0" w:space="0" w:color="auto"/>
          </w:divBdr>
        </w:div>
      </w:divsChild>
    </w:div>
    <w:div w:id="1332634103">
      <w:bodyDiv w:val="1"/>
      <w:marLeft w:val="0"/>
      <w:marRight w:val="0"/>
      <w:marTop w:val="0"/>
      <w:marBottom w:val="0"/>
      <w:divBdr>
        <w:top w:val="none" w:sz="0" w:space="0" w:color="auto"/>
        <w:left w:val="none" w:sz="0" w:space="0" w:color="auto"/>
        <w:bottom w:val="none" w:sz="0" w:space="0" w:color="auto"/>
        <w:right w:val="none" w:sz="0" w:space="0" w:color="auto"/>
      </w:divBdr>
    </w:div>
    <w:div w:id="1337727310">
      <w:bodyDiv w:val="1"/>
      <w:marLeft w:val="0"/>
      <w:marRight w:val="0"/>
      <w:marTop w:val="0"/>
      <w:marBottom w:val="0"/>
      <w:divBdr>
        <w:top w:val="none" w:sz="0" w:space="0" w:color="auto"/>
        <w:left w:val="none" w:sz="0" w:space="0" w:color="auto"/>
        <w:bottom w:val="none" w:sz="0" w:space="0" w:color="auto"/>
        <w:right w:val="none" w:sz="0" w:space="0" w:color="auto"/>
      </w:divBdr>
    </w:div>
    <w:div w:id="1361248542">
      <w:bodyDiv w:val="1"/>
      <w:marLeft w:val="0"/>
      <w:marRight w:val="0"/>
      <w:marTop w:val="0"/>
      <w:marBottom w:val="0"/>
      <w:divBdr>
        <w:top w:val="none" w:sz="0" w:space="0" w:color="auto"/>
        <w:left w:val="none" w:sz="0" w:space="0" w:color="auto"/>
        <w:bottom w:val="none" w:sz="0" w:space="0" w:color="auto"/>
        <w:right w:val="none" w:sz="0" w:space="0" w:color="auto"/>
      </w:divBdr>
    </w:div>
    <w:div w:id="1364749065">
      <w:bodyDiv w:val="1"/>
      <w:marLeft w:val="0"/>
      <w:marRight w:val="0"/>
      <w:marTop w:val="0"/>
      <w:marBottom w:val="0"/>
      <w:divBdr>
        <w:top w:val="none" w:sz="0" w:space="0" w:color="auto"/>
        <w:left w:val="none" w:sz="0" w:space="0" w:color="auto"/>
        <w:bottom w:val="none" w:sz="0" w:space="0" w:color="auto"/>
        <w:right w:val="none" w:sz="0" w:space="0" w:color="auto"/>
      </w:divBdr>
    </w:div>
    <w:div w:id="1406146653">
      <w:bodyDiv w:val="1"/>
      <w:marLeft w:val="0"/>
      <w:marRight w:val="0"/>
      <w:marTop w:val="0"/>
      <w:marBottom w:val="0"/>
      <w:divBdr>
        <w:top w:val="none" w:sz="0" w:space="0" w:color="auto"/>
        <w:left w:val="none" w:sz="0" w:space="0" w:color="auto"/>
        <w:bottom w:val="none" w:sz="0" w:space="0" w:color="auto"/>
        <w:right w:val="none" w:sz="0" w:space="0" w:color="auto"/>
      </w:divBdr>
    </w:div>
    <w:div w:id="1415468509">
      <w:bodyDiv w:val="1"/>
      <w:marLeft w:val="0"/>
      <w:marRight w:val="0"/>
      <w:marTop w:val="0"/>
      <w:marBottom w:val="0"/>
      <w:divBdr>
        <w:top w:val="none" w:sz="0" w:space="0" w:color="auto"/>
        <w:left w:val="none" w:sz="0" w:space="0" w:color="auto"/>
        <w:bottom w:val="none" w:sz="0" w:space="0" w:color="auto"/>
        <w:right w:val="none" w:sz="0" w:space="0" w:color="auto"/>
      </w:divBdr>
    </w:div>
    <w:div w:id="1435788647">
      <w:bodyDiv w:val="1"/>
      <w:marLeft w:val="0"/>
      <w:marRight w:val="0"/>
      <w:marTop w:val="0"/>
      <w:marBottom w:val="0"/>
      <w:divBdr>
        <w:top w:val="none" w:sz="0" w:space="0" w:color="auto"/>
        <w:left w:val="none" w:sz="0" w:space="0" w:color="auto"/>
        <w:bottom w:val="none" w:sz="0" w:space="0" w:color="auto"/>
        <w:right w:val="none" w:sz="0" w:space="0" w:color="auto"/>
      </w:divBdr>
    </w:div>
    <w:div w:id="1461071213">
      <w:bodyDiv w:val="1"/>
      <w:marLeft w:val="0"/>
      <w:marRight w:val="0"/>
      <w:marTop w:val="0"/>
      <w:marBottom w:val="0"/>
      <w:divBdr>
        <w:top w:val="none" w:sz="0" w:space="0" w:color="auto"/>
        <w:left w:val="none" w:sz="0" w:space="0" w:color="auto"/>
        <w:bottom w:val="none" w:sz="0" w:space="0" w:color="auto"/>
        <w:right w:val="none" w:sz="0" w:space="0" w:color="auto"/>
      </w:divBdr>
    </w:div>
    <w:div w:id="1515921302">
      <w:bodyDiv w:val="1"/>
      <w:marLeft w:val="0"/>
      <w:marRight w:val="0"/>
      <w:marTop w:val="0"/>
      <w:marBottom w:val="0"/>
      <w:divBdr>
        <w:top w:val="none" w:sz="0" w:space="0" w:color="auto"/>
        <w:left w:val="none" w:sz="0" w:space="0" w:color="auto"/>
        <w:bottom w:val="none" w:sz="0" w:space="0" w:color="auto"/>
        <w:right w:val="none" w:sz="0" w:space="0" w:color="auto"/>
      </w:divBdr>
      <w:divsChild>
        <w:div w:id="927234279">
          <w:marLeft w:val="0"/>
          <w:marRight w:val="0"/>
          <w:marTop w:val="0"/>
          <w:marBottom w:val="0"/>
          <w:divBdr>
            <w:top w:val="none" w:sz="0" w:space="0" w:color="auto"/>
            <w:left w:val="none" w:sz="0" w:space="0" w:color="auto"/>
            <w:bottom w:val="none" w:sz="0" w:space="0" w:color="auto"/>
            <w:right w:val="none" w:sz="0" w:space="0" w:color="auto"/>
          </w:divBdr>
        </w:div>
      </w:divsChild>
    </w:div>
    <w:div w:id="1518959016">
      <w:bodyDiv w:val="1"/>
      <w:marLeft w:val="0"/>
      <w:marRight w:val="0"/>
      <w:marTop w:val="0"/>
      <w:marBottom w:val="0"/>
      <w:divBdr>
        <w:top w:val="none" w:sz="0" w:space="0" w:color="auto"/>
        <w:left w:val="none" w:sz="0" w:space="0" w:color="auto"/>
        <w:bottom w:val="none" w:sz="0" w:space="0" w:color="auto"/>
        <w:right w:val="none" w:sz="0" w:space="0" w:color="auto"/>
      </w:divBdr>
    </w:div>
    <w:div w:id="1536773277">
      <w:bodyDiv w:val="1"/>
      <w:marLeft w:val="0"/>
      <w:marRight w:val="0"/>
      <w:marTop w:val="0"/>
      <w:marBottom w:val="0"/>
      <w:divBdr>
        <w:top w:val="none" w:sz="0" w:space="0" w:color="auto"/>
        <w:left w:val="none" w:sz="0" w:space="0" w:color="auto"/>
        <w:bottom w:val="none" w:sz="0" w:space="0" w:color="auto"/>
        <w:right w:val="none" w:sz="0" w:space="0" w:color="auto"/>
      </w:divBdr>
    </w:div>
    <w:div w:id="1596935150">
      <w:bodyDiv w:val="1"/>
      <w:marLeft w:val="0"/>
      <w:marRight w:val="0"/>
      <w:marTop w:val="0"/>
      <w:marBottom w:val="0"/>
      <w:divBdr>
        <w:top w:val="none" w:sz="0" w:space="0" w:color="auto"/>
        <w:left w:val="none" w:sz="0" w:space="0" w:color="auto"/>
        <w:bottom w:val="none" w:sz="0" w:space="0" w:color="auto"/>
        <w:right w:val="none" w:sz="0" w:space="0" w:color="auto"/>
      </w:divBdr>
    </w:div>
    <w:div w:id="1609006304">
      <w:bodyDiv w:val="1"/>
      <w:marLeft w:val="0"/>
      <w:marRight w:val="0"/>
      <w:marTop w:val="0"/>
      <w:marBottom w:val="0"/>
      <w:divBdr>
        <w:top w:val="none" w:sz="0" w:space="0" w:color="auto"/>
        <w:left w:val="none" w:sz="0" w:space="0" w:color="auto"/>
        <w:bottom w:val="none" w:sz="0" w:space="0" w:color="auto"/>
        <w:right w:val="none" w:sz="0" w:space="0" w:color="auto"/>
      </w:divBdr>
    </w:div>
    <w:div w:id="1620525763">
      <w:bodyDiv w:val="1"/>
      <w:marLeft w:val="0"/>
      <w:marRight w:val="0"/>
      <w:marTop w:val="0"/>
      <w:marBottom w:val="0"/>
      <w:divBdr>
        <w:top w:val="none" w:sz="0" w:space="0" w:color="auto"/>
        <w:left w:val="none" w:sz="0" w:space="0" w:color="auto"/>
        <w:bottom w:val="none" w:sz="0" w:space="0" w:color="auto"/>
        <w:right w:val="none" w:sz="0" w:space="0" w:color="auto"/>
      </w:divBdr>
    </w:div>
    <w:div w:id="1621763294">
      <w:bodyDiv w:val="1"/>
      <w:marLeft w:val="0"/>
      <w:marRight w:val="0"/>
      <w:marTop w:val="0"/>
      <w:marBottom w:val="0"/>
      <w:divBdr>
        <w:top w:val="none" w:sz="0" w:space="0" w:color="auto"/>
        <w:left w:val="none" w:sz="0" w:space="0" w:color="auto"/>
        <w:bottom w:val="none" w:sz="0" w:space="0" w:color="auto"/>
        <w:right w:val="none" w:sz="0" w:space="0" w:color="auto"/>
      </w:divBdr>
    </w:div>
    <w:div w:id="1628243564">
      <w:bodyDiv w:val="1"/>
      <w:marLeft w:val="0"/>
      <w:marRight w:val="0"/>
      <w:marTop w:val="0"/>
      <w:marBottom w:val="0"/>
      <w:divBdr>
        <w:top w:val="none" w:sz="0" w:space="0" w:color="auto"/>
        <w:left w:val="none" w:sz="0" w:space="0" w:color="auto"/>
        <w:bottom w:val="none" w:sz="0" w:space="0" w:color="auto"/>
        <w:right w:val="none" w:sz="0" w:space="0" w:color="auto"/>
      </w:divBdr>
    </w:div>
    <w:div w:id="1678269411">
      <w:bodyDiv w:val="1"/>
      <w:marLeft w:val="0"/>
      <w:marRight w:val="0"/>
      <w:marTop w:val="0"/>
      <w:marBottom w:val="0"/>
      <w:divBdr>
        <w:top w:val="none" w:sz="0" w:space="0" w:color="auto"/>
        <w:left w:val="none" w:sz="0" w:space="0" w:color="auto"/>
        <w:bottom w:val="none" w:sz="0" w:space="0" w:color="auto"/>
        <w:right w:val="none" w:sz="0" w:space="0" w:color="auto"/>
      </w:divBdr>
    </w:div>
    <w:div w:id="1704134250">
      <w:bodyDiv w:val="1"/>
      <w:marLeft w:val="0"/>
      <w:marRight w:val="0"/>
      <w:marTop w:val="0"/>
      <w:marBottom w:val="0"/>
      <w:divBdr>
        <w:top w:val="none" w:sz="0" w:space="0" w:color="auto"/>
        <w:left w:val="none" w:sz="0" w:space="0" w:color="auto"/>
        <w:bottom w:val="none" w:sz="0" w:space="0" w:color="auto"/>
        <w:right w:val="none" w:sz="0" w:space="0" w:color="auto"/>
      </w:divBdr>
    </w:div>
    <w:div w:id="1730179388">
      <w:bodyDiv w:val="1"/>
      <w:marLeft w:val="0"/>
      <w:marRight w:val="0"/>
      <w:marTop w:val="0"/>
      <w:marBottom w:val="0"/>
      <w:divBdr>
        <w:top w:val="none" w:sz="0" w:space="0" w:color="auto"/>
        <w:left w:val="none" w:sz="0" w:space="0" w:color="auto"/>
        <w:bottom w:val="none" w:sz="0" w:space="0" w:color="auto"/>
        <w:right w:val="none" w:sz="0" w:space="0" w:color="auto"/>
      </w:divBdr>
    </w:div>
    <w:div w:id="1738700717">
      <w:bodyDiv w:val="1"/>
      <w:marLeft w:val="0"/>
      <w:marRight w:val="0"/>
      <w:marTop w:val="0"/>
      <w:marBottom w:val="0"/>
      <w:divBdr>
        <w:top w:val="none" w:sz="0" w:space="0" w:color="auto"/>
        <w:left w:val="none" w:sz="0" w:space="0" w:color="auto"/>
        <w:bottom w:val="none" w:sz="0" w:space="0" w:color="auto"/>
        <w:right w:val="none" w:sz="0" w:space="0" w:color="auto"/>
      </w:divBdr>
    </w:div>
    <w:div w:id="1751656368">
      <w:bodyDiv w:val="1"/>
      <w:marLeft w:val="0"/>
      <w:marRight w:val="0"/>
      <w:marTop w:val="0"/>
      <w:marBottom w:val="0"/>
      <w:divBdr>
        <w:top w:val="none" w:sz="0" w:space="0" w:color="auto"/>
        <w:left w:val="none" w:sz="0" w:space="0" w:color="auto"/>
        <w:bottom w:val="none" w:sz="0" w:space="0" w:color="auto"/>
        <w:right w:val="none" w:sz="0" w:space="0" w:color="auto"/>
      </w:divBdr>
    </w:div>
    <w:div w:id="1756823890">
      <w:bodyDiv w:val="1"/>
      <w:marLeft w:val="0"/>
      <w:marRight w:val="0"/>
      <w:marTop w:val="0"/>
      <w:marBottom w:val="0"/>
      <w:divBdr>
        <w:top w:val="none" w:sz="0" w:space="0" w:color="auto"/>
        <w:left w:val="none" w:sz="0" w:space="0" w:color="auto"/>
        <w:bottom w:val="none" w:sz="0" w:space="0" w:color="auto"/>
        <w:right w:val="none" w:sz="0" w:space="0" w:color="auto"/>
      </w:divBdr>
    </w:div>
    <w:div w:id="1779527511">
      <w:bodyDiv w:val="1"/>
      <w:marLeft w:val="0"/>
      <w:marRight w:val="0"/>
      <w:marTop w:val="0"/>
      <w:marBottom w:val="0"/>
      <w:divBdr>
        <w:top w:val="none" w:sz="0" w:space="0" w:color="auto"/>
        <w:left w:val="none" w:sz="0" w:space="0" w:color="auto"/>
        <w:bottom w:val="none" w:sz="0" w:space="0" w:color="auto"/>
        <w:right w:val="none" w:sz="0" w:space="0" w:color="auto"/>
      </w:divBdr>
    </w:div>
    <w:div w:id="1781682266">
      <w:bodyDiv w:val="1"/>
      <w:marLeft w:val="0"/>
      <w:marRight w:val="0"/>
      <w:marTop w:val="0"/>
      <w:marBottom w:val="0"/>
      <w:divBdr>
        <w:top w:val="none" w:sz="0" w:space="0" w:color="auto"/>
        <w:left w:val="none" w:sz="0" w:space="0" w:color="auto"/>
        <w:bottom w:val="none" w:sz="0" w:space="0" w:color="auto"/>
        <w:right w:val="none" w:sz="0" w:space="0" w:color="auto"/>
      </w:divBdr>
    </w:div>
    <w:div w:id="1794135419">
      <w:bodyDiv w:val="1"/>
      <w:marLeft w:val="0"/>
      <w:marRight w:val="0"/>
      <w:marTop w:val="0"/>
      <w:marBottom w:val="0"/>
      <w:divBdr>
        <w:top w:val="none" w:sz="0" w:space="0" w:color="auto"/>
        <w:left w:val="none" w:sz="0" w:space="0" w:color="auto"/>
        <w:bottom w:val="none" w:sz="0" w:space="0" w:color="auto"/>
        <w:right w:val="none" w:sz="0" w:space="0" w:color="auto"/>
      </w:divBdr>
    </w:div>
    <w:div w:id="1811555763">
      <w:bodyDiv w:val="1"/>
      <w:marLeft w:val="0"/>
      <w:marRight w:val="0"/>
      <w:marTop w:val="0"/>
      <w:marBottom w:val="0"/>
      <w:divBdr>
        <w:top w:val="none" w:sz="0" w:space="0" w:color="auto"/>
        <w:left w:val="none" w:sz="0" w:space="0" w:color="auto"/>
        <w:bottom w:val="none" w:sz="0" w:space="0" w:color="auto"/>
        <w:right w:val="none" w:sz="0" w:space="0" w:color="auto"/>
      </w:divBdr>
    </w:div>
    <w:div w:id="1815561706">
      <w:bodyDiv w:val="1"/>
      <w:marLeft w:val="0"/>
      <w:marRight w:val="0"/>
      <w:marTop w:val="0"/>
      <w:marBottom w:val="0"/>
      <w:divBdr>
        <w:top w:val="none" w:sz="0" w:space="0" w:color="auto"/>
        <w:left w:val="none" w:sz="0" w:space="0" w:color="auto"/>
        <w:bottom w:val="none" w:sz="0" w:space="0" w:color="auto"/>
        <w:right w:val="none" w:sz="0" w:space="0" w:color="auto"/>
      </w:divBdr>
    </w:div>
    <w:div w:id="1851483941">
      <w:bodyDiv w:val="1"/>
      <w:marLeft w:val="0"/>
      <w:marRight w:val="0"/>
      <w:marTop w:val="0"/>
      <w:marBottom w:val="0"/>
      <w:divBdr>
        <w:top w:val="none" w:sz="0" w:space="0" w:color="auto"/>
        <w:left w:val="none" w:sz="0" w:space="0" w:color="auto"/>
        <w:bottom w:val="none" w:sz="0" w:space="0" w:color="auto"/>
        <w:right w:val="none" w:sz="0" w:space="0" w:color="auto"/>
      </w:divBdr>
    </w:div>
    <w:div w:id="1853908268">
      <w:bodyDiv w:val="1"/>
      <w:marLeft w:val="0"/>
      <w:marRight w:val="0"/>
      <w:marTop w:val="0"/>
      <w:marBottom w:val="0"/>
      <w:divBdr>
        <w:top w:val="none" w:sz="0" w:space="0" w:color="auto"/>
        <w:left w:val="none" w:sz="0" w:space="0" w:color="auto"/>
        <w:bottom w:val="none" w:sz="0" w:space="0" w:color="auto"/>
        <w:right w:val="none" w:sz="0" w:space="0" w:color="auto"/>
      </w:divBdr>
      <w:divsChild>
        <w:div w:id="501507525">
          <w:marLeft w:val="0"/>
          <w:marRight w:val="0"/>
          <w:marTop w:val="0"/>
          <w:marBottom w:val="0"/>
          <w:divBdr>
            <w:top w:val="none" w:sz="0" w:space="0" w:color="auto"/>
            <w:left w:val="none" w:sz="0" w:space="0" w:color="auto"/>
            <w:bottom w:val="none" w:sz="0" w:space="0" w:color="auto"/>
            <w:right w:val="none" w:sz="0" w:space="0" w:color="auto"/>
          </w:divBdr>
        </w:div>
      </w:divsChild>
    </w:div>
    <w:div w:id="1883856299">
      <w:bodyDiv w:val="1"/>
      <w:marLeft w:val="0"/>
      <w:marRight w:val="0"/>
      <w:marTop w:val="0"/>
      <w:marBottom w:val="0"/>
      <w:divBdr>
        <w:top w:val="none" w:sz="0" w:space="0" w:color="auto"/>
        <w:left w:val="none" w:sz="0" w:space="0" w:color="auto"/>
        <w:bottom w:val="none" w:sz="0" w:space="0" w:color="auto"/>
        <w:right w:val="none" w:sz="0" w:space="0" w:color="auto"/>
      </w:divBdr>
      <w:divsChild>
        <w:div w:id="1456603422">
          <w:marLeft w:val="0"/>
          <w:marRight w:val="0"/>
          <w:marTop w:val="0"/>
          <w:marBottom w:val="0"/>
          <w:divBdr>
            <w:top w:val="none" w:sz="0" w:space="0" w:color="auto"/>
            <w:left w:val="none" w:sz="0" w:space="0" w:color="auto"/>
            <w:bottom w:val="none" w:sz="0" w:space="0" w:color="auto"/>
            <w:right w:val="none" w:sz="0" w:space="0" w:color="auto"/>
          </w:divBdr>
        </w:div>
      </w:divsChild>
    </w:div>
    <w:div w:id="1900095967">
      <w:bodyDiv w:val="1"/>
      <w:marLeft w:val="0"/>
      <w:marRight w:val="0"/>
      <w:marTop w:val="0"/>
      <w:marBottom w:val="0"/>
      <w:divBdr>
        <w:top w:val="none" w:sz="0" w:space="0" w:color="auto"/>
        <w:left w:val="none" w:sz="0" w:space="0" w:color="auto"/>
        <w:bottom w:val="none" w:sz="0" w:space="0" w:color="auto"/>
        <w:right w:val="none" w:sz="0" w:space="0" w:color="auto"/>
      </w:divBdr>
    </w:div>
    <w:div w:id="1931353500">
      <w:bodyDiv w:val="1"/>
      <w:marLeft w:val="0"/>
      <w:marRight w:val="0"/>
      <w:marTop w:val="0"/>
      <w:marBottom w:val="0"/>
      <w:divBdr>
        <w:top w:val="none" w:sz="0" w:space="0" w:color="auto"/>
        <w:left w:val="none" w:sz="0" w:space="0" w:color="auto"/>
        <w:bottom w:val="none" w:sz="0" w:space="0" w:color="auto"/>
        <w:right w:val="none" w:sz="0" w:space="0" w:color="auto"/>
      </w:divBdr>
    </w:div>
    <w:div w:id="1954750038">
      <w:bodyDiv w:val="1"/>
      <w:marLeft w:val="0"/>
      <w:marRight w:val="0"/>
      <w:marTop w:val="0"/>
      <w:marBottom w:val="0"/>
      <w:divBdr>
        <w:top w:val="none" w:sz="0" w:space="0" w:color="auto"/>
        <w:left w:val="none" w:sz="0" w:space="0" w:color="auto"/>
        <w:bottom w:val="none" w:sz="0" w:space="0" w:color="auto"/>
        <w:right w:val="none" w:sz="0" w:space="0" w:color="auto"/>
      </w:divBdr>
    </w:div>
    <w:div w:id="1954825650">
      <w:bodyDiv w:val="1"/>
      <w:marLeft w:val="0"/>
      <w:marRight w:val="0"/>
      <w:marTop w:val="0"/>
      <w:marBottom w:val="0"/>
      <w:divBdr>
        <w:top w:val="none" w:sz="0" w:space="0" w:color="auto"/>
        <w:left w:val="none" w:sz="0" w:space="0" w:color="auto"/>
        <w:bottom w:val="none" w:sz="0" w:space="0" w:color="auto"/>
        <w:right w:val="none" w:sz="0" w:space="0" w:color="auto"/>
      </w:divBdr>
    </w:div>
    <w:div w:id="2045789320">
      <w:bodyDiv w:val="1"/>
      <w:marLeft w:val="0"/>
      <w:marRight w:val="0"/>
      <w:marTop w:val="0"/>
      <w:marBottom w:val="0"/>
      <w:divBdr>
        <w:top w:val="none" w:sz="0" w:space="0" w:color="auto"/>
        <w:left w:val="none" w:sz="0" w:space="0" w:color="auto"/>
        <w:bottom w:val="none" w:sz="0" w:space="0" w:color="auto"/>
        <w:right w:val="none" w:sz="0" w:space="0" w:color="auto"/>
      </w:divBdr>
    </w:div>
    <w:div w:id="2060519636">
      <w:bodyDiv w:val="1"/>
      <w:marLeft w:val="0"/>
      <w:marRight w:val="0"/>
      <w:marTop w:val="0"/>
      <w:marBottom w:val="0"/>
      <w:divBdr>
        <w:top w:val="none" w:sz="0" w:space="0" w:color="auto"/>
        <w:left w:val="none" w:sz="0" w:space="0" w:color="auto"/>
        <w:bottom w:val="none" w:sz="0" w:space="0" w:color="auto"/>
        <w:right w:val="none" w:sz="0" w:space="0" w:color="auto"/>
      </w:divBdr>
    </w:div>
    <w:div w:id="2061324811">
      <w:bodyDiv w:val="1"/>
      <w:marLeft w:val="0"/>
      <w:marRight w:val="0"/>
      <w:marTop w:val="0"/>
      <w:marBottom w:val="0"/>
      <w:divBdr>
        <w:top w:val="none" w:sz="0" w:space="0" w:color="auto"/>
        <w:left w:val="none" w:sz="0" w:space="0" w:color="auto"/>
        <w:bottom w:val="none" w:sz="0" w:space="0" w:color="auto"/>
        <w:right w:val="none" w:sz="0" w:space="0" w:color="auto"/>
      </w:divBdr>
    </w:div>
    <w:div w:id="2070692206">
      <w:bodyDiv w:val="1"/>
      <w:marLeft w:val="0"/>
      <w:marRight w:val="0"/>
      <w:marTop w:val="0"/>
      <w:marBottom w:val="0"/>
      <w:divBdr>
        <w:top w:val="none" w:sz="0" w:space="0" w:color="auto"/>
        <w:left w:val="none" w:sz="0" w:space="0" w:color="auto"/>
        <w:bottom w:val="none" w:sz="0" w:space="0" w:color="auto"/>
        <w:right w:val="none" w:sz="0" w:space="0" w:color="auto"/>
      </w:divBdr>
    </w:div>
    <w:div w:id="2079984349">
      <w:bodyDiv w:val="1"/>
      <w:marLeft w:val="0"/>
      <w:marRight w:val="0"/>
      <w:marTop w:val="0"/>
      <w:marBottom w:val="0"/>
      <w:divBdr>
        <w:top w:val="none" w:sz="0" w:space="0" w:color="auto"/>
        <w:left w:val="none" w:sz="0" w:space="0" w:color="auto"/>
        <w:bottom w:val="none" w:sz="0" w:space="0" w:color="auto"/>
        <w:right w:val="none" w:sz="0" w:space="0" w:color="auto"/>
      </w:divBdr>
    </w:div>
    <w:div w:id="2080324195">
      <w:bodyDiv w:val="1"/>
      <w:marLeft w:val="0"/>
      <w:marRight w:val="0"/>
      <w:marTop w:val="0"/>
      <w:marBottom w:val="0"/>
      <w:divBdr>
        <w:top w:val="none" w:sz="0" w:space="0" w:color="auto"/>
        <w:left w:val="none" w:sz="0" w:space="0" w:color="auto"/>
        <w:bottom w:val="none" w:sz="0" w:space="0" w:color="auto"/>
        <w:right w:val="none" w:sz="0" w:space="0" w:color="auto"/>
      </w:divBdr>
    </w:div>
    <w:div w:id="2100636962">
      <w:bodyDiv w:val="1"/>
      <w:marLeft w:val="0"/>
      <w:marRight w:val="0"/>
      <w:marTop w:val="0"/>
      <w:marBottom w:val="0"/>
      <w:divBdr>
        <w:top w:val="none" w:sz="0" w:space="0" w:color="auto"/>
        <w:left w:val="none" w:sz="0" w:space="0" w:color="auto"/>
        <w:bottom w:val="none" w:sz="0" w:space="0" w:color="auto"/>
        <w:right w:val="none" w:sz="0" w:space="0" w:color="auto"/>
      </w:divBdr>
    </w:div>
    <w:div w:id="2114550823">
      <w:bodyDiv w:val="1"/>
      <w:marLeft w:val="0"/>
      <w:marRight w:val="0"/>
      <w:marTop w:val="0"/>
      <w:marBottom w:val="0"/>
      <w:divBdr>
        <w:top w:val="none" w:sz="0" w:space="0" w:color="auto"/>
        <w:left w:val="none" w:sz="0" w:space="0" w:color="auto"/>
        <w:bottom w:val="none" w:sz="0" w:space="0" w:color="auto"/>
        <w:right w:val="none" w:sz="0" w:space="0" w:color="auto"/>
      </w:divBdr>
    </w:div>
    <w:div w:id="2140148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diagramColors" Target="diagrams/colors1.xml" /><Relationship Id="rId1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diagramQuickStyle" Target="diagrams/quickStyle1.xml" /><Relationship Id="rId17" Type="http://schemas.openxmlformats.org/officeDocument/2006/relationships/hyperlink" Target="https://www.worldbank.org/en/country/bangladesh/overview" TargetMode="External" /><Relationship Id="rId2" Type="http://schemas.openxmlformats.org/officeDocument/2006/relationships/numbering" Target="numbering.xml" /><Relationship Id="rId16" Type="http://schemas.openxmlformats.org/officeDocument/2006/relationships/hyperlink" Target="https://www.theculturefactor.com/country-comparison-tool?countries=bangladesh%2Cunited+kingdom" TargetMode="External" /><Relationship Id="rId20"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diagramLayout" Target="diagrams/layout1.xml" /><Relationship Id="rId5" Type="http://schemas.openxmlformats.org/officeDocument/2006/relationships/webSettings" Target="webSettings.xml" /><Relationship Id="rId15" Type="http://schemas.openxmlformats.org/officeDocument/2006/relationships/image" Target="media/image9.png" /><Relationship Id="rId10" Type="http://schemas.openxmlformats.org/officeDocument/2006/relationships/diagramData" Target="diagrams/data1.xml" /><Relationship Id="rId19"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image" Target="media/image2.png" /><Relationship Id="rId14" Type="http://schemas.microsoft.com/office/2007/relationships/diagramDrawing" Target="diagrams/drawing1.xml" /></Relationships>
</file>

<file path=word/diagrams/_rels/data1.xml.rels><?xml version="1.0" encoding="UTF-8" standalone="yes"?>
<Relationships xmlns="http://schemas.openxmlformats.org/package/2006/relationships"><Relationship Id="rId3" Type="http://schemas.openxmlformats.org/officeDocument/2006/relationships/image" Target="../media/image5.png" /><Relationship Id="rId2" Type="http://schemas.openxmlformats.org/officeDocument/2006/relationships/image" Target="../media/image4.svg" /><Relationship Id="rId1" Type="http://schemas.openxmlformats.org/officeDocument/2006/relationships/image" Target="../media/image3.png" /><Relationship Id="rId6" Type="http://schemas.openxmlformats.org/officeDocument/2006/relationships/image" Target="../media/image8.svg" /><Relationship Id="rId5" Type="http://schemas.openxmlformats.org/officeDocument/2006/relationships/image" Target="../media/image7.png" /><Relationship Id="rId4" Type="http://schemas.openxmlformats.org/officeDocument/2006/relationships/image" Target="../media/image6.svg" /></Relationships>
</file>

<file path=word/diagrams/_rels/drawing1.xml.rels><?xml version="1.0" encoding="UTF-8" standalone="yes"?>
<Relationships xmlns="http://schemas.openxmlformats.org/package/2006/relationships"><Relationship Id="rId3" Type="http://schemas.openxmlformats.org/officeDocument/2006/relationships/image" Target="../media/image5.png" /><Relationship Id="rId2" Type="http://schemas.openxmlformats.org/officeDocument/2006/relationships/image" Target="../media/image4.svg" /><Relationship Id="rId1" Type="http://schemas.openxmlformats.org/officeDocument/2006/relationships/image" Target="../media/image3.png" /><Relationship Id="rId6" Type="http://schemas.openxmlformats.org/officeDocument/2006/relationships/image" Target="../media/image8.svg" /><Relationship Id="rId5" Type="http://schemas.openxmlformats.org/officeDocument/2006/relationships/image" Target="../media/image7.png" /><Relationship Id="rId4" Type="http://schemas.openxmlformats.org/officeDocument/2006/relationships/image" Target="../media/image6.svg" /></Relationships>
</file>

<file path=word/diagrams/colors1.xml><?xml version="1.0" encoding="utf-8"?>
<dgm:colorsDef xmlns:dgm="http://schemas.openxmlformats.org/drawingml/2006/diagram" xmlns:a="http://schemas.openxmlformats.org/drawingml/2006/main" uniqueId="urn:microsoft.com/office/officeart/2018/5/colors/Iconchunking_neutralbg_accent3_2">
  <dgm:title val=""/>
  <dgm:desc val=""/>
  <dgm:catLst>
    <dgm:cat type="accent3" pri="13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a:alpha val="0"/>
      </a:schemeClr>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bg1">
        <a:lumMod val="95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D4F09C7-8E7C-466A-8B8E-998147953EFE}" type="doc">
      <dgm:prSet loTypeId="urn:microsoft.com/office/officeart/2018/2/layout/IconVerticalSolidList" loCatId="icon" qsTypeId="urn:microsoft.com/office/officeart/2005/8/quickstyle/simple1" qsCatId="simple" csTypeId="urn:microsoft.com/office/officeart/2018/5/colors/Iconchunking_neutralbg_accent3_2" csCatId="accent3" phldr="1"/>
      <dgm:spPr/>
      <dgm:t>
        <a:bodyPr/>
        <a:lstStyle/>
        <a:p>
          <a:endParaRPr lang="en-US"/>
        </a:p>
      </dgm:t>
    </dgm:pt>
    <dgm:pt modelId="{DCF6609A-DEA7-4C93-B693-44D67CD68D8F}">
      <dgm:prSet/>
      <dgm:spPr/>
      <dgm:t>
        <a:bodyPr/>
        <a:lstStyle/>
        <a:p>
          <a:pPr>
            <a:lnSpc>
              <a:spcPct val="100000"/>
            </a:lnSpc>
          </a:pPr>
          <a:r>
            <a:rPr lang="en-US" b="1"/>
            <a:t>Ownership Advantages (O)</a:t>
          </a:r>
          <a:endParaRPr lang="en-US"/>
        </a:p>
      </dgm:t>
    </dgm:pt>
    <dgm:pt modelId="{561D80D5-70D1-44AC-977E-0DD76AE32875}" type="parTrans" cxnId="{AC974420-0A48-4584-8F34-0029DFFABB38}">
      <dgm:prSet/>
      <dgm:spPr/>
      <dgm:t>
        <a:bodyPr/>
        <a:lstStyle/>
        <a:p>
          <a:endParaRPr lang="en-US"/>
        </a:p>
      </dgm:t>
    </dgm:pt>
    <dgm:pt modelId="{9A1E2595-2C6F-4988-AB30-8E81F304EA6F}" type="sibTrans" cxnId="{AC974420-0A48-4584-8F34-0029DFFABB38}">
      <dgm:prSet/>
      <dgm:spPr/>
      <dgm:t>
        <a:bodyPr/>
        <a:lstStyle/>
        <a:p>
          <a:endParaRPr lang="en-US"/>
        </a:p>
      </dgm:t>
    </dgm:pt>
    <dgm:pt modelId="{D81AB753-2A73-49AB-9C8D-92220D830678}">
      <dgm:prSet custT="1"/>
      <dgm:spPr/>
      <dgm:t>
        <a:bodyPr/>
        <a:lstStyle/>
        <a:p>
          <a:pPr>
            <a:lnSpc>
              <a:spcPct val="100000"/>
            </a:lnSpc>
          </a:pPr>
          <a:r>
            <a:rPr lang="en-US" sz="900"/>
            <a:t>Proprietary technology and patents</a:t>
          </a:r>
        </a:p>
      </dgm:t>
    </dgm:pt>
    <dgm:pt modelId="{7710C943-CC12-482C-9A68-D559BEFB4AE6}" type="parTrans" cxnId="{C199F780-CC7A-4662-A9D6-B609EEE6B739}">
      <dgm:prSet/>
      <dgm:spPr/>
      <dgm:t>
        <a:bodyPr/>
        <a:lstStyle/>
        <a:p>
          <a:endParaRPr lang="en-US"/>
        </a:p>
      </dgm:t>
    </dgm:pt>
    <dgm:pt modelId="{3FB292AC-2DE9-47B2-8875-BD6856D7F052}" type="sibTrans" cxnId="{C199F780-CC7A-4662-A9D6-B609EEE6B739}">
      <dgm:prSet/>
      <dgm:spPr/>
      <dgm:t>
        <a:bodyPr/>
        <a:lstStyle/>
        <a:p>
          <a:endParaRPr lang="en-US"/>
        </a:p>
      </dgm:t>
    </dgm:pt>
    <dgm:pt modelId="{B1AF7F42-5F64-4B72-85C3-3285CE0AB322}">
      <dgm:prSet custT="1"/>
      <dgm:spPr/>
      <dgm:t>
        <a:bodyPr/>
        <a:lstStyle/>
        <a:p>
          <a:pPr>
            <a:lnSpc>
              <a:spcPct val="100000"/>
            </a:lnSpc>
          </a:pPr>
          <a:r>
            <a:rPr lang="en-US" sz="900"/>
            <a:t>Strong brand and reputation</a:t>
          </a:r>
        </a:p>
      </dgm:t>
    </dgm:pt>
    <dgm:pt modelId="{3EB3A09E-64F8-4AA8-AE79-E3022F9519CB}" type="parTrans" cxnId="{D3E5AFC7-FB43-4F2A-BECC-E940E2D2442E}">
      <dgm:prSet/>
      <dgm:spPr/>
      <dgm:t>
        <a:bodyPr/>
        <a:lstStyle/>
        <a:p>
          <a:endParaRPr lang="en-US"/>
        </a:p>
      </dgm:t>
    </dgm:pt>
    <dgm:pt modelId="{60969260-32B0-4CF4-829F-001B8F162831}" type="sibTrans" cxnId="{D3E5AFC7-FB43-4F2A-BECC-E940E2D2442E}">
      <dgm:prSet/>
      <dgm:spPr/>
      <dgm:t>
        <a:bodyPr/>
        <a:lstStyle/>
        <a:p>
          <a:endParaRPr lang="en-US"/>
        </a:p>
      </dgm:t>
    </dgm:pt>
    <dgm:pt modelId="{5D68A4F9-CAD9-435E-A6BB-49EDA679C557}">
      <dgm:prSet custT="1"/>
      <dgm:spPr/>
      <dgm:t>
        <a:bodyPr/>
        <a:lstStyle/>
        <a:p>
          <a:pPr>
            <a:lnSpc>
              <a:spcPct val="100000"/>
            </a:lnSpc>
          </a:pPr>
          <a:r>
            <a:rPr lang="en-US" sz="900"/>
            <a:t>Managerial and organizational expertise</a:t>
          </a:r>
        </a:p>
      </dgm:t>
    </dgm:pt>
    <dgm:pt modelId="{0DF97E3F-97AC-4F98-84C6-7B83FE0CEB38}" type="parTrans" cxnId="{7C42F51E-473A-4917-B18E-A38F5F8052B4}">
      <dgm:prSet/>
      <dgm:spPr/>
      <dgm:t>
        <a:bodyPr/>
        <a:lstStyle/>
        <a:p>
          <a:endParaRPr lang="en-US"/>
        </a:p>
      </dgm:t>
    </dgm:pt>
    <dgm:pt modelId="{7D35322B-ED4B-4C96-A855-4CF9397649AF}" type="sibTrans" cxnId="{7C42F51E-473A-4917-B18E-A38F5F8052B4}">
      <dgm:prSet/>
      <dgm:spPr/>
      <dgm:t>
        <a:bodyPr/>
        <a:lstStyle/>
        <a:p>
          <a:endParaRPr lang="en-US"/>
        </a:p>
      </dgm:t>
    </dgm:pt>
    <dgm:pt modelId="{9A5E294A-E94B-4253-8243-0360CC8E6244}">
      <dgm:prSet custT="1"/>
      <dgm:spPr/>
      <dgm:t>
        <a:bodyPr/>
        <a:lstStyle/>
        <a:p>
          <a:pPr>
            <a:lnSpc>
              <a:spcPct val="100000"/>
            </a:lnSpc>
          </a:pPr>
          <a:r>
            <a:rPr lang="en-US" sz="900"/>
            <a:t>Economies of scale and financial strength</a:t>
          </a:r>
        </a:p>
      </dgm:t>
    </dgm:pt>
    <dgm:pt modelId="{9ECDDE01-0C89-4B4C-8228-6F163EF2AE73}" type="parTrans" cxnId="{EBB61A07-F82E-4137-86A3-5FA19BD7D5F4}">
      <dgm:prSet/>
      <dgm:spPr/>
      <dgm:t>
        <a:bodyPr/>
        <a:lstStyle/>
        <a:p>
          <a:endParaRPr lang="en-US"/>
        </a:p>
      </dgm:t>
    </dgm:pt>
    <dgm:pt modelId="{130C7613-8C1C-47DB-AC88-243E4C9E10CA}" type="sibTrans" cxnId="{EBB61A07-F82E-4137-86A3-5FA19BD7D5F4}">
      <dgm:prSet/>
      <dgm:spPr/>
      <dgm:t>
        <a:bodyPr/>
        <a:lstStyle/>
        <a:p>
          <a:endParaRPr lang="en-US"/>
        </a:p>
      </dgm:t>
    </dgm:pt>
    <dgm:pt modelId="{7609CFD5-C80D-434C-8BCB-0C3EE821B821}">
      <dgm:prSet/>
      <dgm:spPr/>
      <dgm:t>
        <a:bodyPr/>
        <a:lstStyle/>
        <a:p>
          <a:pPr>
            <a:lnSpc>
              <a:spcPct val="100000"/>
            </a:lnSpc>
          </a:pPr>
          <a:r>
            <a:rPr lang="en-US" b="1"/>
            <a:t>Location Advantages (L)</a:t>
          </a:r>
          <a:endParaRPr lang="en-US"/>
        </a:p>
      </dgm:t>
    </dgm:pt>
    <dgm:pt modelId="{D0E22CB7-C796-474C-BFAC-54767836A339}" type="parTrans" cxnId="{13C53500-F2E3-4E2B-A5F5-5EE79FB0159B}">
      <dgm:prSet/>
      <dgm:spPr/>
      <dgm:t>
        <a:bodyPr/>
        <a:lstStyle/>
        <a:p>
          <a:endParaRPr lang="en-US"/>
        </a:p>
      </dgm:t>
    </dgm:pt>
    <dgm:pt modelId="{16529795-E5ED-4608-94E7-6E345C09B8CC}" type="sibTrans" cxnId="{13C53500-F2E3-4E2B-A5F5-5EE79FB0159B}">
      <dgm:prSet/>
      <dgm:spPr/>
      <dgm:t>
        <a:bodyPr/>
        <a:lstStyle/>
        <a:p>
          <a:endParaRPr lang="en-US"/>
        </a:p>
      </dgm:t>
    </dgm:pt>
    <dgm:pt modelId="{592D2881-ABCA-465A-A57A-9236A601CB79}">
      <dgm:prSet custT="1"/>
      <dgm:spPr/>
      <dgm:t>
        <a:bodyPr/>
        <a:lstStyle/>
        <a:p>
          <a:pPr>
            <a:lnSpc>
              <a:spcPct val="100000"/>
            </a:lnSpc>
          </a:pPr>
          <a:r>
            <a:rPr lang="en-US" sz="900"/>
            <a:t>Lower production or labour costs</a:t>
          </a:r>
        </a:p>
      </dgm:t>
    </dgm:pt>
    <dgm:pt modelId="{EEFF887D-2F4A-4901-A133-F2B99D616E0A}" type="parTrans" cxnId="{3640DD61-FC4E-4FE7-A4EE-0FFD4C12F15F}">
      <dgm:prSet/>
      <dgm:spPr/>
      <dgm:t>
        <a:bodyPr/>
        <a:lstStyle/>
        <a:p>
          <a:endParaRPr lang="en-US"/>
        </a:p>
      </dgm:t>
    </dgm:pt>
    <dgm:pt modelId="{213E0D13-B498-4D14-B537-78A663FD4ABD}" type="sibTrans" cxnId="{3640DD61-FC4E-4FE7-A4EE-0FFD4C12F15F}">
      <dgm:prSet/>
      <dgm:spPr/>
      <dgm:t>
        <a:bodyPr/>
        <a:lstStyle/>
        <a:p>
          <a:endParaRPr lang="en-US"/>
        </a:p>
      </dgm:t>
    </dgm:pt>
    <dgm:pt modelId="{87723B20-2F26-42A6-A55D-3B8324379A73}">
      <dgm:prSet custT="1"/>
      <dgm:spPr/>
      <dgm:t>
        <a:bodyPr/>
        <a:lstStyle/>
        <a:p>
          <a:pPr>
            <a:lnSpc>
              <a:spcPct val="100000"/>
            </a:lnSpc>
          </a:pPr>
          <a:r>
            <a:rPr lang="en-US" sz="900"/>
            <a:t>Access to resources or markets</a:t>
          </a:r>
        </a:p>
      </dgm:t>
    </dgm:pt>
    <dgm:pt modelId="{8B2494BD-6049-4636-BCB5-90494B3D948C}" type="parTrans" cxnId="{A93C7C65-CF68-447B-A6E0-69B09E82141D}">
      <dgm:prSet/>
      <dgm:spPr/>
      <dgm:t>
        <a:bodyPr/>
        <a:lstStyle/>
        <a:p>
          <a:endParaRPr lang="en-US"/>
        </a:p>
      </dgm:t>
    </dgm:pt>
    <dgm:pt modelId="{67FFA02C-6BF5-42E7-B261-E6CC6BF57A16}" type="sibTrans" cxnId="{A93C7C65-CF68-447B-A6E0-69B09E82141D}">
      <dgm:prSet/>
      <dgm:spPr/>
      <dgm:t>
        <a:bodyPr/>
        <a:lstStyle/>
        <a:p>
          <a:endParaRPr lang="en-US"/>
        </a:p>
      </dgm:t>
    </dgm:pt>
    <dgm:pt modelId="{1E4059A8-ECA4-45DA-BD4E-21D40B8BB489}">
      <dgm:prSet custT="1"/>
      <dgm:spPr/>
      <dgm:t>
        <a:bodyPr/>
        <a:lstStyle/>
        <a:p>
          <a:pPr>
            <a:lnSpc>
              <a:spcPct val="100000"/>
            </a:lnSpc>
          </a:pPr>
          <a:r>
            <a:rPr lang="en-US" sz="900"/>
            <a:t>Favourable government policies</a:t>
          </a:r>
        </a:p>
      </dgm:t>
    </dgm:pt>
    <dgm:pt modelId="{7E9485C4-FCF9-4D89-AC60-EBCDBB2FF195}" type="parTrans" cxnId="{524E629F-9694-4579-B8D3-55CDFB4FFBBC}">
      <dgm:prSet/>
      <dgm:spPr/>
      <dgm:t>
        <a:bodyPr/>
        <a:lstStyle/>
        <a:p>
          <a:endParaRPr lang="en-US"/>
        </a:p>
      </dgm:t>
    </dgm:pt>
    <dgm:pt modelId="{B5335190-35AF-4AAA-9AEF-20494C88B4BC}" type="sibTrans" cxnId="{524E629F-9694-4579-B8D3-55CDFB4FFBBC}">
      <dgm:prSet/>
      <dgm:spPr/>
      <dgm:t>
        <a:bodyPr/>
        <a:lstStyle/>
        <a:p>
          <a:endParaRPr lang="en-US"/>
        </a:p>
      </dgm:t>
    </dgm:pt>
    <dgm:pt modelId="{E8C062E5-942F-48D9-86D9-4B10D761FE96}">
      <dgm:prSet custT="1"/>
      <dgm:spPr/>
      <dgm:t>
        <a:bodyPr/>
        <a:lstStyle/>
        <a:p>
          <a:pPr>
            <a:lnSpc>
              <a:spcPct val="100000"/>
            </a:lnSpc>
          </a:pPr>
          <a:r>
            <a:rPr lang="en-US" sz="900"/>
            <a:t>Geographic or cultural proximity</a:t>
          </a:r>
        </a:p>
      </dgm:t>
    </dgm:pt>
    <dgm:pt modelId="{ADFCCD11-74B0-4AC7-A423-095484AB6E63}" type="parTrans" cxnId="{C97A7856-1CD4-44BB-875B-C7E7F05D0D5D}">
      <dgm:prSet/>
      <dgm:spPr/>
      <dgm:t>
        <a:bodyPr/>
        <a:lstStyle/>
        <a:p>
          <a:endParaRPr lang="en-US"/>
        </a:p>
      </dgm:t>
    </dgm:pt>
    <dgm:pt modelId="{A517EC62-9539-417A-A6CF-C4EAF30B69E2}" type="sibTrans" cxnId="{C97A7856-1CD4-44BB-875B-C7E7F05D0D5D}">
      <dgm:prSet/>
      <dgm:spPr/>
      <dgm:t>
        <a:bodyPr/>
        <a:lstStyle/>
        <a:p>
          <a:endParaRPr lang="en-US"/>
        </a:p>
      </dgm:t>
    </dgm:pt>
    <dgm:pt modelId="{AB8E47E3-EC63-4BFF-95C2-F8DCA69B66FC}">
      <dgm:prSet/>
      <dgm:spPr/>
      <dgm:t>
        <a:bodyPr/>
        <a:lstStyle/>
        <a:p>
          <a:pPr>
            <a:lnSpc>
              <a:spcPct val="100000"/>
            </a:lnSpc>
          </a:pPr>
          <a:r>
            <a:rPr lang="en-US" b="1"/>
            <a:t>Internalization Advantages (I)</a:t>
          </a:r>
          <a:endParaRPr lang="en-US"/>
        </a:p>
      </dgm:t>
    </dgm:pt>
    <dgm:pt modelId="{303F94B2-E00C-4AFE-A600-B0BAFE624F68}" type="parTrans" cxnId="{2E470428-F26D-47B4-B8B7-A03CDD908D0F}">
      <dgm:prSet/>
      <dgm:spPr/>
      <dgm:t>
        <a:bodyPr/>
        <a:lstStyle/>
        <a:p>
          <a:endParaRPr lang="en-US"/>
        </a:p>
      </dgm:t>
    </dgm:pt>
    <dgm:pt modelId="{87F213D5-C68B-448C-9FDA-C13779462313}" type="sibTrans" cxnId="{2E470428-F26D-47B4-B8B7-A03CDD908D0F}">
      <dgm:prSet/>
      <dgm:spPr/>
      <dgm:t>
        <a:bodyPr/>
        <a:lstStyle/>
        <a:p>
          <a:endParaRPr lang="en-US"/>
        </a:p>
      </dgm:t>
    </dgm:pt>
    <dgm:pt modelId="{C89D11A6-0E14-4201-B892-C03B4CA4AE58}">
      <dgm:prSet custT="1"/>
      <dgm:spPr/>
      <dgm:t>
        <a:bodyPr/>
        <a:lstStyle/>
        <a:p>
          <a:pPr>
            <a:lnSpc>
              <a:spcPct val="100000"/>
            </a:lnSpc>
          </a:pPr>
          <a:r>
            <a:rPr lang="en-US" sz="900"/>
            <a:t>Protecting intellectual property</a:t>
          </a:r>
        </a:p>
      </dgm:t>
    </dgm:pt>
    <dgm:pt modelId="{4A92F6F8-5A22-46AF-AC55-A0509D3FCB5B}" type="parTrans" cxnId="{B9D91FF2-05C2-494A-992E-C4BE0F2BAEA6}">
      <dgm:prSet/>
      <dgm:spPr/>
      <dgm:t>
        <a:bodyPr/>
        <a:lstStyle/>
        <a:p>
          <a:endParaRPr lang="en-US"/>
        </a:p>
      </dgm:t>
    </dgm:pt>
    <dgm:pt modelId="{871AC42E-D96D-41DB-8727-F7DD7C5E2852}" type="sibTrans" cxnId="{B9D91FF2-05C2-494A-992E-C4BE0F2BAEA6}">
      <dgm:prSet/>
      <dgm:spPr/>
      <dgm:t>
        <a:bodyPr/>
        <a:lstStyle/>
        <a:p>
          <a:endParaRPr lang="en-US"/>
        </a:p>
      </dgm:t>
    </dgm:pt>
    <dgm:pt modelId="{04B94C0D-8898-4322-AD3C-0C25F70BAEEB}">
      <dgm:prSet custT="1"/>
      <dgm:spPr/>
      <dgm:t>
        <a:bodyPr/>
        <a:lstStyle/>
        <a:p>
          <a:pPr>
            <a:lnSpc>
              <a:spcPct val="100000"/>
            </a:lnSpc>
          </a:pPr>
          <a:r>
            <a:rPr lang="en-US" sz="900"/>
            <a:t>Reducing transaction and coordination costs</a:t>
          </a:r>
        </a:p>
      </dgm:t>
    </dgm:pt>
    <dgm:pt modelId="{EFD0BC94-C5BA-4B4D-BB51-F926B02BDBF8}" type="parTrans" cxnId="{963C6196-BEE7-4B2E-9BD0-1331A021CF65}">
      <dgm:prSet/>
      <dgm:spPr/>
      <dgm:t>
        <a:bodyPr/>
        <a:lstStyle/>
        <a:p>
          <a:endParaRPr lang="en-US"/>
        </a:p>
      </dgm:t>
    </dgm:pt>
    <dgm:pt modelId="{B94D8858-8C7B-4743-8EFE-5BB0B2452473}" type="sibTrans" cxnId="{963C6196-BEE7-4B2E-9BD0-1331A021CF65}">
      <dgm:prSet/>
      <dgm:spPr/>
      <dgm:t>
        <a:bodyPr/>
        <a:lstStyle/>
        <a:p>
          <a:endParaRPr lang="en-US"/>
        </a:p>
      </dgm:t>
    </dgm:pt>
    <dgm:pt modelId="{BA88FA30-351F-4ED2-AD2E-5ACA5BCA2191}">
      <dgm:prSet custT="1"/>
      <dgm:spPr/>
      <dgm:t>
        <a:bodyPr/>
        <a:lstStyle/>
        <a:p>
          <a:pPr>
            <a:lnSpc>
              <a:spcPct val="100000"/>
            </a:lnSpc>
          </a:pPr>
          <a:r>
            <a:rPr lang="en-US" sz="900"/>
            <a:t>Maintaining quality and control</a:t>
          </a:r>
        </a:p>
      </dgm:t>
    </dgm:pt>
    <dgm:pt modelId="{3BCDE624-F173-4713-809D-F157DF37E5AD}" type="parTrans" cxnId="{ED064651-52CC-4E00-859E-0519359D170D}">
      <dgm:prSet/>
      <dgm:spPr/>
      <dgm:t>
        <a:bodyPr/>
        <a:lstStyle/>
        <a:p>
          <a:endParaRPr lang="en-US"/>
        </a:p>
      </dgm:t>
    </dgm:pt>
    <dgm:pt modelId="{6FBED12B-27F1-4998-B3C3-5F2EA825AC1A}" type="sibTrans" cxnId="{ED064651-52CC-4E00-859E-0519359D170D}">
      <dgm:prSet/>
      <dgm:spPr/>
      <dgm:t>
        <a:bodyPr/>
        <a:lstStyle/>
        <a:p>
          <a:endParaRPr lang="en-US"/>
        </a:p>
      </dgm:t>
    </dgm:pt>
    <dgm:pt modelId="{0ACA0C52-B241-4D09-A598-00C823EE9835}">
      <dgm:prSet custT="1"/>
      <dgm:spPr/>
      <dgm:t>
        <a:bodyPr/>
        <a:lstStyle/>
        <a:p>
          <a:pPr>
            <a:lnSpc>
              <a:spcPct val="100000"/>
            </a:lnSpc>
          </a:pPr>
          <a:r>
            <a:rPr lang="en-US" sz="900"/>
            <a:t>Avoiding risks of market intermediaries</a:t>
          </a:r>
        </a:p>
      </dgm:t>
    </dgm:pt>
    <dgm:pt modelId="{99AB7D80-C121-4C89-A0CD-E86FF5C101F6}" type="parTrans" cxnId="{248BBB88-9BB7-4D70-A52B-A99C270983D3}">
      <dgm:prSet/>
      <dgm:spPr/>
      <dgm:t>
        <a:bodyPr/>
        <a:lstStyle/>
        <a:p>
          <a:endParaRPr lang="en-US"/>
        </a:p>
      </dgm:t>
    </dgm:pt>
    <dgm:pt modelId="{1CE36C15-1804-40C3-B4D8-AC45C42E4F11}" type="sibTrans" cxnId="{248BBB88-9BB7-4D70-A52B-A99C270983D3}">
      <dgm:prSet/>
      <dgm:spPr/>
      <dgm:t>
        <a:bodyPr/>
        <a:lstStyle/>
        <a:p>
          <a:endParaRPr lang="en-US"/>
        </a:p>
      </dgm:t>
    </dgm:pt>
    <dgm:pt modelId="{8AC50AEA-1029-4FEC-B30F-60982801DCD6}" type="pres">
      <dgm:prSet presAssocID="{FD4F09C7-8E7C-466A-8B8E-998147953EFE}" presName="root" presStyleCnt="0">
        <dgm:presLayoutVars>
          <dgm:dir/>
          <dgm:resizeHandles val="exact"/>
        </dgm:presLayoutVars>
      </dgm:prSet>
      <dgm:spPr/>
    </dgm:pt>
    <dgm:pt modelId="{0D1349CC-263B-46DA-86CC-D5E5C09C5936}" type="pres">
      <dgm:prSet presAssocID="{DCF6609A-DEA7-4C93-B693-44D67CD68D8F}" presName="compNode" presStyleCnt="0"/>
      <dgm:spPr/>
    </dgm:pt>
    <dgm:pt modelId="{DB7F029E-90DF-4B3A-A483-99B40619E92E}" type="pres">
      <dgm:prSet presAssocID="{DCF6609A-DEA7-4C93-B693-44D67CD68D8F}" presName="bgRect" presStyleLbl="bgShp" presStyleIdx="0" presStyleCnt="3"/>
      <dgm:spPr/>
    </dgm:pt>
    <dgm:pt modelId="{F7B17663-0C76-4BD5-A8E9-DB92F0DDCA02}" type="pres">
      <dgm:prSet presAssocID="{DCF6609A-DEA7-4C93-B693-44D67CD68D8F}" presName="iconRect" presStyleLbl="node1" presStyleIdx="0" presStyleCnt="3"/>
      <dgm:spPr>
        <a:blipFill>
          <a:blip xmlns:r="http://schemas.openxmlformats.org/officeDocument/2006/relationships" r:embed="rId1" cstate="print">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a:blipFill>
        <a:ln>
          <a:noFill/>
        </a:ln>
      </dgm:spPr>
      <dgm:extLst>
        <a:ext uri="{E40237B7-FDA0-4F09-8148-C483321AD2D9}">
          <dgm14:cNvPr xmlns:dgm14="http://schemas.microsoft.com/office/drawing/2010/diagram" id="0" name="" descr="Handshake"/>
        </a:ext>
      </dgm:extLst>
    </dgm:pt>
    <dgm:pt modelId="{C9D6A186-C3C0-43D7-945B-406CF9B99406}" type="pres">
      <dgm:prSet presAssocID="{DCF6609A-DEA7-4C93-B693-44D67CD68D8F}" presName="spaceRect" presStyleCnt="0"/>
      <dgm:spPr/>
    </dgm:pt>
    <dgm:pt modelId="{4429C96A-E5A9-40F8-9702-832F5C2852F3}" type="pres">
      <dgm:prSet presAssocID="{DCF6609A-DEA7-4C93-B693-44D67CD68D8F}" presName="parTx" presStyleLbl="revTx" presStyleIdx="0" presStyleCnt="6">
        <dgm:presLayoutVars>
          <dgm:chMax val="0"/>
          <dgm:chPref val="0"/>
        </dgm:presLayoutVars>
      </dgm:prSet>
      <dgm:spPr/>
    </dgm:pt>
    <dgm:pt modelId="{052759EE-FA95-494C-A80F-B5AA862E0A85}" type="pres">
      <dgm:prSet presAssocID="{DCF6609A-DEA7-4C93-B693-44D67CD68D8F}" presName="desTx" presStyleLbl="revTx" presStyleIdx="1" presStyleCnt="6">
        <dgm:presLayoutVars/>
      </dgm:prSet>
      <dgm:spPr/>
    </dgm:pt>
    <dgm:pt modelId="{AE2D7AE8-1E4B-44EF-B053-C5B94CD68A6D}" type="pres">
      <dgm:prSet presAssocID="{9A1E2595-2C6F-4988-AB30-8E81F304EA6F}" presName="sibTrans" presStyleCnt="0"/>
      <dgm:spPr/>
    </dgm:pt>
    <dgm:pt modelId="{10A5E048-CFC9-4B2B-9F97-035E380ECBE8}" type="pres">
      <dgm:prSet presAssocID="{7609CFD5-C80D-434C-8BCB-0C3EE821B821}" presName="compNode" presStyleCnt="0"/>
      <dgm:spPr/>
    </dgm:pt>
    <dgm:pt modelId="{539DD236-525E-462D-9CC7-B4C643CFC3BE}" type="pres">
      <dgm:prSet presAssocID="{7609CFD5-C80D-434C-8BCB-0C3EE821B821}" presName="bgRect" presStyleLbl="bgShp" presStyleIdx="1" presStyleCnt="3"/>
      <dgm:spPr/>
    </dgm:pt>
    <dgm:pt modelId="{E3281B67-2442-43FA-A5DB-00AA558BEF54}" type="pres">
      <dgm:prSet presAssocID="{7609CFD5-C80D-434C-8BCB-0C3EE821B821}" presName="iconRect" presStyleLbl="node1" presStyleIdx="1" presStyleCnt="3"/>
      <dgm:spPr>
        <a:blipFill>
          <a:blip xmlns:r="http://schemas.openxmlformats.org/officeDocument/2006/relationships" r:embed="rId3" cstate="print">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a:blipFill>
        <a:ln>
          <a:noFill/>
        </a:ln>
      </dgm:spPr>
      <dgm:extLst>
        <a:ext uri="{E40237B7-FDA0-4F09-8148-C483321AD2D9}">
          <dgm14:cNvPr xmlns:dgm14="http://schemas.microsoft.com/office/drawing/2010/diagram" id="0" name="" descr="Coins"/>
        </a:ext>
      </dgm:extLst>
    </dgm:pt>
    <dgm:pt modelId="{B4AD204E-723C-4698-89B8-6E42BCEB6CC8}" type="pres">
      <dgm:prSet presAssocID="{7609CFD5-C80D-434C-8BCB-0C3EE821B821}" presName="spaceRect" presStyleCnt="0"/>
      <dgm:spPr/>
    </dgm:pt>
    <dgm:pt modelId="{83E05E63-8D7A-45BC-A9CF-3C4D3DCEF8D7}" type="pres">
      <dgm:prSet presAssocID="{7609CFD5-C80D-434C-8BCB-0C3EE821B821}" presName="parTx" presStyleLbl="revTx" presStyleIdx="2" presStyleCnt="6">
        <dgm:presLayoutVars>
          <dgm:chMax val="0"/>
          <dgm:chPref val="0"/>
        </dgm:presLayoutVars>
      </dgm:prSet>
      <dgm:spPr/>
    </dgm:pt>
    <dgm:pt modelId="{E3557C39-840D-4867-AFCC-F9B3DB105B33}" type="pres">
      <dgm:prSet presAssocID="{7609CFD5-C80D-434C-8BCB-0C3EE821B821}" presName="desTx" presStyleLbl="revTx" presStyleIdx="3" presStyleCnt="6">
        <dgm:presLayoutVars/>
      </dgm:prSet>
      <dgm:spPr/>
    </dgm:pt>
    <dgm:pt modelId="{43A350F1-DEAC-4397-A9C1-4F55374C850C}" type="pres">
      <dgm:prSet presAssocID="{16529795-E5ED-4608-94E7-6E345C09B8CC}" presName="sibTrans" presStyleCnt="0"/>
      <dgm:spPr/>
    </dgm:pt>
    <dgm:pt modelId="{64F80374-6C6E-4447-9368-2EBCC26CAF0F}" type="pres">
      <dgm:prSet presAssocID="{AB8E47E3-EC63-4BFF-95C2-F8DCA69B66FC}" presName="compNode" presStyleCnt="0"/>
      <dgm:spPr/>
    </dgm:pt>
    <dgm:pt modelId="{2DD95AA9-412A-423A-BCA3-D72B464959B3}" type="pres">
      <dgm:prSet presAssocID="{AB8E47E3-EC63-4BFF-95C2-F8DCA69B66FC}" presName="bgRect" presStyleLbl="bgShp" presStyleIdx="2" presStyleCnt="3"/>
      <dgm:spPr/>
    </dgm:pt>
    <dgm:pt modelId="{41BFCD8F-1F01-4160-8880-73FFD8C2CA1E}" type="pres">
      <dgm:prSet presAssocID="{AB8E47E3-EC63-4BFF-95C2-F8DCA69B66FC}" presName="iconRect" presStyleLbl="node1" presStyleIdx="2" presStyleCnt="3"/>
      <dgm:spPr>
        <a:blipFill>
          <a:blip xmlns:r="http://schemas.openxmlformats.org/officeDocument/2006/relationships" r:embed="rId5" cstate="print">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a:blipFill>
        <a:ln>
          <a:noFill/>
        </a:ln>
      </dgm:spPr>
      <dgm:extLst>
        <a:ext uri="{E40237B7-FDA0-4F09-8148-C483321AD2D9}">
          <dgm14:cNvPr xmlns:dgm14="http://schemas.microsoft.com/office/drawing/2010/diagram" id="0" name="" descr="Scales of Justice"/>
        </a:ext>
      </dgm:extLst>
    </dgm:pt>
    <dgm:pt modelId="{737D254F-F9BB-4183-93C3-4131B9444ABD}" type="pres">
      <dgm:prSet presAssocID="{AB8E47E3-EC63-4BFF-95C2-F8DCA69B66FC}" presName="spaceRect" presStyleCnt="0"/>
      <dgm:spPr/>
    </dgm:pt>
    <dgm:pt modelId="{A2BD6871-B21E-4D46-A460-C2D49313711E}" type="pres">
      <dgm:prSet presAssocID="{AB8E47E3-EC63-4BFF-95C2-F8DCA69B66FC}" presName="parTx" presStyleLbl="revTx" presStyleIdx="4" presStyleCnt="6">
        <dgm:presLayoutVars>
          <dgm:chMax val="0"/>
          <dgm:chPref val="0"/>
        </dgm:presLayoutVars>
      </dgm:prSet>
      <dgm:spPr/>
    </dgm:pt>
    <dgm:pt modelId="{7676CE57-CAAB-497A-B03A-DA1CEB146D16}" type="pres">
      <dgm:prSet presAssocID="{AB8E47E3-EC63-4BFF-95C2-F8DCA69B66FC}" presName="desTx" presStyleLbl="revTx" presStyleIdx="5" presStyleCnt="6">
        <dgm:presLayoutVars/>
      </dgm:prSet>
      <dgm:spPr/>
    </dgm:pt>
  </dgm:ptLst>
  <dgm:cxnLst>
    <dgm:cxn modelId="{13C53500-F2E3-4E2B-A5F5-5EE79FB0159B}" srcId="{FD4F09C7-8E7C-466A-8B8E-998147953EFE}" destId="{7609CFD5-C80D-434C-8BCB-0C3EE821B821}" srcOrd="1" destOrd="0" parTransId="{D0E22CB7-C796-474C-BFAC-54767836A339}" sibTransId="{16529795-E5ED-4608-94E7-6E345C09B8CC}"/>
    <dgm:cxn modelId="{EBB61A07-F82E-4137-86A3-5FA19BD7D5F4}" srcId="{DCF6609A-DEA7-4C93-B693-44D67CD68D8F}" destId="{9A5E294A-E94B-4253-8243-0360CC8E6244}" srcOrd="3" destOrd="0" parTransId="{9ECDDE01-0C89-4B4C-8228-6F163EF2AE73}" sibTransId="{130C7613-8C1C-47DB-AC88-243E4C9E10CA}"/>
    <dgm:cxn modelId="{325EA914-468E-4BFA-9A8E-725A0A99A768}" type="presOf" srcId="{7609CFD5-C80D-434C-8BCB-0C3EE821B821}" destId="{83E05E63-8D7A-45BC-A9CF-3C4D3DCEF8D7}" srcOrd="0" destOrd="0" presId="urn:microsoft.com/office/officeart/2018/2/layout/IconVerticalSolidList"/>
    <dgm:cxn modelId="{35FA8717-0AFB-458A-BFFA-6251875391EF}" type="presOf" srcId="{1E4059A8-ECA4-45DA-BD4E-21D40B8BB489}" destId="{E3557C39-840D-4867-AFCC-F9B3DB105B33}" srcOrd="0" destOrd="2" presId="urn:microsoft.com/office/officeart/2018/2/layout/IconVerticalSolidList"/>
    <dgm:cxn modelId="{7C42F51E-473A-4917-B18E-A38F5F8052B4}" srcId="{DCF6609A-DEA7-4C93-B693-44D67CD68D8F}" destId="{5D68A4F9-CAD9-435E-A6BB-49EDA679C557}" srcOrd="2" destOrd="0" parTransId="{0DF97E3F-97AC-4F98-84C6-7B83FE0CEB38}" sibTransId="{7D35322B-ED4B-4C96-A855-4CF9397649AF}"/>
    <dgm:cxn modelId="{AC974420-0A48-4584-8F34-0029DFFABB38}" srcId="{FD4F09C7-8E7C-466A-8B8E-998147953EFE}" destId="{DCF6609A-DEA7-4C93-B693-44D67CD68D8F}" srcOrd="0" destOrd="0" parTransId="{561D80D5-70D1-44AC-977E-0DD76AE32875}" sibTransId="{9A1E2595-2C6F-4988-AB30-8E81F304EA6F}"/>
    <dgm:cxn modelId="{2E470428-F26D-47B4-B8B7-A03CDD908D0F}" srcId="{FD4F09C7-8E7C-466A-8B8E-998147953EFE}" destId="{AB8E47E3-EC63-4BFF-95C2-F8DCA69B66FC}" srcOrd="2" destOrd="0" parTransId="{303F94B2-E00C-4AFE-A600-B0BAFE624F68}" sibTransId="{87F213D5-C68B-448C-9FDA-C13779462313}"/>
    <dgm:cxn modelId="{8C528B31-CBF6-456E-9340-207489B472DE}" type="presOf" srcId="{B1AF7F42-5F64-4B72-85C3-3285CE0AB322}" destId="{052759EE-FA95-494C-A80F-B5AA862E0A85}" srcOrd="0" destOrd="1" presId="urn:microsoft.com/office/officeart/2018/2/layout/IconVerticalSolidList"/>
    <dgm:cxn modelId="{6BC0CA41-1818-4E38-B0DA-56140609FCEC}" type="presOf" srcId="{0ACA0C52-B241-4D09-A598-00C823EE9835}" destId="{7676CE57-CAAB-497A-B03A-DA1CEB146D16}" srcOrd="0" destOrd="3" presId="urn:microsoft.com/office/officeart/2018/2/layout/IconVerticalSolidList"/>
    <dgm:cxn modelId="{3640DD61-FC4E-4FE7-A4EE-0FFD4C12F15F}" srcId="{7609CFD5-C80D-434C-8BCB-0C3EE821B821}" destId="{592D2881-ABCA-465A-A57A-9236A601CB79}" srcOrd="0" destOrd="0" parTransId="{EEFF887D-2F4A-4901-A133-F2B99D616E0A}" sibTransId="{213E0D13-B498-4D14-B537-78A663FD4ABD}"/>
    <dgm:cxn modelId="{24030C43-1AAD-43AC-B749-785410977894}" type="presOf" srcId="{D81AB753-2A73-49AB-9C8D-92220D830678}" destId="{052759EE-FA95-494C-A80F-B5AA862E0A85}" srcOrd="0" destOrd="0" presId="urn:microsoft.com/office/officeart/2018/2/layout/IconVerticalSolidList"/>
    <dgm:cxn modelId="{A93C7C65-CF68-447B-A6E0-69B09E82141D}" srcId="{7609CFD5-C80D-434C-8BCB-0C3EE821B821}" destId="{87723B20-2F26-42A6-A55D-3B8324379A73}" srcOrd="1" destOrd="0" parTransId="{8B2494BD-6049-4636-BCB5-90494B3D948C}" sibTransId="{67FFA02C-6BF5-42E7-B261-E6CC6BF57A16}"/>
    <dgm:cxn modelId="{8CCC3A67-4E48-41ED-AB1E-585CFEE575B3}" type="presOf" srcId="{E8C062E5-942F-48D9-86D9-4B10D761FE96}" destId="{E3557C39-840D-4867-AFCC-F9B3DB105B33}" srcOrd="0" destOrd="3" presId="urn:microsoft.com/office/officeart/2018/2/layout/IconVerticalSolidList"/>
    <dgm:cxn modelId="{3752106C-5085-4575-B77B-44D4ED51B29E}" type="presOf" srcId="{C89D11A6-0E14-4201-B892-C03B4CA4AE58}" destId="{7676CE57-CAAB-497A-B03A-DA1CEB146D16}" srcOrd="0" destOrd="0" presId="urn:microsoft.com/office/officeart/2018/2/layout/IconVerticalSolidList"/>
    <dgm:cxn modelId="{ED064651-52CC-4E00-859E-0519359D170D}" srcId="{AB8E47E3-EC63-4BFF-95C2-F8DCA69B66FC}" destId="{BA88FA30-351F-4ED2-AD2E-5ACA5BCA2191}" srcOrd="2" destOrd="0" parTransId="{3BCDE624-F173-4713-809D-F157DF37E5AD}" sibTransId="{6FBED12B-27F1-4998-B3C3-5F2EA825AC1A}"/>
    <dgm:cxn modelId="{0E3EC572-B107-4377-A3AA-D4EAFB141A1A}" type="presOf" srcId="{04B94C0D-8898-4322-AD3C-0C25F70BAEEB}" destId="{7676CE57-CAAB-497A-B03A-DA1CEB146D16}" srcOrd="0" destOrd="1" presId="urn:microsoft.com/office/officeart/2018/2/layout/IconVerticalSolidList"/>
    <dgm:cxn modelId="{A3A0AE73-251D-4F39-B487-41479C855778}" type="presOf" srcId="{87723B20-2F26-42A6-A55D-3B8324379A73}" destId="{E3557C39-840D-4867-AFCC-F9B3DB105B33}" srcOrd="0" destOrd="1" presId="urn:microsoft.com/office/officeart/2018/2/layout/IconVerticalSolidList"/>
    <dgm:cxn modelId="{C97A7856-1CD4-44BB-875B-C7E7F05D0D5D}" srcId="{7609CFD5-C80D-434C-8BCB-0C3EE821B821}" destId="{E8C062E5-942F-48D9-86D9-4B10D761FE96}" srcOrd="3" destOrd="0" parTransId="{ADFCCD11-74B0-4AC7-A423-095484AB6E63}" sibTransId="{A517EC62-9539-417A-A6CF-C4EAF30B69E2}"/>
    <dgm:cxn modelId="{8FF6B678-07E9-4272-BACD-565E72543BAD}" type="presOf" srcId="{9A5E294A-E94B-4253-8243-0360CC8E6244}" destId="{052759EE-FA95-494C-A80F-B5AA862E0A85}" srcOrd="0" destOrd="3" presId="urn:microsoft.com/office/officeart/2018/2/layout/IconVerticalSolidList"/>
    <dgm:cxn modelId="{C199F780-CC7A-4662-A9D6-B609EEE6B739}" srcId="{DCF6609A-DEA7-4C93-B693-44D67CD68D8F}" destId="{D81AB753-2A73-49AB-9C8D-92220D830678}" srcOrd="0" destOrd="0" parTransId="{7710C943-CC12-482C-9A68-D559BEFB4AE6}" sibTransId="{3FB292AC-2DE9-47B2-8875-BD6856D7F052}"/>
    <dgm:cxn modelId="{248BBB88-9BB7-4D70-A52B-A99C270983D3}" srcId="{AB8E47E3-EC63-4BFF-95C2-F8DCA69B66FC}" destId="{0ACA0C52-B241-4D09-A598-00C823EE9835}" srcOrd="3" destOrd="0" parTransId="{99AB7D80-C121-4C89-A0CD-E86FF5C101F6}" sibTransId="{1CE36C15-1804-40C3-B4D8-AC45C42E4F11}"/>
    <dgm:cxn modelId="{963C6196-BEE7-4B2E-9BD0-1331A021CF65}" srcId="{AB8E47E3-EC63-4BFF-95C2-F8DCA69B66FC}" destId="{04B94C0D-8898-4322-AD3C-0C25F70BAEEB}" srcOrd="1" destOrd="0" parTransId="{EFD0BC94-C5BA-4B4D-BB51-F926B02BDBF8}" sibTransId="{B94D8858-8C7B-4743-8EFE-5BB0B2452473}"/>
    <dgm:cxn modelId="{524E629F-9694-4579-B8D3-55CDFB4FFBBC}" srcId="{7609CFD5-C80D-434C-8BCB-0C3EE821B821}" destId="{1E4059A8-ECA4-45DA-BD4E-21D40B8BB489}" srcOrd="2" destOrd="0" parTransId="{7E9485C4-FCF9-4D89-AC60-EBCDBB2FF195}" sibTransId="{B5335190-35AF-4AAA-9AEF-20494C88B4BC}"/>
    <dgm:cxn modelId="{D1572CA5-D52B-42B6-AAB4-54208816E9B9}" type="presOf" srcId="{592D2881-ABCA-465A-A57A-9236A601CB79}" destId="{E3557C39-840D-4867-AFCC-F9B3DB105B33}" srcOrd="0" destOrd="0" presId="urn:microsoft.com/office/officeart/2018/2/layout/IconVerticalSolidList"/>
    <dgm:cxn modelId="{FA0540B0-8620-4336-B28F-51D54E8B7626}" type="presOf" srcId="{FD4F09C7-8E7C-466A-8B8E-998147953EFE}" destId="{8AC50AEA-1029-4FEC-B30F-60982801DCD6}" srcOrd="0" destOrd="0" presId="urn:microsoft.com/office/officeart/2018/2/layout/IconVerticalSolidList"/>
    <dgm:cxn modelId="{7A93B3C5-BE2D-491F-9A24-A507E5DF07E2}" type="presOf" srcId="{BA88FA30-351F-4ED2-AD2E-5ACA5BCA2191}" destId="{7676CE57-CAAB-497A-B03A-DA1CEB146D16}" srcOrd="0" destOrd="2" presId="urn:microsoft.com/office/officeart/2018/2/layout/IconVerticalSolidList"/>
    <dgm:cxn modelId="{D3E5AFC7-FB43-4F2A-BECC-E940E2D2442E}" srcId="{DCF6609A-DEA7-4C93-B693-44D67CD68D8F}" destId="{B1AF7F42-5F64-4B72-85C3-3285CE0AB322}" srcOrd="1" destOrd="0" parTransId="{3EB3A09E-64F8-4AA8-AE79-E3022F9519CB}" sibTransId="{60969260-32B0-4CF4-829F-001B8F162831}"/>
    <dgm:cxn modelId="{A41D40CC-E420-46FC-BC42-3A458E7C4E1D}" type="presOf" srcId="{DCF6609A-DEA7-4C93-B693-44D67CD68D8F}" destId="{4429C96A-E5A9-40F8-9702-832F5C2852F3}" srcOrd="0" destOrd="0" presId="urn:microsoft.com/office/officeart/2018/2/layout/IconVerticalSolidList"/>
    <dgm:cxn modelId="{70EAE3D8-D21A-489E-A0DD-FACBE2ABDF67}" type="presOf" srcId="{5D68A4F9-CAD9-435E-A6BB-49EDA679C557}" destId="{052759EE-FA95-494C-A80F-B5AA862E0A85}" srcOrd="0" destOrd="2" presId="urn:microsoft.com/office/officeart/2018/2/layout/IconVerticalSolidList"/>
    <dgm:cxn modelId="{B9D91FF2-05C2-494A-992E-C4BE0F2BAEA6}" srcId="{AB8E47E3-EC63-4BFF-95C2-F8DCA69B66FC}" destId="{C89D11A6-0E14-4201-B892-C03B4CA4AE58}" srcOrd="0" destOrd="0" parTransId="{4A92F6F8-5A22-46AF-AC55-A0509D3FCB5B}" sibTransId="{871AC42E-D96D-41DB-8727-F7DD7C5E2852}"/>
    <dgm:cxn modelId="{4749B4F3-CD90-4D5B-9BD5-4ECCF5F70FD9}" type="presOf" srcId="{AB8E47E3-EC63-4BFF-95C2-F8DCA69B66FC}" destId="{A2BD6871-B21E-4D46-A460-C2D49313711E}" srcOrd="0" destOrd="0" presId="urn:microsoft.com/office/officeart/2018/2/layout/IconVerticalSolidList"/>
    <dgm:cxn modelId="{0EC3628D-84DE-4502-B919-B4A746009D99}" type="presParOf" srcId="{8AC50AEA-1029-4FEC-B30F-60982801DCD6}" destId="{0D1349CC-263B-46DA-86CC-D5E5C09C5936}" srcOrd="0" destOrd="0" presId="urn:microsoft.com/office/officeart/2018/2/layout/IconVerticalSolidList"/>
    <dgm:cxn modelId="{5AE2C378-8AB7-4FF2-A4E4-F925C8020F7F}" type="presParOf" srcId="{0D1349CC-263B-46DA-86CC-D5E5C09C5936}" destId="{DB7F029E-90DF-4B3A-A483-99B40619E92E}" srcOrd="0" destOrd="0" presId="urn:microsoft.com/office/officeart/2018/2/layout/IconVerticalSolidList"/>
    <dgm:cxn modelId="{614788D3-2628-4D12-8F63-058C6C3194F9}" type="presParOf" srcId="{0D1349CC-263B-46DA-86CC-D5E5C09C5936}" destId="{F7B17663-0C76-4BD5-A8E9-DB92F0DDCA02}" srcOrd="1" destOrd="0" presId="urn:microsoft.com/office/officeart/2018/2/layout/IconVerticalSolidList"/>
    <dgm:cxn modelId="{03452709-5D7B-448F-A460-8DC492DD1EC6}" type="presParOf" srcId="{0D1349CC-263B-46DA-86CC-D5E5C09C5936}" destId="{C9D6A186-C3C0-43D7-945B-406CF9B99406}" srcOrd="2" destOrd="0" presId="urn:microsoft.com/office/officeart/2018/2/layout/IconVerticalSolidList"/>
    <dgm:cxn modelId="{949939EA-1020-40E6-B52A-944681E073B9}" type="presParOf" srcId="{0D1349CC-263B-46DA-86CC-D5E5C09C5936}" destId="{4429C96A-E5A9-40F8-9702-832F5C2852F3}" srcOrd="3" destOrd="0" presId="urn:microsoft.com/office/officeart/2018/2/layout/IconVerticalSolidList"/>
    <dgm:cxn modelId="{0184B138-F57E-4CC9-AB2D-C5195E4F4845}" type="presParOf" srcId="{0D1349CC-263B-46DA-86CC-D5E5C09C5936}" destId="{052759EE-FA95-494C-A80F-B5AA862E0A85}" srcOrd="4" destOrd="0" presId="urn:microsoft.com/office/officeart/2018/2/layout/IconVerticalSolidList"/>
    <dgm:cxn modelId="{AAC394D8-E901-40BF-9030-D97E8AC4B11C}" type="presParOf" srcId="{8AC50AEA-1029-4FEC-B30F-60982801DCD6}" destId="{AE2D7AE8-1E4B-44EF-B053-C5B94CD68A6D}" srcOrd="1" destOrd="0" presId="urn:microsoft.com/office/officeart/2018/2/layout/IconVerticalSolidList"/>
    <dgm:cxn modelId="{29D7B99A-C783-4F59-B2A4-0FC3D9BA1D58}" type="presParOf" srcId="{8AC50AEA-1029-4FEC-B30F-60982801DCD6}" destId="{10A5E048-CFC9-4B2B-9F97-035E380ECBE8}" srcOrd="2" destOrd="0" presId="urn:microsoft.com/office/officeart/2018/2/layout/IconVerticalSolidList"/>
    <dgm:cxn modelId="{4884570A-5915-47DA-8CAF-11EE684036AB}" type="presParOf" srcId="{10A5E048-CFC9-4B2B-9F97-035E380ECBE8}" destId="{539DD236-525E-462D-9CC7-B4C643CFC3BE}" srcOrd="0" destOrd="0" presId="urn:microsoft.com/office/officeart/2018/2/layout/IconVerticalSolidList"/>
    <dgm:cxn modelId="{A9306B1D-AD2D-4775-9FF3-E0B7FB92165B}" type="presParOf" srcId="{10A5E048-CFC9-4B2B-9F97-035E380ECBE8}" destId="{E3281B67-2442-43FA-A5DB-00AA558BEF54}" srcOrd="1" destOrd="0" presId="urn:microsoft.com/office/officeart/2018/2/layout/IconVerticalSolidList"/>
    <dgm:cxn modelId="{29A84817-B93F-40A0-9EFC-E0103D7563F5}" type="presParOf" srcId="{10A5E048-CFC9-4B2B-9F97-035E380ECBE8}" destId="{B4AD204E-723C-4698-89B8-6E42BCEB6CC8}" srcOrd="2" destOrd="0" presId="urn:microsoft.com/office/officeart/2018/2/layout/IconVerticalSolidList"/>
    <dgm:cxn modelId="{C84DDA58-3324-415E-9197-FEC7677C2F87}" type="presParOf" srcId="{10A5E048-CFC9-4B2B-9F97-035E380ECBE8}" destId="{83E05E63-8D7A-45BC-A9CF-3C4D3DCEF8D7}" srcOrd="3" destOrd="0" presId="urn:microsoft.com/office/officeart/2018/2/layout/IconVerticalSolidList"/>
    <dgm:cxn modelId="{85A51FFF-82C2-4975-B8C4-ACDD517D0C97}" type="presParOf" srcId="{10A5E048-CFC9-4B2B-9F97-035E380ECBE8}" destId="{E3557C39-840D-4867-AFCC-F9B3DB105B33}" srcOrd="4" destOrd="0" presId="urn:microsoft.com/office/officeart/2018/2/layout/IconVerticalSolidList"/>
    <dgm:cxn modelId="{B9DDC35F-FDF8-4E1D-916E-C78E1E843CA4}" type="presParOf" srcId="{8AC50AEA-1029-4FEC-B30F-60982801DCD6}" destId="{43A350F1-DEAC-4397-A9C1-4F55374C850C}" srcOrd="3" destOrd="0" presId="urn:microsoft.com/office/officeart/2018/2/layout/IconVerticalSolidList"/>
    <dgm:cxn modelId="{2F312242-019E-464C-88C4-5DCAECDB2CEC}" type="presParOf" srcId="{8AC50AEA-1029-4FEC-B30F-60982801DCD6}" destId="{64F80374-6C6E-4447-9368-2EBCC26CAF0F}" srcOrd="4" destOrd="0" presId="urn:microsoft.com/office/officeart/2018/2/layout/IconVerticalSolidList"/>
    <dgm:cxn modelId="{65AA76F2-5300-452D-9282-9C51BA79BA89}" type="presParOf" srcId="{64F80374-6C6E-4447-9368-2EBCC26CAF0F}" destId="{2DD95AA9-412A-423A-BCA3-D72B464959B3}" srcOrd="0" destOrd="0" presId="urn:microsoft.com/office/officeart/2018/2/layout/IconVerticalSolidList"/>
    <dgm:cxn modelId="{C93FD654-010E-424D-89CF-BA3F7F582E18}" type="presParOf" srcId="{64F80374-6C6E-4447-9368-2EBCC26CAF0F}" destId="{41BFCD8F-1F01-4160-8880-73FFD8C2CA1E}" srcOrd="1" destOrd="0" presId="urn:microsoft.com/office/officeart/2018/2/layout/IconVerticalSolidList"/>
    <dgm:cxn modelId="{5EC3CB8A-C285-4C0F-B1DF-CDAC0A8CC366}" type="presParOf" srcId="{64F80374-6C6E-4447-9368-2EBCC26CAF0F}" destId="{737D254F-F9BB-4183-93C3-4131B9444ABD}" srcOrd="2" destOrd="0" presId="urn:microsoft.com/office/officeart/2018/2/layout/IconVerticalSolidList"/>
    <dgm:cxn modelId="{A1DE64C3-D998-4EE1-989B-06EDD8A00EA1}" type="presParOf" srcId="{64F80374-6C6E-4447-9368-2EBCC26CAF0F}" destId="{A2BD6871-B21E-4D46-A460-C2D49313711E}" srcOrd="3" destOrd="0" presId="urn:microsoft.com/office/officeart/2018/2/layout/IconVerticalSolidList"/>
    <dgm:cxn modelId="{9C386684-9361-4EE3-972F-B799141ADE31}" type="presParOf" srcId="{64F80374-6C6E-4447-9368-2EBCC26CAF0F}" destId="{7676CE57-CAAB-497A-B03A-DA1CEB146D16}" srcOrd="4" destOrd="0" presId="urn:microsoft.com/office/officeart/2018/2/layout/IconVerticalSolidList"/>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B7F029E-90DF-4B3A-A483-99B40619E92E}">
      <dsp:nvSpPr>
        <dsp:cNvPr id="0" name=""/>
        <dsp:cNvSpPr/>
      </dsp:nvSpPr>
      <dsp:spPr>
        <a:xfrm>
          <a:off x="0" y="1818"/>
          <a:ext cx="6530340" cy="850223"/>
        </a:xfrm>
        <a:prstGeom prst="roundRect">
          <a:avLst>
            <a:gd name="adj" fmla="val 10000"/>
          </a:avLst>
        </a:prstGeom>
        <a:solidFill>
          <a:schemeClr val="bg1">
            <a:lumMod val="95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F7B17663-0C76-4BD5-A8E9-DB92F0DDCA02}">
      <dsp:nvSpPr>
        <dsp:cNvPr id="0" name=""/>
        <dsp:cNvSpPr/>
      </dsp:nvSpPr>
      <dsp:spPr>
        <a:xfrm>
          <a:off x="257192" y="193118"/>
          <a:ext cx="467623" cy="467623"/>
        </a:xfrm>
        <a:prstGeom prst="rect">
          <a:avLst/>
        </a:prstGeom>
        <a:blipFill>
          <a:blip xmlns:r="http://schemas.openxmlformats.org/officeDocument/2006/relationships" r:embed="rId1" cstate="print">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a:blip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sp>
    <dsp:sp modelId="{4429C96A-E5A9-40F8-9702-832F5C2852F3}">
      <dsp:nvSpPr>
        <dsp:cNvPr id="0" name=""/>
        <dsp:cNvSpPr/>
      </dsp:nvSpPr>
      <dsp:spPr>
        <a:xfrm>
          <a:off x="982008" y="1818"/>
          <a:ext cx="2938653" cy="85022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9982" tIns="89982" rIns="89982" bIns="89982" numCol="1" spcCol="1270" anchor="ctr" anchorCtr="0">
          <a:noAutofit/>
        </a:bodyPr>
        <a:lstStyle/>
        <a:p>
          <a:pPr marL="0" lvl="0" indent="0" algn="l" defTabSz="933450">
            <a:lnSpc>
              <a:spcPct val="100000"/>
            </a:lnSpc>
            <a:spcBef>
              <a:spcPct val="0"/>
            </a:spcBef>
            <a:spcAft>
              <a:spcPct val="35000"/>
            </a:spcAft>
            <a:buNone/>
          </a:pPr>
          <a:r>
            <a:rPr lang="en-US" sz="2100" b="1" kern="1200"/>
            <a:t>Ownership Advantages (O)</a:t>
          </a:r>
          <a:endParaRPr lang="en-US" sz="2100" kern="1200"/>
        </a:p>
      </dsp:txBody>
      <dsp:txXfrm>
        <a:off x="982008" y="1818"/>
        <a:ext cx="2938653" cy="850223"/>
      </dsp:txXfrm>
    </dsp:sp>
    <dsp:sp modelId="{052759EE-FA95-494C-A80F-B5AA862E0A85}">
      <dsp:nvSpPr>
        <dsp:cNvPr id="0" name=""/>
        <dsp:cNvSpPr/>
      </dsp:nvSpPr>
      <dsp:spPr>
        <a:xfrm>
          <a:off x="3920661" y="1818"/>
          <a:ext cx="2608718" cy="85022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9982" tIns="89982" rIns="89982" bIns="89982" numCol="1" spcCol="1270" anchor="ctr" anchorCtr="0">
          <a:noAutofit/>
        </a:bodyPr>
        <a:lstStyle/>
        <a:p>
          <a:pPr marL="0" lvl="0" indent="0" algn="l" defTabSz="400050">
            <a:lnSpc>
              <a:spcPct val="100000"/>
            </a:lnSpc>
            <a:spcBef>
              <a:spcPct val="0"/>
            </a:spcBef>
            <a:spcAft>
              <a:spcPct val="35000"/>
            </a:spcAft>
            <a:buNone/>
          </a:pPr>
          <a:r>
            <a:rPr lang="en-US" sz="900" kern="1200"/>
            <a:t>Proprietary technology and patents</a:t>
          </a:r>
        </a:p>
        <a:p>
          <a:pPr marL="0" lvl="0" indent="0" algn="l" defTabSz="400050">
            <a:lnSpc>
              <a:spcPct val="100000"/>
            </a:lnSpc>
            <a:spcBef>
              <a:spcPct val="0"/>
            </a:spcBef>
            <a:spcAft>
              <a:spcPct val="35000"/>
            </a:spcAft>
            <a:buNone/>
          </a:pPr>
          <a:r>
            <a:rPr lang="en-US" sz="900" kern="1200"/>
            <a:t>Strong brand and reputation</a:t>
          </a:r>
        </a:p>
        <a:p>
          <a:pPr marL="0" lvl="0" indent="0" algn="l" defTabSz="400050">
            <a:lnSpc>
              <a:spcPct val="100000"/>
            </a:lnSpc>
            <a:spcBef>
              <a:spcPct val="0"/>
            </a:spcBef>
            <a:spcAft>
              <a:spcPct val="35000"/>
            </a:spcAft>
            <a:buNone/>
          </a:pPr>
          <a:r>
            <a:rPr lang="en-US" sz="900" kern="1200"/>
            <a:t>Managerial and organizational expertise</a:t>
          </a:r>
        </a:p>
        <a:p>
          <a:pPr marL="0" lvl="0" indent="0" algn="l" defTabSz="400050">
            <a:lnSpc>
              <a:spcPct val="100000"/>
            </a:lnSpc>
            <a:spcBef>
              <a:spcPct val="0"/>
            </a:spcBef>
            <a:spcAft>
              <a:spcPct val="35000"/>
            </a:spcAft>
            <a:buNone/>
          </a:pPr>
          <a:r>
            <a:rPr lang="en-US" sz="900" kern="1200"/>
            <a:t>Economies of scale and financial strength</a:t>
          </a:r>
        </a:p>
      </dsp:txBody>
      <dsp:txXfrm>
        <a:off x="3920661" y="1818"/>
        <a:ext cx="2608718" cy="850223"/>
      </dsp:txXfrm>
    </dsp:sp>
    <dsp:sp modelId="{539DD236-525E-462D-9CC7-B4C643CFC3BE}">
      <dsp:nvSpPr>
        <dsp:cNvPr id="0" name=""/>
        <dsp:cNvSpPr/>
      </dsp:nvSpPr>
      <dsp:spPr>
        <a:xfrm>
          <a:off x="0" y="1064598"/>
          <a:ext cx="6530340" cy="850223"/>
        </a:xfrm>
        <a:prstGeom prst="roundRect">
          <a:avLst>
            <a:gd name="adj" fmla="val 10000"/>
          </a:avLst>
        </a:prstGeom>
        <a:solidFill>
          <a:schemeClr val="bg1">
            <a:lumMod val="95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E3281B67-2442-43FA-A5DB-00AA558BEF54}">
      <dsp:nvSpPr>
        <dsp:cNvPr id="0" name=""/>
        <dsp:cNvSpPr/>
      </dsp:nvSpPr>
      <dsp:spPr>
        <a:xfrm>
          <a:off x="257192" y="1255898"/>
          <a:ext cx="467623" cy="467623"/>
        </a:xfrm>
        <a:prstGeom prst="rect">
          <a:avLst/>
        </a:prstGeom>
        <a:blipFill>
          <a:blip xmlns:r="http://schemas.openxmlformats.org/officeDocument/2006/relationships" r:embed="rId3" cstate="print">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a:blip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sp>
    <dsp:sp modelId="{83E05E63-8D7A-45BC-A9CF-3C4D3DCEF8D7}">
      <dsp:nvSpPr>
        <dsp:cNvPr id="0" name=""/>
        <dsp:cNvSpPr/>
      </dsp:nvSpPr>
      <dsp:spPr>
        <a:xfrm>
          <a:off x="982008" y="1064598"/>
          <a:ext cx="2938653" cy="85022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9982" tIns="89982" rIns="89982" bIns="89982" numCol="1" spcCol="1270" anchor="ctr" anchorCtr="0">
          <a:noAutofit/>
        </a:bodyPr>
        <a:lstStyle/>
        <a:p>
          <a:pPr marL="0" lvl="0" indent="0" algn="l" defTabSz="933450">
            <a:lnSpc>
              <a:spcPct val="100000"/>
            </a:lnSpc>
            <a:spcBef>
              <a:spcPct val="0"/>
            </a:spcBef>
            <a:spcAft>
              <a:spcPct val="35000"/>
            </a:spcAft>
            <a:buNone/>
          </a:pPr>
          <a:r>
            <a:rPr lang="en-US" sz="2100" b="1" kern="1200"/>
            <a:t>Location Advantages (L)</a:t>
          </a:r>
          <a:endParaRPr lang="en-US" sz="2100" kern="1200"/>
        </a:p>
      </dsp:txBody>
      <dsp:txXfrm>
        <a:off x="982008" y="1064598"/>
        <a:ext cx="2938653" cy="850223"/>
      </dsp:txXfrm>
    </dsp:sp>
    <dsp:sp modelId="{E3557C39-840D-4867-AFCC-F9B3DB105B33}">
      <dsp:nvSpPr>
        <dsp:cNvPr id="0" name=""/>
        <dsp:cNvSpPr/>
      </dsp:nvSpPr>
      <dsp:spPr>
        <a:xfrm>
          <a:off x="3920661" y="1064598"/>
          <a:ext cx="2608718" cy="85022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9982" tIns="89982" rIns="89982" bIns="89982" numCol="1" spcCol="1270" anchor="ctr" anchorCtr="0">
          <a:noAutofit/>
        </a:bodyPr>
        <a:lstStyle/>
        <a:p>
          <a:pPr marL="0" lvl="0" indent="0" algn="l" defTabSz="400050">
            <a:lnSpc>
              <a:spcPct val="100000"/>
            </a:lnSpc>
            <a:spcBef>
              <a:spcPct val="0"/>
            </a:spcBef>
            <a:spcAft>
              <a:spcPct val="35000"/>
            </a:spcAft>
            <a:buNone/>
          </a:pPr>
          <a:r>
            <a:rPr lang="en-US" sz="900" kern="1200"/>
            <a:t>Lower production or labour costs</a:t>
          </a:r>
        </a:p>
        <a:p>
          <a:pPr marL="0" lvl="0" indent="0" algn="l" defTabSz="400050">
            <a:lnSpc>
              <a:spcPct val="100000"/>
            </a:lnSpc>
            <a:spcBef>
              <a:spcPct val="0"/>
            </a:spcBef>
            <a:spcAft>
              <a:spcPct val="35000"/>
            </a:spcAft>
            <a:buNone/>
          </a:pPr>
          <a:r>
            <a:rPr lang="en-US" sz="900" kern="1200"/>
            <a:t>Access to resources or markets</a:t>
          </a:r>
        </a:p>
        <a:p>
          <a:pPr marL="0" lvl="0" indent="0" algn="l" defTabSz="400050">
            <a:lnSpc>
              <a:spcPct val="100000"/>
            </a:lnSpc>
            <a:spcBef>
              <a:spcPct val="0"/>
            </a:spcBef>
            <a:spcAft>
              <a:spcPct val="35000"/>
            </a:spcAft>
            <a:buNone/>
          </a:pPr>
          <a:r>
            <a:rPr lang="en-US" sz="900" kern="1200"/>
            <a:t>Favourable government policies</a:t>
          </a:r>
        </a:p>
        <a:p>
          <a:pPr marL="0" lvl="0" indent="0" algn="l" defTabSz="400050">
            <a:lnSpc>
              <a:spcPct val="100000"/>
            </a:lnSpc>
            <a:spcBef>
              <a:spcPct val="0"/>
            </a:spcBef>
            <a:spcAft>
              <a:spcPct val="35000"/>
            </a:spcAft>
            <a:buNone/>
          </a:pPr>
          <a:r>
            <a:rPr lang="en-US" sz="900" kern="1200"/>
            <a:t>Geographic or cultural proximity</a:t>
          </a:r>
        </a:p>
      </dsp:txBody>
      <dsp:txXfrm>
        <a:off x="3920661" y="1064598"/>
        <a:ext cx="2608718" cy="850223"/>
      </dsp:txXfrm>
    </dsp:sp>
    <dsp:sp modelId="{2DD95AA9-412A-423A-BCA3-D72B464959B3}">
      <dsp:nvSpPr>
        <dsp:cNvPr id="0" name=""/>
        <dsp:cNvSpPr/>
      </dsp:nvSpPr>
      <dsp:spPr>
        <a:xfrm>
          <a:off x="0" y="2127377"/>
          <a:ext cx="6530340" cy="850223"/>
        </a:xfrm>
        <a:prstGeom prst="roundRect">
          <a:avLst>
            <a:gd name="adj" fmla="val 10000"/>
          </a:avLst>
        </a:prstGeom>
        <a:solidFill>
          <a:schemeClr val="bg1">
            <a:lumMod val="95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1BFCD8F-1F01-4160-8880-73FFD8C2CA1E}">
      <dsp:nvSpPr>
        <dsp:cNvPr id="0" name=""/>
        <dsp:cNvSpPr/>
      </dsp:nvSpPr>
      <dsp:spPr>
        <a:xfrm>
          <a:off x="257192" y="2318678"/>
          <a:ext cx="467623" cy="467623"/>
        </a:xfrm>
        <a:prstGeom prst="rect">
          <a:avLst/>
        </a:prstGeom>
        <a:blipFill>
          <a:blip xmlns:r="http://schemas.openxmlformats.org/officeDocument/2006/relationships" r:embed="rId5" cstate="print">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a:blip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sp>
    <dsp:sp modelId="{A2BD6871-B21E-4D46-A460-C2D49313711E}">
      <dsp:nvSpPr>
        <dsp:cNvPr id="0" name=""/>
        <dsp:cNvSpPr/>
      </dsp:nvSpPr>
      <dsp:spPr>
        <a:xfrm>
          <a:off x="982008" y="2127377"/>
          <a:ext cx="2938653" cy="85022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9982" tIns="89982" rIns="89982" bIns="89982" numCol="1" spcCol="1270" anchor="ctr" anchorCtr="0">
          <a:noAutofit/>
        </a:bodyPr>
        <a:lstStyle/>
        <a:p>
          <a:pPr marL="0" lvl="0" indent="0" algn="l" defTabSz="933450">
            <a:lnSpc>
              <a:spcPct val="100000"/>
            </a:lnSpc>
            <a:spcBef>
              <a:spcPct val="0"/>
            </a:spcBef>
            <a:spcAft>
              <a:spcPct val="35000"/>
            </a:spcAft>
            <a:buNone/>
          </a:pPr>
          <a:r>
            <a:rPr lang="en-US" sz="2100" b="1" kern="1200"/>
            <a:t>Internalization Advantages (I)</a:t>
          </a:r>
          <a:endParaRPr lang="en-US" sz="2100" kern="1200"/>
        </a:p>
      </dsp:txBody>
      <dsp:txXfrm>
        <a:off x="982008" y="2127377"/>
        <a:ext cx="2938653" cy="850223"/>
      </dsp:txXfrm>
    </dsp:sp>
    <dsp:sp modelId="{7676CE57-CAAB-497A-B03A-DA1CEB146D16}">
      <dsp:nvSpPr>
        <dsp:cNvPr id="0" name=""/>
        <dsp:cNvSpPr/>
      </dsp:nvSpPr>
      <dsp:spPr>
        <a:xfrm>
          <a:off x="3920661" y="2127377"/>
          <a:ext cx="2608718" cy="85022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9982" tIns="89982" rIns="89982" bIns="89982" numCol="1" spcCol="1270" anchor="ctr" anchorCtr="0">
          <a:noAutofit/>
        </a:bodyPr>
        <a:lstStyle/>
        <a:p>
          <a:pPr marL="0" lvl="0" indent="0" algn="l" defTabSz="400050">
            <a:lnSpc>
              <a:spcPct val="100000"/>
            </a:lnSpc>
            <a:spcBef>
              <a:spcPct val="0"/>
            </a:spcBef>
            <a:spcAft>
              <a:spcPct val="35000"/>
            </a:spcAft>
            <a:buNone/>
          </a:pPr>
          <a:r>
            <a:rPr lang="en-US" sz="900" kern="1200"/>
            <a:t>Protecting intellectual property</a:t>
          </a:r>
        </a:p>
        <a:p>
          <a:pPr marL="0" lvl="0" indent="0" algn="l" defTabSz="400050">
            <a:lnSpc>
              <a:spcPct val="100000"/>
            </a:lnSpc>
            <a:spcBef>
              <a:spcPct val="0"/>
            </a:spcBef>
            <a:spcAft>
              <a:spcPct val="35000"/>
            </a:spcAft>
            <a:buNone/>
          </a:pPr>
          <a:r>
            <a:rPr lang="en-US" sz="900" kern="1200"/>
            <a:t>Reducing transaction and coordination costs</a:t>
          </a:r>
        </a:p>
        <a:p>
          <a:pPr marL="0" lvl="0" indent="0" algn="l" defTabSz="400050">
            <a:lnSpc>
              <a:spcPct val="100000"/>
            </a:lnSpc>
            <a:spcBef>
              <a:spcPct val="0"/>
            </a:spcBef>
            <a:spcAft>
              <a:spcPct val="35000"/>
            </a:spcAft>
            <a:buNone/>
          </a:pPr>
          <a:r>
            <a:rPr lang="en-US" sz="900" kern="1200"/>
            <a:t>Maintaining quality and control</a:t>
          </a:r>
        </a:p>
        <a:p>
          <a:pPr marL="0" lvl="0" indent="0" algn="l" defTabSz="400050">
            <a:lnSpc>
              <a:spcPct val="100000"/>
            </a:lnSpc>
            <a:spcBef>
              <a:spcPct val="0"/>
            </a:spcBef>
            <a:spcAft>
              <a:spcPct val="35000"/>
            </a:spcAft>
            <a:buNone/>
          </a:pPr>
          <a:r>
            <a:rPr lang="en-US" sz="900" kern="1200"/>
            <a:t>Avoiding risks of market intermediaries</a:t>
          </a:r>
        </a:p>
      </dsp:txBody>
      <dsp:txXfrm>
        <a:off x="3920661" y="2127377"/>
        <a:ext cx="2608718" cy="850223"/>
      </dsp:txXfrm>
    </dsp:sp>
  </dsp:spTree>
</dsp:drawing>
</file>

<file path=word/diagrams/layout1.xml><?xml version="1.0" encoding="utf-8"?>
<dgm:layoutDef xmlns:dgm="http://schemas.openxmlformats.org/drawingml/2006/diagram" xmlns:a="http://schemas.openxmlformats.org/drawingml/2006/main" uniqueId="urn:microsoft.com/office/officeart/2018/2/layout/IconVerticalSolidList">
  <dgm:title val="Icon Vertical Solid List"/>
  <dgm:desc val="Use to show a series of visuals from top to bottom with Level 1 or Level 1 and Level 2 text grouped in a shape. Works best with icons or small pictures with lengthier descriptions."/>
  <dgm:catLst>
    <dgm:cat type="icon" pri="500"/>
  </dgm:catLst>
  <dgm:sampData useDef="1">
    <dgm:dataModel>
      <dgm:ptLst/>
      <dgm:bg/>
      <dgm:whole/>
    </dgm:dataModel>
  </dgm:sampData>
  <dgm:styleData useDef="1">
    <dgm:dataModel>
      <dgm:ptLst/>
      <dgm:bg/>
      <dgm:whole/>
    </dgm:dataModel>
  </dgm:styleData>
  <dgm:clrData useDef="1">
    <dgm:dataModel>
      <dgm:ptLst/>
      <dgm:bg/>
      <dgm:whole/>
    </dgm:dataModel>
  </dgm:clrData>
  <dgm:layoutNode name="root">
    <dgm:varLst>
      <dgm:dir/>
      <dgm:resizeHandles val="exact"/>
    </dgm:varLst>
    <dgm:choose name="Name0">
      <dgm:if name="Name1" axis="self"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hoose name="Name3">
      <dgm:if name="Name4" axis="ch" ptType="node" func="cnt" op="lte" val="3">
        <dgm:constrLst>
          <dgm:constr type="h" for="ch" forName="compNode" refType="h" fact="0.3"/>
          <dgm:constr type="w" for="ch" forName="compNode" refType="w"/>
          <dgm:constr type="h" for="ch" forName="sibTrans" refType="h" refFor="ch" refForName="compNode" fact="0.25"/>
          <dgm:constr type="primFontSz" for="des" forName="parTx" val="25"/>
          <dgm:constr type="primFontSz" for="des" forName="desTx" refType="primFontSz" refFor="des" refForName="parTx" op="lte" fact="0.75"/>
          <dgm:constr type="h" for="des" forName="compNode" op="equ"/>
          <dgm:constr type="h" for="des" forName="bgRect" op="equ"/>
          <dgm:constr type="h" for="des" forName="iconRect" op="equ"/>
          <dgm:constr type="w" for="des" forName="iconRect" op="equ"/>
          <dgm:constr type="h" for="des" forName="spaceRect" op="equ"/>
          <dgm:constr type="h" for="des" forName="parTx" op="equ"/>
          <dgm:constr type="h" for="des" forName="desTx" op="equ"/>
        </dgm:constrLst>
      </dgm:if>
      <dgm:if name="Name5" axis="ch" ptType="node" func="cnt" op="lte" val="4">
        <dgm:constrLst>
          <dgm:constr type="h" for="ch" forName="compNode" refType="h" fact="0.3"/>
          <dgm:constr type="w" for="ch" forName="compNode" refType="w"/>
          <dgm:constr type="h" for="ch" forName="sibTrans" refType="h" refFor="ch" refForName="compNode" fact="0.25"/>
          <dgm:constr type="primFontSz" for="des" forName="parTx" val="22"/>
          <dgm:constr type="primFontSz" for="des" forName="desTx" refType="primFontSz" refFor="des" refForName="parTx" op="lte" fact="0.75"/>
          <dgm:constr type="h" for="des" forName="compNode" op="equ"/>
          <dgm:constr type="h" for="des" forName="bgRect" op="equ"/>
          <dgm:constr type="h" for="des" forName="iconRect" op="equ"/>
          <dgm:constr type="w" for="des" forName="iconRect" op="equ"/>
          <dgm:constr type="h" for="des" forName="spaceRect" op="equ"/>
          <dgm:constr type="h" for="des" forName="parTx" op="equ"/>
          <dgm:constr type="h" for="des" forName="desTx" op="equ"/>
        </dgm:constrLst>
      </dgm:if>
      <dgm:if name="Name6" axis="ch" ptType="node" func="cnt" op="lte" val="6">
        <dgm:constrLst>
          <dgm:constr type="h" for="ch" forName="compNode" refType="h" fact="0.3"/>
          <dgm:constr type="w" for="ch" forName="compNode" refType="w"/>
          <dgm:constr type="h" for="ch" forName="sibTrans" refType="h" refFor="ch" refForName="compNode" fact="0.25"/>
          <dgm:constr type="primFontSz" for="des" forName="parTx" val="19"/>
          <dgm:constr type="primFontSz" for="des" forName="desTx" refType="primFontSz" refFor="des" refForName="parTx" op="lte" fact="0.75"/>
          <dgm:constr type="h" for="des" forName="compNode" op="equ"/>
          <dgm:constr type="h" for="des" forName="bgRect" op="equ"/>
          <dgm:constr type="h" for="des" forName="iconRect" op="equ"/>
          <dgm:constr type="w" for="des" forName="iconRect" op="equ"/>
          <dgm:constr type="h" for="des" forName="spaceRect" op="equ"/>
          <dgm:constr type="h" for="des" forName="parTx" op="equ"/>
          <dgm:constr type="h" for="des" forName="desTx" op="equ"/>
        </dgm:constrLst>
      </dgm:if>
      <dgm:else name="Name7">
        <dgm:constrLst>
          <dgm:constr type="h" for="ch" forName="compNode" refType="h" fact="0.3"/>
          <dgm:constr type="w" for="ch" forName="compNode" refType="w"/>
          <dgm:constr type="h" for="ch" forName="sibTrans" refType="h" refFor="ch" refForName="compNode" fact="0.25"/>
          <dgm:constr type="primFontSz" for="des" forName="parTx" val="16"/>
          <dgm:constr type="primFontSz" for="des" forName="desTx" refType="primFontSz" refFor="des" refForName="parTx" op="lte" fact="0.75"/>
          <dgm:constr type="h" for="des" forName="compNode" op="equ"/>
          <dgm:constr type="h" for="des" forName="bgRect" op="equ"/>
          <dgm:constr type="h" for="des" forName="iconRect" op="equ"/>
          <dgm:constr type="w" for="des" forName="iconRect" op="equ"/>
          <dgm:constr type="h" for="des" forName="spaceRect" op="equ"/>
          <dgm:constr type="h" for="des" forName="parTx" op="equ"/>
          <dgm:constr type="h" for="des" forName="desTx" op="equ"/>
        </dgm:constrLst>
      </dgm:else>
    </dgm:choose>
    <dgm:ruleLst>
      <dgm:rule type="h" for="ch" forName="compNode" val="0" fact="NaN" max="NaN"/>
    </dgm:ruleLst>
    <dgm:forEach name="Name8" axis="ch" ptType="node">
      <dgm:layoutNode name="compNode">
        <dgm:alg type="composite"/>
        <dgm:shape xmlns:r="http://schemas.openxmlformats.org/officeDocument/2006/relationships" r:blip="">
          <dgm:adjLst/>
        </dgm:shape>
        <dgm:presOf axis="self"/>
        <dgm:choose name="Name9">
          <dgm:if name="Name10" axis="ch" ptType="node" func="cnt" op="gte" val="1">
            <dgm:constrLst>
              <dgm:constr type="w" for="ch" forName="bgRect" refType="w"/>
              <dgm:constr type="h" for="ch" forName="bgRect" refType="h"/>
              <dgm:constr type="l" for="ch" forName="bgRect"/>
              <dgm:constr type="t" for="ch" forName="bgRect"/>
              <dgm:constr type="h" for="ch" forName="iconRect" refType="h" fact="0.55"/>
              <dgm:constr type="w" for="ch" forName="iconRect" refType="h" refFor="ch" refForName="iconRect"/>
              <dgm:constr type="l" for="ch" forName="iconRect" refType="h" refFor="ch" refForName="iconRect" fact="0.55"/>
              <dgm:constr type="ctrY" for="ch" forName="iconRect" refType="ctrY" refFor="ch" refForName="bgRect"/>
              <dgm:constr type="w" for="ch" forName="spaceRect" refType="l" refFor="ch" refForName="iconRect"/>
              <dgm:constr type="h" for="ch" forName="spaceRect" refType="h"/>
              <dgm:constr type="l" for="ch" forName="spaceRect" refType="r" refFor="ch" refForName="iconRect"/>
              <dgm:constr type="t" for="ch" forName="spaceRect"/>
              <dgm:constr type="w" for="ch" forName="parTx" refType="w" fact="0.45"/>
              <dgm:constr type="h" for="ch" forName="parTx" refType="h"/>
              <dgm:constr type="l" for="ch" forName="parTx" refType="r" refFor="ch" refForName="spaceRect"/>
              <dgm:constr type="t" for="ch" forName="parTx"/>
              <dgm:constr type="h" for="ch" forName="desTx" refType="h"/>
              <dgm:constr type="l" for="ch" forName="desTx" refType="r" refFor="ch" refForName="parTx"/>
              <dgm:constr type="t" for="ch" forName="desTx"/>
            </dgm:constrLst>
          </dgm:if>
          <dgm:else name="Name11">
            <dgm:constrLst>
              <dgm:constr type="w" for="ch" forName="bgRect" refType="w"/>
              <dgm:constr type="h" for="ch" forName="bgRect" refType="h"/>
              <dgm:constr type="l" for="ch" forName="bgRect"/>
              <dgm:constr type="t" for="ch" forName="bgRect"/>
              <dgm:constr type="h" for="ch" forName="iconRect" refType="h" fact="0.55"/>
              <dgm:constr type="w" for="ch" forName="iconRect" refType="h" refFor="ch" refForName="iconRect"/>
              <dgm:constr type="l" for="ch" forName="iconRect" refType="h" refFor="ch" refForName="iconRect" fact="0.55"/>
              <dgm:constr type="ctrY" for="ch" forName="iconRect" refType="ctrY" refFor="ch" refForName="bgRect"/>
              <dgm:constr type="w" for="ch" forName="spaceRect" refType="l" refFor="ch" refForName="iconRect"/>
              <dgm:constr type="h" for="ch" forName="spaceRect" refType="h"/>
              <dgm:constr type="l" for="ch" forName="spaceRect" refType="r" refFor="ch" refForName="iconRect"/>
              <dgm:constr type="t" for="ch" forName="spaceRect"/>
              <dgm:constr type="h" for="ch" forName="parTx" refType="h"/>
              <dgm:constr type="l" for="ch" forName="parTx" refType="r" refFor="ch" refForName="spaceRect"/>
              <dgm:constr type="t" for="ch" forName="parTx"/>
            </dgm:constrLst>
          </dgm:else>
        </dgm:choose>
        <dgm:ruleLst>
          <dgm:rule type="h" val="INF" fact="NaN" max="NaN"/>
        </dgm:ruleLst>
        <dgm:layoutNode name="bgRect" styleLbl="bgShp">
          <dgm:alg type="sp"/>
          <dgm:shape xmlns:r="http://schemas.openxmlformats.org/officeDocument/2006/relationships" type="roundRect" r:blip="">
            <dgm:adjLst>
              <dgm:adj idx="1" val="0.1"/>
            </dgm:adjLst>
          </dgm:shape>
          <dgm:presOf/>
          <dgm:constrLst/>
          <dgm:ruleLst/>
        </dgm:layoutNode>
        <dgm:layoutNode name="iconRect" styleLbl="node1">
          <dgm:alg type="sp"/>
          <dgm:shape xmlns:r="http://schemas.openxmlformats.org/officeDocument/2006/relationships" type="rect" r:blip="" blipPhldr="1">
            <dgm:adjLst/>
          </dgm:shape>
          <dgm:presOf/>
          <dgm:constrLst/>
          <dgm:ruleLst/>
        </dgm:layoutNode>
        <dgm:layoutNode name="spaceRect">
          <dgm:alg type="sp"/>
          <dgm:shape xmlns:r="http://schemas.openxmlformats.org/officeDocument/2006/relationships" r:blip="">
            <dgm:adjLst/>
          </dgm:shape>
          <dgm:presOf/>
          <dgm:constrLst/>
          <dgm:ruleLst/>
        </dgm:layoutNode>
        <dgm:layoutNode name="parTx" styleLbl="revTx">
          <dgm:varLst>
            <dgm:chMax val="0"/>
            <dgm:chPref val="0"/>
          </dgm:varLst>
          <dgm:alg type="tx">
            <dgm:param type="txAnchorVert" val="mid"/>
            <dgm:param type="parTxLTRAlign" val="l"/>
            <dgm:param type="shpTxLTRAlignCh" val="l"/>
            <dgm:param type="parTxRTLAlign" val="r"/>
            <dgm:param type="shpTxRTLAlignCh" val="r"/>
          </dgm:alg>
          <dgm:shape xmlns:r="http://schemas.openxmlformats.org/officeDocument/2006/relationships" type="rect" r:blip="">
            <dgm:adjLst/>
          </dgm:shape>
          <dgm:presOf axis="self" ptType="node"/>
          <dgm:constrLst>
            <dgm:constr type="lMarg" refType="h" fact="0.3"/>
            <dgm:constr type="rMarg" refType="h" fact="0.3"/>
            <dgm:constr type="tMarg" refType="h" fact="0.3"/>
            <dgm:constr type="bMarg" refType="h" fact="0.3"/>
          </dgm:constrLst>
          <dgm:ruleLst>
            <dgm:rule type="primFontSz" val="14" fact="NaN" max="NaN"/>
            <dgm:rule type="h" val="INF" fact="NaN" max="NaN"/>
          </dgm:ruleLst>
        </dgm:layoutNode>
        <dgm:choose name="Name12">
          <dgm:if name="Name13" axis="ch" ptType="node" func="cnt" op="gte" val="1">
            <dgm:layoutNode name="desTx" styleLbl="revTx">
              <dgm:varLst/>
              <dgm:alg type="tx">
                <dgm:param type="txAnchorVertCh" val="mid"/>
                <dgm:param type="parTxLTRAlign" val="l"/>
                <dgm:param type="shpTxLTRAlignCh" val="l"/>
                <dgm:param type="parTxRTLAlign" val="r"/>
                <dgm:param type="shpTxRTLAlignCh" val="r"/>
                <dgm:param type="stBulletLvl" val="0"/>
              </dgm:alg>
              <dgm:shape xmlns:r="http://schemas.openxmlformats.org/officeDocument/2006/relationships" type="rect" r:blip="">
                <dgm:adjLst/>
              </dgm:shape>
              <dgm:presOf axis="des" ptType="node"/>
              <dgm:constrLst>
                <dgm:constr type="primFontSz" val="18"/>
                <dgm:constr type="secFontSz" refType="primFontSz"/>
                <dgm:constr type="lMarg" refType="h" fact="0.3"/>
                <dgm:constr type="rMarg" refType="h" fact="0.3"/>
                <dgm:constr type="tMarg" refType="h" fact="0.3"/>
                <dgm:constr type="bMarg" refType="h" fact="0.3"/>
              </dgm:constrLst>
              <dgm:ruleLst>
                <dgm:rule type="primFontSz" val="11" fact="NaN" max="NaN"/>
              </dgm:ruleLst>
            </dgm:layoutNode>
          </dgm:if>
          <dgm:else name="Name14"/>
        </dgm:choose>
      </dgm:layoutNode>
      <dgm:forEach name="Name15" axis="followSib" ptType="sibTrans" cnt="1">
        <dgm:layoutNode name="sibTrans">
          <dgm:alg type="sp"/>
          <dgm:shape xmlns:r="http://schemas.openxmlformats.org/officeDocument/2006/relationships" r:blip="">
            <dgm:adjLst/>
          </dgm:shape>
          <dgm:presOf axis="self"/>
          <dgm:constrLst/>
          <dgm:ruleLst/>
        </dgm:layoutNode>
      </dgm:forEach>
    </dgm:forEach>
  </dgm:layoutNode>
  <dgm:extLst>
    <a:ext uri="{68A01E43-0DF5-4B5B-8FA6-DAF915123BFB}">
      <dgm1612:lstStyle xmlns:dgm1612="http://schemas.microsoft.com/office/drawing/2016/12/diagram">
        <a:lvl1pPr>
          <a:lnSpc>
            <a:spcPct val="100000"/>
          </a:lnSpc>
        </a:lvl1pPr>
        <a:lvl2pPr>
          <a:lnSpc>
            <a:spcPct val="100000"/>
          </a:lnSpc>
        </a:lvl2pPr>
      </dgm1612:lstStyle>
    </a:ext>
  </dgm:extLst>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A97FC5-4CD4-4FC3-A0A2-7B56065A362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6559</Words>
  <Characters>44046</Characters>
  <Application>Microsoft Office Word</Application>
  <DocSecurity>0</DocSecurity>
  <Lines>367</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Tajwar Ahmed</cp:lastModifiedBy>
  <cp:revision>2</cp:revision>
  <dcterms:created xsi:type="dcterms:W3CDTF">2025-12-13T22:51:00Z</dcterms:created>
  <dcterms:modified xsi:type="dcterms:W3CDTF">2025-12-13T22:51:00Z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4009eb6b-b9f6-42c6-8bd6-b7e345e0c76b</vt:lpwstr>
  </property>
</Properties>
</file>