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B1F94" w14:textId="77777777" w:rsidR="002F0800" w:rsidRDefault="002F0800" w:rsidP="002F0800">
      <w:pPr>
        <w:jc w:val="center"/>
        <w:rPr>
          <w:rFonts w:ascii="Arial" w:hAnsi="Arial" w:cs="Arial"/>
          <w:b/>
          <w:bCs/>
          <w:sz w:val="40"/>
          <w:szCs w:val="40"/>
        </w:rPr>
      </w:pPr>
    </w:p>
    <w:p w14:paraId="338EA44C" w14:textId="77777777" w:rsidR="002F0800" w:rsidRDefault="002F0800" w:rsidP="002F0800">
      <w:pPr>
        <w:jc w:val="center"/>
        <w:rPr>
          <w:rFonts w:ascii="Arial" w:hAnsi="Arial" w:cs="Arial"/>
          <w:b/>
          <w:bCs/>
          <w:sz w:val="40"/>
          <w:szCs w:val="40"/>
        </w:rPr>
      </w:pPr>
    </w:p>
    <w:p w14:paraId="32A83377" w14:textId="77777777" w:rsidR="002F0800" w:rsidRDefault="002F0800" w:rsidP="002F0800">
      <w:pPr>
        <w:jc w:val="center"/>
        <w:rPr>
          <w:rFonts w:ascii="Arial" w:hAnsi="Arial" w:cs="Arial"/>
          <w:b/>
          <w:bCs/>
          <w:sz w:val="40"/>
          <w:szCs w:val="40"/>
        </w:rPr>
      </w:pPr>
    </w:p>
    <w:p w14:paraId="04FA2CCD" w14:textId="77777777" w:rsidR="002F0800" w:rsidRDefault="002F0800" w:rsidP="002F0800">
      <w:pPr>
        <w:jc w:val="center"/>
        <w:rPr>
          <w:rFonts w:ascii="Arial" w:hAnsi="Arial" w:cs="Arial"/>
          <w:b/>
          <w:bCs/>
          <w:sz w:val="40"/>
          <w:szCs w:val="40"/>
        </w:rPr>
      </w:pPr>
    </w:p>
    <w:p w14:paraId="5D4B49B8" w14:textId="77777777" w:rsidR="002F0800" w:rsidRDefault="002F0800" w:rsidP="002F0800">
      <w:pPr>
        <w:jc w:val="center"/>
        <w:rPr>
          <w:rFonts w:ascii="Arial" w:hAnsi="Arial" w:cs="Arial"/>
          <w:b/>
          <w:bCs/>
          <w:sz w:val="40"/>
          <w:szCs w:val="40"/>
        </w:rPr>
      </w:pPr>
    </w:p>
    <w:p w14:paraId="48F5E92C" w14:textId="77777777" w:rsidR="002F0800" w:rsidRDefault="002F0800" w:rsidP="002F0800">
      <w:pPr>
        <w:jc w:val="center"/>
        <w:rPr>
          <w:rFonts w:ascii="Arial" w:hAnsi="Arial" w:cs="Arial"/>
          <w:b/>
          <w:bCs/>
          <w:sz w:val="40"/>
          <w:szCs w:val="40"/>
        </w:rPr>
      </w:pPr>
    </w:p>
    <w:p w14:paraId="0074B5D4" w14:textId="77777777" w:rsidR="002F0800" w:rsidRDefault="002F0800" w:rsidP="002F0800">
      <w:pPr>
        <w:jc w:val="center"/>
        <w:rPr>
          <w:rFonts w:ascii="Arial" w:hAnsi="Arial" w:cs="Arial"/>
          <w:b/>
          <w:bCs/>
          <w:sz w:val="40"/>
          <w:szCs w:val="40"/>
        </w:rPr>
      </w:pPr>
    </w:p>
    <w:p w14:paraId="4D54DA48" w14:textId="1CFF127B" w:rsidR="002F0800" w:rsidRDefault="002F0800" w:rsidP="002F0800">
      <w:pPr>
        <w:jc w:val="center"/>
        <w:rPr>
          <w:rFonts w:ascii="Arial" w:hAnsi="Arial" w:cs="Arial"/>
          <w:b/>
          <w:bCs/>
          <w:sz w:val="40"/>
          <w:szCs w:val="40"/>
        </w:rPr>
      </w:pPr>
      <w:r>
        <w:rPr>
          <w:rFonts w:ascii="Arial" w:hAnsi="Arial" w:cs="Arial"/>
          <w:b/>
          <w:bCs/>
          <w:sz w:val="40"/>
          <w:szCs w:val="40"/>
        </w:rPr>
        <w:t>Module: Introduction to Health and Social Care</w:t>
      </w:r>
    </w:p>
    <w:p w14:paraId="3AD24F6D" w14:textId="0EAE9118" w:rsidR="002F0800" w:rsidRDefault="002F0800" w:rsidP="002F0800">
      <w:pPr>
        <w:jc w:val="center"/>
        <w:rPr>
          <w:rFonts w:ascii="Arial" w:hAnsi="Arial" w:cs="Arial"/>
          <w:b/>
          <w:bCs/>
          <w:sz w:val="40"/>
          <w:szCs w:val="40"/>
        </w:rPr>
      </w:pPr>
      <w:r>
        <w:rPr>
          <w:rFonts w:ascii="Arial" w:hAnsi="Arial" w:cs="Arial"/>
          <w:b/>
          <w:bCs/>
          <w:sz w:val="40"/>
          <w:szCs w:val="40"/>
        </w:rPr>
        <w:t>Module Code: LCHS4003</w:t>
      </w:r>
    </w:p>
    <w:p w14:paraId="54E5A118" w14:textId="5A33852C" w:rsidR="002F0800" w:rsidRDefault="002F0800" w:rsidP="002F0800">
      <w:pPr>
        <w:jc w:val="center"/>
        <w:rPr>
          <w:rFonts w:ascii="Arial" w:hAnsi="Arial" w:cs="Arial"/>
          <w:b/>
          <w:bCs/>
          <w:sz w:val="40"/>
          <w:szCs w:val="40"/>
        </w:rPr>
      </w:pPr>
      <w:r>
        <w:rPr>
          <w:rFonts w:ascii="Arial" w:hAnsi="Arial" w:cs="Arial"/>
          <w:b/>
          <w:bCs/>
          <w:sz w:val="40"/>
          <w:szCs w:val="40"/>
        </w:rPr>
        <w:t>Name: Mihaela Alina Stoian</w:t>
      </w:r>
    </w:p>
    <w:p w14:paraId="33EB8B4C" w14:textId="0903D7B0" w:rsidR="002F0800" w:rsidRPr="002F0800" w:rsidRDefault="002F0800" w:rsidP="002F0800">
      <w:pPr>
        <w:jc w:val="center"/>
        <w:rPr>
          <w:rFonts w:ascii="Arial" w:hAnsi="Arial" w:cs="Arial"/>
          <w:b/>
          <w:bCs/>
          <w:sz w:val="40"/>
          <w:szCs w:val="40"/>
        </w:rPr>
      </w:pPr>
      <w:r>
        <w:rPr>
          <w:rFonts w:ascii="Arial" w:hAnsi="Arial" w:cs="Arial"/>
          <w:b/>
          <w:bCs/>
          <w:sz w:val="40"/>
          <w:szCs w:val="40"/>
        </w:rPr>
        <w:t>ID Number: 2505442</w:t>
      </w:r>
    </w:p>
    <w:p w14:paraId="0645D896" w14:textId="77777777" w:rsidR="002F0800" w:rsidRDefault="002F0800">
      <w:r>
        <w:br w:type="page"/>
      </w:r>
    </w:p>
    <w:sdt>
      <w:sdtPr>
        <w:id w:val="-424187903"/>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32A804C" w14:textId="73FAB0C4" w:rsidR="002F0800" w:rsidRDefault="002F0800">
          <w:pPr>
            <w:pStyle w:val="TOCHeading"/>
          </w:pPr>
          <w:r>
            <w:t>Table of Contents</w:t>
          </w:r>
        </w:p>
        <w:p w14:paraId="35A1261A" w14:textId="52343594" w:rsidR="002F0800" w:rsidRDefault="002F0800">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4126944" w:history="1">
            <w:r w:rsidRPr="00482CA5">
              <w:rPr>
                <w:rStyle w:val="Hyperlink"/>
                <w:noProof/>
              </w:rPr>
              <w:t>Introduction</w:t>
            </w:r>
            <w:r>
              <w:rPr>
                <w:noProof/>
                <w:webHidden/>
              </w:rPr>
              <w:tab/>
            </w:r>
            <w:r>
              <w:rPr>
                <w:noProof/>
                <w:webHidden/>
              </w:rPr>
              <w:fldChar w:fldCharType="begin"/>
            </w:r>
            <w:r>
              <w:rPr>
                <w:noProof/>
                <w:webHidden/>
              </w:rPr>
              <w:instrText xml:space="preserve"> PAGEREF _Toc224126944 \h </w:instrText>
            </w:r>
            <w:r>
              <w:rPr>
                <w:noProof/>
                <w:webHidden/>
              </w:rPr>
            </w:r>
            <w:r>
              <w:rPr>
                <w:noProof/>
                <w:webHidden/>
              </w:rPr>
              <w:fldChar w:fldCharType="separate"/>
            </w:r>
            <w:r>
              <w:rPr>
                <w:noProof/>
                <w:webHidden/>
              </w:rPr>
              <w:t>3</w:t>
            </w:r>
            <w:r>
              <w:rPr>
                <w:noProof/>
                <w:webHidden/>
              </w:rPr>
              <w:fldChar w:fldCharType="end"/>
            </w:r>
          </w:hyperlink>
        </w:p>
        <w:p w14:paraId="023F95D5" w14:textId="224D95F9" w:rsidR="002F0800" w:rsidRDefault="002F0800">
          <w:pPr>
            <w:pStyle w:val="TOC1"/>
            <w:tabs>
              <w:tab w:val="right" w:leader="dot" w:pos="9016"/>
            </w:tabs>
            <w:rPr>
              <w:noProof/>
            </w:rPr>
          </w:pPr>
          <w:hyperlink w:anchor="_Toc224126945" w:history="1">
            <w:r w:rsidRPr="00482CA5">
              <w:rPr>
                <w:rStyle w:val="Hyperlink"/>
                <w:noProof/>
              </w:rPr>
              <w:t>Section 2 – Administrative Skills and Record Keeping</w:t>
            </w:r>
            <w:r>
              <w:rPr>
                <w:noProof/>
                <w:webHidden/>
              </w:rPr>
              <w:tab/>
            </w:r>
            <w:r>
              <w:rPr>
                <w:noProof/>
                <w:webHidden/>
              </w:rPr>
              <w:fldChar w:fldCharType="begin"/>
            </w:r>
            <w:r>
              <w:rPr>
                <w:noProof/>
                <w:webHidden/>
              </w:rPr>
              <w:instrText xml:space="preserve"> PAGEREF _Toc224126945 \h </w:instrText>
            </w:r>
            <w:r>
              <w:rPr>
                <w:noProof/>
                <w:webHidden/>
              </w:rPr>
            </w:r>
            <w:r>
              <w:rPr>
                <w:noProof/>
                <w:webHidden/>
              </w:rPr>
              <w:fldChar w:fldCharType="separate"/>
            </w:r>
            <w:r>
              <w:rPr>
                <w:noProof/>
                <w:webHidden/>
              </w:rPr>
              <w:t>3</w:t>
            </w:r>
            <w:r>
              <w:rPr>
                <w:noProof/>
                <w:webHidden/>
              </w:rPr>
              <w:fldChar w:fldCharType="end"/>
            </w:r>
          </w:hyperlink>
        </w:p>
        <w:p w14:paraId="5C63AC72" w14:textId="40331470" w:rsidR="002F0800" w:rsidRDefault="002F0800">
          <w:pPr>
            <w:pStyle w:val="TOC2"/>
            <w:tabs>
              <w:tab w:val="right" w:leader="dot" w:pos="9016"/>
            </w:tabs>
            <w:rPr>
              <w:noProof/>
            </w:rPr>
          </w:pPr>
          <w:hyperlink w:anchor="_Toc224126946" w:history="1">
            <w:r w:rsidRPr="00482CA5">
              <w:rPr>
                <w:rStyle w:val="Hyperlink"/>
                <w:noProof/>
              </w:rPr>
              <w:t>2.1 Importance of Record Keeping</w:t>
            </w:r>
            <w:r>
              <w:rPr>
                <w:noProof/>
                <w:webHidden/>
              </w:rPr>
              <w:tab/>
            </w:r>
            <w:r>
              <w:rPr>
                <w:noProof/>
                <w:webHidden/>
              </w:rPr>
              <w:fldChar w:fldCharType="begin"/>
            </w:r>
            <w:r>
              <w:rPr>
                <w:noProof/>
                <w:webHidden/>
              </w:rPr>
              <w:instrText xml:space="preserve"> PAGEREF _Toc224126946 \h </w:instrText>
            </w:r>
            <w:r>
              <w:rPr>
                <w:noProof/>
                <w:webHidden/>
              </w:rPr>
            </w:r>
            <w:r>
              <w:rPr>
                <w:noProof/>
                <w:webHidden/>
              </w:rPr>
              <w:fldChar w:fldCharType="separate"/>
            </w:r>
            <w:r>
              <w:rPr>
                <w:noProof/>
                <w:webHidden/>
              </w:rPr>
              <w:t>3</w:t>
            </w:r>
            <w:r>
              <w:rPr>
                <w:noProof/>
                <w:webHidden/>
              </w:rPr>
              <w:fldChar w:fldCharType="end"/>
            </w:r>
          </w:hyperlink>
        </w:p>
        <w:p w14:paraId="76DB87BA" w14:textId="73C2BB5B" w:rsidR="002F0800" w:rsidRDefault="002F0800">
          <w:pPr>
            <w:pStyle w:val="TOC2"/>
            <w:tabs>
              <w:tab w:val="right" w:leader="dot" w:pos="9016"/>
            </w:tabs>
            <w:rPr>
              <w:noProof/>
            </w:rPr>
          </w:pPr>
          <w:hyperlink w:anchor="_Toc224126947" w:history="1">
            <w:r w:rsidRPr="00482CA5">
              <w:rPr>
                <w:rStyle w:val="Hyperlink"/>
                <w:noProof/>
              </w:rPr>
              <w:t>2.2 Data Protection Act 2018</w:t>
            </w:r>
            <w:r>
              <w:rPr>
                <w:noProof/>
                <w:webHidden/>
              </w:rPr>
              <w:tab/>
            </w:r>
            <w:r>
              <w:rPr>
                <w:noProof/>
                <w:webHidden/>
              </w:rPr>
              <w:fldChar w:fldCharType="begin"/>
            </w:r>
            <w:r>
              <w:rPr>
                <w:noProof/>
                <w:webHidden/>
              </w:rPr>
              <w:instrText xml:space="preserve"> PAGEREF _Toc224126947 \h </w:instrText>
            </w:r>
            <w:r>
              <w:rPr>
                <w:noProof/>
                <w:webHidden/>
              </w:rPr>
            </w:r>
            <w:r>
              <w:rPr>
                <w:noProof/>
                <w:webHidden/>
              </w:rPr>
              <w:fldChar w:fldCharType="separate"/>
            </w:r>
            <w:r>
              <w:rPr>
                <w:noProof/>
                <w:webHidden/>
              </w:rPr>
              <w:t>3</w:t>
            </w:r>
            <w:r>
              <w:rPr>
                <w:noProof/>
                <w:webHidden/>
              </w:rPr>
              <w:fldChar w:fldCharType="end"/>
            </w:r>
          </w:hyperlink>
        </w:p>
        <w:p w14:paraId="5EF2D425" w14:textId="62CC4302" w:rsidR="002F0800" w:rsidRDefault="002F0800">
          <w:pPr>
            <w:pStyle w:val="TOC2"/>
            <w:tabs>
              <w:tab w:val="right" w:leader="dot" w:pos="9016"/>
            </w:tabs>
            <w:rPr>
              <w:noProof/>
            </w:rPr>
          </w:pPr>
          <w:hyperlink w:anchor="_Toc224126948" w:history="1">
            <w:r w:rsidRPr="00482CA5">
              <w:rPr>
                <w:rStyle w:val="Hyperlink"/>
                <w:noProof/>
              </w:rPr>
              <w:t>2.3 Policies and Professional Standards</w:t>
            </w:r>
            <w:r>
              <w:rPr>
                <w:noProof/>
                <w:webHidden/>
              </w:rPr>
              <w:tab/>
            </w:r>
            <w:r>
              <w:rPr>
                <w:noProof/>
                <w:webHidden/>
              </w:rPr>
              <w:fldChar w:fldCharType="begin"/>
            </w:r>
            <w:r>
              <w:rPr>
                <w:noProof/>
                <w:webHidden/>
              </w:rPr>
              <w:instrText xml:space="preserve"> PAGEREF _Toc224126948 \h </w:instrText>
            </w:r>
            <w:r>
              <w:rPr>
                <w:noProof/>
                <w:webHidden/>
              </w:rPr>
            </w:r>
            <w:r>
              <w:rPr>
                <w:noProof/>
                <w:webHidden/>
              </w:rPr>
              <w:fldChar w:fldCharType="separate"/>
            </w:r>
            <w:r>
              <w:rPr>
                <w:noProof/>
                <w:webHidden/>
              </w:rPr>
              <w:t>4</w:t>
            </w:r>
            <w:r>
              <w:rPr>
                <w:noProof/>
                <w:webHidden/>
              </w:rPr>
              <w:fldChar w:fldCharType="end"/>
            </w:r>
          </w:hyperlink>
        </w:p>
        <w:p w14:paraId="24C166BC" w14:textId="6FCC37B0" w:rsidR="002F0800" w:rsidRDefault="002F0800">
          <w:pPr>
            <w:pStyle w:val="TOC1"/>
            <w:tabs>
              <w:tab w:val="right" w:leader="dot" w:pos="9016"/>
            </w:tabs>
            <w:rPr>
              <w:noProof/>
            </w:rPr>
          </w:pPr>
          <w:hyperlink w:anchor="_Toc224126949" w:history="1">
            <w:r w:rsidRPr="00482CA5">
              <w:rPr>
                <w:rStyle w:val="Hyperlink"/>
                <w:noProof/>
              </w:rPr>
              <w:t>Section 3 – Collaborative / Multi-Agency Working</w:t>
            </w:r>
            <w:r>
              <w:rPr>
                <w:noProof/>
                <w:webHidden/>
              </w:rPr>
              <w:tab/>
            </w:r>
            <w:r>
              <w:rPr>
                <w:noProof/>
                <w:webHidden/>
              </w:rPr>
              <w:fldChar w:fldCharType="begin"/>
            </w:r>
            <w:r>
              <w:rPr>
                <w:noProof/>
                <w:webHidden/>
              </w:rPr>
              <w:instrText xml:space="preserve"> PAGEREF _Toc224126949 \h </w:instrText>
            </w:r>
            <w:r>
              <w:rPr>
                <w:noProof/>
                <w:webHidden/>
              </w:rPr>
            </w:r>
            <w:r>
              <w:rPr>
                <w:noProof/>
                <w:webHidden/>
              </w:rPr>
              <w:fldChar w:fldCharType="separate"/>
            </w:r>
            <w:r>
              <w:rPr>
                <w:noProof/>
                <w:webHidden/>
              </w:rPr>
              <w:t>4</w:t>
            </w:r>
            <w:r>
              <w:rPr>
                <w:noProof/>
                <w:webHidden/>
              </w:rPr>
              <w:fldChar w:fldCharType="end"/>
            </w:r>
          </w:hyperlink>
        </w:p>
        <w:p w14:paraId="2A8F053A" w14:textId="063175AF" w:rsidR="002F0800" w:rsidRDefault="002F0800">
          <w:pPr>
            <w:pStyle w:val="TOC2"/>
            <w:tabs>
              <w:tab w:val="right" w:leader="dot" w:pos="9016"/>
            </w:tabs>
            <w:rPr>
              <w:noProof/>
            </w:rPr>
          </w:pPr>
          <w:hyperlink w:anchor="_Toc224126950" w:history="1">
            <w:r w:rsidRPr="00482CA5">
              <w:rPr>
                <w:rStyle w:val="Hyperlink"/>
                <w:noProof/>
              </w:rPr>
              <w:t>3.1 Importance of Partnership Working</w:t>
            </w:r>
            <w:r>
              <w:rPr>
                <w:noProof/>
                <w:webHidden/>
              </w:rPr>
              <w:tab/>
            </w:r>
            <w:r>
              <w:rPr>
                <w:noProof/>
                <w:webHidden/>
              </w:rPr>
              <w:fldChar w:fldCharType="begin"/>
            </w:r>
            <w:r>
              <w:rPr>
                <w:noProof/>
                <w:webHidden/>
              </w:rPr>
              <w:instrText xml:space="preserve"> PAGEREF _Toc224126950 \h </w:instrText>
            </w:r>
            <w:r>
              <w:rPr>
                <w:noProof/>
                <w:webHidden/>
              </w:rPr>
            </w:r>
            <w:r>
              <w:rPr>
                <w:noProof/>
                <w:webHidden/>
              </w:rPr>
              <w:fldChar w:fldCharType="separate"/>
            </w:r>
            <w:r>
              <w:rPr>
                <w:noProof/>
                <w:webHidden/>
              </w:rPr>
              <w:t>4</w:t>
            </w:r>
            <w:r>
              <w:rPr>
                <w:noProof/>
                <w:webHidden/>
              </w:rPr>
              <w:fldChar w:fldCharType="end"/>
            </w:r>
          </w:hyperlink>
        </w:p>
        <w:p w14:paraId="4BC84E1F" w14:textId="15BB0E0F" w:rsidR="002F0800" w:rsidRDefault="002F0800">
          <w:pPr>
            <w:pStyle w:val="TOC2"/>
            <w:tabs>
              <w:tab w:val="right" w:leader="dot" w:pos="9016"/>
            </w:tabs>
            <w:rPr>
              <w:noProof/>
            </w:rPr>
          </w:pPr>
          <w:hyperlink w:anchor="_Toc224126951" w:history="1">
            <w:r w:rsidRPr="00482CA5">
              <w:rPr>
                <w:rStyle w:val="Hyperlink"/>
                <w:noProof/>
              </w:rPr>
              <w:t>3.2 Challenges and Solutions in Multi-Agency Working</w:t>
            </w:r>
            <w:r>
              <w:rPr>
                <w:noProof/>
                <w:webHidden/>
              </w:rPr>
              <w:tab/>
            </w:r>
            <w:r>
              <w:rPr>
                <w:noProof/>
                <w:webHidden/>
              </w:rPr>
              <w:fldChar w:fldCharType="begin"/>
            </w:r>
            <w:r>
              <w:rPr>
                <w:noProof/>
                <w:webHidden/>
              </w:rPr>
              <w:instrText xml:space="preserve"> PAGEREF _Toc224126951 \h </w:instrText>
            </w:r>
            <w:r>
              <w:rPr>
                <w:noProof/>
                <w:webHidden/>
              </w:rPr>
            </w:r>
            <w:r>
              <w:rPr>
                <w:noProof/>
                <w:webHidden/>
              </w:rPr>
              <w:fldChar w:fldCharType="separate"/>
            </w:r>
            <w:r>
              <w:rPr>
                <w:noProof/>
                <w:webHidden/>
              </w:rPr>
              <w:t>5</w:t>
            </w:r>
            <w:r>
              <w:rPr>
                <w:noProof/>
                <w:webHidden/>
              </w:rPr>
              <w:fldChar w:fldCharType="end"/>
            </w:r>
          </w:hyperlink>
        </w:p>
        <w:p w14:paraId="5E69E31C" w14:textId="1F6C8CA4" w:rsidR="002F0800" w:rsidRDefault="002F0800">
          <w:pPr>
            <w:pStyle w:val="TOC1"/>
            <w:tabs>
              <w:tab w:val="right" w:leader="dot" w:pos="9016"/>
            </w:tabs>
            <w:rPr>
              <w:noProof/>
            </w:rPr>
          </w:pPr>
          <w:hyperlink w:anchor="_Toc224126952" w:history="1">
            <w:r w:rsidRPr="00482CA5">
              <w:rPr>
                <w:rStyle w:val="Hyperlink"/>
                <w:noProof/>
              </w:rPr>
              <w:t>Conclusion</w:t>
            </w:r>
            <w:r>
              <w:rPr>
                <w:noProof/>
                <w:webHidden/>
              </w:rPr>
              <w:tab/>
            </w:r>
            <w:r>
              <w:rPr>
                <w:noProof/>
                <w:webHidden/>
              </w:rPr>
              <w:fldChar w:fldCharType="begin"/>
            </w:r>
            <w:r>
              <w:rPr>
                <w:noProof/>
                <w:webHidden/>
              </w:rPr>
              <w:instrText xml:space="preserve"> PAGEREF _Toc224126952 \h </w:instrText>
            </w:r>
            <w:r>
              <w:rPr>
                <w:noProof/>
                <w:webHidden/>
              </w:rPr>
            </w:r>
            <w:r>
              <w:rPr>
                <w:noProof/>
                <w:webHidden/>
              </w:rPr>
              <w:fldChar w:fldCharType="separate"/>
            </w:r>
            <w:r>
              <w:rPr>
                <w:noProof/>
                <w:webHidden/>
              </w:rPr>
              <w:t>5</w:t>
            </w:r>
            <w:r>
              <w:rPr>
                <w:noProof/>
                <w:webHidden/>
              </w:rPr>
              <w:fldChar w:fldCharType="end"/>
            </w:r>
          </w:hyperlink>
        </w:p>
        <w:p w14:paraId="1F3A9FEF" w14:textId="40FCF345" w:rsidR="002F0800" w:rsidRDefault="002F0800">
          <w:pPr>
            <w:pStyle w:val="TOC1"/>
            <w:tabs>
              <w:tab w:val="right" w:leader="dot" w:pos="9016"/>
            </w:tabs>
            <w:rPr>
              <w:noProof/>
            </w:rPr>
          </w:pPr>
          <w:hyperlink w:anchor="_Toc224126953" w:history="1">
            <w:r w:rsidRPr="00482CA5">
              <w:rPr>
                <w:rStyle w:val="Hyperlink"/>
                <w:noProof/>
              </w:rPr>
              <w:t>References</w:t>
            </w:r>
            <w:r>
              <w:rPr>
                <w:noProof/>
                <w:webHidden/>
              </w:rPr>
              <w:tab/>
            </w:r>
            <w:r>
              <w:rPr>
                <w:noProof/>
                <w:webHidden/>
              </w:rPr>
              <w:fldChar w:fldCharType="begin"/>
            </w:r>
            <w:r>
              <w:rPr>
                <w:noProof/>
                <w:webHidden/>
              </w:rPr>
              <w:instrText xml:space="preserve"> PAGEREF _Toc224126953 \h </w:instrText>
            </w:r>
            <w:r>
              <w:rPr>
                <w:noProof/>
                <w:webHidden/>
              </w:rPr>
            </w:r>
            <w:r>
              <w:rPr>
                <w:noProof/>
                <w:webHidden/>
              </w:rPr>
              <w:fldChar w:fldCharType="separate"/>
            </w:r>
            <w:r>
              <w:rPr>
                <w:noProof/>
                <w:webHidden/>
              </w:rPr>
              <w:t>7</w:t>
            </w:r>
            <w:r>
              <w:rPr>
                <w:noProof/>
                <w:webHidden/>
              </w:rPr>
              <w:fldChar w:fldCharType="end"/>
            </w:r>
          </w:hyperlink>
        </w:p>
        <w:p w14:paraId="6088AB77" w14:textId="430D6579" w:rsidR="002F0800" w:rsidRDefault="002F0800">
          <w:r>
            <w:rPr>
              <w:b/>
              <w:bCs/>
              <w:noProof/>
            </w:rPr>
            <w:fldChar w:fldCharType="end"/>
          </w:r>
        </w:p>
      </w:sdtContent>
    </w:sdt>
    <w:p w14:paraId="5C2A4F49" w14:textId="683CDC0F" w:rsidR="002F0800" w:rsidRDefault="002F0800"/>
    <w:p w14:paraId="01D321EA" w14:textId="77777777" w:rsidR="002F0800" w:rsidRDefault="002F0800">
      <w:r>
        <w:br w:type="page"/>
      </w:r>
    </w:p>
    <w:p w14:paraId="5D8591F2" w14:textId="1A499745" w:rsidR="002F0800" w:rsidRDefault="002F0800" w:rsidP="002F0800">
      <w:pPr>
        <w:pStyle w:val="Heading1"/>
        <w:spacing w:before="0" w:after="120" w:line="240" w:lineRule="auto"/>
      </w:pPr>
      <w:bookmarkStart w:id="0" w:name="_Toc224126944"/>
      <w:r>
        <w:lastRenderedPageBreak/>
        <w:t>Introduction</w:t>
      </w:r>
      <w:bookmarkEnd w:id="0"/>
      <w:r>
        <w:t xml:space="preserve"> </w:t>
      </w:r>
    </w:p>
    <w:p w14:paraId="3752182B" w14:textId="60FB1B25" w:rsidR="002F0800" w:rsidRDefault="002F0800" w:rsidP="002F0800">
      <w:pPr>
        <w:spacing w:after="120" w:line="360" w:lineRule="auto"/>
        <w:rPr>
          <w:rFonts w:ascii="Arial" w:hAnsi="Arial" w:cs="Arial"/>
          <w:sz w:val="22"/>
          <w:szCs w:val="22"/>
        </w:rPr>
      </w:pPr>
      <w:r w:rsidRPr="002F0800">
        <w:rPr>
          <w:rFonts w:ascii="Arial" w:hAnsi="Arial" w:cs="Arial"/>
          <w:sz w:val="22"/>
          <w:szCs w:val="22"/>
        </w:rPr>
        <w:t>For effective health and social care practice, communication, accurate record-keeping, and collaboration are the key factors. The case scenario has been given for Mr. Ahmed, a 68-year-old man, who has been discharged recently after being hospitalized with a stroke and is currently being cared for at home with the support of a multidisciplinary team. Since Bengali is the native language of Mr. Ahmed, and he might not be able to understand complex English conversations, communication barriers might arise between Mr. Ahmed and the healthcare staff. For effective and coordinated care, the collaboration and communication of the multidisciplinary team, mainly general practitioners, district nurses, domiciliary care staff, and speech and language therapists, are the key factors in the health and social care field (NHS England, 2019). Also, accurate record-keeping and documentation are the key factors in providing effective care (NMC, 2018). The legislative framework, such as the Data Protection Act 2018 and the Equality Act 2010, helps the practitioners guide their practice. This discussion will be based on the importance of collaboration, communication, and accurate record-keeping in the context of Mr. Ahmed’s care.</w:t>
      </w:r>
    </w:p>
    <w:p w14:paraId="63B788C1" w14:textId="0F98380D" w:rsidR="002F0800" w:rsidRDefault="002F0800" w:rsidP="002F0800">
      <w:pPr>
        <w:pStyle w:val="Heading1"/>
        <w:spacing w:before="0" w:after="120" w:line="240" w:lineRule="auto"/>
      </w:pPr>
      <w:bookmarkStart w:id="1" w:name="_Toc224126945"/>
      <w:r>
        <w:t>Section 2 – Administrative Skills and Record Keeping</w:t>
      </w:r>
      <w:bookmarkEnd w:id="1"/>
    </w:p>
    <w:p w14:paraId="2956D669" w14:textId="7DAE846A" w:rsidR="002F0800" w:rsidRDefault="002F0800" w:rsidP="002F0800">
      <w:pPr>
        <w:pStyle w:val="Heading2"/>
        <w:spacing w:before="0" w:after="120" w:line="276" w:lineRule="auto"/>
      </w:pPr>
      <w:bookmarkStart w:id="2" w:name="_Toc224126946"/>
      <w:r>
        <w:t>2.1 Importance of Record Keeping</w:t>
      </w:r>
      <w:bookmarkEnd w:id="2"/>
      <w:r>
        <w:t xml:space="preserve"> </w:t>
      </w:r>
    </w:p>
    <w:p w14:paraId="4BC5E881" w14:textId="7D79D65F" w:rsidR="002F0800" w:rsidRDefault="002F0800" w:rsidP="002F0800">
      <w:pPr>
        <w:spacing w:after="120" w:line="360" w:lineRule="auto"/>
        <w:rPr>
          <w:rFonts w:ascii="Arial" w:hAnsi="Arial" w:cs="Arial"/>
          <w:sz w:val="22"/>
          <w:szCs w:val="22"/>
        </w:rPr>
      </w:pPr>
      <w:r w:rsidRPr="002F0800">
        <w:rPr>
          <w:rFonts w:ascii="Arial" w:hAnsi="Arial" w:cs="Arial"/>
          <w:sz w:val="22"/>
          <w:szCs w:val="22"/>
        </w:rPr>
        <w:t>It is vital in ensuring that all members of the multidisciplinary team have access to relevant and updated information concerning the condition of the patient, treatment, and care needs. Therefore, it is of critical importance for health professionals to ensure that all relevant information is documented accurately and clearly (NMC, 2018). This is essential in ensuring that all relevant specialists, such as district nurses, general practitioners, and domiciliary care providers, communicate effectively with each other in delivering treatment to the patient. Therefore, detailed and precise records enable physicians to assess the progress of the patient and respond accordingly to any change in the status of the patient’s health. In addition, detailed and precise records assist physicians in decision-making. Considering that Mr. Ahmed is currently undergoing treatment after having a stroke, it is vital for his treatment and care needs to be documented accurately. For instance, the lack of a home visit by the care agency is likely to have severe consequences for Mr. Ahmed, such as delayed access to prescribed drugs for his treatment.</w:t>
      </w:r>
    </w:p>
    <w:p w14:paraId="0107225C" w14:textId="04663831" w:rsidR="002F0800" w:rsidRDefault="002F0800" w:rsidP="002F0800">
      <w:pPr>
        <w:pStyle w:val="Heading2"/>
        <w:spacing w:before="0" w:after="120" w:line="276" w:lineRule="auto"/>
      </w:pPr>
      <w:bookmarkStart w:id="3" w:name="_Toc224126947"/>
      <w:r>
        <w:t>2.2 Data Protection Act 2018</w:t>
      </w:r>
      <w:bookmarkEnd w:id="3"/>
      <w:r>
        <w:t xml:space="preserve"> </w:t>
      </w:r>
    </w:p>
    <w:p w14:paraId="207B76DF" w14:textId="719BA999" w:rsid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The Data Protection Act of 2018 is the legislation that governs the protection of personal data and ensures that personal data used in health and social care settings is secure and confidential. Healthcare organizations have the responsibility of ensuring that personal data </w:t>
      </w:r>
      <w:r w:rsidRPr="002F0800">
        <w:rPr>
          <w:rFonts w:ascii="Arial" w:hAnsi="Arial" w:cs="Arial"/>
          <w:sz w:val="22"/>
          <w:szCs w:val="22"/>
        </w:rPr>
        <w:lastRenderedPageBreak/>
        <w:t>is stored securely and only accessed by authorized personnel for set objectives concerning patients. As noted by Tingle and Cribb (201</w:t>
      </w:r>
      <w:r>
        <w:rPr>
          <w:rFonts w:ascii="Arial" w:hAnsi="Arial" w:cs="Arial"/>
          <w:sz w:val="22"/>
          <w:szCs w:val="22"/>
        </w:rPr>
        <w:t>3</w:t>
      </w:r>
      <w:r w:rsidRPr="002F0800">
        <w:rPr>
          <w:rFonts w:ascii="Arial" w:hAnsi="Arial" w:cs="Arial"/>
          <w:sz w:val="22"/>
          <w:szCs w:val="22"/>
        </w:rPr>
        <w:t>), confidentiality is essential in establishing and maintaining trust between healthcare professionals and clients/service users, who must feel secure and confident that personal data is not used inappropriately. Additionally, the legislation outlines the rights of patients concerning personal data, including access to personal data and only disclosing relevant data. In the case of Mr. Ahmed, the GP, district nurse, and domiciliary care agency have the responsibility of securely documenting and sharing personal data concerning his stroke recovery, medications, and communication needs. By sharing relevant personal data concerning Mr. Ahmed’s care, professionals can work effectively in his care while ensuring his anonymity and confidentiality.</w:t>
      </w:r>
    </w:p>
    <w:p w14:paraId="44155A24" w14:textId="731CE438" w:rsidR="002F0800" w:rsidRDefault="002F0800" w:rsidP="002F0800">
      <w:pPr>
        <w:pStyle w:val="Heading2"/>
        <w:spacing w:before="0" w:after="120" w:line="276" w:lineRule="auto"/>
      </w:pPr>
      <w:bookmarkStart w:id="4" w:name="_Toc224126948"/>
      <w:r>
        <w:t>2.</w:t>
      </w:r>
      <w:r>
        <w:t>3</w:t>
      </w:r>
      <w:r>
        <w:t xml:space="preserve"> </w:t>
      </w:r>
      <w:r>
        <w:t>Policies and Professional Standards</w:t>
      </w:r>
      <w:bookmarkEnd w:id="4"/>
      <w:r>
        <w:t xml:space="preserve"> </w:t>
      </w:r>
    </w:p>
    <w:p w14:paraId="48BDF04F" w14:textId="487D501F" w:rsidR="002F0800" w:rsidRDefault="002F0800" w:rsidP="002F0800">
      <w:pPr>
        <w:spacing w:after="120" w:line="360" w:lineRule="auto"/>
        <w:rPr>
          <w:rFonts w:ascii="Arial" w:hAnsi="Arial" w:cs="Arial"/>
          <w:sz w:val="22"/>
          <w:szCs w:val="22"/>
        </w:rPr>
      </w:pPr>
      <w:r w:rsidRPr="002F0800">
        <w:rPr>
          <w:rFonts w:ascii="Arial" w:hAnsi="Arial" w:cs="Arial"/>
          <w:sz w:val="22"/>
          <w:szCs w:val="22"/>
        </w:rPr>
        <w:t>In the practice of health and social care, record-keeping and confidentiality are subject to various professional frameworks and policies. The NHS Confidentiality Code of Practice, for instance, mainly focuses on the safe handling and safeguarding of confidential health information, providing appropriate guidance on the handling of patient data (Department of Health, 2003). Moreover, the National Data Guardian (2020) states that the Caldicott Principles offer appropriate guidance to ensure the disclosure of patient information, which identifies the patient, occurs only when necessary and for justifiable treatment purposes. To ensure the availability of appropriate record-keeping systems, which are effective and safe, the Care Quality Commission (CQC) regulates and monitors health and social care organizations (CQC, 2023). These guidelines ensure the development of professionalism, accountability, and transparency in the practice of therapy. Organizational record-keeping systems are important in the documentation of home visits and administration of medications in Mr. Ahmed’s case. These systems allow practitioners to investigate the incident, such as the home visit, and identify what went wrong and how to prevent the incident from happening in the future.</w:t>
      </w:r>
    </w:p>
    <w:p w14:paraId="1A3F2EAE" w14:textId="3A58F18F" w:rsidR="002F0800" w:rsidRDefault="002F0800" w:rsidP="002F0800">
      <w:pPr>
        <w:pStyle w:val="Heading1"/>
        <w:spacing w:before="0" w:after="120" w:line="240" w:lineRule="auto"/>
      </w:pPr>
      <w:bookmarkStart w:id="5" w:name="_Toc224126949"/>
      <w:r>
        <w:t xml:space="preserve">Section </w:t>
      </w:r>
      <w:r>
        <w:t>3</w:t>
      </w:r>
      <w:r>
        <w:t xml:space="preserve"> – </w:t>
      </w:r>
      <w:r>
        <w:t>Collaborative / Multi-Agency Working</w:t>
      </w:r>
      <w:bookmarkEnd w:id="5"/>
    </w:p>
    <w:p w14:paraId="228D5CA8" w14:textId="76B0BD52" w:rsidR="002F0800" w:rsidRDefault="002F0800" w:rsidP="002F0800">
      <w:pPr>
        <w:pStyle w:val="Heading2"/>
        <w:spacing w:before="0" w:after="120" w:line="276" w:lineRule="auto"/>
      </w:pPr>
      <w:bookmarkStart w:id="6" w:name="_Toc224126950"/>
      <w:r>
        <w:t>3.1 Importance of Partnership Working</w:t>
      </w:r>
      <w:bookmarkEnd w:id="6"/>
    </w:p>
    <w:p w14:paraId="10DF83BB" w14:textId="43991338" w:rsid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One of the fundamental principles of health and social care practice is the concept of partnership working, which involves the working together of individuals with diverse professional backgrounds and disciplines towards the provision of integrated care services to the patient. Partnership working will be critical in the care and recovery process of Mr. Ahmed, considering the stroke he suffered. For instance, the care and recovery process of Mr. Ahmed will involve the collaborative efforts of the general practitioner, the district nurse, </w:t>
      </w:r>
      <w:r w:rsidRPr="002F0800">
        <w:rPr>
          <w:rFonts w:ascii="Arial" w:hAnsi="Arial" w:cs="Arial"/>
          <w:sz w:val="22"/>
          <w:szCs w:val="22"/>
        </w:rPr>
        <w:lastRenderedPageBreak/>
        <w:t>the domiciliary care staff, and the speech and language therapist. Each of these practitioners will contribute their expertise in their respective domains towards the care and recovery process of Mr. Ahmed, considering the diverse dimensions of his care and recovery process. For example, the district nurse will be responsible for Mr. Ahmed’s blood pressure and wound care, while the general practitioner will be responsible for the overall care and management of Mr. Ahmed’s medical status. Similarly, the speech and language therapist will be responsible for the improvement of Mr. Ahmed’s communication and swallowing problems, while the domiciliary care staff will be responsible for Mr. Ahmed’s personal care, administration of medications, and daily living activities. Through the collaborative efforts of these practitioners, information will be effectively shared towards the development of an integrated care plan, which will address Mr. Ahmed’s diverse social, emotional, and physical care needs (Glasby and Dickinson, 201</w:t>
      </w:r>
      <w:r>
        <w:rPr>
          <w:rFonts w:ascii="Arial" w:hAnsi="Arial" w:cs="Arial"/>
          <w:sz w:val="22"/>
          <w:szCs w:val="22"/>
        </w:rPr>
        <w:t>7</w:t>
      </w:r>
      <w:r w:rsidRPr="002F0800">
        <w:rPr>
          <w:rFonts w:ascii="Arial" w:hAnsi="Arial" w:cs="Arial"/>
          <w:sz w:val="22"/>
          <w:szCs w:val="22"/>
        </w:rPr>
        <w:t>). Mr. Ahmed’s wife will be critical in the process, as she will ensure the articulation of Mr. Ahmed’s preferences and requirements. Thus, the care coordination process will be effective, and the practitioners will be in a position to respond effectively to Mr. Ahmed’s changing health status.</w:t>
      </w:r>
    </w:p>
    <w:p w14:paraId="6DFEA22D" w14:textId="32E89A3F" w:rsidR="002F0800" w:rsidRDefault="002F0800" w:rsidP="002F0800">
      <w:pPr>
        <w:pStyle w:val="Heading2"/>
        <w:spacing w:before="0" w:after="120" w:line="276" w:lineRule="auto"/>
      </w:pPr>
      <w:bookmarkStart w:id="7" w:name="_Toc224126951"/>
      <w:r>
        <w:t>3.2 Challenges and Solutions in Multi-Agency Working</w:t>
      </w:r>
      <w:bookmarkEnd w:id="7"/>
    </w:p>
    <w:p w14:paraId="2E4D72D2" w14:textId="6EEC4E83" w:rsid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While there are advantages associated with the collaboration of multiple agencies, there are also some disadvantages. For instance, the lack of information sharing may lead to poor professional communication, which might result in the gaps in the care process (Reeves et al., </w:t>
      </w:r>
      <w:r>
        <w:rPr>
          <w:rFonts w:ascii="Arial" w:hAnsi="Arial" w:cs="Arial"/>
          <w:sz w:val="22"/>
          <w:szCs w:val="22"/>
        </w:rPr>
        <w:t>1996</w:t>
      </w:r>
      <w:r w:rsidRPr="002F0800">
        <w:rPr>
          <w:rFonts w:ascii="Arial" w:hAnsi="Arial" w:cs="Arial"/>
          <w:sz w:val="22"/>
          <w:szCs w:val="22"/>
        </w:rPr>
        <w:t>). Moreover, the language barriers might hinder direct communication between Mr. Ahmed and the medical team, and he might be forced to rely on his wife to interpret the information. Finally, the failure to deliver Mr. Ahmed’s prescription on time because of the lack of the domiciliary care visit demonstrates the risks of poor coordination and administration. To mitigate the risks and problems associated with the care process, there are several solutions. For instance, the use of electronic records and care plans might enhance the sharing of professional information, and the team will be able to access the same information. Moreover, the holding of regular meetings might not only enhance effective communication among the team members, but the experts will also be able to track Mr. Ahmed’s progress and address the issues before they become problems. This will ensure the quality and safety of care, and any errors, such as the failure to attend the visits, will be avoided because of the clear roles and responsibilities of the team.</w:t>
      </w:r>
    </w:p>
    <w:p w14:paraId="081920BF" w14:textId="6EE25785" w:rsidR="002F0800" w:rsidRDefault="002F0800" w:rsidP="002F0800">
      <w:pPr>
        <w:pStyle w:val="Heading1"/>
        <w:spacing w:before="0" w:after="120" w:line="240" w:lineRule="auto"/>
      </w:pPr>
      <w:bookmarkStart w:id="8" w:name="_Toc224126952"/>
      <w:r>
        <w:t>Conclusion</w:t>
      </w:r>
      <w:bookmarkEnd w:id="8"/>
      <w:r>
        <w:t xml:space="preserve"> </w:t>
      </w:r>
    </w:p>
    <w:p w14:paraId="6C84C340" w14:textId="6DF7B5B7" w:rsid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In conclusion, communication, documentation, and teamwork are basic building blocks of safe and effective health and social care practices. In relation to Mr. Ahmed’s case, effective communication among medical practitioners, the service user, and his family is critical in </w:t>
      </w:r>
      <w:r w:rsidRPr="002F0800">
        <w:rPr>
          <w:rFonts w:ascii="Arial" w:hAnsi="Arial" w:cs="Arial"/>
          <w:sz w:val="22"/>
          <w:szCs w:val="22"/>
        </w:rPr>
        <w:lastRenderedPageBreak/>
        <w:t>identifying Mr. Ahmed’s needs and ensuring that appropriate support is provided to him after suffering a stroke. The communication challenges experienced by Mr. Ahmed, in addition to language barriers, require effective communication strategies to be employed by health care workers. Strong administrative skills are also critical in ensuring effective health care services are provided to patients by ensuring continuity of care services and confidentiality of patient records by maintaining effective records. The Data Protection Act of 2018 and Equality Act of 2010 are critical in ensuring effective health care services are provided to patients by health care workers. Finally, effective coordination of therapy services is achieved by a multidisciplinary team of health care workers, which include a general practitioner, district nurse, domiciliary carers, and a speech and language therapist. The multidisciplinary team is critical in ensuring effective health care services are provided to patients, which improves health outcomes and enhances patient well-being.</w:t>
      </w:r>
    </w:p>
    <w:p w14:paraId="2A703D5E" w14:textId="66AC3D88" w:rsidR="002F0800" w:rsidRPr="002F0800" w:rsidRDefault="002F0800" w:rsidP="002F0800">
      <w:pPr>
        <w:spacing w:after="120" w:line="360" w:lineRule="auto"/>
        <w:rPr>
          <w:rFonts w:ascii="Arial" w:hAnsi="Arial" w:cs="Arial"/>
          <w:sz w:val="22"/>
          <w:szCs w:val="22"/>
        </w:rPr>
      </w:pPr>
      <w:r>
        <w:br w:type="page"/>
      </w:r>
    </w:p>
    <w:p w14:paraId="00B35837" w14:textId="052FE454" w:rsidR="002F0800" w:rsidRDefault="002F0800" w:rsidP="002F0800">
      <w:pPr>
        <w:pStyle w:val="Heading1"/>
        <w:spacing w:before="0" w:after="120" w:line="240" w:lineRule="auto"/>
      </w:pPr>
      <w:bookmarkStart w:id="9" w:name="_Toc224126953"/>
      <w:r>
        <w:lastRenderedPageBreak/>
        <w:t>References</w:t>
      </w:r>
      <w:bookmarkEnd w:id="9"/>
      <w:r>
        <w:t xml:space="preserve"> </w:t>
      </w:r>
    </w:p>
    <w:p w14:paraId="5B52C73B"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(2003) </w:t>
      </w:r>
      <w:r w:rsidRPr="002F0800">
        <w:rPr>
          <w:rFonts w:ascii="Arial" w:hAnsi="Arial" w:cs="Arial"/>
          <w:i/>
          <w:iCs/>
          <w:sz w:val="22"/>
          <w:szCs w:val="22"/>
        </w:rPr>
        <w:t>September 2003 confidentiality NHS code of practice November 2003</w:t>
      </w:r>
      <w:r w:rsidRPr="002F0800">
        <w:rPr>
          <w:rFonts w:ascii="Arial" w:hAnsi="Arial" w:cs="Arial"/>
          <w:sz w:val="22"/>
          <w:szCs w:val="22"/>
        </w:rPr>
        <w:t xml:space="preserve">. Available at: https://assets.publishing.service.gov.uk/media/5a7c13f0ed915d210ade16fb/Confidentiality_-_NHS_Code_of_Practice.pdf. </w:t>
      </w:r>
    </w:p>
    <w:p w14:paraId="11B20232"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(2019) </w:t>
      </w:r>
      <w:r w:rsidRPr="002F0800">
        <w:rPr>
          <w:rFonts w:ascii="Arial" w:hAnsi="Arial" w:cs="Arial"/>
          <w:i/>
          <w:iCs/>
          <w:sz w:val="22"/>
          <w:szCs w:val="22"/>
        </w:rPr>
        <w:t>NHS choices</w:t>
      </w:r>
      <w:r w:rsidRPr="002F0800">
        <w:rPr>
          <w:rFonts w:ascii="Arial" w:hAnsi="Arial" w:cs="Arial"/>
          <w:sz w:val="22"/>
          <w:szCs w:val="22"/>
        </w:rPr>
        <w:t xml:space="preserve">. Available at: https://www.england.nhs.uk/2019/01/long-term-plan/. </w:t>
      </w:r>
    </w:p>
    <w:p w14:paraId="750AF0E2" w14:textId="77777777" w:rsidR="002F0800" w:rsidRDefault="002F0800" w:rsidP="002F0800">
      <w:pPr>
        <w:spacing w:after="120" w:line="360" w:lineRule="auto"/>
        <w:rPr>
          <w:rFonts w:ascii="Arial" w:hAnsi="Arial" w:cs="Arial"/>
          <w:sz w:val="22"/>
          <w:szCs w:val="22"/>
        </w:rPr>
      </w:pPr>
      <w:r w:rsidRPr="002F0800">
        <w:rPr>
          <w:rFonts w:ascii="Arial" w:hAnsi="Arial" w:cs="Arial"/>
          <w:sz w:val="22"/>
          <w:szCs w:val="22"/>
        </w:rPr>
        <w:t>Glasby, J. (2017). </w:t>
      </w:r>
      <w:r w:rsidRPr="002F0800">
        <w:rPr>
          <w:rFonts w:ascii="Arial" w:hAnsi="Arial" w:cs="Arial"/>
          <w:i/>
          <w:iCs/>
          <w:sz w:val="22"/>
          <w:szCs w:val="22"/>
        </w:rPr>
        <w:t>Partnership working in health and social care</w:t>
      </w:r>
      <w:r w:rsidRPr="002F0800">
        <w:rPr>
          <w:rFonts w:ascii="Arial" w:hAnsi="Arial" w:cs="Arial"/>
          <w:sz w:val="22"/>
          <w:szCs w:val="22"/>
        </w:rPr>
        <w:t> (pp. 71-94). Policy Press.</w:t>
      </w:r>
    </w:p>
    <w:p w14:paraId="3FC7FB33"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i/>
          <w:iCs/>
          <w:sz w:val="22"/>
          <w:szCs w:val="22"/>
        </w:rPr>
        <w:t>Implement NDG guidance</w:t>
      </w:r>
      <w:r w:rsidRPr="002F0800">
        <w:rPr>
          <w:rFonts w:ascii="Arial" w:hAnsi="Arial" w:cs="Arial"/>
          <w:sz w:val="22"/>
          <w:szCs w:val="22"/>
        </w:rPr>
        <w:t xml:space="preserve"> (2020) </w:t>
      </w:r>
      <w:r w:rsidRPr="002F0800">
        <w:rPr>
          <w:rFonts w:ascii="Arial" w:hAnsi="Arial" w:cs="Arial"/>
          <w:i/>
          <w:iCs/>
          <w:sz w:val="22"/>
          <w:szCs w:val="22"/>
        </w:rPr>
        <w:t>UKCGC</w:t>
      </w:r>
      <w:r w:rsidRPr="002F0800">
        <w:rPr>
          <w:rFonts w:ascii="Arial" w:hAnsi="Arial" w:cs="Arial"/>
          <w:sz w:val="22"/>
          <w:szCs w:val="22"/>
        </w:rPr>
        <w:t xml:space="preserve">. Available at: https://www.ukcgc.uk/implement-ndg-guidance#:~:text=In%202020%2C%20the%20NDG%20held,be%20effective%20in%20their%20work. </w:t>
      </w:r>
    </w:p>
    <w:p w14:paraId="75FC98FC" w14:textId="77777777" w:rsidR="002F0800" w:rsidRDefault="002F0800" w:rsidP="002F0800">
      <w:pPr>
        <w:spacing w:after="120" w:line="360" w:lineRule="auto"/>
        <w:rPr>
          <w:rFonts w:ascii="Arial" w:hAnsi="Arial" w:cs="Arial"/>
          <w:sz w:val="22"/>
          <w:szCs w:val="22"/>
        </w:rPr>
      </w:pPr>
      <w:r w:rsidRPr="002F0800">
        <w:rPr>
          <w:rFonts w:ascii="Arial" w:hAnsi="Arial" w:cs="Arial"/>
          <w:sz w:val="22"/>
          <w:szCs w:val="22"/>
        </w:rPr>
        <w:t>Nursing and Midwifery Council (Great Britain). (2018). </w:t>
      </w:r>
      <w:r w:rsidRPr="002F0800">
        <w:rPr>
          <w:rFonts w:ascii="Arial" w:hAnsi="Arial" w:cs="Arial"/>
          <w:i/>
          <w:iCs/>
          <w:sz w:val="22"/>
          <w:szCs w:val="22"/>
        </w:rPr>
        <w:t>The code: professional standards of practice and behaviour for nurses, midwives and nursing associates</w:t>
      </w:r>
      <w:r w:rsidRPr="002F0800">
        <w:rPr>
          <w:rFonts w:ascii="Arial" w:hAnsi="Arial" w:cs="Arial"/>
          <w:sz w:val="22"/>
          <w:szCs w:val="22"/>
        </w:rPr>
        <w:t>. NMC.</w:t>
      </w:r>
    </w:p>
    <w:p w14:paraId="7685E3FE"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i/>
          <w:iCs/>
          <w:sz w:val="22"/>
          <w:szCs w:val="22"/>
        </w:rPr>
        <w:t>Our new assessment approach: Update December 2023</w:t>
      </w:r>
      <w:r w:rsidRPr="002F0800">
        <w:rPr>
          <w:rFonts w:ascii="Arial" w:hAnsi="Arial" w:cs="Arial"/>
          <w:sz w:val="22"/>
          <w:szCs w:val="22"/>
        </w:rPr>
        <w:t xml:space="preserve"> (2023) </w:t>
      </w:r>
      <w:r w:rsidRPr="002F0800">
        <w:rPr>
          <w:rFonts w:ascii="Arial" w:hAnsi="Arial" w:cs="Arial"/>
          <w:i/>
          <w:iCs/>
          <w:sz w:val="22"/>
          <w:szCs w:val="22"/>
        </w:rPr>
        <w:t>Our new assessment approach: update December 2023 - Care Quality Commission</w:t>
      </w:r>
      <w:r w:rsidRPr="002F0800">
        <w:rPr>
          <w:rFonts w:ascii="Arial" w:hAnsi="Arial" w:cs="Arial"/>
          <w:sz w:val="22"/>
          <w:szCs w:val="22"/>
        </w:rPr>
        <w:t xml:space="preserve">. Available at: https://www.cqc.org.uk/news/our-new-assessment-approach-update-december-2023. </w:t>
      </w:r>
    </w:p>
    <w:p w14:paraId="09888F92"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Participation, E. (2010) </w:t>
      </w:r>
      <w:r w:rsidRPr="002F0800">
        <w:rPr>
          <w:rFonts w:ascii="Arial" w:hAnsi="Arial" w:cs="Arial"/>
          <w:i/>
          <w:iCs/>
          <w:sz w:val="22"/>
          <w:szCs w:val="22"/>
        </w:rPr>
        <w:t>Equality act 2010</w:t>
      </w:r>
      <w:r w:rsidRPr="002F0800">
        <w:rPr>
          <w:rFonts w:ascii="Arial" w:hAnsi="Arial" w:cs="Arial"/>
          <w:sz w:val="22"/>
          <w:szCs w:val="22"/>
        </w:rPr>
        <w:t xml:space="preserve">, </w:t>
      </w:r>
      <w:r w:rsidRPr="002F0800">
        <w:rPr>
          <w:rFonts w:ascii="Arial" w:hAnsi="Arial" w:cs="Arial"/>
          <w:i/>
          <w:iCs/>
          <w:sz w:val="22"/>
          <w:szCs w:val="22"/>
        </w:rPr>
        <w:t>Legislation.gov.uk</w:t>
      </w:r>
      <w:r w:rsidRPr="002F0800">
        <w:rPr>
          <w:rFonts w:ascii="Arial" w:hAnsi="Arial" w:cs="Arial"/>
          <w:sz w:val="22"/>
          <w:szCs w:val="22"/>
        </w:rPr>
        <w:t xml:space="preserve">. Available at: https://www.legislation.gov.uk/ukpga/2010/15/contents. </w:t>
      </w:r>
    </w:p>
    <w:p w14:paraId="56F89719" w14:textId="77777777" w:rsidR="002F0800" w:rsidRP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Participation, E. (2018) </w:t>
      </w:r>
      <w:r w:rsidRPr="002F0800">
        <w:rPr>
          <w:rFonts w:ascii="Arial" w:hAnsi="Arial" w:cs="Arial"/>
          <w:i/>
          <w:iCs/>
          <w:sz w:val="22"/>
          <w:szCs w:val="22"/>
        </w:rPr>
        <w:t>Data protection act 2018</w:t>
      </w:r>
      <w:r w:rsidRPr="002F0800">
        <w:rPr>
          <w:rFonts w:ascii="Arial" w:hAnsi="Arial" w:cs="Arial"/>
          <w:sz w:val="22"/>
          <w:szCs w:val="22"/>
        </w:rPr>
        <w:t xml:space="preserve">, </w:t>
      </w:r>
      <w:r w:rsidRPr="002F0800">
        <w:rPr>
          <w:rFonts w:ascii="Arial" w:hAnsi="Arial" w:cs="Arial"/>
          <w:i/>
          <w:iCs/>
          <w:sz w:val="22"/>
          <w:szCs w:val="22"/>
        </w:rPr>
        <w:t>Legislation.gov.uk</w:t>
      </w:r>
      <w:r w:rsidRPr="002F0800">
        <w:rPr>
          <w:rFonts w:ascii="Arial" w:hAnsi="Arial" w:cs="Arial"/>
          <w:sz w:val="22"/>
          <w:szCs w:val="22"/>
        </w:rPr>
        <w:t xml:space="preserve">. Available at: https://www.legislation.gov.uk/ukpga/2018/12/contents. </w:t>
      </w:r>
    </w:p>
    <w:p w14:paraId="19C989BA" w14:textId="77777777" w:rsidR="002F0800" w:rsidRDefault="002F0800" w:rsidP="002F0800">
      <w:pPr>
        <w:spacing w:after="120" w:line="360" w:lineRule="auto"/>
        <w:rPr>
          <w:rFonts w:ascii="Arial" w:hAnsi="Arial" w:cs="Arial"/>
          <w:sz w:val="22"/>
          <w:szCs w:val="22"/>
        </w:rPr>
      </w:pPr>
      <w:r w:rsidRPr="002F0800">
        <w:rPr>
          <w:rFonts w:ascii="Arial" w:hAnsi="Arial" w:cs="Arial"/>
          <w:sz w:val="22"/>
          <w:szCs w:val="22"/>
        </w:rPr>
        <w:t xml:space="preserve">Reeves, S., </w:t>
      </w:r>
      <w:proofErr w:type="spellStart"/>
      <w:r w:rsidRPr="002F0800">
        <w:rPr>
          <w:rFonts w:ascii="Arial" w:hAnsi="Arial" w:cs="Arial"/>
          <w:sz w:val="22"/>
          <w:szCs w:val="22"/>
        </w:rPr>
        <w:t>Pelone</w:t>
      </w:r>
      <w:proofErr w:type="spellEnd"/>
      <w:r w:rsidRPr="002F0800">
        <w:rPr>
          <w:rFonts w:ascii="Arial" w:hAnsi="Arial" w:cs="Arial"/>
          <w:sz w:val="22"/>
          <w:szCs w:val="22"/>
        </w:rPr>
        <w:t xml:space="preserve">, F., Harrison, R., Goldman, J., </w:t>
      </w:r>
      <w:proofErr w:type="spellStart"/>
      <w:r w:rsidRPr="002F0800">
        <w:rPr>
          <w:rFonts w:ascii="Arial" w:hAnsi="Arial" w:cs="Arial"/>
          <w:sz w:val="22"/>
          <w:szCs w:val="22"/>
        </w:rPr>
        <w:t>Zwarenstein</w:t>
      </w:r>
      <w:proofErr w:type="spellEnd"/>
      <w:r w:rsidRPr="002F0800">
        <w:rPr>
          <w:rFonts w:ascii="Arial" w:hAnsi="Arial" w:cs="Arial"/>
          <w:sz w:val="22"/>
          <w:szCs w:val="22"/>
        </w:rPr>
        <w:t>, M., &amp; Cochrane Effective Practice and Organisation of Care Group. (1996). Interprofessional collaboration to improve professional practice and healthcare outcomes. </w:t>
      </w:r>
      <w:r w:rsidRPr="002F0800">
        <w:rPr>
          <w:rFonts w:ascii="Arial" w:hAnsi="Arial" w:cs="Arial"/>
          <w:i/>
          <w:iCs/>
          <w:sz w:val="22"/>
          <w:szCs w:val="22"/>
        </w:rPr>
        <w:t>Cochrane database of systematic reviews</w:t>
      </w:r>
      <w:r w:rsidRPr="002F0800">
        <w:rPr>
          <w:rFonts w:ascii="Arial" w:hAnsi="Arial" w:cs="Arial"/>
          <w:sz w:val="22"/>
          <w:szCs w:val="22"/>
        </w:rPr>
        <w:t>, </w:t>
      </w:r>
      <w:r w:rsidRPr="002F0800">
        <w:rPr>
          <w:rFonts w:ascii="Arial" w:hAnsi="Arial" w:cs="Arial"/>
          <w:i/>
          <w:iCs/>
          <w:sz w:val="22"/>
          <w:szCs w:val="22"/>
        </w:rPr>
        <w:t>2018</w:t>
      </w:r>
      <w:r w:rsidRPr="002F0800">
        <w:rPr>
          <w:rFonts w:ascii="Arial" w:hAnsi="Arial" w:cs="Arial"/>
          <w:sz w:val="22"/>
          <w:szCs w:val="22"/>
        </w:rPr>
        <w:t>(8).</w:t>
      </w:r>
    </w:p>
    <w:p w14:paraId="63B570C5" w14:textId="77777777" w:rsidR="002F0800" w:rsidRDefault="002F0800" w:rsidP="002F0800">
      <w:pPr>
        <w:spacing w:after="120" w:line="360" w:lineRule="auto"/>
        <w:rPr>
          <w:rFonts w:ascii="Arial" w:hAnsi="Arial" w:cs="Arial"/>
          <w:sz w:val="22"/>
          <w:szCs w:val="22"/>
        </w:rPr>
      </w:pPr>
      <w:r w:rsidRPr="002F0800">
        <w:rPr>
          <w:rFonts w:ascii="Arial" w:hAnsi="Arial" w:cs="Arial"/>
          <w:sz w:val="22"/>
          <w:szCs w:val="22"/>
        </w:rPr>
        <w:t>Tingle, J., &amp; Cribb, A. (Eds.). (2013). </w:t>
      </w:r>
      <w:r w:rsidRPr="002F0800">
        <w:rPr>
          <w:rFonts w:ascii="Arial" w:hAnsi="Arial" w:cs="Arial"/>
          <w:i/>
          <w:iCs/>
          <w:sz w:val="22"/>
          <w:szCs w:val="22"/>
        </w:rPr>
        <w:t>Nursing law and ethics</w:t>
      </w:r>
      <w:r w:rsidRPr="002F0800">
        <w:rPr>
          <w:rFonts w:ascii="Arial" w:hAnsi="Arial" w:cs="Arial"/>
          <w:sz w:val="22"/>
          <w:szCs w:val="22"/>
        </w:rPr>
        <w:t>. John Wiley &amp; Sons.</w:t>
      </w:r>
    </w:p>
    <w:p w14:paraId="72ADD6EF" w14:textId="77777777" w:rsidR="002F0800" w:rsidRPr="002F0800" w:rsidRDefault="002F0800" w:rsidP="002F0800">
      <w:pPr>
        <w:spacing w:after="120" w:line="360" w:lineRule="auto"/>
        <w:rPr>
          <w:rFonts w:ascii="Arial" w:hAnsi="Arial" w:cs="Arial"/>
          <w:sz w:val="22"/>
          <w:szCs w:val="22"/>
        </w:rPr>
      </w:pPr>
    </w:p>
    <w:sectPr w:rsidR="002F0800" w:rsidRPr="002F0800" w:rsidSect="002F0800">
      <w:pgSz w:w="11906" w:h="16838"/>
      <w:pgMar w:top="1440" w:right="1440" w:bottom="1440" w:left="1440" w:header="708" w:footer="708" w:gutter="0"/>
      <w:pgBorders w:display="firstPage"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800"/>
    <w:rsid w:val="002F0800"/>
    <w:rsid w:val="00AF0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FF232"/>
  <w15:chartTrackingRefBased/>
  <w15:docId w15:val="{32EA4542-1851-A142-B2C8-0FDAF3FA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8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08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08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8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08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08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8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8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8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8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08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08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8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8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8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8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8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800"/>
    <w:rPr>
      <w:rFonts w:eastAsiaTheme="majorEastAsia" w:cstheme="majorBidi"/>
      <w:color w:val="272727" w:themeColor="text1" w:themeTint="D8"/>
    </w:rPr>
  </w:style>
  <w:style w:type="paragraph" w:styleId="Title">
    <w:name w:val="Title"/>
    <w:basedOn w:val="Normal"/>
    <w:next w:val="Normal"/>
    <w:link w:val="TitleChar"/>
    <w:uiPriority w:val="10"/>
    <w:qFormat/>
    <w:rsid w:val="002F08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8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8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800"/>
    <w:pPr>
      <w:spacing w:before="160"/>
      <w:jc w:val="center"/>
    </w:pPr>
    <w:rPr>
      <w:i/>
      <w:iCs/>
      <w:color w:val="404040" w:themeColor="text1" w:themeTint="BF"/>
    </w:rPr>
  </w:style>
  <w:style w:type="character" w:customStyle="1" w:styleId="QuoteChar">
    <w:name w:val="Quote Char"/>
    <w:basedOn w:val="DefaultParagraphFont"/>
    <w:link w:val="Quote"/>
    <w:uiPriority w:val="29"/>
    <w:rsid w:val="002F0800"/>
    <w:rPr>
      <w:i/>
      <w:iCs/>
      <w:color w:val="404040" w:themeColor="text1" w:themeTint="BF"/>
    </w:rPr>
  </w:style>
  <w:style w:type="paragraph" w:styleId="ListParagraph">
    <w:name w:val="List Paragraph"/>
    <w:basedOn w:val="Normal"/>
    <w:uiPriority w:val="34"/>
    <w:qFormat/>
    <w:rsid w:val="002F0800"/>
    <w:pPr>
      <w:ind w:left="720"/>
      <w:contextualSpacing/>
    </w:pPr>
  </w:style>
  <w:style w:type="character" w:styleId="IntenseEmphasis">
    <w:name w:val="Intense Emphasis"/>
    <w:basedOn w:val="DefaultParagraphFont"/>
    <w:uiPriority w:val="21"/>
    <w:qFormat/>
    <w:rsid w:val="002F0800"/>
    <w:rPr>
      <w:i/>
      <w:iCs/>
      <w:color w:val="0F4761" w:themeColor="accent1" w:themeShade="BF"/>
    </w:rPr>
  </w:style>
  <w:style w:type="paragraph" w:styleId="IntenseQuote">
    <w:name w:val="Intense Quote"/>
    <w:basedOn w:val="Normal"/>
    <w:next w:val="Normal"/>
    <w:link w:val="IntenseQuoteChar"/>
    <w:uiPriority w:val="30"/>
    <w:qFormat/>
    <w:rsid w:val="002F08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800"/>
    <w:rPr>
      <w:i/>
      <w:iCs/>
      <w:color w:val="0F4761" w:themeColor="accent1" w:themeShade="BF"/>
    </w:rPr>
  </w:style>
  <w:style w:type="character" w:styleId="IntenseReference">
    <w:name w:val="Intense Reference"/>
    <w:basedOn w:val="DefaultParagraphFont"/>
    <w:uiPriority w:val="32"/>
    <w:qFormat/>
    <w:rsid w:val="002F0800"/>
    <w:rPr>
      <w:b/>
      <w:bCs/>
      <w:smallCaps/>
      <w:color w:val="0F4761" w:themeColor="accent1" w:themeShade="BF"/>
      <w:spacing w:val="5"/>
    </w:rPr>
  </w:style>
  <w:style w:type="paragraph" w:styleId="TOCHeading">
    <w:name w:val="TOC Heading"/>
    <w:basedOn w:val="Heading1"/>
    <w:next w:val="Normal"/>
    <w:uiPriority w:val="39"/>
    <w:unhideWhenUsed/>
    <w:qFormat/>
    <w:rsid w:val="002F080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F0800"/>
    <w:pPr>
      <w:spacing w:before="120" w:after="0"/>
    </w:pPr>
    <w:rPr>
      <w:b/>
      <w:bCs/>
      <w:i/>
      <w:iCs/>
    </w:rPr>
  </w:style>
  <w:style w:type="paragraph" w:styleId="TOC2">
    <w:name w:val="toc 2"/>
    <w:basedOn w:val="Normal"/>
    <w:next w:val="Normal"/>
    <w:autoRedefine/>
    <w:uiPriority w:val="39"/>
    <w:unhideWhenUsed/>
    <w:rsid w:val="002F0800"/>
    <w:pPr>
      <w:spacing w:before="120" w:after="0"/>
      <w:ind w:left="240"/>
    </w:pPr>
    <w:rPr>
      <w:b/>
      <w:bCs/>
      <w:sz w:val="22"/>
      <w:szCs w:val="22"/>
    </w:rPr>
  </w:style>
  <w:style w:type="character" w:styleId="Hyperlink">
    <w:name w:val="Hyperlink"/>
    <w:basedOn w:val="DefaultParagraphFont"/>
    <w:uiPriority w:val="99"/>
    <w:unhideWhenUsed/>
    <w:rsid w:val="002F0800"/>
    <w:rPr>
      <w:color w:val="467886" w:themeColor="hyperlink"/>
      <w:u w:val="single"/>
    </w:rPr>
  </w:style>
  <w:style w:type="paragraph" w:styleId="TOC3">
    <w:name w:val="toc 3"/>
    <w:basedOn w:val="Normal"/>
    <w:next w:val="Normal"/>
    <w:autoRedefine/>
    <w:uiPriority w:val="39"/>
    <w:semiHidden/>
    <w:unhideWhenUsed/>
    <w:rsid w:val="002F0800"/>
    <w:pPr>
      <w:spacing w:after="0"/>
      <w:ind w:left="480"/>
    </w:pPr>
    <w:rPr>
      <w:sz w:val="20"/>
      <w:szCs w:val="20"/>
    </w:rPr>
  </w:style>
  <w:style w:type="paragraph" w:styleId="TOC4">
    <w:name w:val="toc 4"/>
    <w:basedOn w:val="Normal"/>
    <w:next w:val="Normal"/>
    <w:autoRedefine/>
    <w:uiPriority w:val="39"/>
    <w:semiHidden/>
    <w:unhideWhenUsed/>
    <w:rsid w:val="002F0800"/>
    <w:pPr>
      <w:spacing w:after="0"/>
      <w:ind w:left="720"/>
    </w:pPr>
    <w:rPr>
      <w:sz w:val="20"/>
      <w:szCs w:val="20"/>
    </w:rPr>
  </w:style>
  <w:style w:type="paragraph" w:styleId="TOC5">
    <w:name w:val="toc 5"/>
    <w:basedOn w:val="Normal"/>
    <w:next w:val="Normal"/>
    <w:autoRedefine/>
    <w:uiPriority w:val="39"/>
    <w:semiHidden/>
    <w:unhideWhenUsed/>
    <w:rsid w:val="002F0800"/>
    <w:pPr>
      <w:spacing w:after="0"/>
      <w:ind w:left="960"/>
    </w:pPr>
    <w:rPr>
      <w:sz w:val="20"/>
      <w:szCs w:val="20"/>
    </w:rPr>
  </w:style>
  <w:style w:type="paragraph" w:styleId="TOC6">
    <w:name w:val="toc 6"/>
    <w:basedOn w:val="Normal"/>
    <w:next w:val="Normal"/>
    <w:autoRedefine/>
    <w:uiPriority w:val="39"/>
    <w:semiHidden/>
    <w:unhideWhenUsed/>
    <w:rsid w:val="002F0800"/>
    <w:pPr>
      <w:spacing w:after="0"/>
      <w:ind w:left="1200"/>
    </w:pPr>
    <w:rPr>
      <w:sz w:val="20"/>
      <w:szCs w:val="20"/>
    </w:rPr>
  </w:style>
  <w:style w:type="paragraph" w:styleId="TOC7">
    <w:name w:val="toc 7"/>
    <w:basedOn w:val="Normal"/>
    <w:next w:val="Normal"/>
    <w:autoRedefine/>
    <w:uiPriority w:val="39"/>
    <w:semiHidden/>
    <w:unhideWhenUsed/>
    <w:rsid w:val="002F0800"/>
    <w:pPr>
      <w:spacing w:after="0"/>
      <w:ind w:left="1440"/>
    </w:pPr>
    <w:rPr>
      <w:sz w:val="20"/>
      <w:szCs w:val="20"/>
    </w:rPr>
  </w:style>
  <w:style w:type="paragraph" w:styleId="TOC8">
    <w:name w:val="toc 8"/>
    <w:basedOn w:val="Normal"/>
    <w:next w:val="Normal"/>
    <w:autoRedefine/>
    <w:uiPriority w:val="39"/>
    <w:semiHidden/>
    <w:unhideWhenUsed/>
    <w:rsid w:val="002F0800"/>
    <w:pPr>
      <w:spacing w:after="0"/>
      <w:ind w:left="1680"/>
    </w:pPr>
    <w:rPr>
      <w:sz w:val="20"/>
      <w:szCs w:val="20"/>
    </w:rPr>
  </w:style>
  <w:style w:type="paragraph" w:styleId="TOC9">
    <w:name w:val="toc 9"/>
    <w:basedOn w:val="Normal"/>
    <w:next w:val="Normal"/>
    <w:autoRedefine/>
    <w:uiPriority w:val="39"/>
    <w:semiHidden/>
    <w:unhideWhenUsed/>
    <w:rsid w:val="002F0800"/>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4728">
      <w:bodyDiv w:val="1"/>
      <w:marLeft w:val="0"/>
      <w:marRight w:val="0"/>
      <w:marTop w:val="0"/>
      <w:marBottom w:val="0"/>
      <w:divBdr>
        <w:top w:val="none" w:sz="0" w:space="0" w:color="auto"/>
        <w:left w:val="none" w:sz="0" w:space="0" w:color="auto"/>
        <w:bottom w:val="none" w:sz="0" w:space="0" w:color="auto"/>
        <w:right w:val="none" w:sz="0" w:space="0" w:color="auto"/>
      </w:divBdr>
    </w:div>
    <w:div w:id="36321692">
      <w:bodyDiv w:val="1"/>
      <w:marLeft w:val="0"/>
      <w:marRight w:val="0"/>
      <w:marTop w:val="0"/>
      <w:marBottom w:val="0"/>
      <w:divBdr>
        <w:top w:val="none" w:sz="0" w:space="0" w:color="auto"/>
        <w:left w:val="none" w:sz="0" w:space="0" w:color="auto"/>
        <w:bottom w:val="none" w:sz="0" w:space="0" w:color="auto"/>
        <w:right w:val="none" w:sz="0" w:space="0" w:color="auto"/>
      </w:divBdr>
    </w:div>
    <w:div w:id="149450757">
      <w:bodyDiv w:val="1"/>
      <w:marLeft w:val="0"/>
      <w:marRight w:val="0"/>
      <w:marTop w:val="0"/>
      <w:marBottom w:val="0"/>
      <w:divBdr>
        <w:top w:val="none" w:sz="0" w:space="0" w:color="auto"/>
        <w:left w:val="none" w:sz="0" w:space="0" w:color="auto"/>
        <w:bottom w:val="none" w:sz="0" w:space="0" w:color="auto"/>
        <w:right w:val="none" w:sz="0" w:space="0" w:color="auto"/>
      </w:divBdr>
    </w:div>
    <w:div w:id="410472285">
      <w:bodyDiv w:val="1"/>
      <w:marLeft w:val="0"/>
      <w:marRight w:val="0"/>
      <w:marTop w:val="0"/>
      <w:marBottom w:val="0"/>
      <w:divBdr>
        <w:top w:val="none" w:sz="0" w:space="0" w:color="auto"/>
        <w:left w:val="none" w:sz="0" w:space="0" w:color="auto"/>
        <w:bottom w:val="none" w:sz="0" w:space="0" w:color="auto"/>
        <w:right w:val="none" w:sz="0" w:space="0" w:color="auto"/>
      </w:divBdr>
    </w:div>
    <w:div w:id="515578072">
      <w:bodyDiv w:val="1"/>
      <w:marLeft w:val="0"/>
      <w:marRight w:val="0"/>
      <w:marTop w:val="0"/>
      <w:marBottom w:val="0"/>
      <w:divBdr>
        <w:top w:val="none" w:sz="0" w:space="0" w:color="auto"/>
        <w:left w:val="none" w:sz="0" w:space="0" w:color="auto"/>
        <w:bottom w:val="none" w:sz="0" w:space="0" w:color="auto"/>
        <w:right w:val="none" w:sz="0" w:space="0" w:color="auto"/>
      </w:divBdr>
    </w:div>
    <w:div w:id="1022173718">
      <w:bodyDiv w:val="1"/>
      <w:marLeft w:val="0"/>
      <w:marRight w:val="0"/>
      <w:marTop w:val="0"/>
      <w:marBottom w:val="0"/>
      <w:divBdr>
        <w:top w:val="none" w:sz="0" w:space="0" w:color="auto"/>
        <w:left w:val="none" w:sz="0" w:space="0" w:color="auto"/>
        <w:bottom w:val="none" w:sz="0" w:space="0" w:color="auto"/>
        <w:right w:val="none" w:sz="0" w:space="0" w:color="auto"/>
      </w:divBdr>
    </w:div>
    <w:div w:id="1071658920">
      <w:bodyDiv w:val="1"/>
      <w:marLeft w:val="0"/>
      <w:marRight w:val="0"/>
      <w:marTop w:val="0"/>
      <w:marBottom w:val="0"/>
      <w:divBdr>
        <w:top w:val="none" w:sz="0" w:space="0" w:color="auto"/>
        <w:left w:val="none" w:sz="0" w:space="0" w:color="auto"/>
        <w:bottom w:val="none" w:sz="0" w:space="0" w:color="auto"/>
        <w:right w:val="none" w:sz="0" w:space="0" w:color="auto"/>
      </w:divBdr>
    </w:div>
    <w:div w:id="1455829697">
      <w:bodyDiv w:val="1"/>
      <w:marLeft w:val="0"/>
      <w:marRight w:val="0"/>
      <w:marTop w:val="0"/>
      <w:marBottom w:val="0"/>
      <w:divBdr>
        <w:top w:val="none" w:sz="0" w:space="0" w:color="auto"/>
        <w:left w:val="none" w:sz="0" w:space="0" w:color="auto"/>
        <w:bottom w:val="none" w:sz="0" w:space="0" w:color="auto"/>
        <w:right w:val="none" w:sz="0" w:space="0" w:color="auto"/>
      </w:divBdr>
    </w:div>
    <w:div w:id="1852185764">
      <w:bodyDiv w:val="1"/>
      <w:marLeft w:val="0"/>
      <w:marRight w:val="0"/>
      <w:marTop w:val="0"/>
      <w:marBottom w:val="0"/>
      <w:divBdr>
        <w:top w:val="none" w:sz="0" w:space="0" w:color="auto"/>
        <w:left w:val="none" w:sz="0" w:space="0" w:color="auto"/>
        <w:bottom w:val="none" w:sz="0" w:space="0" w:color="auto"/>
        <w:right w:val="none" w:sz="0" w:space="0" w:color="auto"/>
      </w:divBdr>
    </w:div>
    <w:div w:id="1863013063">
      <w:bodyDiv w:val="1"/>
      <w:marLeft w:val="0"/>
      <w:marRight w:val="0"/>
      <w:marTop w:val="0"/>
      <w:marBottom w:val="0"/>
      <w:divBdr>
        <w:top w:val="none" w:sz="0" w:space="0" w:color="auto"/>
        <w:left w:val="none" w:sz="0" w:space="0" w:color="auto"/>
        <w:bottom w:val="none" w:sz="0" w:space="0" w:color="auto"/>
        <w:right w:val="none" w:sz="0" w:space="0" w:color="auto"/>
      </w:divBdr>
    </w:div>
    <w:div w:id="1904095112">
      <w:bodyDiv w:val="1"/>
      <w:marLeft w:val="0"/>
      <w:marRight w:val="0"/>
      <w:marTop w:val="0"/>
      <w:marBottom w:val="0"/>
      <w:divBdr>
        <w:top w:val="none" w:sz="0" w:space="0" w:color="auto"/>
        <w:left w:val="none" w:sz="0" w:space="0" w:color="auto"/>
        <w:bottom w:val="none" w:sz="0" w:space="0" w:color="auto"/>
        <w:right w:val="none" w:sz="0" w:space="0" w:color="auto"/>
      </w:divBdr>
    </w:div>
    <w:div w:id="192186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2C95A-902B-394E-9BD6-DA760721F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1857</Words>
  <Characters>10588</Characters>
  <Application>Microsoft Office Word</Application>
  <DocSecurity>0</DocSecurity>
  <Lines>88</Lines>
  <Paragraphs>24</Paragraphs>
  <ScaleCrop>false</ScaleCrop>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Petrunescu</dc:creator>
  <cp:keywords/>
  <dc:description/>
  <cp:lastModifiedBy>Oana Petrunescu</cp:lastModifiedBy>
  <cp:revision>1</cp:revision>
  <dcterms:created xsi:type="dcterms:W3CDTF">2026-03-11T12:32:00Z</dcterms:created>
  <dcterms:modified xsi:type="dcterms:W3CDTF">2026-03-11T13:09:00Z</dcterms:modified>
</cp:coreProperties>
</file>