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B40B86" w14:textId="77777777" w:rsidR="00BD234D" w:rsidRPr="006177FA" w:rsidRDefault="00BD234D" w:rsidP="00BD234D">
      <w:pPr>
        <w:spacing w:line="360" w:lineRule="auto"/>
        <w:rPr>
          <w:rFonts w:cstheme="minorHAnsi"/>
          <w:b/>
          <w:sz w:val="24"/>
          <w:szCs w:val="24"/>
          <w:u w:val="single"/>
          <w:shd w:val="clear" w:color="auto" w:fill="FFFFFF"/>
        </w:rPr>
      </w:pPr>
      <w:r w:rsidRPr="006177FA">
        <w:rPr>
          <w:rFonts w:cstheme="minorHAnsi"/>
          <w:b/>
          <w:sz w:val="24"/>
          <w:szCs w:val="24"/>
          <w:u w:val="single"/>
          <w:shd w:val="clear" w:color="auto" w:fill="FFFFFF"/>
        </w:rPr>
        <w:t>References</w:t>
      </w:r>
    </w:p>
    <w:p w14:paraId="552AE4AD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Avis, J, Fisher, R and Thompson, R (2015) Teaching in Lifelong Learning. 2</w:t>
      </w:r>
      <w:r w:rsidRPr="00D338AE">
        <w:rPr>
          <w:rFonts w:cstheme="minorHAnsi"/>
          <w:sz w:val="24"/>
          <w:szCs w:val="24"/>
          <w:shd w:val="clear" w:color="auto" w:fill="FFFFFF"/>
          <w:vertAlign w:val="superscript"/>
        </w:rPr>
        <w:t>nd</w:t>
      </w:r>
      <w:r>
        <w:rPr>
          <w:rFonts w:cstheme="minorHAnsi"/>
          <w:sz w:val="24"/>
          <w:szCs w:val="24"/>
          <w:shd w:val="clear" w:color="auto" w:fill="FFFFFF"/>
        </w:rPr>
        <w:t xml:space="preserve"> edn. Maidenhead: Open University Press.</w:t>
      </w:r>
    </w:p>
    <w:p w14:paraId="6993A83F" w14:textId="77777777" w:rsidR="00BD234D" w:rsidRDefault="00BD234D" w:rsidP="00BD234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Averill, J.R in Bar-on, R and Parker, J.D.A. (Edited by) (2000) The Handbook of Emotional Intelligence. United States of America: Jossey Bass.</w:t>
      </w:r>
    </w:p>
    <w:p w14:paraId="60AA6C33" w14:textId="77777777" w:rsidR="00BD234D" w:rsidRPr="00942016" w:rsidRDefault="00BD234D" w:rsidP="00BD234D">
      <w:pPr>
        <w:spacing w:line="276" w:lineRule="auto"/>
        <w:rPr>
          <w:sz w:val="24"/>
          <w:szCs w:val="24"/>
        </w:rPr>
      </w:pPr>
      <w:r w:rsidRPr="00942016">
        <w:rPr>
          <w:sz w:val="24"/>
          <w:szCs w:val="24"/>
        </w:rPr>
        <w:t xml:space="preserve">Bar-on, R </w:t>
      </w:r>
      <w:bookmarkStart w:id="0" w:name="_Hlk491258053"/>
      <w:r w:rsidRPr="00942016">
        <w:rPr>
          <w:sz w:val="24"/>
          <w:szCs w:val="24"/>
        </w:rPr>
        <w:t>in Bar-on, R and Parker, J.D.A. (Edited by) (2000) The Handbook of Emotional Intelligence. United States of America: Jossey Bass.</w:t>
      </w:r>
    </w:p>
    <w:bookmarkEnd w:id="0"/>
    <w:p w14:paraId="0505CF46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Campbell, A and Norton, L (2007) Learning Teaching and Assessing in Higher Education: Developing Reflective Practice. Exeter: Learning Matters Ltd.</w:t>
      </w:r>
    </w:p>
    <w:p w14:paraId="4AED75BD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Coffield, F. (2005) Learning styles: Help or Hinderance? London: Institute of Education.</w:t>
      </w:r>
    </w:p>
    <w:p w14:paraId="12CAAE2D" w14:textId="77777777" w:rsidR="00BD234D" w:rsidRDefault="00BD234D" w:rsidP="00BD234D">
      <w:pPr>
        <w:spacing w:line="276" w:lineRule="auto"/>
        <w:rPr>
          <w:sz w:val="24"/>
          <w:szCs w:val="24"/>
        </w:rPr>
      </w:pPr>
      <w:r w:rsidRPr="00942016">
        <w:rPr>
          <w:sz w:val="24"/>
          <w:szCs w:val="24"/>
        </w:rPr>
        <w:t>Cottrell, S (2015) Skills for Success: Personal Development and Employability. (3</w:t>
      </w:r>
      <w:r w:rsidRPr="00942016">
        <w:rPr>
          <w:sz w:val="24"/>
          <w:szCs w:val="24"/>
          <w:vertAlign w:val="superscript"/>
        </w:rPr>
        <w:t>rd</w:t>
      </w:r>
      <w:r w:rsidRPr="00942016">
        <w:rPr>
          <w:sz w:val="24"/>
          <w:szCs w:val="24"/>
        </w:rPr>
        <w:t xml:space="preserve"> Edition). London: Palgrave MacMillan Education.</w:t>
      </w:r>
    </w:p>
    <w:p w14:paraId="0488B803" w14:textId="77777777" w:rsidR="00BD234D" w:rsidRPr="00942016" w:rsidRDefault="00BD234D" w:rsidP="00BD234D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Cullinford, C. (2007) Creativity and Pupil experience in School. Education 3-13, 35(2): 133-42.</w:t>
      </w:r>
    </w:p>
    <w:p w14:paraId="0C07FF65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Curzon, L.B and Tummons, J. (2015) Teaching In Further Education: An Outline of Principles and Practices. 7</w:t>
      </w:r>
      <w:r w:rsidRPr="00CC4247">
        <w:rPr>
          <w:rFonts w:cstheme="minorHAnsi"/>
          <w:sz w:val="24"/>
          <w:szCs w:val="24"/>
          <w:shd w:val="clear" w:color="auto" w:fill="FFFFFF"/>
          <w:vertAlign w:val="superscript"/>
        </w:rPr>
        <w:t>th</w:t>
      </w:r>
      <w:r>
        <w:rPr>
          <w:rFonts w:cstheme="minorHAnsi"/>
          <w:sz w:val="24"/>
          <w:szCs w:val="24"/>
          <w:shd w:val="clear" w:color="auto" w:fill="FFFFFF"/>
        </w:rPr>
        <w:t xml:space="preserve"> edn. </w:t>
      </w:r>
      <w:r>
        <w:rPr>
          <w:sz w:val="24"/>
          <w:szCs w:val="24"/>
        </w:rPr>
        <w:t>London: Bloomsbury Publishing Plc.</w:t>
      </w:r>
    </w:p>
    <w:p w14:paraId="29DD70ED" w14:textId="77777777" w:rsidR="00BD234D" w:rsidRPr="00942016" w:rsidRDefault="00BD234D" w:rsidP="00BD234D">
      <w:pPr>
        <w:spacing w:line="276" w:lineRule="auto"/>
        <w:rPr>
          <w:sz w:val="24"/>
          <w:szCs w:val="24"/>
        </w:rPr>
      </w:pPr>
      <w:bookmarkStart w:id="1" w:name="_Hlk494209818"/>
      <w:r w:rsidRPr="00942016">
        <w:rPr>
          <w:sz w:val="24"/>
          <w:szCs w:val="24"/>
        </w:rPr>
        <w:t>De Bono, E (1970) Lateral Thinking</w:t>
      </w:r>
      <w:bookmarkEnd w:id="1"/>
      <w:r w:rsidRPr="00942016">
        <w:rPr>
          <w:sz w:val="24"/>
          <w:szCs w:val="24"/>
        </w:rPr>
        <w:t>. New York: Harper Row</w:t>
      </w:r>
    </w:p>
    <w:p w14:paraId="2F420685" w14:textId="77777777" w:rsidR="00BD234D" w:rsidRDefault="00BD234D" w:rsidP="00BD234D">
      <w:pPr>
        <w:spacing w:line="276" w:lineRule="auto"/>
        <w:rPr>
          <w:sz w:val="24"/>
          <w:szCs w:val="24"/>
        </w:rPr>
      </w:pPr>
      <w:r w:rsidRPr="00942016">
        <w:rPr>
          <w:sz w:val="24"/>
          <w:szCs w:val="24"/>
        </w:rPr>
        <w:t>D</w:t>
      </w:r>
      <w:r>
        <w:rPr>
          <w:sz w:val="24"/>
          <w:szCs w:val="24"/>
        </w:rPr>
        <w:t>e Bono, E (2006) Six Hats</w:t>
      </w:r>
      <w:r w:rsidRPr="00942016">
        <w:rPr>
          <w:sz w:val="24"/>
          <w:szCs w:val="24"/>
        </w:rPr>
        <w:t xml:space="preserve"> Thinking</w:t>
      </w:r>
      <w:r>
        <w:rPr>
          <w:sz w:val="24"/>
          <w:szCs w:val="24"/>
        </w:rPr>
        <w:t>. Harmondsworth: Penguin.</w:t>
      </w:r>
    </w:p>
    <w:p w14:paraId="1300EEAA" w14:textId="77777777" w:rsidR="00BD234D" w:rsidRPr="00D47779" w:rsidRDefault="00BD234D" w:rsidP="00BD234D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Denby, N (2015) </w:t>
      </w:r>
      <w:r w:rsidRPr="00D47779">
        <w:rPr>
          <w:rFonts w:cstheme="minorHAnsi"/>
          <w:sz w:val="24"/>
          <w:szCs w:val="24"/>
          <w:shd w:val="clear" w:color="auto" w:fill="FFFFFF"/>
        </w:rPr>
        <w:t>Training to teach: a guide for student. Thousand Oaks, CA : SAGE Publications</w:t>
      </w:r>
    </w:p>
    <w:p w14:paraId="25D0BB23" w14:textId="77777777" w:rsidR="00BD234D" w:rsidRPr="00942016" w:rsidRDefault="00BD234D" w:rsidP="00BD234D">
      <w:pPr>
        <w:spacing w:line="276" w:lineRule="auto"/>
        <w:rPr>
          <w:sz w:val="24"/>
          <w:szCs w:val="24"/>
        </w:rPr>
      </w:pPr>
      <w:r w:rsidRPr="00942016">
        <w:rPr>
          <w:sz w:val="24"/>
          <w:szCs w:val="24"/>
        </w:rPr>
        <w:t xml:space="preserve">Gardner, H (1991) </w:t>
      </w:r>
      <w:r>
        <w:rPr>
          <w:sz w:val="24"/>
          <w:szCs w:val="24"/>
        </w:rPr>
        <w:t>Changing Minds: The art and science of changing our own and other people’s minds</w:t>
      </w:r>
      <w:r w:rsidRPr="00942016">
        <w:rPr>
          <w:sz w:val="24"/>
          <w:szCs w:val="24"/>
        </w:rPr>
        <w:t>.</w:t>
      </w:r>
      <w:r>
        <w:rPr>
          <w:sz w:val="24"/>
          <w:szCs w:val="24"/>
        </w:rPr>
        <w:t xml:space="preserve"> Boston: Harvard Business school Press.</w:t>
      </w:r>
      <w:r w:rsidRPr="00942016">
        <w:rPr>
          <w:sz w:val="24"/>
          <w:szCs w:val="24"/>
        </w:rPr>
        <w:t xml:space="preserve"> </w:t>
      </w:r>
    </w:p>
    <w:p w14:paraId="53A7FD36" w14:textId="77777777" w:rsidR="00BD234D" w:rsidRPr="006E51BA" w:rsidRDefault="00BD234D" w:rsidP="00BD234D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Pr="006E51BA">
        <w:rPr>
          <w:sz w:val="24"/>
          <w:szCs w:val="24"/>
        </w:rPr>
        <w:t xml:space="preserve">rancis, </w:t>
      </w:r>
      <w:r>
        <w:rPr>
          <w:sz w:val="24"/>
          <w:szCs w:val="24"/>
        </w:rPr>
        <w:t>M</w:t>
      </w:r>
      <w:r w:rsidRPr="006E51BA">
        <w:rPr>
          <w:sz w:val="24"/>
          <w:szCs w:val="24"/>
        </w:rPr>
        <w:t xml:space="preserve">. and </w:t>
      </w:r>
      <w:r>
        <w:rPr>
          <w:sz w:val="24"/>
          <w:szCs w:val="24"/>
        </w:rPr>
        <w:t>G</w:t>
      </w:r>
      <w:r w:rsidRPr="006E51BA">
        <w:rPr>
          <w:sz w:val="24"/>
          <w:szCs w:val="24"/>
        </w:rPr>
        <w:t xml:space="preserve">ould, </w:t>
      </w:r>
      <w:r>
        <w:rPr>
          <w:sz w:val="24"/>
          <w:szCs w:val="24"/>
        </w:rPr>
        <w:t>J</w:t>
      </w:r>
      <w:r w:rsidRPr="006E51BA">
        <w:rPr>
          <w:sz w:val="24"/>
          <w:szCs w:val="24"/>
        </w:rPr>
        <w:t xml:space="preserve"> .2013.  </w:t>
      </w:r>
      <w:r>
        <w:rPr>
          <w:sz w:val="24"/>
          <w:szCs w:val="24"/>
        </w:rPr>
        <w:t>A</w:t>
      </w:r>
      <w:r w:rsidRPr="006E51BA">
        <w:rPr>
          <w:sz w:val="24"/>
          <w:szCs w:val="24"/>
        </w:rPr>
        <w:t xml:space="preserve">chieving </w:t>
      </w:r>
      <w:r>
        <w:rPr>
          <w:sz w:val="24"/>
          <w:szCs w:val="24"/>
        </w:rPr>
        <w:t>Y</w:t>
      </w:r>
      <w:r w:rsidRPr="006E51BA">
        <w:rPr>
          <w:sz w:val="24"/>
          <w:szCs w:val="24"/>
        </w:rPr>
        <w:t xml:space="preserve">our PTLLS </w:t>
      </w:r>
      <w:r>
        <w:rPr>
          <w:sz w:val="24"/>
          <w:szCs w:val="24"/>
        </w:rPr>
        <w:t>A</w:t>
      </w:r>
      <w:r w:rsidRPr="006E51BA">
        <w:rPr>
          <w:sz w:val="24"/>
          <w:szCs w:val="24"/>
        </w:rPr>
        <w:t>ward. 2</w:t>
      </w:r>
      <w:r w:rsidRPr="006E51BA">
        <w:rPr>
          <w:sz w:val="24"/>
          <w:szCs w:val="24"/>
          <w:vertAlign w:val="superscript"/>
        </w:rPr>
        <w:t xml:space="preserve">nd </w:t>
      </w:r>
      <w:r w:rsidRPr="006E51BA">
        <w:rPr>
          <w:sz w:val="24"/>
          <w:szCs w:val="24"/>
        </w:rPr>
        <w:t xml:space="preserve"> edn.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 xml:space="preserve">ondon: </w:t>
      </w:r>
      <w:r>
        <w:rPr>
          <w:sz w:val="24"/>
          <w:szCs w:val="24"/>
        </w:rPr>
        <w:t>S</w:t>
      </w:r>
      <w:r w:rsidRPr="006E51BA">
        <w:rPr>
          <w:sz w:val="24"/>
          <w:szCs w:val="24"/>
        </w:rPr>
        <w:t xml:space="preserve">age </w:t>
      </w:r>
      <w:r>
        <w:rPr>
          <w:sz w:val="24"/>
          <w:szCs w:val="24"/>
        </w:rPr>
        <w:t>P</w:t>
      </w:r>
      <w:r w:rsidRPr="006E51BA">
        <w:rPr>
          <w:sz w:val="24"/>
          <w:szCs w:val="24"/>
        </w:rPr>
        <w:t xml:space="preserve">ublications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>td.</w:t>
      </w:r>
    </w:p>
    <w:p w14:paraId="6EA9F61A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Fry, H, Ketteridge, S and Marshall, S. (2015) A Handbook For Teaching &amp; Learning In Higher Education. 4</w:t>
      </w:r>
      <w:r w:rsidRPr="005261FF">
        <w:rPr>
          <w:rFonts w:cstheme="minorHAnsi"/>
          <w:sz w:val="24"/>
          <w:szCs w:val="24"/>
          <w:shd w:val="clear" w:color="auto" w:fill="FFFFFF"/>
          <w:vertAlign w:val="superscript"/>
        </w:rPr>
        <w:t>th</w:t>
      </w:r>
      <w:r>
        <w:rPr>
          <w:rFonts w:cstheme="minorHAnsi"/>
          <w:sz w:val="24"/>
          <w:szCs w:val="24"/>
          <w:shd w:val="clear" w:color="auto" w:fill="FFFFFF"/>
        </w:rPr>
        <w:t xml:space="preserve"> edn. London: Routledge.</w:t>
      </w:r>
    </w:p>
    <w:p w14:paraId="09533C75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4220A9">
        <w:rPr>
          <w:rFonts w:cstheme="minorHAnsi"/>
          <w:sz w:val="24"/>
          <w:szCs w:val="24"/>
          <w:shd w:val="clear" w:color="auto" w:fill="FFFFFF"/>
        </w:rPr>
        <w:t>Gibbs, (1981) Teaching students to learn. A Student Centred Approach. Milton Keynes: Open University Press</w:t>
      </w:r>
    </w:p>
    <w:p w14:paraId="59431577" w14:textId="77777777" w:rsidR="00BD234D" w:rsidRPr="00353AD3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sz w:val="24"/>
          <w:szCs w:val="24"/>
        </w:rPr>
        <w:t>G</w:t>
      </w:r>
      <w:r w:rsidRPr="006E51BA">
        <w:rPr>
          <w:sz w:val="24"/>
          <w:szCs w:val="24"/>
        </w:rPr>
        <w:t xml:space="preserve">ravells, </w:t>
      </w:r>
      <w:r>
        <w:rPr>
          <w:sz w:val="24"/>
          <w:szCs w:val="24"/>
        </w:rPr>
        <w:t>A</w:t>
      </w:r>
      <w:r w:rsidRPr="006E51BA">
        <w:rPr>
          <w:sz w:val="24"/>
          <w:szCs w:val="24"/>
        </w:rPr>
        <w:t xml:space="preserve">. 2012.  </w:t>
      </w:r>
      <w:r>
        <w:rPr>
          <w:sz w:val="24"/>
          <w:szCs w:val="24"/>
        </w:rPr>
        <w:t>P</w:t>
      </w:r>
      <w:r w:rsidRPr="006E51BA">
        <w:rPr>
          <w:sz w:val="24"/>
          <w:szCs w:val="24"/>
        </w:rPr>
        <w:t xml:space="preserve">reparing to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 xml:space="preserve">each in the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 xml:space="preserve">ifelong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 xml:space="preserve">earning </w:t>
      </w:r>
      <w:r>
        <w:rPr>
          <w:sz w:val="24"/>
          <w:szCs w:val="24"/>
        </w:rPr>
        <w:t>S</w:t>
      </w:r>
      <w:r w:rsidRPr="006E51BA">
        <w:rPr>
          <w:sz w:val="24"/>
          <w:szCs w:val="24"/>
        </w:rPr>
        <w:t>ector. 5</w:t>
      </w:r>
      <w:r w:rsidRPr="006E51BA">
        <w:rPr>
          <w:sz w:val="24"/>
          <w:szCs w:val="24"/>
          <w:vertAlign w:val="superscript"/>
        </w:rPr>
        <w:t>th</w:t>
      </w:r>
      <w:r w:rsidRPr="006E51BA">
        <w:rPr>
          <w:sz w:val="24"/>
          <w:szCs w:val="24"/>
        </w:rPr>
        <w:t xml:space="preserve"> edn.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 xml:space="preserve">ondon: 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 xml:space="preserve">earning </w:t>
      </w:r>
      <w:r>
        <w:rPr>
          <w:sz w:val="24"/>
          <w:szCs w:val="24"/>
        </w:rPr>
        <w:t>M</w:t>
      </w:r>
      <w:r w:rsidRPr="006E51BA">
        <w:rPr>
          <w:sz w:val="24"/>
          <w:szCs w:val="24"/>
        </w:rPr>
        <w:t xml:space="preserve">atters, </w:t>
      </w:r>
      <w:r>
        <w:rPr>
          <w:sz w:val="24"/>
          <w:szCs w:val="24"/>
        </w:rPr>
        <w:t>S</w:t>
      </w:r>
      <w:r w:rsidRPr="006E51BA">
        <w:rPr>
          <w:sz w:val="24"/>
          <w:szCs w:val="24"/>
        </w:rPr>
        <w:t xml:space="preserve">age </w:t>
      </w:r>
      <w:r>
        <w:rPr>
          <w:sz w:val="24"/>
          <w:szCs w:val="24"/>
        </w:rPr>
        <w:t>P</w:t>
      </w:r>
      <w:r w:rsidRPr="006E51BA">
        <w:rPr>
          <w:sz w:val="24"/>
          <w:szCs w:val="24"/>
        </w:rPr>
        <w:t xml:space="preserve">ublications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>td.</w:t>
      </w:r>
    </w:p>
    <w:p w14:paraId="7D9B6293" w14:textId="77777777" w:rsidR="00BD234D" w:rsidRDefault="00BD234D" w:rsidP="00BD234D">
      <w:pPr>
        <w:rPr>
          <w:sz w:val="24"/>
          <w:szCs w:val="24"/>
        </w:rPr>
      </w:pPr>
      <w:r>
        <w:rPr>
          <w:sz w:val="24"/>
          <w:szCs w:val="24"/>
        </w:rPr>
        <w:lastRenderedPageBreak/>
        <w:t>Gravells, A and Simpson, S (2014) The Certificate in Education and Training. London: Sage Publications Ltd.</w:t>
      </w:r>
    </w:p>
    <w:p w14:paraId="4D219444" w14:textId="77777777" w:rsidR="00BD234D" w:rsidRDefault="00BD234D" w:rsidP="00BD234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Gregson, M and Hillier, Y. (</w:t>
      </w:r>
      <w:r w:rsidRPr="006E51BA">
        <w:rPr>
          <w:sz w:val="24"/>
          <w:szCs w:val="24"/>
        </w:rPr>
        <w:t xml:space="preserve"> </w:t>
      </w:r>
      <w:r>
        <w:rPr>
          <w:sz w:val="24"/>
          <w:szCs w:val="24"/>
        </w:rPr>
        <w:t>2015) reflective teaching in further, adult and vocational education. 4</w:t>
      </w:r>
      <w:r w:rsidRPr="0091796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edn. London: Bloomsbury Publishing Plc.</w:t>
      </w:r>
    </w:p>
    <w:p w14:paraId="1C41E014" w14:textId="77777777" w:rsidR="00BD234D" w:rsidRPr="004220A9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4220A9">
        <w:rPr>
          <w:rFonts w:cstheme="minorHAnsi"/>
          <w:sz w:val="24"/>
          <w:szCs w:val="24"/>
          <w:shd w:val="clear" w:color="auto" w:fill="FFFFFF"/>
        </w:rPr>
        <w:t>Knowles, M. (1984) Andragogy in action. San Francisco: Jossey-Bass.</w:t>
      </w:r>
    </w:p>
    <w:p w14:paraId="263E1DE8" w14:textId="77777777" w:rsidR="00BD234D" w:rsidRPr="006E51BA" w:rsidRDefault="00BD234D" w:rsidP="00BD234D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Pr="006E51BA">
        <w:rPr>
          <w:sz w:val="24"/>
          <w:szCs w:val="24"/>
        </w:rPr>
        <w:t xml:space="preserve">inton, </w:t>
      </w:r>
      <w:r>
        <w:rPr>
          <w:sz w:val="24"/>
          <w:szCs w:val="24"/>
        </w:rPr>
        <w:t>D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(</w:t>
      </w:r>
      <w:r w:rsidRPr="006E51BA">
        <w:rPr>
          <w:sz w:val="24"/>
          <w:szCs w:val="24"/>
        </w:rPr>
        <w:t>2005</w:t>
      </w:r>
      <w:r>
        <w:rPr>
          <w:sz w:val="24"/>
          <w:szCs w:val="24"/>
        </w:rPr>
        <w:t>)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>eaching skills in further and adult education. 3</w:t>
      </w:r>
      <w:r w:rsidRPr="006E51BA">
        <w:rPr>
          <w:sz w:val="24"/>
          <w:szCs w:val="24"/>
          <w:vertAlign w:val="superscript"/>
        </w:rPr>
        <w:t>rd</w:t>
      </w:r>
      <w:r w:rsidRPr="006E51BA">
        <w:rPr>
          <w:sz w:val="24"/>
          <w:szCs w:val="24"/>
        </w:rPr>
        <w:t xml:space="preserve"> edn.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 xml:space="preserve">ondon: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 xml:space="preserve">hompson </w:t>
      </w:r>
      <w:r>
        <w:rPr>
          <w:sz w:val="24"/>
          <w:szCs w:val="24"/>
        </w:rPr>
        <w:t>L</w:t>
      </w:r>
      <w:r w:rsidRPr="006E51BA">
        <w:rPr>
          <w:sz w:val="24"/>
          <w:szCs w:val="24"/>
        </w:rPr>
        <w:t>earning.</w:t>
      </w:r>
    </w:p>
    <w:p w14:paraId="380E216D" w14:textId="77777777" w:rsidR="00BD234D" w:rsidRPr="006E51BA" w:rsidRDefault="00BD234D" w:rsidP="00BD234D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Pr="006E51BA">
        <w:rPr>
          <w:sz w:val="24"/>
          <w:szCs w:val="24"/>
        </w:rPr>
        <w:t xml:space="preserve">etty, </w:t>
      </w:r>
      <w:r>
        <w:rPr>
          <w:sz w:val="24"/>
          <w:szCs w:val="24"/>
        </w:rPr>
        <w:t>G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(</w:t>
      </w:r>
      <w:r w:rsidRPr="006E51BA">
        <w:rPr>
          <w:sz w:val="24"/>
          <w:szCs w:val="24"/>
        </w:rPr>
        <w:t>20</w:t>
      </w:r>
      <w:r>
        <w:rPr>
          <w:sz w:val="24"/>
          <w:szCs w:val="24"/>
        </w:rPr>
        <w:t>14). Evidence Based Teaching. 2</w:t>
      </w:r>
      <w:r w:rsidRPr="006E51BA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Edition. Oxford: Oxford University Press.</w:t>
      </w:r>
    </w:p>
    <w:p w14:paraId="11252BC4" w14:textId="77777777" w:rsidR="00BD234D" w:rsidRDefault="00BD234D" w:rsidP="00BD234D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Pr="006E51BA">
        <w:rPr>
          <w:sz w:val="24"/>
          <w:szCs w:val="24"/>
        </w:rPr>
        <w:t xml:space="preserve">etty, </w:t>
      </w:r>
      <w:r>
        <w:rPr>
          <w:sz w:val="24"/>
          <w:szCs w:val="24"/>
        </w:rPr>
        <w:t>G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(</w:t>
      </w:r>
      <w:r w:rsidRPr="006E51BA">
        <w:rPr>
          <w:sz w:val="24"/>
          <w:szCs w:val="24"/>
        </w:rPr>
        <w:t>20</w:t>
      </w:r>
      <w:r>
        <w:rPr>
          <w:sz w:val="24"/>
          <w:szCs w:val="24"/>
        </w:rPr>
        <w:t>15)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Teaching Today: A Practical Guide T</w:t>
      </w:r>
      <w:r w:rsidRPr="006E51BA">
        <w:rPr>
          <w:sz w:val="24"/>
          <w:szCs w:val="24"/>
        </w:rPr>
        <w:t xml:space="preserve">eaching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 xml:space="preserve">oday. </w:t>
      </w:r>
      <w:r>
        <w:rPr>
          <w:sz w:val="24"/>
          <w:szCs w:val="24"/>
        </w:rPr>
        <w:t>5</w:t>
      </w:r>
      <w:r w:rsidRPr="006E51BA">
        <w:rPr>
          <w:sz w:val="24"/>
          <w:szCs w:val="24"/>
          <w:vertAlign w:val="superscript"/>
        </w:rPr>
        <w:t>th</w:t>
      </w:r>
      <w:r w:rsidRPr="006E51BA">
        <w:rPr>
          <w:sz w:val="24"/>
          <w:szCs w:val="24"/>
        </w:rPr>
        <w:t xml:space="preserve"> edn.</w:t>
      </w:r>
      <w:r>
        <w:rPr>
          <w:sz w:val="24"/>
          <w:szCs w:val="24"/>
        </w:rPr>
        <w:t xml:space="preserve"> Oxford: Oxford University Press</w:t>
      </w:r>
      <w:r w:rsidRPr="006E51BA">
        <w:rPr>
          <w:sz w:val="24"/>
          <w:szCs w:val="24"/>
        </w:rPr>
        <w:t xml:space="preserve"> </w:t>
      </w:r>
    </w:p>
    <w:p w14:paraId="5A0CB786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sz w:val="24"/>
          <w:szCs w:val="24"/>
        </w:rPr>
        <w:t>R</w:t>
      </w:r>
      <w:r w:rsidRPr="006E51BA">
        <w:rPr>
          <w:sz w:val="24"/>
          <w:szCs w:val="24"/>
        </w:rPr>
        <w:t xml:space="preserve">eece, </w:t>
      </w:r>
      <w:r>
        <w:rPr>
          <w:sz w:val="24"/>
          <w:szCs w:val="24"/>
        </w:rPr>
        <w:t>I</w:t>
      </w:r>
      <w:r w:rsidRPr="006E51BA">
        <w:rPr>
          <w:sz w:val="24"/>
          <w:szCs w:val="24"/>
        </w:rPr>
        <w:t xml:space="preserve">. and </w:t>
      </w:r>
      <w:r>
        <w:rPr>
          <w:sz w:val="24"/>
          <w:szCs w:val="24"/>
        </w:rPr>
        <w:t>W</w:t>
      </w:r>
      <w:r w:rsidRPr="006E51BA">
        <w:rPr>
          <w:sz w:val="24"/>
          <w:szCs w:val="24"/>
        </w:rPr>
        <w:t xml:space="preserve">alker, </w:t>
      </w:r>
      <w:r>
        <w:rPr>
          <w:sz w:val="24"/>
          <w:szCs w:val="24"/>
        </w:rPr>
        <w:t>S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(</w:t>
      </w:r>
      <w:r w:rsidRPr="006E51BA">
        <w:rPr>
          <w:sz w:val="24"/>
          <w:szCs w:val="24"/>
        </w:rPr>
        <w:t>200</w:t>
      </w:r>
      <w:r>
        <w:rPr>
          <w:sz w:val="24"/>
          <w:szCs w:val="24"/>
        </w:rPr>
        <w:t>7)</w:t>
      </w:r>
      <w:r w:rsidRPr="006E51BA">
        <w:rPr>
          <w:sz w:val="24"/>
          <w:szCs w:val="24"/>
        </w:rPr>
        <w:t xml:space="preserve">.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 xml:space="preserve">eaching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 xml:space="preserve">raining </w:t>
      </w:r>
      <w:r>
        <w:rPr>
          <w:sz w:val="24"/>
          <w:szCs w:val="24"/>
        </w:rPr>
        <w:t>&amp; Le</w:t>
      </w:r>
      <w:r w:rsidRPr="006E51BA">
        <w:rPr>
          <w:sz w:val="24"/>
          <w:szCs w:val="24"/>
        </w:rPr>
        <w:t>arning. 6</w:t>
      </w:r>
      <w:r w:rsidRPr="006E51BA">
        <w:rPr>
          <w:sz w:val="24"/>
          <w:szCs w:val="24"/>
          <w:vertAlign w:val="superscript"/>
        </w:rPr>
        <w:t>th</w:t>
      </w:r>
      <w:r w:rsidRPr="006E51BA">
        <w:rPr>
          <w:sz w:val="24"/>
          <w:szCs w:val="24"/>
        </w:rPr>
        <w:t xml:space="preserve"> edn. </w:t>
      </w:r>
      <w:r>
        <w:rPr>
          <w:sz w:val="24"/>
          <w:szCs w:val="24"/>
        </w:rPr>
        <w:t>T</w:t>
      </w:r>
      <w:r w:rsidRPr="006E51BA">
        <w:rPr>
          <w:sz w:val="24"/>
          <w:szCs w:val="24"/>
        </w:rPr>
        <w:t xml:space="preserve">yne and </w:t>
      </w:r>
      <w:r>
        <w:rPr>
          <w:sz w:val="24"/>
          <w:szCs w:val="24"/>
        </w:rPr>
        <w:t>W</w:t>
      </w:r>
      <w:r w:rsidRPr="006E51BA">
        <w:rPr>
          <w:sz w:val="24"/>
          <w:szCs w:val="24"/>
        </w:rPr>
        <w:t xml:space="preserve">ear: </w:t>
      </w:r>
      <w:r>
        <w:rPr>
          <w:sz w:val="24"/>
          <w:szCs w:val="24"/>
        </w:rPr>
        <w:t>B</w:t>
      </w:r>
      <w:r w:rsidRPr="006E51BA">
        <w:rPr>
          <w:sz w:val="24"/>
          <w:szCs w:val="24"/>
        </w:rPr>
        <w:t xml:space="preserve">usiness </w:t>
      </w:r>
      <w:r>
        <w:rPr>
          <w:sz w:val="24"/>
          <w:szCs w:val="24"/>
        </w:rPr>
        <w:t>E</w:t>
      </w:r>
      <w:r w:rsidRPr="006E51BA">
        <w:rPr>
          <w:sz w:val="24"/>
          <w:szCs w:val="24"/>
        </w:rPr>
        <w:t xml:space="preserve">ducation </w:t>
      </w:r>
      <w:r>
        <w:rPr>
          <w:sz w:val="24"/>
          <w:szCs w:val="24"/>
        </w:rPr>
        <w:t>P</w:t>
      </w:r>
      <w:r w:rsidRPr="006E51BA">
        <w:rPr>
          <w:sz w:val="24"/>
          <w:szCs w:val="24"/>
        </w:rPr>
        <w:t xml:space="preserve">ublishers </w:t>
      </w:r>
      <w:r>
        <w:rPr>
          <w:sz w:val="24"/>
          <w:szCs w:val="24"/>
        </w:rPr>
        <w:t>Lt</w:t>
      </w:r>
      <w:r w:rsidRPr="006E51BA">
        <w:rPr>
          <w:sz w:val="24"/>
          <w:szCs w:val="24"/>
        </w:rPr>
        <w:t>d.</w:t>
      </w:r>
      <w:r w:rsidRPr="00CC4247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34E967CC" w14:textId="77777777" w:rsidR="00BD234D" w:rsidRPr="00B501A8" w:rsidRDefault="00BD234D" w:rsidP="00BD234D">
      <w:pPr>
        <w:spacing w:line="276" w:lineRule="auto"/>
        <w:rPr>
          <w:sz w:val="24"/>
          <w:szCs w:val="24"/>
        </w:rPr>
      </w:pPr>
      <w:r w:rsidRPr="00B501A8">
        <w:rPr>
          <w:sz w:val="24"/>
          <w:szCs w:val="24"/>
        </w:rPr>
        <w:t>Schon, D (1983) The Reflective Practitioner. London: Temple Smith.</w:t>
      </w:r>
    </w:p>
    <w:p w14:paraId="793FC7F6" w14:textId="77777777" w:rsidR="00BD234D" w:rsidRPr="00E54C05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Thompson, S and Thompson, N (2008) The Critically Reflective Practitioner. Basingstoke: Palgrave Macmillan.</w:t>
      </w:r>
    </w:p>
    <w:p w14:paraId="1EE713D1" w14:textId="77777777" w:rsidR="00BD234D" w:rsidRPr="004220A9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Waring, M and Evans, C. (2015) Understanding Pedagogy: Developing a critical approach to teaching and learning. London: Routledge.</w:t>
      </w:r>
    </w:p>
    <w:p w14:paraId="21EFFEB0" w14:textId="77777777" w:rsidR="00BD234D" w:rsidRDefault="00BD234D" w:rsidP="00BD234D">
      <w:pPr>
        <w:spacing w:line="360" w:lineRule="auto"/>
        <w:rPr>
          <w:rStyle w:val="Hyperlink"/>
          <w:rFonts w:cstheme="minorHAnsi"/>
          <w:sz w:val="24"/>
          <w:szCs w:val="24"/>
        </w:rPr>
      </w:pPr>
    </w:p>
    <w:p w14:paraId="0F0A5D8A" w14:textId="77777777" w:rsidR="00BD234D" w:rsidRDefault="00BD234D" w:rsidP="00BD234D">
      <w:pPr>
        <w:spacing w:line="360" w:lineRule="auto"/>
        <w:rPr>
          <w:rStyle w:val="Hyperlink"/>
          <w:rFonts w:cstheme="minorHAnsi"/>
          <w:b/>
          <w:sz w:val="24"/>
          <w:szCs w:val="24"/>
        </w:rPr>
      </w:pPr>
    </w:p>
    <w:p w14:paraId="1BB32212" w14:textId="77777777" w:rsidR="00BD234D" w:rsidRPr="00273FD6" w:rsidRDefault="00BD234D" w:rsidP="00BD234D">
      <w:pPr>
        <w:spacing w:line="360" w:lineRule="auto"/>
        <w:rPr>
          <w:rStyle w:val="Hyperlink"/>
          <w:rFonts w:cstheme="minorHAnsi"/>
          <w:b/>
          <w:color w:val="auto"/>
          <w:sz w:val="24"/>
          <w:szCs w:val="24"/>
        </w:rPr>
      </w:pPr>
      <w:r w:rsidRPr="00273FD6">
        <w:rPr>
          <w:rStyle w:val="Hyperlink"/>
          <w:rFonts w:cstheme="minorHAnsi"/>
          <w:b/>
          <w:color w:val="auto"/>
          <w:sz w:val="24"/>
          <w:szCs w:val="24"/>
        </w:rPr>
        <w:t>Websites</w:t>
      </w:r>
    </w:p>
    <w:p w14:paraId="422EC316" w14:textId="77777777" w:rsidR="00BD234D" w:rsidRDefault="00BD234D" w:rsidP="00BD234D">
      <w:pPr>
        <w:spacing w:line="360" w:lineRule="auto"/>
        <w:rPr>
          <w:rStyle w:val="Hyperlink"/>
          <w:rFonts w:cstheme="minorHAnsi"/>
          <w:sz w:val="24"/>
          <w:szCs w:val="24"/>
        </w:rPr>
      </w:pPr>
      <w:hyperlink r:id="rId4" w:history="1">
        <w:r w:rsidRPr="00B7393B">
          <w:rPr>
            <w:rStyle w:val="Hyperlink"/>
            <w:rFonts w:cstheme="minorHAnsi"/>
            <w:sz w:val="24"/>
            <w:szCs w:val="24"/>
          </w:rPr>
          <w:t>https://www.mheducation.co.uk/openup/chapters/9780335222407.pdf</w:t>
        </w:r>
      </w:hyperlink>
    </w:p>
    <w:p w14:paraId="16FF05D3" w14:textId="77777777" w:rsidR="00BD234D" w:rsidRDefault="00BD234D" w:rsidP="00BD234D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1C002D">
        <w:rPr>
          <w:rFonts w:cstheme="minorHAnsi"/>
          <w:color w:val="000000"/>
          <w:sz w:val="24"/>
          <w:szCs w:val="24"/>
          <w:shd w:val="clear" w:color="auto" w:fill="FFFFFF"/>
        </w:rPr>
        <w:t> Smith, M. K. (1996; 1999, 2010) ‘Andragogy’, </w:t>
      </w:r>
      <w:r w:rsidRPr="001C002D">
        <w:rPr>
          <w:rFonts w:cstheme="minorHAnsi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the encyclopaedia of informal</w:t>
      </w:r>
      <w:r w:rsidRPr="001C002D">
        <w:rPr>
          <w:rFonts w:cstheme="minorHAnsi"/>
          <w:color w:val="000000"/>
          <w:sz w:val="24"/>
          <w:szCs w:val="24"/>
          <w:shd w:val="clear" w:color="auto" w:fill="FFFFFF"/>
        </w:rPr>
        <w:t> education. [</w:t>
      </w:r>
      <w:hyperlink r:id="rId5" w:tooltip="Andragogy: what is it and does it help thinking about adult learning?" w:history="1">
        <w:r w:rsidRPr="001C002D">
          <w:rPr>
            <w:rFonts w:cstheme="minorHAnsi"/>
            <w:color w:val="0000FF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http://infed.org/mobi/andragogy-what-is-it-and-does-it-help-thinking-about-adult-learning/</w:t>
        </w:r>
      </w:hyperlink>
      <w:r w:rsidRPr="001C002D">
        <w:rPr>
          <w:rFonts w:cstheme="minorHAnsi"/>
          <w:color w:val="000000"/>
          <w:sz w:val="24"/>
          <w:szCs w:val="24"/>
          <w:shd w:val="clear" w:color="auto" w:fill="FFFFFF"/>
        </w:rPr>
        <w:t>. Retrieved: </w:t>
      </w:r>
      <w:r w:rsidRPr="001C002D">
        <w:rPr>
          <w:rFonts w:cstheme="minorHAnsi"/>
          <w:color w:val="888888"/>
          <w:sz w:val="24"/>
          <w:szCs w:val="24"/>
          <w:bdr w:val="none" w:sz="0" w:space="0" w:color="auto" w:frame="1"/>
          <w:shd w:val="clear" w:color="auto" w:fill="FFFFFF"/>
        </w:rPr>
        <w:t>insert date</w:t>
      </w:r>
      <w:r w:rsidRPr="001C002D">
        <w:rPr>
          <w:rFonts w:cstheme="minorHAnsi"/>
          <w:color w:val="000000"/>
          <w:sz w:val="24"/>
          <w:szCs w:val="24"/>
          <w:shd w:val="clear" w:color="auto" w:fill="FFFFFF"/>
        </w:rPr>
        <w:t>]</w:t>
      </w:r>
    </w:p>
    <w:p w14:paraId="508F3988" w14:textId="77777777" w:rsidR="00BD234D" w:rsidRPr="00FA75CF" w:rsidRDefault="00BD234D" w:rsidP="00BD234D">
      <w:pPr>
        <w:spacing w:after="0" w:line="360" w:lineRule="auto"/>
        <w:textAlignment w:val="baseline"/>
        <w:rPr>
          <w:rFonts w:cstheme="minorHAnsi"/>
          <w:spacing w:val="2"/>
          <w:sz w:val="24"/>
          <w:szCs w:val="24"/>
          <w:shd w:val="clear" w:color="auto" w:fill="FCFCFC"/>
        </w:rPr>
      </w:pPr>
      <w:r w:rsidRPr="00FA75CF">
        <w:rPr>
          <w:rFonts w:cstheme="minorHAnsi"/>
          <w:spacing w:val="2"/>
          <w:sz w:val="24"/>
          <w:szCs w:val="24"/>
          <w:shd w:val="clear" w:color="auto" w:fill="FCFCFC"/>
        </w:rPr>
        <w:t>Gadsby</w:t>
      </w:r>
      <w:r>
        <w:rPr>
          <w:rFonts w:cstheme="minorHAnsi"/>
          <w:spacing w:val="2"/>
          <w:sz w:val="24"/>
          <w:szCs w:val="24"/>
          <w:shd w:val="clear" w:color="auto" w:fill="FCFCFC"/>
        </w:rPr>
        <w:t>, C</w:t>
      </w:r>
      <w:r w:rsidRPr="00FA75CF">
        <w:rPr>
          <w:rFonts w:cstheme="minorHAnsi"/>
          <w:spacing w:val="2"/>
          <w:sz w:val="24"/>
          <w:szCs w:val="24"/>
          <w:shd w:val="clear" w:color="auto" w:fill="FCFCFC"/>
        </w:rPr>
        <w:t xml:space="preserve">. Four Quick Assessment Activities to find out what Secondary Students Know </w:t>
      </w:r>
      <w:hyperlink r:id="rId6" w:history="1">
        <w:r w:rsidRPr="005357CC">
          <w:rPr>
            <w:rStyle w:val="Hyperlink"/>
            <w:rFonts w:cstheme="minorHAnsi"/>
            <w:spacing w:val="2"/>
            <w:sz w:val="24"/>
            <w:szCs w:val="24"/>
            <w:shd w:val="clear" w:color="auto" w:fill="FCFCFC"/>
          </w:rPr>
          <w:t>https://www.teachwire.net/news/4-quick-assessment-activities-to-find-out-what-secondary-students-know</w:t>
        </w:r>
      </w:hyperlink>
      <w:r>
        <w:rPr>
          <w:rFonts w:cstheme="minorHAnsi"/>
          <w:spacing w:val="2"/>
          <w:sz w:val="24"/>
          <w:szCs w:val="24"/>
          <w:shd w:val="clear" w:color="auto" w:fill="FCFCFC"/>
        </w:rPr>
        <w:t xml:space="preserve"> </w:t>
      </w:r>
      <w:r w:rsidRPr="00C8204D">
        <w:rPr>
          <w:rFonts w:ascii="bitterregular" w:hAnsi="bitterregular"/>
          <w:color w:val="757575"/>
          <w:sz w:val="20"/>
          <w:szCs w:val="20"/>
        </w:rPr>
        <w:t xml:space="preserve"> </w:t>
      </w:r>
      <w:r w:rsidRPr="00C8204D">
        <w:rPr>
          <w:rFonts w:cstheme="minorHAnsi"/>
          <w:sz w:val="24"/>
          <w:szCs w:val="24"/>
        </w:rPr>
        <w:t>12th November 2018</w:t>
      </w:r>
    </w:p>
    <w:p w14:paraId="219EF3FE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</w:rPr>
      </w:pPr>
      <w:r>
        <w:rPr>
          <w:sz w:val="24"/>
          <w:szCs w:val="24"/>
        </w:rPr>
        <w:lastRenderedPageBreak/>
        <w:t>Sde</w:t>
      </w:r>
      <w:bookmarkStart w:id="2" w:name="_GoBack"/>
      <w:bookmarkEnd w:id="2"/>
      <w:r>
        <w:rPr>
          <w:sz w:val="24"/>
          <w:szCs w:val="24"/>
        </w:rPr>
        <w:t xml:space="preserve">ra. Teaching and Learning Strategies. </w:t>
      </w:r>
      <w:hyperlink r:id="rId7" w:history="1">
        <w:r w:rsidRPr="003F50BC">
          <w:rPr>
            <w:rStyle w:val="Hyperlink"/>
            <w:sz w:val="24"/>
            <w:szCs w:val="24"/>
          </w:rPr>
          <w:t>https://www.sdera.wa.edu.au/media/2134/ccea-section-g-teaching-and-learning-strategies.pdf</w:t>
        </w:r>
      </w:hyperlink>
      <w:r w:rsidRPr="00CC4247">
        <w:rPr>
          <w:rFonts w:cstheme="minorHAnsi"/>
          <w:sz w:val="24"/>
          <w:szCs w:val="24"/>
        </w:rPr>
        <w:t xml:space="preserve"> </w:t>
      </w:r>
    </w:p>
    <w:p w14:paraId="6A032C17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Tomlin, D. The importance of classroom structure</w:t>
      </w:r>
    </w:p>
    <w:p w14:paraId="16BF5FE0" w14:textId="77777777" w:rsidR="00BD234D" w:rsidRDefault="00BD234D" w:rsidP="00BD234D">
      <w:pPr>
        <w:rPr>
          <w:sz w:val="24"/>
          <w:szCs w:val="24"/>
        </w:rPr>
      </w:pPr>
      <w:hyperlink r:id="rId8" w:history="1">
        <w:r w:rsidRPr="003F50BC">
          <w:rPr>
            <w:rStyle w:val="Hyperlink"/>
            <w:rFonts w:cstheme="minorHAnsi"/>
            <w:sz w:val="24"/>
            <w:szCs w:val="24"/>
          </w:rPr>
          <w:t>https://www.amle.org/BrowsebyTopic/WhatsNew/WNDet/TabId/270/ArtMID/888/ArticleID/876/Innovative-Teaching-Strategies-that-Improve-Student-Engagement.aspx</w:t>
        </w:r>
      </w:hyperlink>
    </w:p>
    <w:p w14:paraId="46CDCEF8" w14:textId="77777777" w:rsidR="00BD234D" w:rsidRDefault="00BD234D" w:rsidP="00BD234D">
      <w:pPr>
        <w:rPr>
          <w:sz w:val="24"/>
          <w:szCs w:val="24"/>
        </w:rPr>
      </w:pPr>
      <w:r>
        <w:rPr>
          <w:sz w:val="24"/>
          <w:szCs w:val="24"/>
        </w:rPr>
        <w:t xml:space="preserve">University of Sussex TDLU. </w:t>
      </w:r>
      <w:hyperlink r:id="rId9" w:history="1">
        <w:r w:rsidRPr="003F50BC">
          <w:rPr>
            <w:rStyle w:val="Hyperlink"/>
            <w:sz w:val="24"/>
            <w:szCs w:val="24"/>
          </w:rPr>
          <w:t>http://www.equalityanddiversity.net/docs/teaching-learning-handouts.pdf</w:t>
        </w:r>
      </w:hyperlink>
    </w:p>
    <w:p w14:paraId="6089DB94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23B9B4A7" w14:textId="77777777" w:rsidR="00BD234D" w:rsidRDefault="00BD234D" w:rsidP="00BD234D">
      <w:pPr>
        <w:spacing w:line="360" w:lineRule="auto"/>
        <w:rPr>
          <w:rFonts w:cstheme="minorHAnsi"/>
          <w:b/>
          <w:sz w:val="24"/>
          <w:szCs w:val="24"/>
          <w:u w:val="single"/>
          <w:shd w:val="clear" w:color="auto" w:fill="FFFFFF"/>
        </w:rPr>
      </w:pPr>
    </w:p>
    <w:p w14:paraId="2654361F" w14:textId="77777777" w:rsidR="00BD234D" w:rsidRDefault="00BD234D" w:rsidP="00BD234D">
      <w:pPr>
        <w:spacing w:line="360" w:lineRule="auto"/>
        <w:rPr>
          <w:rFonts w:cstheme="minorHAnsi"/>
          <w:b/>
          <w:sz w:val="24"/>
          <w:szCs w:val="24"/>
          <w:u w:val="single"/>
          <w:shd w:val="clear" w:color="auto" w:fill="FFFFFF"/>
        </w:rPr>
      </w:pPr>
    </w:p>
    <w:p w14:paraId="07AD19BC" w14:textId="77777777" w:rsidR="00BD234D" w:rsidRPr="00273FD6" w:rsidRDefault="00BD234D" w:rsidP="00BD234D">
      <w:pPr>
        <w:spacing w:line="360" w:lineRule="auto"/>
        <w:rPr>
          <w:rFonts w:cstheme="minorHAnsi"/>
          <w:b/>
          <w:sz w:val="24"/>
          <w:szCs w:val="24"/>
          <w:u w:val="single"/>
          <w:shd w:val="clear" w:color="auto" w:fill="FFFFFF"/>
        </w:rPr>
      </w:pPr>
      <w:r w:rsidRPr="00273FD6">
        <w:rPr>
          <w:rFonts w:cstheme="minorHAnsi"/>
          <w:b/>
          <w:sz w:val="24"/>
          <w:szCs w:val="24"/>
          <w:u w:val="single"/>
          <w:shd w:val="clear" w:color="auto" w:fill="FFFFFF"/>
        </w:rPr>
        <w:t>Bibliography</w:t>
      </w:r>
    </w:p>
    <w:p w14:paraId="16C0E5F1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</w:p>
    <w:p w14:paraId="0141FB36" w14:textId="77777777" w:rsidR="00BD234D" w:rsidRPr="006E51BA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B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oud, </w:t>
      </w:r>
      <w:r>
        <w:rPr>
          <w:rFonts w:cstheme="minorHAnsi"/>
          <w:sz w:val="24"/>
          <w:szCs w:val="24"/>
          <w:shd w:val="clear" w:color="auto" w:fill="FFFFFF"/>
        </w:rPr>
        <w:t>D</w:t>
      </w:r>
      <w:r w:rsidRPr="006E51BA">
        <w:rPr>
          <w:rFonts w:cstheme="minorHAnsi"/>
          <w:sz w:val="24"/>
          <w:szCs w:val="24"/>
          <w:shd w:val="clear" w:color="auto" w:fill="FFFFFF"/>
        </w:rPr>
        <w:t>. </w:t>
      </w:r>
      <w:r w:rsidRPr="006E51BA"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et al </w:t>
      </w:r>
      <w:r w:rsidRPr="006E51BA">
        <w:rPr>
          <w:rFonts w:cstheme="minorHAnsi"/>
          <w:sz w:val="24"/>
          <w:szCs w:val="24"/>
          <w:shd w:val="clear" w:color="auto" w:fill="FFFFFF"/>
        </w:rPr>
        <w:t>(1985) </w:t>
      </w:r>
      <w:r w:rsidRPr="006E51BA"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reflection. turning experience into learning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, </w:t>
      </w:r>
      <w:r>
        <w:rPr>
          <w:rFonts w:cstheme="minorHAnsi"/>
          <w:sz w:val="24"/>
          <w:szCs w:val="24"/>
          <w:shd w:val="clear" w:color="auto" w:fill="FFFFFF"/>
        </w:rPr>
        <w:t>L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ondon: </w:t>
      </w:r>
      <w:r>
        <w:rPr>
          <w:rFonts w:cstheme="minorHAnsi"/>
          <w:sz w:val="24"/>
          <w:szCs w:val="24"/>
          <w:shd w:val="clear" w:color="auto" w:fill="FFFFFF"/>
        </w:rPr>
        <w:t>K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ogan </w:t>
      </w:r>
      <w:r>
        <w:rPr>
          <w:rFonts w:cstheme="minorHAnsi"/>
          <w:sz w:val="24"/>
          <w:szCs w:val="24"/>
          <w:shd w:val="clear" w:color="auto" w:fill="FFFFFF"/>
        </w:rPr>
        <w:t>P</w:t>
      </w:r>
      <w:r w:rsidRPr="006E51BA">
        <w:rPr>
          <w:rFonts w:cstheme="minorHAnsi"/>
          <w:sz w:val="24"/>
          <w:szCs w:val="24"/>
          <w:shd w:val="clear" w:color="auto" w:fill="FFFFFF"/>
        </w:rPr>
        <w:t>age</w:t>
      </w:r>
    </w:p>
    <w:p w14:paraId="5B4F03FB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Crawley, J. (2005) In at the Deep End. London: David Fulton Publishers Ltd.</w:t>
      </w:r>
    </w:p>
    <w:p w14:paraId="0158AB53" w14:textId="77777777" w:rsidR="00BD234D" w:rsidRPr="006E51BA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D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ewey, </w:t>
      </w:r>
      <w:r>
        <w:rPr>
          <w:rFonts w:cstheme="minorHAnsi"/>
          <w:sz w:val="24"/>
          <w:szCs w:val="24"/>
          <w:shd w:val="clear" w:color="auto" w:fill="FFFFFF"/>
        </w:rPr>
        <w:t>J.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 (1933)</w:t>
      </w:r>
      <w:r w:rsidRPr="006E51BA"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 </w:t>
      </w:r>
      <w:r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H</w:t>
      </w:r>
      <w:r w:rsidRPr="006E51BA"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ow </w:t>
      </w:r>
      <w:r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W</w:t>
      </w:r>
      <w:r w:rsidRPr="006E51BA"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e </w:t>
      </w:r>
      <w:r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T</w:t>
      </w:r>
      <w:r w:rsidRPr="006E51BA">
        <w:rPr>
          <w:rStyle w:val="Emphasis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hink, </w:t>
      </w:r>
      <w:r>
        <w:rPr>
          <w:rFonts w:cstheme="minorHAnsi"/>
          <w:sz w:val="24"/>
          <w:szCs w:val="24"/>
          <w:shd w:val="clear" w:color="auto" w:fill="FFFFFF"/>
        </w:rPr>
        <w:t>N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ew </w:t>
      </w:r>
      <w:r>
        <w:rPr>
          <w:rFonts w:cstheme="minorHAnsi"/>
          <w:sz w:val="24"/>
          <w:szCs w:val="24"/>
          <w:shd w:val="clear" w:color="auto" w:fill="FFFFFF"/>
        </w:rPr>
        <w:t>Y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ork: </w:t>
      </w:r>
      <w:r>
        <w:rPr>
          <w:rFonts w:cstheme="minorHAnsi"/>
          <w:sz w:val="24"/>
          <w:szCs w:val="24"/>
          <w:shd w:val="clear" w:color="auto" w:fill="FFFFFF"/>
        </w:rPr>
        <w:t>D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. </w:t>
      </w:r>
      <w:r>
        <w:rPr>
          <w:rFonts w:cstheme="minorHAnsi"/>
          <w:sz w:val="24"/>
          <w:szCs w:val="24"/>
          <w:shd w:val="clear" w:color="auto" w:fill="FFFFFF"/>
        </w:rPr>
        <w:t>C</w:t>
      </w:r>
      <w:r w:rsidRPr="006E51BA">
        <w:rPr>
          <w:rFonts w:cstheme="minorHAnsi"/>
          <w:sz w:val="24"/>
          <w:szCs w:val="24"/>
          <w:shd w:val="clear" w:color="auto" w:fill="FFFFFF"/>
        </w:rPr>
        <w:t xml:space="preserve">. </w:t>
      </w:r>
      <w:r>
        <w:rPr>
          <w:rFonts w:cstheme="minorHAnsi"/>
          <w:sz w:val="24"/>
          <w:szCs w:val="24"/>
          <w:shd w:val="clear" w:color="auto" w:fill="FFFFFF"/>
        </w:rPr>
        <w:t>H</w:t>
      </w:r>
      <w:r w:rsidRPr="006E51BA">
        <w:rPr>
          <w:rFonts w:cstheme="minorHAnsi"/>
          <w:sz w:val="24"/>
          <w:szCs w:val="24"/>
          <w:shd w:val="clear" w:color="auto" w:fill="FFFFFF"/>
        </w:rPr>
        <w:t>eath</w:t>
      </w:r>
    </w:p>
    <w:p w14:paraId="41B146C0" w14:textId="77777777" w:rsidR="00BD234D" w:rsidRPr="00E54C05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F</w:t>
      </w:r>
      <w:r w:rsidRPr="00E54C05">
        <w:rPr>
          <w:rFonts w:cstheme="minorHAnsi"/>
          <w:sz w:val="24"/>
          <w:szCs w:val="24"/>
          <w:shd w:val="clear" w:color="auto" w:fill="FFFFFF"/>
        </w:rPr>
        <w:t xml:space="preserve">aherty, </w:t>
      </w:r>
      <w:r>
        <w:rPr>
          <w:rFonts w:cstheme="minorHAnsi"/>
          <w:sz w:val="24"/>
          <w:szCs w:val="24"/>
          <w:shd w:val="clear" w:color="auto" w:fill="FFFFFF"/>
        </w:rPr>
        <w:t>A</w:t>
      </w:r>
      <w:r w:rsidRPr="00E54C05">
        <w:rPr>
          <w:rFonts w:cstheme="minorHAnsi"/>
          <w:sz w:val="24"/>
          <w:szCs w:val="24"/>
          <w:shd w:val="clear" w:color="auto" w:fill="FFFFFF"/>
        </w:rPr>
        <w:t>., 2015. Developing enterprise skills through peer-assessed pitch presentations. </w:t>
      </w:r>
      <w:r w:rsidRPr="00E54C05">
        <w:rPr>
          <w:rFonts w:cstheme="minorHAnsi"/>
          <w:i/>
          <w:iCs/>
          <w:sz w:val="24"/>
          <w:szCs w:val="24"/>
          <w:shd w:val="clear" w:color="auto" w:fill="FFFFFF"/>
        </w:rPr>
        <w:t>Education &amp; Training, </w:t>
      </w:r>
      <w:r w:rsidRPr="00E54C05">
        <w:rPr>
          <w:rFonts w:cstheme="minorHAnsi"/>
          <w:b/>
          <w:bCs/>
          <w:sz w:val="24"/>
          <w:szCs w:val="24"/>
          <w:shd w:val="clear" w:color="auto" w:fill="FFFFFF"/>
        </w:rPr>
        <w:t>57</w:t>
      </w:r>
      <w:r w:rsidRPr="00E54C05">
        <w:rPr>
          <w:rFonts w:cstheme="minorHAnsi"/>
          <w:sz w:val="24"/>
          <w:szCs w:val="24"/>
          <w:shd w:val="clear" w:color="auto" w:fill="FFFFFF"/>
        </w:rPr>
        <w:t xml:space="preserve">(3), pp. 290-30 </w:t>
      </w:r>
    </w:p>
    <w:p w14:paraId="48F4050C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4220A9">
        <w:rPr>
          <w:rFonts w:cstheme="minorHAnsi"/>
          <w:sz w:val="24"/>
          <w:szCs w:val="24"/>
          <w:shd w:val="clear" w:color="auto" w:fill="FFFFFF"/>
        </w:rPr>
        <w:t>Goodwin, j. &amp; O’Connor, H., 2012. The impacts of demographic change. </w:t>
      </w:r>
      <w:r w:rsidRPr="004220A9">
        <w:rPr>
          <w:rFonts w:cstheme="minorHAnsi"/>
          <w:iCs/>
          <w:sz w:val="24"/>
          <w:szCs w:val="24"/>
          <w:shd w:val="clear" w:color="auto" w:fill="FFFFFF"/>
        </w:rPr>
        <w:t>Education &amp; Training, </w:t>
      </w:r>
      <w:r w:rsidRPr="004220A9">
        <w:rPr>
          <w:rFonts w:cstheme="minorHAnsi"/>
          <w:b/>
          <w:bCs/>
          <w:sz w:val="24"/>
          <w:szCs w:val="24"/>
          <w:shd w:val="clear" w:color="auto" w:fill="FFFFFF"/>
        </w:rPr>
        <w:t>54</w:t>
      </w:r>
      <w:r w:rsidRPr="004220A9">
        <w:rPr>
          <w:rFonts w:cstheme="minorHAnsi"/>
          <w:sz w:val="24"/>
          <w:szCs w:val="24"/>
          <w:shd w:val="clear" w:color="auto" w:fill="FFFFFF"/>
        </w:rPr>
        <w:t>(7), pp. 558-564.</w:t>
      </w:r>
    </w:p>
    <w:p w14:paraId="547285BC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 w:rsidRPr="004220A9">
        <w:rPr>
          <w:rFonts w:cstheme="minorHAnsi"/>
          <w:sz w:val="24"/>
          <w:szCs w:val="24"/>
          <w:shd w:val="clear" w:color="auto" w:fill="FFFFFF"/>
        </w:rPr>
        <w:t>Lave, J and Wenger, E. (1991). Situated Learning: Legitimate Peripheral Participation. Cambridge: Cambridge University Press.</w:t>
      </w:r>
    </w:p>
    <w:p w14:paraId="4881581C" w14:textId="77777777" w:rsidR="00BD234D" w:rsidRDefault="00BD234D" w:rsidP="00BD234D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>S</w:t>
      </w:r>
      <w:r w:rsidRPr="00E54C05">
        <w:rPr>
          <w:rFonts w:cstheme="minorHAnsi"/>
          <w:sz w:val="24"/>
          <w:szCs w:val="24"/>
          <w:shd w:val="clear" w:color="auto" w:fill="FFFFFF"/>
        </w:rPr>
        <w:t xml:space="preserve">haw, </w:t>
      </w:r>
      <w:r>
        <w:rPr>
          <w:rFonts w:cstheme="minorHAnsi"/>
          <w:sz w:val="24"/>
          <w:szCs w:val="24"/>
          <w:shd w:val="clear" w:color="auto" w:fill="FFFFFF"/>
        </w:rPr>
        <w:t>C</w:t>
      </w:r>
      <w:r w:rsidRPr="00E54C05">
        <w:rPr>
          <w:rFonts w:cstheme="minorHAnsi"/>
          <w:sz w:val="24"/>
          <w:szCs w:val="24"/>
          <w:shd w:val="clear" w:color="auto" w:fill="FFFFFF"/>
        </w:rPr>
        <w:t>., 2016. The role of rights, risks and responsibilities in the climate justice debate. </w:t>
      </w:r>
      <w:r w:rsidRPr="00E54C05">
        <w:rPr>
          <w:rFonts w:cstheme="minorHAnsi"/>
          <w:i/>
          <w:iCs/>
          <w:sz w:val="24"/>
          <w:szCs w:val="24"/>
          <w:shd w:val="clear" w:color="auto" w:fill="FFFFFF"/>
        </w:rPr>
        <w:t>International Journal of Climate Change Strategies and Management, </w:t>
      </w:r>
      <w:r w:rsidRPr="00E54C05">
        <w:rPr>
          <w:rFonts w:cstheme="minorHAnsi"/>
          <w:b/>
          <w:bCs/>
          <w:sz w:val="24"/>
          <w:szCs w:val="24"/>
          <w:shd w:val="clear" w:color="auto" w:fill="FFFFFF"/>
        </w:rPr>
        <w:t>8</w:t>
      </w:r>
      <w:r w:rsidRPr="00E54C05">
        <w:rPr>
          <w:rFonts w:cstheme="minorHAnsi"/>
          <w:sz w:val="24"/>
          <w:szCs w:val="24"/>
          <w:shd w:val="clear" w:color="auto" w:fill="FFFFFF"/>
        </w:rPr>
        <w:t>(4), pp. 505-519.</w:t>
      </w:r>
    </w:p>
    <w:p w14:paraId="752B6492" w14:textId="77777777" w:rsidR="00BD234D" w:rsidRDefault="00BD234D"/>
    <w:sectPr w:rsidR="00BD23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itterregular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34D"/>
    <w:rsid w:val="00BD2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C7F8B"/>
  <w15:chartTrackingRefBased/>
  <w15:docId w15:val="{E1E604E4-B99B-4227-BCBD-5BB0EBCE2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D234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234D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BD234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le.org/BrowsebyTopic/WhatsNew/WNDet/TabId/270/ArtMID/888/ArticleID/876/Innovative-Teaching-Strategies-that-Improve-Student-Engagement.aspx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dera.wa.edu.au/media/2134/ccea-section-g-teaching-and-learning-strategie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eachwire.net/news/4-quick-assessment-activities-to-find-out-what-secondary-students-know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infed.org/mobi/andragogy-what-is-it-and-does-it-help-thinking-about-adult-learning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mheducation.co.uk/openup/chapters/9780335222407.pdf" TargetMode="External"/><Relationship Id="rId9" Type="http://schemas.openxmlformats.org/officeDocument/2006/relationships/hyperlink" Target="http://www.equalityanddiversity.net/docs/teaching-learning-handou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797</Words>
  <Characters>4548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Jackson</dc:creator>
  <cp:keywords/>
  <dc:description/>
  <cp:lastModifiedBy>Stephanie Jackson</cp:lastModifiedBy>
  <cp:revision>1</cp:revision>
  <dcterms:created xsi:type="dcterms:W3CDTF">2018-12-04T01:16:00Z</dcterms:created>
  <dcterms:modified xsi:type="dcterms:W3CDTF">2018-12-04T01:17:00Z</dcterms:modified>
</cp:coreProperties>
</file>