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776170407"/>
        <w:docPartObj>
          <w:docPartGallery w:val="Cover Pages"/>
          <w:docPartUnique/>
        </w:docPartObj>
      </w:sdtPr>
      <w:sdtEndPr>
        <w:rPr>
          <w:color w:val="auto"/>
        </w:rPr>
      </w:sdtEndPr>
      <w:sdtContent>
        <w:p w14:paraId="75B502C0" w14:textId="4C40D020" w:rsidR="00425C2D" w:rsidRDefault="00425C2D">
          <w:pPr>
            <w:pStyle w:val="NoSpacing"/>
            <w:spacing w:before="1540" w:after="240"/>
            <w:jc w:val="center"/>
            <w:rPr>
              <w:color w:val="4F81BD" w:themeColor="accent1"/>
            </w:rPr>
          </w:pPr>
          <w:r>
            <w:rPr>
              <w:noProof/>
              <w:color w:val="4F81BD" w:themeColor="accent1"/>
            </w:rPr>
            <w:drawing>
              <wp:inline distT="0" distB="0" distL="0" distR="0" wp14:anchorId="57476A4C" wp14:editId="786A5D0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B84618736044078BFFB30B6B7F0BE4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378413" w14:textId="5B71ECBE" w:rsidR="00425C2D" w:rsidRDefault="00425C2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ORGANIZATIONAL </w:t>
              </w:r>
              <w:proofErr w:type="gramStart"/>
              <w:r>
                <w:rPr>
                  <w:rFonts w:asciiTheme="majorHAnsi" w:eastAsiaTheme="majorEastAsia" w:hAnsiTheme="majorHAnsi" w:cstheme="majorBidi"/>
                  <w:caps/>
                  <w:color w:val="4F81BD" w:themeColor="accent1"/>
                  <w:sz w:val="72"/>
                  <w:szCs w:val="72"/>
                </w:rPr>
                <w:t>CULTURE  TOYOTA</w:t>
              </w:r>
              <w:proofErr w:type="gramEnd"/>
            </w:p>
          </w:sdtContent>
        </w:sdt>
        <w:sdt>
          <w:sdtPr>
            <w:rPr>
              <w:color w:val="4F81BD" w:themeColor="accent1"/>
              <w:sz w:val="28"/>
              <w:szCs w:val="28"/>
            </w:rPr>
            <w:alias w:val="Subtitle"/>
            <w:tag w:val=""/>
            <w:id w:val="328029620"/>
            <w:placeholder>
              <w:docPart w:val="C28B326632DE4FB79E7672CAD8E019E7"/>
            </w:placeholder>
            <w:dataBinding w:prefixMappings="xmlns:ns0='http://purl.org/dc/elements/1.1/' xmlns:ns1='http://schemas.openxmlformats.org/package/2006/metadata/core-properties' " w:xpath="/ns1:coreProperties[1]/ns0:subject[1]" w:storeItemID="{6C3C8BC8-F283-45AE-878A-BAB7291924A1}"/>
            <w:text/>
          </w:sdtPr>
          <w:sdtContent>
            <w:p w14:paraId="38D29E5A" w14:textId="4DFA9A4C" w:rsidR="00425C2D" w:rsidRDefault="00425C2D">
              <w:pPr>
                <w:pStyle w:val="NoSpacing"/>
                <w:jc w:val="center"/>
                <w:rPr>
                  <w:color w:val="4F81BD" w:themeColor="accent1"/>
                  <w:sz w:val="28"/>
                  <w:szCs w:val="28"/>
                </w:rPr>
              </w:pPr>
              <w:r>
                <w:rPr>
                  <w:color w:val="4F81BD" w:themeColor="accent1"/>
                  <w:sz w:val="28"/>
                  <w:szCs w:val="28"/>
                </w:rPr>
                <w:t>Component 1: Individual Report</w:t>
              </w:r>
            </w:p>
          </w:sdtContent>
        </w:sdt>
        <w:p w14:paraId="0311A72F" w14:textId="26ADFCDC" w:rsidR="00425C2D" w:rsidRDefault="00425C2D">
          <w:pPr>
            <w:pStyle w:val="NoSpacing"/>
            <w:spacing w:before="480"/>
            <w:jc w:val="center"/>
            <w:rPr>
              <w:color w:val="4F81BD" w:themeColor="accent1"/>
            </w:rPr>
          </w:pPr>
          <w:r>
            <w:rPr>
              <w:noProof/>
              <w:color w:val="4F81BD" w:themeColor="accent1"/>
            </w:rPr>
            <w:drawing>
              <wp:inline distT="0" distB="0" distL="0" distR="0" wp14:anchorId="4DF29BEF" wp14:editId="1999404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028EAB" w14:textId="6F07EAD8" w:rsidR="00425C2D" w:rsidRDefault="00425C2D" w:rsidP="00425C2D"/>
        <w:p w14:paraId="20ABB10B" w14:textId="0F58E1AD" w:rsidR="00425C2D" w:rsidRDefault="00425C2D" w:rsidP="00425C2D"/>
        <w:p w14:paraId="0A9B63E3" w14:textId="5FD650F5" w:rsidR="00425C2D" w:rsidRDefault="00425C2D" w:rsidP="00425C2D">
          <w:r>
            <w:rPr>
              <w:noProof/>
            </w:rPr>
            <w:drawing>
              <wp:anchor distT="0" distB="0" distL="114300" distR="114300" simplePos="0" relativeHeight="251660288" behindDoc="0" locked="0" layoutInCell="1" allowOverlap="1" wp14:anchorId="188F338A" wp14:editId="74E8F18B">
                <wp:simplePos x="0" y="0"/>
                <wp:positionH relativeFrom="margin">
                  <wp:align>right</wp:align>
                </wp:positionH>
                <wp:positionV relativeFrom="paragraph">
                  <wp:posOffset>174625</wp:posOffset>
                </wp:positionV>
                <wp:extent cx="2555240" cy="1019175"/>
                <wp:effectExtent l="0" t="0" r="0" b="0"/>
                <wp:wrapSquare wrapText="bothSides"/>
                <wp:docPr id="108520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5240" cy="1019175"/>
                        </a:xfrm>
                        <a:prstGeom prst="rect">
                          <a:avLst/>
                        </a:prstGeom>
                        <a:noFill/>
                      </pic:spPr>
                    </pic:pic>
                  </a:graphicData>
                </a:graphic>
              </wp:anchor>
            </w:drawing>
          </w:r>
        </w:p>
        <w:p w14:paraId="55091299" w14:textId="77777777" w:rsidR="00425C2D" w:rsidRDefault="00425C2D" w:rsidP="00425C2D"/>
        <w:p w14:paraId="2E0C0B82" w14:textId="77777777" w:rsidR="00425C2D" w:rsidRDefault="00425C2D" w:rsidP="00425C2D"/>
        <w:p w14:paraId="7FA188A4" w14:textId="77777777" w:rsidR="00425C2D" w:rsidRDefault="00425C2D" w:rsidP="00425C2D"/>
        <w:p w14:paraId="7C1B2B2D" w14:textId="4359C879" w:rsidR="00425C2D" w:rsidRDefault="00425C2D" w:rsidP="00425C2D">
          <w:r>
            <w:rPr>
              <w:noProof/>
              <w:color w:val="4F81BD" w:themeColor="accent1"/>
            </w:rPr>
            <mc:AlternateContent>
              <mc:Choice Requires="wps">
                <w:drawing>
                  <wp:anchor distT="0" distB="0" distL="114300" distR="114300" simplePos="0" relativeHeight="251659264" behindDoc="0" locked="0" layoutInCell="1" allowOverlap="1" wp14:anchorId="65C6BF7D" wp14:editId="666CB062">
                    <wp:simplePos x="0" y="0"/>
                    <wp:positionH relativeFrom="margin">
                      <wp:align>right</wp:align>
                    </wp:positionH>
                    <wp:positionV relativeFrom="page">
                      <wp:posOffset>7137400</wp:posOffset>
                    </wp:positionV>
                    <wp:extent cx="6553200" cy="2141220"/>
                    <wp:effectExtent l="0" t="0" r="0" b="11430"/>
                    <wp:wrapNone/>
                    <wp:docPr id="142" name="Text Box 44"/>
                    <wp:cNvGraphicFramePr/>
                    <a:graphic xmlns:a="http://schemas.openxmlformats.org/drawingml/2006/main">
                      <a:graphicData uri="http://schemas.microsoft.com/office/word/2010/wordprocessingShape">
                        <wps:wsp>
                          <wps:cNvSpPr txBox="1"/>
                          <wps:spPr>
                            <a:xfrm>
                              <a:off x="0" y="0"/>
                              <a:ext cx="6553200" cy="2141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CAC03" w14:textId="382D8C45" w:rsidR="00425C2D" w:rsidRDefault="00425C2D">
                                <w:pPr>
                                  <w:pStyle w:val="NoSpacing"/>
                                  <w:spacing w:after="40"/>
                                  <w:jc w:val="center"/>
                                  <w:rPr>
                                    <w:caps/>
                                    <w:color w:val="4F81BD" w:themeColor="accent1"/>
                                    <w:sz w:val="28"/>
                                    <w:szCs w:val="28"/>
                                  </w:rPr>
                                </w:pPr>
                              </w:p>
                              <w:p w14:paraId="260E21D7"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Student Name:</w:t>
                                </w:r>
                                <w:r w:rsidRPr="00425C2D">
                                  <w:rPr>
                                    <w:rFonts w:ascii="Calibri" w:hAnsi="Calibri" w:cs="Calibri"/>
                                    <w:sz w:val="28"/>
                                    <w:szCs w:val="28"/>
                                  </w:rPr>
                                  <w:t xml:space="preserve"> El Mostafa Majdouli</w:t>
                                </w:r>
                              </w:p>
                              <w:p w14:paraId="0734ECB5"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Student ID:</w:t>
                                </w:r>
                                <w:r w:rsidRPr="00425C2D">
                                  <w:rPr>
                                    <w:rFonts w:ascii="Calibri" w:hAnsi="Calibri" w:cs="Calibri"/>
                                    <w:sz w:val="28"/>
                                    <w:szCs w:val="28"/>
                                  </w:rPr>
                                  <w:t xml:space="preserve"> 2321812</w:t>
                                </w:r>
                              </w:p>
                              <w:p w14:paraId="146986B1"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Module:</w:t>
                                </w:r>
                                <w:r w:rsidRPr="00425C2D">
                                  <w:rPr>
                                    <w:rFonts w:ascii="Calibri" w:hAnsi="Calibri" w:cs="Calibri"/>
                                    <w:sz w:val="28"/>
                                    <w:szCs w:val="28"/>
                                  </w:rPr>
                                  <w:t xml:space="preserve"> LCLM 5005 – </w:t>
                                </w:r>
                                <w:proofErr w:type="spellStart"/>
                                <w:r w:rsidRPr="00425C2D">
                                  <w:rPr>
                                    <w:rFonts w:ascii="Calibri" w:hAnsi="Calibri" w:cs="Calibri"/>
                                    <w:sz w:val="28"/>
                                    <w:szCs w:val="28"/>
                                  </w:rPr>
                                  <w:t>Organisational</w:t>
                                </w:r>
                                <w:proofErr w:type="spellEnd"/>
                                <w:r w:rsidRPr="00425C2D">
                                  <w:rPr>
                                    <w:rFonts w:ascii="Calibri" w:hAnsi="Calibri" w:cs="Calibri"/>
                                    <w:sz w:val="28"/>
                                    <w:szCs w:val="28"/>
                                  </w:rPr>
                                  <w:t xml:space="preserve"> Culture</w:t>
                                </w:r>
                              </w:p>
                              <w:p w14:paraId="68B27CA5" w14:textId="0902C03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Lecturer:</w:t>
                                </w:r>
                                <w:r w:rsidRPr="00425C2D">
                                  <w:rPr>
                                    <w:rFonts w:ascii="Calibri" w:hAnsi="Calibri" w:cs="Calibri"/>
                                    <w:sz w:val="28"/>
                                    <w:szCs w:val="28"/>
                                  </w:rPr>
                                  <w:t xml:space="preserve"> Ibrahim Rufai</w:t>
                                </w:r>
                              </w:p>
                              <w:p w14:paraId="2F60EADA"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Word Count:</w:t>
                                </w:r>
                                <w:r w:rsidRPr="00425C2D">
                                  <w:rPr>
                                    <w:rFonts w:ascii="Calibri" w:hAnsi="Calibri" w:cs="Calibri"/>
                                    <w:sz w:val="28"/>
                                    <w:szCs w:val="28"/>
                                  </w:rPr>
                                  <w:t xml:space="preserve"> 3185</w:t>
                                </w:r>
                              </w:p>
                              <w:p w14:paraId="341E69AA" w14:textId="77777777" w:rsidR="00425C2D" w:rsidRPr="00425C2D" w:rsidRDefault="00425C2D" w:rsidP="00425C2D">
                                <w:pPr>
                                  <w:rPr>
                                    <w:rFonts w:ascii="Calibri" w:hAnsi="Calibri" w:cs="Calibri"/>
                                    <w:sz w:val="28"/>
                                    <w:szCs w:val="28"/>
                                  </w:rPr>
                                </w:pPr>
                                <w:r w:rsidRPr="00425C2D">
                                  <w:rPr>
                                    <w:rFonts w:ascii="Calibri" w:hAnsi="Calibri" w:cs="Calibri"/>
                                    <w:sz w:val="28"/>
                                    <w:szCs w:val="28"/>
                                  </w:rPr>
                                  <w:t>Submission Date: 10.11.2025</w:t>
                                </w:r>
                              </w:p>
                              <w:p w14:paraId="408F94AB" w14:textId="1E5E6324" w:rsidR="00425C2D" w:rsidRDefault="00425C2D" w:rsidP="00425C2D">
                                <w:pPr>
                                  <w:pStyle w:val="NoSpacing"/>
                                  <w:jc w:val="center"/>
                                  <w:rPr>
                                    <w:color w:val="4F81BD" w:themeColor="accent1"/>
                                  </w:rPr>
                                </w:pPr>
                              </w:p>
                              <w:p w14:paraId="5F472E56" w14:textId="258F67A0" w:rsidR="00425C2D" w:rsidRDefault="00425C2D">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5C6BF7D" id="_x0000_t202" coordsize="21600,21600" o:spt="202" path="m,l,21600r21600,l21600,xe">
                    <v:stroke joinstyle="miter"/>
                    <v:path gradientshapeok="t" o:connecttype="rect"/>
                  </v:shapetype>
                  <v:shape id="Text Box 44" o:spid="_x0000_s1026" type="#_x0000_t202" style="position:absolute;margin-left:464.8pt;margin-top:562pt;width:516pt;height:168.6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" filled="f" stroked="f" strokeweight=".5pt">
                    <v:textbox inset="0,0,0,0">
                      <w:txbxContent>
                        <w:p w14:paraId="06ECAC03" w14:textId="382D8C45" w:rsidR="00425C2D" w:rsidRDefault="00425C2D">
                          <w:pPr>
                            <w:pStyle w:val="NoSpacing"/>
                            <w:spacing w:after="40"/>
                            <w:jc w:val="center"/>
                            <w:rPr>
                              <w:caps/>
                              <w:color w:val="4F81BD" w:themeColor="accent1"/>
                              <w:sz w:val="28"/>
                              <w:szCs w:val="28"/>
                            </w:rPr>
                          </w:pPr>
                        </w:p>
                        <w:p w14:paraId="260E21D7"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Student Name:</w:t>
                          </w:r>
                          <w:r w:rsidRPr="00425C2D">
                            <w:rPr>
                              <w:rFonts w:ascii="Calibri" w:hAnsi="Calibri" w:cs="Calibri"/>
                              <w:sz w:val="28"/>
                              <w:szCs w:val="28"/>
                            </w:rPr>
                            <w:t xml:space="preserve"> El Mostafa Majdouli</w:t>
                          </w:r>
                        </w:p>
                        <w:p w14:paraId="0734ECB5"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Student ID:</w:t>
                          </w:r>
                          <w:r w:rsidRPr="00425C2D">
                            <w:rPr>
                              <w:rFonts w:ascii="Calibri" w:hAnsi="Calibri" w:cs="Calibri"/>
                              <w:sz w:val="28"/>
                              <w:szCs w:val="28"/>
                            </w:rPr>
                            <w:t xml:space="preserve"> 2321812</w:t>
                          </w:r>
                        </w:p>
                        <w:p w14:paraId="146986B1"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Module:</w:t>
                          </w:r>
                          <w:r w:rsidRPr="00425C2D">
                            <w:rPr>
                              <w:rFonts w:ascii="Calibri" w:hAnsi="Calibri" w:cs="Calibri"/>
                              <w:sz w:val="28"/>
                              <w:szCs w:val="28"/>
                            </w:rPr>
                            <w:t xml:space="preserve"> LCLM 5005 – </w:t>
                          </w:r>
                          <w:proofErr w:type="spellStart"/>
                          <w:r w:rsidRPr="00425C2D">
                            <w:rPr>
                              <w:rFonts w:ascii="Calibri" w:hAnsi="Calibri" w:cs="Calibri"/>
                              <w:sz w:val="28"/>
                              <w:szCs w:val="28"/>
                            </w:rPr>
                            <w:t>Organisational</w:t>
                          </w:r>
                          <w:proofErr w:type="spellEnd"/>
                          <w:r w:rsidRPr="00425C2D">
                            <w:rPr>
                              <w:rFonts w:ascii="Calibri" w:hAnsi="Calibri" w:cs="Calibri"/>
                              <w:sz w:val="28"/>
                              <w:szCs w:val="28"/>
                            </w:rPr>
                            <w:t xml:space="preserve"> Culture</w:t>
                          </w:r>
                        </w:p>
                        <w:p w14:paraId="68B27CA5" w14:textId="0902C03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Lecturer:</w:t>
                          </w:r>
                          <w:r w:rsidRPr="00425C2D">
                            <w:rPr>
                              <w:rFonts w:ascii="Calibri" w:hAnsi="Calibri" w:cs="Calibri"/>
                              <w:sz w:val="28"/>
                              <w:szCs w:val="28"/>
                            </w:rPr>
                            <w:t xml:space="preserve"> Ibrahim Rufai</w:t>
                          </w:r>
                        </w:p>
                        <w:p w14:paraId="2F60EADA" w14:textId="77777777" w:rsidR="00425C2D" w:rsidRPr="00425C2D" w:rsidRDefault="00425C2D" w:rsidP="00425C2D">
                          <w:pPr>
                            <w:jc w:val="right"/>
                            <w:rPr>
                              <w:rFonts w:ascii="Calibri" w:hAnsi="Calibri" w:cs="Calibri"/>
                              <w:sz w:val="28"/>
                              <w:szCs w:val="28"/>
                            </w:rPr>
                          </w:pPr>
                          <w:r w:rsidRPr="00425C2D">
                            <w:rPr>
                              <w:rFonts w:ascii="Calibri" w:hAnsi="Calibri" w:cs="Calibri"/>
                              <w:b/>
                              <w:bCs/>
                              <w:sz w:val="28"/>
                              <w:szCs w:val="28"/>
                            </w:rPr>
                            <w:t>Word Count:</w:t>
                          </w:r>
                          <w:r w:rsidRPr="00425C2D">
                            <w:rPr>
                              <w:rFonts w:ascii="Calibri" w:hAnsi="Calibri" w:cs="Calibri"/>
                              <w:sz w:val="28"/>
                              <w:szCs w:val="28"/>
                            </w:rPr>
                            <w:t xml:space="preserve"> 3185</w:t>
                          </w:r>
                        </w:p>
                        <w:p w14:paraId="341E69AA" w14:textId="77777777" w:rsidR="00425C2D" w:rsidRPr="00425C2D" w:rsidRDefault="00425C2D" w:rsidP="00425C2D">
                          <w:pPr>
                            <w:rPr>
                              <w:rFonts w:ascii="Calibri" w:hAnsi="Calibri" w:cs="Calibri"/>
                              <w:sz w:val="28"/>
                              <w:szCs w:val="28"/>
                            </w:rPr>
                          </w:pPr>
                          <w:r w:rsidRPr="00425C2D">
                            <w:rPr>
                              <w:rFonts w:ascii="Calibri" w:hAnsi="Calibri" w:cs="Calibri"/>
                              <w:sz w:val="28"/>
                              <w:szCs w:val="28"/>
                            </w:rPr>
                            <w:t>Submission Date: 10.11.2025</w:t>
                          </w:r>
                        </w:p>
                        <w:p w14:paraId="408F94AB" w14:textId="1E5E6324" w:rsidR="00425C2D" w:rsidRDefault="00425C2D" w:rsidP="00425C2D">
                          <w:pPr>
                            <w:pStyle w:val="NoSpacing"/>
                            <w:jc w:val="center"/>
                            <w:rPr>
                              <w:color w:val="4F81BD" w:themeColor="accent1"/>
                            </w:rPr>
                          </w:pPr>
                        </w:p>
                        <w:p w14:paraId="5F472E56" w14:textId="258F67A0" w:rsidR="00425C2D" w:rsidRDefault="00425C2D">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mc:Fallback>
            </mc:AlternateContent>
          </w:r>
        </w:p>
        <w:p w14:paraId="70E126A5" w14:textId="4A65ED9F" w:rsidR="00425C2D" w:rsidRDefault="00425C2D" w:rsidP="00425C2D"/>
        <w:p w14:paraId="43073E55" w14:textId="6576B65F" w:rsidR="00425C2D" w:rsidRDefault="00425C2D" w:rsidP="00425C2D"/>
        <w:p w14:paraId="7ACEB4C8" w14:textId="77777777" w:rsidR="00425C2D" w:rsidRDefault="00425C2D" w:rsidP="00425C2D"/>
        <w:p w14:paraId="2B1A3481" w14:textId="5A112DB1" w:rsidR="00425C2D" w:rsidRDefault="00425C2D" w:rsidP="00425C2D"/>
        <w:p w14:paraId="1E2903DA" w14:textId="77777777" w:rsidR="00425C2D" w:rsidRDefault="00425C2D" w:rsidP="00425C2D"/>
        <w:p w14:paraId="62B6C849" w14:textId="676D911D" w:rsidR="00425C2D" w:rsidRDefault="00425C2D" w:rsidP="00425C2D"/>
      </w:sdtContent>
    </w:sdt>
    <w:p w14:paraId="4E7DBC2A" w14:textId="0E22A8EA" w:rsidR="004424B8" w:rsidRPr="00425C2D" w:rsidRDefault="00642219" w:rsidP="00425C2D">
      <w:pPr>
        <w:rPr>
          <w:rFonts w:ascii="Calibri" w:hAnsi="Calibri" w:cs="Calibri"/>
        </w:rPr>
      </w:pPr>
      <w:r w:rsidRPr="00425C2D">
        <w:rPr>
          <w:rFonts w:ascii="Calibri" w:hAnsi="Calibri" w:cs="Calibri"/>
          <w:b/>
          <w:bCs/>
        </w:rPr>
        <w:t>TABLE OF CONTENTS:</w:t>
      </w:r>
    </w:p>
    <w:p w14:paraId="022FB070" w14:textId="77777777" w:rsidR="004424B8" w:rsidRPr="00425C2D" w:rsidRDefault="004424B8" w:rsidP="004424B8">
      <w:pPr>
        <w:pStyle w:val="ListNumber"/>
        <w:numPr>
          <w:ilvl w:val="0"/>
          <w:numId w:val="0"/>
        </w:numPr>
        <w:ind w:left="360" w:hanging="360"/>
        <w:rPr>
          <w:rFonts w:ascii="Calibri" w:hAnsi="Calibri" w:cs="Calibri"/>
        </w:rPr>
      </w:pPr>
    </w:p>
    <w:p w14:paraId="1DCB39C2" w14:textId="4686AB55" w:rsidR="00165DB9" w:rsidRPr="00425C2D" w:rsidRDefault="00165DB9" w:rsidP="00165DB9">
      <w:pPr>
        <w:pStyle w:val="ListNumber"/>
        <w:numPr>
          <w:ilvl w:val="0"/>
          <w:numId w:val="15"/>
        </w:numPr>
        <w:rPr>
          <w:rFonts w:ascii="Calibri" w:hAnsi="Calibri" w:cs="Calibri"/>
        </w:rPr>
      </w:pPr>
      <w:r w:rsidRPr="00425C2D">
        <w:rPr>
          <w:rFonts w:ascii="Calibri" w:hAnsi="Calibri" w:cs="Calibri"/>
        </w:rPr>
        <w:t>INTRODUCTION</w:t>
      </w:r>
      <w:r w:rsidR="00425C2D">
        <w:rPr>
          <w:rFonts w:ascii="Calibri" w:hAnsi="Calibri" w:cs="Calibri"/>
        </w:rPr>
        <w:t xml:space="preserve"> ____________________________________________ page 2</w:t>
      </w:r>
    </w:p>
    <w:p w14:paraId="0D29FBE7" w14:textId="281638FC"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ORGANIZATIONAL CUTLURE OF TOYOTA </w:t>
      </w:r>
      <w:r w:rsidR="00425C2D">
        <w:rPr>
          <w:rFonts w:ascii="Calibri" w:hAnsi="Calibri" w:cs="Calibri"/>
        </w:rPr>
        <w:t>________________________page 2-3</w:t>
      </w:r>
    </w:p>
    <w:p w14:paraId="72F54B60" w14:textId="49301397"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INFLUENCE OF CULTURE ON STRUCTURE AND DECISION </w:t>
      </w:r>
      <w:proofErr w:type="gramStart"/>
      <w:r w:rsidR="00CE4550" w:rsidRPr="00425C2D">
        <w:rPr>
          <w:rFonts w:ascii="Calibri" w:hAnsi="Calibri" w:cs="Calibri"/>
        </w:rPr>
        <w:t xml:space="preserve">MAKING </w:t>
      </w:r>
      <w:r w:rsidR="00CE4550">
        <w:rPr>
          <w:rFonts w:ascii="Calibri" w:hAnsi="Calibri" w:cs="Calibri"/>
        </w:rPr>
        <w:t>_</w:t>
      </w:r>
      <w:r w:rsidR="00425C2D">
        <w:rPr>
          <w:rFonts w:ascii="Calibri" w:hAnsi="Calibri" w:cs="Calibri"/>
        </w:rPr>
        <w:t>_</w:t>
      </w:r>
      <w:proofErr w:type="gramEnd"/>
      <w:r w:rsidR="00425C2D">
        <w:rPr>
          <w:rFonts w:ascii="Calibri" w:hAnsi="Calibri" w:cs="Calibri"/>
        </w:rPr>
        <w:t>__page 3-4</w:t>
      </w:r>
    </w:p>
    <w:p w14:paraId="2025B633" w14:textId="7F887FD2"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IDENTIFYING CULTURAL TYPES: MODELS AND </w:t>
      </w:r>
      <w:r w:rsidR="00CE4550" w:rsidRPr="00425C2D">
        <w:rPr>
          <w:rFonts w:ascii="Calibri" w:hAnsi="Calibri" w:cs="Calibri"/>
        </w:rPr>
        <w:t xml:space="preserve">FRAMEWORKS </w:t>
      </w:r>
      <w:r w:rsidR="00CE4550">
        <w:rPr>
          <w:rFonts w:ascii="Calibri" w:hAnsi="Calibri" w:cs="Calibri"/>
        </w:rPr>
        <w:t>_</w:t>
      </w:r>
      <w:r w:rsidR="00425C2D">
        <w:rPr>
          <w:rFonts w:ascii="Calibri" w:hAnsi="Calibri" w:cs="Calibri"/>
        </w:rPr>
        <w:t>_______page 5-6</w:t>
      </w:r>
    </w:p>
    <w:p w14:paraId="07BA6EB4" w14:textId="5DC249D4"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CULTURE AND EXTERNAL </w:t>
      </w:r>
      <w:r w:rsidR="00CE4550" w:rsidRPr="00425C2D">
        <w:rPr>
          <w:rFonts w:ascii="Calibri" w:hAnsi="Calibri" w:cs="Calibri"/>
        </w:rPr>
        <w:t>ENVIRONMENT</w:t>
      </w:r>
      <w:r w:rsidR="00CE4550">
        <w:rPr>
          <w:rFonts w:ascii="Calibri" w:hAnsi="Calibri" w:cs="Calibri"/>
        </w:rPr>
        <w:t xml:space="preserve"> _________________________page 6</w:t>
      </w:r>
    </w:p>
    <w:p w14:paraId="73700FB4" w14:textId="7BA19D89"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ORGANIZATIONAL CULTURE AS A </w:t>
      </w:r>
      <w:r w:rsidR="00CE4550" w:rsidRPr="00425C2D">
        <w:rPr>
          <w:rFonts w:ascii="Calibri" w:hAnsi="Calibri" w:cs="Calibri"/>
        </w:rPr>
        <w:t>BARRIER</w:t>
      </w:r>
      <w:r w:rsidR="00CE4550">
        <w:rPr>
          <w:rFonts w:ascii="Calibri" w:hAnsi="Calibri" w:cs="Calibri"/>
        </w:rPr>
        <w:t xml:space="preserve"> _______________________page 7</w:t>
      </w:r>
    </w:p>
    <w:p w14:paraId="5BED4A1B" w14:textId="22D767F1"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IMPACT OF CULTURE ON ORGANIZATIONAL </w:t>
      </w:r>
      <w:proofErr w:type="gramStart"/>
      <w:r w:rsidR="00CE4550" w:rsidRPr="00425C2D">
        <w:rPr>
          <w:rFonts w:ascii="Calibri" w:hAnsi="Calibri" w:cs="Calibri"/>
        </w:rPr>
        <w:t>PERFORM</w:t>
      </w:r>
      <w:r w:rsidR="00CE4550">
        <w:rPr>
          <w:rFonts w:ascii="Calibri" w:hAnsi="Calibri" w:cs="Calibri"/>
        </w:rPr>
        <w:t>AN</w:t>
      </w:r>
      <w:r w:rsidR="00CE4550" w:rsidRPr="00425C2D">
        <w:rPr>
          <w:rFonts w:ascii="Calibri" w:hAnsi="Calibri" w:cs="Calibri"/>
        </w:rPr>
        <w:t>CE</w:t>
      </w:r>
      <w:r w:rsidR="00CE4550">
        <w:rPr>
          <w:rFonts w:ascii="Calibri" w:hAnsi="Calibri" w:cs="Calibri"/>
        </w:rPr>
        <w:t xml:space="preserve"> __</w:t>
      </w:r>
      <w:proofErr w:type="gramEnd"/>
      <w:r w:rsidR="00CE4550">
        <w:rPr>
          <w:rFonts w:ascii="Calibri" w:hAnsi="Calibri" w:cs="Calibri"/>
        </w:rPr>
        <w:t>_____ page 7-8</w:t>
      </w:r>
    </w:p>
    <w:p w14:paraId="1B26CE80" w14:textId="11D9C2E7"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CONCLUSION </w:t>
      </w:r>
      <w:r w:rsidR="00CE4550">
        <w:rPr>
          <w:rFonts w:ascii="Calibri" w:hAnsi="Calibri" w:cs="Calibri"/>
        </w:rPr>
        <w:t>________________________________________________page 8-9</w:t>
      </w:r>
    </w:p>
    <w:p w14:paraId="40A9344D" w14:textId="1317A342" w:rsidR="00165DB9" w:rsidRPr="00425C2D" w:rsidRDefault="00165DB9" w:rsidP="00165DB9">
      <w:pPr>
        <w:pStyle w:val="ListNumber"/>
        <w:numPr>
          <w:ilvl w:val="0"/>
          <w:numId w:val="15"/>
        </w:numPr>
        <w:rPr>
          <w:rFonts w:ascii="Calibri" w:hAnsi="Calibri" w:cs="Calibri"/>
        </w:rPr>
      </w:pPr>
      <w:r w:rsidRPr="00425C2D">
        <w:rPr>
          <w:rFonts w:ascii="Calibri" w:hAnsi="Calibri" w:cs="Calibri"/>
        </w:rPr>
        <w:t xml:space="preserve">REFERENCES </w:t>
      </w:r>
      <w:r w:rsidR="00CE4550">
        <w:rPr>
          <w:rFonts w:ascii="Calibri" w:hAnsi="Calibri" w:cs="Calibri"/>
        </w:rPr>
        <w:t>________________________________________________ PAGE 10-11</w:t>
      </w:r>
    </w:p>
    <w:p w14:paraId="11223DFB" w14:textId="77777777" w:rsidR="004424B8" w:rsidRPr="00425C2D" w:rsidRDefault="004424B8" w:rsidP="004424B8">
      <w:pPr>
        <w:pStyle w:val="ListNumber"/>
        <w:numPr>
          <w:ilvl w:val="0"/>
          <w:numId w:val="0"/>
        </w:numPr>
        <w:ind w:left="360" w:hanging="360"/>
        <w:rPr>
          <w:rFonts w:ascii="Calibri" w:hAnsi="Calibri" w:cs="Calibri"/>
        </w:rPr>
      </w:pPr>
    </w:p>
    <w:p w14:paraId="7FFAECC8" w14:textId="77777777" w:rsidR="004424B8" w:rsidRPr="00425C2D" w:rsidRDefault="004424B8" w:rsidP="00165DB9">
      <w:pPr>
        <w:pStyle w:val="ListNumber"/>
        <w:numPr>
          <w:ilvl w:val="0"/>
          <w:numId w:val="0"/>
        </w:numPr>
        <w:rPr>
          <w:rFonts w:ascii="Calibri" w:hAnsi="Calibri" w:cs="Calibri"/>
        </w:rPr>
      </w:pPr>
    </w:p>
    <w:p w14:paraId="05B7A132" w14:textId="77777777" w:rsidR="00165DB9" w:rsidRPr="00425C2D" w:rsidRDefault="00165DB9" w:rsidP="00165DB9">
      <w:pPr>
        <w:pStyle w:val="ListNumber"/>
        <w:numPr>
          <w:ilvl w:val="0"/>
          <w:numId w:val="0"/>
        </w:numPr>
        <w:rPr>
          <w:rFonts w:ascii="Calibri" w:hAnsi="Calibri" w:cs="Calibri"/>
        </w:rPr>
      </w:pPr>
    </w:p>
    <w:p w14:paraId="2B68E734" w14:textId="77777777" w:rsidR="004424B8" w:rsidRPr="00425C2D" w:rsidRDefault="004424B8" w:rsidP="004424B8">
      <w:pPr>
        <w:pStyle w:val="ListNumber"/>
        <w:numPr>
          <w:ilvl w:val="0"/>
          <w:numId w:val="0"/>
        </w:numPr>
        <w:ind w:left="360" w:hanging="360"/>
        <w:rPr>
          <w:rFonts w:ascii="Calibri" w:hAnsi="Calibri" w:cs="Calibri"/>
        </w:rPr>
      </w:pPr>
    </w:p>
    <w:p w14:paraId="61C0B7ED" w14:textId="77777777" w:rsidR="004424B8" w:rsidRPr="00425C2D" w:rsidRDefault="004424B8" w:rsidP="004424B8">
      <w:pPr>
        <w:pStyle w:val="ListNumber"/>
        <w:numPr>
          <w:ilvl w:val="0"/>
          <w:numId w:val="0"/>
        </w:numPr>
        <w:ind w:left="360" w:hanging="360"/>
        <w:rPr>
          <w:rFonts w:ascii="Calibri" w:hAnsi="Calibri" w:cs="Calibri"/>
        </w:rPr>
      </w:pPr>
    </w:p>
    <w:p w14:paraId="3A4BBD3D" w14:textId="77777777" w:rsidR="004424B8" w:rsidRPr="00425C2D" w:rsidRDefault="004424B8" w:rsidP="004424B8">
      <w:pPr>
        <w:pStyle w:val="ListNumber"/>
        <w:numPr>
          <w:ilvl w:val="0"/>
          <w:numId w:val="0"/>
        </w:numPr>
        <w:ind w:left="360" w:hanging="360"/>
        <w:rPr>
          <w:rFonts w:ascii="Calibri" w:hAnsi="Calibri" w:cs="Calibri"/>
        </w:rPr>
      </w:pPr>
    </w:p>
    <w:p w14:paraId="68A1BDF7" w14:textId="3BD81ADA" w:rsidR="004424B8" w:rsidRPr="00425C2D" w:rsidRDefault="004424B8" w:rsidP="004424B8">
      <w:pPr>
        <w:pStyle w:val="ListNumber"/>
        <w:numPr>
          <w:ilvl w:val="0"/>
          <w:numId w:val="0"/>
        </w:numPr>
        <w:ind w:left="360" w:hanging="360"/>
        <w:rPr>
          <w:rFonts w:ascii="Calibri" w:hAnsi="Calibri" w:cs="Calibri"/>
        </w:rPr>
      </w:pPr>
    </w:p>
    <w:p w14:paraId="2850FBAB" w14:textId="77777777" w:rsidR="004424B8" w:rsidRPr="00425C2D" w:rsidRDefault="004424B8" w:rsidP="004424B8">
      <w:pPr>
        <w:pStyle w:val="ListNumber"/>
        <w:numPr>
          <w:ilvl w:val="0"/>
          <w:numId w:val="0"/>
        </w:numPr>
        <w:ind w:left="360" w:hanging="360"/>
        <w:rPr>
          <w:rFonts w:ascii="Calibri" w:hAnsi="Calibri" w:cs="Calibri"/>
        </w:rPr>
      </w:pPr>
    </w:p>
    <w:p w14:paraId="643F3473" w14:textId="77777777" w:rsidR="004424B8" w:rsidRPr="00425C2D" w:rsidRDefault="004424B8" w:rsidP="004424B8">
      <w:pPr>
        <w:pStyle w:val="ListNumber"/>
        <w:numPr>
          <w:ilvl w:val="0"/>
          <w:numId w:val="0"/>
        </w:numPr>
        <w:ind w:left="360" w:hanging="360"/>
        <w:rPr>
          <w:rFonts w:ascii="Calibri" w:hAnsi="Calibri" w:cs="Calibri"/>
        </w:rPr>
      </w:pPr>
    </w:p>
    <w:p w14:paraId="1C07FC76" w14:textId="77777777" w:rsidR="004424B8" w:rsidRPr="00425C2D" w:rsidRDefault="004424B8" w:rsidP="004424B8">
      <w:pPr>
        <w:pStyle w:val="ListNumber"/>
        <w:numPr>
          <w:ilvl w:val="0"/>
          <w:numId w:val="0"/>
        </w:numPr>
        <w:ind w:left="360" w:hanging="360"/>
        <w:rPr>
          <w:rFonts w:ascii="Calibri" w:hAnsi="Calibri" w:cs="Calibri"/>
        </w:rPr>
      </w:pPr>
    </w:p>
    <w:p w14:paraId="679542E0" w14:textId="77777777" w:rsidR="004424B8" w:rsidRPr="00425C2D" w:rsidRDefault="004424B8" w:rsidP="004424B8">
      <w:pPr>
        <w:pStyle w:val="ListNumber"/>
        <w:numPr>
          <w:ilvl w:val="0"/>
          <w:numId w:val="0"/>
        </w:numPr>
        <w:ind w:left="360" w:hanging="360"/>
        <w:rPr>
          <w:rFonts w:ascii="Calibri" w:hAnsi="Calibri" w:cs="Calibri"/>
        </w:rPr>
      </w:pPr>
    </w:p>
    <w:p w14:paraId="23B035CA" w14:textId="77777777" w:rsidR="004424B8" w:rsidRPr="00425C2D" w:rsidRDefault="004424B8" w:rsidP="004424B8">
      <w:pPr>
        <w:pStyle w:val="ListNumber"/>
        <w:numPr>
          <w:ilvl w:val="0"/>
          <w:numId w:val="0"/>
        </w:numPr>
        <w:ind w:left="360" w:hanging="360"/>
        <w:rPr>
          <w:rFonts w:ascii="Calibri" w:hAnsi="Calibri" w:cs="Calibri"/>
        </w:rPr>
      </w:pPr>
    </w:p>
    <w:p w14:paraId="07A07EB6" w14:textId="77777777" w:rsidR="004424B8" w:rsidRPr="00425C2D" w:rsidRDefault="004424B8" w:rsidP="004424B8">
      <w:pPr>
        <w:pStyle w:val="ListNumber"/>
        <w:numPr>
          <w:ilvl w:val="0"/>
          <w:numId w:val="0"/>
        </w:numPr>
        <w:ind w:left="360" w:hanging="360"/>
        <w:rPr>
          <w:rFonts w:ascii="Calibri" w:hAnsi="Calibri" w:cs="Calibri"/>
        </w:rPr>
      </w:pPr>
    </w:p>
    <w:p w14:paraId="63350110" w14:textId="77777777" w:rsidR="004424B8" w:rsidRPr="00425C2D" w:rsidRDefault="004424B8" w:rsidP="004424B8">
      <w:pPr>
        <w:pStyle w:val="ListNumber"/>
        <w:numPr>
          <w:ilvl w:val="0"/>
          <w:numId w:val="0"/>
        </w:numPr>
        <w:ind w:left="360" w:hanging="360"/>
        <w:rPr>
          <w:rFonts w:ascii="Calibri" w:hAnsi="Calibri" w:cs="Calibri"/>
        </w:rPr>
      </w:pPr>
    </w:p>
    <w:p w14:paraId="7A083174" w14:textId="77777777" w:rsidR="004424B8" w:rsidRPr="00425C2D" w:rsidRDefault="004424B8" w:rsidP="004424B8">
      <w:pPr>
        <w:pStyle w:val="ListNumber"/>
        <w:numPr>
          <w:ilvl w:val="0"/>
          <w:numId w:val="0"/>
        </w:numPr>
        <w:ind w:left="360" w:hanging="360"/>
        <w:rPr>
          <w:rFonts w:ascii="Calibri" w:hAnsi="Calibri" w:cs="Calibri"/>
        </w:rPr>
      </w:pPr>
    </w:p>
    <w:p w14:paraId="650B808A" w14:textId="77777777" w:rsidR="004424B8" w:rsidRPr="00425C2D" w:rsidRDefault="004424B8" w:rsidP="004424B8">
      <w:pPr>
        <w:pStyle w:val="ListNumber"/>
        <w:numPr>
          <w:ilvl w:val="0"/>
          <w:numId w:val="0"/>
        </w:numPr>
        <w:ind w:left="360" w:hanging="360"/>
        <w:rPr>
          <w:rFonts w:ascii="Calibri" w:hAnsi="Calibri" w:cs="Calibri"/>
        </w:rPr>
      </w:pPr>
    </w:p>
    <w:p w14:paraId="465031D7" w14:textId="77777777" w:rsidR="004424B8" w:rsidRPr="00425C2D" w:rsidRDefault="004424B8" w:rsidP="004424B8">
      <w:pPr>
        <w:pStyle w:val="ListNumber"/>
        <w:numPr>
          <w:ilvl w:val="0"/>
          <w:numId w:val="0"/>
        </w:numPr>
        <w:ind w:left="360" w:hanging="360"/>
        <w:rPr>
          <w:rFonts w:ascii="Calibri" w:hAnsi="Calibri" w:cs="Calibri"/>
        </w:rPr>
      </w:pPr>
    </w:p>
    <w:p w14:paraId="3F31970F" w14:textId="77777777" w:rsidR="00642219" w:rsidRDefault="00642219" w:rsidP="00910EF6">
      <w:pPr>
        <w:rPr>
          <w:rFonts w:ascii="Calibri" w:hAnsi="Calibri" w:cs="Calibri"/>
          <w:b/>
          <w:bCs/>
          <w:lang w:val="en-GB"/>
        </w:rPr>
      </w:pPr>
    </w:p>
    <w:p w14:paraId="0CB98470" w14:textId="77777777" w:rsidR="00425C2D" w:rsidRDefault="00425C2D" w:rsidP="00910EF6">
      <w:pPr>
        <w:rPr>
          <w:rFonts w:ascii="Calibri" w:hAnsi="Calibri" w:cs="Calibri"/>
          <w:b/>
          <w:bCs/>
          <w:lang w:val="en-GB"/>
        </w:rPr>
      </w:pPr>
    </w:p>
    <w:p w14:paraId="45116FA5" w14:textId="77777777" w:rsidR="00425C2D" w:rsidRDefault="00425C2D" w:rsidP="00910EF6">
      <w:pPr>
        <w:rPr>
          <w:rFonts w:ascii="Calibri" w:hAnsi="Calibri" w:cs="Calibri"/>
          <w:b/>
          <w:bCs/>
          <w:lang w:val="en-GB"/>
        </w:rPr>
      </w:pPr>
    </w:p>
    <w:p w14:paraId="77ADA829" w14:textId="77777777" w:rsidR="00425C2D" w:rsidRDefault="00425C2D" w:rsidP="00910EF6">
      <w:pPr>
        <w:rPr>
          <w:rFonts w:ascii="Calibri" w:hAnsi="Calibri" w:cs="Calibri"/>
          <w:b/>
          <w:bCs/>
          <w:lang w:val="en-GB"/>
        </w:rPr>
      </w:pPr>
    </w:p>
    <w:p w14:paraId="4A5D2700" w14:textId="77777777" w:rsidR="00425C2D" w:rsidRDefault="00425C2D" w:rsidP="00910EF6">
      <w:pPr>
        <w:rPr>
          <w:rFonts w:ascii="Calibri" w:hAnsi="Calibri" w:cs="Calibri"/>
          <w:b/>
          <w:bCs/>
          <w:lang w:val="en-GB"/>
        </w:rPr>
      </w:pPr>
    </w:p>
    <w:p w14:paraId="1BFBFB40" w14:textId="77777777" w:rsidR="00425C2D" w:rsidRDefault="00425C2D" w:rsidP="00910EF6">
      <w:pPr>
        <w:rPr>
          <w:rFonts w:ascii="Calibri" w:hAnsi="Calibri" w:cs="Calibri"/>
          <w:b/>
          <w:bCs/>
          <w:lang w:val="en-GB"/>
        </w:rPr>
      </w:pPr>
    </w:p>
    <w:p w14:paraId="092AD1D0" w14:textId="77777777" w:rsidR="00425C2D" w:rsidRPr="00425C2D" w:rsidRDefault="00425C2D" w:rsidP="00910EF6">
      <w:pPr>
        <w:rPr>
          <w:rFonts w:ascii="Calibri" w:hAnsi="Calibri" w:cs="Calibri"/>
          <w:b/>
          <w:bCs/>
          <w:lang w:val="en-GB"/>
        </w:rPr>
      </w:pPr>
    </w:p>
    <w:p w14:paraId="69016961" w14:textId="02D594C7" w:rsidR="00910EF6" w:rsidRPr="00425C2D" w:rsidRDefault="00642219" w:rsidP="00165DB9">
      <w:pPr>
        <w:pStyle w:val="ListParagraph"/>
        <w:numPr>
          <w:ilvl w:val="0"/>
          <w:numId w:val="14"/>
        </w:numPr>
        <w:rPr>
          <w:rFonts w:ascii="Calibri" w:hAnsi="Calibri" w:cs="Calibri"/>
          <w:b/>
          <w:bCs/>
          <w:lang w:val="en-GB"/>
        </w:rPr>
      </w:pPr>
      <w:r w:rsidRPr="00425C2D">
        <w:rPr>
          <w:rFonts w:ascii="Calibri" w:hAnsi="Calibri" w:cs="Calibri"/>
          <w:b/>
          <w:bCs/>
          <w:lang w:val="en-GB"/>
        </w:rPr>
        <w:lastRenderedPageBreak/>
        <w:t>INTRODUCTION</w:t>
      </w:r>
    </w:p>
    <w:p w14:paraId="76349988" w14:textId="77777777" w:rsidR="00910EF6" w:rsidRPr="00910EF6" w:rsidRDefault="00910EF6" w:rsidP="00910EF6">
      <w:pPr>
        <w:rPr>
          <w:rFonts w:ascii="Calibri" w:hAnsi="Calibri" w:cs="Calibri"/>
          <w:lang w:val="en-GB"/>
        </w:rPr>
      </w:pPr>
      <w:r w:rsidRPr="00910EF6">
        <w:rPr>
          <w:rFonts w:ascii="Calibri" w:hAnsi="Calibri" w:cs="Calibri"/>
          <w:lang w:val="en-GB"/>
        </w:rPr>
        <w:t>Organisational culture refers to the shared values, beliefs, norms, and practices that shape how individuals within an organisation interact, make decisions, and approach their work. It is often described as “how things are done around here,” influencing everything from leadership styles and communication patterns to motivation and job satisfaction. As Mullins and Christy (2016) argue, culture plays a pivotal role in shaping organisational processes, especially in today’s globalised and complex business environments where managing cultural diversity is essential for coherence and performance.</w:t>
      </w:r>
    </w:p>
    <w:p w14:paraId="5AF2FACE" w14:textId="4569693A" w:rsidR="00910EF6" w:rsidRPr="00910EF6" w:rsidRDefault="00910EF6" w:rsidP="00910EF6">
      <w:pPr>
        <w:rPr>
          <w:rFonts w:ascii="Calibri" w:hAnsi="Calibri" w:cs="Calibri"/>
          <w:lang w:val="en-GB"/>
        </w:rPr>
      </w:pPr>
      <w:r w:rsidRPr="00910EF6">
        <w:rPr>
          <w:rFonts w:ascii="Calibri" w:hAnsi="Calibri" w:cs="Calibri"/>
          <w:lang w:val="en-GB"/>
        </w:rPr>
        <w:t>This report focuses on Toyota Motor Corporation, a global leader in automotive manufacturing renowned for its innovation, operational excellence, and distinctive corporate philosophy. Toyota’s organisational culture</w:t>
      </w:r>
      <w:r w:rsidRPr="00425C2D">
        <w:rPr>
          <w:rFonts w:ascii="Calibri" w:hAnsi="Calibri" w:cs="Calibri"/>
          <w:lang w:val="en-GB"/>
        </w:rPr>
        <w:t xml:space="preserve"> is </w:t>
      </w:r>
      <w:r w:rsidRPr="00910EF6">
        <w:rPr>
          <w:rFonts w:ascii="Calibri" w:hAnsi="Calibri" w:cs="Calibri"/>
          <w:lang w:val="en-GB"/>
        </w:rPr>
        <w:t>rooted in principles such as continuous improvement (Kaizen), respect for people, and long-term thinking</w:t>
      </w:r>
      <w:r w:rsidRPr="00425C2D">
        <w:rPr>
          <w:rFonts w:ascii="Calibri" w:hAnsi="Calibri" w:cs="Calibri"/>
          <w:lang w:val="en-GB"/>
        </w:rPr>
        <w:t xml:space="preserve"> </w:t>
      </w:r>
      <w:r w:rsidRPr="00910EF6">
        <w:rPr>
          <w:rFonts w:ascii="Calibri" w:hAnsi="Calibri" w:cs="Calibri"/>
          <w:lang w:val="en-GB"/>
        </w:rPr>
        <w:t>has been instrumental in shaping its structure, decision-making processes, and global success.</w:t>
      </w:r>
    </w:p>
    <w:p w14:paraId="368C892D" w14:textId="77777777" w:rsidR="00910EF6" w:rsidRPr="00910EF6" w:rsidRDefault="00910EF6" w:rsidP="00910EF6">
      <w:pPr>
        <w:rPr>
          <w:rFonts w:ascii="Calibri" w:hAnsi="Calibri" w:cs="Calibri"/>
          <w:lang w:val="en-GB"/>
        </w:rPr>
      </w:pPr>
      <w:r w:rsidRPr="00910EF6">
        <w:rPr>
          <w:rFonts w:ascii="Calibri" w:hAnsi="Calibri" w:cs="Calibri"/>
          <w:lang w:val="en-GB"/>
        </w:rPr>
        <w:t>The report will critically assess how Toyota’s organisational culture influences its structural design and decision-making. It will apply relevant theoretical frameworks, including Schein’s model of organisational culture, Hofstede’s cultural dimensions, and Handy’s cultural types, to identify and analyse the cultural characteristics of Toyota. Furthermore, the report will explore how Toyota leverages its culture to adapt to external environmental challenges, evaluate whether culture acts as a barrier to effective functioning, and assess its impact on organisational performance. Finally, recommendations will be provided to enhance Toyota’s cultural effectiveness in a rapidly evolving global context.</w:t>
      </w:r>
    </w:p>
    <w:p w14:paraId="4DFDECDC" w14:textId="77777777" w:rsidR="00910EF6" w:rsidRPr="00425C2D" w:rsidRDefault="00910EF6" w:rsidP="00FE5325">
      <w:pPr>
        <w:rPr>
          <w:rFonts w:ascii="Calibri" w:hAnsi="Calibri" w:cs="Calibri"/>
        </w:rPr>
      </w:pPr>
    </w:p>
    <w:p w14:paraId="5227AF57" w14:textId="715DAE0E" w:rsidR="005D44EA" w:rsidRPr="00425C2D" w:rsidRDefault="00642219" w:rsidP="00165DB9">
      <w:pPr>
        <w:pStyle w:val="ListParagraph"/>
        <w:numPr>
          <w:ilvl w:val="0"/>
          <w:numId w:val="14"/>
        </w:numPr>
        <w:rPr>
          <w:rFonts w:ascii="Calibri" w:hAnsi="Calibri" w:cs="Calibri"/>
          <w:b/>
          <w:bCs/>
        </w:rPr>
      </w:pPr>
      <w:r w:rsidRPr="00425C2D">
        <w:rPr>
          <w:rFonts w:ascii="Calibri" w:hAnsi="Calibri" w:cs="Calibri"/>
          <w:b/>
          <w:bCs/>
        </w:rPr>
        <w:t>ORGANISATIONAL CULTURE OF TOYOTA</w:t>
      </w:r>
    </w:p>
    <w:p w14:paraId="069073A9" w14:textId="77777777" w:rsidR="00910EF6" w:rsidRPr="00910EF6" w:rsidRDefault="00910EF6" w:rsidP="00910EF6">
      <w:pPr>
        <w:rPr>
          <w:rFonts w:ascii="Calibri" w:hAnsi="Calibri" w:cs="Calibri"/>
          <w:lang w:val="en-GB"/>
        </w:rPr>
      </w:pPr>
      <w:r w:rsidRPr="00910EF6">
        <w:rPr>
          <w:rFonts w:ascii="Calibri" w:hAnsi="Calibri" w:cs="Calibri"/>
          <w:lang w:val="en-GB"/>
        </w:rPr>
        <w:t>Toyota’s organisational culture is widely regarded as one of the most distinctive and influential in the global automotive industry. Rooted in Japanese management philosophy, it is shaped by a commitment to continuous improvement (</w:t>
      </w:r>
      <w:r w:rsidRPr="00910EF6">
        <w:rPr>
          <w:rFonts w:ascii="Calibri" w:hAnsi="Calibri" w:cs="Calibri"/>
          <w:i/>
          <w:iCs/>
          <w:lang w:val="en-GB"/>
        </w:rPr>
        <w:t>Kaizen</w:t>
      </w:r>
      <w:r w:rsidRPr="00910EF6">
        <w:rPr>
          <w:rFonts w:ascii="Calibri" w:hAnsi="Calibri" w:cs="Calibri"/>
          <w:lang w:val="en-GB"/>
        </w:rPr>
        <w:t>), respect for people, and long-term strategic thinking. These principles are encapsulated in the Toyota Way, a codified set of values and behaviours that guide employee conduct and managerial decision-making across the company’s global operations (Liker, 2004).</w:t>
      </w:r>
    </w:p>
    <w:p w14:paraId="6EB1D3C9" w14:textId="77777777" w:rsidR="00910EF6" w:rsidRPr="00910EF6" w:rsidRDefault="00910EF6" w:rsidP="00910EF6">
      <w:pPr>
        <w:rPr>
          <w:rFonts w:ascii="Calibri" w:hAnsi="Calibri" w:cs="Calibri"/>
          <w:lang w:val="en-GB"/>
        </w:rPr>
      </w:pPr>
      <w:r w:rsidRPr="00910EF6">
        <w:rPr>
          <w:rFonts w:ascii="Calibri" w:hAnsi="Calibri" w:cs="Calibri"/>
          <w:lang w:val="en-GB"/>
        </w:rPr>
        <w:t xml:space="preserve">At the heart of Toyota’s culture is </w:t>
      </w:r>
      <w:r w:rsidRPr="00910EF6">
        <w:rPr>
          <w:rFonts w:ascii="Calibri" w:hAnsi="Calibri" w:cs="Calibri"/>
          <w:i/>
          <w:iCs/>
          <w:lang w:val="en-GB"/>
        </w:rPr>
        <w:t>Kaizen</w:t>
      </w:r>
      <w:r w:rsidRPr="00910EF6">
        <w:rPr>
          <w:rFonts w:ascii="Calibri" w:hAnsi="Calibri" w:cs="Calibri"/>
          <w:lang w:val="en-GB"/>
        </w:rPr>
        <w:t>, which promotes incremental innovation through employee involvement at all levels. This philosophy fosters a participatory environment where workers are empowered to identify inefficiencies and propose solutions, thereby embedding innovation into the daily rhythm of operations (Imai, 1986). The emphasis on respect for people is equally central, manifesting in Toyota’s commitment to long-term employment, internal promotion, and collaborative problem-solving. This cultural orientation has contributed to high levels of employee engagement and operational consistency (Liker &amp; Hoseus, 2008).</w:t>
      </w:r>
    </w:p>
    <w:p w14:paraId="3716CB78" w14:textId="20AFC621" w:rsidR="00910EF6" w:rsidRPr="00910EF6" w:rsidRDefault="00910EF6" w:rsidP="00910EF6">
      <w:pPr>
        <w:rPr>
          <w:rFonts w:ascii="Calibri" w:hAnsi="Calibri" w:cs="Calibri"/>
          <w:lang w:val="en-GB"/>
        </w:rPr>
      </w:pPr>
      <w:r w:rsidRPr="00910EF6">
        <w:rPr>
          <w:rFonts w:ascii="Calibri" w:hAnsi="Calibri" w:cs="Calibri"/>
          <w:lang w:val="en-GB"/>
        </w:rPr>
        <w:lastRenderedPageBreak/>
        <w:t>Using Schein’s (2010) model of organisational culture, Toyota’s culture can be understood across three levels. At the surface level, observable artefacts include standardised work procedures, visual management tools, and structured team meetings. These reflect deeper espoused values such as quality, customer satisfaction, and mutual respect. At the core are basic underlying assumptions</w:t>
      </w:r>
      <w:r w:rsidRPr="00425C2D">
        <w:rPr>
          <w:rFonts w:ascii="Calibri" w:hAnsi="Calibri" w:cs="Calibri"/>
          <w:lang w:val="en-GB"/>
        </w:rPr>
        <w:t xml:space="preserve"> </w:t>
      </w:r>
      <w:r w:rsidRPr="00910EF6">
        <w:rPr>
          <w:rFonts w:ascii="Calibri" w:hAnsi="Calibri" w:cs="Calibri"/>
          <w:lang w:val="en-GB"/>
        </w:rPr>
        <w:t>such as the belief in collective responsibility and the value of learning from failure</w:t>
      </w:r>
      <w:r w:rsidRPr="00425C2D">
        <w:rPr>
          <w:rFonts w:ascii="Calibri" w:hAnsi="Calibri" w:cs="Calibri"/>
          <w:lang w:val="en-GB"/>
        </w:rPr>
        <w:t xml:space="preserve">, </w:t>
      </w:r>
      <w:r w:rsidRPr="00910EF6">
        <w:rPr>
          <w:rFonts w:ascii="Calibri" w:hAnsi="Calibri" w:cs="Calibri"/>
          <w:lang w:val="en-GB"/>
        </w:rPr>
        <w:t>which shape the company’s approach to leadership and strategic planning.</w:t>
      </w:r>
    </w:p>
    <w:p w14:paraId="00888168" w14:textId="77777777" w:rsidR="00910EF6" w:rsidRPr="00910EF6" w:rsidRDefault="00910EF6" w:rsidP="00910EF6">
      <w:pPr>
        <w:rPr>
          <w:rFonts w:ascii="Calibri" w:hAnsi="Calibri" w:cs="Calibri"/>
          <w:lang w:val="en-GB"/>
        </w:rPr>
      </w:pPr>
      <w:r w:rsidRPr="00910EF6">
        <w:rPr>
          <w:rFonts w:ascii="Calibri" w:hAnsi="Calibri" w:cs="Calibri"/>
          <w:lang w:val="en-GB"/>
        </w:rPr>
        <w:t>Hofstede’s cultural dimensions also offer insight into Toyota’s cultural profile. The company exhibits high collectivism, where group harmony and consensus are prioritised over individual autonomy. This is evident in its decision-making processes, which often involve extensive consultation and deliberation (Hofstede Insights, 2023). Toyota also scores high on uncertainty avoidance, favouring structured processes and risk mitigation strategies. Its long-term orientation is reflected in its strategic patience and investment in employee development, often prioritising sustainable growth over short-term profitability (Hofstede, 2001).</w:t>
      </w:r>
    </w:p>
    <w:p w14:paraId="0FD918D9" w14:textId="77777777" w:rsidR="00910EF6" w:rsidRPr="00910EF6" w:rsidRDefault="00910EF6" w:rsidP="00910EF6">
      <w:pPr>
        <w:rPr>
          <w:rFonts w:ascii="Calibri" w:hAnsi="Calibri" w:cs="Calibri"/>
          <w:lang w:val="en-GB"/>
        </w:rPr>
      </w:pPr>
      <w:r w:rsidRPr="00910EF6">
        <w:rPr>
          <w:rFonts w:ascii="Calibri" w:hAnsi="Calibri" w:cs="Calibri"/>
          <w:lang w:val="en-GB"/>
        </w:rPr>
        <w:t>Handy’s (1993) typology suggests that Toyota predominantly operates within a role culture, characterised by clearly defined responsibilities and hierarchical structures. However, elements of task culture emerge in its engineering and product development teams, where cross-functional collaboration and project-based work are common. This hybrid approach allows Toyota to maintain operational stability while remaining agile in responding to technological and market changes.</w:t>
      </w:r>
    </w:p>
    <w:p w14:paraId="169AFACD" w14:textId="77777777" w:rsidR="00910EF6" w:rsidRPr="00910EF6" w:rsidRDefault="00910EF6" w:rsidP="00910EF6">
      <w:pPr>
        <w:rPr>
          <w:rFonts w:ascii="Calibri" w:hAnsi="Calibri" w:cs="Calibri"/>
          <w:lang w:val="en-GB"/>
        </w:rPr>
      </w:pPr>
      <w:r w:rsidRPr="00910EF6">
        <w:rPr>
          <w:rFonts w:ascii="Calibri" w:hAnsi="Calibri" w:cs="Calibri"/>
          <w:lang w:val="en-GB"/>
        </w:rPr>
        <w:t>Despite its strengths, Toyota’s culture is not without limitations. The company has been criticised for its insularity and resistance to external ideas, particularly in its earlier phases of global expansion. This cultural rigidity was exposed during the 2010 recall crisis, where delayed responsiveness and internal silos hindered effective crisis management (Greene, 2010). In response, Toyota has made efforts to decentralise decision-making and incorporate more diverse perspectives, especially in its international subsidiaries.</w:t>
      </w:r>
    </w:p>
    <w:p w14:paraId="529451C4" w14:textId="77777777" w:rsidR="00910EF6" w:rsidRPr="00910EF6" w:rsidRDefault="00910EF6" w:rsidP="00910EF6">
      <w:pPr>
        <w:rPr>
          <w:rFonts w:ascii="Calibri" w:hAnsi="Calibri" w:cs="Calibri"/>
          <w:lang w:val="en-GB"/>
        </w:rPr>
      </w:pPr>
      <w:r w:rsidRPr="00910EF6">
        <w:rPr>
          <w:rFonts w:ascii="Calibri" w:hAnsi="Calibri" w:cs="Calibri"/>
          <w:lang w:val="en-GB"/>
        </w:rPr>
        <w:t>In sum, Toyota’s organisational culture is a strategic asset that underpins its operational excellence and global competitiveness. Its ability to balance tradition with adaptation has enabled it to navigate complex environments while maintaining a coherent cultural identity. However, continued success will depend on its capacity to evolve culturally in response to globalisation, technological disruption, and shifting workforce expectations.</w:t>
      </w:r>
    </w:p>
    <w:p w14:paraId="3A1EB5F6" w14:textId="77777777" w:rsidR="004424B8" w:rsidRPr="00425C2D" w:rsidRDefault="004424B8">
      <w:pPr>
        <w:rPr>
          <w:rFonts w:ascii="Calibri" w:hAnsi="Calibri" w:cs="Calibri"/>
        </w:rPr>
      </w:pPr>
    </w:p>
    <w:p w14:paraId="371C6EA4" w14:textId="77777777" w:rsidR="004424B8" w:rsidRPr="00425C2D" w:rsidRDefault="004424B8">
      <w:pPr>
        <w:rPr>
          <w:rFonts w:ascii="Calibri" w:hAnsi="Calibri" w:cs="Calibri"/>
        </w:rPr>
      </w:pPr>
    </w:p>
    <w:p w14:paraId="1E635A09" w14:textId="53FF263D" w:rsidR="00EA0218" w:rsidRPr="00425C2D" w:rsidRDefault="00165DB9" w:rsidP="00165DB9">
      <w:pPr>
        <w:pStyle w:val="ListParagraph"/>
        <w:numPr>
          <w:ilvl w:val="0"/>
          <w:numId w:val="14"/>
        </w:numPr>
        <w:rPr>
          <w:rFonts w:ascii="Calibri" w:hAnsi="Calibri" w:cs="Calibri"/>
        </w:rPr>
      </w:pPr>
      <w:r w:rsidRPr="00425C2D">
        <w:rPr>
          <w:rFonts w:ascii="Calibri" w:hAnsi="Calibri" w:cs="Calibri"/>
          <w:b/>
          <w:bCs/>
        </w:rPr>
        <w:t>INFLUENCE OF CULTURE ON STRUCTURE AND DECISION MAKING</w:t>
      </w:r>
    </w:p>
    <w:p w14:paraId="15B6A996" w14:textId="77777777" w:rsidR="00FF6411" w:rsidRPr="00FF6411" w:rsidRDefault="00FF6411" w:rsidP="00FF6411">
      <w:pPr>
        <w:rPr>
          <w:rFonts w:ascii="Calibri" w:hAnsi="Calibri" w:cs="Calibri"/>
          <w:lang w:val="en-GB"/>
        </w:rPr>
      </w:pPr>
      <w:r w:rsidRPr="00FF6411">
        <w:rPr>
          <w:rFonts w:ascii="Calibri" w:hAnsi="Calibri" w:cs="Calibri"/>
          <w:lang w:val="en-GB"/>
        </w:rPr>
        <w:t xml:space="preserve">Toyota’s organisational culture plays a pivotal role in shaping both its structural configuration and its approach to decision-making. The company’s culture, grounded in the Toyota Way, promotes values such as </w:t>
      </w:r>
      <w:r w:rsidRPr="00FF6411">
        <w:rPr>
          <w:rFonts w:ascii="Calibri" w:hAnsi="Calibri" w:cs="Calibri"/>
          <w:i/>
          <w:iCs/>
          <w:lang w:val="en-GB"/>
        </w:rPr>
        <w:t>Kaizen</w:t>
      </w:r>
      <w:r w:rsidRPr="00FF6411">
        <w:rPr>
          <w:rFonts w:ascii="Calibri" w:hAnsi="Calibri" w:cs="Calibri"/>
          <w:lang w:val="en-GB"/>
        </w:rPr>
        <w:t xml:space="preserve"> (continuous improvement), </w:t>
      </w:r>
      <w:r w:rsidRPr="00FF6411">
        <w:rPr>
          <w:rFonts w:ascii="Calibri" w:hAnsi="Calibri" w:cs="Calibri"/>
          <w:i/>
          <w:iCs/>
          <w:lang w:val="en-GB"/>
        </w:rPr>
        <w:t xml:space="preserve">Genchi </w:t>
      </w:r>
      <w:proofErr w:type="spellStart"/>
      <w:r w:rsidRPr="00FF6411">
        <w:rPr>
          <w:rFonts w:ascii="Calibri" w:hAnsi="Calibri" w:cs="Calibri"/>
          <w:i/>
          <w:iCs/>
          <w:lang w:val="en-GB"/>
        </w:rPr>
        <w:t>Genbutsu</w:t>
      </w:r>
      <w:proofErr w:type="spellEnd"/>
      <w:r w:rsidRPr="00FF6411">
        <w:rPr>
          <w:rFonts w:ascii="Calibri" w:hAnsi="Calibri" w:cs="Calibri"/>
          <w:lang w:val="en-GB"/>
        </w:rPr>
        <w:t xml:space="preserve"> (go and see), and </w:t>
      </w:r>
      <w:r w:rsidRPr="00FF6411">
        <w:rPr>
          <w:rFonts w:ascii="Calibri" w:hAnsi="Calibri" w:cs="Calibri"/>
          <w:lang w:val="en-GB"/>
        </w:rPr>
        <w:lastRenderedPageBreak/>
        <w:t>respect for people. These principles are not merely symbolic; they are operationalised through Toyota’s divisional structure and decentralised decision-making processes, which reflect a culture of empowerment, learning, and responsiveness (Liker, 2004).</w:t>
      </w:r>
    </w:p>
    <w:p w14:paraId="1B9494B2" w14:textId="77777777" w:rsidR="00FF6411" w:rsidRPr="00FF6411" w:rsidRDefault="00FF6411" w:rsidP="00FF6411">
      <w:pPr>
        <w:rPr>
          <w:rFonts w:ascii="Calibri" w:hAnsi="Calibri" w:cs="Calibri"/>
          <w:lang w:val="en-GB"/>
        </w:rPr>
      </w:pPr>
      <w:r w:rsidRPr="00FF6411">
        <w:rPr>
          <w:rFonts w:ascii="Calibri" w:hAnsi="Calibri" w:cs="Calibri"/>
          <w:lang w:val="en-GB"/>
        </w:rPr>
        <w:t>Structurally, Toyota employs a divisional organisational model, where operations are segmented by product lines, geographic regions, and market-specific needs (</w:t>
      </w:r>
      <w:proofErr w:type="spellStart"/>
      <w:r w:rsidRPr="00FF6411">
        <w:rPr>
          <w:rFonts w:ascii="Calibri" w:hAnsi="Calibri" w:cs="Calibri"/>
          <w:lang w:val="en-GB"/>
        </w:rPr>
        <w:t>FourWeekMBA</w:t>
      </w:r>
      <w:proofErr w:type="spellEnd"/>
      <w:r w:rsidRPr="00FF6411">
        <w:rPr>
          <w:rFonts w:ascii="Calibri" w:hAnsi="Calibri" w:cs="Calibri"/>
          <w:lang w:val="en-GB"/>
        </w:rPr>
        <w:t xml:space="preserve">, 2025). This structure supports the cultural emphasis on local responsiveness and autonomy, allowing regional divisions to tailor strategies to their unique environments while remaining aligned with corporate values. The decentralisation of authority is a direct reflection of Toyota’s cultural belief in bottom-up problem-solving and employee empowerment. Managers and frontline workers are encouraged to make decisions based on firsthand observations, consistent with the </w:t>
      </w:r>
      <w:r w:rsidRPr="00FF6411">
        <w:rPr>
          <w:rFonts w:ascii="Calibri" w:hAnsi="Calibri" w:cs="Calibri"/>
          <w:i/>
          <w:iCs/>
          <w:lang w:val="en-GB"/>
        </w:rPr>
        <w:t xml:space="preserve">Genchi </w:t>
      </w:r>
      <w:proofErr w:type="spellStart"/>
      <w:r w:rsidRPr="00FF6411">
        <w:rPr>
          <w:rFonts w:ascii="Calibri" w:hAnsi="Calibri" w:cs="Calibri"/>
          <w:i/>
          <w:iCs/>
          <w:lang w:val="en-GB"/>
        </w:rPr>
        <w:t>Genbutsu</w:t>
      </w:r>
      <w:proofErr w:type="spellEnd"/>
      <w:r w:rsidRPr="00FF6411">
        <w:rPr>
          <w:rFonts w:ascii="Calibri" w:hAnsi="Calibri" w:cs="Calibri"/>
          <w:lang w:val="en-GB"/>
        </w:rPr>
        <w:t xml:space="preserve"> philosophy (Meyer, 2025).</w:t>
      </w:r>
    </w:p>
    <w:p w14:paraId="2E1922CB" w14:textId="77777777" w:rsidR="00FF6411" w:rsidRPr="00FF6411" w:rsidRDefault="00FF6411" w:rsidP="00FF6411">
      <w:pPr>
        <w:rPr>
          <w:rFonts w:ascii="Calibri" w:hAnsi="Calibri" w:cs="Calibri"/>
          <w:lang w:val="en-GB"/>
        </w:rPr>
      </w:pPr>
      <w:r w:rsidRPr="00FF6411">
        <w:rPr>
          <w:rFonts w:ascii="Calibri" w:hAnsi="Calibri" w:cs="Calibri"/>
          <w:lang w:val="en-GB"/>
        </w:rPr>
        <w:t xml:space="preserve">Toyota’s decision-making process is notably consensus-driven, a characteristic rooted in Japanese collectivist culture. Decisions are often made through </w:t>
      </w:r>
      <w:proofErr w:type="spellStart"/>
      <w:r w:rsidRPr="00FF6411">
        <w:rPr>
          <w:rFonts w:ascii="Calibri" w:hAnsi="Calibri" w:cs="Calibri"/>
          <w:i/>
          <w:iCs/>
          <w:lang w:val="en-GB"/>
        </w:rPr>
        <w:t>ringi</w:t>
      </w:r>
      <w:proofErr w:type="spellEnd"/>
      <w:r w:rsidRPr="00FF6411">
        <w:rPr>
          <w:rFonts w:ascii="Calibri" w:hAnsi="Calibri" w:cs="Calibri"/>
          <w:lang w:val="en-GB"/>
        </w:rPr>
        <w:t>, a system of consultative approval that ensures broad stakeholder involvement and alignment with shared values (Hofstede Insights, 2023). While this approach can slow down decision-making, it enhances commitment and reduces resistance to implementation. It also reflects Toyota’s cultural preference for harmony and long-term thinking over rapid, top-down directives.</w:t>
      </w:r>
    </w:p>
    <w:p w14:paraId="15588D15" w14:textId="77777777" w:rsidR="00FF6411" w:rsidRPr="00FF6411" w:rsidRDefault="00FF6411" w:rsidP="00FF6411">
      <w:pPr>
        <w:rPr>
          <w:rFonts w:ascii="Calibri" w:hAnsi="Calibri" w:cs="Calibri"/>
          <w:lang w:val="en-GB"/>
        </w:rPr>
      </w:pPr>
      <w:r w:rsidRPr="00FF6411">
        <w:rPr>
          <w:rFonts w:ascii="Calibri" w:hAnsi="Calibri" w:cs="Calibri"/>
          <w:lang w:val="en-GB"/>
        </w:rPr>
        <w:t xml:space="preserve">Critically, this cultural influence on structure and decision-making has both strengths and limitations. On the positive side, it fosters organisational learning, cross-functional collaboration, and a high degree of operational consistency. The integration of </w:t>
      </w:r>
      <w:r w:rsidRPr="00FF6411">
        <w:rPr>
          <w:rFonts w:ascii="Calibri" w:hAnsi="Calibri" w:cs="Calibri"/>
          <w:i/>
          <w:iCs/>
          <w:lang w:val="en-GB"/>
        </w:rPr>
        <w:t>Kaizen</w:t>
      </w:r>
      <w:r w:rsidRPr="00FF6411">
        <w:rPr>
          <w:rFonts w:ascii="Calibri" w:hAnsi="Calibri" w:cs="Calibri"/>
          <w:lang w:val="en-GB"/>
        </w:rPr>
        <w:t xml:space="preserve"> into structural routines ensures that improvement is continuous and systemic rather than episodic. Moreover, the decentralised structure allows Toyota to remain agile in diverse markets, adapting its practices without compromising core values (Sayyadi &amp; </w:t>
      </w:r>
      <w:proofErr w:type="spellStart"/>
      <w:r w:rsidRPr="00FF6411">
        <w:rPr>
          <w:rFonts w:ascii="Calibri" w:hAnsi="Calibri" w:cs="Calibri"/>
          <w:lang w:val="en-GB"/>
        </w:rPr>
        <w:t>Provitera</w:t>
      </w:r>
      <w:proofErr w:type="spellEnd"/>
      <w:r w:rsidRPr="00FF6411">
        <w:rPr>
          <w:rFonts w:ascii="Calibri" w:hAnsi="Calibri" w:cs="Calibri"/>
          <w:lang w:val="en-GB"/>
        </w:rPr>
        <w:t>, 2023).</w:t>
      </w:r>
    </w:p>
    <w:p w14:paraId="01290F1D" w14:textId="77777777" w:rsidR="00FF6411" w:rsidRPr="00FF6411" w:rsidRDefault="00FF6411" w:rsidP="00FF6411">
      <w:pPr>
        <w:rPr>
          <w:rFonts w:ascii="Calibri" w:hAnsi="Calibri" w:cs="Calibri"/>
          <w:lang w:val="en-GB"/>
        </w:rPr>
      </w:pPr>
      <w:r w:rsidRPr="00FF6411">
        <w:rPr>
          <w:rFonts w:ascii="Calibri" w:hAnsi="Calibri" w:cs="Calibri"/>
          <w:lang w:val="en-GB"/>
        </w:rPr>
        <w:t>However, the same cultural traits can become constraints under certain conditions. The emphasis on consensus and procedural rigor may hinder rapid decision-making in crisis situations, as evidenced during Toyota’s 2010 recall crisis. The company’s slow response was partly attributed to internal silos and a reluctance to escalate issues quickly—an unintended consequence of its otherwise disciplined and respectful culture (Georgescu, 2025). This highlights the need for cultural evolution, especially in contexts requiring swift and decisive action.</w:t>
      </w:r>
    </w:p>
    <w:p w14:paraId="1F356CA8" w14:textId="77777777" w:rsidR="00FF6411" w:rsidRDefault="00FF6411" w:rsidP="00FF6411">
      <w:pPr>
        <w:rPr>
          <w:rFonts w:ascii="Calibri" w:hAnsi="Calibri" w:cs="Calibri"/>
          <w:lang w:val="en-GB"/>
        </w:rPr>
      </w:pPr>
      <w:r w:rsidRPr="00FF6411">
        <w:rPr>
          <w:rFonts w:ascii="Calibri" w:hAnsi="Calibri" w:cs="Calibri"/>
          <w:lang w:val="en-GB"/>
        </w:rPr>
        <w:t>In conclusion, Toyota’s organisational culture is deeply embedded in its structural and decision-making frameworks. While it enables operational excellence and strategic coherence, it also necessitates ongoing adaptation to meet the demands of a dynamic global environment. The challenge lies in preserving cultural strengths while mitigating structural rigidity, especially in high-stakes scenarios.</w:t>
      </w:r>
    </w:p>
    <w:p w14:paraId="65BEB4B8" w14:textId="77777777" w:rsidR="00425C2D" w:rsidRDefault="00425C2D" w:rsidP="00FF6411">
      <w:pPr>
        <w:rPr>
          <w:rFonts w:ascii="Calibri" w:hAnsi="Calibri" w:cs="Calibri"/>
          <w:lang w:val="en-GB"/>
        </w:rPr>
      </w:pPr>
    </w:p>
    <w:p w14:paraId="74C520FD" w14:textId="77777777" w:rsidR="00425C2D" w:rsidRPr="00FF6411" w:rsidRDefault="00425C2D" w:rsidP="00FF6411">
      <w:pPr>
        <w:rPr>
          <w:rFonts w:ascii="Calibri" w:hAnsi="Calibri" w:cs="Calibri"/>
          <w:lang w:val="en-GB"/>
        </w:rPr>
      </w:pPr>
    </w:p>
    <w:p w14:paraId="2BB1F0EF" w14:textId="5DB5FB15" w:rsidR="005D44EA" w:rsidRPr="00425C2D" w:rsidRDefault="00165DB9" w:rsidP="00425C2D">
      <w:pPr>
        <w:pStyle w:val="ListParagraph"/>
        <w:numPr>
          <w:ilvl w:val="0"/>
          <w:numId w:val="14"/>
        </w:numPr>
        <w:rPr>
          <w:rFonts w:ascii="Calibri" w:hAnsi="Calibri" w:cs="Calibri"/>
          <w:b/>
          <w:bCs/>
        </w:rPr>
      </w:pPr>
      <w:r w:rsidRPr="00425C2D">
        <w:rPr>
          <w:rFonts w:ascii="Calibri" w:hAnsi="Calibri" w:cs="Calibri"/>
          <w:b/>
          <w:bCs/>
        </w:rPr>
        <w:lastRenderedPageBreak/>
        <w:t>IDENTIFYING CULTURAL TYPES: MODELS AND FRAMWORKS</w:t>
      </w:r>
    </w:p>
    <w:p w14:paraId="32773A50" w14:textId="4357FC21" w:rsidR="00FF6411" w:rsidRPr="00FF6411" w:rsidRDefault="00FF6411" w:rsidP="00FF6411">
      <w:pPr>
        <w:rPr>
          <w:rFonts w:ascii="Calibri" w:hAnsi="Calibri" w:cs="Calibri"/>
          <w:lang w:val="en-GB"/>
        </w:rPr>
      </w:pPr>
      <w:r w:rsidRPr="00FF6411">
        <w:rPr>
          <w:rFonts w:ascii="Calibri" w:hAnsi="Calibri" w:cs="Calibri"/>
          <w:lang w:val="en-GB"/>
        </w:rPr>
        <w:t>Mullins and Christy (2016) argue that organisational culture</w:t>
      </w:r>
      <w:r w:rsidRPr="00425C2D">
        <w:rPr>
          <w:rFonts w:ascii="Calibri" w:hAnsi="Calibri" w:cs="Calibri"/>
          <w:lang w:val="en-GB"/>
        </w:rPr>
        <w:t xml:space="preserve"> </w:t>
      </w:r>
      <w:r w:rsidRPr="00FF6411">
        <w:rPr>
          <w:rFonts w:ascii="Calibri" w:hAnsi="Calibri" w:cs="Calibri"/>
          <w:lang w:val="en-GB"/>
        </w:rPr>
        <w:t>defined by shared values, beliefs, and attitudes</w:t>
      </w:r>
      <w:r w:rsidRPr="00425C2D">
        <w:rPr>
          <w:rFonts w:ascii="Calibri" w:hAnsi="Calibri" w:cs="Calibri"/>
          <w:lang w:val="en-GB"/>
        </w:rPr>
        <w:t xml:space="preserve"> </w:t>
      </w:r>
      <w:r w:rsidRPr="00FF6411">
        <w:rPr>
          <w:rFonts w:ascii="Calibri" w:hAnsi="Calibri" w:cs="Calibri"/>
          <w:lang w:val="en-GB"/>
        </w:rPr>
        <w:t>significantly influences decision-making, structure, and group behaviour. Toyota’s culture exemplifies this assertion, as its deeply embedded principles shape not only internal processes but also its global adaptability. To critically understand Toyota’s cultural identity, it is essential to apply established frameworks: Hofstede’s cultural dimensions, Handy’s cultural types, and Schein’s three-level model.</w:t>
      </w:r>
    </w:p>
    <w:p w14:paraId="2304E7A1" w14:textId="77777777" w:rsidR="00FF6411" w:rsidRPr="00FF6411" w:rsidRDefault="00FF6411" w:rsidP="00FF6411">
      <w:pPr>
        <w:rPr>
          <w:rFonts w:ascii="Calibri" w:hAnsi="Calibri" w:cs="Calibri"/>
          <w:lang w:val="en-GB"/>
        </w:rPr>
      </w:pPr>
      <w:r w:rsidRPr="00FF6411">
        <w:rPr>
          <w:rFonts w:ascii="Calibri" w:hAnsi="Calibri" w:cs="Calibri"/>
          <w:lang w:val="en-GB"/>
        </w:rPr>
        <w:t>Hofstede’s (2001) cultural dimensions provide a macro-level lens to assess national and organisational culture. Toyota, rooted in Japanese collectivist traditions, scores high on collectivism and uncertainty avoidance. These traits manifest in consensus-driven decision-making and structured operational routines. Employees are encouraged to work harmoniously in teams, reflecting a low individualism index, while the emphasis on standardised procedures and risk mitigation aligns with high uncertainty avoidance (Hofstede Insights, 2023). Toyota also demonstrates a strong long-term orientation, prioritising sustainable growth and employee development over short-term gains. This cultural profile supports Mullins and Christy’s (2016) view that shared values influence motivation and control systems, as Toyota’s cultural traits foster disciplined innovation and strategic patience.</w:t>
      </w:r>
    </w:p>
    <w:p w14:paraId="0E36D9CB" w14:textId="484EED50" w:rsidR="00FF6411" w:rsidRPr="00FF6411" w:rsidRDefault="00FF6411" w:rsidP="00FF6411">
      <w:pPr>
        <w:rPr>
          <w:rFonts w:ascii="Calibri" w:hAnsi="Calibri" w:cs="Calibri"/>
          <w:lang w:val="en-GB"/>
        </w:rPr>
      </w:pPr>
      <w:r w:rsidRPr="00FF6411">
        <w:rPr>
          <w:rFonts w:ascii="Calibri" w:hAnsi="Calibri" w:cs="Calibri"/>
          <w:lang w:val="en-GB"/>
        </w:rPr>
        <w:t xml:space="preserve">Handy’s (1993) typology offers a more structural perspective, categorising cultures into power, role, task, and person types. Toyota predominantly exhibits a role culture, </w:t>
      </w:r>
      <w:r w:rsidRPr="00425C2D">
        <w:rPr>
          <w:rFonts w:ascii="Calibri" w:hAnsi="Calibri" w:cs="Calibri"/>
          <w:lang w:val="en-GB"/>
        </w:rPr>
        <w:t>were</w:t>
      </w:r>
      <w:r w:rsidRPr="00FF6411">
        <w:rPr>
          <w:rFonts w:ascii="Calibri" w:hAnsi="Calibri" w:cs="Calibri"/>
          <w:lang w:val="en-GB"/>
        </w:rPr>
        <w:t xml:space="preserve"> clearly defined roles and hierarchical structures support efficiency and predictability. This is evident in its formalised production systems and quality control mechanisms. However, elements of task culture emerge within its engineering and R&amp;D teams, where cross-functional collaboration drives innovation. The coexistence of role and task cultures reflects Toyota’s ability to balance stability with adaptability</w:t>
      </w:r>
      <w:r w:rsidRPr="00425C2D">
        <w:rPr>
          <w:rFonts w:ascii="Calibri" w:hAnsi="Calibri" w:cs="Calibri"/>
          <w:lang w:val="en-GB"/>
        </w:rPr>
        <w:t xml:space="preserve">, </w:t>
      </w:r>
      <w:r w:rsidRPr="00FF6411">
        <w:rPr>
          <w:rFonts w:ascii="Calibri" w:hAnsi="Calibri" w:cs="Calibri"/>
          <w:lang w:val="en-GB"/>
        </w:rPr>
        <w:t>a critical capability in managing diverse global teams, as highlighted by Mullins and Christy (2016).</w:t>
      </w:r>
    </w:p>
    <w:p w14:paraId="694DED1A" w14:textId="291EF232" w:rsidR="00FF6411" w:rsidRPr="00FF6411" w:rsidRDefault="00FF6411" w:rsidP="00FF6411">
      <w:pPr>
        <w:rPr>
          <w:rFonts w:ascii="Calibri" w:hAnsi="Calibri" w:cs="Calibri"/>
          <w:lang w:val="en-GB"/>
        </w:rPr>
      </w:pPr>
      <w:r w:rsidRPr="00FF6411">
        <w:rPr>
          <w:rFonts w:ascii="Calibri" w:hAnsi="Calibri" w:cs="Calibri"/>
          <w:lang w:val="en-GB"/>
        </w:rPr>
        <w:t>Schein’s (2010) model provides a deeper, layered understanding of organisational culture. At the surface level, Toyota’s artefacts include visual management tools, standardised workflows, and structured team rituals. These reflect espoused values such as continuous improvement (</w:t>
      </w:r>
      <w:r w:rsidRPr="00FF6411">
        <w:rPr>
          <w:rFonts w:ascii="Calibri" w:hAnsi="Calibri" w:cs="Calibri"/>
          <w:i/>
          <w:iCs/>
          <w:lang w:val="en-GB"/>
        </w:rPr>
        <w:t>Kaizen</w:t>
      </w:r>
      <w:r w:rsidRPr="00FF6411">
        <w:rPr>
          <w:rFonts w:ascii="Calibri" w:hAnsi="Calibri" w:cs="Calibri"/>
          <w:lang w:val="en-GB"/>
        </w:rPr>
        <w:t>), respect for people, and customer-centricity. At the core are basic assumptions</w:t>
      </w:r>
      <w:r w:rsidRPr="00425C2D">
        <w:rPr>
          <w:rFonts w:ascii="Calibri" w:hAnsi="Calibri" w:cs="Calibri"/>
          <w:lang w:val="en-GB"/>
        </w:rPr>
        <w:t xml:space="preserve"> </w:t>
      </w:r>
      <w:r w:rsidRPr="00FF6411">
        <w:rPr>
          <w:rFonts w:ascii="Calibri" w:hAnsi="Calibri" w:cs="Calibri"/>
          <w:lang w:val="en-GB"/>
        </w:rPr>
        <w:t>such as the belief in collective responsibility and the intrinsic value of learning</w:t>
      </w:r>
      <w:r w:rsidRPr="00425C2D">
        <w:rPr>
          <w:rFonts w:ascii="Calibri" w:hAnsi="Calibri" w:cs="Calibri"/>
          <w:lang w:val="en-GB"/>
        </w:rPr>
        <w:t xml:space="preserve">, </w:t>
      </w:r>
      <w:r w:rsidRPr="00FF6411">
        <w:rPr>
          <w:rFonts w:ascii="Calibri" w:hAnsi="Calibri" w:cs="Calibri"/>
          <w:lang w:val="en-GB"/>
        </w:rPr>
        <w:t>which shape Toyota’s approach to leadership and strategic planning. Schein’s model reinforces Mullins and Christy’s (2016) argument that culture permeates all aspects of organisational life, influencing not only behaviour but also the design of systems and structures.</w:t>
      </w:r>
    </w:p>
    <w:p w14:paraId="6D8DECAA" w14:textId="77777777" w:rsidR="00FF6411" w:rsidRPr="00FF6411" w:rsidRDefault="00FF6411" w:rsidP="00FF6411">
      <w:pPr>
        <w:rPr>
          <w:rFonts w:ascii="Calibri" w:hAnsi="Calibri" w:cs="Calibri"/>
          <w:lang w:val="en-GB"/>
        </w:rPr>
      </w:pPr>
      <w:r w:rsidRPr="00FF6411">
        <w:rPr>
          <w:rFonts w:ascii="Calibri" w:hAnsi="Calibri" w:cs="Calibri"/>
          <w:lang w:val="en-GB"/>
        </w:rPr>
        <w:t xml:space="preserve">Critically, while these frameworks illuminate Toyota’s cultural strengths, they also expose potential limitations. Hofstede’s model, for instance, may oversimplify cultural dynamics by attributing behaviours to national traits, potentially overlooking intra-organisational diversity. Handy’s typology, though useful, may not fully capture the fluidity of hybrid cultures like </w:t>
      </w:r>
      <w:r w:rsidRPr="00FF6411">
        <w:rPr>
          <w:rFonts w:ascii="Calibri" w:hAnsi="Calibri" w:cs="Calibri"/>
          <w:lang w:val="en-GB"/>
        </w:rPr>
        <w:lastRenderedPageBreak/>
        <w:t>Toyota’s. Schein’s model, while comprehensive, requires deep qualitative insight, which may be difficult to access in large, decentralised organisations.</w:t>
      </w:r>
    </w:p>
    <w:p w14:paraId="78BD1703" w14:textId="77777777" w:rsidR="00FF6411" w:rsidRPr="00FF6411" w:rsidRDefault="00FF6411" w:rsidP="00FF6411">
      <w:pPr>
        <w:rPr>
          <w:rFonts w:ascii="Calibri" w:hAnsi="Calibri" w:cs="Calibri"/>
          <w:lang w:val="en-GB"/>
        </w:rPr>
      </w:pPr>
      <w:r w:rsidRPr="00FF6411">
        <w:rPr>
          <w:rFonts w:ascii="Calibri" w:hAnsi="Calibri" w:cs="Calibri"/>
          <w:lang w:val="en-GB"/>
        </w:rPr>
        <w:t>In conclusion, the application of Hofstede, Handy, and Schein’s frameworks reveals Toyota’s culture as a complex, multi-layered construct that aligns with Mullins and Christy’s (2016) assertion about the pervasive influence of culture. These models not only help identify cultural types but also provide a basis for evaluating how culture shapes organisational behaviour, structure, and performance.</w:t>
      </w:r>
    </w:p>
    <w:p w14:paraId="236ED4F5" w14:textId="77777777" w:rsidR="00FF6411" w:rsidRPr="00425C2D" w:rsidRDefault="00FF6411" w:rsidP="00FE5325">
      <w:pPr>
        <w:rPr>
          <w:rFonts w:ascii="Calibri" w:hAnsi="Calibri" w:cs="Calibri"/>
        </w:rPr>
      </w:pPr>
    </w:p>
    <w:p w14:paraId="7101286B" w14:textId="059A2193" w:rsidR="005D44EA" w:rsidRPr="00425C2D" w:rsidRDefault="00165DB9" w:rsidP="00165DB9">
      <w:pPr>
        <w:pStyle w:val="ListParagraph"/>
        <w:numPr>
          <w:ilvl w:val="0"/>
          <w:numId w:val="14"/>
        </w:numPr>
        <w:rPr>
          <w:rFonts w:ascii="Calibri" w:hAnsi="Calibri" w:cs="Calibri"/>
          <w:b/>
          <w:bCs/>
        </w:rPr>
      </w:pPr>
      <w:r w:rsidRPr="00425C2D">
        <w:rPr>
          <w:rFonts w:ascii="Calibri" w:hAnsi="Calibri" w:cs="Calibri"/>
          <w:b/>
          <w:bCs/>
        </w:rPr>
        <w:t xml:space="preserve">CUTLURE AND THE EXTERNAL ENVIRONMENT </w:t>
      </w:r>
    </w:p>
    <w:p w14:paraId="3DD48640" w14:textId="3C8D139F" w:rsidR="00E461A4" w:rsidRPr="00E461A4" w:rsidRDefault="00E461A4" w:rsidP="00E461A4">
      <w:pPr>
        <w:rPr>
          <w:rFonts w:ascii="Calibri" w:hAnsi="Calibri" w:cs="Calibri"/>
          <w:lang w:val="en-GB"/>
        </w:rPr>
      </w:pPr>
      <w:r w:rsidRPr="00E461A4">
        <w:rPr>
          <w:rFonts w:ascii="Calibri" w:hAnsi="Calibri" w:cs="Calibri"/>
          <w:lang w:val="en-GB"/>
        </w:rPr>
        <w:t>Toyota’s organisational culture serves not merely as an internal compass but as a strategic mechanism for navigating external pressures such as global competition, regulatory demands, and the complexities of internationalisation. Mullins and Christy (2016) emphasise that culture shapes how organisations respond to diversity and complexit</w:t>
      </w:r>
      <w:r w:rsidRPr="00425C2D">
        <w:rPr>
          <w:rFonts w:ascii="Calibri" w:hAnsi="Calibri" w:cs="Calibri"/>
          <w:lang w:val="en-GB"/>
        </w:rPr>
        <w:t xml:space="preserve">y which is </w:t>
      </w:r>
      <w:r w:rsidRPr="00E461A4">
        <w:rPr>
          <w:rFonts w:ascii="Calibri" w:hAnsi="Calibri" w:cs="Calibri"/>
          <w:lang w:val="en-GB"/>
        </w:rPr>
        <w:t>an observation that resonates strongly with Toyota’s global operations.</w:t>
      </w:r>
    </w:p>
    <w:p w14:paraId="1D2F2B14" w14:textId="77777777" w:rsidR="00E461A4" w:rsidRPr="00E461A4" w:rsidRDefault="00E461A4" w:rsidP="00E461A4">
      <w:pPr>
        <w:rPr>
          <w:rFonts w:ascii="Calibri" w:hAnsi="Calibri" w:cs="Calibri"/>
          <w:lang w:val="en-GB"/>
        </w:rPr>
      </w:pPr>
      <w:r w:rsidRPr="00E461A4">
        <w:rPr>
          <w:rFonts w:ascii="Calibri" w:hAnsi="Calibri" w:cs="Calibri"/>
          <w:lang w:val="en-GB"/>
        </w:rPr>
        <w:t xml:space="preserve">The Toyota Way, underpinned by </w:t>
      </w:r>
      <w:r w:rsidRPr="00E461A4">
        <w:rPr>
          <w:rFonts w:ascii="Calibri" w:hAnsi="Calibri" w:cs="Calibri"/>
          <w:i/>
          <w:iCs/>
          <w:lang w:val="en-GB"/>
        </w:rPr>
        <w:t>Kaizen</w:t>
      </w:r>
      <w:r w:rsidRPr="00E461A4">
        <w:rPr>
          <w:rFonts w:ascii="Calibri" w:hAnsi="Calibri" w:cs="Calibri"/>
          <w:lang w:val="en-GB"/>
        </w:rPr>
        <w:t xml:space="preserve"> and respect for people, cultivates a culture of resilience and disciplined innovation. In highly competitive markets, this cultural orientation enables Toyota to pursue incremental improvements that enhance product quality and operational efficiency without sacrificing cost control (Liker, 2004). Unlike firms that rely on disruptive innovation, Toyota’s cultural commitment to continuous refinement allows it to sustain long-term competitiveness, particularly in the hybrid and electric vehicle sectors where it has outpaced rivals like Volkswagen and Tesla in reliability and scalability.</w:t>
      </w:r>
    </w:p>
    <w:p w14:paraId="35947256" w14:textId="77777777" w:rsidR="00E461A4" w:rsidRPr="00E461A4" w:rsidRDefault="00E461A4" w:rsidP="00E461A4">
      <w:pPr>
        <w:rPr>
          <w:rFonts w:ascii="Calibri" w:hAnsi="Calibri" w:cs="Calibri"/>
          <w:lang w:val="en-GB"/>
        </w:rPr>
      </w:pPr>
      <w:r w:rsidRPr="00E461A4">
        <w:rPr>
          <w:rFonts w:ascii="Calibri" w:hAnsi="Calibri" w:cs="Calibri"/>
          <w:lang w:val="en-GB"/>
        </w:rPr>
        <w:t xml:space="preserve">Regulatory adaptation is another domain where culture plays a decisive role. Toyota’s long-term strategic mindset and stakeholder-focused ethos foster proactive engagement with environmental and safety regulations. Its early investment in hybrid technology was not merely a technical decision but a cultural expression of foresight and responsibility (Sayyadi &amp; </w:t>
      </w:r>
      <w:proofErr w:type="spellStart"/>
      <w:r w:rsidRPr="00E461A4">
        <w:rPr>
          <w:rFonts w:ascii="Calibri" w:hAnsi="Calibri" w:cs="Calibri"/>
          <w:lang w:val="en-GB"/>
        </w:rPr>
        <w:t>Provitera</w:t>
      </w:r>
      <w:proofErr w:type="spellEnd"/>
      <w:r w:rsidRPr="00E461A4">
        <w:rPr>
          <w:rFonts w:ascii="Calibri" w:hAnsi="Calibri" w:cs="Calibri"/>
          <w:lang w:val="en-GB"/>
        </w:rPr>
        <w:t>, 2023). This contrasts with competitors who often react to regulatory change rather than anticipate it, underscoring the strategic value of Toyota’s cultural orientation.</w:t>
      </w:r>
    </w:p>
    <w:p w14:paraId="02E2A546" w14:textId="77777777" w:rsidR="00E461A4" w:rsidRPr="00425C2D" w:rsidRDefault="00E461A4" w:rsidP="00FE5325">
      <w:pPr>
        <w:rPr>
          <w:rFonts w:ascii="Calibri" w:hAnsi="Calibri" w:cs="Calibri"/>
          <w:lang w:val="en-GB"/>
        </w:rPr>
      </w:pPr>
      <w:r w:rsidRPr="00E461A4">
        <w:rPr>
          <w:rFonts w:ascii="Calibri" w:hAnsi="Calibri" w:cs="Calibri"/>
          <w:lang w:val="en-GB"/>
        </w:rPr>
        <w:t>Globalisation, however, tests the limits of cultural coherence. Toyota’s collectivist and consensus-driven culture</w:t>
      </w:r>
      <w:r w:rsidRPr="00425C2D">
        <w:rPr>
          <w:rFonts w:ascii="Calibri" w:hAnsi="Calibri" w:cs="Calibri"/>
          <w:lang w:val="en-GB"/>
        </w:rPr>
        <w:t xml:space="preserve">, </w:t>
      </w:r>
      <w:r w:rsidRPr="00E461A4">
        <w:rPr>
          <w:rFonts w:ascii="Calibri" w:hAnsi="Calibri" w:cs="Calibri"/>
          <w:lang w:val="en-GB"/>
        </w:rPr>
        <w:t>rooted in Japanese norms</w:t>
      </w:r>
      <w:r w:rsidRPr="00425C2D">
        <w:rPr>
          <w:rFonts w:ascii="Calibri" w:hAnsi="Calibri" w:cs="Calibri"/>
          <w:lang w:val="en-GB"/>
        </w:rPr>
        <w:t xml:space="preserve"> </w:t>
      </w:r>
      <w:r w:rsidRPr="00E461A4">
        <w:rPr>
          <w:rFonts w:ascii="Calibri" w:hAnsi="Calibri" w:cs="Calibri"/>
          <w:lang w:val="en-GB"/>
        </w:rPr>
        <w:t>can clash with more individualistic and assertive cultures in Western subsidiaries. Yet, through decentralised decision-making and localised operations, Toyota has managed to reconcile cultural consistency with contextual responsiveness. This approach aligns with Denison’s Traits Theory, which links adaptability, involvement, consistency, and mission to organisational effectiveness (Denison, 1990). Toyota’s ability to maintain strategic alignment while flexibly responding to local conditions exemplifies how culture can be leveraged as a dynamic asset rather than a static tradition.</w:t>
      </w:r>
    </w:p>
    <w:p w14:paraId="15DB5FC8" w14:textId="77777777" w:rsidR="00165DB9" w:rsidRPr="00425C2D" w:rsidRDefault="00165DB9" w:rsidP="00FE5325">
      <w:pPr>
        <w:rPr>
          <w:rFonts w:ascii="Calibri" w:hAnsi="Calibri" w:cs="Calibri"/>
          <w:b/>
          <w:bCs/>
        </w:rPr>
      </w:pPr>
    </w:p>
    <w:p w14:paraId="3111AFB0" w14:textId="3337AE96" w:rsidR="005D44EA" w:rsidRPr="00425C2D" w:rsidRDefault="00165DB9" w:rsidP="00165DB9">
      <w:pPr>
        <w:pStyle w:val="ListParagraph"/>
        <w:numPr>
          <w:ilvl w:val="0"/>
          <w:numId w:val="14"/>
        </w:numPr>
        <w:rPr>
          <w:rFonts w:ascii="Calibri" w:hAnsi="Calibri" w:cs="Calibri"/>
          <w:lang w:val="en-GB"/>
        </w:rPr>
      </w:pPr>
      <w:r w:rsidRPr="00425C2D">
        <w:rPr>
          <w:rFonts w:ascii="Calibri" w:hAnsi="Calibri" w:cs="Calibri"/>
          <w:b/>
          <w:bCs/>
        </w:rPr>
        <w:lastRenderedPageBreak/>
        <w:t>ORGANIZATIONA CULTURE AS A BARRIER</w:t>
      </w:r>
    </w:p>
    <w:p w14:paraId="27E92F63" w14:textId="6394FBBA" w:rsidR="00E461A4" w:rsidRPr="00E461A4" w:rsidRDefault="00E461A4" w:rsidP="00E461A4">
      <w:pPr>
        <w:rPr>
          <w:rFonts w:ascii="Calibri" w:hAnsi="Calibri" w:cs="Calibri"/>
          <w:lang w:val="en-GB"/>
        </w:rPr>
      </w:pPr>
      <w:r w:rsidRPr="00E461A4">
        <w:rPr>
          <w:rFonts w:ascii="Calibri" w:hAnsi="Calibri" w:cs="Calibri"/>
          <w:lang w:val="en-GB"/>
        </w:rPr>
        <w:t>While Toyota’s organisational culture is widely credited for its operational excellence and global success, it can also act as a barrier to effective functioning under certain conditions. As Mullins and Christy (2016) argue, culture influences not only motivation and structure but also the organisation’s ability to respond to change. In Toyota’s case, the deeply embedded values of consensus, hierarchy, and procedural discipline</w:t>
      </w:r>
      <w:r w:rsidRPr="00425C2D">
        <w:rPr>
          <w:rFonts w:ascii="Calibri" w:hAnsi="Calibri" w:cs="Calibri"/>
          <w:lang w:val="en-GB"/>
        </w:rPr>
        <w:t xml:space="preserve">, </w:t>
      </w:r>
      <w:r w:rsidRPr="00E461A4">
        <w:rPr>
          <w:rFonts w:ascii="Calibri" w:hAnsi="Calibri" w:cs="Calibri"/>
          <w:lang w:val="en-GB"/>
        </w:rPr>
        <w:t>though beneficial for stability</w:t>
      </w:r>
      <w:r w:rsidRPr="00425C2D">
        <w:rPr>
          <w:rFonts w:ascii="Calibri" w:hAnsi="Calibri" w:cs="Calibri"/>
          <w:lang w:val="en-GB"/>
        </w:rPr>
        <w:t xml:space="preserve"> </w:t>
      </w:r>
      <w:r w:rsidRPr="00E461A4">
        <w:rPr>
          <w:rFonts w:ascii="Calibri" w:hAnsi="Calibri" w:cs="Calibri"/>
          <w:lang w:val="en-GB"/>
        </w:rPr>
        <w:t>can hinder agility and responsiveness.</w:t>
      </w:r>
    </w:p>
    <w:p w14:paraId="37CBA309" w14:textId="77777777" w:rsidR="00E461A4" w:rsidRPr="00E461A4" w:rsidRDefault="00E461A4" w:rsidP="00E461A4">
      <w:pPr>
        <w:rPr>
          <w:rFonts w:ascii="Calibri" w:hAnsi="Calibri" w:cs="Calibri"/>
          <w:lang w:val="en-GB"/>
        </w:rPr>
      </w:pPr>
      <w:r w:rsidRPr="00E461A4">
        <w:rPr>
          <w:rFonts w:ascii="Calibri" w:hAnsi="Calibri" w:cs="Calibri"/>
          <w:lang w:val="en-GB"/>
        </w:rPr>
        <w:t>One notable example is Toyota’s handling of the 2010 recall crisis, where the company faced criticism for its slow response to safety concerns. The cultural emphasis on internal harmony and reluctance to challenge authority contributed to delayed decision-making and poor communication with regulators and the public (Greene, 2010). This incident exposed the limitations of a culture that prioritises internal consensus over swift action, especially in high-stakes environments.</w:t>
      </w:r>
    </w:p>
    <w:p w14:paraId="1A3A6158" w14:textId="77777777" w:rsidR="00E461A4" w:rsidRPr="00E461A4" w:rsidRDefault="00E461A4" w:rsidP="00E461A4">
      <w:pPr>
        <w:rPr>
          <w:rFonts w:ascii="Calibri" w:hAnsi="Calibri" w:cs="Calibri"/>
          <w:lang w:val="en-GB"/>
        </w:rPr>
      </w:pPr>
      <w:r w:rsidRPr="00E461A4">
        <w:rPr>
          <w:rFonts w:ascii="Calibri" w:hAnsi="Calibri" w:cs="Calibri"/>
          <w:lang w:val="en-GB"/>
        </w:rPr>
        <w:t>Moreover, Toyota’s strong collectivist orientation, rooted in Japanese cultural norms, can pose challenges in international contexts. The expectation of group conformity and indirect communication may clash with more individualistic and assertive cultures, leading to misunderstandings and reduced effectiveness in cross-cultural teams (Hofstede Insights, 2023). While Toyota has made efforts to localise its operations, the persistence of core cultural traits can limit adaptability in diverse markets.</w:t>
      </w:r>
    </w:p>
    <w:p w14:paraId="4CB534F9" w14:textId="77777777" w:rsidR="00E461A4" w:rsidRPr="00E461A4" w:rsidRDefault="00E461A4" w:rsidP="00E461A4">
      <w:pPr>
        <w:rPr>
          <w:rFonts w:ascii="Calibri" w:hAnsi="Calibri" w:cs="Calibri"/>
          <w:lang w:val="en-GB"/>
        </w:rPr>
      </w:pPr>
      <w:r w:rsidRPr="00E461A4">
        <w:rPr>
          <w:rFonts w:ascii="Calibri" w:hAnsi="Calibri" w:cs="Calibri"/>
          <w:lang w:val="en-GB"/>
        </w:rPr>
        <w:t>Additionally, the role-based structure supported by Toyota’s culture may inhibit innovation in non-technical areas. Employees may feel constrained by rigid hierarchies and formalised procedures, reducing their willingness to experiment or challenge existing norms (Handy, 1993). This structural conservatism, while ensuring quality and consistency, may slow down organisational learning in rapidly evolving industries.</w:t>
      </w:r>
    </w:p>
    <w:p w14:paraId="5EBE23A6" w14:textId="3A699A3C" w:rsidR="00E461A4" w:rsidRPr="00E461A4" w:rsidRDefault="00E461A4" w:rsidP="00E461A4">
      <w:pPr>
        <w:rPr>
          <w:rFonts w:ascii="Calibri" w:hAnsi="Calibri" w:cs="Calibri"/>
          <w:lang w:val="en-GB"/>
        </w:rPr>
      </w:pPr>
      <w:r w:rsidRPr="00E461A4">
        <w:rPr>
          <w:rFonts w:ascii="Calibri" w:hAnsi="Calibri" w:cs="Calibri"/>
          <w:lang w:val="en-GB"/>
        </w:rPr>
        <w:t>In summary, Toyota’s culture</w:t>
      </w:r>
      <w:r w:rsidRPr="00425C2D">
        <w:rPr>
          <w:rFonts w:ascii="Calibri" w:hAnsi="Calibri" w:cs="Calibri"/>
          <w:lang w:val="en-GB"/>
        </w:rPr>
        <w:t xml:space="preserve">, </w:t>
      </w:r>
      <w:r w:rsidRPr="00E461A4">
        <w:rPr>
          <w:rFonts w:ascii="Calibri" w:hAnsi="Calibri" w:cs="Calibri"/>
          <w:lang w:val="en-GB"/>
        </w:rPr>
        <w:t>though a source of strength</w:t>
      </w:r>
      <w:r w:rsidRPr="00425C2D">
        <w:rPr>
          <w:rFonts w:ascii="Calibri" w:hAnsi="Calibri" w:cs="Calibri"/>
          <w:lang w:val="en-GB"/>
        </w:rPr>
        <w:t xml:space="preserve"> </w:t>
      </w:r>
      <w:r w:rsidRPr="00E461A4">
        <w:rPr>
          <w:rFonts w:ascii="Calibri" w:hAnsi="Calibri" w:cs="Calibri"/>
          <w:lang w:val="en-GB"/>
        </w:rPr>
        <w:t>can become a barrier when flexibility, speed, and cross-cultural integration are required. Addressing these limitations requires a careful balance between preserving core values and fostering cultural agility.</w:t>
      </w:r>
    </w:p>
    <w:p w14:paraId="68DC8C6C" w14:textId="77777777" w:rsidR="00E461A4" w:rsidRPr="00425C2D" w:rsidRDefault="00E461A4" w:rsidP="00FE5325">
      <w:pPr>
        <w:rPr>
          <w:rFonts w:ascii="Calibri" w:hAnsi="Calibri" w:cs="Calibri"/>
        </w:rPr>
      </w:pPr>
    </w:p>
    <w:p w14:paraId="6DB70556" w14:textId="2BDFBD0B" w:rsidR="005D44EA" w:rsidRPr="00425C2D" w:rsidRDefault="00165DB9" w:rsidP="00165DB9">
      <w:pPr>
        <w:pStyle w:val="ListParagraph"/>
        <w:numPr>
          <w:ilvl w:val="0"/>
          <w:numId w:val="14"/>
        </w:numPr>
        <w:rPr>
          <w:rFonts w:ascii="Calibri" w:hAnsi="Calibri" w:cs="Calibri"/>
          <w:b/>
          <w:bCs/>
        </w:rPr>
      </w:pPr>
      <w:r w:rsidRPr="00425C2D">
        <w:rPr>
          <w:rFonts w:ascii="Calibri" w:hAnsi="Calibri" w:cs="Calibri"/>
          <w:b/>
          <w:bCs/>
        </w:rPr>
        <w:t>IMPACT OF CULTURE ON ORGANIZATIONAL PERFORMANCE</w:t>
      </w:r>
    </w:p>
    <w:p w14:paraId="09FE6AFC" w14:textId="24FA02D0" w:rsidR="00E461A4" w:rsidRPr="00E461A4" w:rsidRDefault="00E461A4" w:rsidP="00E461A4">
      <w:pPr>
        <w:rPr>
          <w:rFonts w:ascii="Calibri" w:hAnsi="Calibri" w:cs="Calibri"/>
          <w:lang w:val="en-GB"/>
        </w:rPr>
      </w:pPr>
      <w:r w:rsidRPr="00E461A4">
        <w:rPr>
          <w:rFonts w:ascii="Calibri" w:hAnsi="Calibri" w:cs="Calibri"/>
          <w:lang w:val="en-GB"/>
        </w:rPr>
        <w:t>Toyota’s organisational culture has played a central role in shaping its long-standing reputation for operational excellence, innovation, and employee commitment. The company’s cultural foundation</w:t>
      </w:r>
      <w:r w:rsidRPr="00425C2D">
        <w:rPr>
          <w:rFonts w:ascii="Calibri" w:hAnsi="Calibri" w:cs="Calibri"/>
          <w:lang w:val="en-GB"/>
        </w:rPr>
        <w:t xml:space="preserve"> </w:t>
      </w:r>
      <w:r w:rsidRPr="00E461A4">
        <w:rPr>
          <w:rFonts w:ascii="Calibri" w:hAnsi="Calibri" w:cs="Calibri"/>
          <w:lang w:val="en-GB"/>
        </w:rPr>
        <w:t>anchored in the Toyota Way</w:t>
      </w:r>
      <w:r w:rsidRPr="00425C2D">
        <w:rPr>
          <w:rFonts w:ascii="Calibri" w:hAnsi="Calibri" w:cs="Calibri"/>
          <w:lang w:val="en-GB"/>
        </w:rPr>
        <w:t xml:space="preserve"> </w:t>
      </w:r>
      <w:r w:rsidRPr="00E461A4">
        <w:rPr>
          <w:rFonts w:ascii="Calibri" w:hAnsi="Calibri" w:cs="Calibri"/>
          <w:lang w:val="en-GB"/>
        </w:rPr>
        <w:t>emphasises continuous improvement (</w:t>
      </w:r>
      <w:r w:rsidRPr="00E461A4">
        <w:rPr>
          <w:rFonts w:ascii="Calibri" w:hAnsi="Calibri" w:cs="Calibri"/>
          <w:i/>
          <w:iCs/>
          <w:lang w:val="en-GB"/>
        </w:rPr>
        <w:t>Kaizen</w:t>
      </w:r>
      <w:r w:rsidRPr="00E461A4">
        <w:rPr>
          <w:rFonts w:ascii="Calibri" w:hAnsi="Calibri" w:cs="Calibri"/>
          <w:lang w:val="en-GB"/>
        </w:rPr>
        <w:t>), respect for people, and long-term strategic thinking. These values are not abstract ideals but are embedded in everyday practices, influencing how employees work, collaborate, and solve problems (Liker, 2004).</w:t>
      </w:r>
    </w:p>
    <w:p w14:paraId="005AFD39" w14:textId="3BBD4061" w:rsidR="00E461A4" w:rsidRPr="00E461A4" w:rsidRDefault="00E461A4" w:rsidP="00E461A4">
      <w:pPr>
        <w:rPr>
          <w:rFonts w:ascii="Calibri" w:hAnsi="Calibri" w:cs="Calibri"/>
          <w:lang w:val="en-GB"/>
        </w:rPr>
      </w:pPr>
      <w:r w:rsidRPr="00E461A4">
        <w:rPr>
          <w:rFonts w:ascii="Calibri" w:hAnsi="Calibri" w:cs="Calibri"/>
          <w:lang w:val="en-GB"/>
        </w:rPr>
        <w:lastRenderedPageBreak/>
        <w:t xml:space="preserve">One of the most significant ways </w:t>
      </w:r>
      <w:r w:rsidRPr="00425C2D">
        <w:rPr>
          <w:rFonts w:ascii="Calibri" w:hAnsi="Calibri" w:cs="Calibri"/>
          <w:lang w:val="en-GB"/>
        </w:rPr>
        <w:t>cultures</w:t>
      </w:r>
      <w:r w:rsidRPr="00E461A4">
        <w:rPr>
          <w:rFonts w:ascii="Calibri" w:hAnsi="Calibri" w:cs="Calibri"/>
          <w:lang w:val="en-GB"/>
        </w:rPr>
        <w:t xml:space="preserve"> </w:t>
      </w:r>
      <w:proofErr w:type="gramStart"/>
      <w:r w:rsidRPr="00E461A4">
        <w:rPr>
          <w:rFonts w:ascii="Calibri" w:hAnsi="Calibri" w:cs="Calibri"/>
          <w:lang w:val="en-GB"/>
        </w:rPr>
        <w:t>enhances</w:t>
      </w:r>
      <w:proofErr w:type="gramEnd"/>
      <w:r w:rsidRPr="00E461A4">
        <w:rPr>
          <w:rFonts w:ascii="Calibri" w:hAnsi="Calibri" w:cs="Calibri"/>
          <w:lang w:val="en-GB"/>
        </w:rPr>
        <w:t xml:space="preserve"> performance at Toyota is through its emphasis on learning and problem-solving. Employees are encouraged to identify inefficiencies and propose improvements, which has led to the development of highly efficient production systems and a culture of innovation from the ground up (Meyer, 2025). This approach has allowed Toyota to maintain a competitive edge, particularly in areas such as hybrid technology and lean manufacturing.</w:t>
      </w:r>
    </w:p>
    <w:p w14:paraId="3DB1259C" w14:textId="6970B1BA" w:rsidR="00E461A4" w:rsidRPr="00E461A4" w:rsidRDefault="00E461A4" w:rsidP="00E461A4">
      <w:pPr>
        <w:rPr>
          <w:rFonts w:ascii="Calibri" w:hAnsi="Calibri" w:cs="Calibri"/>
          <w:lang w:val="en-GB"/>
        </w:rPr>
      </w:pPr>
      <w:r w:rsidRPr="00E461A4">
        <w:rPr>
          <w:rFonts w:ascii="Calibri" w:hAnsi="Calibri" w:cs="Calibri"/>
          <w:lang w:val="en-GB"/>
        </w:rPr>
        <w:t xml:space="preserve">Furthermore, the company’s people-centred culture contributes to high levels of employee engagement and retention. Toyota invests heavily in training and internal development, fostering a sense of loyalty and shared purpose among its </w:t>
      </w:r>
      <w:r w:rsidRPr="00425C2D">
        <w:rPr>
          <w:rFonts w:ascii="Calibri" w:hAnsi="Calibri" w:cs="Calibri"/>
          <w:lang w:val="en-GB"/>
        </w:rPr>
        <w:t>workforces</w:t>
      </w:r>
      <w:r w:rsidRPr="00E461A4">
        <w:rPr>
          <w:rFonts w:ascii="Calibri" w:hAnsi="Calibri" w:cs="Calibri"/>
          <w:lang w:val="en-GB"/>
        </w:rPr>
        <w:t>. According to TMI (2024), this has translated into strong productivity and low turnover, both of which are critical to sustaining performance in a competitive industry.</w:t>
      </w:r>
    </w:p>
    <w:p w14:paraId="4FFCAA76" w14:textId="77777777" w:rsidR="00E461A4" w:rsidRPr="00E461A4" w:rsidRDefault="00E461A4" w:rsidP="00E461A4">
      <w:pPr>
        <w:rPr>
          <w:rFonts w:ascii="Calibri" w:hAnsi="Calibri" w:cs="Calibri"/>
          <w:lang w:val="en-GB"/>
        </w:rPr>
      </w:pPr>
      <w:r w:rsidRPr="00E461A4">
        <w:rPr>
          <w:rFonts w:ascii="Calibri" w:hAnsi="Calibri" w:cs="Calibri"/>
          <w:lang w:val="en-GB"/>
        </w:rPr>
        <w:t>However, the same cultural strengths can also become constraints. The company’s hierarchical structure and consensus-driven decision-making, while promoting stability, can slow down responsiveness in fast-moving or crisis situations. The 2010 recall crisis is a case in point, where cultural reluctance to escalate issues quickly led to reputational and financial damage (Greene, 2010).</w:t>
      </w:r>
    </w:p>
    <w:p w14:paraId="2B246276" w14:textId="77777777" w:rsidR="00E461A4" w:rsidRPr="00E461A4" w:rsidRDefault="00E461A4" w:rsidP="00E461A4">
      <w:pPr>
        <w:rPr>
          <w:rFonts w:ascii="Calibri" w:hAnsi="Calibri" w:cs="Calibri"/>
          <w:lang w:val="en-GB"/>
        </w:rPr>
      </w:pPr>
      <w:r w:rsidRPr="00E461A4">
        <w:rPr>
          <w:rFonts w:ascii="Calibri" w:hAnsi="Calibri" w:cs="Calibri"/>
          <w:lang w:val="en-GB"/>
        </w:rPr>
        <w:t>In essence, Toyota’s culture is a powerful enabler of performance, but it must continue to evolve to meet the demands of a rapidly changing global environment.</w:t>
      </w:r>
    </w:p>
    <w:p w14:paraId="154A4115" w14:textId="77777777" w:rsidR="00E461A4" w:rsidRPr="00425C2D" w:rsidRDefault="00E461A4" w:rsidP="00FE5325">
      <w:pPr>
        <w:rPr>
          <w:rFonts w:ascii="Calibri" w:hAnsi="Calibri" w:cs="Calibri"/>
        </w:rPr>
      </w:pPr>
    </w:p>
    <w:p w14:paraId="42D59DF7" w14:textId="2384674E" w:rsidR="00165DB9" w:rsidRPr="00425C2D" w:rsidRDefault="00165DB9" w:rsidP="00165DB9">
      <w:pPr>
        <w:pStyle w:val="ListParagraph"/>
        <w:numPr>
          <w:ilvl w:val="0"/>
          <w:numId w:val="14"/>
        </w:numPr>
        <w:rPr>
          <w:rFonts w:ascii="Calibri" w:hAnsi="Calibri" w:cs="Calibri"/>
          <w:b/>
          <w:bCs/>
        </w:rPr>
      </w:pPr>
      <w:r w:rsidRPr="00425C2D">
        <w:rPr>
          <w:rFonts w:ascii="Calibri" w:hAnsi="Calibri" w:cs="Calibri"/>
          <w:b/>
          <w:bCs/>
        </w:rPr>
        <w:t xml:space="preserve">CONCLUSION </w:t>
      </w:r>
    </w:p>
    <w:p w14:paraId="3A5A38C3" w14:textId="343726BB" w:rsidR="00E461A4" w:rsidRPr="00E461A4" w:rsidRDefault="00E461A4" w:rsidP="00E461A4">
      <w:pPr>
        <w:rPr>
          <w:rFonts w:ascii="Calibri" w:hAnsi="Calibri" w:cs="Calibri"/>
          <w:lang w:val="en-GB"/>
        </w:rPr>
      </w:pPr>
      <w:r w:rsidRPr="00E461A4">
        <w:rPr>
          <w:rFonts w:ascii="Calibri" w:hAnsi="Calibri" w:cs="Calibri"/>
          <w:lang w:val="en-GB"/>
        </w:rPr>
        <w:t>This report has critically examined the role of organisational culture in shaping Toyota’s structure, decision-making, adaptability, and overall performance. Drawing on established frameworks such as Hofstede’s dimensions, Handy’s cultural types, and Schein’s model, it is evident that Toyota’s culture</w:t>
      </w:r>
      <w:r w:rsidRPr="00425C2D">
        <w:rPr>
          <w:rFonts w:ascii="Calibri" w:hAnsi="Calibri" w:cs="Calibri"/>
          <w:lang w:val="en-GB"/>
        </w:rPr>
        <w:t xml:space="preserve"> </w:t>
      </w:r>
      <w:r w:rsidRPr="00E461A4">
        <w:rPr>
          <w:rFonts w:ascii="Calibri" w:hAnsi="Calibri" w:cs="Calibri"/>
          <w:lang w:val="en-GB"/>
        </w:rPr>
        <w:t>anchored in principles of continuous improvement, respect for people, and long-term thinking</w:t>
      </w:r>
      <w:r w:rsidRPr="00425C2D">
        <w:rPr>
          <w:rFonts w:ascii="Calibri" w:hAnsi="Calibri" w:cs="Calibri"/>
          <w:lang w:val="en-GB"/>
        </w:rPr>
        <w:t xml:space="preserve"> </w:t>
      </w:r>
      <w:r w:rsidRPr="00E461A4">
        <w:rPr>
          <w:rFonts w:ascii="Calibri" w:hAnsi="Calibri" w:cs="Calibri"/>
          <w:lang w:val="en-GB"/>
        </w:rPr>
        <w:t>has been instrumental in driving operational excellence and strategic coherence. However, the analysis also highlights that this same culture can act as a constraint, particularly in contexts requiring rapid responsiveness or cross-cultural flexibility.</w:t>
      </w:r>
    </w:p>
    <w:p w14:paraId="324072B3" w14:textId="77777777" w:rsidR="00E461A4" w:rsidRPr="00E461A4" w:rsidRDefault="00E461A4" w:rsidP="00E461A4">
      <w:pPr>
        <w:rPr>
          <w:rFonts w:ascii="Calibri" w:hAnsi="Calibri" w:cs="Calibri"/>
          <w:lang w:val="en-GB"/>
        </w:rPr>
      </w:pPr>
      <w:r w:rsidRPr="00E461A4">
        <w:rPr>
          <w:rFonts w:ascii="Calibri" w:hAnsi="Calibri" w:cs="Calibri"/>
          <w:lang w:val="en-GB"/>
        </w:rPr>
        <w:t>To ensure continued effectiveness in a dynamic global environment, Toyota should consider the following recommendations:</w:t>
      </w:r>
    </w:p>
    <w:p w14:paraId="6D7CF90B" w14:textId="77777777" w:rsidR="00E461A4" w:rsidRPr="00E461A4" w:rsidRDefault="00E461A4" w:rsidP="00E461A4">
      <w:pPr>
        <w:numPr>
          <w:ilvl w:val="0"/>
          <w:numId w:val="13"/>
        </w:numPr>
        <w:rPr>
          <w:rFonts w:ascii="Calibri" w:hAnsi="Calibri" w:cs="Calibri"/>
          <w:lang w:val="en-GB"/>
        </w:rPr>
      </w:pPr>
      <w:r w:rsidRPr="00E461A4">
        <w:rPr>
          <w:rFonts w:ascii="Calibri" w:hAnsi="Calibri" w:cs="Calibri"/>
          <w:lang w:val="en-GB"/>
        </w:rPr>
        <w:t>Enhance cultural agility across international subsidiaries. While Toyota’s core values are a source of strength, greater emphasis on local cultural integration and decentralised innovation could improve responsiveness and employee engagement in diverse markets.</w:t>
      </w:r>
    </w:p>
    <w:p w14:paraId="6E6B07CA" w14:textId="77777777" w:rsidR="00E461A4" w:rsidRPr="00E461A4" w:rsidRDefault="00E461A4" w:rsidP="00E461A4">
      <w:pPr>
        <w:numPr>
          <w:ilvl w:val="0"/>
          <w:numId w:val="13"/>
        </w:numPr>
        <w:rPr>
          <w:rFonts w:ascii="Calibri" w:hAnsi="Calibri" w:cs="Calibri"/>
          <w:lang w:val="en-GB"/>
        </w:rPr>
      </w:pPr>
      <w:r w:rsidRPr="00E461A4">
        <w:rPr>
          <w:rFonts w:ascii="Calibri" w:hAnsi="Calibri" w:cs="Calibri"/>
          <w:lang w:val="en-GB"/>
        </w:rPr>
        <w:t>Streamline decision-making in crisis scenarios</w:t>
      </w:r>
      <w:r w:rsidRPr="00E461A4">
        <w:rPr>
          <w:rFonts w:ascii="Calibri" w:hAnsi="Calibri" w:cs="Calibri"/>
          <w:b/>
          <w:bCs/>
          <w:lang w:val="en-GB"/>
        </w:rPr>
        <w:t>.</w:t>
      </w:r>
      <w:r w:rsidRPr="00E461A4">
        <w:rPr>
          <w:rFonts w:ascii="Calibri" w:hAnsi="Calibri" w:cs="Calibri"/>
          <w:lang w:val="en-GB"/>
        </w:rPr>
        <w:t xml:space="preserve"> The consensus-driven approach, while valuable for cohesion, should be complemented by contingency protocols that allow for swift action when urgency demands it.</w:t>
      </w:r>
    </w:p>
    <w:p w14:paraId="1B16C6B2" w14:textId="355BEBE3" w:rsidR="00E461A4" w:rsidRPr="00E461A4" w:rsidRDefault="00E461A4" w:rsidP="00E461A4">
      <w:pPr>
        <w:numPr>
          <w:ilvl w:val="0"/>
          <w:numId w:val="13"/>
        </w:numPr>
        <w:rPr>
          <w:rFonts w:ascii="Calibri" w:hAnsi="Calibri" w:cs="Calibri"/>
          <w:lang w:val="en-GB"/>
        </w:rPr>
      </w:pPr>
      <w:r w:rsidRPr="00E461A4">
        <w:rPr>
          <w:rFonts w:ascii="Calibri" w:hAnsi="Calibri" w:cs="Calibri"/>
          <w:lang w:val="en-GB"/>
        </w:rPr>
        <w:lastRenderedPageBreak/>
        <w:t>Foster cross-functional collaboration beyond technical domains</w:t>
      </w:r>
      <w:r w:rsidRPr="00E461A4">
        <w:rPr>
          <w:rFonts w:ascii="Calibri" w:hAnsi="Calibri" w:cs="Calibri"/>
          <w:b/>
          <w:bCs/>
          <w:lang w:val="en-GB"/>
        </w:rPr>
        <w:t>.</w:t>
      </w:r>
      <w:r w:rsidRPr="00E461A4">
        <w:rPr>
          <w:rFonts w:ascii="Calibri" w:hAnsi="Calibri" w:cs="Calibri"/>
          <w:lang w:val="en-GB"/>
        </w:rPr>
        <w:t xml:space="preserve"> Encouraging more fluid interaction between departments</w:t>
      </w:r>
      <w:r w:rsidRPr="00425C2D">
        <w:rPr>
          <w:rFonts w:ascii="Calibri" w:hAnsi="Calibri" w:cs="Calibri"/>
          <w:lang w:val="en-GB"/>
        </w:rPr>
        <w:t xml:space="preserve">, </w:t>
      </w:r>
      <w:r w:rsidRPr="00E461A4">
        <w:rPr>
          <w:rFonts w:ascii="Calibri" w:hAnsi="Calibri" w:cs="Calibri"/>
          <w:lang w:val="en-GB"/>
        </w:rPr>
        <w:t>especially in areas like marketing, sustainability, and digital transformation</w:t>
      </w:r>
      <w:r w:rsidRPr="00425C2D">
        <w:rPr>
          <w:rFonts w:ascii="Calibri" w:hAnsi="Calibri" w:cs="Calibri"/>
          <w:lang w:val="en-GB"/>
        </w:rPr>
        <w:t xml:space="preserve"> which </w:t>
      </w:r>
      <w:r w:rsidRPr="00E461A4">
        <w:rPr>
          <w:rFonts w:ascii="Calibri" w:hAnsi="Calibri" w:cs="Calibri"/>
          <w:lang w:val="en-GB"/>
        </w:rPr>
        <w:t>can help break down silos and stimulate broader innovation.</w:t>
      </w:r>
    </w:p>
    <w:p w14:paraId="53D16D4F" w14:textId="77777777" w:rsidR="00E461A4" w:rsidRPr="00E461A4" w:rsidRDefault="00E461A4" w:rsidP="00E461A4">
      <w:pPr>
        <w:numPr>
          <w:ilvl w:val="0"/>
          <w:numId w:val="13"/>
        </w:numPr>
        <w:rPr>
          <w:rFonts w:ascii="Calibri" w:hAnsi="Calibri" w:cs="Calibri"/>
          <w:lang w:val="en-GB"/>
        </w:rPr>
      </w:pPr>
      <w:r w:rsidRPr="00E461A4">
        <w:rPr>
          <w:rFonts w:ascii="Calibri" w:hAnsi="Calibri" w:cs="Calibri"/>
          <w:lang w:val="en-GB"/>
        </w:rPr>
        <w:t>Invest in leadership development with a global lens</w:t>
      </w:r>
      <w:r w:rsidRPr="00E461A4">
        <w:rPr>
          <w:rFonts w:ascii="Calibri" w:hAnsi="Calibri" w:cs="Calibri"/>
          <w:b/>
          <w:bCs/>
          <w:lang w:val="en-GB"/>
        </w:rPr>
        <w:t>.</w:t>
      </w:r>
      <w:r w:rsidRPr="00E461A4">
        <w:rPr>
          <w:rFonts w:ascii="Calibri" w:hAnsi="Calibri" w:cs="Calibri"/>
          <w:lang w:val="en-GB"/>
        </w:rPr>
        <w:t xml:space="preserve"> Equipping managers with intercultural competencies and adaptive leadership skills will strengthen Toyota’s ability to navigate regulatory shifts, technological disruption, and workforce diversity.</w:t>
      </w:r>
    </w:p>
    <w:p w14:paraId="38496C86" w14:textId="0F8B008B" w:rsidR="005D44EA" w:rsidRPr="00425C2D" w:rsidRDefault="00642219">
      <w:pPr>
        <w:rPr>
          <w:rFonts w:ascii="Calibri" w:hAnsi="Calibri" w:cs="Calibri"/>
        </w:rPr>
      </w:pPr>
      <w:r w:rsidRPr="00425C2D">
        <w:rPr>
          <w:rFonts w:ascii="Calibri" w:hAnsi="Calibri" w:cs="Calibri"/>
        </w:rPr>
        <w:t xml:space="preserve">In conclusion, Toyota’s </w:t>
      </w:r>
      <w:r w:rsidRPr="00425C2D">
        <w:rPr>
          <w:rFonts w:ascii="Calibri" w:hAnsi="Calibri" w:cs="Calibri"/>
        </w:rPr>
        <w:t>organizational</w:t>
      </w:r>
      <w:r w:rsidRPr="00425C2D">
        <w:rPr>
          <w:rFonts w:ascii="Calibri" w:hAnsi="Calibri" w:cs="Calibri"/>
        </w:rPr>
        <w:t xml:space="preserve"> culture remains a powerful asset, but its long-term success will depend on the company’s ability to evolve culturally while preserving the values that have defined its identity. A balanced approach</w:t>
      </w:r>
      <w:r w:rsidRPr="00425C2D">
        <w:rPr>
          <w:rFonts w:ascii="Calibri" w:hAnsi="Calibri" w:cs="Calibri"/>
        </w:rPr>
        <w:t xml:space="preserve"> is </w:t>
      </w:r>
      <w:r w:rsidRPr="00425C2D">
        <w:rPr>
          <w:rFonts w:ascii="Calibri" w:hAnsi="Calibri" w:cs="Calibri"/>
        </w:rPr>
        <w:t xml:space="preserve">one that </w:t>
      </w:r>
      <w:r w:rsidRPr="00425C2D">
        <w:rPr>
          <w:rFonts w:ascii="Calibri" w:hAnsi="Calibri" w:cs="Calibri"/>
        </w:rPr>
        <w:t>honors</w:t>
      </w:r>
      <w:r w:rsidRPr="00425C2D">
        <w:rPr>
          <w:rFonts w:ascii="Calibri" w:hAnsi="Calibri" w:cs="Calibri"/>
        </w:rPr>
        <w:t xml:space="preserve"> tradition while embracing change</w:t>
      </w:r>
      <w:r w:rsidRPr="00425C2D">
        <w:rPr>
          <w:rFonts w:ascii="Calibri" w:hAnsi="Calibri" w:cs="Calibri"/>
        </w:rPr>
        <w:t xml:space="preserve"> which </w:t>
      </w:r>
      <w:r w:rsidRPr="00425C2D">
        <w:rPr>
          <w:rFonts w:ascii="Calibri" w:hAnsi="Calibri" w:cs="Calibri"/>
        </w:rPr>
        <w:t>will be key to sustaining performance in an increasingly complex global landscape.</w:t>
      </w:r>
    </w:p>
    <w:p w14:paraId="2CEE0DA3" w14:textId="77777777" w:rsidR="00AB345F" w:rsidRPr="00425C2D" w:rsidRDefault="00AB345F">
      <w:pPr>
        <w:rPr>
          <w:rFonts w:ascii="Calibri" w:hAnsi="Calibri" w:cs="Calibri"/>
        </w:rPr>
      </w:pPr>
    </w:p>
    <w:p w14:paraId="38F2B2C7" w14:textId="77777777" w:rsidR="00AB345F" w:rsidRPr="00425C2D" w:rsidRDefault="00AB345F">
      <w:pPr>
        <w:rPr>
          <w:rFonts w:ascii="Calibri" w:hAnsi="Calibri" w:cs="Calibri"/>
        </w:rPr>
      </w:pPr>
    </w:p>
    <w:p w14:paraId="7F0CBF4C" w14:textId="77777777" w:rsidR="00AB345F" w:rsidRPr="00425C2D" w:rsidRDefault="00AB345F">
      <w:pPr>
        <w:rPr>
          <w:rFonts w:ascii="Calibri" w:hAnsi="Calibri" w:cs="Calibri"/>
        </w:rPr>
      </w:pPr>
    </w:p>
    <w:p w14:paraId="3E9C15D7" w14:textId="77777777" w:rsidR="00AB345F" w:rsidRPr="00425C2D" w:rsidRDefault="00AB345F">
      <w:pPr>
        <w:rPr>
          <w:rFonts w:ascii="Calibri" w:hAnsi="Calibri" w:cs="Calibri"/>
        </w:rPr>
      </w:pPr>
    </w:p>
    <w:p w14:paraId="7BD36E2C" w14:textId="77777777" w:rsidR="00E461A4" w:rsidRPr="00425C2D" w:rsidRDefault="00E461A4" w:rsidP="00FE5325">
      <w:pPr>
        <w:rPr>
          <w:rFonts w:ascii="Calibri" w:hAnsi="Calibri" w:cs="Calibri"/>
          <w:b/>
          <w:bCs/>
        </w:rPr>
      </w:pPr>
    </w:p>
    <w:p w14:paraId="3E300B38" w14:textId="77777777" w:rsidR="00E461A4" w:rsidRPr="00425C2D" w:rsidRDefault="00E461A4" w:rsidP="00FE5325">
      <w:pPr>
        <w:rPr>
          <w:rFonts w:ascii="Calibri" w:hAnsi="Calibri" w:cs="Calibri"/>
          <w:b/>
          <w:bCs/>
        </w:rPr>
      </w:pPr>
    </w:p>
    <w:p w14:paraId="175EA233" w14:textId="77777777" w:rsidR="00E461A4" w:rsidRPr="00425C2D" w:rsidRDefault="00E461A4" w:rsidP="00FE5325">
      <w:pPr>
        <w:rPr>
          <w:rFonts w:ascii="Calibri" w:hAnsi="Calibri" w:cs="Calibri"/>
          <w:b/>
          <w:bCs/>
        </w:rPr>
      </w:pPr>
    </w:p>
    <w:p w14:paraId="0EFA38EA" w14:textId="77777777" w:rsidR="00E461A4" w:rsidRPr="00425C2D" w:rsidRDefault="00E461A4" w:rsidP="00FE5325">
      <w:pPr>
        <w:rPr>
          <w:rFonts w:ascii="Calibri" w:hAnsi="Calibri" w:cs="Calibri"/>
          <w:b/>
          <w:bCs/>
        </w:rPr>
      </w:pPr>
    </w:p>
    <w:p w14:paraId="57629E19" w14:textId="77777777" w:rsidR="00E461A4" w:rsidRPr="00425C2D" w:rsidRDefault="00E461A4" w:rsidP="00FE5325">
      <w:pPr>
        <w:rPr>
          <w:rFonts w:ascii="Calibri" w:hAnsi="Calibri" w:cs="Calibri"/>
          <w:b/>
          <w:bCs/>
        </w:rPr>
      </w:pPr>
    </w:p>
    <w:p w14:paraId="3665182E" w14:textId="77777777" w:rsidR="00E461A4" w:rsidRPr="00425C2D" w:rsidRDefault="00E461A4" w:rsidP="00FE5325">
      <w:pPr>
        <w:rPr>
          <w:rFonts w:ascii="Calibri" w:hAnsi="Calibri" w:cs="Calibri"/>
          <w:b/>
          <w:bCs/>
        </w:rPr>
      </w:pPr>
    </w:p>
    <w:p w14:paraId="7D47A34D" w14:textId="77777777" w:rsidR="00642219" w:rsidRPr="00425C2D" w:rsidRDefault="00642219" w:rsidP="00FE5325">
      <w:pPr>
        <w:rPr>
          <w:rFonts w:ascii="Calibri" w:hAnsi="Calibri" w:cs="Calibri"/>
          <w:b/>
          <w:bCs/>
        </w:rPr>
      </w:pPr>
    </w:p>
    <w:p w14:paraId="74A551F4" w14:textId="77777777" w:rsidR="00642219" w:rsidRPr="00425C2D" w:rsidRDefault="00642219" w:rsidP="00FE5325">
      <w:pPr>
        <w:rPr>
          <w:rFonts w:ascii="Calibri" w:hAnsi="Calibri" w:cs="Calibri"/>
          <w:b/>
          <w:bCs/>
        </w:rPr>
      </w:pPr>
    </w:p>
    <w:p w14:paraId="654865E8" w14:textId="77777777" w:rsidR="00642219" w:rsidRPr="00425C2D" w:rsidRDefault="00642219" w:rsidP="00FE5325">
      <w:pPr>
        <w:rPr>
          <w:rFonts w:ascii="Calibri" w:hAnsi="Calibri" w:cs="Calibri"/>
          <w:b/>
          <w:bCs/>
        </w:rPr>
      </w:pPr>
    </w:p>
    <w:p w14:paraId="6298AEA5" w14:textId="77777777" w:rsidR="00642219" w:rsidRPr="00425C2D" w:rsidRDefault="00642219" w:rsidP="00FE5325">
      <w:pPr>
        <w:rPr>
          <w:rFonts w:ascii="Calibri" w:hAnsi="Calibri" w:cs="Calibri"/>
          <w:b/>
          <w:bCs/>
        </w:rPr>
      </w:pPr>
    </w:p>
    <w:p w14:paraId="01D419FE" w14:textId="77777777" w:rsidR="00642219" w:rsidRDefault="00642219" w:rsidP="00FE5325">
      <w:pPr>
        <w:rPr>
          <w:rFonts w:ascii="Calibri" w:hAnsi="Calibri" w:cs="Calibri"/>
          <w:b/>
          <w:bCs/>
        </w:rPr>
      </w:pPr>
    </w:p>
    <w:p w14:paraId="792E0F71" w14:textId="77777777" w:rsidR="00425C2D" w:rsidRDefault="00425C2D" w:rsidP="00FE5325">
      <w:pPr>
        <w:rPr>
          <w:rFonts w:ascii="Calibri" w:hAnsi="Calibri" w:cs="Calibri"/>
          <w:b/>
          <w:bCs/>
        </w:rPr>
      </w:pPr>
    </w:p>
    <w:p w14:paraId="39CA961C" w14:textId="77777777" w:rsidR="00425C2D" w:rsidRPr="00425C2D" w:rsidRDefault="00425C2D" w:rsidP="00FE5325">
      <w:pPr>
        <w:rPr>
          <w:rFonts w:ascii="Calibri" w:hAnsi="Calibri" w:cs="Calibri"/>
          <w:b/>
          <w:bCs/>
        </w:rPr>
      </w:pPr>
    </w:p>
    <w:p w14:paraId="340D1DF7" w14:textId="77777777" w:rsidR="00642219" w:rsidRPr="00425C2D" w:rsidRDefault="00642219" w:rsidP="00FE5325">
      <w:pPr>
        <w:rPr>
          <w:rFonts w:ascii="Calibri" w:hAnsi="Calibri" w:cs="Calibri"/>
          <w:b/>
          <w:bCs/>
        </w:rPr>
      </w:pPr>
    </w:p>
    <w:p w14:paraId="73D52545" w14:textId="1016796C" w:rsidR="005D44EA" w:rsidRPr="00425C2D" w:rsidRDefault="00165DB9" w:rsidP="00165DB9">
      <w:pPr>
        <w:pStyle w:val="ListParagraph"/>
        <w:numPr>
          <w:ilvl w:val="0"/>
          <w:numId w:val="14"/>
        </w:numPr>
        <w:rPr>
          <w:rFonts w:ascii="Calibri" w:hAnsi="Calibri" w:cs="Calibri"/>
          <w:b/>
          <w:bCs/>
        </w:rPr>
      </w:pPr>
      <w:r w:rsidRPr="00425C2D">
        <w:rPr>
          <w:rFonts w:ascii="Calibri" w:hAnsi="Calibri" w:cs="Calibri"/>
          <w:b/>
          <w:bCs/>
        </w:rPr>
        <w:lastRenderedPageBreak/>
        <w:t>REFERENCES</w:t>
      </w:r>
    </w:p>
    <w:p w14:paraId="1D7A2CEE" w14:textId="77777777" w:rsidR="00642219" w:rsidRPr="00425C2D" w:rsidRDefault="00642219" w:rsidP="00642219">
      <w:pPr>
        <w:rPr>
          <w:rFonts w:ascii="Calibri" w:hAnsi="Calibri" w:cs="Calibri"/>
        </w:rPr>
      </w:pPr>
      <w:r w:rsidRPr="00425C2D">
        <w:rPr>
          <w:rFonts w:ascii="Calibri" w:hAnsi="Calibri" w:cs="Calibri"/>
        </w:rPr>
        <w:t>Cameron, K.S. and Quinn, R.E. (2011</w:t>
      </w:r>
      <w:r w:rsidRPr="00425C2D">
        <w:rPr>
          <w:rFonts w:ascii="Calibri" w:hAnsi="Calibri" w:cs="Calibri"/>
          <w:b/>
          <w:bCs/>
        </w:rPr>
        <w:t>).</w:t>
      </w:r>
      <w:r w:rsidRPr="00425C2D">
        <w:rPr>
          <w:rFonts w:ascii="Calibri" w:hAnsi="Calibri" w:cs="Calibri"/>
        </w:rPr>
        <w:t xml:space="preserve"> </w:t>
      </w:r>
      <w:r w:rsidRPr="00425C2D">
        <w:rPr>
          <w:rFonts w:ascii="Calibri" w:hAnsi="Calibri" w:cs="Calibri"/>
          <w:i/>
          <w:iCs/>
        </w:rPr>
        <w:t>Diagnosing and Changing Organizational Culture: Based on the Competing Values Framework</w:t>
      </w:r>
      <w:r w:rsidRPr="00425C2D">
        <w:rPr>
          <w:rFonts w:ascii="Calibri" w:hAnsi="Calibri" w:cs="Calibri"/>
        </w:rPr>
        <w:t>. 3rd ed. San Francisco: Jossey-Bass.</w:t>
      </w:r>
    </w:p>
    <w:p w14:paraId="731A5DD5" w14:textId="77777777" w:rsidR="00642219" w:rsidRPr="00425C2D" w:rsidRDefault="00642219" w:rsidP="00642219">
      <w:pPr>
        <w:rPr>
          <w:rFonts w:ascii="Calibri" w:hAnsi="Calibri" w:cs="Calibri"/>
        </w:rPr>
      </w:pPr>
      <w:r w:rsidRPr="00425C2D">
        <w:rPr>
          <w:rFonts w:ascii="Calibri" w:hAnsi="Calibri" w:cs="Calibri"/>
        </w:rPr>
        <w:t xml:space="preserve">Deal, T.E. and Kennedy, A.A. (2000). </w:t>
      </w:r>
      <w:r w:rsidRPr="00425C2D">
        <w:rPr>
          <w:rFonts w:ascii="Calibri" w:hAnsi="Calibri" w:cs="Calibri"/>
          <w:i/>
          <w:iCs/>
        </w:rPr>
        <w:t>Corporate Cultures: The Rites and Rituals of Corporate Life</w:t>
      </w:r>
      <w:r w:rsidRPr="00425C2D">
        <w:rPr>
          <w:rFonts w:ascii="Calibri" w:hAnsi="Calibri" w:cs="Calibri"/>
        </w:rPr>
        <w:t>. Cambridge, MA: Perseus Books.</w:t>
      </w:r>
    </w:p>
    <w:p w14:paraId="558E9722"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Denison, D.R. (1990). </w:t>
      </w:r>
      <w:r w:rsidRPr="00642219">
        <w:rPr>
          <w:rFonts w:ascii="Calibri" w:hAnsi="Calibri" w:cs="Calibri"/>
          <w:i/>
          <w:iCs/>
          <w:lang w:val="en-GB"/>
        </w:rPr>
        <w:t>Corporate Culture and Organizational Effectiveness</w:t>
      </w:r>
      <w:r w:rsidRPr="00642219">
        <w:rPr>
          <w:rFonts w:ascii="Calibri" w:hAnsi="Calibri" w:cs="Calibri"/>
          <w:lang w:val="en-GB"/>
        </w:rPr>
        <w:t>. New York: Wiley.</w:t>
      </w:r>
    </w:p>
    <w:p w14:paraId="5A48DCC6" w14:textId="77777777" w:rsidR="00642219" w:rsidRPr="00642219" w:rsidRDefault="00642219" w:rsidP="00642219">
      <w:pPr>
        <w:rPr>
          <w:rFonts w:ascii="Calibri" w:hAnsi="Calibri" w:cs="Calibri"/>
          <w:lang w:val="en-GB"/>
        </w:rPr>
      </w:pPr>
      <w:proofErr w:type="spellStart"/>
      <w:r w:rsidRPr="00642219">
        <w:rPr>
          <w:rFonts w:ascii="Calibri" w:hAnsi="Calibri" w:cs="Calibri"/>
          <w:lang w:val="en-GB"/>
        </w:rPr>
        <w:t>FourWeekMBA</w:t>
      </w:r>
      <w:proofErr w:type="spellEnd"/>
      <w:r w:rsidRPr="00642219">
        <w:rPr>
          <w:rFonts w:ascii="Calibri" w:hAnsi="Calibri" w:cs="Calibri"/>
          <w:lang w:val="en-GB"/>
        </w:rPr>
        <w:t xml:space="preserve">. (2025). </w:t>
      </w:r>
      <w:r w:rsidRPr="00642219">
        <w:rPr>
          <w:rFonts w:ascii="Calibri" w:hAnsi="Calibri" w:cs="Calibri"/>
          <w:i/>
          <w:iCs/>
          <w:lang w:val="en-GB"/>
        </w:rPr>
        <w:t>Toyota Organizational Structure</w:t>
      </w:r>
      <w:r w:rsidRPr="00642219">
        <w:rPr>
          <w:rFonts w:ascii="Calibri" w:hAnsi="Calibri" w:cs="Calibri"/>
          <w:lang w:val="en-GB"/>
        </w:rPr>
        <w:t>. [online] Available at: https://fourweekmba.com/toyota-organizational-structure/ [Accessed 10 Nov. 2025].</w:t>
      </w:r>
    </w:p>
    <w:p w14:paraId="384A8793"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Georgescu, A. (2025). </w:t>
      </w:r>
      <w:r w:rsidRPr="00642219">
        <w:rPr>
          <w:rFonts w:ascii="Calibri" w:hAnsi="Calibri" w:cs="Calibri"/>
          <w:i/>
          <w:iCs/>
          <w:lang w:val="en-GB"/>
        </w:rPr>
        <w:t>Building a People-First Culture: Lessons from Toyota’s Success</w:t>
      </w:r>
      <w:r w:rsidRPr="00642219">
        <w:rPr>
          <w:rFonts w:ascii="Calibri" w:hAnsi="Calibri" w:cs="Calibri"/>
          <w:lang w:val="en-GB"/>
        </w:rPr>
        <w:t>. [online] Available at: https://antoniageorgescu.com/2025/04/08/building-a-people-first-culture-lessons-from-toyotas-success/ [Accessed 10 Nov. 2025].</w:t>
      </w:r>
    </w:p>
    <w:p w14:paraId="1E3FDE9B" w14:textId="77777777" w:rsidR="00642219" w:rsidRPr="00642219" w:rsidRDefault="00642219" w:rsidP="00642219">
      <w:pPr>
        <w:rPr>
          <w:rFonts w:ascii="Calibri" w:hAnsi="Calibri" w:cs="Calibri"/>
          <w:lang w:val="en-GB"/>
        </w:rPr>
      </w:pPr>
      <w:r w:rsidRPr="00425C2D">
        <w:rPr>
          <w:rFonts w:ascii="Calibri" w:hAnsi="Calibri" w:cs="Calibri"/>
        </w:rPr>
        <w:t xml:space="preserve">Goffee, R. and Jones, G. (2006). </w:t>
      </w:r>
      <w:r w:rsidRPr="00425C2D">
        <w:rPr>
          <w:rFonts w:ascii="Calibri" w:hAnsi="Calibri" w:cs="Calibri"/>
          <w:i/>
          <w:iCs/>
        </w:rPr>
        <w:t>Why Should Anyone Be Led by You?</w:t>
      </w:r>
      <w:r w:rsidRPr="00425C2D">
        <w:rPr>
          <w:rFonts w:ascii="Calibri" w:hAnsi="Calibri" w:cs="Calibri"/>
        </w:rPr>
        <w:t xml:space="preserve"> Boston: Harvard Business School Press.</w:t>
      </w:r>
    </w:p>
    <w:p w14:paraId="134BAFBC"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Greene, J. (2010). </w:t>
      </w:r>
      <w:r w:rsidRPr="00642219">
        <w:rPr>
          <w:rFonts w:ascii="Calibri" w:hAnsi="Calibri" w:cs="Calibri"/>
          <w:i/>
          <w:iCs/>
          <w:lang w:val="en-GB"/>
        </w:rPr>
        <w:t>Toyota’s Recall Crisis: What Have We Learned?</w:t>
      </w:r>
      <w:r w:rsidRPr="00642219">
        <w:rPr>
          <w:rFonts w:ascii="Calibri" w:hAnsi="Calibri" w:cs="Calibri"/>
          <w:lang w:val="en-GB"/>
        </w:rPr>
        <w:t xml:space="preserve"> Bloomberg Businessweek.</w:t>
      </w:r>
    </w:p>
    <w:p w14:paraId="59A18774"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Handy, C. (1993). </w:t>
      </w:r>
      <w:r w:rsidRPr="00642219">
        <w:rPr>
          <w:rFonts w:ascii="Calibri" w:hAnsi="Calibri" w:cs="Calibri"/>
          <w:i/>
          <w:iCs/>
          <w:lang w:val="en-GB"/>
        </w:rPr>
        <w:t>Understanding Organisations</w:t>
      </w:r>
      <w:r w:rsidRPr="00642219">
        <w:rPr>
          <w:rFonts w:ascii="Calibri" w:hAnsi="Calibri" w:cs="Calibri"/>
          <w:lang w:val="en-GB"/>
        </w:rPr>
        <w:t>. 4th ed. London: Penguin Books.</w:t>
      </w:r>
    </w:p>
    <w:p w14:paraId="24D643E9"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Hofstede Insights. (2023). </w:t>
      </w:r>
      <w:r w:rsidRPr="00642219">
        <w:rPr>
          <w:rFonts w:ascii="Calibri" w:hAnsi="Calibri" w:cs="Calibri"/>
          <w:i/>
          <w:iCs/>
          <w:lang w:val="en-GB"/>
        </w:rPr>
        <w:t>Country Comparison: Japan</w:t>
      </w:r>
      <w:r w:rsidRPr="00642219">
        <w:rPr>
          <w:rFonts w:ascii="Calibri" w:hAnsi="Calibri" w:cs="Calibri"/>
          <w:lang w:val="en-GB"/>
        </w:rPr>
        <w:t>. [online] Available at: https://www.hofstede-insights.com/country-comparison/japan/ [Accessed 10 Nov. 2025].</w:t>
      </w:r>
    </w:p>
    <w:p w14:paraId="4AF80228"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Hofstede, G. (2001). </w:t>
      </w:r>
      <w:r w:rsidRPr="00642219">
        <w:rPr>
          <w:rFonts w:ascii="Calibri" w:hAnsi="Calibri" w:cs="Calibri"/>
          <w:i/>
          <w:iCs/>
          <w:lang w:val="en-GB"/>
        </w:rPr>
        <w:t xml:space="preserve">Culture’s Consequences: Comparing Values, </w:t>
      </w:r>
      <w:proofErr w:type="spellStart"/>
      <w:r w:rsidRPr="00642219">
        <w:rPr>
          <w:rFonts w:ascii="Calibri" w:hAnsi="Calibri" w:cs="Calibri"/>
          <w:i/>
          <w:iCs/>
          <w:lang w:val="en-GB"/>
        </w:rPr>
        <w:t>Behaviors</w:t>
      </w:r>
      <w:proofErr w:type="spellEnd"/>
      <w:r w:rsidRPr="00642219">
        <w:rPr>
          <w:rFonts w:ascii="Calibri" w:hAnsi="Calibri" w:cs="Calibri"/>
          <w:i/>
          <w:iCs/>
          <w:lang w:val="en-GB"/>
        </w:rPr>
        <w:t>, Institutions and Organizations Across Nations</w:t>
      </w:r>
      <w:r w:rsidRPr="00642219">
        <w:rPr>
          <w:rFonts w:ascii="Calibri" w:hAnsi="Calibri" w:cs="Calibri"/>
          <w:lang w:val="en-GB"/>
        </w:rPr>
        <w:t>. 2nd ed. Thousand Oaks, CA: Sage Publications.</w:t>
      </w:r>
    </w:p>
    <w:p w14:paraId="2777A16F"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Imai, M. (1986). </w:t>
      </w:r>
      <w:r w:rsidRPr="00642219">
        <w:rPr>
          <w:rFonts w:ascii="Calibri" w:hAnsi="Calibri" w:cs="Calibri"/>
          <w:i/>
          <w:iCs/>
          <w:lang w:val="en-GB"/>
        </w:rPr>
        <w:t>Kaizen: The Key to Japan’s Competitive Success</w:t>
      </w:r>
      <w:r w:rsidRPr="00642219">
        <w:rPr>
          <w:rFonts w:ascii="Calibri" w:hAnsi="Calibri" w:cs="Calibri"/>
          <w:lang w:val="en-GB"/>
        </w:rPr>
        <w:t>. New York: McGraw-Hill.</w:t>
      </w:r>
    </w:p>
    <w:p w14:paraId="3378DE31" w14:textId="77777777" w:rsidR="00642219" w:rsidRPr="00425C2D" w:rsidRDefault="00642219" w:rsidP="00642219">
      <w:pPr>
        <w:rPr>
          <w:rFonts w:ascii="Calibri" w:hAnsi="Calibri" w:cs="Calibri"/>
        </w:rPr>
      </w:pPr>
      <w:r w:rsidRPr="00425C2D">
        <w:rPr>
          <w:rFonts w:ascii="Calibri" w:hAnsi="Calibri" w:cs="Calibri"/>
        </w:rPr>
        <w:t>Kotter, J.P. and Heskett, J.L. (1992</w:t>
      </w:r>
      <w:r w:rsidRPr="00425C2D">
        <w:rPr>
          <w:rFonts w:ascii="Calibri" w:hAnsi="Calibri" w:cs="Calibri"/>
          <w:b/>
          <w:bCs/>
        </w:rPr>
        <w:t>).</w:t>
      </w:r>
      <w:r w:rsidRPr="00425C2D">
        <w:rPr>
          <w:rFonts w:ascii="Calibri" w:hAnsi="Calibri" w:cs="Calibri"/>
        </w:rPr>
        <w:t xml:space="preserve"> </w:t>
      </w:r>
      <w:r w:rsidRPr="00425C2D">
        <w:rPr>
          <w:rFonts w:ascii="Calibri" w:hAnsi="Calibri" w:cs="Calibri"/>
          <w:i/>
          <w:iCs/>
        </w:rPr>
        <w:t>Corporate Culture and Performance</w:t>
      </w:r>
      <w:r w:rsidRPr="00425C2D">
        <w:rPr>
          <w:rFonts w:ascii="Calibri" w:hAnsi="Calibri" w:cs="Calibri"/>
        </w:rPr>
        <w:t>. New York: Free Press.</w:t>
      </w:r>
    </w:p>
    <w:p w14:paraId="3EF0C07D"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Liker, J.K. (2004). </w:t>
      </w:r>
      <w:r w:rsidRPr="00642219">
        <w:rPr>
          <w:rFonts w:ascii="Calibri" w:hAnsi="Calibri" w:cs="Calibri"/>
          <w:i/>
          <w:iCs/>
          <w:lang w:val="en-GB"/>
        </w:rPr>
        <w:t>The Toyota Way: 14 Management Principles from the World's Greatest Manufacturer</w:t>
      </w:r>
      <w:r w:rsidRPr="00642219">
        <w:rPr>
          <w:rFonts w:ascii="Calibri" w:hAnsi="Calibri" w:cs="Calibri"/>
          <w:lang w:val="en-GB"/>
        </w:rPr>
        <w:t>. New York: McGraw-Hill.</w:t>
      </w:r>
    </w:p>
    <w:p w14:paraId="35154836"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Liker, J.K. and </w:t>
      </w:r>
      <w:proofErr w:type="spellStart"/>
      <w:r w:rsidRPr="00642219">
        <w:rPr>
          <w:rFonts w:ascii="Calibri" w:hAnsi="Calibri" w:cs="Calibri"/>
          <w:lang w:val="en-GB"/>
        </w:rPr>
        <w:t>Hoseus</w:t>
      </w:r>
      <w:proofErr w:type="spellEnd"/>
      <w:r w:rsidRPr="00642219">
        <w:rPr>
          <w:rFonts w:ascii="Calibri" w:hAnsi="Calibri" w:cs="Calibri"/>
          <w:lang w:val="en-GB"/>
        </w:rPr>
        <w:t xml:space="preserve">, M. (2008). </w:t>
      </w:r>
      <w:r w:rsidRPr="00642219">
        <w:rPr>
          <w:rFonts w:ascii="Calibri" w:hAnsi="Calibri" w:cs="Calibri"/>
          <w:i/>
          <w:iCs/>
          <w:lang w:val="en-GB"/>
        </w:rPr>
        <w:t>Toyota Culture: The Heart and Soul of the Toyota Way</w:t>
      </w:r>
      <w:r w:rsidRPr="00642219">
        <w:rPr>
          <w:rFonts w:ascii="Calibri" w:hAnsi="Calibri" w:cs="Calibri"/>
          <w:lang w:val="en-GB"/>
        </w:rPr>
        <w:t>. New York: McGraw-Hill.</w:t>
      </w:r>
    </w:p>
    <w:p w14:paraId="0C80206E"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Meyer, P. (2025). </w:t>
      </w:r>
      <w:r w:rsidRPr="00642219">
        <w:rPr>
          <w:rFonts w:ascii="Calibri" w:hAnsi="Calibri" w:cs="Calibri"/>
          <w:i/>
          <w:iCs/>
          <w:lang w:val="en-GB"/>
        </w:rPr>
        <w:t>Toyota’s Organizational Culture: An Analysis</w:t>
      </w:r>
      <w:r w:rsidRPr="00642219">
        <w:rPr>
          <w:rFonts w:ascii="Calibri" w:hAnsi="Calibri" w:cs="Calibri"/>
          <w:lang w:val="en-GB"/>
        </w:rPr>
        <w:t xml:space="preserve">. </w:t>
      </w:r>
      <w:proofErr w:type="spellStart"/>
      <w:r w:rsidRPr="00642219">
        <w:rPr>
          <w:rFonts w:ascii="Calibri" w:hAnsi="Calibri" w:cs="Calibri"/>
          <w:lang w:val="en-GB"/>
        </w:rPr>
        <w:t>Panmore</w:t>
      </w:r>
      <w:proofErr w:type="spellEnd"/>
      <w:r w:rsidRPr="00642219">
        <w:rPr>
          <w:rFonts w:ascii="Calibri" w:hAnsi="Calibri" w:cs="Calibri"/>
          <w:lang w:val="en-GB"/>
        </w:rPr>
        <w:t xml:space="preserve"> Institute. [online] Available at: https://panmore.com/toyota-organizational-culture-characteristics-analysis [Accessed 10 Nov. 2025].</w:t>
      </w:r>
    </w:p>
    <w:p w14:paraId="2A68C326"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Mullins, L.J. and Christy, G. (2016). </w:t>
      </w:r>
      <w:r w:rsidRPr="00642219">
        <w:rPr>
          <w:rFonts w:ascii="Calibri" w:hAnsi="Calibri" w:cs="Calibri"/>
          <w:i/>
          <w:iCs/>
          <w:lang w:val="en-GB"/>
        </w:rPr>
        <w:t>Management and Organisational Behaviour</w:t>
      </w:r>
      <w:r w:rsidRPr="00642219">
        <w:rPr>
          <w:rFonts w:ascii="Calibri" w:hAnsi="Calibri" w:cs="Calibri"/>
          <w:lang w:val="en-GB"/>
        </w:rPr>
        <w:t>. 11th ed. Harlow: Pearson Education.</w:t>
      </w:r>
    </w:p>
    <w:p w14:paraId="10136292" w14:textId="77777777" w:rsidR="00642219" w:rsidRPr="00642219" w:rsidRDefault="00642219" w:rsidP="00642219">
      <w:pPr>
        <w:rPr>
          <w:rFonts w:ascii="Calibri" w:hAnsi="Calibri" w:cs="Calibri"/>
          <w:lang w:val="en-GB"/>
        </w:rPr>
      </w:pPr>
      <w:r w:rsidRPr="00642219">
        <w:rPr>
          <w:rFonts w:ascii="Calibri" w:hAnsi="Calibri" w:cs="Calibri"/>
          <w:lang w:val="en-GB"/>
        </w:rPr>
        <w:lastRenderedPageBreak/>
        <w:t xml:space="preserve">Sayyadi, M. and </w:t>
      </w:r>
      <w:proofErr w:type="spellStart"/>
      <w:r w:rsidRPr="00642219">
        <w:rPr>
          <w:rFonts w:ascii="Calibri" w:hAnsi="Calibri" w:cs="Calibri"/>
          <w:lang w:val="en-GB"/>
        </w:rPr>
        <w:t>Provitera</w:t>
      </w:r>
      <w:proofErr w:type="spellEnd"/>
      <w:r w:rsidRPr="00642219">
        <w:rPr>
          <w:rFonts w:ascii="Calibri" w:hAnsi="Calibri" w:cs="Calibri"/>
          <w:lang w:val="en-GB"/>
        </w:rPr>
        <w:t xml:space="preserve">, M.J. (2023). </w:t>
      </w:r>
      <w:r w:rsidRPr="00642219">
        <w:rPr>
          <w:rFonts w:ascii="Calibri" w:hAnsi="Calibri" w:cs="Calibri"/>
          <w:i/>
          <w:iCs/>
          <w:lang w:val="en-GB"/>
        </w:rPr>
        <w:t>How Toyota Is Organized for Innovation</w:t>
      </w:r>
      <w:r w:rsidRPr="00642219">
        <w:rPr>
          <w:rFonts w:ascii="Calibri" w:hAnsi="Calibri" w:cs="Calibri"/>
          <w:lang w:val="en-GB"/>
        </w:rPr>
        <w:t xml:space="preserve">. </w:t>
      </w:r>
      <w:r w:rsidRPr="00642219">
        <w:rPr>
          <w:rFonts w:ascii="Calibri" w:hAnsi="Calibri" w:cs="Calibri"/>
          <w:i/>
          <w:iCs/>
          <w:lang w:val="en-GB"/>
        </w:rPr>
        <w:t>Rutgers Business Review</w:t>
      </w:r>
      <w:r w:rsidRPr="00642219">
        <w:rPr>
          <w:rFonts w:ascii="Calibri" w:hAnsi="Calibri" w:cs="Calibri"/>
          <w:lang w:val="en-GB"/>
        </w:rPr>
        <w:t>, 8(2), pp.195–201.</w:t>
      </w:r>
    </w:p>
    <w:p w14:paraId="52B945BE" w14:textId="77777777" w:rsidR="00642219" w:rsidRPr="00642219" w:rsidRDefault="00642219" w:rsidP="00642219">
      <w:pPr>
        <w:rPr>
          <w:rFonts w:ascii="Calibri" w:hAnsi="Calibri" w:cs="Calibri"/>
          <w:lang w:val="en-GB"/>
        </w:rPr>
      </w:pPr>
      <w:r w:rsidRPr="00642219">
        <w:rPr>
          <w:rFonts w:ascii="Calibri" w:hAnsi="Calibri" w:cs="Calibri"/>
          <w:lang w:val="en-GB"/>
        </w:rPr>
        <w:t xml:space="preserve">Schein, E.H. (2010). </w:t>
      </w:r>
      <w:r w:rsidRPr="00642219">
        <w:rPr>
          <w:rFonts w:ascii="Calibri" w:hAnsi="Calibri" w:cs="Calibri"/>
          <w:i/>
          <w:iCs/>
          <w:lang w:val="en-GB"/>
        </w:rPr>
        <w:t>Organizational Culture and Leadership</w:t>
      </w:r>
      <w:r w:rsidRPr="00642219">
        <w:rPr>
          <w:rFonts w:ascii="Calibri" w:hAnsi="Calibri" w:cs="Calibri"/>
          <w:lang w:val="en-GB"/>
        </w:rPr>
        <w:t>. 4th ed. San Francisco: Jossey-Bass.</w:t>
      </w:r>
    </w:p>
    <w:p w14:paraId="28B56789" w14:textId="77777777" w:rsidR="00642219" w:rsidRPr="00425C2D" w:rsidRDefault="00642219" w:rsidP="00642219">
      <w:pPr>
        <w:rPr>
          <w:rFonts w:ascii="Calibri" w:hAnsi="Calibri" w:cs="Calibri"/>
          <w:lang w:val="en-GB"/>
        </w:rPr>
      </w:pPr>
      <w:r w:rsidRPr="00642219">
        <w:rPr>
          <w:rFonts w:ascii="Calibri" w:hAnsi="Calibri" w:cs="Calibri"/>
          <w:lang w:val="en-GB"/>
        </w:rPr>
        <w:t xml:space="preserve">TMI. (2024). </w:t>
      </w:r>
      <w:r w:rsidRPr="00642219">
        <w:rPr>
          <w:rFonts w:ascii="Calibri" w:hAnsi="Calibri" w:cs="Calibri"/>
          <w:i/>
          <w:iCs/>
          <w:lang w:val="en-GB"/>
        </w:rPr>
        <w:t>Toyota’s Winning Formula for Employee Engagement</w:t>
      </w:r>
      <w:r w:rsidRPr="00642219">
        <w:rPr>
          <w:rFonts w:ascii="Calibri" w:hAnsi="Calibri" w:cs="Calibri"/>
          <w:lang w:val="en-GB"/>
        </w:rPr>
        <w:t>. [online] Available at: https://www.tmi.org/blogs/toyotas-winning-formula-for-employee-engagement [Accessed 10 Nov. 2025].</w:t>
      </w:r>
    </w:p>
    <w:p w14:paraId="224BB6E0" w14:textId="77777777" w:rsidR="00FF6411" w:rsidRPr="00FF6411" w:rsidRDefault="00FF6411" w:rsidP="00FF6411">
      <w:pPr>
        <w:rPr>
          <w:rFonts w:ascii="Calibri" w:hAnsi="Calibri" w:cs="Calibri"/>
          <w:lang w:val="en-GB"/>
        </w:rPr>
      </w:pPr>
    </w:p>
    <w:p w14:paraId="5303CB0A" w14:textId="7C896034" w:rsidR="005D44EA" w:rsidRPr="00425C2D" w:rsidRDefault="005D44EA">
      <w:pPr>
        <w:rPr>
          <w:rFonts w:ascii="Calibri" w:hAnsi="Calibri" w:cs="Calibri"/>
        </w:rPr>
      </w:pPr>
    </w:p>
    <w:sectPr w:rsidR="005D44EA" w:rsidRPr="00425C2D" w:rsidSect="00425C2D">
      <w:head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D8C5A" w14:textId="77777777" w:rsidR="00425C2D" w:rsidRDefault="00425C2D" w:rsidP="00425C2D">
      <w:pPr>
        <w:spacing w:after="0" w:line="240" w:lineRule="auto"/>
      </w:pPr>
      <w:r>
        <w:separator/>
      </w:r>
    </w:p>
  </w:endnote>
  <w:endnote w:type="continuationSeparator" w:id="0">
    <w:p w14:paraId="7D9DADCB" w14:textId="77777777" w:rsidR="00425C2D" w:rsidRDefault="00425C2D" w:rsidP="00425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87ECC" w14:textId="77777777" w:rsidR="00425C2D" w:rsidRDefault="00425C2D" w:rsidP="00425C2D">
      <w:pPr>
        <w:spacing w:after="0" w:line="240" w:lineRule="auto"/>
      </w:pPr>
      <w:r>
        <w:separator/>
      </w:r>
    </w:p>
  </w:footnote>
  <w:footnote w:type="continuationSeparator" w:id="0">
    <w:p w14:paraId="3ED286D2" w14:textId="77777777" w:rsidR="00425C2D" w:rsidRDefault="00425C2D" w:rsidP="00425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94985"/>
      <w:docPartObj>
        <w:docPartGallery w:val="Page Numbers (Top of Page)"/>
        <w:docPartUnique/>
      </w:docPartObj>
    </w:sdtPr>
    <w:sdtEndPr>
      <w:rPr>
        <w:noProof/>
      </w:rPr>
    </w:sdtEndPr>
    <w:sdtContent>
      <w:p w14:paraId="6FE38C66" w14:textId="7A3D0F75" w:rsidR="00425C2D" w:rsidRDefault="00425C2D">
        <w:pPr>
          <w:pStyle w:val="Header"/>
        </w:pPr>
        <w:r>
          <w:fldChar w:fldCharType="begin"/>
        </w:r>
        <w:r>
          <w:instrText xml:space="preserve"> PAGE   \* MERGEFORMAT </w:instrText>
        </w:r>
        <w:r>
          <w:fldChar w:fldCharType="separate"/>
        </w:r>
        <w:r>
          <w:rPr>
            <w:noProof/>
          </w:rPr>
          <w:t>2</w:t>
        </w:r>
        <w:r>
          <w:rPr>
            <w:noProof/>
          </w:rPr>
          <w:fldChar w:fldCharType="end"/>
        </w:r>
      </w:p>
    </w:sdtContent>
  </w:sdt>
  <w:p w14:paraId="26E45CC4" w14:textId="77777777" w:rsidR="00425C2D" w:rsidRDefault="00425C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1D7551E4"/>
    <w:multiLevelType w:val="hybridMultilevel"/>
    <w:tmpl w:val="90BAD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74A52"/>
    <w:multiLevelType w:val="multilevel"/>
    <w:tmpl w:val="BFB4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08750E"/>
    <w:multiLevelType w:val="multilevel"/>
    <w:tmpl w:val="C26C4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D16D9"/>
    <w:multiLevelType w:val="hybridMultilevel"/>
    <w:tmpl w:val="EFE6C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3"/>
  </w:num>
  <w:num w:numId="12" w16cid:durableId="1259021760">
    <w:abstractNumId w:val="11"/>
  </w:num>
  <w:num w:numId="13" w16cid:durableId="79378177">
    <w:abstractNumId w:val="12"/>
  </w:num>
  <w:num w:numId="14" w16cid:durableId="1943568063">
    <w:abstractNumId w:val="10"/>
  </w:num>
  <w:num w:numId="15" w16cid:durableId="9226848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5DB9"/>
    <w:rsid w:val="00181308"/>
    <w:rsid w:val="0029639D"/>
    <w:rsid w:val="002F5ED1"/>
    <w:rsid w:val="00326F90"/>
    <w:rsid w:val="00376D76"/>
    <w:rsid w:val="00425C2D"/>
    <w:rsid w:val="004424B8"/>
    <w:rsid w:val="0057191B"/>
    <w:rsid w:val="005A3305"/>
    <w:rsid w:val="005D44EA"/>
    <w:rsid w:val="0061271D"/>
    <w:rsid w:val="00642219"/>
    <w:rsid w:val="008901D2"/>
    <w:rsid w:val="008C311C"/>
    <w:rsid w:val="00910EF6"/>
    <w:rsid w:val="009A214C"/>
    <w:rsid w:val="00A6490D"/>
    <w:rsid w:val="00A976B5"/>
    <w:rsid w:val="00AA1D8D"/>
    <w:rsid w:val="00AB345F"/>
    <w:rsid w:val="00B47730"/>
    <w:rsid w:val="00CB0664"/>
    <w:rsid w:val="00CE4550"/>
    <w:rsid w:val="00D53181"/>
    <w:rsid w:val="00D87F62"/>
    <w:rsid w:val="00E461A4"/>
    <w:rsid w:val="00E82019"/>
    <w:rsid w:val="00EA0218"/>
    <w:rsid w:val="00EC2A14"/>
    <w:rsid w:val="00EF7819"/>
    <w:rsid w:val="00FC693F"/>
    <w:rsid w:val="00FE5325"/>
    <w:rsid w:val="00FF6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425C2D"/>
    <w:rPr>
      <w:color w:val="0000FF" w:themeColor="hyperlink"/>
      <w:u w:val="single"/>
    </w:rPr>
  </w:style>
  <w:style w:type="character" w:styleId="UnresolvedMention">
    <w:name w:val="Unresolved Mention"/>
    <w:basedOn w:val="DefaultParagraphFont"/>
    <w:uiPriority w:val="99"/>
    <w:semiHidden/>
    <w:unhideWhenUsed/>
    <w:rsid w:val="00425C2D"/>
    <w:rPr>
      <w:color w:val="605E5C"/>
      <w:shd w:val="clear" w:color="auto" w:fill="E1DFDD"/>
    </w:rPr>
  </w:style>
  <w:style w:type="character" w:customStyle="1" w:styleId="NoSpacingChar">
    <w:name w:val="No Spacing Char"/>
    <w:basedOn w:val="DefaultParagraphFont"/>
    <w:link w:val="NoSpacing"/>
    <w:uiPriority w:val="1"/>
    <w:rsid w:val="00425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2720">
      <w:bodyDiv w:val="1"/>
      <w:marLeft w:val="0"/>
      <w:marRight w:val="0"/>
      <w:marTop w:val="0"/>
      <w:marBottom w:val="0"/>
      <w:divBdr>
        <w:top w:val="none" w:sz="0" w:space="0" w:color="auto"/>
        <w:left w:val="none" w:sz="0" w:space="0" w:color="auto"/>
        <w:bottom w:val="none" w:sz="0" w:space="0" w:color="auto"/>
        <w:right w:val="none" w:sz="0" w:space="0" w:color="auto"/>
      </w:divBdr>
    </w:div>
    <w:div w:id="23330942">
      <w:bodyDiv w:val="1"/>
      <w:marLeft w:val="0"/>
      <w:marRight w:val="0"/>
      <w:marTop w:val="0"/>
      <w:marBottom w:val="0"/>
      <w:divBdr>
        <w:top w:val="none" w:sz="0" w:space="0" w:color="auto"/>
        <w:left w:val="none" w:sz="0" w:space="0" w:color="auto"/>
        <w:bottom w:val="none" w:sz="0" w:space="0" w:color="auto"/>
        <w:right w:val="none" w:sz="0" w:space="0" w:color="auto"/>
      </w:divBdr>
    </w:div>
    <w:div w:id="40328076">
      <w:bodyDiv w:val="1"/>
      <w:marLeft w:val="0"/>
      <w:marRight w:val="0"/>
      <w:marTop w:val="0"/>
      <w:marBottom w:val="0"/>
      <w:divBdr>
        <w:top w:val="none" w:sz="0" w:space="0" w:color="auto"/>
        <w:left w:val="none" w:sz="0" w:space="0" w:color="auto"/>
        <w:bottom w:val="none" w:sz="0" w:space="0" w:color="auto"/>
        <w:right w:val="none" w:sz="0" w:space="0" w:color="auto"/>
      </w:divBdr>
    </w:div>
    <w:div w:id="69666421">
      <w:bodyDiv w:val="1"/>
      <w:marLeft w:val="0"/>
      <w:marRight w:val="0"/>
      <w:marTop w:val="0"/>
      <w:marBottom w:val="0"/>
      <w:divBdr>
        <w:top w:val="none" w:sz="0" w:space="0" w:color="auto"/>
        <w:left w:val="none" w:sz="0" w:space="0" w:color="auto"/>
        <w:bottom w:val="none" w:sz="0" w:space="0" w:color="auto"/>
        <w:right w:val="none" w:sz="0" w:space="0" w:color="auto"/>
      </w:divBdr>
    </w:div>
    <w:div w:id="107555195">
      <w:bodyDiv w:val="1"/>
      <w:marLeft w:val="0"/>
      <w:marRight w:val="0"/>
      <w:marTop w:val="0"/>
      <w:marBottom w:val="0"/>
      <w:divBdr>
        <w:top w:val="none" w:sz="0" w:space="0" w:color="auto"/>
        <w:left w:val="none" w:sz="0" w:space="0" w:color="auto"/>
        <w:bottom w:val="none" w:sz="0" w:space="0" w:color="auto"/>
        <w:right w:val="none" w:sz="0" w:space="0" w:color="auto"/>
      </w:divBdr>
    </w:div>
    <w:div w:id="142357985">
      <w:bodyDiv w:val="1"/>
      <w:marLeft w:val="0"/>
      <w:marRight w:val="0"/>
      <w:marTop w:val="0"/>
      <w:marBottom w:val="0"/>
      <w:divBdr>
        <w:top w:val="none" w:sz="0" w:space="0" w:color="auto"/>
        <w:left w:val="none" w:sz="0" w:space="0" w:color="auto"/>
        <w:bottom w:val="none" w:sz="0" w:space="0" w:color="auto"/>
        <w:right w:val="none" w:sz="0" w:space="0" w:color="auto"/>
      </w:divBdr>
    </w:div>
    <w:div w:id="185561477">
      <w:bodyDiv w:val="1"/>
      <w:marLeft w:val="0"/>
      <w:marRight w:val="0"/>
      <w:marTop w:val="0"/>
      <w:marBottom w:val="0"/>
      <w:divBdr>
        <w:top w:val="none" w:sz="0" w:space="0" w:color="auto"/>
        <w:left w:val="none" w:sz="0" w:space="0" w:color="auto"/>
        <w:bottom w:val="none" w:sz="0" w:space="0" w:color="auto"/>
        <w:right w:val="none" w:sz="0" w:space="0" w:color="auto"/>
      </w:divBdr>
    </w:div>
    <w:div w:id="210114498">
      <w:bodyDiv w:val="1"/>
      <w:marLeft w:val="0"/>
      <w:marRight w:val="0"/>
      <w:marTop w:val="0"/>
      <w:marBottom w:val="0"/>
      <w:divBdr>
        <w:top w:val="none" w:sz="0" w:space="0" w:color="auto"/>
        <w:left w:val="none" w:sz="0" w:space="0" w:color="auto"/>
        <w:bottom w:val="none" w:sz="0" w:space="0" w:color="auto"/>
        <w:right w:val="none" w:sz="0" w:space="0" w:color="auto"/>
      </w:divBdr>
    </w:div>
    <w:div w:id="221213608">
      <w:bodyDiv w:val="1"/>
      <w:marLeft w:val="0"/>
      <w:marRight w:val="0"/>
      <w:marTop w:val="0"/>
      <w:marBottom w:val="0"/>
      <w:divBdr>
        <w:top w:val="none" w:sz="0" w:space="0" w:color="auto"/>
        <w:left w:val="none" w:sz="0" w:space="0" w:color="auto"/>
        <w:bottom w:val="none" w:sz="0" w:space="0" w:color="auto"/>
        <w:right w:val="none" w:sz="0" w:space="0" w:color="auto"/>
      </w:divBdr>
      <w:divsChild>
        <w:div w:id="1715539540">
          <w:marLeft w:val="0"/>
          <w:marRight w:val="0"/>
          <w:marTop w:val="0"/>
          <w:marBottom w:val="0"/>
          <w:divBdr>
            <w:top w:val="none" w:sz="0" w:space="0" w:color="auto"/>
            <w:left w:val="none" w:sz="0" w:space="0" w:color="auto"/>
            <w:bottom w:val="none" w:sz="0" w:space="0" w:color="auto"/>
            <w:right w:val="none" w:sz="0" w:space="0" w:color="auto"/>
          </w:divBdr>
        </w:div>
        <w:div w:id="45764390">
          <w:marLeft w:val="0"/>
          <w:marRight w:val="0"/>
          <w:marTop w:val="0"/>
          <w:marBottom w:val="0"/>
          <w:divBdr>
            <w:top w:val="none" w:sz="0" w:space="0" w:color="auto"/>
            <w:left w:val="none" w:sz="0" w:space="0" w:color="auto"/>
            <w:bottom w:val="none" w:sz="0" w:space="0" w:color="auto"/>
            <w:right w:val="none" w:sz="0" w:space="0" w:color="auto"/>
          </w:divBdr>
          <w:divsChild>
            <w:div w:id="1857771449">
              <w:marLeft w:val="0"/>
              <w:marRight w:val="0"/>
              <w:marTop w:val="0"/>
              <w:marBottom w:val="0"/>
              <w:divBdr>
                <w:top w:val="none" w:sz="0" w:space="0" w:color="auto"/>
                <w:left w:val="none" w:sz="0" w:space="0" w:color="auto"/>
                <w:bottom w:val="none" w:sz="0" w:space="0" w:color="auto"/>
                <w:right w:val="none" w:sz="0" w:space="0" w:color="auto"/>
              </w:divBdr>
              <w:divsChild>
                <w:div w:id="253320855">
                  <w:marLeft w:val="0"/>
                  <w:marRight w:val="0"/>
                  <w:marTop w:val="0"/>
                  <w:marBottom w:val="0"/>
                  <w:divBdr>
                    <w:top w:val="none" w:sz="0" w:space="0" w:color="auto"/>
                    <w:left w:val="none" w:sz="0" w:space="0" w:color="auto"/>
                    <w:bottom w:val="none" w:sz="0" w:space="0" w:color="auto"/>
                    <w:right w:val="none" w:sz="0" w:space="0" w:color="auto"/>
                  </w:divBdr>
                  <w:divsChild>
                    <w:div w:id="1071928126">
                      <w:marLeft w:val="0"/>
                      <w:marRight w:val="0"/>
                      <w:marTop w:val="0"/>
                      <w:marBottom w:val="0"/>
                      <w:divBdr>
                        <w:top w:val="none" w:sz="0" w:space="0" w:color="auto"/>
                        <w:left w:val="none" w:sz="0" w:space="0" w:color="auto"/>
                        <w:bottom w:val="none" w:sz="0" w:space="0" w:color="auto"/>
                        <w:right w:val="none" w:sz="0" w:space="0" w:color="auto"/>
                      </w:divBdr>
                      <w:divsChild>
                        <w:div w:id="11500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015084">
          <w:marLeft w:val="0"/>
          <w:marRight w:val="0"/>
          <w:marTop w:val="0"/>
          <w:marBottom w:val="0"/>
          <w:divBdr>
            <w:top w:val="none" w:sz="0" w:space="0" w:color="auto"/>
            <w:left w:val="none" w:sz="0" w:space="0" w:color="auto"/>
            <w:bottom w:val="none" w:sz="0" w:space="0" w:color="auto"/>
            <w:right w:val="none" w:sz="0" w:space="0" w:color="auto"/>
          </w:divBdr>
          <w:divsChild>
            <w:div w:id="1002011024">
              <w:marLeft w:val="0"/>
              <w:marRight w:val="0"/>
              <w:marTop w:val="0"/>
              <w:marBottom w:val="0"/>
              <w:divBdr>
                <w:top w:val="none" w:sz="0" w:space="0" w:color="auto"/>
                <w:left w:val="none" w:sz="0" w:space="0" w:color="auto"/>
                <w:bottom w:val="none" w:sz="0" w:space="0" w:color="auto"/>
                <w:right w:val="none" w:sz="0" w:space="0" w:color="auto"/>
              </w:divBdr>
              <w:divsChild>
                <w:div w:id="204952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1522">
          <w:marLeft w:val="0"/>
          <w:marRight w:val="0"/>
          <w:marTop w:val="0"/>
          <w:marBottom w:val="0"/>
          <w:divBdr>
            <w:top w:val="none" w:sz="0" w:space="0" w:color="auto"/>
            <w:left w:val="none" w:sz="0" w:space="0" w:color="auto"/>
            <w:bottom w:val="none" w:sz="0" w:space="0" w:color="auto"/>
            <w:right w:val="none" w:sz="0" w:space="0" w:color="auto"/>
          </w:divBdr>
          <w:divsChild>
            <w:div w:id="1139877622">
              <w:marLeft w:val="0"/>
              <w:marRight w:val="0"/>
              <w:marTop w:val="0"/>
              <w:marBottom w:val="0"/>
              <w:divBdr>
                <w:top w:val="none" w:sz="0" w:space="0" w:color="auto"/>
                <w:left w:val="none" w:sz="0" w:space="0" w:color="auto"/>
                <w:bottom w:val="none" w:sz="0" w:space="0" w:color="auto"/>
                <w:right w:val="none" w:sz="0" w:space="0" w:color="auto"/>
              </w:divBdr>
              <w:divsChild>
                <w:div w:id="379086623">
                  <w:marLeft w:val="0"/>
                  <w:marRight w:val="0"/>
                  <w:marTop w:val="0"/>
                  <w:marBottom w:val="0"/>
                  <w:divBdr>
                    <w:top w:val="none" w:sz="0" w:space="0" w:color="auto"/>
                    <w:left w:val="none" w:sz="0" w:space="0" w:color="auto"/>
                    <w:bottom w:val="none" w:sz="0" w:space="0" w:color="auto"/>
                    <w:right w:val="none" w:sz="0" w:space="0" w:color="auto"/>
                  </w:divBdr>
                  <w:divsChild>
                    <w:div w:id="447898438">
                      <w:marLeft w:val="0"/>
                      <w:marRight w:val="0"/>
                      <w:marTop w:val="0"/>
                      <w:marBottom w:val="0"/>
                      <w:divBdr>
                        <w:top w:val="none" w:sz="0" w:space="0" w:color="auto"/>
                        <w:left w:val="none" w:sz="0" w:space="0" w:color="auto"/>
                        <w:bottom w:val="none" w:sz="0" w:space="0" w:color="auto"/>
                        <w:right w:val="none" w:sz="0" w:space="0" w:color="auto"/>
                      </w:divBdr>
                      <w:divsChild>
                        <w:div w:id="126426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891180">
          <w:marLeft w:val="0"/>
          <w:marRight w:val="0"/>
          <w:marTop w:val="0"/>
          <w:marBottom w:val="0"/>
          <w:divBdr>
            <w:top w:val="none" w:sz="0" w:space="0" w:color="auto"/>
            <w:left w:val="none" w:sz="0" w:space="0" w:color="auto"/>
            <w:bottom w:val="none" w:sz="0" w:space="0" w:color="auto"/>
            <w:right w:val="none" w:sz="0" w:space="0" w:color="auto"/>
          </w:divBdr>
          <w:divsChild>
            <w:div w:id="384958596">
              <w:marLeft w:val="0"/>
              <w:marRight w:val="0"/>
              <w:marTop w:val="0"/>
              <w:marBottom w:val="0"/>
              <w:divBdr>
                <w:top w:val="none" w:sz="0" w:space="0" w:color="auto"/>
                <w:left w:val="none" w:sz="0" w:space="0" w:color="auto"/>
                <w:bottom w:val="none" w:sz="0" w:space="0" w:color="auto"/>
                <w:right w:val="none" w:sz="0" w:space="0" w:color="auto"/>
              </w:divBdr>
              <w:divsChild>
                <w:div w:id="102598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20691">
      <w:bodyDiv w:val="1"/>
      <w:marLeft w:val="0"/>
      <w:marRight w:val="0"/>
      <w:marTop w:val="0"/>
      <w:marBottom w:val="0"/>
      <w:divBdr>
        <w:top w:val="none" w:sz="0" w:space="0" w:color="auto"/>
        <w:left w:val="none" w:sz="0" w:space="0" w:color="auto"/>
        <w:bottom w:val="none" w:sz="0" w:space="0" w:color="auto"/>
        <w:right w:val="none" w:sz="0" w:space="0" w:color="auto"/>
      </w:divBdr>
    </w:div>
    <w:div w:id="266619068">
      <w:bodyDiv w:val="1"/>
      <w:marLeft w:val="0"/>
      <w:marRight w:val="0"/>
      <w:marTop w:val="0"/>
      <w:marBottom w:val="0"/>
      <w:divBdr>
        <w:top w:val="none" w:sz="0" w:space="0" w:color="auto"/>
        <w:left w:val="none" w:sz="0" w:space="0" w:color="auto"/>
        <w:bottom w:val="none" w:sz="0" w:space="0" w:color="auto"/>
        <w:right w:val="none" w:sz="0" w:space="0" w:color="auto"/>
      </w:divBdr>
    </w:div>
    <w:div w:id="387656029">
      <w:bodyDiv w:val="1"/>
      <w:marLeft w:val="0"/>
      <w:marRight w:val="0"/>
      <w:marTop w:val="0"/>
      <w:marBottom w:val="0"/>
      <w:divBdr>
        <w:top w:val="none" w:sz="0" w:space="0" w:color="auto"/>
        <w:left w:val="none" w:sz="0" w:space="0" w:color="auto"/>
        <w:bottom w:val="none" w:sz="0" w:space="0" w:color="auto"/>
        <w:right w:val="none" w:sz="0" w:space="0" w:color="auto"/>
      </w:divBdr>
    </w:div>
    <w:div w:id="433285335">
      <w:bodyDiv w:val="1"/>
      <w:marLeft w:val="0"/>
      <w:marRight w:val="0"/>
      <w:marTop w:val="0"/>
      <w:marBottom w:val="0"/>
      <w:divBdr>
        <w:top w:val="none" w:sz="0" w:space="0" w:color="auto"/>
        <w:left w:val="none" w:sz="0" w:space="0" w:color="auto"/>
        <w:bottom w:val="none" w:sz="0" w:space="0" w:color="auto"/>
        <w:right w:val="none" w:sz="0" w:space="0" w:color="auto"/>
      </w:divBdr>
    </w:div>
    <w:div w:id="604390743">
      <w:bodyDiv w:val="1"/>
      <w:marLeft w:val="0"/>
      <w:marRight w:val="0"/>
      <w:marTop w:val="0"/>
      <w:marBottom w:val="0"/>
      <w:divBdr>
        <w:top w:val="none" w:sz="0" w:space="0" w:color="auto"/>
        <w:left w:val="none" w:sz="0" w:space="0" w:color="auto"/>
        <w:bottom w:val="none" w:sz="0" w:space="0" w:color="auto"/>
        <w:right w:val="none" w:sz="0" w:space="0" w:color="auto"/>
      </w:divBdr>
    </w:div>
    <w:div w:id="767119494">
      <w:bodyDiv w:val="1"/>
      <w:marLeft w:val="0"/>
      <w:marRight w:val="0"/>
      <w:marTop w:val="0"/>
      <w:marBottom w:val="0"/>
      <w:divBdr>
        <w:top w:val="none" w:sz="0" w:space="0" w:color="auto"/>
        <w:left w:val="none" w:sz="0" w:space="0" w:color="auto"/>
        <w:bottom w:val="none" w:sz="0" w:space="0" w:color="auto"/>
        <w:right w:val="none" w:sz="0" w:space="0" w:color="auto"/>
      </w:divBdr>
    </w:div>
    <w:div w:id="776482990">
      <w:bodyDiv w:val="1"/>
      <w:marLeft w:val="0"/>
      <w:marRight w:val="0"/>
      <w:marTop w:val="0"/>
      <w:marBottom w:val="0"/>
      <w:divBdr>
        <w:top w:val="none" w:sz="0" w:space="0" w:color="auto"/>
        <w:left w:val="none" w:sz="0" w:space="0" w:color="auto"/>
        <w:bottom w:val="none" w:sz="0" w:space="0" w:color="auto"/>
        <w:right w:val="none" w:sz="0" w:space="0" w:color="auto"/>
      </w:divBdr>
    </w:div>
    <w:div w:id="792404681">
      <w:bodyDiv w:val="1"/>
      <w:marLeft w:val="0"/>
      <w:marRight w:val="0"/>
      <w:marTop w:val="0"/>
      <w:marBottom w:val="0"/>
      <w:divBdr>
        <w:top w:val="none" w:sz="0" w:space="0" w:color="auto"/>
        <w:left w:val="none" w:sz="0" w:space="0" w:color="auto"/>
        <w:bottom w:val="none" w:sz="0" w:space="0" w:color="auto"/>
        <w:right w:val="none" w:sz="0" w:space="0" w:color="auto"/>
      </w:divBdr>
    </w:div>
    <w:div w:id="854266944">
      <w:bodyDiv w:val="1"/>
      <w:marLeft w:val="0"/>
      <w:marRight w:val="0"/>
      <w:marTop w:val="0"/>
      <w:marBottom w:val="0"/>
      <w:divBdr>
        <w:top w:val="none" w:sz="0" w:space="0" w:color="auto"/>
        <w:left w:val="none" w:sz="0" w:space="0" w:color="auto"/>
        <w:bottom w:val="none" w:sz="0" w:space="0" w:color="auto"/>
        <w:right w:val="none" w:sz="0" w:space="0" w:color="auto"/>
      </w:divBdr>
    </w:div>
    <w:div w:id="894126046">
      <w:bodyDiv w:val="1"/>
      <w:marLeft w:val="0"/>
      <w:marRight w:val="0"/>
      <w:marTop w:val="0"/>
      <w:marBottom w:val="0"/>
      <w:divBdr>
        <w:top w:val="none" w:sz="0" w:space="0" w:color="auto"/>
        <w:left w:val="none" w:sz="0" w:space="0" w:color="auto"/>
        <w:bottom w:val="none" w:sz="0" w:space="0" w:color="auto"/>
        <w:right w:val="none" w:sz="0" w:space="0" w:color="auto"/>
      </w:divBdr>
    </w:div>
    <w:div w:id="972295035">
      <w:bodyDiv w:val="1"/>
      <w:marLeft w:val="0"/>
      <w:marRight w:val="0"/>
      <w:marTop w:val="0"/>
      <w:marBottom w:val="0"/>
      <w:divBdr>
        <w:top w:val="none" w:sz="0" w:space="0" w:color="auto"/>
        <w:left w:val="none" w:sz="0" w:space="0" w:color="auto"/>
        <w:bottom w:val="none" w:sz="0" w:space="0" w:color="auto"/>
        <w:right w:val="none" w:sz="0" w:space="0" w:color="auto"/>
      </w:divBdr>
    </w:div>
    <w:div w:id="1102383144">
      <w:bodyDiv w:val="1"/>
      <w:marLeft w:val="0"/>
      <w:marRight w:val="0"/>
      <w:marTop w:val="0"/>
      <w:marBottom w:val="0"/>
      <w:divBdr>
        <w:top w:val="none" w:sz="0" w:space="0" w:color="auto"/>
        <w:left w:val="none" w:sz="0" w:space="0" w:color="auto"/>
        <w:bottom w:val="none" w:sz="0" w:space="0" w:color="auto"/>
        <w:right w:val="none" w:sz="0" w:space="0" w:color="auto"/>
      </w:divBdr>
      <w:divsChild>
        <w:div w:id="848301755">
          <w:marLeft w:val="0"/>
          <w:marRight w:val="0"/>
          <w:marTop w:val="0"/>
          <w:marBottom w:val="0"/>
          <w:divBdr>
            <w:top w:val="none" w:sz="0" w:space="0" w:color="auto"/>
            <w:left w:val="none" w:sz="0" w:space="0" w:color="auto"/>
            <w:bottom w:val="none" w:sz="0" w:space="0" w:color="auto"/>
            <w:right w:val="none" w:sz="0" w:space="0" w:color="auto"/>
          </w:divBdr>
        </w:div>
        <w:div w:id="155389700">
          <w:marLeft w:val="0"/>
          <w:marRight w:val="0"/>
          <w:marTop w:val="0"/>
          <w:marBottom w:val="0"/>
          <w:divBdr>
            <w:top w:val="none" w:sz="0" w:space="0" w:color="auto"/>
            <w:left w:val="none" w:sz="0" w:space="0" w:color="auto"/>
            <w:bottom w:val="none" w:sz="0" w:space="0" w:color="auto"/>
            <w:right w:val="none" w:sz="0" w:space="0" w:color="auto"/>
          </w:divBdr>
          <w:divsChild>
            <w:div w:id="1529875250">
              <w:marLeft w:val="0"/>
              <w:marRight w:val="0"/>
              <w:marTop w:val="0"/>
              <w:marBottom w:val="0"/>
              <w:divBdr>
                <w:top w:val="none" w:sz="0" w:space="0" w:color="auto"/>
                <w:left w:val="none" w:sz="0" w:space="0" w:color="auto"/>
                <w:bottom w:val="none" w:sz="0" w:space="0" w:color="auto"/>
                <w:right w:val="none" w:sz="0" w:space="0" w:color="auto"/>
              </w:divBdr>
              <w:divsChild>
                <w:div w:id="1601059846">
                  <w:marLeft w:val="0"/>
                  <w:marRight w:val="0"/>
                  <w:marTop w:val="0"/>
                  <w:marBottom w:val="0"/>
                  <w:divBdr>
                    <w:top w:val="none" w:sz="0" w:space="0" w:color="auto"/>
                    <w:left w:val="none" w:sz="0" w:space="0" w:color="auto"/>
                    <w:bottom w:val="none" w:sz="0" w:space="0" w:color="auto"/>
                    <w:right w:val="none" w:sz="0" w:space="0" w:color="auto"/>
                  </w:divBdr>
                  <w:divsChild>
                    <w:div w:id="1681732567">
                      <w:marLeft w:val="0"/>
                      <w:marRight w:val="0"/>
                      <w:marTop w:val="0"/>
                      <w:marBottom w:val="0"/>
                      <w:divBdr>
                        <w:top w:val="none" w:sz="0" w:space="0" w:color="auto"/>
                        <w:left w:val="none" w:sz="0" w:space="0" w:color="auto"/>
                        <w:bottom w:val="none" w:sz="0" w:space="0" w:color="auto"/>
                        <w:right w:val="none" w:sz="0" w:space="0" w:color="auto"/>
                      </w:divBdr>
                      <w:divsChild>
                        <w:div w:id="525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11133">
          <w:marLeft w:val="0"/>
          <w:marRight w:val="0"/>
          <w:marTop w:val="0"/>
          <w:marBottom w:val="0"/>
          <w:divBdr>
            <w:top w:val="none" w:sz="0" w:space="0" w:color="auto"/>
            <w:left w:val="none" w:sz="0" w:space="0" w:color="auto"/>
            <w:bottom w:val="none" w:sz="0" w:space="0" w:color="auto"/>
            <w:right w:val="none" w:sz="0" w:space="0" w:color="auto"/>
          </w:divBdr>
          <w:divsChild>
            <w:div w:id="543031611">
              <w:marLeft w:val="0"/>
              <w:marRight w:val="0"/>
              <w:marTop w:val="0"/>
              <w:marBottom w:val="0"/>
              <w:divBdr>
                <w:top w:val="none" w:sz="0" w:space="0" w:color="auto"/>
                <w:left w:val="none" w:sz="0" w:space="0" w:color="auto"/>
                <w:bottom w:val="none" w:sz="0" w:space="0" w:color="auto"/>
                <w:right w:val="none" w:sz="0" w:space="0" w:color="auto"/>
              </w:divBdr>
              <w:divsChild>
                <w:div w:id="19356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0674">
          <w:marLeft w:val="0"/>
          <w:marRight w:val="0"/>
          <w:marTop w:val="0"/>
          <w:marBottom w:val="0"/>
          <w:divBdr>
            <w:top w:val="none" w:sz="0" w:space="0" w:color="auto"/>
            <w:left w:val="none" w:sz="0" w:space="0" w:color="auto"/>
            <w:bottom w:val="none" w:sz="0" w:space="0" w:color="auto"/>
            <w:right w:val="none" w:sz="0" w:space="0" w:color="auto"/>
          </w:divBdr>
          <w:divsChild>
            <w:div w:id="1618102334">
              <w:marLeft w:val="0"/>
              <w:marRight w:val="0"/>
              <w:marTop w:val="0"/>
              <w:marBottom w:val="0"/>
              <w:divBdr>
                <w:top w:val="none" w:sz="0" w:space="0" w:color="auto"/>
                <w:left w:val="none" w:sz="0" w:space="0" w:color="auto"/>
                <w:bottom w:val="none" w:sz="0" w:space="0" w:color="auto"/>
                <w:right w:val="none" w:sz="0" w:space="0" w:color="auto"/>
              </w:divBdr>
              <w:divsChild>
                <w:div w:id="1329746845">
                  <w:marLeft w:val="0"/>
                  <w:marRight w:val="0"/>
                  <w:marTop w:val="0"/>
                  <w:marBottom w:val="0"/>
                  <w:divBdr>
                    <w:top w:val="none" w:sz="0" w:space="0" w:color="auto"/>
                    <w:left w:val="none" w:sz="0" w:space="0" w:color="auto"/>
                    <w:bottom w:val="none" w:sz="0" w:space="0" w:color="auto"/>
                    <w:right w:val="none" w:sz="0" w:space="0" w:color="auto"/>
                  </w:divBdr>
                  <w:divsChild>
                    <w:div w:id="1602688544">
                      <w:marLeft w:val="0"/>
                      <w:marRight w:val="0"/>
                      <w:marTop w:val="0"/>
                      <w:marBottom w:val="0"/>
                      <w:divBdr>
                        <w:top w:val="none" w:sz="0" w:space="0" w:color="auto"/>
                        <w:left w:val="none" w:sz="0" w:space="0" w:color="auto"/>
                        <w:bottom w:val="none" w:sz="0" w:space="0" w:color="auto"/>
                        <w:right w:val="none" w:sz="0" w:space="0" w:color="auto"/>
                      </w:divBdr>
                      <w:divsChild>
                        <w:div w:id="29846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03597">
          <w:marLeft w:val="0"/>
          <w:marRight w:val="0"/>
          <w:marTop w:val="0"/>
          <w:marBottom w:val="0"/>
          <w:divBdr>
            <w:top w:val="none" w:sz="0" w:space="0" w:color="auto"/>
            <w:left w:val="none" w:sz="0" w:space="0" w:color="auto"/>
            <w:bottom w:val="none" w:sz="0" w:space="0" w:color="auto"/>
            <w:right w:val="none" w:sz="0" w:space="0" w:color="auto"/>
          </w:divBdr>
          <w:divsChild>
            <w:div w:id="938829937">
              <w:marLeft w:val="0"/>
              <w:marRight w:val="0"/>
              <w:marTop w:val="0"/>
              <w:marBottom w:val="0"/>
              <w:divBdr>
                <w:top w:val="none" w:sz="0" w:space="0" w:color="auto"/>
                <w:left w:val="none" w:sz="0" w:space="0" w:color="auto"/>
                <w:bottom w:val="none" w:sz="0" w:space="0" w:color="auto"/>
                <w:right w:val="none" w:sz="0" w:space="0" w:color="auto"/>
              </w:divBdr>
              <w:divsChild>
                <w:div w:id="17067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90192">
      <w:bodyDiv w:val="1"/>
      <w:marLeft w:val="0"/>
      <w:marRight w:val="0"/>
      <w:marTop w:val="0"/>
      <w:marBottom w:val="0"/>
      <w:divBdr>
        <w:top w:val="none" w:sz="0" w:space="0" w:color="auto"/>
        <w:left w:val="none" w:sz="0" w:space="0" w:color="auto"/>
        <w:bottom w:val="none" w:sz="0" w:space="0" w:color="auto"/>
        <w:right w:val="none" w:sz="0" w:space="0" w:color="auto"/>
      </w:divBdr>
    </w:div>
    <w:div w:id="1258053073">
      <w:bodyDiv w:val="1"/>
      <w:marLeft w:val="0"/>
      <w:marRight w:val="0"/>
      <w:marTop w:val="0"/>
      <w:marBottom w:val="0"/>
      <w:divBdr>
        <w:top w:val="none" w:sz="0" w:space="0" w:color="auto"/>
        <w:left w:val="none" w:sz="0" w:space="0" w:color="auto"/>
        <w:bottom w:val="none" w:sz="0" w:space="0" w:color="auto"/>
        <w:right w:val="none" w:sz="0" w:space="0" w:color="auto"/>
      </w:divBdr>
    </w:div>
    <w:div w:id="1273055329">
      <w:bodyDiv w:val="1"/>
      <w:marLeft w:val="0"/>
      <w:marRight w:val="0"/>
      <w:marTop w:val="0"/>
      <w:marBottom w:val="0"/>
      <w:divBdr>
        <w:top w:val="none" w:sz="0" w:space="0" w:color="auto"/>
        <w:left w:val="none" w:sz="0" w:space="0" w:color="auto"/>
        <w:bottom w:val="none" w:sz="0" w:space="0" w:color="auto"/>
        <w:right w:val="none" w:sz="0" w:space="0" w:color="auto"/>
      </w:divBdr>
    </w:div>
    <w:div w:id="1363239358">
      <w:bodyDiv w:val="1"/>
      <w:marLeft w:val="0"/>
      <w:marRight w:val="0"/>
      <w:marTop w:val="0"/>
      <w:marBottom w:val="0"/>
      <w:divBdr>
        <w:top w:val="none" w:sz="0" w:space="0" w:color="auto"/>
        <w:left w:val="none" w:sz="0" w:space="0" w:color="auto"/>
        <w:bottom w:val="none" w:sz="0" w:space="0" w:color="auto"/>
        <w:right w:val="none" w:sz="0" w:space="0" w:color="auto"/>
      </w:divBdr>
    </w:div>
    <w:div w:id="1553883117">
      <w:bodyDiv w:val="1"/>
      <w:marLeft w:val="0"/>
      <w:marRight w:val="0"/>
      <w:marTop w:val="0"/>
      <w:marBottom w:val="0"/>
      <w:divBdr>
        <w:top w:val="none" w:sz="0" w:space="0" w:color="auto"/>
        <w:left w:val="none" w:sz="0" w:space="0" w:color="auto"/>
        <w:bottom w:val="none" w:sz="0" w:space="0" w:color="auto"/>
        <w:right w:val="none" w:sz="0" w:space="0" w:color="auto"/>
      </w:divBdr>
    </w:div>
    <w:div w:id="1756631768">
      <w:bodyDiv w:val="1"/>
      <w:marLeft w:val="0"/>
      <w:marRight w:val="0"/>
      <w:marTop w:val="0"/>
      <w:marBottom w:val="0"/>
      <w:divBdr>
        <w:top w:val="none" w:sz="0" w:space="0" w:color="auto"/>
        <w:left w:val="none" w:sz="0" w:space="0" w:color="auto"/>
        <w:bottom w:val="none" w:sz="0" w:space="0" w:color="auto"/>
        <w:right w:val="none" w:sz="0" w:space="0" w:color="auto"/>
      </w:divBdr>
    </w:div>
    <w:div w:id="1765149259">
      <w:bodyDiv w:val="1"/>
      <w:marLeft w:val="0"/>
      <w:marRight w:val="0"/>
      <w:marTop w:val="0"/>
      <w:marBottom w:val="0"/>
      <w:divBdr>
        <w:top w:val="none" w:sz="0" w:space="0" w:color="auto"/>
        <w:left w:val="none" w:sz="0" w:space="0" w:color="auto"/>
        <w:bottom w:val="none" w:sz="0" w:space="0" w:color="auto"/>
        <w:right w:val="none" w:sz="0" w:space="0" w:color="auto"/>
      </w:divBdr>
    </w:div>
    <w:div w:id="1794865714">
      <w:bodyDiv w:val="1"/>
      <w:marLeft w:val="0"/>
      <w:marRight w:val="0"/>
      <w:marTop w:val="0"/>
      <w:marBottom w:val="0"/>
      <w:divBdr>
        <w:top w:val="none" w:sz="0" w:space="0" w:color="auto"/>
        <w:left w:val="none" w:sz="0" w:space="0" w:color="auto"/>
        <w:bottom w:val="none" w:sz="0" w:space="0" w:color="auto"/>
        <w:right w:val="none" w:sz="0" w:space="0" w:color="auto"/>
      </w:divBdr>
    </w:div>
    <w:div w:id="1867448537">
      <w:bodyDiv w:val="1"/>
      <w:marLeft w:val="0"/>
      <w:marRight w:val="0"/>
      <w:marTop w:val="0"/>
      <w:marBottom w:val="0"/>
      <w:divBdr>
        <w:top w:val="none" w:sz="0" w:space="0" w:color="auto"/>
        <w:left w:val="none" w:sz="0" w:space="0" w:color="auto"/>
        <w:bottom w:val="none" w:sz="0" w:space="0" w:color="auto"/>
        <w:right w:val="none" w:sz="0" w:space="0" w:color="auto"/>
      </w:divBdr>
    </w:div>
    <w:div w:id="2004122313">
      <w:bodyDiv w:val="1"/>
      <w:marLeft w:val="0"/>
      <w:marRight w:val="0"/>
      <w:marTop w:val="0"/>
      <w:marBottom w:val="0"/>
      <w:divBdr>
        <w:top w:val="none" w:sz="0" w:space="0" w:color="auto"/>
        <w:left w:val="none" w:sz="0" w:space="0" w:color="auto"/>
        <w:bottom w:val="none" w:sz="0" w:space="0" w:color="auto"/>
        <w:right w:val="none" w:sz="0" w:space="0" w:color="auto"/>
      </w:divBdr>
    </w:div>
    <w:div w:id="20911241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84618736044078BFFB30B6B7F0BE48"/>
        <w:category>
          <w:name w:val="General"/>
          <w:gallery w:val="placeholder"/>
        </w:category>
        <w:types>
          <w:type w:val="bbPlcHdr"/>
        </w:types>
        <w:behaviors>
          <w:behavior w:val="content"/>
        </w:behaviors>
        <w:guid w:val="{F8DFAB50-F1AE-4B97-941B-A057F69F1F83}"/>
      </w:docPartPr>
      <w:docPartBody>
        <w:p w:rsidR="00F342BE" w:rsidRDefault="00F342BE" w:rsidP="00F342BE">
          <w:pPr>
            <w:pStyle w:val="EB84618736044078BFFB30B6B7F0BE48"/>
          </w:pPr>
          <w:r>
            <w:rPr>
              <w:rFonts w:asciiTheme="majorHAnsi" w:eastAsiaTheme="majorEastAsia" w:hAnsiTheme="majorHAnsi" w:cstheme="majorBidi"/>
              <w:caps/>
              <w:color w:val="156082" w:themeColor="accent1"/>
              <w:sz w:val="80"/>
              <w:szCs w:val="80"/>
            </w:rPr>
            <w:t>[Document title]</w:t>
          </w:r>
        </w:p>
      </w:docPartBody>
    </w:docPart>
    <w:docPart>
      <w:docPartPr>
        <w:name w:val="C28B326632DE4FB79E7672CAD8E019E7"/>
        <w:category>
          <w:name w:val="General"/>
          <w:gallery w:val="placeholder"/>
        </w:category>
        <w:types>
          <w:type w:val="bbPlcHdr"/>
        </w:types>
        <w:behaviors>
          <w:behavior w:val="content"/>
        </w:behaviors>
        <w:guid w:val="{A12767DC-46D9-482B-ACDC-8A74542FC52A}"/>
      </w:docPartPr>
      <w:docPartBody>
        <w:p w:rsidR="00F342BE" w:rsidRDefault="00F342BE" w:rsidP="00F342BE">
          <w:pPr>
            <w:pStyle w:val="C28B326632DE4FB79E7672CAD8E019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BE"/>
    <w:rsid w:val="0061271D"/>
    <w:rsid w:val="00F34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84618736044078BFFB30B6B7F0BE48">
    <w:name w:val="EB84618736044078BFFB30B6B7F0BE48"/>
    <w:rsid w:val="00F342BE"/>
  </w:style>
  <w:style w:type="paragraph" w:customStyle="1" w:styleId="C28B326632DE4FB79E7672CAD8E019E7">
    <w:name w:val="C28B326632DE4FB79E7672CAD8E019E7"/>
    <w:rsid w:val="00F342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3675</Words>
  <Characters>20952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Student Name: El Mostafa Majdouli     Student ID: 2321812Module: LCLM 5005 – Organisational CultureWord Count: 3185Submission Date: 10.11.2025</Company>
  <LinksUpToDate>false</LinksUpToDate>
  <CharactersWithSpaces>24578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CULTURE  TOYOTA</dc:title>
  <dc:subject>Component 1: Individual Report</dc:subject>
  <dc:creator>python-docx</dc:creator>
  <cp:keywords/>
  <dc:description>generated by python-docx</dc:description>
  <cp:lastModifiedBy>Majdouli, Maryam</cp:lastModifiedBy>
  <cp:revision>3</cp:revision>
  <dcterms:created xsi:type="dcterms:W3CDTF">2025-11-10T15:40:00Z</dcterms:created>
  <dcterms:modified xsi:type="dcterms:W3CDTF">2025-11-10T18:43:00Z</dcterms:modified>
  <cp:category/>
</cp:coreProperties>
</file>