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58AFB" w14:textId="307B1620" w:rsidR="11C3AC8A" w:rsidRDefault="65A8C9C7" w:rsidP="3A702886">
      <w:pPr>
        <w:jc w:val="center"/>
      </w:pPr>
      <w:r w:rsidRPr="3A702886">
        <w:rPr>
          <w:rFonts w:ascii="Aptos" w:eastAsia="Aptos" w:hAnsi="Aptos" w:cs="Aptos"/>
          <w:b/>
          <w:bCs/>
          <w:color w:val="000000" w:themeColor="text1"/>
          <w:sz w:val="40"/>
          <w:szCs w:val="40"/>
          <w:u w:val="single"/>
        </w:rPr>
        <w:t>Event Review – Health and Wellness Fayre</w:t>
      </w:r>
    </w:p>
    <w:p w14:paraId="6C589888" w14:textId="79157161" w:rsidR="11C3AC8A" w:rsidRDefault="2EB9DC46" w:rsidP="3A702886">
      <w:pPr>
        <w:pStyle w:val="Title"/>
        <w:jc w:val="both"/>
        <w:rPr>
          <w:rFonts w:ascii="Roboto" w:eastAsia="Roboto" w:hAnsi="Roboto" w:cs="Roboto"/>
          <w:b/>
          <w:bCs/>
          <w:sz w:val="32"/>
          <w:szCs w:val="32"/>
          <w:u w:val="single"/>
        </w:rPr>
      </w:pPr>
      <w:r w:rsidRPr="3A702886">
        <w:rPr>
          <w:b/>
          <w:bCs/>
          <w:sz w:val="32"/>
          <w:szCs w:val="32"/>
          <w:u w:val="single"/>
        </w:rPr>
        <w:t>Introduction</w:t>
      </w:r>
    </w:p>
    <w:p w14:paraId="4EF0994B" w14:textId="01CDC15C" w:rsidR="11C3AC8A" w:rsidRDefault="2EB9DC46" w:rsidP="3A702886">
      <w:pPr>
        <w:spacing w:before="240" w:after="240"/>
        <w:jc w:val="both"/>
      </w:pPr>
      <w:r w:rsidRPr="3A702886">
        <w:rPr>
          <w:rFonts w:ascii="Roboto" w:eastAsia="Roboto" w:hAnsi="Roboto" w:cs="Roboto"/>
        </w:rPr>
        <w:t xml:space="preserve">The Health and Wellness Fayre </w:t>
      </w:r>
      <w:bookmarkStart w:id="0" w:name="_Int_N8Hgtg6Z"/>
      <w:proofErr w:type="gramStart"/>
      <w:r w:rsidRPr="3A702886">
        <w:rPr>
          <w:rFonts w:ascii="Roboto" w:eastAsia="Roboto" w:hAnsi="Roboto" w:cs="Roboto"/>
        </w:rPr>
        <w:t>was</w:t>
      </w:r>
      <w:bookmarkEnd w:id="0"/>
      <w:proofErr w:type="gramEnd"/>
      <w:r w:rsidRPr="3A702886">
        <w:rPr>
          <w:rFonts w:ascii="Roboto" w:eastAsia="Roboto" w:hAnsi="Roboto" w:cs="Roboto"/>
        </w:rPr>
        <w:t xml:space="preserve"> designed to promote wellbeing through a variety of health-focused, therapeutic, and educational activities. The event aimed to provide attendees with engaging experiences while encouraging awareness of physical and mental wellbeing. This reflective review evaluates my role within the event management team, analyses the successes and challenges of the event, and reflects on the importance of teamwork, communication, operations management, and feedback in delivering a successful event.</w:t>
      </w:r>
    </w:p>
    <w:p w14:paraId="514581A4" w14:textId="1C1B710B" w:rsidR="11C3AC8A" w:rsidRDefault="11C3AC8A" w:rsidP="3A702886">
      <w:pPr>
        <w:spacing w:before="240" w:after="240"/>
        <w:jc w:val="both"/>
        <w:rPr>
          <w:rFonts w:ascii="Roboto" w:eastAsia="Roboto" w:hAnsi="Roboto" w:cs="Roboto"/>
        </w:rPr>
      </w:pPr>
    </w:p>
    <w:p w14:paraId="1BEC2B5E" w14:textId="4DEDF7FF" w:rsidR="11C3AC8A" w:rsidRDefault="2EB9DC46" w:rsidP="3A702886">
      <w:pPr>
        <w:pStyle w:val="Title"/>
        <w:jc w:val="both"/>
        <w:rPr>
          <w:b/>
          <w:bCs/>
          <w:sz w:val="32"/>
          <w:szCs w:val="32"/>
          <w:u w:val="single"/>
        </w:rPr>
      </w:pPr>
      <w:r w:rsidRPr="3A702886">
        <w:rPr>
          <w:b/>
          <w:bCs/>
          <w:sz w:val="32"/>
          <w:szCs w:val="32"/>
          <w:u w:val="single"/>
        </w:rPr>
        <w:t>My Role and Responsibilities</w:t>
      </w:r>
    </w:p>
    <w:p w14:paraId="79A3B209" w14:textId="6059545F" w:rsidR="11C3AC8A" w:rsidRDefault="2EB9DC46" w:rsidP="3A702886">
      <w:pPr>
        <w:spacing w:before="240" w:after="240"/>
        <w:jc w:val="both"/>
      </w:pPr>
      <w:r w:rsidRPr="3A702886">
        <w:rPr>
          <w:rFonts w:ascii="Roboto" w:eastAsia="Roboto" w:hAnsi="Roboto" w:cs="Roboto"/>
        </w:rPr>
        <w:t>My primary responsibilities within the Health and Wellness Fayre involved overseeing health and safety and supporting operational management throughout the planning and delivery of the event. This required prioritising the safety and feasibility of the venue, attendees, equipment, and event activities. One of my key responsibilities was producing a comprehensive risk assessment by identifying potential hazards and implementing mitigation measures. Effective risk management is essential within event operations to minimise hazards and ensure attendee safety (Silvers, 2012).</w:t>
      </w:r>
      <w:r w:rsidR="203CB11E" w:rsidRPr="3A702886">
        <w:rPr>
          <w:rFonts w:ascii="Roboto" w:eastAsia="Roboto" w:hAnsi="Roboto" w:cs="Roboto"/>
        </w:rPr>
        <w:t xml:space="preserve"> </w:t>
      </w:r>
      <w:r w:rsidRPr="3A702886">
        <w:rPr>
          <w:rFonts w:ascii="Roboto" w:eastAsia="Roboto" w:hAnsi="Roboto" w:cs="Roboto"/>
        </w:rPr>
        <w:t xml:space="preserve">In addition, I coordinated with the operations manager of the IM building to ensure the venue complied with operational and safety requirements. I also contributed to designing the venue layout and contingency planning procedures for emergencies and crowd control. According to Shone and Parry (2013), effective operational planning is fundamental to successful event delivery because it ensures that </w:t>
      </w:r>
      <w:bookmarkStart w:id="1" w:name="_Int_K31tq9fy"/>
      <w:r w:rsidRPr="3A702886">
        <w:rPr>
          <w:rFonts w:ascii="Roboto" w:eastAsia="Roboto" w:hAnsi="Roboto" w:cs="Roboto"/>
        </w:rPr>
        <w:t>logistics</w:t>
      </w:r>
      <w:bookmarkEnd w:id="1"/>
      <w:r w:rsidRPr="3A702886">
        <w:rPr>
          <w:rFonts w:ascii="Roboto" w:eastAsia="Roboto" w:hAnsi="Roboto" w:cs="Roboto"/>
        </w:rPr>
        <w:t>, venue management, and emergency procedures are coordinated efficiently.</w:t>
      </w:r>
    </w:p>
    <w:p w14:paraId="5CED71D3" w14:textId="3423968E" w:rsidR="11C3AC8A" w:rsidRDefault="2EB9DC46" w:rsidP="3A702886">
      <w:pPr>
        <w:spacing w:before="240" w:after="240"/>
        <w:jc w:val="both"/>
      </w:pPr>
      <w:r w:rsidRPr="3A702886">
        <w:rPr>
          <w:rFonts w:ascii="Roboto" w:eastAsia="Roboto" w:hAnsi="Roboto" w:cs="Roboto"/>
        </w:rPr>
        <w:t xml:space="preserve">My role also involved researching the legal requirements and documentation needed for the event. This included ensuring that operational procedures aligned with health and safety regulations. Tum, </w:t>
      </w:r>
      <w:bookmarkStart w:id="2" w:name="_Int_ayq5gae6"/>
      <w:r w:rsidRPr="3A702886">
        <w:rPr>
          <w:rFonts w:ascii="Roboto" w:eastAsia="Roboto" w:hAnsi="Roboto" w:cs="Roboto"/>
        </w:rPr>
        <w:t>Norton</w:t>
      </w:r>
      <w:bookmarkEnd w:id="2"/>
      <w:r w:rsidRPr="3A702886">
        <w:rPr>
          <w:rFonts w:ascii="Roboto" w:eastAsia="Roboto" w:hAnsi="Roboto" w:cs="Roboto"/>
        </w:rPr>
        <w:t xml:space="preserve"> and Wright (2006) explain that legal compliance and operational planning are central responsibilities of event managers.</w:t>
      </w:r>
      <w:r w:rsidR="055303EE" w:rsidRPr="3A702886">
        <w:rPr>
          <w:rFonts w:ascii="Roboto" w:eastAsia="Roboto" w:hAnsi="Roboto" w:cs="Roboto"/>
        </w:rPr>
        <w:t xml:space="preserve"> </w:t>
      </w:r>
      <w:r w:rsidRPr="3A702886">
        <w:rPr>
          <w:rFonts w:ascii="Roboto" w:eastAsia="Roboto" w:hAnsi="Roboto" w:cs="Roboto"/>
        </w:rPr>
        <w:t xml:space="preserve">Beyond operational planning, I managed parking </w:t>
      </w:r>
      <w:bookmarkStart w:id="3" w:name="_Int_Q68OjoWM"/>
      <w:r w:rsidRPr="3A702886">
        <w:rPr>
          <w:rFonts w:ascii="Roboto" w:eastAsia="Roboto" w:hAnsi="Roboto" w:cs="Roboto"/>
        </w:rPr>
        <w:t>logistics</w:t>
      </w:r>
      <w:bookmarkEnd w:id="3"/>
      <w:r w:rsidRPr="3A702886">
        <w:rPr>
          <w:rFonts w:ascii="Roboto" w:eastAsia="Roboto" w:hAnsi="Roboto" w:cs="Roboto"/>
        </w:rPr>
        <w:t xml:space="preserve"> to ensure attendees could access the venue efficiently and safely. I also assisted with event setup before and during the event by supporting decoration and venue preparation. On the day of the event, I helped sponsors and stallholders with their setup by introducing them to the venue, assisting with banners and displays, and providing refreshments. I also engaged with sponsors professionally by showing interest in their businesses and brands. Additionally, I announced raffle prizes and winners during the event.</w:t>
      </w:r>
    </w:p>
    <w:p w14:paraId="72B1FF81" w14:textId="0BC2FF2D" w:rsidR="11C3AC8A" w:rsidRDefault="11C3AC8A" w:rsidP="3A702886">
      <w:pPr>
        <w:spacing w:before="240" w:after="240"/>
        <w:jc w:val="both"/>
        <w:rPr>
          <w:b/>
          <w:bCs/>
          <w:sz w:val="32"/>
          <w:szCs w:val="32"/>
          <w:u w:val="single"/>
        </w:rPr>
      </w:pPr>
    </w:p>
    <w:p w14:paraId="43491EF5" w14:textId="372B5CA8" w:rsidR="11C3AC8A" w:rsidRDefault="2EB9DC46" w:rsidP="3A702886">
      <w:pPr>
        <w:spacing w:before="240" w:after="240"/>
        <w:jc w:val="both"/>
        <w:rPr>
          <w:b/>
          <w:bCs/>
          <w:sz w:val="32"/>
          <w:szCs w:val="32"/>
          <w:u w:val="single"/>
        </w:rPr>
      </w:pPr>
      <w:r w:rsidRPr="3A702886">
        <w:rPr>
          <w:b/>
          <w:bCs/>
          <w:sz w:val="32"/>
          <w:szCs w:val="32"/>
          <w:u w:val="single"/>
        </w:rPr>
        <w:t>Event Experience and Attendee Satisfaction</w:t>
      </w:r>
    </w:p>
    <w:p w14:paraId="57A557DE" w14:textId="162EED86" w:rsidR="11C3AC8A" w:rsidRDefault="2EB9DC46" w:rsidP="3A702886">
      <w:pPr>
        <w:spacing w:before="240" w:after="240"/>
        <w:jc w:val="both"/>
      </w:pPr>
      <w:r w:rsidRPr="3A702886">
        <w:rPr>
          <w:rFonts w:ascii="Roboto" w:eastAsia="Roboto" w:hAnsi="Roboto" w:cs="Roboto"/>
        </w:rPr>
        <w:t xml:space="preserve">Getz (2012) argues that successful events should create memorable experiences that incorporate entertainment, education, aesthetics, immersion, and escapism. </w:t>
      </w:r>
      <w:r w:rsidR="765085FF" w:rsidRPr="3A702886">
        <w:rPr>
          <w:rFonts w:ascii="Roboto" w:eastAsia="Roboto" w:hAnsi="Roboto" w:cs="Roboto"/>
        </w:rPr>
        <w:t>The Health and Wellness Fayre</w:t>
      </w:r>
      <w:r w:rsidRPr="3A702886">
        <w:rPr>
          <w:rFonts w:ascii="Roboto" w:eastAsia="Roboto" w:hAnsi="Roboto" w:cs="Roboto"/>
        </w:rPr>
        <w:t xml:space="preserve"> successfully reflected these characteristics because attendees were exposed to a variety of unique experiences, particularly spiritual and therapeutic activities that many participants had not experienced previously.</w:t>
      </w:r>
      <w:r w:rsidR="4045A3A4" w:rsidRPr="3A702886">
        <w:rPr>
          <w:rFonts w:ascii="Roboto" w:eastAsia="Roboto" w:hAnsi="Roboto" w:cs="Roboto"/>
        </w:rPr>
        <w:t xml:space="preserve"> </w:t>
      </w:r>
      <w:r w:rsidRPr="3A702886">
        <w:rPr>
          <w:rFonts w:ascii="Roboto" w:eastAsia="Roboto" w:hAnsi="Roboto" w:cs="Roboto"/>
        </w:rPr>
        <w:t>Furthermore, Pine and Gilmore’s (1999) experience economy theory suggests that consumers increasingly value memorable and engaging experiences over products or services alone. This was reflected in attendee feedback and engagement levels throughout the event, as many participants interacted positively with the different activities and sponsors available. The event created an inclusive and welcoming atmosphere which contributed to overall attendee satisfaction. Attendee satisfaction is a key indicator of event success because positive experiences increase engagement, loyalty, and the likelihood of future attendance (Yeoman et al., 2012).</w:t>
      </w:r>
      <w:r w:rsidR="3AE8935A" w:rsidRPr="3A702886">
        <w:rPr>
          <w:rFonts w:ascii="Roboto" w:eastAsia="Roboto" w:hAnsi="Roboto" w:cs="Roboto"/>
        </w:rPr>
        <w:t xml:space="preserve"> </w:t>
      </w:r>
      <w:r w:rsidRPr="3A702886">
        <w:rPr>
          <w:rFonts w:ascii="Roboto" w:eastAsia="Roboto" w:hAnsi="Roboto" w:cs="Roboto"/>
        </w:rPr>
        <w:t xml:space="preserve">Attendance at the event exceeded expectations, which demonstrated effective promotion and public interest in health and wellbeing initiatives. The flexibility and adaptability of the event team also contributed positively to the attendee experience, as </w:t>
      </w:r>
      <w:r w:rsidR="2C5E50AE" w:rsidRPr="3A702886">
        <w:rPr>
          <w:rFonts w:ascii="Roboto" w:eastAsia="Roboto" w:hAnsi="Roboto" w:cs="Roboto"/>
        </w:rPr>
        <w:t>team</w:t>
      </w:r>
      <w:r w:rsidRPr="3A702886">
        <w:rPr>
          <w:rFonts w:ascii="Roboto" w:eastAsia="Roboto" w:hAnsi="Roboto" w:cs="Roboto"/>
        </w:rPr>
        <w:t xml:space="preserve"> members were able to manage both the IM building and immersive room effectively despite having a </w:t>
      </w:r>
      <w:r w:rsidR="06984B20" w:rsidRPr="3A702886">
        <w:rPr>
          <w:rFonts w:ascii="Roboto" w:eastAsia="Roboto" w:hAnsi="Roboto" w:cs="Roboto"/>
        </w:rPr>
        <w:t>small</w:t>
      </w:r>
      <w:r w:rsidRPr="3A702886">
        <w:rPr>
          <w:rFonts w:ascii="Roboto" w:eastAsia="Roboto" w:hAnsi="Roboto" w:cs="Roboto"/>
        </w:rPr>
        <w:t xml:space="preserve"> team.</w:t>
      </w:r>
    </w:p>
    <w:p w14:paraId="3BCD99C7" w14:textId="6DE0A210" w:rsidR="11C3AC8A" w:rsidRDefault="11C3AC8A" w:rsidP="3A702886">
      <w:pPr>
        <w:spacing w:before="240" w:after="240"/>
        <w:jc w:val="both"/>
        <w:rPr>
          <w:rFonts w:ascii="Roboto" w:eastAsia="Roboto" w:hAnsi="Roboto" w:cs="Roboto"/>
        </w:rPr>
      </w:pPr>
    </w:p>
    <w:p w14:paraId="43AA7B18" w14:textId="05E3D3C4" w:rsidR="11C3AC8A" w:rsidRDefault="2EB9DC46" w:rsidP="3A702886">
      <w:pPr>
        <w:pStyle w:val="Title"/>
        <w:jc w:val="both"/>
        <w:rPr>
          <w:b/>
          <w:bCs/>
          <w:sz w:val="32"/>
          <w:szCs w:val="32"/>
          <w:u w:val="single"/>
        </w:rPr>
      </w:pPr>
      <w:r w:rsidRPr="3A702886">
        <w:rPr>
          <w:b/>
          <w:bCs/>
          <w:sz w:val="32"/>
          <w:szCs w:val="32"/>
          <w:u w:val="single"/>
        </w:rPr>
        <w:t>Evaluation of the Event</w:t>
      </w:r>
    </w:p>
    <w:p w14:paraId="6A163C00" w14:textId="024C47DD" w:rsidR="11C3AC8A" w:rsidRDefault="2EB9DC46" w:rsidP="3A702886">
      <w:pPr>
        <w:spacing w:before="240" w:after="240"/>
        <w:jc w:val="both"/>
      </w:pPr>
      <w:r w:rsidRPr="3A702886">
        <w:rPr>
          <w:rFonts w:ascii="Roboto" w:eastAsia="Roboto" w:hAnsi="Roboto" w:cs="Roboto"/>
        </w:rPr>
        <w:t xml:space="preserve">Overall, </w:t>
      </w:r>
      <w:r w:rsidR="44EC7D74" w:rsidRPr="3A702886">
        <w:rPr>
          <w:rFonts w:ascii="Roboto" w:eastAsia="Roboto" w:hAnsi="Roboto" w:cs="Roboto"/>
        </w:rPr>
        <w:t>the event</w:t>
      </w:r>
      <w:r w:rsidRPr="3A702886">
        <w:rPr>
          <w:rFonts w:ascii="Roboto" w:eastAsia="Roboto" w:hAnsi="Roboto" w:cs="Roboto"/>
        </w:rPr>
        <w:t xml:space="preserve"> was successful and provided valuable experience for both the event team and the sponsors involved. Many sponsors stated that it was their first time participating in an event of this nature, which made the experience beneficial for networking and professional exposure.</w:t>
      </w:r>
      <w:r w:rsidR="6A1CF4AC" w:rsidRPr="3A702886">
        <w:rPr>
          <w:rFonts w:ascii="Roboto" w:eastAsia="Roboto" w:hAnsi="Roboto" w:cs="Roboto"/>
        </w:rPr>
        <w:t xml:space="preserve"> </w:t>
      </w:r>
      <w:r w:rsidRPr="3A702886">
        <w:rPr>
          <w:rFonts w:ascii="Roboto" w:eastAsia="Roboto" w:hAnsi="Roboto" w:cs="Roboto"/>
        </w:rPr>
        <w:t>However, there were also areas that could have been improved. One significant issue was the duration of the event. The original schedule planned for the event to conclude at 2pm, which I believe would have been the most appropriate finishing time. Instead, the event continued until 4pm, resulting in some sponsors leaving before the event officially ended. This affected the consistency of attendee engagement and reduced the effectiveness of the final stages of the event.</w:t>
      </w:r>
      <w:r w:rsidR="22447886" w:rsidRPr="3A702886">
        <w:rPr>
          <w:rFonts w:ascii="Roboto" w:eastAsia="Roboto" w:hAnsi="Roboto" w:cs="Roboto"/>
        </w:rPr>
        <w:t xml:space="preserve"> </w:t>
      </w:r>
      <w:r w:rsidRPr="3A702886">
        <w:rPr>
          <w:rFonts w:ascii="Roboto" w:eastAsia="Roboto" w:hAnsi="Roboto" w:cs="Roboto"/>
        </w:rPr>
        <w:t>Another improvement would have been making the event free for attendees. As funding became available later in the planning process, this may have increased accessibility and attendance further. Additionally, the raffle announcement was delayed in the hope that more attendees would arrive, which created some unnecessary waiting and reduced the efficiency of the schedule.</w:t>
      </w:r>
      <w:r w:rsidR="2AC73841" w:rsidRPr="3A702886">
        <w:rPr>
          <w:rFonts w:ascii="Roboto" w:eastAsia="Roboto" w:hAnsi="Roboto" w:cs="Roboto"/>
        </w:rPr>
        <w:t xml:space="preserve"> </w:t>
      </w:r>
      <w:r w:rsidRPr="3A702886">
        <w:rPr>
          <w:rFonts w:ascii="Roboto" w:eastAsia="Roboto" w:hAnsi="Roboto" w:cs="Roboto"/>
        </w:rPr>
        <w:t xml:space="preserve">Bowdin et al. (2011) </w:t>
      </w:r>
      <w:r w:rsidRPr="3A702886">
        <w:rPr>
          <w:rFonts w:ascii="Roboto" w:eastAsia="Roboto" w:hAnsi="Roboto" w:cs="Roboto"/>
        </w:rPr>
        <w:lastRenderedPageBreak/>
        <w:t>explain that event evaluation is essential because it allows organisers to identify strengths and weaknesses while improving future planning and decision-making processes. Reflecting on these challenges has provided valuable insight into time management, attendee engagement, and operational decision-making.</w:t>
      </w:r>
    </w:p>
    <w:p w14:paraId="57544777" w14:textId="2B5FDA79" w:rsidR="11C3AC8A" w:rsidRDefault="11C3AC8A" w:rsidP="3A702886">
      <w:pPr>
        <w:spacing w:before="240" w:after="240"/>
        <w:jc w:val="both"/>
        <w:rPr>
          <w:rFonts w:ascii="Roboto" w:eastAsia="Roboto" w:hAnsi="Roboto" w:cs="Roboto"/>
        </w:rPr>
      </w:pPr>
    </w:p>
    <w:p w14:paraId="53164542" w14:textId="329DE660" w:rsidR="11C3AC8A" w:rsidRDefault="2EB9DC46" w:rsidP="3A702886">
      <w:pPr>
        <w:pStyle w:val="Title"/>
        <w:jc w:val="both"/>
        <w:rPr>
          <w:b/>
          <w:bCs/>
          <w:sz w:val="32"/>
          <w:szCs w:val="32"/>
          <w:u w:val="single"/>
        </w:rPr>
      </w:pPr>
      <w:r w:rsidRPr="3A702886">
        <w:rPr>
          <w:b/>
          <w:bCs/>
          <w:sz w:val="32"/>
          <w:szCs w:val="32"/>
          <w:u w:val="single"/>
        </w:rPr>
        <w:t>Importance of Teamwork and Communication</w:t>
      </w:r>
    </w:p>
    <w:p w14:paraId="4783F52E" w14:textId="0F88F7C0" w:rsidR="11C3AC8A" w:rsidRDefault="2EB9DC46" w:rsidP="3A702886">
      <w:pPr>
        <w:spacing w:before="240" w:after="240"/>
        <w:jc w:val="both"/>
      </w:pPr>
      <w:r w:rsidRPr="3A702886">
        <w:rPr>
          <w:rFonts w:ascii="Roboto" w:eastAsia="Roboto" w:hAnsi="Roboto" w:cs="Roboto"/>
        </w:rPr>
        <w:t>Teamwork was a crucial factor in the success of the Health and Wellness Fayre. Each member of the group fulfilled their responsibilities professionally and completed their allocated tasks on time. Belbin (2010) suggests that successful teams rely on individuals adopting complementary roles and contributing different strengths. This was evident within our group, as members supported one another across different operational areas throughout the event.</w:t>
      </w:r>
      <w:r w:rsidR="5B8A39A1" w:rsidRPr="3A702886">
        <w:rPr>
          <w:rFonts w:ascii="Roboto" w:eastAsia="Roboto" w:hAnsi="Roboto" w:cs="Roboto"/>
        </w:rPr>
        <w:t xml:space="preserve"> </w:t>
      </w:r>
      <w:r w:rsidRPr="3A702886">
        <w:rPr>
          <w:rFonts w:ascii="Roboto" w:eastAsia="Roboto" w:hAnsi="Roboto" w:cs="Roboto"/>
        </w:rPr>
        <w:t>The flexibility of the team was particularly important on the day of the event, as responsibilities needed to shift between managing the IM building and immersive room. Despite the small size of the team, all members adapted effectively and maintained a positive working environment.</w:t>
      </w:r>
    </w:p>
    <w:p w14:paraId="221DE9E5" w14:textId="3742C9BC" w:rsidR="11C3AC8A" w:rsidRDefault="2EB9DC46" w:rsidP="3A702886">
      <w:pPr>
        <w:spacing w:before="240" w:after="240"/>
        <w:jc w:val="both"/>
      </w:pPr>
      <w:r w:rsidRPr="3A702886">
        <w:rPr>
          <w:rFonts w:ascii="Roboto" w:eastAsia="Roboto" w:hAnsi="Roboto" w:cs="Roboto"/>
        </w:rPr>
        <w:t>However, communication within the group was not always optimal. Effective communication is essential within event teams because poor communication can negatively affect coordination, decision-making, and overall event performance (Allen et al., 2011). Low attendance in some meetings made regular communication more difficult, and much of the planning was conducted through group chats rather than face-to-face discussions. Personally, I found this communication method less effective because it occasionally led to misunderstandings and reduced collaboration efficiency.</w:t>
      </w:r>
      <w:r w:rsidR="3C34465D" w:rsidRPr="3A702886">
        <w:rPr>
          <w:rFonts w:ascii="Roboto" w:eastAsia="Roboto" w:hAnsi="Roboto" w:cs="Roboto"/>
        </w:rPr>
        <w:t xml:space="preserve"> </w:t>
      </w:r>
      <w:r w:rsidRPr="3A702886">
        <w:rPr>
          <w:rFonts w:ascii="Roboto" w:eastAsia="Roboto" w:hAnsi="Roboto" w:cs="Roboto"/>
        </w:rPr>
        <w:t xml:space="preserve">Tuckman (1965) explains that teams develop through stages including forming, storming, norming, and performing. Our group experienced some communication challenges during the development process, particularly when organising responsibilities and maintaining consistent communication. Despite these difficulties, the group was </w:t>
      </w:r>
      <w:r w:rsidR="0AB516FF" w:rsidRPr="3A702886">
        <w:rPr>
          <w:rFonts w:ascii="Roboto" w:eastAsia="Roboto" w:hAnsi="Roboto" w:cs="Roboto"/>
        </w:rPr>
        <w:t>able</w:t>
      </w:r>
      <w:r w:rsidRPr="3A702886">
        <w:rPr>
          <w:rFonts w:ascii="Roboto" w:eastAsia="Roboto" w:hAnsi="Roboto" w:cs="Roboto"/>
        </w:rPr>
        <w:t xml:space="preserve"> to work collaboratively and deliver the event successfully.</w:t>
      </w:r>
    </w:p>
    <w:p w14:paraId="694744D8" w14:textId="7B838497" w:rsidR="11C3AC8A" w:rsidRDefault="11C3AC8A" w:rsidP="3A702886">
      <w:pPr>
        <w:spacing w:before="240" w:after="240"/>
        <w:jc w:val="both"/>
        <w:rPr>
          <w:rFonts w:ascii="Roboto" w:eastAsia="Roboto" w:hAnsi="Roboto" w:cs="Roboto"/>
        </w:rPr>
      </w:pPr>
    </w:p>
    <w:p w14:paraId="66E5326B" w14:textId="4AE7892A" w:rsidR="11C3AC8A" w:rsidRDefault="2EB9DC46" w:rsidP="3A702886">
      <w:pPr>
        <w:pStyle w:val="Title"/>
        <w:jc w:val="both"/>
        <w:rPr>
          <w:b/>
          <w:bCs/>
          <w:sz w:val="32"/>
          <w:szCs w:val="32"/>
          <w:u w:val="single"/>
        </w:rPr>
      </w:pPr>
      <w:r w:rsidRPr="3A702886">
        <w:rPr>
          <w:b/>
          <w:bCs/>
          <w:sz w:val="32"/>
          <w:szCs w:val="32"/>
          <w:u w:val="single"/>
        </w:rPr>
        <w:t>Conclusion</w:t>
      </w:r>
    </w:p>
    <w:p w14:paraId="056E98C0" w14:textId="3AFD486D" w:rsidR="11C3AC8A" w:rsidRDefault="2EB9DC46" w:rsidP="3A702886">
      <w:pPr>
        <w:spacing w:before="240" w:after="240"/>
        <w:jc w:val="both"/>
      </w:pPr>
      <w:r w:rsidRPr="3A702886">
        <w:rPr>
          <w:rFonts w:ascii="Roboto" w:eastAsia="Roboto" w:hAnsi="Roboto" w:cs="Roboto"/>
        </w:rPr>
        <w:t xml:space="preserve">In conclusion, the Health and Wellness Fayre </w:t>
      </w:r>
      <w:bookmarkStart w:id="4" w:name="_Int_g2QCP87Y"/>
      <w:proofErr w:type="gramStart"/>
      <w:r w:rsidRPr="3A702886">
        <w:rPr>
          <w:rFonts w:ascii="Roboto" w:eastAsia="Roboto" w:hAnsi="Roboto" w:cs="Roboto"/>
        </w:rPr>
        <w:t>was</w:t>
      </w:r>
      <w:bookmarkEnd w:id="4"/>
      <w:proofErr w:type="gramEnd"/>
      <w:r w:rsidRPr="3A702886">
        <w:rPr>
          <w:rFonts w:ascii="Roboto" w:eastAsia="Roboto" w:hAnsi="Roboto" w:cs="Roboto"/>
        </w:rPr>
        <w:t xml:space="preserve"> a positive and valuable experience that allowed me to develop practical skills in health and safety, operations management, teamwork, and event coordination. My responsibilities included risk assessment, contingency planning, venue coordination, sponsor support, and logistical management, all of which contributed to the successful delivery of the event.</w:t>
      </w:r>
      <w:r w:rsidR="3CFDEF16" w:rsidRPr="3A702886">
        <w:rPr>
          <w:rFonts w:ascii="Roboto" w:eastAsia="Roboto" w:hAnsi="Roboto" w:cs="Roboto"/>
        </w:rPr>
        <w:t xml:space="preserve"> </w:t>
      </w:r>
      <w:r w:rsidRPr="3A702886">
        <w:rPr>
          <w:rFonts w:ascii="Roboto" w:eastAsia="Roboto" w:hAnsi="Roboto" w:cs="Roboto"/>
        </w:rPr>
        <w:lastRenderedPageBreak/>
        <w:t>The event successfully created engaging and memorable experiences for attendees while promoting health and wellbeing. Although there were areas for improvement, including event duration, communication methods, and scheduling decisions, the overall experience provided valuable lessons for future event planning and management.</w:t>
      </w:r>
      <w:r w:rsidR="0311C4C3" w:rsidRPr="3A702886">
        <w:rPr>
          <w:rFonts w:ascii="Roboto" w:eastAsia="Roboto" w:hAnsi="Roboto" w:cs="Roboto"/>
        </w:rPr>
        <w:t xml:space="preserve"> </w:t>
      </w:r>
      <w:r w:rsidRPr="3A702886">
        <w:rPr>
          <w:rFonts w:ascii="Roboto" w:eastAsia="Roboto" w:hAnsi="Roboto" w:cs="Roboto"/>
        </w:rPr>
        <w:t>Reflecting on the event has increased my understanding of the importance of operational planning, effective teamwork, communication, and attendee feedback in delivering successful events. These experiences will support my future professional development within the events industry.</w:t>
      </w:r>
    </w:p>
    <w:p w14:paraId="30A6FD6B" w14:textId="77777777" w:rsidR="00FF074C" w:rsidRDefault="00FF074C" w:rsidP="3A702886">
      <w:pPr>
        <w:spacing w:before="240" w:after="240"/>
        <w:jc w:val="both"/>
        <w:rPr>
          <w:rFonts w:ascii="Roboto" w:eastAsia="Roboto" w:hAnsi="Roboto" w:cs="Roboto"/>
        </w:rPr>
      </w:pPr>
    </w:p>
    <w:p w14:paraId="3266CB52" w14:textId="77777777" w:rsidR="00FF074C" w:rsidRDefault="00FF074C" w:rsidP="3A702886">
      <w:pPr>
        <w:spacing w:before="240" w:after="240"/>
        <w:jc w:val="both"/>
        <w:rPr>
          <w:rFonts w:ascii="Roboto" w:eastAsia="Roboto" w:hAnsi="Roboto" w:cs="Roboto"/>
          <w:b/>
          <w:bCs/>
        </w:rPr>
      </w:pPr>
      <w:r w:rsidRPr="00FF074C">
        <w:rPr>
          <w:rFonts w:ascii="Roboto" w:eastAsia="Roboto" w:hAnsi="Roboto" w:cs="Roboto"/>
          <w:b/>
          <w:bCs/>
          <w:sz w:val="32"/>
          <w:szCs w:val="32"/>
          <w:u w:val="single"/>
        </w:rPr>
        <w:t>Canva link</w:t>
      </w:r>
    </w:p>
    <w:p w14:paraId="0A8F0D35" w14:textId="51E3FCD1" w:rsidR="00FF074C" w:rsidRPr="00FF074C" w:rsidRDefault="00FF074C" w:rsidP="3A702886">
      <w:pPr>
        <w:spacing w:before="240" w:after="240"/>
        <w:jc w:val="both"/>
        <w:rPr>
          <w:rFonts w:ascii="Roboto" w:eastAsia="Roboto" w:hAnsi="Roboto" w:cs="Roboto"/>
        </w:rPr>
      </w:pPr>
      <w:hyperlink r:id="rId7" w:history="1">
        <w:r w:rsidRPr="00FF074C">
          <w:rPr>
            <w:rStyle w:val="Hyperlink"/>
            <w:rFonts w:ascii="Roboto" w:eastAsia="Roboto" w:hAnsi="Roboto" w:cs="Roboto"/>
          </w:rPr>
          <w:t>https://canva.link</w:t>
        </w:r>
        <w:r w:rsidRPr="00FF074C">
          <w:rPr>
            <w:rStyle w:val="Hyperlink"/>
            <w:rFonts w:ascii="Roboto" w:eastAsia="Roboto" w:hAnsi="Roboto" w:cs="Roboto"/>
          </w:rPr>
          <w:t>/</w:t>
        </w:r>
        <w:r w:rsidRPr="00FF074C">
          <w:rPr>
            <w:rStyle w:val="Hyperlink"/>
            <w:rFonts w:ascii="Roboto" w:eastAsia="Roboto" w:hAnsi="Roboto" w:cs="Roboto"/>
          </w:rPr>
          <w:t>5hilwj5na0sced2</w:t>
        </w:r>
      </w:hyperlink>
    </w:p>
    <w:p w14:paraId="3BA9978B" w14:textId="77777777" w:rsidR="00FF074C" w:rsidRPr="00FF074C" w:rsidRDefault="00FF074C" w:rsidP="3A702886">
      <w:pPr>
        <w:spacing w:before="240" w:after="240"/>
        <w:jc w:val="both"/>
        <w:rPr>
          <w:rFonts w:ascii="Roboto" w:eastAsia="Roboto" w:hAnsi="Roboto" w:cs="Roboto"/>
          <w:b/>
          <w:bCs/>
        </w:rPr>
      </w:pPr>
    </w:p>
    <w:p w14:paraId="6851CDAA" w14:textId="5FC52127" w:rsidR="11C3AC8A" w:rsidRDefault="2EB9DC46" w:rsidP="3A702886">
      <w:pPr>
        <w:pStyle w:val="Title"/>
        <w:rPr>
          <w:b/>
          <w:bCs/>
          <w:sz w:val="32"/>
          <w:szCs w:val="32"/>
          <w:u w:val="single"/>
        </w:rPr>
      </w:pPr>
      <w:r w:rsidRPr="3A702886">
        <w:rPr>
          <w:b/>
          <w:bCs/>
          <w:sz w:val="32"/>
          <w:szCs w:val="32"/>
          <w:u w:val="single"/>
        </w:rPr>
        <w:t>References</w:t>
      </w:r>
    </w:p>
    <w:p w14:paraId="63475B7A" w14:textId="263FBE26" w:rsidR="11C3AC8A" w:rsidRDefault="2EB9DC46" w:rsidP="3A702886">
      <w:pPr>
        <w:spacing w:before="240" w:after="240"/>
      </w:pPr>
      <w:r w:rsidRPr="3A702886">
        <w:rPr>
          <w:rFonts w:ascii="Roboto" w:eastAsia="Roboto" w:hAnsi="Roboto" w:cs="Roboto"/>
        </w:rPr>
        <w:t xml:space="preserve">Allen, J., O’Toole, W., Harris, </w:t>
      </w:r>
      <w:bookmarkStart w:id="5" w:name="_Int_1mSltiw9"/>
      <w:r w:rsidRPr="3A702886">
        <w:rPr>
          <w:rFonts w:ascii="Roboto" w:eastAsia="Roboto" w:hAnsi="Roboto" w:cs="Roboto"/>
        </w:rPr>
        <w:t>R.</w:t>
      </w:r>
      <w:bookmarkEnd w:id="5"/>
      <w:r w:rsidRPr="3A702886">
        <w:rPr>
          <w:rFonts w:ascii="Roboto" w:eastAsia="Roboto" w:hAnsi="Roboto" w:cs="Roboto"/>
        </w:rPr>
        <w:t xml:space="preserve"> and McDonnell, I. (2011) </w:t>
      </w:r>
      <w:r w:rsidRPr="3A702886">
        <w:rPr>
          <w:rFonts w:ascii="Roboto" w:eastAsia="Roboto" w:hAnsi="Roboto" w:cs="Roboto"/>
          <w:i/>
          <w:iCs/>
        </w:rPr>
        <w:t>Festival and Special Event Management</w:t>
      </w:r>
      <w:r w:rsidRPr="3A702886">
        <w:rPr>
          <w:rFonts w:ascii="Roboto" w:eastAsia="Roboto" w:hAnsi="Roboto" w:cs="Roboto"/>
        </w:rPr>
        <w:t>. 5th edn. Milton, QLD: Wiley.</w:t>
      </w:r>
    </w:p>
    <w:p w14:paraId="789F42C9" w14:textId="57C4E900" w:rsidR="11C3AC8A" w:rsidRDefault="2EB9DC46" w:rsidP="3A702886">
      <w:pPr>
        <w:spacing w:before="240" w:after="240"/>
      </w:pPr>
      <w:r w:rsidRPr="3A702886">
        <w:rPr>
          <w:rFonts w:ascii="Roboto" w:eastAsia="Roboto" w:hAnsi="Roboto" w:cs="Roboto"/>
        </w:rPr>
        <w:t xml:space="preserve">Belbin, R.M. (2010) </w:t>
      </w:r>
      <w:r w:rsidRPr="3A702886">
        <w:rPr>
          <w:rFonts w:ascii="Roboto" w:eastAsia="Roboto" w:hAnsi="Roboto" w:cs="Roboto"/>
          <w:i/>
          <w:iCs/>
        </w:rPr>
        <w:t>Team Roles at Work</w:t>
      </w:r>
      <w:r w:rsidRPr="3A702886">
        <w:rPr>
          <w:rFonts w:ascii="Roboto" w:eastAsia="Roboto" w:hAnsi="Roboto" w:cs="Roboto"/>
        </w:rPr>
        <w:t>. 2nd edn. Oxford: Butterworth-Heinemann.</w:t>
      </w:r>
    </w:p>
    <w:p w14:paraId="6318601F" w14:textId="3D044B50" w:rsidR="11C3AC8A" w:rsidRDefault="2EB9DC46" w:rsidP="3A702886">
      <w:pPr>
        <w:spacing w:before="240" w:after="240"/>
      </w:pPr>
      <w:r w:rsidRPr="3A702886">
        <w:rPr>
          <w:rFonts w:ascii="Roboto" w:eastAsia="Roboto" w:hAnsi="Roboto" w:cs="Roboto"/>
        </w:rPr>
        <w:t xml:space="preserve">Bowdin, G., Allen, J., O’Toole, W., Harris, </w:t>
      </w:r>
      <w:bookmarkStart w:id="6" w:name="_Int_DJtglnap"/>
      <w:r w:rsidRPr="3A702886">
        <w:rPr>
          <w:rFonts w:ascii="Roboto" w:eastAsia="Roboto" w:hAnsi="Roboto" w:cs="Roboto"/>
        </w:rPr>
        <w:t>R.</w:t>
      </w:r>
      <w:bookmarkEnd w:id="6"/>
      <w:r w:rsidRPr="3A702886">
        <w:rPr>
          <w:rFonts w:ascii="Roboto" w:eastAsia="Roboto" w:hAnsi="Roboto" w:cs="Roboto"/>
        </w:rPr>
        <w:t xml:space="preserve"> and McDonnell, I. (2011) </w:t>
      </w:r>
      <w:r w:rsidRPr="3A702886">
        <w:rPr>
          <w:rFonts w:ascii="Roboto" w:eastAsia="Roboto" w:hAnsi="Roboto" w:cs="Roboto"/>
          <w:i/>
          <w:iCs/>
        </w:rPr>
        <w:t>Events Management</w:t>
      </w:r>
      <w:r w:rsidRPr="3A702886">
        <w:rPr>
          <w:rFonts w:ascii="Roboto" w:eastAsia="Roboto" w:hAnsi="Roboto" w:cs="Roboto"/>
        </w:rPr>
        <w:t>. 3rd edn. Oxford: Butterworth-Heinemann.</w:t>
      </w:r>
    </w:p>
    <w:p w14:paraId="422DDE66" w14:textId="503037A4" w:rsidR="11C3AC8A" w:rsidRDefault="2EB9DC46" w:rsidP="3A702886">
      <w:pPr>
        <w:spacing w:before="240" w:after="240"/>
      </w:pPr>
      <w:r w:rsidRPr="3A702886">
        <w:rPr>
          <w:rFonts w:ascii="Roboto" w:eastAsia="Roboto" w:hAnsi="Roboto" w:cs="Roboto"/>
        </w:rPr>
        <w:t xml:space="preserve">Getz, D. (2012) </w:t>
      </w:r>
      <w:r w:rsidRPr="3A702886">
        <w:rPr>
          <w:rFonts w:ascii="Roboto" w:eastAsia="Roboto" w:hAnsi="Roboto" w:cs="Roboto"/>
          <w:i/>
          <w:iCs/>
        </w:rPr>
        <w:t>Event Studies: Theory, Research and Policy for Planned Events</w:t>
      </w:r>
      <w:r w:rsidRPr="3A702886">
        <w:rPr>
          <w:rFonts w:ascii="Roboto" w:eastAsia="Roboto" w:hAnsi="Roboto" w:cs="Roboto"/>
        </w:rPr>
        <w:t>. 2nd edn. London: Routledge.</w:t>
      </w:r>
    </w:p>
    <w:p w14:paraId="49CCD8F8" w14:textId="3AFB3D26" w:rsidR="11C3AC8A" w:rsidRDefault="2EB9DC46" w:rsidP="3A702886">
      <w:pPr>
        <w:spacing w:before="240" w:after="240"/>
      </w:pPr>
      <w:r w:rsidRPr="3A702886">
        <w:rPr>
          <w:rFonts w:ascii="Roboto" w:eastAsia="Roboto" w:hAnsi="Roboto" w:cs="Roboto"/>
        </w:rPr>
        <w:t xml:space="preserve">Pine, B.J. and Gilmore, J.H. (1999) </w:t>
      </w:r>
      <w:r w:rsidRPr="3A702886">
        <w:rPr>
          <w:rFonts w:ascii="Roboto" w:eastAsia="Roboto" w:hAnsi="Roboto" w:cs="Roboto"/>
          <w:i/>
          <w:iCs/>
        </w:rPr>
        <w:t>The Experience Economy</w:t>
      </w:r>
      <w:r w:rsidRPr="3A702886">
        <w:rPr>
          <w:rFonts w:ascii="Roboto" w:eastAsia="Roboto" w:hAnsi="Roboto" w:cs="Roboto"/>
        </w:rPr>
        <w:t>. Boston: Harvard Business School Press.</w:t>
      </w:r>
    </w:p>
    <w:p w14:paraId="0E819439" w14:textId="4AF38459" w:rsidR="11C3AC8A" w:rsidRDefault="2EB9DC46" w:rsidP="3A702886">
      <w:pPr>
        <w:spacing w:before="240" w:after="240"/>
      </w:pPr>
      <w:r w:rsidRPr="3A702886">
        <w:rPr>
          <w:rFonts w:ascii="Roboto" w:eastAsia="Roboto" w:hAnsi="Roboto" w:cs="Roboto"/>
        </w:rPr>
        <w:t xml:space="preserve">Shone, A. and Parry, B. (2013) </w:t>
      </w:r>
      <w:r w:rsidRPr="3A702886">
        <w:rPr>
          <w:rFonts w:ascii="Roboto" w:eastAsia="Roboto" w:hAnsi="Roboto" w:cs="Roboto"/>
          <w:i/>
          <w:iCs/>
        </w:rPr>
        <w:t>Successful Event Management: A Practical Handbook</w:t>
      </w:r>
      <w:r w:rsidRPr="3A702886">
        <w:rPr>
          <w:rFonts w:ascii="Roboto" w:eastAsia="Roboto" w:hAnsi="Roboto" w:cs="Roboto"/>
        </w:rPr>
        <w:t>. 4th edn. Andover: Cengage Learning.</w:t>
      </w:r>
    </w:p>
    <w:p w14:paraId="5FF863E9" w14:textId="670867EF" w:rsidR="11C3AC8A" w:rsidRDefault="2EB9DC46" w:rsidP="3A702886">
      <w:pPr>
        <w:spacing w:before="240" w:after="240"/>
      </w:pPr>
      <w:r w:rsidRPr="3A702886">
        <w:rPr>
          <w:rFonts w:ascii="Roboto" w:eastAsia="Roboto" w:hAnsi="Roboto" w:cs="Roboto"/>
        </w:rPr>
        <w:t xml:space="preserve">Silvers, J.R. (2012) </w:t>
      </w:r>
      <w:r w:rsidRPr="3A702886">
        <w:rPr>
          <w:rFonts w:ascii="Roboto" w:eastAsia="Roboto" w:hAnsi="Roboto" w:cs="Roboto"/>
          <w:i/>
          <w:iCs/>
        </w:rPr>
        <w:t>Risk Management for Meetings and Events</w:t>
      </w:r>
      <w:r w:rsidRPr="3A702886">
        <w:rPr>
          <w:rFonts w:ascii="Roboto" w:eastAsia="Roboto" w:hAnsi="Roboto" w:cs="Roboto"/>
        </w:rPr>
        <w:t>. Oxford: Butterworth-Heinemann.</w:t>
      </w:r>
    </w:p>
    <w:p w14:paraId="5CDF148C" w14:textId="1D6AF0E6" w:rsidR="11C3AC8A" w:rsidRDefault="2EB9DC46" w:rsidP="3A702886">
      <w:pPr>
        <w:spacing w:before="240" w:after="240"/>
      </w:pPr>
      <w:r w:rsidRPr="3A702886">
        <w:rPr>
          <w:rFonts w:ascii="Roboto" w:eastAsia="Roboto" w:hAnsi="Roboto" w:cs="Roboto"/>
        </w:rPr>
        <w:t xml:space="preserve">Tuckman, B.W. (1965) ‘Developmental sequence in small groups’, </w:t>
      </w:r>
      <w:r w:rsidRPr="3A702886">
        <w:rPr>
          <w:rFonts w:ascii="Roboto" w:eastAsia="Roboto" w:hAnsi="Roboto" w:cs="Roboto"/>
          <w:i/>
          <w:iCs/>
        </w:rPr>
        <w:t>Psychological Bulletin</w:t>
      </w:r>
      <w:r w:rsidRPr="3A702886">
        <w:rPr>
          <w:rFonts w:ascii="Roboto" w:eastAsia="Roboto" w:hAnsi="Roboto" w:cs="Roboto"/>
        </w:rPr>
        <w:t>, 63(6), pp. 384–399.</w:t>
      </w:r>
    </w:p>
    <w:p w14:paraId="185D49EC" w14:textId="3157BF64" w:rsidR="11C3AC8A" w:rsidRDefault="2EB9DC46" w:rsidP="3A702886">
      <w:pPr>
        <w:spacing w:before="240" w:after="240"/>
      </w:pPr>
      <w:r w:rsidRPr="3A702886">
        <w:rPr>
          <w:rFonts w:ascii="Roboto" w:eastAsia="Roboto" w:hAnsi="Roboto" w:cs="Roboto"/>
        </w:rPr>
        <w:t xml:space="preserve">Tum, J., Norton, </w:t>
      </w:r>
      <w:bookmarkStart w:id="7" w:name="_Int_8X51LytR"/>
      <w:r w:rsidRPr="3A702886">
        <w:rPr>
          <w:rFonts w:ascii="Roboto" w:eastAsia="Roboto" w:hAnsi="Roboto" w:cs="Roboto"/>
        </w:rPr>
        <w:t>P.</w:t>
      </w:r>
      <w:bookmarkEnd w:id="7"/>
      <w:r w:rsidRPr="3A702886">
        <w:rPr>
          <w:rFonts w:ascii="Roboto" w:eastAsia="Roboto" w:hAnsi="Roboto" w:cs="Roboto"/>
        </w:rPr>
        <w:t xml:space="preserve"> and Wright, J.N. (2006) </w:t>
      </w:r>
      <w:r w:rsidRPr="3A702886">
        <w:rPr>
          <w:rFonts w:ascii="Roboto" w:eastAsia="Roboto" w:hAnsi="Roboto" w:cs="Roboto"/>
          <w:i/>
          <w:iCs/>
        </w:rPr>
        <w:t>Management of Event Operations</w:t>
      </w:r>
      <w:r w:rsidRPr="3A702886">
        <w:rPr>
          <w:rFonts w:ascii="Roboto" w:eastAsia="Roboto" w:hAnsi="Roboto" w:cs="Roboto"/>
        </w:rPr>
        <w:t>. Oxford: Butterworth-Heinemann.</w:t>
      </w:r>
    </w:p>
    <w:p w14:paraId="13ED3D51" w14:textId="426D1DEA" w:rsidR="11C3AC8A" w:rsidRDefault="2EB9DC46" w:rsidP="3A702886">
      <w:pPr>
        <w:spacing w:before="240" w:after="240"/>
      </w:pPr>
      <w:r w:rsidRPr="3A702886">
        <w:rPr>
          <w:rFonts w:ascii="Roboto" w:eastAsia="Roboto" w:hAnsi="Roboto" w:cs="Roboto"/>
        </w:rPr>
        <w:lastRenderedPageBreak/>
        <w:t xml:space="preserve">Yeoman, I., Robertson, M., Ali-Knight, J., Drummond, S. and McMahon-Beattie, U. (2012) </w:t>
      </w:r>
      <w:r w:rsidRPr="3A702886">
        <w:rPr>
          <w:rFonts w:ascii="Roboto" w:eastAsia="Roboto" w:hAnsi="Roboto" w:cs="Roboto"/>
          <w:i/>
          <w:iCs/>
        </w:rPr>
        <w:t>Festival and Events Management: An International Arts and Culture Perspective</w:t>
      </w:r>
      <w:r w:rsidRPr="3A702886">
        <w:rPr>
          <w:rFonts w:ascii="Roboto" w:eastAsia="Roboto" w:hAnsi="Roboto" w:cs="Roboto"/>
        </w:rPr>
        <w:t>. Oxford: Routledge.</w:t>
      </w:r>
    </w:p>
    <w:sectPr w:rsidR="11C3AC8A">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719E6" w14:textId="77777777" w:rsidR="00886EC2" w:rsidRDefault="00886EC2">
      <w:pPr>
        <w:spacing w:after="0" w:line="240" w:lineRule="auto"/>
      </w:pPr>
      <w:r>
        <w:separator/>
      </w:r>
    </w:p>
  </w:endnote>
  <w:endnote w:type="continuationSeparator" w:id="0">
    <w:p w14:paraId="11B2A821" w14:textId="77777777" w:rsidR="00886EC2" w:rsidRDefault="00886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D00C59C" w14:paraId="46B49232" w14:textId="77777777" w:rsidTr="2D00C59C">
      <w:trPr>
        <w:trHeight w:val="300"/>
      </w:trPr>
      <w:tc>
        <w:tcPr>
          <w:tcW w:w="3005" w:type="dxa"/>
        </w:tcPr>
        <w:p w14:paraId="5FD7ED9F" w14:textId="4BC3CB99" w:rsidR="2D00C59C" w:rsidRDefault="2D00C59C" w:rsidP="2D00C59C">
          <w:pPr>
            <w:pStyle w:val="Header"/>
            <w:ind w:left="-115"/>
          </w:pPr>
        </w:p>
      </w:tc>
      <w:tc>
        <w:tcPr>
          <w:tcW w:w="3005" w:type="dxa"/>
        </w:tcPr>
        <w:p w14:paraId="5DBBECEE" w14:textId="0F2BAA6D" w:rsidR="2D00C59C" w:rsidRDefault="2D00C59C" w:rsidP="2D00C59C">
          <w:pPr>
            <w:pStyle w:val="Header"/>
            <w:jc w:val="center"/>
          </w:pPr>
          <w:r>
            <w:fldChar w:fldCharType="begin"/>
          </w:r>
          <w:r>
            <w:instrText>PAGE</w:instrText>
          </w:r>
          <w:r>
            <w:fldChar w:fldCharType="separate"/>
          </w:r>
          <w:r w:rsidR="00FF074C">
            <w:rPr>
              <w:noProof/>
            </w:rPr>
            <w:t>1</w:t>
          </w:r>
          <w:r>
            <w:fldChar w:fldCharType="end"/>
          </w:r>
          <w:r>
            <w:t xml:space="preserve"> of </w:t>
          </w:r>
          <w:r>
            <w:fldChar w:fldCharType="begin"/>
          </w:r>
          <w:r>
            <w:instrText>NUMPAGES</w:instrText>
          </w:r>
          <w:r>
            <w:fldChar w:fldCharType="separate"/>
          </w:r>
          <w:r w:rsidR="00FF074C">
            <w:rPr>
              <w:noProof/>
            </w:rPr>
            <w:t>2</w:t>
          </w:r>
          <w:r>
            <w:fldChar w:fldCharType="end"/>
          </w:r>
        </w:p>
      </w:tc>
      <w:tc>
        <w:tcPr>
          <w:tcW w:w="3005" w:type="dxa"/>
        </w:tcPr>
        <w:p w14:paraId="6402B155" w14:textId="28D6A8DA" w:rsidR="2D00C59C" w:rsidRDefault="2D00C59C" w:rsidP="2D00C59C">
          <w:pPr>
            <w:pStyle w:val="Header"/>
            <w:ind w:right="-115"/>
            <w:jc w:val="right"/>
          </w:pPr>
        </w:p>
      </w:tc>
    </w:tr>
  </w:tbl>
  <w:p w14:paraId="551D4DC4" w14:textId="2ECF23E3" w:rsidR="2D00C59C" w:rsidRDefault="2D00C59C" w:rsidP="2D00C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6D64B" w14:textId="77777777" w:rsidR="00886EC2" w:rsidRDefault="00886EC2">
      <w:pPr>
        <w:spacing w:after="0" w:line="240" w:lineRule="auto"/>
      </w:pPr>
      <w:r>
        <w:separator/>
      </w:r>
    </w:p>
  </w:footnote>
  <w:footnote w:type="continuationSeparator" w:id="0">
    <w:p w14:paraId="12DB7B90" w14:textId="77777777" w:rsidR="00886EC2" w:rsidRDefault="00886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D00C59C" w14:paraId="3764F14C" w14:textId="77777777" w:rsidTr="2D00C59C">
      <w:trPr>
        <w:trHeight w:val="300"/>
      </w:trPr>
      <w:tc>
        <w:tcPr>
          <w:tcW w:w="3005" w:type="dxa"/>
        </w:tcPr>
        <w:p w14:paraId="45DB69EB" w14:textId="66092B7F" w:rsidR="2D00C59C" w:rsidRDefault="2D00C59C" w:rsidP="2D00C59C">
          <w:pPr>
            <w:pStyle w:val="Header"/>
            <w:ind w:left="-115"/>
          </w:pPr>
          <w:r w:rsidRPr="2D00C59C">
            <w:rPr>
              <w:rFonts w:ascii="Aptos" w:eastAsia="Aptos" w:hAnsi="Aptos" w:cs="Aptos"/>
              <w:color w:val="000000" w:themeColor="text1"/>
            </w:rPr>
            <w:t>BMTP5021: Live Events Project</w:t>
          </w:r>
        </w:p>
      </w:tc>
      <w:tc>
        <w:tcPr>
          <w:tcW w:w="3005" w:type="dxa"/>
        </w:tcPr>
        <w:p w14:paraId="6673A7D1" w14:textId="77298C78" w:rsidR="2D00C59C" w:rsidRDefault="2D00C59C" w:rsidP="2D00C59C">
          <w:pPr>
            <w:pStyle w:val="Header"/>
            <w:jc w:val="center"/>
          </w:pPr>
        </w:p>
      </w:tc>
      <w:tc>
        <w:tcPr>
          <w:tcW w:w="3005" w:type="dxa"/>
        </w:tcPr>
        <w:p w14:paraId="2CBBF8E1" w14:textId="6C1CA5A5" w:rsidR="2D00C59C" w:rsidRDefault="2D00C59C" w:rsidP="2D00C59C">
          <w:pPr>
            <w:pStyle w:val="Header"/>
            <w:ind w:right="-115"/>
            <w:jc w:val="right"/>
          </w:pPr>
          <w:r>
            <w:t>Andrew Jones</w:t>
          </w:r>
        </w:p>
      </w:tc>
    </w:tr>
  </w:tbl>
  <w:p w14:paraId="3E7C6FA9" w14:textId="696C5F9A" w:rsidR="2D00C59C" w:rsidRDefault="2D00C59C" w:rsidP="2D00C59C">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zw1CCyzv">
      <int2:state int2:value="Rejected" int2:type="spell"/>
    </int2:textHash>
    <int2:bookmark int2:bookmarkName="_Int_K31tq9fy" int2:invalidationBookmarkName="" int2:hashCode="vTQ6RQCQf2J9Ff" int2:id="k3r3Lh0C">
      <int2:state int2:value="Rejected" int2:type="style"/>
    </int2:bookmark>
    <int2:bookmark int2:bookmarkName="_Int_Q68OjoWM" int2:invalidationBookmarkName="" int2:hashCode="vTQ6RQCQf2J9Ff" int2:id="3zCvTfIC">
      <int2:state int2:value="Rejected" int2:type="style"/>
    </int2:bookmark>
    <int2:bookmark int2:bookmarkName="_Int_g2QCP87Y" int2:invalidationBookmarkName="" int2:hashCode="PeUh02GRVekij4" int2:id="SddLphbk">
      <int2:state int2:value="Rejected" int2:type="gram"/>
    </int2:bookmark>
    <int2:bookmark int2:bookmarkName="_Int_8X51LytR" int2:invalidationBookmarkName="" int2:hashCode="Hx+zZ2Wa1AxG0O" int2:id="vp1lVNHl">
      <int2:state int2:value="Rejected" int2:type="style"/>
    </int2:bookmark>
    <int2:bookmark int2:bookmarkName="_Int_DJtglnap" int2:invalidationBookmarkName="" int2:hashCode="d/hG+iXuH0JdFC" int2:id="YMAZM4Fb">
      <int2:state int2:value="Rejected" int2:type="style"/>
    </int2:bookmark>
    <int2:bookmark int2:bookmarkName="_Int_1mSltiw9" int2:invalidationBookmarkName="" int2:hashCode="d/hG+iXuH0JdFC" int2:id="QKxSV5U2">
      <int2:state int2:value="Rejected" int2:type="style"/>
    </int2:bookmark>
    <int2:bookmark int2:bookmarkName="_Int_ayq5gae6" int2:invalidationBookmarkName="" int2:hashCode="rs0v0mX77AlojU" int2:id="X6l5IukZ">
      <int2:state int2:value="Rejected" int2:type="style"/>
    </int2:bookmark>
    <int2:bookmark int2:bookmarkName="_Int_N8Hgtg6Z" int2:invalidationBookmarkName="" int2:hashCode="PeUh02GRVekij4" int2:id="HWZtKsr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40A29"/>
    <w:multiLevelType w:val="hybridMultilevel"/>
    <w:tmpl w:val="3F86489A"/>
    <w:lvl w:ilvl="0" w:tplc="A4D4E5B0">
      <w:start w:val="1"/>
      <w:numFmt w:val="bullet"/>
      <w:lvlText w:val=""/>
      <w:lvlJc w:val="left"/>
      <w:pPr>
        <w:ind w:left="720" w:hanging="360"/>
      </w:pPr>
      <w:rPr>
        <w:rFonts w:ascii="Symbol" w:hAnsi="Symbol" w:hint="default"/>
      </w:rPr>
    </w:lvl>
    <w:lvl w:ilvl="1" w:tplc="2C5E6182">
      <w:start w:val="1"/>
      <w:numFmt w:val="bullet"/>
      <w:lvlText w:val="o"/>
      <w:lvlJc w:val="left"/>
      <w:pPr>
        <w:ind w:left="1440" w:hanging="360"/>
      </w:pPr>
      <w:rPr>
        <w:rFonts w:ascii="Courier New" w:hAnsi="Courier New" w:hint="default"/>
      </w:rPr>
    </w:lvl>
    <w:lvl w:ilvl="2" w:tplc="4F04BF88">
      <w:start w:val="1"/>
      <w:numFmt w:val="bullet"/>
      <w:lvlText w:val=""/>
      <w:lvlJc w:val="left"/>
      <w:pPr>
        <w:ind w:left="2160" w:hanging="360"/>
      </w:pPr>
      <w:rPr>
        <w:rFonts w:ascii="Wingdings" w:hAnsi="Wingdings" w:hint="default"/>
      </w:rPr>
    </w:lvl>
    <w:lvl w:ilvl="3" w:tplc="69986CC4">
      <w:start w:val="1"/>
      <w:numFmt w:val="bullet"/>
      <w:lvlText w:val=""/>
      <w:lvlJc w:val="left"/>
      <w:pPr>
        <w:ind w:left="2880" w:hanging="360"/>
      </w:pPr>
      <w:rPr>
        <w:rFonts w:ascii="Symbol" w:hAnsi="Symbol" w:hint="default"/>
      </w:rPr>
    </w:lvl>
    <w:lvl w:ilvl="4" w:tplc="1540C0D0">
      <w:start w:val="1"/>
      <w:numFmt w:val="bullet"/>
      <w:lvlText w:val="o"/>
      <w:lvlJc w:val="left"/>
      <w:pPr>
        <w:ind w:left="3600" w:hanging="360"/>
      </w:pPr>
      <w:rPr>
        <w:rFonts w:ascii="Courier New" w:hAnsi="Courier New" w:hint="default"/>
      </w:rPr>
    </w:lvl>
    <w:lvl w:ilvl="5" w:tplc="8D2EA568">
      <w:start w:val="1"/>
      <w:numFmt w:val="bullet"/>
      <w:lvlText w:val=""/>
      <w:lvlJc w:val="left"/>
      <w:pPr>
        <w:ind w:left="4320" w:hanging="360"/>
      </w:pPr>
      <w:rPr>
        <w:rFonts w:ascii="Wingdings" w:hAnsi="Wingdings" w:hint="default"/>
      </w:rPr>
    </w:lvl>
    <w:lvl w:ilvl="6" w:tplc="09F8AB9C">
      <w:start w:val="1"/>
      <w:numFmt w:val="bullet"/>
      <w:lvlText w:val=""/>
      <w:lvlJc w:val="left"/>
      <w:pPr>
        <w:ind w:left="5040" w:hanging="360"/>
      </w:pPr>
      <w:rPr>
        <w:rFonts w:ascii="Symbol" w:hAnsi="Symbol" w:hint="default"/>
      </w:rPr>
    </w:lvl>
    <w:lvl w:ilvl="7" w:tplc="11A8C9F2">
      <w:start w:val="1"/>
      <w:numFmt w:val="bullet"/>
      <w:lvlText w:val="o"/>
      <w:lvlJc w:val="left"/>
      <w:pPr>
        <w:ind w:left="5760" w:hanging="360"/>
      </w:pPr>
      <w:rPr>
        <w:rFonts w:ascii="Courier New" w:hAnsi="Courier New" w:hint="default"/>
      </w:rPr>
    </w:lvl>
    <w:lvl w:ilvl="8" w:tplc="05C22A2E">
      <w:start w:val="1"/>
      <w:numFmt w:val="bullet"/>
      <w:lvlText w:val=""/>
      <w:lvlJc w:val="left"/>
      <w:pPr>
        <w:ind w:left="6480" w:hanging="360"/>
      </w:pPr>
      <w:rPr>
        <w:rFonts w:ascii="Wingdings" w:hAnsi="Wingdings" w:hint="default"/>
      </w:rPr>
    </w:lvl>
  </w:abstractNum>
  <w:abstractNum w:abstractNumId="1" w15:restartNumberingAfterBreak="0">
    <w:nsid w:val="229F0F44"/>
    <w:multiLevelType w:val="hybridMultilevel"/>
    <w:tmpl w:val="F7C4AB74"/>
    <w:lvl w:ilvl="0" w:tplc="17E6557A">
      <w:start w:val="1"/>
      <w:numFmt w:val="bullet"/>
      <w:lvlText w:val=""/>
      <w:lvlJc w:val="left"/>
      <w:pPr>
        <w:ind w:left="720" w:hanging="360"/>
      </w:pPr>
      <w:rPr>
        <w:rFonts w:ascii="Symbol" w:hAnsi="Symbol" w:hint="default"/>
      </w:rPr>
    </w:lvl>
    <w:lvl w:ilvl="1" w:tplc="B5643406">
      <w:start w:val="1"/>
      <w:numFmt w:val="bullet"/>
      <w:lvlText w:val="o"/>
      <w:lvlJc w:val="left"/>
      <w:pPr>
        <w:ind w:left="1440" w:hanging="360"/>
      </w:pPr>
      <w:rPr>
        <w:rFonts w:ascii="Courier New" w:hAnsi="Courier New" w:hint="default"/>
      </w:rPr>
    </w:lvl>
    <w:lvl w:ilvl="2" w:tplc="17DC96B0">
      <w:start w:val="1"/>
      <w:numFmt w:val="bullet"/>
      <w:lvlText w:val=""/>
      <w:lvlJc w:val="left"/>
      <w:pPr>
        <w:ind w:left="2160" w:hanging="360"/>
      </w:pPr>
      <w:rPr>
        <w:rFonts w:ascii="Wingdings" w:hAnsi="Wingdings" w:hint="default"/>
      </w:rPr>
    </w:lvl>
    <w:lvl w:ilvl="3" w:tplc="60E0CD56">
      <w:start w:val="1"/>
      <w:numFmt w:val="bullet"/>
      <w:lvlText w:val=""/>
      <w:lvlJc w:val="left"/>
      <w:pPr>
        <w:ind w:left="2880" w:hanging="360"/>
      </w:pPr>
      <w:rPr>
        <w:rFonts w:ascii="Symbol" w:hAnsi="Symbol" w:hint="default"/>
      </w:rPr>
    </w:lvl>
    <w:lvl w:ilvl="4" w:tplc="E682BF88">
      <w:start w:val="1"/>
      <w:numFmt w:val="bullet"/>
      <w:lvlText w:val="o"/>
      <w:lvlJc w:val="left"/>
      <w:pPr>
        <w:ind w:left="3600" w:hanging="360"/>
      </w:pPr>
      <w:rPr>
        <w:rFonts w:ascii="Courier New" w:hAnsi="Courier New" w:hint="default"/>
      </w:rPr>
    </w:lvl>
    <w:lvl w:ilvl="5" w:tplc="3A483652">
      <w:start w:val="1"/>
      <w:numFmt w:val="bullet"/>
      <w:lvlText w:val=""/>
      <w:lvlJc w:val="left"/>
      <w:pPr>
        <w:ind w:left="4320" w:hanging="360"/>
      </w:pPr>
      <w:rPr>
        <w:rFonts w:ascii="Wingdings" w:hAnsi="Wingdings" w:hint="default"/>
      </w:rPr>
    </w:lvl>
    <w:lvl w:ilvl="6" w:tplc="4462F408">
      <w:start w:val="1"/>
      <w:numFmt w:val="bullet"/>
      <w:lvlText w:val=""/>
      <w:lvlJc w:val="left"/>
      <w:pPr>
        <w:ind w:left="5040" w:hanging="360"/>
      </w:pPr>
      <w:rPr>
        <w:rFonts w:ascii="Symbol" w:hAnsi="Symbol" w:hint="default"/>
      </w:rPr>
    </w:lvl>
    <w:lvl w:ilvl="7" w:tplc="74B8226A">
      <w:start w:val="1"/>
      <w:numFmt w:val="bullet"/>
      <w:lvlText w:val="o"/>
      <w:lvlJc w:val="left"/>
      <w:pPr>
        <w:ind w:left="5760" w:hanging="360"/>
      </w:pPr>
      <w:rPr>
        <w:rFonts w:ascii="Courier New" w:hAnsi="Courier New" w:hint="default"/>
      </w:rPr>
    </w:lvl>
    <w:lvl w:ilvl="8" w:tplc="8B584C36">
      <w:start w:val="1"/>
      <w:numFmt w:val="bullet"/>
      <w:lvlText w:val=""/>
      <w:lvlJc w:val="left"/>
      <w:pPr>
        <w:ind w:left="6480" w:hanging="360"/>
      </w:pPr>
      <w:rPr>
        <w:rFonts w:ascii="Wingdings" w:hAnsi="Wingdings" w:hint="default"/>
      </w:rPr>
    </w:lvl>
  </w:abstractNum>
  <w:abstractNum w:abstractNumId="2" w15:restartNumberingAfterBreak="0">
    <w:nsid w:val="2932AC16"/>
    <w:multiLevelType w:val="hybridMultilevel"/>
    <w:tmpl w:val="05FCD010"/>
    <w:lvl w:ilvl="0" w:tplc="8678163E">
      <w:start w:val="1"/>
      <w:numFmt w:val="bullet"/>
      <w:lvlText w:val=""/>
      <w:lvlJc w:val="left"/>
      <w:pPr>
        <w:ind w:left="720" w:hanging="360"/>
      </w:pPr>
      <w:rPr>
        <w:rFonts w:ascii="Symbol" w:hAnsi="Symbol" w:hint="default"/>
      </w:rPr>
    </w:lvl>
    <w:lvl w:ilvl="1" w:tplc="98A0A20A">
      <w:start w:val="1"/>
      <w:numFmt w:val="bullet"/>
      <w:lvlText w:val="o"/>
      <w:lvlJc w:val="left"/>
      <w:pPr>
        <w:ind w:left="1440" w:hanging="360"/>
      </w:pPr>
      <w:rPr>
        <w:rFonts w:ascii="Courier New" w:hAnsi="Courier New" w:hint="default"/>
      </w:rPr>
    </w:lvl>
    <w:lvl w:ilvl="2" w:tplc="D89A0D7C">
      <w:start w:val="1"/>
      <w:numFmt w:val="bullet"/>
      <w:lvlText w:val=""/>
      <w:lvlJc w:val="left"/>
      <w:pPr>
        <w:ind w:left="2160" w:hanging="360"/>
      </w:pPr>
      <w:rPr>
        <w:rFonts w:ascii="Wingdings" w:hAnsi="Wingdings" w:hint="default"/>
      </w:rPr>
    </w:lvl>
    <w:lvl w:ilvl="3" w:tplc="888E5346">
      <w:start w:val="1"/>
      <w:numFmt w:val="bullet"/>
      <w:lvlText w:val=""/>
      <w:lvlJc w:val="left"/>
      <w:pPr>
        <w:ind w:left="2880" w:hanging="360"/>
      </w:pPr>
      <w:rPr>
        <w:rFonts w:ascii="Symbol" w:hAnsi="Symbol" w:hint="default"/>
      </w:rPr>
    </w:lvl>
    <w:lvl w:ilvl="4" w:tplc="0F2EB57C">
      <w:start w:val="1"/>
      <w:numFmt w:val="bullet"/>
      <w:lvlText w:val="o"/>
      <w:lvlJc w:val="left"/>
      <w:pPr>
        <w:ind w:left="3600" w:hanging="360"/>
      </w:pPr>
      <w:rPr>
        <w:rFonts w:ascii="Courier New" w:hAnsi="Courier New" w:hint="default"/>
      </w:rPr>
    </w:lvl>
    <w:lvl w:ilvl="5" w:tplc="D7EE7C5A">
      <w:start w:val="1"/>
      <w:numFmt w:val="bullet"/>
      <w:lvlText w:val=""/>
      <w:lvlJc w:val="left"/>
      <w:pPr>
        <w:ind w:left="4320" w:hanging="360"/>
      </w:pPr>
      <w:rPr>
        <w:rFonts w:ascii="Wingdings" w:hAnsi="Wingdings" w:hint="default"/>
      </w:rPr>
    </w:lvl>
    <w:lvl w:ilvl="6" w:tplc="1032C75A">
      <w:start w:val="1"/>
      <w:numFmt w:val="bullet"/>
      <w:lvlText w:val=""/>
      <w:lvlJc w:val="left"/>
      <w:pPr>
        <w:ind w:left="5040" w:hanging="360"/>
      </w:pPr>
      <w:rPr>
        <w:rFonts w:ascii="Symbol" w:hAnsi="Symbol" w:hint="default"/>
      </w:rPr>
    </w:lvl>
    <w:lvl w:ilvl="7" w:tplc="4754BB0C">
      <w:start w:val="1"/>
      <w:numFmt w:val="bullet"/>
      <w:lvlText w:val="o"/>
      <w:lvlJc w:val="left"/>
      <w:pPr>
        <w:ind w:left="5760" w:hanging="360"/>
      </w:pPr>
      <w:rPr>
        <w:rFonts w:ascii="Courier New" w:hAnsi="Courier New" w:hint="default"/>
      </w:rPr>
    </w:lvl>
    <w:lvl w:ilvl="8" w:tplc="645EEE0C">
      <w:start w:val="1"/>
      <w:numFmt w:val="bullet"/>
      <w:lvlText w:val=""/>
      <w:lvlJc w:val="left"/>
      <w:pPr>
        <w:ind w:left="6480" w:hanging="360"/>
      </w:pPr>
      <w:rPr>
        <w:rFonts w:ascii="Wingdings" w:hAnsi="Wingdings" w:hint="default"/>
      </w:rPr>
    </w:lvl>
  </w:abstractNum>
  <w:num w:numId="1" w16cid:durableId="1409233616">
    <w:abstractNumId w:val="0"/>
  </w:num>
  <w:num w:numId="2" w16cid:durableId="775100343">
    <w:abstractNumId w:val="1"/>
  </w:num>
  <w:num w:numId="3" w16cid:durableId="528684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D14B9D"/>
    <w:rsid w:val="003B36B9"/>
    <w:rsid w:val="00886EC2"/>
    <w:rsid w:val="00FF074C"/>
    <w:rsid w:val="0311C4C3"/>
    <w:rsid w:val="03984AAA"/>
    <w:rsid w:val="03A2A5FA"/>
    <w:rsid w:val="04BC0AA4"/>
    <w:rsid w:val="055303EE"/>
    <w:rsid w:val="0579A0C6"/>
    <w:rsid w:val="0637EEF4"/>
    <w:rsid w:val="06984B20"/>
    <w:rsid w:val="077175E5"/>
    <w:rsid w:val="0919BB6A"/>
    <w:rsid w:val="09332C8F"/>
    <w:rsid w:val="0A15585F"/>
    <w:rsid w:val="0AB516FF"/>
    <w:rsid w:val="0BEA2F4D"/>
    <w:rsid w:val="0D02F084"/>
    <w:rsid w:val="11702D81"/>
    <w:rsid w:val="11C3AC8A"/>
    <w:rsid w:val="11E0E6D8"/>
    <w:rsid w:val="15EBEAF2"/>
    <w:rsid w:val="17EFF578"/>
    <w:rsid w:val="1A8D3000"/>
    <w:rsid w:val="1B6C0ACE"/>
    <w:rsid w:val="1C11BC1E"/>
    <w:rsid w:val="1E126D9F"/>
    <w:rsid w:val="203CB11E"/>
    <w:rsid w:val="206C73E3"/>
    <w:rsid w:val="2154E653"/>
    <w:rsid w:val="21C81C4C"/>
    <w:rsid w:val="21EE97AD"/>
    <w:rsid w:val="22447886"/>
    <w:rsid w:val="2385D3E4"/>
    <w:rsid w:val="23E3D70C"/>
    <w:rsid w:val="23F3075C"/>
    <w:rsid w:val="2513ADBB"/>
    <w:rsid w:val="2530BFA2"/>
    <w:rsid w:val="260586C2"/>
    <w:rsid w:val="262DA9EC"/>
    <w:rsid w:val="26668A3D"/>
    <w:rsid w:val="2769A1AF"/>
    <w:rsid w:val="29DDB2A8"/>
    <w:rsid w:val="2A579B4A"/>
    <w:rsid w:val="2AC73841"/>
    <w:rsid w:val="2AE1ED4F"/>
    <w:rsid w:val="2B0F5C4B"/>
    <w:rsid w:val="2C5E50AE"/>
    <w:rsid w:val="2CF1FA8A"/>
    <w:rsid w:val="2D00C59C"/>
    <w:rsid w:val="2D58854E"/>
    <w:rsid w:val="2DB452A6"/>
    <w:rsid w:val="2EB9DC46"/>
    <w:rsid w:val="316FBF8F"/>
    <w:rsid w:val="32EE73BC"/>
    <w:rsid w:val="330D04CD"/>
    <w:rsid w:val="33C007A4"/>
    <w:rsid w:val="3675FE3F"/>
    <w:rsid w:val="372FA75D"/>
    <w:rsid w:val="3914BCEE"/>
    <w:rsid w:val="3A702886"/>
    <w:rsid w:val="3AD14B9D"/>
    <w:rsid w:val="3AE8935A"/>
    <w:rsid w:val="3C34465D"/>
    <w:rsid w:val="3CFDEF16"/>
    <w:rsid w:val="3EF64F72"/>
    <w:rsid w:val="4045A3A4"/>
    <w:rsid w:val="4074C4BE"/>
    <w:rsid w:val="40E633EB"/>
    <w:rsid w:val="4203FAC8"/>
    <w:rsid w:val="424E0818"/>
    <w:rsid w:val="42C0715D"/>
    <w:rsid w:val="444B916B"/>
    <w:rsid w:val="444C420C"/>
    <w:rsid w:val="44EC7D74"/>
    <w:rsid w:val="4A111C0A"/>
    <w:rsid w:val="4D9CA47E"/>
    <w:rsid w:val="4F10440B"/>
    <w:rsid w:val="4F202FBD"/>
    <w:rsid w:val="4F354374"/>
    <w:rsid w:val="564888B3"/>
    <w:rsid w:val="57996FDA"/>
    <w:rsid w:val="5AEE9683"/>
    <w:rsid w:val="5B8A39A1"/>
    <w:rsid w:val="5E120A55"/>
    <w:rsid w:val="5EB6E91F"/>
    <w:rsid w:val="600F2A95"/>
    <w:rsid w:val="616B9E4F"/>
    <w:rsid w:val="627A725A"/>
    <w:rsid w:val="65A8C9C7"/>
    <w:rsid w:val="66243055"/>
    <w:rsid w:val="664D6230"/>
    <w:rsid w:val="6682DF16"/>
    <w:rsid w:val="6685D63B"/>
    <w:rsid w:val="67BB7F64"/>
    <w:rsid w:val="68020D82"/>
    <w:rsid w:val="6A1CF4AC"/>
    <w:rsid w:val="6B0EECE0"/>
    <w:rsid w:val="6BD5DEB8"/>
    <w:rsid w:val="6C9BCE43"/>
    <w:rsid w:val="6CC33071"/>
    <w:rsid w:val="6CF69666"/>
    <w:rsid w:val="6EDE242E"/>
    <w:rsid w:val="71C8F2FE"/>
    <w:rsid w:val="72173996"/>
    <w:rsid w:val="74ADA201"/>
    <w:rsid w:val="74DFFB3F"/>
    <w:rsid w:val="761907F8"/>
    <w:rsid w:val="765085FF"/>
    <w:rsid w:val="77E44303"/>
    <w:rsid w:val="7835A8D7"/>
    <w:rsid w:val="78431C55"/>
    <w:rsid w:val="78DD23F7"/>
    <w:rsid w:val="79D1B48E"/>
    <w:rsid w:val="7D94C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14B9D"/>
  <w15:chartTrackingRefBased/>
  <w15:docId w15:val="{3F7B58D8-1EF8-4FB3-80F8-B4764BB1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1C3A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1C3A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D00C59C"/>
    <w:pPr>
      <w:tabs>
        <w:tab w:val="center" w:pos="4680"/>
        <w:tab w:val="right" w:pos="9360"/>
      </w:tabs>
      <w:spacing w:after="0" w:line="240" w:lineRule="auto"/>
    </w:pPr>
  </w:style>
  <w:style w:type="paragraph" w:styleId="Footer">
    <w:name w:val="footer"/>
    <w:basedOn w:val="Normal"/>
    <w:uiPriority w:val="99"/>
    <w:unhideWhenUsed/>
    <w:rsid w:val="2D00C59C"/>
    <w:pPr>
      <w:tabs>
        <w:tab w:val="center" w:pos="4680"/>
        <w:tab w:val="right" w:pos="9360"/>
      </w:tabs>
      <w:spacing w:after="0" w:line="240" w:lineRule="auto"/>
    </w:pPr>
  </w:style>
  <w:style w:type="character" w:styleId="Hyperlink">
    <w:name w:val="Hyperlink"/>
    <w:basedOn w:val="DefaultParagraphFont"/>
    <w:uiPriority w:val="99"/>
    <w:unhideWhenUsed/>
    <w:rsid w:val="2D00C59C"/>
    <w:rPr>
      <w:color w:val="467886"/>
      <w:u w:val="single"/>
    </w:rPr>
  </w:style>
  <w:style w:type="paragraph" w:styleId="ListParagraph">
    <w:name w:val="List Paragraph"/>
    <w:basedOn w:val="Normal"/>
    <w:uiPriority w:val="34"/>
    <w:qFormat/>
    <w:rsid w:val="2D00C59C"/>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rsid w:val="3A702886"/>
    <w:pPr>
      <w:spacing w:after="80" w:line="240" w:lineRule="auto"/>
      <w:contextualSpacing/>
    </w:pPr>
    <w:rPr>
      <w:rFonts w:asciiTheme="majorHAnsi" w:eastAsiaTheme="majorEastAsia" w:hAnsiTheme="majorHAnsi" w:cstheme="majorBidi"/>
      <w:sz w:val="56"/>
      <w:szCs w:val="56"/>
    </w:rPr>
  </w:style>
  <w:style w:type="character" w:styleId="UnresolvedMention">
    <w:name w:val="Unresolved Mention"/>
    <w:basedOn w:val="DefaultParagraphFont"/>
    <w:uiPriority w:val="99"/>
    <w:semiHidden/>
    <w:unhideWhenUsed/>
    <w:rsid w:val="00FF074C"/>
    <w:rPr>
      <w:color w:val="605E5C"/>
      <w:shd w:val="clear" w:color="auto" w:fill="E1DFDD"/>
    </w:rPr>
  </w:style>
  <w:style w:type="character" w:styleId="FollowedHyperlink">
    <w:name w:val="FollowedHyperlink"/>
    <w:basedOn w:val="DefaultParagraphFont"/>
    <w:uiPriority w:val="99"/>
    <w:semiHidden/>
    <w:unhideWhenUsed/>
    <w:rsid w:val="00FF07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anva.link/5hilwj5na0sced2"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1426</Words>
  <Characters>8129</Characters>
  <Application>Microsoft Office Word</Application>
  <DocSecurity>0</DocSecurity>
  <Lines>67</Lines>
  <Paragraphs>19</Paragraphs>
  <ScaleCrop>false</ScaleCrop>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Jones (2318163)</dc:creator>
  <cp:keywords/>
  <dc:description/>
  <cp:lastModifiedBy>Andrew Jones (2318163)</cp:lastModifiedBy>
  <cp:revision>2</cp:revision>
  <dcterms:created xsi:type="dcterms:W3CDTF">2026-05-10T20:23:00Z</dcterms:created>
  <dcterms:modified xsi:type="dcterms:W3CDTF">2026-05-10T20:23:00Z</dcterms:modified>
</cp:coreProperties>
</file>