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31BE76" w14:textId="77777777" w:rsidR="004E7553" w:rsidRDefault="004E7553">
      <w:pPr>
        <w:rPr>
          <w:rFonts w:ascii="Times New Roman" w:hAnsi="Times New Roman" w:cs="Times New Roman"/>
          <w:b/>
          <w:sz w:val="24"/>
          <w:szCs w:val="24"/>
          <w:u w:val="single"/>
          <w:lang w:val="de-CH"/>
        </w:rPr>
      </w:pPr>
    </w:p>
    <w:p w14:paraId="684F49DA" w14:textId="77777777" w:rsidR="005D7BD1" w:rsidRDefault="005D7BD1" w:rsidP="005D7BD1">
      <w:pPr>
        <w:pStyle w:val="Standard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602C6B90" wp14:editId="2327570B">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4D120F6" w14:textId="77777777" w:rsidR="005D7BD1" w:rsidRDefault="005D7BD1" w:rsidP="005D7BD1">
      <w:pPr>
        <w:pStyle w:val="berschrift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25EA655F" w14:textId="77777777" w:rsidR="005D7BD1" w:rsidRPr="002E67CE" w:rsidRDefault="005D7BD1" w:rsidP="005D7BD1">
      <w:pPr>
        <w:rPr>
          <w:lang w:val="cy-GB"/>
        </w:rPr>
      </w:pPr>
    </w:p>
    <w:p w14:paraId="2C3FA57C" w14:textId="77777777" w:rsidR="005D7BD1" w:rsidRDefault="005D7BD1" w:rsidP="005D7BD1">
      <w:pPr>
        <w:pStyle w:val="berschrift3"/>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5D7BD1" w:rsidRPr="002F467C" w14:paraId="73E88DF5" w14:textId="77777777" w:rsidTr="00FB7E3F">
        <w:trPr>
          <w:gridAfter w:val="1"/>
          <w:wAfter w:w="101" w:type="dxa"/>
          <w:trHeight w:val="614"/>
        </w:trPr>
        <w:tc>
          <w:tcPr>
            <w:tcW w:w="8755" w:type="dxa"/>
            <w:gridSpan w:val="6"/>
          </w:tcPr>
          <w:p w14:paraId="20BC53D3"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5D7BD1" w:rsidRPr="002F467C" w14:paraId="49255A38" w14:textId="77777777" w:rsidTr="00FB7E3F">
        <w:trPr>
          <w:gridAfter w:val="1"/>
          <w:wAfter w:w="101" w:type="dxa"/>
          <w:trHeight w:val="718"/>
        </w:trPr>
        <w:tc>
          <w:tcPr>
            <w:tcW w:w="8755" w:type="dxa"/>
            <w:gridSpan w:val="6"/>
          </w:tcPr>
          <w:p w14:paraId="3B9AD4B5"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p>
          <w:p w14:paraId="3DDF0264" w14:textId="77777777" w:rsidR="005D7BD1" w:rsidRDefault="005D7BD1" w:rsidP="00FB7E3F">
            <w:pPr>
              <w:pStyle w:val="StandardWeb"/>
              <w:spacing w:before="0" w:beforeAutospacing="0" w:after="0" w:afterAutospacing="0"/>
              <w:ind w:right="34"/>
              <w:rPr>
                <w:rFonts w:ascii="Calibri" w:hAnsi="Calibri" w:cs="Tahoma"/>
                <w:i/>
                <w:sz w:val="24"/>
                <w:szCs w:val="24"/>
              </w:rPr>
            </w:pPr>
          </w:p>
          <w:p w14:paraId="2F6B799D"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p>
        </w:tc>
      </w:tr>
      <w:tr w:rsidR="005D7BD1" w:rsidRPr="002F467C" w14:paraId="2654D3F4" w14:textId="77777777" w:rsidTr="00FB7E3F">
        <w:trPr>
          <w:gridAfter w:val="1"/>
          <w:wAfter w:w="101" w:type="dxa"/>
          <w:trHeight w:val="849"/>
        </w:trPr>
        <w:tc>
          <w:tcPr>
            <w:tcW w:w="4788" w:type="dxa"/>
          </w:tcPr>
          <w:p w14:paraId="3902FC8C" w14:textId="77777777" w:rsidR="005D7BD1" w:rsidRDefault="005D7BD1" w:rsidP="00FB7E3F">
            <w:pPr>
              <w:pStyle w:val="StandardWeb"/>
              <w:spacing w:before="0" w:beforeAutospacing="0" w:after="0" w:afterAutospacing="0"/>
              <w:ind w:right="34"/>
              <w:rPr>
                <w:rFonts w:ascii="Calibri" w:hAnsi="Calibri" w:cs="Tahoma"/>
                <w:i/>
                <w:sz w:val="24"/>
                <w:szCs w:val="24"/>
              </w:rPr>
            </w:pPr>
          </w:p>
          <w:p w14:paraId="429F5768"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p>
        </w:tc>
        <w:tc>
          <w:tcPr>
            <w:tcW w:w="2266" w:type="dxa"/>
            <w:gridSpan w:val="4"/>
          </w:tcPr>
          <w:p w14:paraId="75E914BC"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tc>
        <w:tc>
          <w:tcPr>
            <w:tcW w:w="1701" w:type="dxa"/>
          </w:tcPr>
          <w:p w14:paraId="09CD55FA"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25681E08"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Yes/No</w:t>
            </w:r>
          </w:p>
        </w:tc>
      </w:tr>
      <w:tr w:rsidR="005D7BD1" w:rsidRPr="002F467C" w14:paraId="723326C6" w14:textId="77777777" w:rsidTr="00FB7E3F">
        <w:trPr>
          <w:gridAfter w:val="1"/>
          <w:wAfter w:w="101" w:type="dxa"/>
          <w:trHeight w:val="820"/>
        </w:trPr>
        <w:tc>
          <w:tcPr>
            <w:tcW w:w="8755" w:type="dxa"/>
            <w:gridSpan w:val="6"/>
          </w:tcPr>
          <w:p w14:paraId="1F53F037"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tc>
      </w:tr>
      <w:tr w:rsidR="005D7BD1" w:rsidRPr="002F467C" w14:paraId="7CEC6926" w14:textId="77777777" w:rsidTr="00FB7E3F">
        <w:trPr>
          <w:gridAfter w:val="1"/>
          <w:wAfter w:w="101" w:type="dxa"/>
          <w:trHeight w:val="539"/>
        </w:trPr>
        <w:tc>
          <w:tcPr>
            <w:tcW w:w="5495" w:type="dxa"/>
            <w:gridSpan w:val="3"/>
            <w:tcBorders>
              <w:bottom w:val="single" w:sz="4" w:space="0" w:color="000000"/>
            </w:tcBorders>
          </w:tcPr>
          <w:p w14:paraId="2F636DFF"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p>
        </w:tc>
        <w:tc>
          <w:tcPr>
            <w:tcW w:w="3260" w:type="dxa"/>
            <w:gridSpan w:val="3"/>
            <w:tcBorders>
              <w:bottom w:val="single" w:sz="4" w:space="0" w:color="000000"/>
            </w:tcBorders>
          </w:tcPr>
          <w:p w14:paraId="147F910D" w14:textId="77777777" w:rsidR="005D7BD1" w:rsidRPr="002F467C" w:rsidRDefault="005D7BD1" w:rsidP="00FB7E3F">
            <w:pPr>
              <w:pStyle w:val="Standard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p>
        </w:tc>
      </w:tr>
      <w:tr w:rsidR="005D7BD1" w:rsidRPr="002F467C" w14:paraId="252E5EE1" w14:textId="77777777" w:rsidTr="00FB7E3F">
        <w:trPr>
          <w:gridAfter w:val="1"/>
          <w:wAfter w:w="101" w:type="dxa"/>
          <w:trHeight w:val="978"/>
        </w:trPr>
        <w:tc>
          <w:tcPr>
            <w:tcW w:w="8755" w:type="dxa"/>
            <w:gridSpan w:val="6"/>
            <w:shd w:val="clear" w:color="auto" w:fill="D9D9D9"/>
          </w:tcPr>
          <w:p w14:paraId="148AD74F" w14:textId="77777777" w:rsidR="005D7BD1" w:rsidRPr="002F467C" w:rsidRDefault="005D7BD1" w:rsidP="00FB7E3F">
            <w:pPr>
              <w:pStyle w:val="Standard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2D72B8F5" w14:textId="77777777" w:rsidR="005D7BD1" w:rsidRPr="002F467C" w:rsidRDefault="005D7BD1" w:rsidP="00FB7E3F">
            <w:pPr>
              <w:pStyle w:val="Standard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p>
        </w:tc>
      </w:tr>
      <w:tr w:rsidR="005D7BD1" w:rsidRPr="002F467C" w14:paraId="7D1A8481" w14:textId="77777777" w:rsidTr="00FB7E3F">
        <w:trPr>
          <w:gridAfter w:val="1"/>
          <w:wAfter w:w="101" w:type="dxa"/>
          <w:trHeight w:val="3972"/>
        </w:trPr>
        <w:tc>
          <w:tcPr>
            <w:tcW w:w="8755" w:type="dxa"/>
            <w:gridSpan w:val="6"/>
          </w:tcPr>
          <w:p w14:paraId="7EFAA956" w14:textId="77777777" w:rsidR="005D7BD1" w:rsidRPr="002F467C" w:rsidRDefault="005D7BD1" w:rsidP="00FB7E3F">
            <w:pPr>
              <w:pStyle w:val="Standard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713F5302" w14:textId="77777777" w:rsidR="005D7BD1" w:rsidRDefault="005D7BD1" w:rsidP="00FB7E3F">
            <w:pPr>
              <w:pStyle w:val="StandardWeb"/>
              <w:rPr>
                <w:rFonts w:ascii="Calibri" w:hAnsi="Calibri" w:cs="Tahoma"/>
                <w:i/>
                <w:sz w:val="24"/>
                <w:szCs w:val="24"/>
              </w:rPr>
            </w:pPr>
            <w:r w:rsidRPr="002F467C">
              <w:rPr>
                <w:rFonts w:ascii="Calibri" w:hAnsi="Calibri" w:cs="Tahoma"/>
                <w:i/>
                <w:sz w:val="24"/>
                <w:szCs w:val="24"/>
              </w:rPr>
              <w:t>Comments:</w:t>
            </w:r>
          </w:p>
          <w:p w14:paraId="25605CDA" w14:textId="77777777" w:rsidR="005D7BD1" w:rsidRDefault="005D7BD1" w:rsidP="00FB7E3F">
            <w:pPr>
              <w:pStyle w:val="StandardWeb"/>
              <w:rPr>
                <w:rFonts w:ascii="Calibri" w:hAnsi="Calibri" w:cs="Tahoma"/>
                <w:i/>
                <w:sz w:val="24"/>
                <w:szCs w:val="24"/>
              </w:rPr>
            </w:pPr>
          </w:p>
          <w:p w14:paraId="7CD6EB09" w14:textId="77777777" w:rsidR="005D7BD1" w:rsidRDefault="005D7BD1" w:rsidP="00FB7E3F">
            <w:pPr>
              <w:pStyle w:val="StandardWeb"/>
              <w:rPr>
                <w:rFonts w:ascii="Calibri" w:hAnsi="Calibri" w:cs="Tahoma"/>
                <w:i/>
                <w:sz w:val="24"/>
                <w:szCs w:val="24"/>
              </w:rPr>
            </w:pPr>
          </w:p>
          <w:p w14:paraId="5C03C249" w14:textId="77777777" w:rsidR="005D7BD1" w:rsidRDefault="005D7BD1" w:rsidP="00FB7E3F">
            <w:pPr>
              <w:pStyle w:val="StandardWeb"/>
              <w:rPr>
                <w:rFonts w:ascii="Calibri" w:hAnsi="Calibri" w:cs="Tahoma"/>
                <w:i/>
                <w:sz w:val="24"/>
                <w:szCs w:val="24"/>
              </w:rPr>
            </w:pPr>
          </w:p>
          <w:p w14:paraId="17415AD7" w14:textId="77777777" w:rsidR="005D7BD1" w:rsidRDefault="005D7BD1" w:rsidP="00FB7E3F">
            <w:pPr>
              <w:pStyle w:val="StandardWeb"/>
              <w:rPr>
                <w:rFonts w:ascii="Calibri" w:hAnsi="Calibri" w:cs="Tahoma"/>
                <w:i/>
                <w:sz w:val="24"/>
                <w:szCs w:val="24"/>
              </w:rPr>
            </w:pPr>
          </w:p>
          <w:p w14:paraId="4146A84C" w14:textId="77777777" w:rsidR="005D7BD1" w:rsidRDefault="005D7BD1" w:rsidP="00FB7E3F">
            <w:pPr>
              <w:pStyle w:val="StandardWeb"/>
              <w:rPr>
                <w:rFonts w:ascii="Calibri" w:hAnsi="Calibri" w:cs="Tahoma"/>
                <w:i/>
                <w:sz w:val="24"/>
                <w:szCs w:val="24"/>
              </w:rPr>
            </w:pPr>
          </w:p>
          <w:p w14:paraId="4EB33C4E" w14:textId="77777777" w:rsidR="005D7BD1" w:rsidRDefault="005D7BD1" w:rsidP="00FB7E3F">
            <w:pPr>
              <w:pStyle w:val="StandardWeb"/>
              <w:rPr>
                <w:rFonts w:ascii="Calibri" w:hAnsi="Calibri" w:cs="Tahoma"/>
                <w:i/>
                <w:sz w:val="24"/>
                <w:szCs w:val="24"/>
              </w:rPr>
            </w:pPr>
          </w:p>
          <w:p w14:paraId="4D1D6E3A" w14:textId="77777777" w:rsidR="005D7BD1" w:rsidRPr="002F467C" w:rsidRDefault="005D7BD1" w:rsidP="00FB7E3F">
            <w:pPr>
              <w:pStyle w:val="StandardWeb"/>
              <w:rPr>
                <w:rFonts w:ascii="Calibri" w:hAnsi="Calibri" w:cs="Tahoma"/>
                <w:i/>
                <w:sz w:val="24"/>
                <w:szCs w:val="24"/>
              </w:rPr>
            </w:pPr>
          </w:p>
        </w:tc>
      </w:tr>
      <w:tr w:rsidR="005D7BD1" w:rsidRPr="002F467C" w14:paraId="712D6148" w14:textId="77777777" w:rsidTr="00FB7E3F">
        <w:trPr>
          <w:gridAfter w:val="1"/>
          <w:wAfter w:w="101" w:type="dxa"/>
          <w:trHeight w:val="492"/>
        </w:trPr>
        <w:tc>
          <w:tcPr>
            <w:tcW w:w="6768" w:type="dxa"/>
            <w:gridSpan w:val="4"/>
          </w:tcPr>
          <w:p w14:paraId="7D5A361B" w14:textId="77777777" w:rsidR="005D7BD1" w:rsidRPr="00B12C4F" w:rsidRDefault="005D7BD1" w:rsidP="00FB7E3F">
            <w:pPr>
              <w:pStyle w:val="StandardWeb"/>
              <w:ind w:left="142" w:right="34"/>
              <w:rPr>
                <w:rFonts w:ascii="Calibri" w:hAnsi="Calibri" w:cs="Tahoma"/>
                <w:sz w:val="24"/>
                <w:szCs w:val="24"/>
              </w:rPr>
            </w:pPr>
            <w:r w:rsidRPr="00B12C4F">
              <w:rPr>
                <w:rFonts w:ascii="Calibri" w:hAnsi="Calibri" w:cs="Tahoma"/>
                <w:sz w:val="24"/>
                <w:szCs w:val="24"/>
              </w:rPr>
              <w:t>First Marker’s Mark:</w:t>
            </w:r>
          </w:p>
          <w:p w14:paraId="08DAA3B8" w14:textId="77777777" w:rsidR="005D7BD1" w:rsidRPr="002F467C" w:rsidRDefault="005D7BD1" w:rsidP="00FB7E3F">
            <w:pPr>
              <w:pStyle w:val="StandardWeb"/>
              <w:ind w:left="142" w:right="34"/>
              <w:rPr>
                <w:rFonts w:ascii="Calibri" w:hAnsi="Calibri" w:cs="Tahoma"/>
                <w:i/>
                <w:sz w:val="24"/>
                <w:szCs w:val="24"/>
              </w:rPr>
            </w:pPr>
            <w:r w:rsidRPr="00B12C4F">
              <w:rPr>
                <w:rFonts w:ascii="Calibri" w:hAnsi="Calibri" w:cs="Tahoma"/>
                <w:sz w:val="24"/>
                <w:szCs w:val="24"/>
              </w:rPr>
              <w:lastRenderedPageBreak/>
              <w:t>Signature:</w:t>
            </w:r>
            <w:r>
              <w:rPr>
                <w:rFonts w:ascii="Calibri" w:hAnsi="Calibri" w:cs="Tahoma"/>
                <w:i/>
                <w:sz w:val="24"/>
                <w:szCs w:val="24"/>
              </w:rPr>
              <w:t xml:space="preserve"> </w:t>
            </w:r>
          </w:p>
        </w:tc>
        <w:tc>
          <w:tcPr>
            <w:tcW w:w="1987" w:type="dxa"/>
            <w:gridSpan w:val="2"/>
          </w:tcPr>
          <w:p w14:paraId="46C791B3" w14:textId="77777777" w:rsidR="005D7BD1" w:rsidRPr="002F467C" w:rsidRDefault="005D7BD1" w:rsidP="00FB7E3F">
            <w:pPr>
              <w:pStyle w:val="StandardWeb"/>
              <w:spacing w:after="0"/>
              <w:ind w:left="142" w:right="34"/>
              <w:rPr>
                <w:rFonts w:ascii="Calibri" w:hAnsi="Calibri" w:cs="Tahoma"/>
                <w:i/>
                <w:sz w:val="24"/>
                <w:szCs w:val="24"/>
              </w:rPr>
            </w:pPr>
            <w:r w:rsidRPr="002F467C">
              <w:rPr>
                <w:rFonts w:ascii="Calibri" w:hAnsi="Calibri" w:cs="Tahoma"/>
                <w:i/>
                <w:sz w:val="24"/>
                <w:szCs w:val="24"/>
              </w:rPr>
              <w:lastRenderedPageBreak/>
              <w:t>Date:</w:t>
            </w:r>
          </w:p>
        </w:tc>
      </w:tr>
      <w:tr w:rsidR="005D7BD1" w:rsidRPr="002F467C" w14:paraId="6C0E3D62" w14:textId="77777777" w:rsidTr="00FB7E3F">
        <w:tc>
          <w:tcPr>
            <w:tcW w:w="8856" w:type="dxa"/>
            <w:gridSpan w:val="7"/>
          </w:tcPr>
          <w:p w14:paraId="74F9FE84"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35A5F56E"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3AC550F5"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EBF923B"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5659C95C"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4D8EA5CA"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747B0847"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2EF97A17"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33CD8638"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6EA2DF38"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795A4F1E"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189A21C5"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tc>
      </w:tr>
      <w:tr w:rsidR="005D7BD1" w:rsidRPr="002F467C" w14:paraId="68222CC9" w14:textId="77777777" w:rsidTr="00FB7E3F">
        <w:trPr>
          <w:trHeight w:val="720"/>
        </w:trPr>
        <w:tc>
          <w:tcPr>
            <w:tcW w:w="5211" w:type="dxa"/>
            <w:gridSpan w:val="2"/>
          </w:tcPr>
          <w:p w14:paraId="7955C8FE" w14:textId="77777777" w:rsidR="005D7BD1" w:rsidRDefault="005D7BD1" w:rsidP="00FB7E3F">
            <w:pPr>
              <w:pStyle w:val="Standard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6B0CA3CB"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5EF495C2"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5D7BD1" w:rsidRPr="002F467C" w14:paraId="21FE32CF" w14:textId="77777777" w:rsidTr="00FB7E3F">
        <w:trPr>
          <w:trHeight w:val="720"/>
        </w:trPr>
        <w:tc>
          <w:tcPr>
            <w:tcW w:w="8856" w:type="dxa"/>
            <w:gridSpan w:val="7"/>
          </w:tcPr>
          <w:p w14:paraId="021CF7C9" w14:textId="77777777" w:rsidR="005D7BD1" w:rsidRPr="00C87244" w:rsidRDefault="005D7BD1" w:rsidP="00FB7E3F">
            <w:pPr>
              <w:pStyle w:val="Standard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C5A888D" w14:textId="77777777" w:rsidR="005D7BD1" w:rsidRPr="00C87244" w:rsidRDefault="005D7BD1" w:rsidP="00FB7E3F">
            <w:pPr>
              <w:pStyle w:val="StandardWeb"/>
              <w:spacing w:before="0" w:beforeAutospacing="0" w:after="0" w:afterAutospacing="0"/>
              <w:ind w:left="142" w:right="34"/>
              <w:rPr>
                <w:rFonts w:ascii="Calibri" w:hAnsi="Calibri" w:cs="Tahoma"/>
                <w:b/>
                <w:i/>
                <w:sz w:val="24"/>
                <w:szCs w:val="24"/>
              </w:rPr>
            </w:pPr>
          </w:p>
          <w:p w14:paraId="28355B59"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tc>
      </w:tr>
    </w:tbl>
    <w:p w14:paraId="2FF001FF" w14:textId="77777777" w:rsidR="005D7BD1" w:rsidRDefault="005D7BD1" w:rsidP="005D7BD1">
      <w:pPr>
        <w:pStyle w:val="StandardWeb"/>
        <w:spacing w:before="0" w:beforeAutospacing="0" w:after="0" w:afterAutospacing="0"/>
        <w:ind w:right="-334"/>
        <w:rPr>
          <w:rFonts w:ascii="Trebuchet MS" w:hAnsi="Trebuchet MS" w:cs="Tahoma"/>
          <w:bCs/>
          <w:sz w:val="24"/>
          <w:szCs w:val="24"/>
        </w:rPr>
      </w:pPr>
    </w:p>
    <w:p w14:paraId="25896277" w14:textId="77777777" w:rsidR="005D7BD1" w:rsidRDefault="005D7BD1" w:rsidP="005D7BD1">
      <w:pPr>
        <w:pStyle w:val="StandardWeb"/>
        <w:spacing w:before="0" w:beforeAutospacing="0" w:after="0" w:afterAutospacing="0"/>
        <w:ind w:right="-334"/>
        <w:rPr>
          <w:rFonts w:ascii="Trebuchet MS" w:hAnsi="Trebuchet MS" w:cs="Tahoma"/>
          <w:bCs/>
          <w:sz w:val="24"/>
          <w:szCs w:val="24"/>
        </w:rPr>
      </w:pPr>
    </w:p>
    <w:p w14:paraId="22932601" w14:textId="77777777" w:rsidR="005D7BD1" w:rsidRDefault="005D7BD1" w:rsidP="005D7BD1">
      <w:pPr>
        <w:pStyle w:val="StandardWeb"/>
        <w:spacing w:before="0" w:beforeAutospacing="0" w:after="0" w:afterAutospacing="0"/>
        <w:ind w:right="-334"/>
        <w:rPr>
          <w:rFonts w:ascii="Trebuchet MS" w:hAnsi="Trebuchet MS" w:cs="Tahoma"/>
          <w:bCs/>
          <w:sz w:val="24"/>
          <w:szCs w:val="24"/>
        </w:rPr>
      </w:pPr>
    </w:p>
    <w:p w14:paraId="0225C5BD" w14:textId="77777777" w:rsidR="005D7BD1" w:rsidRDefault="005D7BD1" w:rsidP="005D7BD1">
      <w:pPr>
        <w:pStyle w:val="Standard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5D7BD1" w:rsidRPr="002F467C" w14:paraId="3BB67F69" w14:textId="77777777" w:rsidTr="00FB7E3F">
        <w:tc>
          <w:tcPr>
            <w:tcW w:w="8856" w:type="dxa"/>
          </w:tcPr>
          <w:p w14:paraId="7E1FA12C"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1E771A10"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5A2F92C8"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E1EDA9F"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30B5E90B"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4DBA1866"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7746CCE1"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722ECD0B"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087D2233"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4395B41A"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612B1E6A"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4E3AA199"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3A56434C"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1A6096D9"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0687CD51"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22DC3EAC"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p w14:paraId="765D0055"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68E2B164"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5BBC348D" w14:textId="77777777" w:rsidR="005D7BD1" w:rsidRDefault="005D7BD1" w:rsidP="00FB7E3F">
            <w:pPr>
              <w:pStyle w:val="Standard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E38DC4A" w14:textId="77777777" w:rsidR="005D7BD1" w:rsidRDefault="005D7BD1" w:rsidP="00FB7E3F">
            <w:pPr>
              <w:pStyle w:val="StandardWeb"/>
              <w:spacing w:before="0" w:beforeAutospacing="0" w:after="0" w:afterAutospacing="0"/>
              <w:ind w:right="-334"/>
              <w:rPr>
                <w:rFonts w:ascii="Calibri" w:hAnsi="Calibri" w:cs="Tahoma"/>
                <w:bCs/>
                <w:sz w:val="24"/>
                <w:szCs w:val="24"/>
              </w:rPr>
            </w:pPr>
          </w:p>
          <w:p w14:paraId="4667DF45"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19ED327C" w14:textId="77777777" w:rsidR="005D7BD1" w:rsidRPr="002F467C" w:rsidRDefault="005D7BD1" w:rsidP="00FB7E3F">
            <w:pPr>
              <w:pStyle w:val="StandardWeb"/>
              <w:spacing w:before="0" w:beforeAutospacing="0" w:after="0" w:afterAutospacing="0"/>
              <w:ind w:right="-334"/>
              <w:rPr>
                <w:rFonts w:ascii="Calibri" w:hAnsi="Calibri" w:cs="Tahoma"/>
                <w:bCs/>
                <w:sz w:val="24"/>
                <w:szCs w:val="24"/>
              </w:rPr>
            </w:pPr>
          </w:p>
        </w:tc>
      </w:tr>
      <w:tr w:rsidR="005D7BD1" w:rsidRPr="002F467C" w14:paraId="11EA8B48" w14:textId="77777777" w:rsidTr="00FB7E3F">
        <w:trPr>
          <w:trHeight w:val="720"/>
        </w:trPr>
        <w:tc>
          <w:tcPr>
            <w:tcW w:w="8856" w:type="dxa"/>
          </w:tcPr>
          <w:p w14:paraId="6342BA1B" w14:textId="77777777" w:rsidR="005D7BD1" w:rsidRPr="002F467C" w:rsidRDefault="005D7BD1" w:rsidP="00FB7E3F">
            <w:pPr>
              <w:pStyle w:val="Standard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6DEE0B17" w14:textId="77777777" w:rsidR="005D7BD1" w:rsidRPr="00D67BF8" w:rsidRDefault="005D7BD1" w:rsidP="005D7BD1">
      <w:pPr>
        <w:pStyle w:val="StandardWeb"/>
        <w:spacing w:before="0" w:beforeAutospacing="0" w:after="0" w:afterAutospacing="0"/>
        <w:ind w:right="-334"/>
        <w:rPr>
          <w:rFonts w:ascii="Trebuchet MS" w:hAnsi="Trebuchet MS" w:cs="Tahoma"/>
          <w:bCs/>
          <w:sz w:val="24"/>
          <w:szCs w:val="24"/>
        </w:rPr>
      </w:pPr>
    </w:p>
    <w:p w14:paraId="08649A8D" w14:textId="77777777" w:rsidR="004E7553" w:rsidRDefault="004E7553">
      <w:pPr>
        <w:rPr>
          <w:rFonts w:ascii="Times New Roman" w:hAnsi="Times New Roman" w:cs="Times New Roman"/>
          <w:b/>
          <w:sz w:val="24"/>
          <w:szCs w:val="24"/>
          <w:u w:val="single"/>
          <w:lang w:val="de-CH"/>
        </w:rPr>
      </w:pPr>
    </w:p>
    <w:p w14:paraId="1689C162" w14:textId="77777777" w:rsidR="004E7553" w:rsidRDefault="004E7553">
      <w:pPr>
        <w:rPr>
          <w:rFonts w:ascii="Times New Roman" w:hAnsi="Times New Roman" w:cs="Times New Roman"/>
          <w:b/>
          <w:sz w:val="24"/>
          <w:szCs w:val="24"/>
          <w:u w:val="single"/>
          <w:lang w:val="de-CH"/>
        </w:rPr>
      </w:pPr>
    </w:p>
    <w:p w14:paraId="3DCC7BE2" w14:textId="77777777" w:rsidR="004E7553" w:rsidRPr="00CD5B5F" w:rsidRDefault="00AF36DD">
      <w:pPr>
        <w:rPr>
          <w:rFonts w:ascii="Times New Roman" w:hAnsi="Times New Roman" w:cs="Times New Roman"/>
          <w:sz w:val="28"/>
          <w:szCs w:val="28"/>
        </w:rPr>
      </w:pPr>
      <w:r>
        <w:rPr>
          <w:rFonts w:ascii="Times New Roman" w:hAnsi="Times New Roman" w:cs="Times New Roman"/>
          <w:sz w:val="24"/>
          <w:szCs w:val="24"/>
        </w:rPr>
        <w:t xml:space="preserve">             </w:t>
      </w:r>
      <w:r w:rsidRPr="00CD5B5F">
        <w:rPr>
          <w:rFonts w:ascii="Times New Roman" w:hAnsi="Times New Roman" w:cs="Times New Roman"/>
          <w:sz w:val="28"/>
          <w:szCs w:val="28"/>
        </w:rPr>
        <w:t xml:space="preserve">Cultural interaction expressed in Nabataean rock-cut tomb facades </w:t>
      </w:r>
    </w:p>
    <w:p w14:paraId="68B9582D" w14:textId="77777777" w:rsidR="004E7553" w:rsidRPr="00AF36DD" w:rsidRDefault="004E7553">
      <w:pPr>
        <w:rPr>
          <w:rFonts w:ascii="Times New Roman" w:hAnsi="Times New Roman" w:cs="Times New Roman"/>
          <w:b/>
          <w:sz w:val="24"/>
          <w:szCs w:val="24"/>
          <w:u w:val="single"/>
        </w:rPr>
      </w:pPr>
    </w:p>
    <w:p w14:paraId="2978B6B4" w14:textId="77777777" w:rsidR="004E7553" w:rsidRDefault="004E7553" w:rsidP="00AF36DD">
      <w:pPr>
        <w:jc w:val="center"/>
        <w:rPr>
          <w:rFonts w:ascii="Times New Roman" w:hAnsi="Times New Roman" w:cs="Times New Roman"/>
          <w:b/>
          <w:sz w:val="24"/>
          <w:szCs w:val="24"/>
          <w:u w:val="single"/>
        </w:rPr>
      </w:pPr>
    </w:p>
    <w:p w14:paraId="1705D0A3" w14:textId="77777777" w:rsidR="00AF36DD" w:rsidRDefault="00AF36DD" w:rsidP="00AF36DD">
      <w:pPr>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Saint David </w:t>
      </w:r>
    </w:p>
    <w:p w14:paraId="5521CE5C" w14:textId="77777777" w:rsidR="00AF36DD" w:rsidRDefault="00AF36DD" w:rsidP="00AF36DD">
      <w:pPr>
        <w:jc w:val="center"/>
        <w:rPr>
          <w:rFonts w:ascii="Times New Roman" w:hAnsi="Times New Roman" w:cs="Times New Roman"/>
          <w:sz w:val="24"/>
          <w:szCs w:val="24"/>
        </w:rPr>
      </w:pPr>
      <w:r>
        <w:rPr>
          <w:rFonts w:ascii="Times New Roman" w:hAnsi="Times New Roman" w:cs="Times New Roman"/>
          <w:sz w:val="24"/>
          <w:szCs w:val="24"/>
        </w:rPr>
        <w:t xml:space="preserve">A dissertation for </w:t>
      </w:r>
    </w:p>
    <w:p w14:paraId="0CF694C3" w14:textId="77777777" w:rsidR="00AF36DD" w:rsidRDefault="00AF36DD" w:rsidP="00AF36DD">
      <w:pPr>
        <w:jc w:val="center"/>
        <w:rPr>
          <w:rFonts w:ascii="Times New Roman" w:hAnsi="Times New Roman" w:cs="Times New Roman"/>
          <w:sz w:val="24"/>
          <w:szCs w:val="24"/>
        </w:rPr>
      </w:pPr>
      <w:r>
        <w:rPr>
          <w:rFonts w:ascii="Times New Roman" w:hAnsi="Times New Roman" w:cs="Times New Roman"/>
          <w:sz w:val="24"/>
          <w:szCs w:val="24"/>
        </w:rPr>
        <w:t xml:space="preserve">A Bachelor of Arts degree in Ancient History and Archaeology </w:t>
      </w:r>
    </w:p>
    <w:p w14:paraId="6AB5C18C" w14:textId="77777777" w:rsidR="00AF36DD" w:rsidRDefault="00AF36DD" w:rsidP="00AF36DD">
      <w:pPr>
        <w:jc w:val="center"/>
        <w:rPr>
          <w:rFonts w:ascii="Times New Roman" w:hAnsi="Times New Roman" w:cs="Times New Roman"/>
          <w:sz w:val="24"/>
          <w:szCs w:val="24"/>
        </w:rPr>
      </w:pPr>
    </w:p>
    <w:p w14:paraId="59CF075A" w14:textId="77777777" w:rsidR="00AF36DD" w:rsidRDefault="00AF36DD" w:rsidP="00AF36DD">
      <w:pPr>
        <w:jc w:val="center"/>
        <w:rPr>
          <w:rFonts w:ascii="Times New Roman" w:hAnsi="Times New Roman" w:cs="Times New Roman"/>
          <w:sz w:val="24"/>
          <w:szCs w:val="24"/>
        </w:rPr>
      </w:pPr>
    </w:p>
    <w:p w14:paraId="7659EC52" w14:textId="77777777" w:rsidR="00AF36DD" w:rsidRDefault="00AF36DD" w:rsidP="00AF36DD">
      <w:pPr>
        <w:jc w:val="center"/>
        <w:rPr>
          <w:rFonts w:ascii="Times New Roman" w:hAnsi="Times New Roman" w:cs="Times New Roman"/>
          <w:sz w:val="24"/>
          <w:szCs w:val="24"/>
        </w:rPr>
      </w:pPr>
    </w:p>
    <w:p w14:paraId="72CC03D1" w14:textId="77777777" w:rsidR="00AF36DD" w:rsidRDefault="00AF36DD" w:rsidP="00AF36DD">
      <w:pPr>
        <w:jc w:val="center"/>
        <w:rPr>
          <w:rFonts w:ascii="Times New Roman" w:hAnsi="Times New Roman" w:cs="Times New Roman"/>
          <w:sz w:val="24"/>
          <w:szCs w:val="24"/>
        </w:rPr>
      </w:pPr>
    </w:p>
    <w:p w14:paraId="17BB56D9" w14:textId="77777777" w:rsidR="00AF36DD" w:rsidRDefault="00AF36DD" w:rsidP="00AF36DD">
      <w:pPr>
        <w:jc w:val="center"/>
        <w:rPr>
          <w:rFonts w:ascii="Times New Roman" w:hAnsi="Times New Roman" w:cs="Times New Roman"/>
          <w:sz w:val="24"/>
          <w:szCs w:val="24"/>
        </w:rPr>
      </w:pPr>
    </w:p>
    <w:p w14:paraId="08FF884B" w14:textId="77777777" w:rsidR="00AF36DD" w:rsidRDefault="00AF36DD" w:rsidP="00AF36DD">
      <w:pPr>
        <w:jc w:val="center"/>
        <w:rPr>
          <w:rFonts w:ascii="Times New Roman" w:hAnsi="Times New Roman" w:cs="Times New Roman"/>
          <w:sz w:val="24"/>
          <w:szCs w:val="24"/>
        </w:rPr>
      </w:pPr>
    </w:p>
    <w:p w14:paraId="4E1C6755" w14:textId="77777777" w:rsidR="00AF36DD" w:rsidRDefault="00AF36DD" w:rsidP="00AF36DD">
      <w:pPr>
        <w:jc w:val="center"/>
        <w:rPr>
          <w:rFonts w:ascii="Times New Roman" w:hAnsi="Times New Roman" w:cs="Times New Roman"/>
          <w:sz w:val="24"/>
          <w:szCs w:val="24"/>
        </w:rPr>
      </w:pPr>
    </w:p>
    <w:p w14:paraId="32B509A9" w14:textId="77777777" w:rsidR="00AF36DD" w:rsidRDefault="00AF36DD" w:rsidP="00AF36DD">
      <w:pPr>
        <w:jc w:val="center"/>
        <w:rPr>
          <w:rFonts w:ascii="Times New Roman" w:hAnsi="Times New Roman" w:cs="Times New Roman"/>
          <w:sz w:val="24"/>
          <w:szCs w:val="24"/>
        </w:rPr>
      </w:pPr>
    </w:p>
    <w:p w14:paraId="664073CE" w14:textId="77777777" w:rsidR="00AF36DD" w:rsidRDefault="00AF36DD" w:rsidP="00AF36DD">
      <w:pPr>
        <w:jc w:val="center"/>
        <w:rPr>
          <w:rFonts w:ascii="Times New Roman" w:hAnsi="Times New Roman" w:cs="Times New Roman"/>
          <w:sz w:val="24"/>
          <w:szCs w:val="24"/>
        </w:rPr>
      </w:pPr>
    </w:p>
    <w:p w14:paraId="51A796C1" w14:textId="77777777" w:rsidR="00AF36DD" w:rsidRDefault="00AF36DD" w:rsidP="00AF36DD">
      <w:pPr>
        <w:jc w:val="center"/>
        <w:rPr>
          <w:rFonts w:ascii="Times New Roman" w:hAnsi="Times New Roman" w:cs="Times New Roman"/>
          <w:sz w:val="24"/>
          <w:szCs w:val="24"/>
        </w:rPr>
      </w:pPr>
    </w:p>
    <w:p w14:paraId="254F39B0" w14:textId="77777777" w:rsidR="00AF36DD" w:rsidRDefault="00AF36DD" w:rsidP="00AF36DD">
      <w:pPr>
        <w:jc w:val="center"/>
        <w:rPr>
          <w:rFonts w:ascii="Times New Roman" w:hAnsi="Times New Roman" w:cs="Times New Roman"/>
          <w:sz w:val="24"/>
          <w:szCs w:val="24"/>
        </w:rPr>
      </w:pPr>
    </w:p>
    <w:p w14:paraId="6B64EB07" w14:textId="77777777" w:rsidR="00AF36DD" w:rsidRDefault="00AF36DD" w:rsidP="00AF36DD">
      <w:pPr>
        <w:jc w:val="center"/>
        <w:rPr>
          <w:rFonts w:ascii="Times New Roman" w:hAnsi="Times New Roman" w:cs="Times New Roman"/>
          <w:sz w:val="24"/>
          <w:szCs w:val="24"/>
        </w:rPr>
      </w:pPr>
    </w:p>
    <w:p w14:paraId="1999606F" w14:textId="77777777" w:rsidR="00AF36DD" w:rsidRDefault="00AF36DD" w:rsidP="00AF36DD">
      <w:pPr>
        <w:jc w:val="center"/>
        <w:rPr>
          <w:rFonts w:ascii="Times New Roman" w:hAnsi="Times New Roman" w:cs="Times New Roman"/>
          <w:sz w:val="24"/>
          <w:szCs w:val="24"/>
        </w:rPr>
      </w:pPr>
    </w:p>
    <w:p w14:paraId="2C154397" w14:textId="77777777" w:rsidR="00AF36DD" w:rsidRDefault="00AF36DD" w:rsidP="00AF36DD">
      <w:pPr>
        <w:jc w:val="center"/>
        <w:rPr>
          <w:rFonts w:ascii="Times New Roman" w:hAnsi="Times New Roman" w:cs="Times New Roman"/>
          <w:sz w:val="24"/>
          <w:szCs w:val="24"/>
        </w:rPr>
      </w:pPr>
    </w:p>
    <w:p w14:paraId="46CEB359" w14:textId="77777777" w:rsidR="00AF36DD" w:rsidRDefault="00AF36DD" w:rsidP="00AF36DD">
      <w:pPr>
        <w:jc w:val="center"/>
        <w:rPr>
          <w:rFonts w:ascii="Times New Roman" w:hAnsi="Times New Roman" w:cs="Times New Roman"/>
          <w:sz w:val="24"/>
          <w:szCs w:val="24"/>
        </w:rPr>
      </w:pPr>
      <w:r>
        <w:rPr>
          <w:rFonts w:ascii="Times New Roman" w:hAnsi="Times New Roman" w:cs="Times New Roman"/>
          <w:sz w:val="24"/>
          <w:szCs w:val="24"/>
        </w:rPr>
        <w:t>2019</w:t>
      </w:r>
    </w:p>
    <w:p w14:paraId="02C33FB8" w14:textId="77777777" w:rsidR="00AF36DD" w:rsidRDefault="00AF36DD" w:rsidP="00AF36DD">
      <w:pPr>
        <w:jc w:val="center"/>
        <w:rPr>
          <w:rFonts w:ascii="Times New Roman" w:hAnsi="Times New Roman" w:cs="Times New Roman"/>
          <w:sz w:val="24"/>
          <w:szCs w:val="24"/>
        </w:rPr>
      </w:pPr>
      <w:r>
        <w:rPr>
          <w:rFonts w:ascii="Times New Roman" w:hAnsi="Times New Roman" w:cs="Times New Roman"/>
          <w:sz w:val="24"/>
          <w:szCs w:val="24"/>
        </w:rPr>
        <w:t>Mandiza Esther Landsmeer</w:t>
      </w:r>
    </w:p>
    <w:p w14:paraId="177015EA" w14:textId="77777777" w:rsidR="00AF36DD" w:rsidRPr="00AF36DD" w:rsidRDefault="00AF36DD" w:rsidP="00AF36DD">
      <w:pPr>
        <w:jc w:val="center"/>
        <w:rPr>
          <w:rFonts w:ascii="Times New Roman" w:hAnsi="Times New Roman" w:cs="Times New Roman"/>
          <w:sz w:val="24"/>
          <w:szCs w:val="24"/>
        </w:rPr>
      </w:pPr>
      <w:r>
        <w:rPr>
          <w:rFonts w:ascii="Times New Roman" w:hAnsi="Times New Roman" w:cs="Times New Roman"/>
          <w:sz w:val="24"/>
          <w:szCs w:val="24"/>
        </w:rPr>
        <w:t>UWTSD Lampeter</w:t>
      </w:r>
    </w:p>
    <w:p w14:paraId="420581F5" w14:textId="77777777" w:rsidR="004E7553" w:rsidRPr="00AF36DD" w:rsidRDefault="004E7553">
      <w:pPr>
        <w:rPr>
          <w:rFonts w:ascii="Times New Roman" w:hAnsi="Times New Roman" w:cs="Times New Roman"/>
          <w:b/>
          <w:sz w:val="24"/>
          <w:szCs w:val="24"/>
          <w:u w:val="single"/>
        </w:rPr>
      </w:pPr>
    </w:p>
    <w:p w14:paraId="68577D93" w14:textId="77777777" w:rsidR="004E7553" w:rsidRPr="00AF36DD" w:rsidRDefault="004E7553">
      <w:pPr>
        <w:rPr>
          <w:rFonts w:ascii="Times New Roman" w:hAnsi="Times New Roman" w:cs="Times New Roman"/>
          <w:b/>
          <w:sz w:val="24"/>
          <w:szCs w:val="24"/>
          <w:u w:val="single"/>
        </w:rPr>
      </w:pPr>
    </w:p>
    <w:p w14:paraId="7F796DFB" w14:textId="77777777" w:rsidR="004E7553" w:rsidRPr="00AF36DD" w:rsidRDefault="004E7553">
      <w:pPr>
        <w:rPr>
          <w:rFonts w:ascii="Times New Roman" w:hAnsi="Times New Roman" w:cs="Times New Roman"/>
          <w:b/>
          <w:sz w:val="24"/>
          <w:szCs w:val="24"/>
          <w:u w:val="single"/>
        </w:rPr>
      </w:pPr>
    </w:p>
    <w:p w14:paraId="707D2081" w14:textId="77777777" w:rsidR="004E7553" w:rsidRPr="00AF36DD" w:rsidRDefault="004E7553">
      <w:pPr>
        <w:rPr>
          <w:rFonts w:ascii="Times New Roman" w:hAnsi="Times New Roman" w:cs="Times New Roman"/>
          <w:b/>
          <w:sz w:val="24"/>
          <w:szCs w:val="24"/>
          <w:u w:val="single"/>
        </w:rPr>
      </w:pPr>
    </w:p>
    <w:p w14:paraId="0B54EB7A" w14:textId="77777777" w:rsidR="004E7553" w:rsidRPr="00AF36DD" w:rsidRDefault="004E7553">
      <w:pPr>
        <w:rPr>
          <w:rFonts w:ascii="Times New Roman" w:hAnsi="Times New Roman" w:cs="Times New Roman"/>
          <w:b/>
          <w:sz w:val="24"/>
          <w:szCs w:val="24"/>
          <w:u w:val="single"/>
        </w:rPr>
      </w:pPr>
    </w:p>
    <w:p w14:paraId="53DA6F7A" w14:textId="77777777" w:rsidR="00AF5D11" w:rsidRPr="00AF36DD" w:rsidRDefault="004220C2">
      <w:pPr>
        <w:rPr>
          <w:rFonts w:ascii="Times New Roman" w:hAnsi="Times New Roman" w:cs="Times New Roman"/>
          <w:b/>
          <w:sz w:val="24"/>
          <w:szCs w:val="24"/>
          <w:u w:val="single"/>
        </w:rPr>
      </w:pPr>
      <w:r w:rsidRPr="00AF36DD">
        <w:rPr>
          <w:rFonts w:ascii="Times New Roman" w:hAnsi="Times New Roman" w:cs="Times New Roman"/>
          <w:b/>
          <w:sz w:val="24"/>
          <w:szCs w:val="24"/>
          <w:u w:val="single"/>
        </w:rPr>
        <w:lastRenderedPageBreak/>
        <w:t xml:space="preserve">Contents </w:t>
      </w:r>
    </w:p>
    <w:p w14:paraId="7DF37215" w14:textId="77777777" w:rsidR="004E7553" w:rsidRPr="004220C2" w:rsidRDefault="004E7553">
      <w:pPr>
        <w:rPr>
          <w:rFonts w:ascii="Times New Roman" w:hAnsi="Times New Roman" w:cs="Times New Roman"/>
          <w:b/>
          <w:sz w:val="24"/>
          <w:szCs w:val="24"/>
          <w:u w:val="single"/>
        </w:rPr>
      </w:pPr>
    </w:p>
    <w:p w14:paraId="7F6C9CDD" w14:textId="71314702" w:rsidR="004220C2" w:rsidRPr="005305C2" w:rsidRDefault="004220C2">
      <w:pPr>
        <w:rPr>
          <w:rFonts w:ascii="Times New Roman" w:hAnsi="Times New Roman" w:cs="Times New Roman"/>
          <w:sz w:val="24"/>
          <w:szCs w:val="24"/>
          <w:u w:val="single"/>
        </w:rPr>
      </w:pPr>
      <w:r w:rsidRPr="005305C2">
        <w:rPr>
          <w:rFonts w:ascii="Times New Roman" w:hAnsi="Times New Roman" w:cs="Times New Roman"/>
          <w:sz w:val="24"/>
          <w:szCs w:val="24"/>
          <w:u w:val="single"/>
        </w:rPr>
        <w:t>Introduction</w:t>
      </w:r>
      <w:r w:rsidR="005305C2">
        <w:rPr>
          <w:rFonts w:ascii="Times New Roman" w:hAnsi="Times New Roman" w:cs="Times New Roman"/>
          <w:sz w:val="24"/>
          <w:szCs w:val="24"/>
          <w:u w:val="single"/>
        </w:rPr>
        <w:t xml:space="preserve">                                                                                                                           </w:t>
      </w:r>
      <w:r w:rsidR="005305C2" w:rsidRPr="005305C2">
        <w:rPr>
          <w:rFonts w:ascii="Times New Roman" w:hAnsi="Times New Roman" w:cs="Times New Roman"/>
          <w:sz w:val="24"/>
          <w:szCs w:val="24"/>
          <w:u w:val="single"/>
        </w:rPr>
        <w:t xml:space="preserve"> 6-7</w:t>
      </w:r>
    </w:p>
    <w:p w14:paraId="04CAD9A0" w14:textId="7904226E" w:rsidR="004220C2" w:rsidRPr="005305C2" w:rsidRDefault="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1: Theory</w:t>
      </w:r>
      <w:r w:rsidR="005305C2" w:rsidRPr="005305C2">
        <w:rPr>
          <w:rFonts w:ascii="Times New Roman" w:hAnsi="Times New Roman" w:cs="Times New Roman"/>
          <w:sz w:val="24"/>
          <w:szCs w:val="24"/>
          <w:u w:val="single"/>
        </w:rPr>
        <w:t xml:space="preserve">                                                                                                                  </w:t>
      </w:r>
      <w:r w:rsidR="005305C2">
        <w:rPr>
          <w:rFonts w:ascii="Times New Roman" w:hAnsi="Times New Roman" w:cs="Times New Roman"/>
          <w:sz w:val="24"/>
          <w:szCs w:val="24"/>
          <w:u w:val="single"/>
        </w:rPr>
        <w:t>8-15</w:t>
      </w:r>
      <w:r w:rsidR="005305C2" w:rsidRPr="005305C2">
        <w:rPr>
          <w:rFonts w:ascii="Times New Roman" w:hAnsi="Times New Roman" w:cs="Times New Roman"/>
          <w:sz w:val="24"/>
          <w:szCs w:val="24"/>
          <w:u w:val="single"/>
        </w:rPr>
        <w:t xml:space="preserve">                                                                                                                     </w:t>
      </w:r>
    </w:p>
    <w:p w14:paraId="750B9508" w14:textId="77777777" w:rsidR="006D481F" w:rsidRDefault="006D481F">
      <w:pPr>
        <w:rPr>
          <w:rFonts w:ascii="Times New Roman" w:hAnsi="Times New Roman" w:cs="Times New Roman"/>
          <w:sz w:val="24"/>
          <w:szCs w:val="24"/>
        </w:rPr>
      </w:pPr>
      <w:r>
        <w:rPr>
          <w:rFonts w:ascii="Times New Roman" w:hAnsi="Times New Roman" w:cs="Times New Roman"/>
          <w:sz w:val="24"/>
          <w:szCs w:val="24"/>
        </w:rPr>
        <w:t xml:space="preserve">                 Cultural contact in definition</w:t>
      </w:r>
    </w:p>
    <w:p w14:paraId="58613FCD" w14:textId="05822C73" w:rsidR="004220C2" w:rsidRPr="005305C2" w:rsidRDefault="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2: Nabataean history</w:t>
      </w:r>
      <w:r w:rsidR="005305C2">
        <w:rPr>
          <w:rFonts w:ascii="Times New Roman" w:hAnsi="Times New Roman" w:cs="Times New Roman"/>
          <w:sz w:val="24"/>
          <w:szCs w:val="24"/>
          <w:u w:val="single"/>
        </w:rPr>
        <w:t xml:space="preserve">                                                                                               16-19</w:t>
      </w:r>
    </w:p>
    <w:p w14:paraId="25D98AE5" w14:textId="796F85C4" w:rsidR="004220C2" w:rsidRPr="005305C2" w:rsidRDefault="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3: Cultural context, surrounding history</w:t>
      </w:r>
      <w:r w:rsidR="005305C2">
        <w:rPr>
          <w:rFonts w:ascii="Times New Roman" w:hAnsi="Times New Roman" w:cs="Times New Roman"/>
          <w:sz w:val="24"/>
          <w:szCs w:val="24"/>
          <w:u w:val="single"/>
        </w:rPr>
        <w:t xml:space="preserve">                                                                20-26</w:t>
      </w:r>
    </w:p>
    <w:p w14:paraId="25B22A7E"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Hellenistic Period</w:t>
      </w:r>
    </w:p>
    <w:p w14:paraId="3F14D933"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Roman cultural influences</w:t>
      </w:r>
    </w:p>
    <w:p w14:paraId="1DDD4090"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Arabic cultural influences</w:t>
      </w:r>
    </w:p>
    <w:p w14:paraId="4C028F48" w14:textId="4C128243" w:rsidR="004220C2" w:rsidRPr="005305C2" w:rsidRDefault="004220C2" w:rsidP="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4: Nabataean religion and funerary rites</w:t>
      </w:r>
      <w:r w:rsidR="005305C2">
        <w:rPr>
          <w:rFonts w:ascii="Times New Roman" w:hAnsi="Times New Roman" w:cs="Times New Roman"/>
          <w:sz w:val="24"/>
          <w:szCs w:val="24"/>
          <w:u w:val="single"/>
        </w:rPr>
        <w:t xml:space="preserve">                                                                27-33</w:t>
      </w:r>
    </w:p>
    <w:p w14:paraId="40C1F621" w14:textId="4206D706" w:rsidR="00792A1C" w:rsidRDefault="00792A1C" w:rsidP="004220C2">
      <w:pPr>
        <w:rPr>
          <w:rFonts w:ascii="Times New Roman" w:hAnsi="Times New Roman" w:cs="Times New Roman"/>
          <w:sz w:val="24"/>
          <w:szCs w:val="24"/>
        </w:rPr>
      </w:pPr>
      <w:r>
        <w:rPr>
          <w:rFonts w:ascii="Times New Roman" w:hAnsi="Times New Roman" w:cs="Times New Roman"/>
          <w:sz w:val="24"/>
          <w:szCs w:val="24"/>
        </w:rPr>
        <w:t xml:space="preserve">                  </w:t>
      </w:r>
      <w:r w:rsidR="00CD50DE">
        <w:rPr>
          <w:rFonts w:ascii="Times New Roman" w:hAnsi="Times New Roman" w:cs="Times New Roman"/>
          <w:sz w:val="24"/>
          <w:szCs w:val="24"/>
        </w:rPr>
        <w:t>Religious beliefs</w:t>
      </w:r>
    </w:p>
    <w:p w14:paraId="193F9520"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Altars and </w:t>
      </w:r>
      <w:proofErr w:type="spellStart"/>
      <w:r>
        <w:rPr>
          <w:rFonts w:ascii="Times New Roman" w:hAnsi="Times New Roman" w:cs="Times New Roman"/>
          <w:sz w:val="24"/>
          <w:szCs w:val="24"/>
        </w:rPr>
        <w:t>Betyls</w:t>
      </w:r>
      <w:proofErr w:type="spellEnd"/>
    </w:p>
    <w:p w14:paraId="3748A98B"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Nabataean funerary rites</w:t>
      </w:r>
    </w:p>
    <w:p w14:paraId="799D06D2" w14:textId="00396B85" w:rsidR="004220C2" w:rsidRPr="005305C2" w:rsidRDefault="004220C2" w:rsidP="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5: Rock-cut tombs</w:t>
      </w:r>
      <w:r w:rsidR="005305C2">
        <w:rPr>
          <w:rFonts w:ascii="Times New Roman" w:hAnsi="Times New Roman" w:cs="Times New Roman"/>
          <w:sz w:val="24"/>
          <w:szCs w:val="24"/>
          <w:u w:val="single"/>
        </w:rPr>
        <w:t xml:space="preserve">                                                                                                  34-36</w:t>
      </w:r>
    </w:p>
    <w:p w14:paraId="181B9184"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The Nabataean rock-cut tomb</w:t>
      </w:r>
    </w:p>
    <w:p w14:paraId="74AA25BB" w14:textId="7A67CC7E" w:rsidR="004220C2" w:rsidRPr="005305C2" w:rsidRDefault="004220C2" w:rsidP="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6: Tomb facade architecture</w:t>
      </w:r>
      <w:r w:rsidR="005305C2">
        <w:rPr>
          <w:rFonts w:ascii="Times New Roman" w:hAnsi="Times New Roman" w:cs="Times New Roman"/>
          <w:sz w:val="24"/>
          <w:szCs w:val="24"/>
          <w:u w:val="single"/>
        </w:rPr>
        <w:t xml:space="preserve">                                                                                   37-39</w:t>
      </w:r>
    </w:p>
    <w:p w14:paraId="3E765A4A"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Façade types and proposed chronology</w:t>
      </w:r>
    </w:p>
    <w:p w14:paraId="5D729D53" w14:textId="1330C313" w:rsidR="004220C2" w:rsidRPr="005305C2" w:rsidRDefault="004220C2" w:rsidP="004220C2">
      <w:pPr>
        <w:rPr>
          <w:rFonts w:ascii="Times New Roman" w:hAnsi="Times New Roman" w:cs="Times New Roman"/>
          <w:sz w:val="24"/>
          <w:szCs w:val="24"/>
          <w:u w:val="single"/>
        </w:rPr>
      </w:pPr>
      <w:r w:rsidRPr="005305C2">
        <w:rPr>
          <w:rFonts w:ascii="Times New Roman" w:hAnsi="Times New Roman" w:cs="Times New Roman"/>
          <w:sz w:val="24"/>
          <w:szCs w:val="24"/>
          <w:u w:val="single"/>
        </w:rPr>
        <w:t>Chapter 7: Categorising architectural features</w:t>
      </w:r>
      <w:r w:rsidR="005305C2">
        <w:rPr>
          <w:rFonts w:ascii="Times New Roman" w:hAnsi="Times New Roman" w:cs="Times New Roman"/>
          <w:sz w:val="24"/>
          <w:szCs w:val="24"/>
          <w:u w:val="single"/>
        </w:rPr>
        <w:t xml:space="preserve">                                                                     40-51</w:t>
      </w:r>
    </w:p>
    <w:p w14:paraId="110A6E32" w14:textId="2FF4BB23"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C</w:t>
      </w:r>
      <w:r w:rsidR="000732ED">
        <w:rPr>
          <w:rFonts w:ascii="Times New Roman" w:hAnsi="Times New Roman" w:cs="Times New Roman"/>
          <w:sz w:val="24"/>
          <w:szCs w:val="24"/>
        </w:rPr>
        <w:t>rowsteps</w:t>
      </w:r>
    </w:p>
    <w:p w14:paraId="58321D00" w14:textId="1CE259FD"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C</w:t>
      </w:r>
      <w:r w:rsidR="000732ED">
        <w:rPr>
          <w:rFonts w:ascii="Times New Roman" w:hAnsi="Times New Roman" w:cs="Times New Roman"/>
          <w:sz w:val="24"/>
          <w:szCs w:val="24"/>
        </w:rPr>
        <w:t xml:space="preserve">olumns and capitals </w:t>
      </w:r>
    </w:p>
    <w:p w14:paraId="158F629E"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Cornices</w:t>
      </w:r>
    </w:p>
    <w:p w14:paraId="38C7042B"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Figures, objects and beats</w:t>
      </w:r>
    </w:p>
    <w:p w14:paraId="45F7A503" w14:textId="77777777" w:rsidR="004220C2" w:rsidRDefault="004220C2" w:rsidP="004220C2">
      <w:pPr>
        <w:rPr>
          <w:rFonts w:ascii="Times New Roman" w:hAnsi="Times New Roman" w:cs="Times New Roman"/>
          <w:sz w:val="24"/>
          <w:szCs w:val="24"/>
        </w:rPr>
      </w:pPr>
      <w:r>
        <w:rPr>
          <w:rFonts w:ascii="Times New Roman" w:hAnsi="Times New Roman" w:cs="Times New Roman"/>
          <w:sz w:val="24"/>
          <w:szCs w:val="24"/>
        </w:rPr>
        <w:t xml:space="preserve">                   Additional Hellenistic features</w:t>
      </w:r>
    </w:p>
    <w:p w14:paraId="48823131" w14:textId="7B713444" w:rsidR="00EB7705" w:rsidRPr="00FB289D" w:rsidRDefault="004E7553" w:rsidP="004220C2">
      <w:pPr>
        <w:rPr>
          <w:rFonts w:ascii="Times New Roman" w:hAnsi="Times New Roman" w:cs="Times New Roman"/>
          <w:sz w:val="24"/>
          <w:szCs w:val="24"/>
          <w:u w:val="single"/>
        </w:rPr>
      </w:pPr>
      <w:r w:rsidRPr="00FB289D">
        <w:rPr>
          <w:rFonts w:ascii="Times New Roman" w:hAnsi="Times New Roman" w:cs="Times New Roman"/>
          <w:sz w:val="24"/>
          <w:szCs w:val="24"/>
          <w:u w:val="single"/>
        </w:rPr>
        <w:t>Conclusion</w:t>
      </w:r>
      <w:r w:rsidR="005305C2" w:rsidRPr="00FB289D">
        <w:rPr>
          <w:rFonts w:ascii="Times New Roman" w:hAnsi="Times New Roman" w:cs="Times New Roman"/>
          <w:sz w:val="24"/>
          <w:szCs w:val="24"/>
          <w:u w:val="single"/>
        </w:rPr>
        <w:t xml:space="preserve">                                                                                                                           52-54</w:t>
      </w:r>
    </w:p>
    <w:p w14:paraId="45A5FB1E" w14:textId="5757110A" w:rsidR="004E7553" w:rsidRPr="00FB289D" w:rsidRDefault="00177A16" w:rsidP="004220C2">
      <w:pPr>
        <w:rPr>
          <w:rFonts w:ascii="Times New Roman" w:hAnsi="Times New Roman" w:cs="Times New Roman"/>
          <w:sz w:val="24"/>
          <w:szCs w:val="24"/>
          <w:u w:val="single"/>
        </w:rPr>
      </w:pPr>
      <w:r w:rsidRPr="00FB289D">
        <w:rPr>
          <w:rFonts w:ascii="Times New Roman" w:hAnsi="Times New Roman" w:cs="Times New Roman"/>
          <w:sz w:val="24"/>
          <w:szCs w:val="24"/>
          <w:u w:val="single"/>
        </w:rPr>
        <w:t>Bibliography</w:t>
      </w:r>
      <w:r w:rsidR="005305C2" w:rsidRPr="00FB289D">
        <w:rPr>
          <w:rFonts w:ascii="Times New Roman" w:hAnsi="Times New Roman" w:cs="Times New Roman"/>
          <w:sz w:val="24"/>
          <w:szCs w:val="24"/>
          <w:u w:val="single"/>
        </w:rPr>
        <w:t xml:space="preserve">                                                                                                                        55-57</w:t>
      </w:r>
    </w:p>
    <w:p w14:paraId="0B9F9155" w14:textId="3D401383" w:rsidR="004E7553" w:rsidRPr="00FB289D" w:rsidRDefault="004E7553" w:rsidP="004220C2">
      <w:pPr>
        <w:rPr>
          <w:rFonts w:ascii="Times New Roman" w:hAnsi="Times New Roman" w:cs="Times New Roman"/>
          <w:sz w:val="24"/>
          <w:szCs w:val="24"/>
          <w:u w:val="single"/>
        </w:rPr>
      </w:pPr>
      <w:r w:rsidRPr="00FB289D">
        <w:rPr>
          <w:rFonts w:ascii="Times New Roman" w:hAnsi="Times New Roman" w:cs="Times New Roman"/>
          <w:sz w:val="24"/>
          <w:szCs w:val="24"/>
          <w:u w:val="single"/>
        </w:rPr>
        <w:t>Appendices</w:t>
      </w:r>
      <w:r w:rsidR="00D55390" w:rsidRPr="00FB289D">
        <w:rPr>
          <w:rFonts w:ascii="Times New Roman" w:hAnsi="Times New Roman" w:cs="Times New Roman"/>
          <w:sz w:val="24"/>
          <w:szCs w:val="24"/>
          <w:u w:val="single"/>
        </w:rPr>
        <w:t xml:space="preserve">                                                                                                                          58</w:t>
      </w:r>
      <w:r w:rsidR="00165CA3" w:rsidRPr="00FB289D">
        <w:rPr>
          <w:rFonts w:ascii="Times New Roman" w:hAnsi="Times New Roman" w:cs="Times New Roman"/>
          <w:sz w:val="24"/>
          <w:szCs w:val="24"/>
          <w:u w:val="single"/>
        </w:rPr>
        <w:t>-61</w:t>
      </w:r>
    </w:p>
    <w:p w14:paraId="2ED46B24" w14:textId="77777777" w:rsidR="001775E9" w:rsidRPr="00FB289D" w:rsidRDefault="004E7553" w:rsidP="004220C2">
      <w:pPr>
        <w:rPr>
          <w:rFonts w:ascii="Times New Roman" w:hAnsi="Times New Roman" w:cs="Times New Roman"/>
          <w:sz w:val="24"/>
          <w:szCs w:val="24"/>
        </w:rPr>
      </w:pPr>
      <w:r w:rsidRPr="00FB289D">
        <w:rPr>
          <w:rFonts w:ascii="Times New Roman" w:hAnsi="Times New Roman" w:cs="Times New Roman"/>
          <w:sz w:val="24"/>
          <w:szCs w:val="24"/>
        </w:rPr>
        <w:t xml:space="preserve">     </w:t>
      </w:r>
    </w:p>
    <w:p w14:paraId="120AFAB6" w14:textId="77777777" w:rsidR="001775E9" w:rsidRPr="00FB289D" w:rsidRDefault="001775E9" w:rsidP="004220C2">
      <w:pPr>
        <w:rPr>
          <w:rFonts w:ascii="Times New Roman" w:hAnsi="Times New Roman" w:cs="Times New Roman"/>
          <w:sz w:val="24"/>
          <w:szCs w:val="24"/>
        </w:rPr>
      </w:pPr>
    </w:p>
    <w:p w14:paraId="03971EC8" w14:textId="438CEAD5" w:rsidR="004E7553" w:rsidRPr="00FB289D" w:rsidRDefault="004E7553" w:rsidP="004220C2">
      <w:pPr>
        <w:rPr>
          <w:rFonts w:ascii="Times New Roman" w:hAnsi="Times New Roman" w:cs="Times New Roman"/>
          <w:sz w:val="24"/>
          <w:szCs w:val="24"/>
        </w:rPr>
      </w:pPr>
      <w:r w:rsidRPr="00FB289D">
        <w:rPr>
          <w:rFonts w:ascii="Times New Roman" w:hAnsi="Times New Roman" w:cs="Times New Roman"/>
          <w:sz w:val="24"/>
          <w:szCs w:val="24"/>
        </w:rPr>
        <w:t xml:space="preserve">              </w:t>
      </w:r>
    </w:p>
    <w:p w14:paraId="1841ED7A" w14:textId="2DDE4485" w:rsidR="004E7553" w:rsidRPr="00FB289D" w:rsidRDefault="004E7553" w:rsidP="001775E9">
      <w:pPr>
        <w:rPr>
          <w:rFonts w:ascii="Times New Roman" w:hAnsi="Times New Roman" w:cs="Times New Roman"/>
          <w:sz w:val="24"/>
          <w:szCs w:val="24"/>
        </w:rPr>
      </w:pPr>
      <w:r w:rsidRPr="00FB289D">
        <w:rPr>
          <w:rFonts w:ascii="Times New Roman" w:hAnsi="Times New Roman" w:cs="Times New Roman"/>
          <w:sz w:val="24"/>
          <w:szCs w:val="24"/>
        </w:rPr>
        <w:t xml:space="preserve">                   </w:t>
      </w:r>
    </w:p>
    <w:p w14:paraId="230D8511" w14:textId="77777777" w:rsidR="005D7BD1" w:rsidRPr="00FB289D" w:rsidRDefault="005D7BD1" w:rsidP="004E7553">
      <w:pPr>
        <w:rPr>
          <w:rFonts w:ascii="Times New Roman" w:hAnsi="Times New Roman" w:cs="Times New Roman"/>
          <w:sz w:val="24"/>
          <w:szCs w:val="24"/>
          <w:u w:val="single"/>
        </w:rPr>
      </w:pPr>
    </w:p>
    <w:p w14:paraId="34401911" w14:textId="374311C5" w:rsidR="004E7553" w:rsidRPr="00FB289D" w:rsidRDefault="004E7553" w:rsidP="004E7553">
      <w:pPr>
        <w:rPr>
          <w:rFonts w:ascii="Times New Roman" w:hAnsi="Times New Roman" w:cs="Times New Roman"/>
          <w:sz w:val="24"/>
          <w:szCs w:val="24"/>
          <w:u w:val="single"/>
        </w:rPr>
      </w:pPr>
      <w:r w:rsidRPr="00FB289D">
        <w:rPr>
          <w:rFonts w:ascii="Times New Roman" w:hAnsi="Times New Roman" w:cs="Times New Roman"/>
          <w:sz w:val="24"/>
          <w:szCs w:val="24"/>
          <w:u w:val="single"/>
        </w:rPr>
        <w:t>Figure List</w:t>
      </w:r>
    </w:p>
    <w:p w14:paraId="1A0E806A" w14:textId="77777777" w:rsidR="004220C2" w:rsidRPr="00FB289D" w:rsidRDefault="004220C2">
      <w:pPr>
        <w:rPr>
          <w:rFonts w:ascii="Times New Roman" w:hAnsi="Times New Roman" w:cs="Times New Roman"/>
          <w:sz w:val="24"/>
          <w:szCs w:val="24"/>
        </w:rPr>
      </w:pPr>
    </w:p>
    <w:p w14:paraId="396110D0" w14:textId="6002BE1B" w:rsidR="004E7553" w:rsidRDefault="00165CA3">
      <w:pPr>
        <w:rPr>
          <w:rFonts w:ascii="Times New Roman" w:hAnsi="Times New Roman" w:cs="Times New Roman"/>
          <w:sz w:val="24"/>
          <w:szCs w:val="24"/>
        </w:rPr>
      </w:pPr>
      <w:r w:rsidRPr="00165CA3">
        <w:rPr>
          <w:rFonts w:ascii="Times New Roman" w:hAnsi="Times New Roman" w:cs="Times New Roman"/>
          <w:sz w:val="24"/>
          <w:szCs w:val="24"/>
        </w:rPr>
        <w:t>Fig. 1</w:t>
      </w:r>
      <w:r>
        <w:rPr>
          <w:rFonts w:ascii="Times New Roman" w:hAnsi="Times New Roman" w:cs="Times New Roman"/>
          <w:sz w:val="24"/>
          <w:szCs w:val="24"/>
        </w:rPr>
        <w:t xml:space="preserve"> in Appendix 1:</w:t>
      </w:r>
      <w:r w:rsidRPr="00165CA3">
        <w:rPr>
          <w:rFonts w:ascii="Times New Roman" w:hAnsi="Times New Roman" w:cs="Times New Roman"/>
          <w:sz w:val="24"/>
          <w:szCs w:val="24"/>
        </w:rPr>
        <w:t xml:space="preserve"> </w:t>
      </w:r>
      <w:r>
        <w:rPr>
          <w:rFonts w:ascii="Times New Roman" w:hAnsi="Times New Roman" w:cs="Times New Roman"/>
          <w:sz w:val="24"/>
          <w:szCs w:val="24"/>
        </w:rPr>
        <w:t>M</w:t>
      </w:r>
      <w:r w:rsidRPr="00165CA3">
        <w:rPr>
          <w:rFonts w:ascii="Times New Roman" w:hAnsi="Times New Roman" w:cs="Times New Roman"/>
          <w:sz w:val="24"/>
          <w:szCs w:val="24"/>
        </w:rPr>
        <w:t>ap outlining the N</w:t>
      </w:r>
      <w:r>
        <w:rPr>
          <w:rFonts w:ascii="Times New Roman" w:hAnsi="Times New Roman" w:cs="Times New Roman"/>
          <w:sz w:val="24"/>
          <w:szCs w:val="24"/>
        </w:rPr>
        <w:t>abataean kingdom (page58)</w:t>
      </w:r>
    </w:p>
    <w:p w14:paraId="3F14013D" w14:textId="7D804BDC" w:rsidR="00165CA3" w:rsidRDefault="00165CA3">
      <w:pPr>
        <w:rPr>
          <w:rFonts w:ascii="Times New Roman" w:hAnsi="Times New Roman" w:cs="Times New Roman"/>
          <w:sz w:val="24"/>
          <w:szCs w:val="24"/>
        </w:rPr>
      </w:pPr>
    </w:p>
    <w:p w14:paraId="3DEB3ACC" w14:textId="7F798B64" w:rsidR="00165CA3" w:rsidRDefault="00165CA3">
      <w:pPr>
        <w:rPr>
          <w:rFonts w:ascii="Times New Roman" w:hAnsi="Times New Roman" w:cs="Times New Roman"/>
          <w:sz w:val="24"/>
          <w:szCs w:val="24"/>
        </w:rPr>
      </w:pPr>
      <w:r>
        <w:rPr>
          <w:rFonts w:ascii="Times New Roman" w:hAnsi="Times New Roman" w:cs="Times New Roman"/>
          <w:sz w:val="24"/>
          <w:szCs w:val="24"/>
        </w:rPr>
        <w:t>Fig. 2 in Appendix 1: Eye-</w:t>
      </w:r>
      <w:proofErr w:type="spellStart"/>
      <w:r>
        <w:rPr>
          <w:rFonts w:ascii="Times New Roman" w:hAnsi="Times New Roman" w:cs="Times New Roman"/>
          <w:sz w:val="24"/>
          <w:szCs w:val="24"/>
        </w:rPr>
        <w:t>betyl</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page 58)</w:t>
      </w:r>
    </w:p>
    <w:p w14:paraId="74E57E87" w14:textId="2333E885" w:rsidR="00165CA3" w:rsidRDefault="00165CA3">
      <w:pPr>
        <w:rPr>
          <w:rFonts w:ascii="Times New Roman" w:hAnsi="Times New Roman" w:cs="Times New Roman"/>
          <w:sz w:val="24"/>
          <w:szCs w:val="24"/>
        </w:rPr>
      </w:pPr>
    </w:p>
    <w:p w14:paraId="196C0A50" w14:textId="55CE8B5C" w:rsidR="00165CA3" w:rsidRPr="00165CA3" w:rsidRDefault="00165CA3">
      <w:pPr>
        <w:rPr>
          <w:rFonts w:ascii="Times New Roman" w:hAnsi="Times New Roman" w:cs="Times New Roman"/>
          <w:sz w:val="24"/>
          <w:szCs w:val="24"/>
        </w:rPr>
      </w:pPr>
      <w:r w:rsidRPr="00165CA3">
        <w:rPr>
          <w:rFonts w:ascii="Times New Roman" w:hAnsi="Times New Roman" w:cs="Times New Roman"/>
          <w:sz w:val="24"/>
          <w:szCs w:val="24"/>
        </w:rPr>
        <w:t xml:space="preserve">Fig. 3 in Appendix 1: tomb complexes </w:t>
      </w:r>
      <w:proofErr w:type="spellStart"/>
      <w:r w:rsidRPr="00165CA3">
        <w:rPr>
          <w:rFonts w:ascii="Times New Roman" w:hAnsi="Times New Roman" w:cs="Times New Roman"/>
          <w:sz w:val="24"/>
          <w:szCs w:val="24"/>
        </w:rPr>
        <w:t>scetch</w:t>
      </w:r>
      <w:proofErr w:type="spellEnd"/>
      <w:r w:rsidRPr="00165CA3">
        <w:rPr>
          <w:rFonts w:ascii="Times New Roman" w:hAnsi="Times New Roman" w:cs="Times New Roman"/>
          <w:sz w:val="24"/>
          <w:szCs w:val="24"/>
        </w:rPr>
        <w:t xml:space="preserve">                      </w:t>
      </w:r>
      <w:proofErr w:type="gramStart"/>
      <w:r w:rsidRPr="00165CA3">
        <w:rPr>
          <w:rFonts w:ascii="Times New Roman" w:hAnsi="Times New Roman" w:cs="Times New Roman"/>
          <w:sz w:val="24"/>
          <w:szCs w:val="24"/>
        </w:rPr>
        <w:t xml:space="preserve">   (</w:t>
      </w:r>
      <w:proofErr w:type="gramEnd"/>
      <w:r w:rsidRPr="00165CA3">
        <w:rPr>
          <w:rFonts w:ascii="Times New Roman" w:hAnsi="Times New Roman" w:cs="Times New Roman"/>
          <w:sz w:val="24"/>
          <w:szCs w:val="24"/>
        </w:rPr>
        <w:t>page 59)</w:t>
      </w:r>
    </w:p>
    <w:p w14:paraId="5BCEDF24" w14:textId="77777777" w:rsidR="004220C2" w:rsidRPr="00165CA3" w:rsidRDefault="004220C2">
      <w:pPr>
        <w:rPr>
          <w:rFonts w:ascii="Times New Roman" w:hAnsi="Times New Roman" w:cs="Times New Roman"/>
          <w:sz w:val="24"/>
          <w:szCs w:val="24"/>
        </w:rPr>
      </w:pPr>
    </w:p>
    <w:p w14:paraId="2A535147" w14:textId="780D71A1" w:rsidR="004220C2" w:rsidRDefault="00165CA3">
      <w:pPr>
        <w:rPr>
          <w:rFonts w:ascii="Times New Roman" w:hAnsi="Times New Roman" w:cs="Times New Roman"/>
          <w:sz w:val="24"/>
          <w:szCs w:val="24"/>
        </w:rPr>
      </w:pPr>
      <w:r w:rsidRPr="00165CA3">
        <w:rPr>
          <w:rFonts w:ascii="Times New Roman" w:hAnsi="Times New Roman" w:cs="Times New Roman"/>
          <w:sz w:val="24"/>
          <w:szCs w:val="24"/>
        </w:rPr>
        <w:t>Fig. 4 i</w:t>
      </w:r>
      <w:r>
        <w:rPr>
          <w:rFonts w:ascii="Times New Roman" w:hAnsi="Times New Roman" w:cs="Times New Roman"/>
          <w:sz w:val="24"/>
          <w:szCs w:val="24"/>
        </w:rPr>
        <w:t xml:space="preserve">n Appendix 1: Corinthian and urn tombs                  </w:t>
      </w:r>
      <w:proofErr w:type="gramStart"/>
      <w:r>
        <w:rPr>
          <w:rFonts w:ascii="Times New Roman" w:hAnsi="Times New Roman" w:cs="Times New Roman"/>
          <w:sz w:val="24"/>
          <w:szCs w:val="24"/>
        </w:rPr>
        <w:t xml:space="preserve">   (</w:t>
      </w:r>
      <w:proofErr w:type="gramEnd"/>
      <w:r>
        <w:rPr>
          <w:rFonts w:ascii="Times New Roman" w:hAnsi="Times New Roman" w:cs="Times New Roman"/>
          <w:sz w:val="24"/>
          <w:szCs w:val="24"/>
        </w:rPr>
        <w:t>page 59)</w:t>
      </w:r>
    </w:p>
    <w:p w14:paraId="36CD387B" w14:textId="79FC9E6C" w:rsidR="00165CA3" w:rsidRDefault="00165CA3">
      <w:pPr>
        <w:rPr>
          <w:rFonts w:ascii="Times New Roman" w:hAnsi="Times New Roman" w:cs="Times New Roman"/>
          <w:sz w:val="24"/>
          <w:szCs w:val="24"/>
        </w:rPr>
      </w:pPr>
    </w:p>
    <w:p w14:paraId="6B5689F8" w14:textId="1D976141" w:rsidR="00165CA3" w:rsidRDefault="00165CA3">
      <w:pPr>
        <w:rPr>
          <w:rFonts w:ascii="Times New Roman" w:hAnsi="Times New Roman" w:cs="Times New Roman"/>
          <w:sz w:val="24"/>
          <w:szCs w:val="24"/>
          <w:lang w:val="fr-CH"/>
        </w:rPr>
      </w:pPr>
      <w:r w:rsidRPr="00165CA3">
        <w:rPr>
          <w:rFonts w:ascii="Times New Roman" w:hAnsi="Times New Roman" w:cs="Times New Roman"/>
          <w:sz w:val="24"/>
          <w:szCs w:val="24"/>
          <w:lang w:val="fr-CH"/>
        </w:rPr>
        <w:t xml:space="preserve">Fig.5 in Appendix </w:t>
      </w:r>
      <w:proofErr w:type="gramStart"/>
      <w:r w:rsidRPr="00165CA3">
        <w:rPr>
          <w:rFonts w:ascii="Times New Roman" w:hAnsi="Times New Roman" w:cs="Times New Roman"/>
          <w:sz w:val="24"/>
          <w:szCs w:val="24"/>
          <w:lang w:val="fr-CH"/>
        </w:rPr>
        <w:t>1:</w:t>
      </w:r>
      <w:proofErr w:type="gramEnd"/>
      <w:r w:rsidRPr="00165CA3">
        <w:rPr>
          <w:rFonts w:ascii="Times New Roman" w:hAnsi="Times New Roman" w:cs="Times New Roman"/>
          <w:sz w:val="24"/>
          <w:szCs w:val="24"/>
          <w:lang w:val="fr-CH"/>
        </w:rPr>
        <w:t xml:space="preserve">  </w:t>
      </w:r>
      <w:proofErr w:type="spellStart"/>
      <w:r w:rsidRPr="00165CA3">
        <w:rPr>
          <w:rFonts w:ascii="Times New Roman" w:hAnsi="Times New Roman" w:cs="Times New Roman"/>
          <w:sz w:val="24"/>
          <w:szCs w:val="24"/>
          <w:lang w:val="fr-CH"/>
        </w:rPr>
        <w:t>tomb</w:t>
      </w:r>
      <w:proofErr w:type="spellEnd"/>
      <w:r w:rsidRPr="00165CA3">
        <w:rPr>
          <w:rFonts w:ascii="Times New Roman" w:hAnsi="Times New Roman" w:cs="Times New Roman"/>
          <w:sz w:val="24"/>
          <w:szCs w:val="24"/>
          <w:lang w:val="fr-CH"/>
        </w:rPr>
        <w:t xml:space="preserve"> façade types                                  (page</w:t>
      </w:r>
      <w:r>
        <w:rPr>
          <w:rFonts w:ascii="Times New Roman" w:hAnsi="Times New Roman" w:cs="Times New Roman"/>
          <w:sz w:val="24"/>
          <w:szCs w:val="24"/>
          <w:lang w:val="fr-CH"/>
        </w:rPr>
        <w:t xml:space="preserve"> 60)</w:t>
      </w:r>
    </w:p>
    <w:p w14:paraId="537ACED5" w14:textId="295DA183" w:rsidR="00165CA3" w:rsidRDefault="00165CA3">
      <w:pPr>
        <w:rPr>
          <w:rFonts w:ascii="Times New Roman" w:hAnsi="Times New Roman" w:cs="Times New Roman"/>
          <w:sz w:val="24"/>
          <w:szCs w:val="24"/>
          <w:lang w:val="fr-CH"/>
        </w:rPr>
      </w:pPr>
    </w:p>
    <w:p w14:paraId="0809FA28" w14:textId="5D81918B" w:rsidR="00165CA3" w:rsidRDefault="00165CA3">
      <w:pPr>
        <w:rPr>
          <w:rFonts w:ascii="Times New Roman" w:hAnsi="Times New Roman" w:cs="Times New Roman"/>
          <w:sz w:val="24"/>
          <w:szCs w:val="24"/>
        </w:rPr>
      </w:pPr>
      <w:r w:rsidRPr="00165CA3">
        <w:rPr>
          <w:rFonts w:ascii="Times New Roman" w:hAnsi="Times New Roman" w:cs="Times New Roman"/>
          <w:sz w:val="24"/>
          <w:szCs w:val="24"/>
        </w:rPr>
        <w:t xml:space="preserve">Fig. 6 in Appendix </w:t>
      </w:r>
      <w:proofErr w:type="gramStart"/>
      <w:r w:rsidRPr="00165CA3">
        <w:rPr>
          <w:rFonts w:ascii="Times New Roman" w:hAnsi="Times New Roman" w:cs="Times New Roman"/>
          <w:sz w:val="24"/>
          <w:szCs w:val="24"/>
        </w:rPr>
        <w:t>1 :</w:t>
      </w:r>
      <w:proofErr w:type="gramEnd"/>
      <w:r w:rsidRPr="00165CA3">
        <w:rPr>
          <w:rFonts w:ascii="Times New Roman" w:hAnsi="Times New Roman" w:cs="Times New Roman"/>
          <w:sz w:val="24"/>
          <w:szCs w:val="24"/>
        </w:rPr>
        <w:t xml:space="preserve"> Ishtar Gate</w:t>
      </w:r>
      <w:r>
        <w:rPr>
          <w:rFonts w:ascii="Times New Roman" w:hAnsi="Times New Roman" w:cs="Times New Roman"/>
          <w:sz w:val="24"/>
          <w:szCs w:val="24"/>
        </w:rPr>
        <w:t xml:space="preserve">                                             (page 60)</w:t>
      </w:r>
    </w:p>
    <w:p w14:paraId="4EB9611B" w14:textId="38CF19F5" w:rsidR="00165CA3" w:rsidRDefault="00165CA3">
      <w:pPr>
        <w:rPr>
          <w:rFonts w:ascii="Times New Roman" w:hAnsi="Times New Roman" w:cs="Times New Roman"/>
          <w:sz w:val="24"/>
          <w:szCs w:val="24"/>
        </w:rPr>
      </w:pPr>
    </w:p>
    <w:p w14:paraId="7C239AFA" w14:textId="77777777" w:rsidR="00165CA3" w:rsidRPr="00165CA3" w:rsidRDefault="00165CA3">
      <w:pPr>
        <w:rPr>
          <w:rFonts w:ascii="Times New Roman" w:hAnsi="Times New Roman" w:cs="Times New Roman"/>
          <w:sz w:val="24"/>
          <w:szCs w:val="24"/>
        </w:rPr>
      </w:pPr>
    </w:p>
    <w:p w14:paraId="5961EB88" w14:textId="77777777" w:rsidR="004220C2" w:rsidRPr="00165CA3" w:rsidRDefault="004220C2">
      <w:pPr>
        <w:rPr>
          <w:rFonts w:ascii="Times New Roman" w:hAnsi="Times New Roman" w:cs="Times New Roman"/>
          <w:sz w:val="24"/>
          <w:szCs w:val="24"/>
        </w:rPr>
      </w:pPr>
    </w:p>
    <w:p w14:paraId="1C9598F9" w14:textId="77777777" w:rsidR="004E7553" w:rsidRPr="00165CA3" w:rsidRDefault="004E7553">
      <w:pPr>
        <w:rPr>
          <w:rFonts w:ascii="Times New Roman" w:hAnsi="Times New Roman" w:cs="Times New Roman"/>
          <w:sz w:val="24"/>
          <w:szCs w:val="24"/>
        </w:rPr>
      </w:pPr>
    </w:p>
    <w:p w14:paraId="321A56C2" w14:textId="77777777" w:rsidR="004E7553" w:rsidRPr="00165CA3" w:rsidRDefault="004E7553">
      <w:pPr>
        <w:rPr>
          <w:rFonts w:ascii="Times New Roman" w:hAnsi="Times New Roman" w:cs="Times New Roman"/>
          <w:sz w:val="24"/>
          <w:szCs w:val="24"/>
        </w:rPr>
      </w:pPr>
    </w:p>
    <w:p w14:paraId="377F2333" w14:textId="77777777" w:rsidR="004E7553" w:rsidRPr="00165CA3" w:rsidRDefault="004E7553">
      <w:pPr>
        <w:rPr>
          <w:rFonts w:ascii="Times New Roman" w:hAnsi="Times New Roman" w:cs="Times New Roman"/>
          <w:sz w:val="24"/>
          <w:szCs w:val="24"/>
        </w:rPr>
      </w:pPr>
    </w:p>
    <w:p w14:paraId="23762363" w14:textId="77777777" w:rsidR="004E7553" w:rsidRPr="00165CA3" w:rsidRDefault="004E7553">
      <w:pPr>
        <w:rPr>
          <w:rFonts w:ascii="Times New Roman" w:hAnsi="Times New Roman" w:cs="Times New Roman"/>
          <w:sz w:val="24"/>
          <w:szCs w:val="24"/>
        </w:rPr>
      </w:pPr>
    </w:p>
    <w:p w14:paraId="063847DD" w14:textId="77777777" w:rsidR="004E7553" w:rsidRPr="00165CA3" w:rsidRDefault="004E7553">
      <w:pPr>
        <w:rPr>
          <w:rFonts w:ascii="Times New Roman" w:hAnsi="Times New Roman" w:cs="Times New Roman"/>
          <w:sz w:val="24"/>
          <w:szCs w:val="24"/>
        </w:rPr>
      </w:pPr>
    </w:p>
    <w:p w14:paraId="382993EC" w14:textId="77777777" w:rsidR="004E7553" w:rsidRPr="00165CA3" w:rsidRDefault="004E7553">
      <w:pPr>
        <w:rPr>
          <w:rFonts w:ascii="Times New Roman" w:hAnsi="Times New Roman" w:cs="Times New Roman"/>
          <w:sz w:val="24"/>
          <w:szCs w:val="24"/>
        </w:rPr>
      </w:pPr>
    </w:p>
    <w:p w14:paraId="2E1C85C6" w14:textId="77777777" w:rsidR="004E7553" w:rsidRPr="00165CA3" w:rsidRDefault="004E7553">
      <w:pPr>
        <w:rPr>
          <w:rFonts w:ascii="Times New Roman" w:hAnsi="Times New Roman" w:cs="Times New Roman"/>
          <w:sz w:val="24"/>
          <w:szCs w:val="24"/>
        </w:rPr>
      </w:pPr>
    </w:p>
    <w:p w14:paraId="1744C9E2" w14:textId="77777777" w:rsidR="004E7553" w:rsidRPr="00165CA3" w:rsidRDefault="004E7553">
      <w:pPr>
        <w:rPr>
          <w:rFonts w:ascii="Times New Roman" w:hAnsi="Times New Roman" w:cs="Times New Roman"/>
          <w:sz w:val="24"/>
          <w:szCs w:val="24"/>
        </w:rPr>
      </w:pPr>
    </w:p>
    <w:p w14:paraId="4501AB7B" w14:textId="77777777" w:rsidR="004E7553" w:rsidRPr="00165CA3" w:rsidRDefault="004E7553">
      <w:pPr>
        <w:rPr>
          <w:rFonts w:ascii="Times New Roman" w:hAnsi="Times New Roman" w:cs="Times New Roman"/>
          <w:sz w:val="24"/>
          <w:szCs w:val="24"/>
        </w:rPr>
      </w:pPr>
    </w:p>
    <w:p w14:paraId="6C1C795A" w14:textId="77777777" w:rsidR="004E7553" w:rsidRPr="00165CA3" w:rsidRDefault="004E7553">
      <w:pPr>
        <w:rPr>
          <w:rFonts w:ascii="Times New Roman" w:hAnsi="Times New Roman" w:cs="Times New Roman"/>
          <w:sz w:val="24"/>
          <w:szCs w:val="24"/>
        </w:rPr>
      </w:pPr>
    </w:p>
    <w:p w14:paraId="1B687293" w14:textId="77777777" w:rsidR="004E7553" w:rsidRPr="00165CA3" w:rsidRDefault="004E7553">
      <w:pPr>
        <w:rPr>
          <w:rFonts w:ascii="Times New Roman" w:hAnsi="Times New Roman" w:cs="Times New Roman"/>
          <w:sz w:val="24"/>
          <w:szCs w:val="24"/>
        </w:rPr>
      </w:pPr>
    </w:p>
    <w:p w14:paraId="11003511" w14:textId="77777777" w:rsidR="004E7553" w:rsidRPr="00165CA3" w:rsidRDefault="004E7553">
      <w:pPr>
        <w:rPr>
          <w:rFonts w:ascii="Times New Roman" w:hAnsi="Times New Roman" w:cs="Times New Roman"/>
          <w:sz w:val="24"/>
          <w:szCs w:val="24"/>
        </w:rPr>
      </w:pPr>
    </w:p>
    <w:p w14:paraId="5000817A" w14:textId="77777777" w:rsidR="004E7553" w:rsidRPr="00165CA3" w:rsidRDefault="004E7553">
      <w:pPr>
        <w:rPr>
          <w:rFonts w:ascii="Times New Roman" w:hAnsi="Times New Roman" w:cs="Times New Roman"/>
          <w:sz w:val="24"/>
          <w:szCs w:val="24"/>
        </w:rPr>
      </w:pPr>
    </w:p>
    <w:p w14:paraId="3E73F6EB" w14:textId="77777777" w:rsidR="004E7553" w:rsidRPr="00165CA3" w:rsidRDefault="004E7553">
      <w:pPr>
        <w:rPr>
          <w:rFonts w:ascii="Times New Roman" w:hAnsi="Times New Roman" w:cs="Times New Roman"/>
          <w:sz w:val="24"/>
          <w:szCs w:val="24"/>
        </w:rPr>
      </w:pPr>
    </w:p>
    <w:p w14:paraId="65C6A96B" w14:textId="77777777" w:rsidR="004E7553" w:rsidRDefault="004E7553">
      <w:pPr>
        <w:rPr>
          <w:rFonts w:ascii="Times New Roman" w:hAnsi="Times New Roman" w:cs="Times New Roman"/>
          <w:b/>
          <w:sz w:val="24"/>
          <w:szCs w:val="24"/>
          <w:u w:val="single"/>
        </w:rPr>
      </w:pPr>
      <w:bookmarkStart w:id="0" w:name="_GoBack"/>
      <w:bookmarkEnd w:id="0"/>
      <w:r w:rsidRPr="004E7553">
        <w:rPr>
          <w:rFonts w:ascii="Times New Roman" w:hAnsi="Times New Roman" w:cs="Times New Roman"/>
          <w:b/>
          <w:sz w:val="24"/>
          <w:szCs w:val="24"/>
          <w:u w:val="single"/>
        </w:rPr>
        <w:lastRenderedPageBreak/>
        <w:t>Introduction</w:t>
      </w:r>
    </w:p>
    <w:p w14:paraId="115E610A" w14:textId="77777777" w:rsidR="004E7553" w:rsidRDefault="004E7553">
      <w:pPr>
        <w:rPr>
          <w:rFonts w:ascii="Times New Roman" w:hAnsi="Times New Roman" w:cs="Times New Roman"/>
          <w:b/>
          <w:sz w:val="24"/>
          <w:szCs w:val="24"/>
          <w:u w:val="single"/>
        </w:rPr>
      </w:pPr>
    </w:p>
    <w:p w14:paraId="6CBD7713" w14:textId="77777777" w:rsidR="004E7553" w:rsidRDefault="00F804EE" w:rsidP="00534FA0">
      <w:pPr>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F83818">
        <w:rPr>
          <w:rFonts w:ascii="Times New Roman" w:hAnsi="Times New Roman" w:cs="Times New Roman"/>
          <w:sz w:val="24"/>
          <w:szCs w:val="24"/>
        </w:rPr>
        <w:t>enchanting</w:t>
      </w:r>
      <w:r>
        <w:rPr>
          <w:rFonts w:ascii="Times New Roman" w:hAnsi="Times New Roman" w:cs="Times New Roman"/>
          <w:sz w:val="24"/>
          <w:szCs w:val="24"/>
        </w:rPr>
        <w:t xml:space="preserve"> rock-cut landscape of Petra</w:t>
      </w:r>
      <w:r w:rsidR="0058450C">
        <w:rPr>
          <w:rFonts w:ascii="Times New Roman" w:hAnsi="Times New Roman" w:cs="Times New Roman"/>
          <w:sz w:val="24"/>
          <w:szCs w:val="24"/>
        </w:rPr>
        <w:t>,</w:t>
      </w:r>
      <w:r w:rsidR="00F83818">
        <w:rPr>
          <w:rFonts w:ascii="Times New Roman" w:hAnsi="Times New Roman" w:cs="Times New Roman"/>
          <w:sz w:val="24"/>
          <w:szCs w:val="24"/>
        </w:rPr>
        <w:t xml:space="preserve"> and </w:t>
      </w:r>
      <w:proofErr w:type="spellStart"/>
      <w:r w:rsidR="00F83818">
        <w:rPr>
          <w:rFonts w:ascii="Times New Roman" w:hAnsi="Times New Roman" w:cs="Times New Roman"/>
          <w:sz w:val="24"/>
          <w:szCs w:val="24"/>
        </w:rPr>
        <w:t>Mada`in</w:t>
      </w:r>
      <w:proofErr w:type="spellEnd"/>
      <w:r w:rsidR="00F83818">
        <w:rPr>
          <w:rFonts w:ascii="Times New Roman" w:hAnsi="Times New Roman" w:cs="Times New Roman"/>
          <w:sz w:val="24"/>
          <w:szCs w:val="24"/>
        </w:rPr>
        <w:t xml:space="preserve"> Saleh</w:t>
      </w:r>
      <w:r w:rsidR="0058450C">
        <w:rPr>
          <w:rFonts w:ascii="Times New Roman" w:hAnsi="Times New Roman" w:cs="Times New Roman"/>
          <w:sz w:val="24"/>
          <w:szCs w:val="24"/>
        </w:rPr>
        <w:t xml:space="preserve"> at </w:t>
      </w:r>
      <w:proofErr w:type="spellStart"/>
      <w:r w:rsidR="0058450C">
        <w:rPr>
          <w:rFonts w:ascii="Times New Roman" w:hAnsi="Times New Roman" w:cs="Times New Roman"/>
          <w:sz w:val="24"/>
          <w:szCs w:val="24"/>
        </w:rPr>
        <w:t>Hegra</w:t>
      </w:r>
      <w:proofErr w:type="spellEnd"/>
      <w:r>
        <w:rPr>
          <w:rFonts w:ascii="Times New Roman" w:hAnsi="Times New Roman" w:cs="Times New Roman"/>
          <w:sz w:val="24"/>
          <w:szCs w:val="24"/>
        </w:rPr>
        <w:t>, with its</w:t>
      </w:r>
      <w:r w:rsidR="00534FA0">
        <w:rPr>
          <w:rFonts w:ascii="Times New Roman" w:hAnsi="Times New Roman" w:cs="Times New Roman"/>
          <w:sz w:val="24"/>
          <w:szCs w:val="24"/>
        </w:rPr>
        <w:t xml:space="preserve"> </w:t>
      </w:r>
      <w:r>
        <w:rPr>
          <w:rFonts w:ascii="Times New Roman" w:hAnsi="Times New Roman" w:cs="Times New Roman"/>
          <w:sz w:val="24"/>
          <w:szCs w:val="24"/>
        </w:rPr>
        <w:t>m</w:t>
      </w:r>
      <w:r w:rsidR="00F83818">
        <w:rPr>
          <w:rFonts w:ascii="Times New Roman" w:hAnsi="Times New Roman" w:cs="Times New Roman"/>
          <w:sz w:val="24"/>
          <w:szCs w:val="24"/>
        </w:rPr>
        <w:t>esmerizing</w:t>
      </w:r>
      <w:r>
        <w:rPr>
          <w:rFonts w:ascii="Times New Roman" w:hAnsi="Times New Roman" w:cs="Times New Roman"/>
          <w:sz w:val="24"/>
          <w:szCs w:val="24"/>
        </w:rPr>
        <w:t xml:space="preserve"> red sandstone</w:t>
      </w:r>
      <w:r w:rsidR="00F83818">
        <w:rPr>
          <w:rFonts w:ascii="Times New Roman" w:hAnsi="Times New Roman" w:cs="Times New Roman"/>
          <w:sz w:val="24"/>
          <w:szCs w:val="24"/>
        </w:rPr>
        <w:t>,</w:t>
      </w:r>
      <w:r>
        <w:rPr>
          <w:rFonts w:ascii="Times New Roman" w:hAnsi="Times New Roman" w:cs="Times New Roman"/>
          <w:sz w:val="24"/>
          <w:szCs w:val="24"/>
        </w:rPr>
        <w:t xml:space="preserve"> gaping cliffs</w:t>
      </w:r>
      <w:r w:rsidR="00F83818">
        <w:rPr>
          <w:rFonts w:ascii="Times New Roman" w:hAnsi="Times New Roman" w:cs="Times New Roman"/>
          <w:sz w:val="24"/>
          <w:szCs w:val="24"/>
        </w:rPr>
        <w:t xml:space="preserve"> and mystifying monumental architecture</w:t>
      </w:r>
      <w:r w:rsidR="009407F1">
        <w:rPr>
          <w:rFonts w:ascii="Times New Roman" w:hAnsi="Times New Roman" w:cs="Times New Roman"/>
          <w:sz w:val="24"/>
          <w:szCs w:val="24"/>
        </w:rPr>
        <w:t xml:space="preserve"> such as the </w:t>
      </w:r>
      <w:proofErr w:type="spellStart"/>
      <w:r w:rsidR="009407F1">
        <w:rPr>
          <w:rFonts w:ascii="Times New Roman" w:hAnsi="Times New Roman" w:cs="Times New Roman"/>
          <w:sz w:val="24"/>
          <w:szCs w:val="24"/>
        </w:rPr>
        <w:t>Kahzne</w:t>
      </w:r>
      <w:proofErr w:type="spellEnd"/>
      <w:r w:rsidR="00F83818">
        <w:rPr>
          <w:rFonts w:ascii="Times New Roman" w:hAnsi="Times New Roman" w:cs="Times New Roman"/>
          <w:sz w:val="24"/>
          <w:szCs w:val="24"/>
        </w:rPr>
        <w:t>, carved like pieces of art into the face of the stone, are outstandingly well-preserved witnesses of a long gone past.</w:t>
      </w:r>
      <w:r w:rsidR="0058450C">
        <w:rPr>
          <w:rStyle w:val="Funotenzeichen"/>
          <w:rFonts w:ascii="Times New Roman" w:hAnsi="Times New Roman" w:cs="Times New Roman"/>
          <w:sz w:val="24"/>
          <w:szCs w:val="24"/>
        </w:rPr>
        <w:footnoteReference w:id="1"/>
      </w:r>
      <w:r w:rsidR="00F83818">
        <w:rPr>
          <w:rFonts w:ascii="Times New Roman" w:hAnsi="Times New Roman" w:cs="Times New Roman"/>
          <w:sz w:val="24"/>
          <w:szCs w:val="24"/>
        </w:rPr>
        <w:t xml:space="preserve"> </w:t>
      </w:r>
    </w:p>
    <w:p w14:paraId="3B8E07D1" w14:textId="77777777" w:rsidR="007F0571" w:rsidRDefault="00F83818" w:rsidP="00534FA0">
      <w:pPr>
        <w:spacing w:line="480" w:lineRule="auto"/>
        <w:rPr>
          <w:rFonts w:ascii="Times New Roman" w:hAnsi="Times New Roman" w:cs="Times New Roman"/>
          <w:sz w:val="24"/>
          <w:szCs w:val="24"/>
        </w:rPr>
      </w:pPr>
      <w:r>
        <w:rPr>
          <w:rFonts w:ascii="Times New Roman" w:hAnsi="Times New Roman" w:cs="Times New Roman"/>
          <w:sz w:val="24"/>
          <w:szCs w:val="24"/>
        </w:rPr>
        <w:t>Due to their beauty, they were never truly cast out of human consciousness, nevertheless did we enter into a new era, when Johann Ludwig Burckhardt published his notes and sketches of Petra in 1822,</w:t>
      </w:r>
      <w:r w:rsidR="0058450C">
        <w:rPr>
          <w:rStyle w:val="Funotenzeichen"/>
          <w:rFonts w:ascii="Times New Roman" w:hAnsi="Times New Roman" w:cs="Times New Roman"/>
          <w:sz w:val="24"/>
          <w:szCs w:val="24"/>
        </w:rPr>
        <w:footnoteReference w:id="2"/>
      </w:r>
      <w:r>
        <w:rPr>
          <w:rFonts w:ascii="Times New Roman" w:hAnsi="Times New Roman" w:cs="Times New Roman"/>
          <w:sz w:val="24"/>
          <w:szCs w:val="24"/>
        </w:rPr>
        <w:t xml:space="preserve"> captivating the world anew for the wonders of Nabataean rock-cut architecture</w:t>
      </w:r>
      <w:r w:rsidR="0058450C">
        <w:rPr>
          <w:rFonts w:ascii="Times New Roman" w:hAnsi="Times New Roman" w:cs="Times New Roman"/>
          <w:sz w:val="24"/>
          <w:szCs w:val="24"/>
        </w:rPr>
        <w:t xml:space="preserve">, leading to the UNESCO`s efforts to protect one of humanities greatest architectural </w:t>
      </w:r>
      <w:r w:rsidR="002E06A4">
        <w:rPr>
          <w:rFonts w:ascii="Times New Roman" w:hAnsi="Times New Roman" w:cs="Times New Roman"/>
          <w:sz w:val="24"/>
          <w:szCs w:val="24"/>
        </w:rPr>
        <w:t>achievements</w:t>
      </w:r>
      <w:r w:rsidR="0058450C">
        <w:rPr>
          <w:rFonts w:ascii="Times New Roman" w:hAnsi="Times New Roman" w:cs="Times New Roman"/>
          <w:sz w:val="24"/>
          <w:szCs w:val="24"/>
        </w:rPr>
        <w:t>.</w:t>
      </w:r>
      <w:r w:rsidR="0058450C">
        <w:rPr>
          <w:rStyle w:val="Funotenzeichen"/>
          <w:rFonts w:ascii="Times New Roman" w:hAnsi="Times New Roman" w:cs="Times New Roman"/>
          <w:sz w:val="24"/>
          <w:szCs w:val="24"/>
        </w:rPr>
        <w:footnoteReference w:id="3"/>
      </w:r>
      <w:r w:rsidR="00D85535">
        <w:rPr>
          <w:rFonts w:ascii="Times New Roman" w:hAnsi="Times New Roman" w:cs="Times New Roman"/>
          <w:sz w:val="24"/>
          <w:szCs w:val="24"/>
        </w:rPr>
        <w:t xml:space="preserve"> </w:t>
      </w:r>
      <w:r w:rsidR="009407F1">
        <w:rPr>
          <w:rFonts w:ascii="Times New Roman" w:hAnsi="Times New Roman" w:cs="Times New Roman"/>
          <w:sz w:val="24"/>
          <w:szCs w:val="24"/>
        </w:rPr>
        <w:t>Modern developments however have greatly endangered the integrity of these tombs, with Near Eastern conflicts</w:t>
      </w:r>
      <w:r w:rsidR="0016217F">
        <w:rPr>
          <w:rStyle w:val="Funotenzeichen"/>
          <w:rFonts w:ascii="Times New Roman" w:hAnsi="Times New Roman" w:cs="Times New Roman"/>
          <w:sz w:val="24"/>
          <w:szCs w:val="24"/>
        </w:rPr>
        <w:footnoteReference w:id="4"/>
      </w:r>
      <w:r w:rsidR="009407F1">
        <w:rPr>
          <w:rFonts w:ascii="Times New Roman" w:hAnsi="Times New Roman" w:cs="Times New Roman"/>
          <w:sz w:val="24"/>
          <w:szCs w:val="24"/>
        </w:rPr>
        <w:t xml:space="preserve"> creating a continuous uncertainty as for the safety of this heritage, posing and imminent need to collect as much information on these sites in order to hopefully preserve and expand on present and future technolog</w:t>
      </w:r>
      <w:r w:rsidR="00DF1621">
        <w:rPr>
          <w:rFonts w:ascii="Times New Roman" w:hAnsi="Times New Roman" w:cs="Times New Roman"/>
          <w:sz w:val="24"/>
          <w:szCs w:val="24"/>
        </w:rPr>
        <w:t>ies</w:t>
      </w:r>
      <w:r w:rsidR="009407F1">
        <w:rPr>
          <w:rFonts w:ascii="Times New Roman" w:hAnsi="Times New Roman" w:cs="Times New Roman"/>
          <w:sz w:val="24"/>
          <w:szCs w:val="24"/>
        </w:rPr>
        <w:t>, by creating 3 D models</w:t>
      </w:r>
      <w:r w:rsidR="00DF1621">
        <w:rPr>
          <w:rFonts w:ascii="Times New Roman" w:hAnsi="Times New Roman" w:cs="Times New Roman"/>
          <w:sz w:val="24"/>
          <w:szCs w:val="24"/>
        </w:rPr>
        <w:t xml:space="preserve">, </w:t>
      </w:r>
      <w:r w:rsidR="009407F1">
        <w:rPr>
          <w:rFonts w:ascii="Times New Roman" w:hAnsi="Times New Roman" w:cs="Times New Roman"/>
          <w:sz w:val="24"/>
          <w:szCs w:val="24"/>
        </w:rPr>
        <w:t>virtual reality maps</w:t>
      </w:r>
      <w:r w:rsidR="00DF1621">
        <w:rPr>
          <w:rFonts w:ascii="Times New Roman" w:hAnsi="Times New Roman" w:cs="Times New Roman"/>
          <w:sz w:val="24"/>
          <w:szCs w:val="24"/>
        </w:rPr>
        <w:t>, as well as by supporting projects such as “Aerial Archaeology in Jordan”.</w:t>
      </w:r>
      <w:r w:rsidR="00DF1621">
        <w:rPr>
          <w:rStyle w:val="Funotenzeichen"/>
          <w:rFonts w:ascii="Times New Roman" w:hAnsi="Times New Roman" w:cs="Times New Roman"/>
          <w:sz w:val="24"/>
          <w:szCs w:val="24"/>
        </w:rPr>
        <w:footnoteReference w:id="5"/>
      </w:r>
      <w:r w:rsidR="00386CE5">
        <w:rPr>
          <w:rFonts w:ascii="Times New Roman" w:hAnsi="Times New Roman" w:cs="Times New Roman"/>
          <w:sz w:val="24"/>
          <w:szCs w:val="24"/>
        </w:rPr>
        <w:t xml:space="preserve"> Thus, creating a better understanding of the interconnectivity of the ancient Near Eastern cultures with the antique cultures of the European past, may evoke further interest in preserving these structures for the future. </w:t>
      </w:r>
    </w:p>
    <w:p w14:paraId="52CEB6C4" w14:textId="77777777" w:rsidR="002E06A4" w:rsidRDefault="00386CE5" w:rsidP="00534FA0">
      <w:pPr>
        <w:spacing w:line="480" w:lineRule="auto"/>
        <w:rPr>
          <w:rFonts w:ascii="Times New Roman" w:hAnsi="Times New Roman" w:cs="Times New Roman"/>
          <w:sz w:val="24"/>
          <w:szCs w:val="24"/>
        </w:rPr>
      </w:pPr>
      <w:r>
        <w:rPr>
          <w:rFonts w:ascii="Times New Roman" w:hAnsi="Times New Roman" w:cs="Times New Roman"/>
          <w:sz w:val="24"/>
          <w:szCs w:val="24"/>
        </w:rPr>
        <w:t>I</w:t>
      </w:r>
      <w:r w:rsidR="002E06A4">
        <w:rPr>
          <w:rFonts w:ascii="Times New Roman" w:hAnsi="Times New Roman" w:cs="Times New Roman"/>
          <w:sz w:val="24"/>
          <w:szCs w:val="24"/>
        </w:rPr>
        <w:t xml:space="preserve">n order to understand how </w:t>
      </w:r>
      <w:r>
        <w:rPr>
          <w:rFonts w:ascii="Times New Roman" w:hAnsi="Times New Roman" w:cs="Times New Roman"/>
          <w:sz w:val="24"/>
          <w:szCs w:val="24"/>
        </w:rPr>
        <w:t xml:space="preserve">this architecture was </w:t>
      </w:r>
      <w:r w:rsidR="002E06A4">
        <w:rPr>
          <w:rFonts w:ascii="Times New Roman" w:hAnsi="Times New Roman" w:cs="Times New Roman"/>
          <w:sz w:val="24"/>
          <w:szCs w:val="24"/>
        </w:rPr>
        <w:t>created, the diverse cultural influences which may have acted upon the development of Nabataean rock-cut architecture</w:t>
      </w:r>
      <w:r w:rsidR="007B380C">
        <w:rPr>
          <w:rFonts w:ascii="Times New Roman" w:hAnsi="Times New Roman" w:cs="Times New Roman"/>
          <w:sz w:val="24"/>
          <w:szCs w:val="24"/>
        </w:rPr>
        <w:t>,</w:t>
      </w:r>
      <w:r w:rsidR="002E06A4">
        <w:rPr>
          <w:rFonts w:ascii="Times New Roman" w:hAnsi="Times New Roman" w:cs="Times New Roman"/>
          <w:sz w:val="24"/>
          <w:szCs w:val="24"/>
        </w:rPr>
        <w:t xml:space="preserve"> have to be determined</w:t>
      </w:r>
      <w:r w:rsidR="007B380C">
        <w:rPr>
          <w:rFonts w:ascii="Times New Roman" w:hAnsi="Times New Roman" w:cs="Times New Roman"/>
          <w:sz w:val="24"/>
          <w:szCs w:val="24"/>
        </w:rPr>
        <w:t>. Their</w:t>
      </w:r>
      <w:r w:rsidR="002E06A4">
        <w:rPr>
          <w:rFonts w:ascii="Times New Roman" w:hAnsi="Times New Roman" w:cs="Times New Roman"/>
          <w:sz w:val="24"/>
          <w:szCs w:val="24"/>
        </w:rPr>
        <w:t xml:space="preserve"> means of influencing Nabataean culture discussed, </w:t>
      </w:r>
      <w:r w:rsidR="007B380C">
        <w:rPr>
          <w:rFonts w:ascii="Times New Roman" w:hAnsi="Times New Roman" w:cs="Times New Roman"/>
          <w:sz w:val="24"/>
          <w:szCs w:val="24"/>
        </w:rPr>
        <w:t xml:space="preserve">the evaluation of the </w:t>
      </w:r>
      <w:r w:rsidR="007B380C">
        <w:rPr>
          <w:rFonts w:ascii="Times New Roman" w:hAnsi="Times New Roman" w:cs="Times New Roman"/>
          <w:sz w:val="24"/>
          <w:szCs w:val="24"/>
        </w:rPr>
        <w:lastRenderedPageBreak/>
        <w:t xml:space="preserve">different effects of affecting cultures must then resolve in a final conclusion on the cultural constituents of the Nabataean rock-cut tomb façade. </w:t>
      </w:r>
    </w:p>
    <w:p w14:paraId="5F464EE0" w14:textId="77777777" w:rsidR="007B380C" w:rsidRDefault="008C3059" w:rsidP="00534FA0">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will be achieved by initially proposing different theoretical concepts, debating the different modes of cultural interaction, followed by a general overview of Nabataean history. Secondly, different cultures that </w:t>
      </w:r>
      <w:r w:rsidR="007F0571">
        <w:rPr>
          <w:rFonts w:ascii="Times New Roman" w:hAnsi="Times New Roman" w:cs="Times New Roman"/>
          <w:sz w:val="24"/>
          <w:szCs w:val="24"/>
        </w:rPr>
        <w:t>were likely to have</w:t>
      </w:r>
      <w:r>
        <w:rPr>
          <w:rFonts w:ascii="Times New Roman" w:hAnsi="Times New Roman" w:cs="Times New Roman"/>
          <w:sz w:val="24"/>
          <w:szCs w:val="24"/>
        </w:rPr>
        <w:t xml:space="preserve"> engaged in cultural contact with the Nabataeans, will be presented, </w:t>
      </w:r>
      <w:r w:rsidR="007F0571">
        <w:rPr>
          <w:rFonts w:ascii="Times New Roman" w:hAnsi="Times New Roman" w:cs="Times New Roman"/>
          <w:sz w:val="24"/>
          <w:szCs w:val="24"/>
        </w:rPr>
        <w:t xml:space="preserve">and their possible means of interaction discussed. </w:t>
      </w:r>
      <w:r w:rsidR="00534FA0">
        <w:rPr>
          <w:rFonts w:ascii="Times New Roman" w:hAnsi="Times New Roman" w:cs="Times New Roman"/>
          <w:sz w:val="24"/>
          <w:szCs w:val="24"/>
        </w:rPr>
        <w:t xml:space="preserve">                  </w:t>
      </w:r>
      <w:r w:rsidR="007F0571">
        <w:rPr>
          <w:rFonts w:ascii="Times New Roman" w:hAnsi="Times New Roman" w:cs="Times New Roman"/>
          <w:sz w:val="24"/>
          <w:szCs w:val="24"/>
        </w:rPr>
        <w:t xml:space="preserve">An examination of the evidence surrounding Nabataean funerary rites and religion, in connection to tomb architecture follows. Proceeding to an estimate chronology of rock-cut tomb architecture within the Mediterranean and Near Eastern world, which </w:t>
      </w:r>
      <w:r w:rsidR="00C33078">
        <w:rPr>
          <w:rFonts w:ascii="Times New Roman" w:hAnsi="Times New Roman" w:cs="Times New Roman"/>
          <w:sz w:val="24"/>
          <w:szCs w:val="24"/>
        </w:rPr>
        <w:t xml:space="preserve">then introduces the Nabataean rock-cut tomb and the different types and chronologies of facades it manifests in. The last chapter will focus on presenting the different architectural features distinguishable amid the face of Nabataean tomb façade, discussing their possible origins and purpose. At last, a conclusion will be reached, in which various points made throughout the dissertation, come together to form one final argument, suggesting where the various architectural features originated from, and how they became incorporated into the Nabataean tomb façade. </w:t>
      </w:r>
      <w:r w:rsidR="00F92756">
        <w:rPr>
          <w:rFonts w:ascii="Times New Roman" w:hAnsi="Times New Roman" w:cs="Times New Roman"/>
          <w:sz w:val="24"/>
          <w:szCs w:val="24"/>
        </w:rPr>
        <w:t xml:space="preserve">         Due to the necessity to confine this research to only Nabataean elite and royal tomb facades, the true extend of cultural interactions that may have taken place with the whole of Nabataean society, cannot be discussed. Hopefully an incentive for further research. </w:t>
      </w:r>
    </w:p>
    <w:p w14:paraId="274CC0C4" w14:textId="77777777" w:rsidR="00534FA0" w:rsidRDefault="00534FA0" w:rsidP="00534FA0">
      <w:pPr>
        <w:spacing w:line="480" w:lineRule="auto"/>
        <w:rPr>
          <w:rFonts w:ascii="Times New Roman" w:hAnsi="Times New Roman" w:cs="Times New Roman"/>
          <w:sz w:val="24"/>
          <w:szCs w:val="24"/>
        </w:rPr>
      </w:pPr>
    </w:p>
    <w:p w14:paraId="468BED6E" w14:textId="77777777" w:rsidR="00534FA0" w:rsidRDefault="00534FA0" w:rsidP="00534FA0">
      <w:pPr>
        <w:spacing w:line="480" w:lineRule="auto"/>
        <w:rPr>
          <w:rFonts w:ascii="Times New Roman" w:hAnsi="Times New Roman" w:cs="Times New Roman"/>
          <w:sz w:val="24"/>
          <w:szCs w:val="24"/>
        </w:rPr>
      </w:pPr>
    </w:p>
    <w:p w14:paraId="012060B8" w14:textId="77777777" w:rsidR="00534FA0" w:rsidRDefault="00534FA0" w:rsidP="00534FA0">
      <w:pPr>
        <w:spacing w:line="480" w:lineRule="auto"/>
        <w:rPr>
          <w:rFonts w:ascii="Times New Roman" w:hAnsi="Times New Roman" w:cs="Times New Roman"/>
          <w:sz w:val="24"/>
          <w:szCs w:val="24"/>
        </w:rPr>
      </w:pPr>
    </w:p>
    <w:p w14:paraId="522B1875" w14:textId="77777777" w:rsidR="00534FA0" w:rsidRDefault="00534FA0" w:rsidP="00534FA0">
      <w:pPr>
        <w:spacing w:line="480" w:lineRule="auto"/>
        <w:rPr>
          <w:rFonts w:ascii="Times New Roman" w:hAnsi="Times New Roman" w:cs="Times New Roman"/>
          <w:sz w:val="24"/>
          <w:szCs w:val="24"/>
        </w:rPr>
      </w:pPr>
    </w:p>
    <w:p w14:paraId="5A562163" w14:textId="77777777" w:rsidR="006D481F" w:rsidRDefault="006D481F" w:rsidP="006D481F">
      <w:pPr>
        <w:rPr>
          <w:rFonts w:ascii="Times New Roman" w:hAnsi="Times New Roman" w:cs="Times New Roman"/>
          <w:sz w:val="24"/>
          <w:szCs w:val="24"/>
        </w:rPr>
      </w:pPr>
    </w:p>
    <w:p w14:paraId="354BB2F3" w14:textId="77777777" w:rsidR="006D481F" w:rsidRDefault="006D481F" w:rsidP="006D481F">
      <w:pPr>
        <w:rPr>
          <w:rFonts w:ascii="Times New Roman" w:hAnsi="Times New Roman" w:cs="Times New Roman"/>
          <w:sz w:val="24"/>
          <w:szCs w:val="24"/>
        </w:rPr>
      </w:pPr>
    </w:p>
    <w:p w14:paraId="341CE1E7" w14:textId="77777777" w:rsidR="00F92756" w:rsidRPr="006D481F" w:rsidRDefault="006D481F" w:rsidP="006D481F">
      <w:pPr>
        <w:rPr>
          <w:rFonts w:ascii="Times New Roman" w:hAnsi="Times New Roman" w:cs="Times New Roman"/>
          <w:b/>
          <w:sz w:val="24"/>
          <w:szCs w:val="24"/>
          <w:u w:val="single"/>
        </w:rPr>
      </w:pPr>
      <w:r w:rsidRPr="006D481F">
        <w:rPr>
          <w:rFonts w:ascii="Times New Roman" w:hAnsi="Times New Roman" w:cs="Times New Roman"/>
          <w:sz w:val="24"/>
          <w:szCs w:val="24"/>
          <w:u w:val="single"/>
        </w:rPr>
        <w:lastRenderedPageBreak/>
        <w:t>Chapter 1</w:t>
      </w:r>
      <w:r>
        <w:rPr>
          <w:rFonts w:ascii="Times New Roman" w:hAnsi="Times New Roman" w:cs="Times New Roman"/>
          <w:sz w:val="24"/>
          <w:szCs w:val="24"/>
          <w:u w:val="single"/>
        </w:rPr>
        <w:t xml:space="preserve">                                              </w:t>
      </w:r>
      <w:r w:rsidRPr="006D481F">
        <w:rPr>
          <w:rFonts w:ascii="Times New Roman" w:hAnsi="Times New Roman" w:cs="Times New Roman"/>
          <w:b/>
          <w:sz w:val="24"/>
          <w:szCs w:val="24"/>
          <w:u w:val="single"/>
        </w:rPr>
        <w:t xml:space="preserve">Theory  </w:t>
      </w:r>
    </w:p>
    <w:p w14:paraId="53133BA6" w14:textId="77777777" w:rsidR="0016217F" w:rsidRDefault="0016217F">
      <w:pPr>
        <w:rPr>
          <w:rFonts w:ascii="Times New Roman" w:hAnsi="Times New Roman" w:cs="Times New Roman"/>
          <w:b/>
          <w:sz w:val="24"/>
          <w:szCs w:val="24"/>
          <w:u w:val="single"/>
        </w:rPr>
      </w:pPr>
    </w:p>
    <w:p w14:paraId="23E43C41" w14:textId="77777777" w:rsidR="00362777"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This chapter focusses on the theoretical aspect of this dissertation, discussing different</w:t>
      </w:r>
      <w:r w:rsidR="00362777" w:rsidRPr="006D481F">
        <w:rPr>
          <w:rFonts w:ascii="Times New Roman" w:hAnsi="Times New Roman" w:cs="Times New Roman"/>
          <w:sz w:val="24"/>
          <w:szCs w:val="24"/>
        </w:rPr>
        <w:t xml:space="preserve"> outcomes</w:t>
      </w:r>
      <w:r w:rsidRPr="006D481F">
        <w:rPr>
          <w:rFonts w:ascii="Times New Roman" w:hAnsi="Times New Roman" w:cs="Times New Roman"/>
          <w:sz w:val="24"/>
          <w:szCs w:val="24"/>
        </w:rPr>
        <w:t xml:space="preserve"> of cultural interaction, </w:t>
      </w:r>
      <w:r w:rsidR="00362777" w:rsidRPr="006D481F">
        <w:rPr>
          <w:rFonts w:ascii="Times New Roman" w:hAnsi="Times New Roman" w:cs="Times New Roman"/>
          <w:sz w:val="24"/>
          <w:szCs w:val="24"/>
        </w:rPr>
        <w:t>addressing the various factors affecting cultural interaction, as well as outlining the usefulness and applicability of the different concepts regarding cultural interaction.</w:t>
      </w:r>
    </w:p>
    <w:p w14:paraId="05E84124"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Terms such as diffusion, acculturation and hybridization will be </w:t>
      </w:r>
      <w:r w:rsidR="00DF2488" w:rsidRPr="006D481F">
        <w:rPr>
          <w:rFonts w:ascii="Times New Roman" w:hAnsi="Times New Roman" w:cs="Times New Roman"/>
          <w:sz w:val="24"/>
          <w:szCs w:val="24"/>
        </w:rPr>
        <w:t>compared</w:t>
      </w:r>
      <w:r w:rsidRPr="006D481F">
        <w:rPr>
          <w:rFonts w:ascii="Times New Roman" w:hAnsi="Times New Roman" w:cs="Times New Roman"/>
          <w:sz w:val="24"/>
          <w:szCs w:val="24"/>
        </w:rPr>
        <w:t xml:space="preserve">, </w:t>
      </w:r>
      <w:r w:rsidRPr="006D481F">
        <w:rPr>
          <w:rStyle w:val="Funotenzeichen"/>
          <w:rFonts w:ascii="Times New Roman" w:hAnsi="Times New Roman" w:cs="Times New Roman"/>
          <w:sz w:val="24"/>
          <w:szCs w:val="24"/>
        </w:rPr>
        <w:footnoteReference w:id="6"/>
      </w:r>
      <w:r w:rsidRPr="006D481F">
        <w:rPr>
          <w:rFonts w:ascii="Times New Roman" w:hAnsi="Times New Roman" w:cs="Times New Roman"/>
          <w:sz w:val="24"/>
          <w:szCs w:val="24"/>
        </w:rPr>
        <w:t xml:space="preserve"> with concepts, especially applicable to the </w:t>
      </w:r>
      <w:r w:rsidR="00DF2488" w:rsidRPr="006D481F">
        <w:rPr>
          <w:rFonts w:ascii="Times New Roman" w:hAnsi="Times New Roman" w:cs="Times New Roman"/>
          <w:sz w:val="24"/>
          <w:szCs w:val="24"/>
        </w:rPr>
        <w:t>Hellenistic Near East</w:t>
      </w:r>
      <w:r w:rsidRPr="006D481F">
        <w:rPr>
          <w:rFonts w:ascii="Times New Roman" w:hAnsi="Times New Roman" w:cs="Times New Roman"/>
          <w:sz w:val="24"/>
          <w:szCs w:val="24"/>
        </w:rPr>
        <w:t xml:space="preserve">: syncretism, Hellenization and Romanization. </w:t>
      </w:r>
    </w:p>
    <w:p w14:paraId="3A17A60B" w14:textId="77777777" w:rsidR="006A4C82" w:rsidRPr="006D481F" w:rsidRDefault="00DF2488"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Importantly, </w:t>
      </w:r>
      <w:r w:rsidR="006A4C82" w:rsidRPr="006D481F">
        <w:rPr>
          <w:rFonts w:ascii="Times New Roman" w:hAnsi="Times New Roman" w:cs="Times New Roman"/>
          <w:sz w:val="24"/>
          <w:szCs w:val="24"/>
        </w:rPr>
        <w:t>the engagement in cross-</w:t>
      </w:r>
      <w:r w:rsidRPr="006D481F">
        <w:rPr>
          <w:rFonts w:ascii="Times New Roman" w:hAnsi="Times New Roman" w:cs="Times New Roman"/>
          <w:sz w:val="24"/>
          <w:szCs w:val="24"/>
        </w:rPr>
        <w:t xml:space="preserve">cultural interaction is often described as </w:t>
      </w:r>
      <w:r w:rsidR="006A4C82" w:rsidRPr="006D481F">
        <w:rPr>
          <w:rFonts w:ascii="Times New Roman" w:hAnsi="Times New Roman" w:cs="Times New Roman"/>
          <w:sz w:val="24"/>
          <w:szCs w:val="24"/>
        </w:rPr>
        <w:t xml:space="preserve">a necessity, in order to extend influence beyond a certain area, acquire new </w:t>
      </w:r>
      <w:r w:rsidR="008644C1" w:rsidRPr="006D481F">
        <w:rPr>
          <w:rFonts w:ascii="Times New Roman" w:hAnsi="Times New Roman" w:cs="Times New Roman"/>
          <w:sz w:val="24"/>
          <w:szCs w:val="24"/>
        </w:rPr>
        <w:t>materials and ideas and forge cross-cultural relationships.</w:t>
      </w:r>
      <w:r w:rsidR="008644C1" w:rsidRPr="006D481F">
        <w:rPr>
          <w:rStyle w:val="Funotenzeichen"/>
          <w:rFonts w:ascii="Times New Roman" w:hAnsi="Times New Roman" w:cs="Times New Roman"/>
          <w:sz w:val="24"/>
          <w:szCs w:val="24"/>
        </w:rPr>
        <w:footnoteReference w:id="7"/>
      </w:r>
      <w:r w:rsidR="008644C1" w:rsidRPr="006D481F">
        <w:rPr>
          <w:rFonts w:ascii="Times New Roman" w:hAnsi="Times New Roman" w:cs="Times New Roman"/>
          <w:sz w:val="24"/>
          <w:szCs w:val="24"/>
        </w:rPr>
        <w:t xml:space="preserve"> </w:t>
      </w:r>
    </w:p>
    <w:p w14:paraId="3849D507" w14:textId="77777777" w:rsidR="008644C1" w:rsidRPr="006D481F" w:rsidRDefault="008644C1"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Consequentially, </w:t>
      </w:r>
      <w:bookmarkStart w:id="1" w:name="_Hlk8381805"/>
      <w:r w:rsidRPr="006D481F">
        <w:rPr>
          <w:rFonts w:ascii="Times New Roman" w:hAnsi="Times New Roman" w:cs="Times New Roman"/>
          <w:sz w:val="24"/>
          <w:szCs w:val="24"/>
        </w:rPr>
        <w:t>the meaning of culture, as a distinct way of living, identifying and sharing into the same values, historical experiences, traditions and often language, has to be understood as a fluid concept, everchanging due to cross-cultural interactions, as well as internal changes.</w:t>
      </w:r>
      <w:r w:rsidRPr="006D481F">
        <w:rPr>
          <w:rStyle w:val="Funotenzeichen"/>
          <w:rFonts w:ascii="Times New Roman" w:hAnsi="Times New Roman" w:cs="Times New Roman"/>
          <w:sz w:val="24"/>
          <w:szCs w:val="24"/>
        </w:rPr>
        <w:footnoteReference w:id="8"/>
      </w:r>
      <w:r w:rsidRPr="006D481F">
        <w:rPr>
          <w:rFonts w:ascii="Times New Roman" w:hAnsi="Times New Roman" w:cs="Times New Roman"/>
          <w:sz w:val="24"/>
          <w:szCs w:val="24"/>
        </w:rPr>
        <w:t xml:space="preserve"> </w:t>
      </w:r>
      <w:bookmarkEnd w:id="1"/>
    </w:p>
    <w:p w14:paraId="037E5001" w14:textId="77777777" w:rsidR="003213C0" w:rsidRPr="006D481F" w:rsidRDefault="00B26411"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Moving on, different</w:t>
      </w:r>
      <w:r w:rsidR="007D69DD" w:rsidRPr="006D481F">
        <w:rPr>
          <w:rFonts w:ascii="Times New Roman" w:hAnsi="Times New Roman" w:cs="Times New Roman"/>
          <w:sz w:val="24"/>
          <w:szCs w:val="24"/>
        </w:rPr>
        <w:t xml:space="preserve"> factors such as</w:t>
      </w:r>
      <w:r w:rsidRPr="006D481F">
        <w:rPr>
          <w:rFonts w:ascii="Times New Roman" w:hAnsi="Times New Roman" w:cs="Times New Roman"/>
          <w:sz w:val="24"/>
          <w:szCs w:val="24"/>
        </w:rPr>
        <w:t xml:space="preserve"> attitudes towards cultural contact can greatly affect the outcome, thus, various degrees of neutral, friendly and hostile encounters may be one factor that determines how and what materials and ideas are adopted, adapted and incorporated into a culture</w:t>
      </w:r>
      <w:r w:rsidR="003213C0" w:rsidRPr="006D481F">
        <w:rPr>
          <w:rFonts w:ascii="Times New Roman" w:hAnsi="Times New Roman" w:cs="Times New Roman"/>
          <w:sz w:val="24"/>
          <w:szCs w:val="24"/>
        </w:rPr>
        <w:t>.</w:t>
      </w:r>
      <w:r w:rsidR="003213C0" w:rsidRPr="006D481F">
        <w:rPr>
          <w:rStyle w:val="Funotenzeichen"/>
          <w:rFonts w:ascii="Times New Roman" w:hAnsi="Times New Roman" w:cs="Times New Roman"/>
          <w:sz w:val="24"/>
          <w:szCs w:val="24"/>
        </w:rPr>
        <w:footnoteReference w:id="9"/>
      </w:r>
      <w:r w:rsidR="003213C0" w:rsidRPr="006D481F">
        <w:rPr>
          <w:rFonts w:ascii="Times New Roman" w:hAnsi="Times New Roman" w:cs="Times New Roman"/>
          <w:sz w:val="24"/>
          <w:szCs w:val="24"/>
        </w:rPr>
        <w:t xml:space="preserve"> </w:t>
      </w:r>
    </w:p>
    <w:p w14:paraId="1FCFDD67"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lastRenderedPageBreak/>
        <w:t xml:space="preserve">Additionally, </w:t>
      </w:r>
      <w:bookmarkStart w:id="2" w:name="_Hlk8381901"/>
      <w:r w:rsidRPr="006D481F">
        <w:rPr>
          <w:rFonts w:ascii="Times New Roman" w:hAnsi="Times New Roman" w:cs="Times New Roman"/>
          <w:sz w:val="24"/>
          <w:szCs w:val="24"/>
        </w:rPr>
        <w:t>local geography determines which architectural features can and cannot be adopted or have to be adapted</w:t>
      </w:r>
      <w:bookmarkStart w:id="3" w:name="_Hlk8381967"/>
      <w:bookmarkEnd w:id="2"/>
      <w:r w:rsidRPr="006D481F">
        <w:rPr>
          <w:rFonts w:ascii="Times New Roman" w:hAnsi="Times New Roman" w:cs="Times New Roman"/>
          <w:sz w:val="24"/>
          <w:szCs w:val="24"/>
        </w:rPr>
        <w:t>.</w:t>
      </w:r>
      <w:r w:rsidRPr="006D481F">
        <w:rPr>
          <w:rStyle w:val="Funotenzeichen"/>
          <w:rFonts w:ascii="Times New Roman" w:hAnsi="Times New Roman" w:cs="Times New Roman"/>
          <w:sz w:val="24"/>
          <w:szCs w:val="24"/>
        </w:rPr>
        <w:footnoteReference w:id="10"/>
      </w:r>
      <w:r w:rsidRPr="006D481F">
        <w:rPr>
          <w:rFonts w:ascii="Times New Roman" w:hAnsi="Times New Roman" w:cs="Times New Roman"/>
          <w:sz w:val="24"/>
          <w:szCs w:val="24"/>
        </w:rPr>
        <w:t xml:space="preserve"> </w:t>
      </w:r>
      <w:bookmarkEnd w:id="3"/>
      <w:r w:rsidRPr="006D481F">
        <w:rPr>
          <w:rFonts w:ascii="Times New Roman" w:hAnsi="Times New Roman" w:cs="Times New Roman"/>
          <w:sz w:val="24"/>
          <w:szCs w:val="24"/>
        </w:rPr>
        <w:t xml:space="preserve"> That which has been adopted, can be changed to suit the needs of an individual or a collective, consequentially often undergoing a change in value</w:t>
      </w:r>
      <w:r w:rsidR="007D69DD" w:rsidRPr="006D481F">
        <w:rPr>
          <w:rFonts w:ascii="Times New Roman" w:hAnsi="Times New Roman" w:cs="Times New Roman"/>
          <w:sz w:val="24"/>
          <w:szCs w:val="24"/>
        </w:rPr>
        <w:t>, shape and use</w:t>
      </w:r>
      <w:r w:rsidRPr="006D481F">
        <w:rPr>
          <w:rFonts w:ascii="Times New Roman" w:hAnsi="Times New Roman" w:cs="Times New Roman"/>
          <w:sz w:val="24"/>
          <w:szCs w:val="24"/>
        </w:rPr>
        <w:t>.</w:t>
      </w:r>
      <w:r w:rsidRPr="006D481F">
        <w:rPr>
          <w:rStyle w:val="Funotenzeichen"/>
          <w:rFonts w:ascii="Times New Roman" w:hAnsi="Times New Roman" w:cs="Times New Roman"/>
          <w:sz w:val="24"/>
          <w:szCs w:val="24"/>
        </w:rPr>
        <w:footnoteReference w:id="11"/>
      </w:r>
      <w:r w:rsidRPr="006D481F">
        <w:rPr>
          <w:rFonts w:ascii="Times New Roman" w:hAnsi="Times New Roman" w:cs="Times New Roman"/>
          <w:sz w:val="24"/>
          <w:szCs w:val="24"/>
        </w:rPr>
        <w:t xml:space="preserve">  </w:t>
      </w:r>
    </w:p>
    <w:p w14:paraId="046D8440"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Cultural exchange relies on the </w:t>
      </w:r>
      <w:r w:rsidR="00B76BA5" w:rsidRPr="006D481F">
        <w:rPr>
          <w:rFonts w:ascii="Times New Roman" w:hAnsi="Times New Roman" w:cs="Times New Roman"/>
          <w:sz w:val="24"/>
          <w:szCs w:val="24"/>
        </w:rPr>
        <w:t>concept</w:t>
      </w:r>
      <w:r w:rsidRPr="006D481F">
        <w:rPr>
          <w:rFonts w:ascii="Times New Roman" w:hAnsi="Times New Roman" w:cs="Times New Roman"/>
          <w:sz w:val="24"/>
          <w:szCs w:val="24"/>
        </w:rPr>
        <w:t xml:space="preserve"> that at least two </w:t>
      </w:r>
      <w:r w:rsidR="00B76BA5" w:rsidRPr="006D481F">
        <w:rPr>
          <w:rFonts w:ascii="Times New Roman" w:hAnsi="Times New Roman" w:cs="Times New Roman"/>
          <w:sz w:val="24"/>
          <w:szCs w:val="24"/>
        </w:rPr>
        <w:t>factions</w:t>
      </w:r>
      <w:r w:rsidRPr="006D481F">
        <w:rPr>
          <w:rFonts w:ascii="Times New Roman" w:hAnsi="Times New Roman" w:cs="Times New Roman"/>
          <w:sz w:val="24"/>
          <w:szCs w:val="24"/>
        </w:rPr>
        <w:t xml:space="preserve"> interact with each other, one acting on the receiving end, </w:t>
      </w:r>
      <w:r w:rsidR="00B76BA5" w:rsidRPr="006D481F">
        <w:rPr>
          <w:rFonts w:ascii="Times New Roman" w:hAnsi="Times New Roman" w:cs="Times New Roman"/>
          <w:sz w:val="24"/>
          <w:szCs w:val="24"/>
        </w:rPr>
        <w:t>with</w:t>
      </w:r>
      <w:r w:rsidRPr="006D481F">
        <w:rPr>
          <w:rFonts w:ascii="Times New Roman" w:hAnsi="Times New Roman" w:cs="Times New Roman"/>
          <w:sz w:val="24"/>
          <w:szCs w:val="24"/>
        </w:rPr>
        <w:t xml:space="preserve"> the other transmitting knowledge or material wealth.</w:t>
      </w:r>
      <w:r w:rsidRPr="006D481F">
        <w:rPr>
          <w:rStyle w:val="Funotenzeichen"/>
          <w:rFonts w:ascii="Times New Roman" w:hAnsi="Times New Roman" w:cs="Times New Roman"/>
          <w:sz w:val="24"/>
          <w:szCs w:val="24"/>
        </w:rPr>
        <w:footnoteReference w:id="12"/>
      </w:r>
      <w:r w:rsidRPr="006D481F">
        <w:rPr>
          <w:rFonts w:ascii="Times New Roman" w:hAnsi="Times New Roman" w:cs="Times New Roman"/>
          <w:sz w:val="24"/>
          <w:szCs w:val="24"/>
        </w:rPr>
        <w:t xml:space="preserve"> However, both cultures receiving and transmitting </w:t>
      </w:r>
      <w:r w:rsidR="00B76BA5" w:rsidRPr="006D481F">
        <w:rPr>
          <w:rFonts w:ascii="Times New Roman" w:hAnsi="Times New Roman" w:cs="Times New Roman"/>
          <w:sz w:val="24"/>
          <w:szCs w:val="24"/>
        </w:rPr>
        <w:t>materials during cross-cultural contact, is also possible</w:t>
      </w:r>
      <w:r w:rsidRPr="006D481F">
        <w:rPr>
          <w:rFonts w:ascii="Times New Roman" w:hAnsi="Times New Roman" w:cs="Times New Roman"/>
          <w:sz w:val="24"/>
          <w:szCs w:val="24"/>
        </w:rPr>
        <w:t>.</w:t>
      </w:r>
      <w:r w:rsidR="00B76BA5" w:rsidRPr="006D481F">
        <w:rPr>
          <w:rStyle w:val="Funotenzeichen"/>
          <w:rFonts w:ascii="Times New Roman" w:hAnsi="Times New Roman" w:cs="Times New Roman"/>
          <w:sz w:val="24"/>
          <w:szCs w:val="24"/>
        </w:rPr>
        <w:footnoteReference w:id="13"/>
      </w:r>
      <w:r w:rsidRPr="006D481F">
        <w:rPr>
          <w:rFonts w:ascii="Times New Roman" w:hAnsi="Times New Roman" w:cs="Times New Roman"/>
          <w:sz w:val="24"/>
          <w:szCs w:val="24"/>
        </w:rPr>
        <w:t xml:space="preserve"> This is seen in the concept of acculturation, which sees “groups of individuals having different cultures come into continuous first hand contact, with subsequent changes in the original cultural patterns of either or both groups”.</w:t>
      </w:r>
      <w:r w:rsidRPr="006D481F">
        <w:rPr>
          <w:rStyle w:val="Funotenzeichen"/>
          <w:rFonts w:ascii="Times New Roman" w:hAnsi="Times New Roman" w:cs="Times New Roman"/>
          <w:sz w:val="24"/>
          <w:szCs w:val="24"/>
        </w:rPr>
        <w:footnoteReference w:id="14"/>
      </w:r>
      <w:r w:rsidRPr="006D481F">
        <w:rPr>
          <w:rFonts w:ascii="Times New Roman" w:hAnsi="Times New Roman" w:cs="Times New Roman"/>
          <w:sz w:val="24"/>
          <w:szCs w:val="24"/>
        </w:rPr>
        <w:t xml:space="preserve"> </w:t>
      </w:r>
      <w:bookmarkStart w:id="4" w:name="_Hlk8381998"/>
      <w:r w:rsidRPr="006D481F">
        <w:rPr>
          <w:rFonts w:ascii="Times New Roman" w:hAnsi="Times New Roman" w:cs="Times New Roman"/>
          <w:sz w:val="24"/>
          <w:szCs w:val="24"/>
        </w:rPr>
        <w:t>Moreover, the receiving culture may also adopt belief systems and ideas attached to the material object of interest.</w:t>
      </w:r>
      <w:r w:rsidRPr="006D481F">
        <w:rPr>
          <w:rStyle w:val="Funotenzeichen"/>
          <w:rFonts w:ascii="Times New Roman" w:hAnsi="Times New Roman" w:cs="Times New Roman"/>
          <w:sz w:val="24"/>
          <w:szCs w:val="24"/>
        </w:rPr>
        <w:footnoteReference w:id="15"/>
      </w:r>
      <w:bookmarkEnd w:id="4"/>
    </w:p>
    <w:p w14:paraId="787737D4"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Initial contact situations are ushered through economic interests, political relationships, religious and ceremonial affairs</w:t>
      </w:r>
      <w:r w:rsidR="00B76BA5" w:rsidRPr="006D481F">
        <w:rPr>
          <w:rFonts w:ascii="Times New Roman" w:hAnsi="Times New Roman" w:cs="Times New Roman"/>
          <w:sz w:val="24"/>
          <w:szCs w:val="24"/>
        </w:rPr>
        <w:t xml:space="preserve"> and conflicts</w:t>
      </w:r>
      <w:r w:rsidRPr="006D481F">
        <w:rPr>
          <w:rFonts w:ascii="Times New Roman" w:hAnsi="Times New Roman" w:cs="Times New Roman"/>
          <w:sz w:val="24"/>
          <w:szCs w:val="24"/>
        </w:rPr>
        <w:t xml:space="preserve">, </w:t>
      </w:r>
      <w:r w:rsidR="00B76BA5" w:rsidRPr="006D481F">
        <w:rPr>
          <w:rFonts w:ascii="Times New Roman" w:hAnsi="Times New Roman" w:cs="Times New Roman"/>
          <w:sz w:val="24"/>
          <w:szCs w:val="24"/>
        </w:rPr>
        <w:t xml:space="preserve">which </w:t>
      </w:r>
      <w:r w:rsidRPr="006D481F">
        <w:rPr>
          <w:rFonts w:ascii="Times New Roman" w:hAnsi="Times New Roman" w:cs="Times New Roman"/>
          <w:sz w:val="24"/>
          <w:szCs w:val="24"/>
        </w:rPr>
        <w:t>greatly determi</w:t>
      </w:r>
      <w:r w:rsidR="00B76BA5" w:rsidRPr="006D481F">
        <w:rPr>
          <w:rFonts w:ascii="Times New Roman" w:hAnsi="Times New Roman" w:cs="Times New Roman"/>
          <w:sz w:val="24"/>
          <w:szCs w:val="24"/>
        </w:rPr>
        <w:t>nes</w:t>
      </w:r>
      <w:r w:rsidRPr="006D481F">
        <w:rPr>
          <w:rFonts w:ascii="Times New Roman" w:hAnsi="Times New Roman" w:cs="Times New Roman"/>
          <w:sz w:val="24"/>
          <w:szCs w:val="24"/>
        </w:rPr>
        <w:t xml:space="preserve"> the frequency</w:t>
      </w:r>
      <w:r w:rsidR="00B76BA5" w:rsidRPr="006D481F">
        <w:rPr>
          <w:rFonts w:ascii="Times New Roman" w:hAnsi="Times New Roman" w:cs="Times New Roman"/>
          <w:sz w:val="24"/>
          <w:szCs w:val="24"/>
        </w:rPr>
        <w:t xml:space="preserve"> of exchange</w:t>
      </w:r>
      <w:r w:rsidRPr="006D481F">
        <w:rPr>
          <w:rFonts w:ascii="Times New Roman" w:hAnsi="Times New Roman" w:cs="Times New Roman"/>
          <w:sz w:val="24"/>
          <w:szCs w:val="24"/>
        </w:rPr>
        <w:t xml:space="preserve">, </w:t>
      </w:r>
      <w:r w:rsidR="00B76BA5" w:rsidRPr="006D481F">
        <w:rPr>
          <w:rFonts w:ascii="Times New Roman" w:hAnsi="Times New Roman" w:cs="Times New Roman"/>
          <w:sz w:val="24"/>
          <w:szCs w:val="24"/>
        </w:rPr>
        <w:t xml:space="preserve">the </w:t>
      </w:r>
      <w:r w:rsidRPr="006D481F">
        <w:rPr>
          <w:rFonts w:ascii="Times New Roman" w:hAnsi="Times New Roman" w:cs="Times New Roman"/>
          <w:sz w:val="24"/>
          <w:szCs w:val="24"/>
        </w:rPr>
        <w:t>degree of</w:t>
      </w:r>
      <w:r w:rsidR="00B76BA5" w:rsidRPr="006D481F">
        <w:rPr>
          <w:rFonts w:ascii="Times New Roman" w:hAnsi="Times New Roman" w:cs="Times New Roman"/>
          <w:sz w:val="24"/>
          <w:szCs w:val="24"/>
        </w:rPr>
        <w:t xml:space="preserve"> which a culture is willing to accept new concepts, </w:t>
      </w:r>
      <w:r w:rsidRPr="006D481F">
        <w:rPr>
          <w:rFonts w:ascii="Times New Roman" w:hAnsi="Times New Roman" w:cs="Times New Roman"/>
          <w:sz w:val="24"/>
          <w:szCs w:val="24"/>
        </w:rPr>
        <w:t>a</w:t>
      </w:r>
      <w:r w:rsidR="00B76BA5" w:rsidRPr="006D481F">
        <w:rPr>
          <w:rFonts w:ascii="Times New Roman" w:hAnsi="Times New Roman" w:cs="Times New Roman"/>
          <w:sz w:val="24"/>
          <w:szCs w:val="24"/>
        </w:rPr>
        <w:t xml:space="preserve">nd what aspect of a culture is </w:t>
      </w:r>
      <w:r w:rsidRPr="006D481F">
        <w:rPr>
          <w:rFonts w:ascii="Times New Roman" w:hAnsi="Times New Roman" w:cs="Times New Roman"/>
          <w:sz w:val="24"/>
          <w:szCs w:val="24"/>
        </w:rPr>
        <w:t xml:space="preserve">subsequentially </w:t>
      </w:r>
      <w:r w:rsidR="00B76BA5" w:rsidRPr="006D481F">
        <w:rPr>
          <w:rFonts w:ascii="Times New Roman" w:hAnsi="Times New Roman" w:cs="Times New Roman"/>
          <w:sz w:val="24"/>
          <w:szCs w:val="24"/>
        </w:rPr>
        <w:t>changed</w:t>
      </w:r>
      <w:r w:rsidRPr="006D481F">
        <w:rPr>
          <w:rFonts w:ascii="Times New Roman" w:hAnsi="Times New Roman" w:cs="Times New Roman"/>
          <w:sz w:val="24"/>
          <w:szCs w:val="24"/>
        </w:rPr>
        <w:t>.</w:t>
      </w:r>
      <w:r w:rsidRPr="006D481F">
        <w:rPr>
          <w:rStyle w:val="Funotenzeichen"/>
          <w:rFonts w:ascii="Times New Roman" w:hAnsi="Times New Roman" w:cs="Times New Roman"/>
          <w:sz w:val="24"/>
          <w:szCs w:val="24"/>
        </w:rPr>
        <w:footnoteReference w:id="16"/>
      </w:r>
      <w:r w:rsidRPr="006D481F">
        <w:rPr>
          <w:rFonts w:ascii="Times New Roman" w:hAnsi="Times New Roman" w:cs="Times New Roman"/>
          <w:sz w:val="24"/>
          <w:szCs w:val="24"/>
        </w:rPr>
        <w:t xml:space="preserve"> </w:t>
      </w:r>
    </w:p>
    <w:p w14:paraId="10A5C325"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The distinct venues which host cultural interactions, are called </w:t>
      </w:r>
      <w:bookmarkStart w:id="5" w:name="_Hlk8381936"/>
      <w:r w:rsidRPr="006D481F">
        <w:rPr>
          <w:rFonts w:ascii="Times New Roman" w:hAnsi="Times New Roman" w:cs="Times New Roman"/>
          <w:sz w:val="24"/>
          <w:szCs w:val="24"/>
        </w:rPr>
        <w:t>“intermediate contact zone”.</w:t>
      </w:r>
      <w:r w:rsidRPr="006D481F">
        <w:rPr>
          <w:rStyle w:val="Funotenzeichen"/>
          <w:rFonts w:ascii="Times New Roman" w:hAnsi="Times New Roman" w:cs="Times New Roman"/>
          <w:sz w:val="24"/>
          <w:szCs w:val="24"/>
        </w:rPr>
        <w:footnoteReference w:id="17"/>
      </w:r>
      <w:r w:rsidRPr="006D481F">
        <w:rPr>
          <w:rFonts w:ascii="Times New Roman" w:hAnsi="Times New Roman" w:cs="Times New Roman"/>
          <w:sz w:val="24"/>
          <w:szCs w:val="24"/>
        </w:rPr>
        <w:t xml:space="preserve"> These can also affect the frequency of cultural contact,</w:t>
      </w:r>
      <w:r w:rsidR="00B76BA5" w:rsidRPr="006D481F">
        <w:rPr>
          <w:rFonts w:ascii="Times New Roman" w:hAnsi="Times New Roman" w:cs="Times New Roman"/>
          <w:sz w:val="24"/>
          <w:szCs w:val="24"/>
        </w:rPr>
        <w:t xml:space="preserve"> possibly</w:t>
      </w:r>
      <w:r w:rsidRPr="006D481F">
        <w:rPr>
          <w:rFonts w:ascii="Times New Roman" w:hAnsi="Times New Roman" w:cs="Times New Roman"/>
          <w:sz w:val="24"/>
          <w:szCs w:val="24"/>
        </w:rPr>
        <w:t xml:space="preserve"> enhancing cultural exchange </w:t>
      </w:r>
      <w:r w:rsidR="00B76BA5" w:rsidRPr="006D481F">
        <w:rPr>
          <w:rFonts w:ascii="Times New Roman" w:hAnsi="Times New Roman" w:cs="Times New Roman"/>
          <w:sz w:val="24"/>
          <w:szCs w:val="24"/>
        </w:rPr>
        <w:t xml:space="preserve">by the means of </w:t>
      </w:r>
      <w:r w:rsidRPr="006D481F">
        <w:rPr>
          <w:rFonts w:ascii="Times New Roman" w:hAnsi="Times New Roman" w:cs="Times New Roman"/>
          <w:sz w:val="24"/>
          <w:szCs w:val="24"/>
        </w:rPr>
        <w:t xml:space="preserve"> settings such as market places, religious buildings, caravanserais, outposts, which are usually placed in an urban area.</w:t>
      </w:r>
      <w:r w:rsidRPr="006D481F">
        <w:rPr>
          <w:rStyle w:val="Funotenzeichen"/>
          <w:rFonts w:ascii="Times New Roman" w:hAnsi="Times New Roman" w:cs="Times New Roman"/>
          <w:sz w:val="24"/>
          <w:szCs w:val="24"/>
        </w:rPr>
        <w:footnoteReference w:id="18"/>
      </w:r>
      <w:r w:rsidRPr="006D481F">
        <w:rPr>
          <w:rFonts w:ascii="Times New Roman" w:hAnsi="Times New Roman" w:cs="Times New Roman"/>
          <w:sz w:val="24"/>
          <w:szCs w:val="24"/>
        </w:rPr>
        <w:t xml:space="preserve"> </w:t>
      </w:r>
      <w:bookmarkEnd w:id="5"/>
      <w:r w:rsidR="00B76BA5" w:rsidRPr="006D481F">
        <w:rPr>
          <w:rFonts w:ascii="Times New Roman" w:hAnsi="Times New Roman" w:cs="Times New Roman"/>
          <w:sz w:val="24"/>
          <w:szCs w:val="24"/>
        </w:rPr>
        <w:t xml:space="preserve">From a cross-cultural point of view, other </w:t>
      </w:r>
      <w:r w:rsidRPr="006D481F">
        <w:rPr>
          <w:rFonts w:ascii="Times New Roman" w:hAnsi="Times New Roman" w:cs="Times New Roman"/>
          <w:sz w:val="24"/>
          <w:szCs w:val="24"/>
        </w:rPr>
        <w:t>areas</w:t>
      </w:r>
      <w:r w:rsidR="00B76BA5" w:rsidRPr="006D481F">
        <w:rPr>
          <w:rFonts w:ascii="Times New Roman" w:hAnsi="Times New Roman" w:cs="Times New Roman"/>
          <w:sz w:val="24"/>
          <w:szCs w:val="24"/>
        </w:rPr>
        <w:t xml:space="preserve">, </w:t>
      </w:r>
      <w:r w:rsidR="00B76BA5" w:rsidRPr="006D481F">
        <w:rPr>
          <w:rFonts w:ascii="Times New Roman" w:hAnsi="Times New Roman" w:cs="Times New Roman"/>
          <w:sz w:val="24"/>
          <w:szCs w:val="24"/>
        </w:rPr>
        <w:lastRenderedPageBreak/>
        <w:t xml:space="preserve">also more </w:t>
      </w:r>
      <w:r w:rsidRPr="006D481F">
        <w:rPr>
          <w:rFonts w:ascii="Times New Roman" w:hAnsi="Times New Roman" w:cs="Times New Roman"/>
          <w:sz w:val="24"/>
          <w:szCs w:val="24"/>
        </w:rPr>
        <w:t xml:space="preserve"> likely to experience higher frequencies of cultural interaction</w:t>
      </w:r>
      <w:r w:rsidR="00B76BA5" w:rsidRPr="006D481F">
        <w:rPr>
          <w:rFonts w:ascii="Times New Roman" w:hAnsi="Times New Roman" w:cs="Times New Roman"/>
          <w:sz w:val="24"/>
          <w:szCs w:val="24"/>
        </w:rPr>
        <w:t xml:space="preserve">, </w:t>
      </w:r>
      <w:r w:rsidRPr="006D481F">
        <w:rPr>
          <w:rFonts w:ascii="Times New Roman" w:hAnsi="Times New Roman" w:cs="Times New Roman"/>
          <w:sz w:val="24"/>
          <w:szCs w:val="24"/>
        </w:rPr>
        <w:t xml:space="preserve">are placed in so </w:t>
      </w:r>
      <w:bookmarkStart w:id="6" w:name="_Hlk8382033"/>
      <w:r w:rsidRPr="006D481F">
        <w:rPr>
          <w:rFonts w:ascii="Times New Roman" w:hAnsi="Times New Roman" w:cs="Times New Roman"/>
          <w:sz w:val="24"/>
          <w:szCs w:val="24"/>
        </w:rPr>
        <w:t>called border zones, where neighbouring cultures come into contact.</w:t>
      </w:r>
      <w:r w:rsidRPr="006D481F">
        <w:rPr>
          <w:rStyle w:val="Funotenzeichen"/>
          <w:rFonts w:ascii="Times New Roman" w:hAnsi="Times New Roman" w:cs="Times New Roman"/>
          <w:sz w:val="24"/>
          <w:szCs w:val="24"/>
        </w:rPr>
        <w:footnoteReference w:id="19"/>
      </w:r>
      <w:r w:rsidRPr="006D481F">
        <w:rPr>
          <w:rFonts w:ascii="Times New Roman" w:hAnsi="Times New Roman" w:cs="Times New Roman"/>
          <w:sz w:val="24"/>
          <w:szCs w:val="24"/>
        </w:rPr>
        <w:t xml:space="preserve">  </w:t>
      </w:r>
      <w:bookmarkEnd w:id="6"/>
    </w:p>
    <w:p w14:paraId="423C111F" w14:textId="77777777" w:rsidR="003213C0" w:rsidRPr="006D481F" w:rsidRDefault="00342256"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With this in mind, </w:t>
      </w:r>
      <w:r w:rsidR="003213C0" w:rsidRPr="006D481F">
        <w:rPr>
          <w:rFonts w:ascii="Times New Roman" w:hAnsi="Times New Roman" w:cs="Times New Roman"/>
          <w:sz w:val="24"/>
          <w:szCs w:val="24"/>
        </w:rPr>
        <w:t xml:space="preserve">it is not necessarily the centre of a culture </w:t>
      </w:r>
      <w:r w:rsidRPr="006D481F">
        <w:rPr>
          <w:rFonts w:ascii="Times New Roman" w:hAnsi="Times New Roman" w:cs="Times New Roman"/>
          <w:sz w:val="24"/>
          <w:szCs w:val="24"/>
        </w:rPr>
        <w:t>which</w:t>
      </w:r>
      <w:r w:rsidR="003213C0" w:rsidRPr="006D481F">
        <w:rPr>
          <w:rFonts w:ascii="Times New Roman" w:hAnsi="Times New Roman" w:cs="Times New Roman"/>
          <w:sz w:val="24"/>
          <w:szCs w:val="24"/>
        </w:rPr>
        <w:t xml:space="preserve"> dictates the cultural concepts of the periphery and borderlands, creating a uniform culture,</w:t>
      </w:r>
      <w:r w:rsidR="003213C0" w:rsidRPr="006D481F">
        <w:rPr>
          <w:rStyle w:val="Funotenzeichen"/>
          <w:rFonts w:ascii="Times New Roman" w:hAnsi="Times New Roman" w:cs="Times New Roman"/>
          <w:sz w:val="24"/>
          <w:szCs w:val="24"/>
        </w:rPr>
        <w:footnoteReference w:id="20"/>
      </w:r>
      <w:r w:rsidR="003213C0" w:rsidRPr="006D481F">
        <w:rPr>
          <w:rFonts w:ascii="Times New Roman" w:hAnsi="Times New Roman" w:cs="Times New Roman"/>
          <w:sz w:val="24"/>
          <w:szCs w:val="24"/>
        </w:rPr>
        <w:t xml:space="preserve">  but instead, culture truly </w:t>
      </w:r>
      <w:r w:rsidRPr="006D481F">
        <w:rPr>
          <w:rFonts w:ascii="Times New Roman" w:hAnsi="Times New Roman" w:cs="Times New Roman"/>
          <w:sz w:val="24"/>
          <w:szCs w:val="24"/>
        </w:rPr>
        <w:t>manifests in complex ways</w:t>
      </w:r>
      <w:r w:rsidR="003213C0" w:rsidRPr="006D481F">
        <w:rPr>
          <w:rFonts w:ascii="Times New Roman" w:hAnsi="Times New Roman" w:cs="Times New Roman"/>
          <w:sz w:val="24"/>
          <w:szCs w:val="24"/>
        </w:rPr>
        <w:t>, bound to varying degrees of change.</w:t>
      </w:r>
      <w:r w:rsidR="003213C0" w:rsidRPr="006D481F">
        <w:rPr>
          <w:rStyle w:val="Funotenzeichen"/>
          <w:rFonts w:ascii="Times New Roman" w:hAnsi="Times New Roman" w:cs="Times New Roman"/>
          <w:sz w:val="24"/>
          <w:szCs w:val="24"/>
        </w:rPr>
        <w:footnoteReference w:id="21"/>
      </w:r>
    </w:p>
    <w:p w14:paraId="1569B253" w14:textId="77777777" w:rsidR="007930D1" w:rsidRPr="006D481F" w:rsidRDefault="00342256"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Due to cultural differences</w:t>
      </w:r>
      <w:r w:rsidR="003213C0" w:rsidRPr="006D481F">
        <w:rPr>
          <w:rFonts w:ascii="Times New Roman" w:hAnsi="Times New Roman" w:cs="Times New Roman"/>
          <w:sz w:val="24"/>
          <w:szCs w:val="24"/>
        </w:rPr>
        <w:t>,</w:t>
      </w:r>
      <w:r w:rsidRPr="006D481F">
        <w:rPr>
          <w:rFonts w:ascii="Times New Roman" w:hAnsi="Times New Roman" w:cs="Times New Roman"/>
          <w:sz w:val="24"/>
          <w:szCs w:val="24"/>
        </w:rPr>
        <w:t xml:space="preserve"> it is consequentially only certain aspects</w:t>
      </w:r>
      <w:r w:rsidR="00F62345" w:rsidRPr="006D481F">
        <w:rPr>
          <w:rFonts w:ascii="Times New Roman" w:hAnsi="Times New Roman" w:cs="Times New Roman"/>
          <w:sz w:val="24"/>
          <w:szCs w:val="24"/>
        </w:rPr>
        <w:t xml:space="preserve"> that are</w:t>
      </w:r>
      <w:r w:rsidR="003213C0" w:rsidRPr="006D481F">
        <w:rPr>
          <w:rFonts w:ascii="Times New Roman" w:hAnsi="Times New Roman" w:cs="Times New Roman"/>
          <w:sz w:val="24"/>
          <w:szCs w:val="24"/>
        </w:rPr>
        <w:t xml:space="preserve"> adopted,</w:t>
      </w:r>
      <w:r w:rsidR="00F62345" w:rsidRPr="006D481F">
        <w:rPr>
          <w:rFonts w:ascii="Times New Roman" w:hAnsi="Times New Roman" w:cs="Times New Roman"/>
          <w:sz w:val="24"/>
          <w:szCs w:val="24"/>
        </w:rPr>
        <w:t xml:space="preserve"> by a collective culture or individual, </w:t>
      </w:r>
      <w:r w:rsidR="003213C0" w:rsidRPr="006D481F">
        <w:rPr>
          <w:rFonts w:ascii="Times New Roman" w:hAnsi="Times New Roman" w:cs="Times New Roman"/>
          <w:sz w:val="24"/>
          <w:szCs w:val="24"/>
        </w:rPr>
        <w:t>while other</w:t>
      </w:r>
      <w:r w:rsidR="00F62345" w:rsidRPr="006D481F">
        <w:rPr>
          <w:rFonts w:ascii="Times New Roman" w:hAnsi="Times New Roman" w:cs="Times New Roman"/>
          <w:sz w:val="24"/>
          <w:szCs w:val="24"/>
        </w:rPr>
        <w:t xml:space="preserve"> aspects</w:t>
      </w:r>
      <w:r w:rsidR="003213C0" w:rsidRPr="006D481F">
        <w:rPr>
          <w:rFonts w:ascii="Times New Roman" w:hAnsi="Times New Roman" w:cs="Times New Roman"/>
          <w:sz w:val="24"/>
          <w:szCs w:val="24"/>
        </w:rPr>
        <w:t xml:space="preserve"> are rejected.</w:t>
      </w:r>
      <w:r w:rsidR="003213C0" w:rsidRPr="006D481F">
        <w:rPr>
          <w:rStyle w:val="Funotenzeichen"/>
          <w:rFonts w:ascii="Times New Roman" w:hAnsi="Times New Roman" w:cs="Times New Roman"/>
          <w:sz w:val="24"/>
          <w:szCs w:val="24"/>
        </w:rPr>
        <w:footnoteReference w:id="22"/>
      </w:r>
      <w:r w:rsidR="003213C0" w:rsidRPr="006D481F">
        <w:rPr>
          <w:rFonts w:ascii="Times New Roman" w:hAnsi="Times New Roman" w:cs="Times New Roman"/>
          <w:sz w:val="24"/>
          <w:szCs w:val="24"/>
        </w:rPr>
        <w:t xml:space="preserve"> </w:t>
      </w:r>
      <w:r w:rsidR="007930D1" w:rsidRPr="006D481F">
        <w:rPr>
          <w:rFonts w:ascii="Times New Roman" w:hAnsi="Times New Roman" w:cs="Times New Roman"/>
          <w:sz w:val="24"/>
          <w:szCs w:val="24"/>
        </w:rPr>
        <w:t>General purpose items were often more eagerly accepted, especially when they were perceived to have been of essential need.</w:t>
      </w:r>
      <w:r w:rsidR="007930D1" w:rsidRPr="006D481F">
        <w:rPr>
          <w:rStyle w:val="Funotenzeichen"/>
          <w:rFonts w:ascii="Times New Roman" w:hAnsi="Times New Roman" w:cs="Times New Roman"/>
          <w:sz w:val="24"/>
          <w:szCs w:val="24"/>
        </w:rPr>
        <w:footnoteReference w:id="23"/>
      </w:r>
      <w:r w:rsidR="007930D1" w:rsidRPr="006D481F">
        <w:rPr>
          <w:rFonts w:ascii="Times New Roman" w:hAnsi="Times New Roman" w:cs="Times New Roman"/>
          <w:sz w:val="24"/>
          <w:szCs w:val="24"/>
        </w:rPr>
        <w:t xml:space="preserve"> Hence, simpler ideas are often more eagerly accepted than complex concepts.</w:t>
      </w:r>
      <w:r w:rsidR="007930D1" w:rsidRPr="006D481F">
        <w:rPr>
          <w:rStyle w:val="Funotenzeichen"/>
          <w:rFonts w:ascii="Times New Roman" w:hAnsi="Times New Roman" w:cs="Times New Roman"/>
          <w:sz w:val="24"/>
          <w:szCs w:val="24"/>
        </w:rPr>
        <w:footnoteReference w:id="24"/>
      </w:r>
    </w:p>
    <w:p w14:paraId="12EAC863" w14:textId="77777777" w:rsidR="007930D1" w:rsidRPr="006D481F" w:rsidRDefault="007930D1"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Sometimes the essential need was to compete with rivalling cultures that shared the same means of accumulating income and wealth.</w:t>
      </w:r>
      <w:r w:rsidRPr="006D481F">
        <w:rPr>
          <w:rStyle w:val="Funotenzeichen"/>
          <w:rFonts w:ascii="Times New Roman" w:hAnsi="Times New Roman" w:cs="Times New Roman"/>
          <w:sz w:val="24"/>
          <w:szCs w:val="24"/>
        </w:rPr>
        <w:footnoteReference w:id="25"/>
      </w:r>
      <w:r w:rsidRPr="006D481F">
        <w:rPr>
          <w:rFonts w:ascii="Times New Roman" w:hAnsi="Times New Roman" w:cs="Times New Roman"/>
          <w:sz w:val="24"/>
          <w:szCs w:val="24"/>
        </w:rPr>
        <w:t xml:space="preserve">  This leading to new technologies that were frequently adopted and adapted to fit existing elements rather than replacing existing schemes.</w:t>
      </w:r>
      <w:r w:rsidRPr="006D481F">
        <w:rPr>
          <w:rStyle w:val="Funotenzeichen"/>
          <w:rFonts w:ascii="Times New Roman" w:hAnsi="Times New Roman" w:cs="Times New Roman"/>
          <w:sz w:val="24"/>
          <w:szCs w:val="24"/>
        </w:rPr>
        <w:footnoteReference w:id="26"/>
      </w:r>
      <w:r w:rsidRPr="006D481F">
        <w:rPr>
          <w:rFonts w:ascii="Times New Roman" w:hAnsi="Times New Roman" w:cs="Times New Roman"/>
          <w:sz w:val="24"/>
          <w:szCs w:val="24"/>
        </w:rPr>
        <w:t xml:space="preserve">  However, even the smallest decision to embrace change could lead to a shift in cultural identity.</w:t>
      </w:r>
      <w:r w:rsidRPr="006D481F">
        <w:rPr>
          <w:rStyle w:val="Funotenzeichen"/>
          <w:rFonts w:ascii="Times New Roman" w:hAnsi="Times New Roman" w:cs="Times New Roman"/>
          <w:sz w:val="24"/>
          <w:szCs w:val="24"/>
        </w:rPr>
        <w:footnoteReference w:id="27"/>
      </w:r>
      <w:r w:rsidRPr="006D481F">
        <w:rPr>
          <w:rFonts w:ascii="Times New Roman" w:hAnsi="Times New Roman" w:cs="Times New Roman"/>
          <w:sz w:val="24"/>
          <w:szCs w:val="24"/>
        </w:rPr>
        <w:t xml:space="preserve">  </w:t>
      </w:r>
    </w:p>
    <w:p w14:paraId="54163436" w14:textId="77777777" w:rsidR="00F62345"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Such decisions </w:t>
      </w:r>
      <w:r w:rsidR="004A02B6" w:rsidRPr="006D481F">
        <w:rPr>
          <w:rFonts w:ascii="Times New Roman" w:hAnsi="Times New Roman" w:cs="Times New Roman"/>
          <w:sz w:val="24"/>
          <w:szCs w:val="24"/>
        </w:rPr>
        <w:t>were</w:t>
      </w:r>
      <w:r w:rsidRPr="006D481F">
        <w:rPr>
          <w:rFonts w:ascii="Times New Roman" w:hAnsi="Times New Roman" w:cs="Times New Roman"/>
          <w:sz w:val="24"/>
          <w:szCs w:val="24"/>
        </w:rPr>
        <w:t xml:space="preserve"> dependent on cultural needs, the </w:t>
      </w:r>
      <w:r w:rsidR="004A02B6" w:rsidRPr="006D481F">
        <w:rPr>
          <w:rFonts w:ascii="Times New Roman" w:hAnsi="Times New Roman" w:cs="Times New Roman"/>
          <w:sz w:val="24"/>
          <w:szCs w:val="24"/>
        </w:rPr>
        <w:t xml:space="preserve">value of </w:t>
      </w:r>
      <w:r w:rsidRPr="006D481F">
        <w:rPr>
          <w:rFonts w:ascii="Times New Roman" w:hAnsi="Times New Roman" w:cs="Times New Roman"/>
          <w:sz w:val="24"/>
          <w:szCs w:val="24"/>
        </w:rPr>
        <w:t>desired commodit</w:t>
      </w:r>
      <w:r w:rsidR="004A02B6" w:rsidRPr="006D481F">
        <w:rPr>
          <w:rFonts w:ascii="Times New Roman" w:hAnsi="Times New Roman" w:cs="Times New Roman"/>
          <w:sz w:val="24"/>
          <w:szCs w:val="24"/>
        </w:rPr>
        <w:t>ies</w:t>
      </w:r>
      <w:r w:rsidRPr="006D481F">
        <w:rPr>
          <w:rFonts w:ascii="Times New Roman" w:hAnsi="Times New Roman" w:cs="Times New Roman"/>
          <w:sz w:val="24"/>
          <w:szCs w:val="24"/>
        </w:rPr>
        <w:t>, and subsequentially the wealth of the recipient.</w:t>
      </w:r>
      <w:r w:rsidRPr="006D481F">
        <w:rPr>
          <w:rStyle w:val="Funotenzeichen"/>
          <w:rFonts w:ascii="Times New Roman" w:hAnsi="Times New Roman" w:cs="Times New Roman"/>
          <w:sz w:val="24"/>
          <w:szCs w:val="24"/>
        </w:rPr>
        <w:footnoteReference w:id="28"/>
      </w:r>
      <w:r w:rsidRPr="006D481F">
        <w:rPr>
          <w:rFonts w:ascii="Times New Roman" w:hAnsi="Times New Roman" w:cs="Times New Roman"/>
          <w:sz w:val="24"/>
          <w:szCs w:val="24"/>
        </w:rPr>
        <w:t xml:space="preserve"> </w:t>
      </w:r>
      <w:r w:rsidR="00F62345" w:rsidRPr="006D481F">
        <w:rPr>
          <w:rFonts w:ascii="Times New Roman" w:hAnsi="Times New Roman" w:cs="Times New Roman"/>
          <w:sz w:val="24"/>
          <w:szCs w:val="24"/>
        </w:rPr>
        <w:t>It also depend</w:t>
      </w:r>
      <w:r w:rsidR="004A02B6" w:rsidRPr="006D481F">
        <w:rPr>
          <w:rFonts w:ascii="Times New Roman" w:hAnsi="Times New Roman" w:cs="Times New Roman"/>
          <w:sz w:val="24"/>
          <w:szCs w:val="24"/>
        </w:rPr>
        <w:t>ed</w:t>
      </w:r>
      <w:r w:rsidR="00F62345" w:rsidRPr="006D481F">
        <w:rPr>
          <w:rFonts w:ascii="Times New Roman" w:hAnsi="Times New Roman" w:cs="Times New Roman"/>
          <w:sz w:val="24"/>
          <w:szCs w:val="24"/>
        </w:rPr>
        <w:t xml:space="preserve"> on </w:t>
      </w:r>
      <w:r w:rsidR="004A02B6" w:rsidRPr="006D481F">
        <w:rPr>
          <w:rFonts w:ascii="Times New Roman" w:hAnsi="Times New Roman" w:cs="Times New Roman"/>
          <w:sz w:val="24"/>
          <w:szCs w:val="24"/>
        </w:rPr>
        <w:t xml:space="preserve">the </w:t>
      </w:r>
      <w:r w:rsidR="00F62345" w:rsidRPr="006D481F">
        <w:rPr>
          <w:rFonts w:ascii="Times New Roman" w:hAnsi="Times New Roman" w:cs="Times New Roman"/>
          <w:sz w:val="24"/>
          <w:szCs w:val="24"/>
        </w:rPr>
        <w:t>degree of choice given to the recipient, as</w:t>
      </w:r>
      <w:r w:rsidR="004A02B6" w:rsidRPr="006D481F">
        <w:rPr>
          <w:rFonts w:ascii="Times New Roman" w:hAnsi="Times New Roman" w:cs="Times New Roman"/>
          <w:sz w:val="24"/>
          <w:szCs w:val="24"/>
        </w:rPr>
        <w:t xml:space="preserve"> </w:t>
      </w:r>
      <w:r w:rsidR="00F62345" w:rsidRPr="006D481F">
        <w:rPr>
          <w:rFonts w:ascii="Times New Roman" w:hAnsi="Times New Roman" w:cs="Times New Roman"/>
          <w:sz w:val="24"/>
          <w:szCs w:val="24"/>
        </w:rPr>
        <w:t xml:space="preserve">cross-cultural contact situations such as colonization, </w:t>
      </w:r>
      <w:r w:rsidR="004A02B6" w:rsidRPr="006D481F">
        <w:rPr>
          <w:rFonts w:ascii="Times New Roman" w:hAnsi="Times New Roman" w:cs="Times New Roman"/>
          <w:sz w:val="24"/>
          <w:szCs w:val="24"/>
        </w:rPr>
        <w:t xml:space="preserve">sometimes </w:t>
      </w:r>
      <w:r w:rsidR="00F62345" w:rsidRPr="006D481F">
        <w:rPr>
          <w:rFonts w:ascii="Times New Roman" w:hAnsi="Times New Roman" w:cs="Times New Roman"/>
          <w:sz w:val="24"/>
          <w:szCs w:val="24"/>
        </w:rPr>
        <w:t>le</w:t>
      </w:r>
      <w:r w:rsidR="004A02B6" w:rsidRPr="006D481F">
        <w:rPr>
          <w:rFonts w:ascii="Times New Roman" w:hAnsi="Times New Roman" w:cs="Times New Roman"/>
          <w:sz w:val="24"/>
          <w:szCs w:val="24"/>
        </w:rPr>
        <w:t>ft little</w:t>
      </w:r>
      <w:r w:rsidR="00F62345" w:rsidRPr="006D481F">
        <w:rPr>
          <w:rFonts w:ascii="Times New Roman" w:hAnsi="Times New Roman" w:cs="Times New Roman"/>
          <w:sz w:val="24"/>
          <w:szCs w:val="24"/>
        </w:rPr>
        <w:t xml:space="preserve"> leeway for the colonized culture to decide which aspects to adopt.</w:t>
      </w:r>
      <w:r w:rsidR="00F62345" w:rsidRPr="006D481F">
        <w:rPr>
          <w:rStyle w:val="Funotenzeichen"/>
          <w:rFonts w:ascii="Times New Roman" w:hAnsi="Times New Roman" w:cs="Times New Roman"/>
          <w:sz w:val="24"/>
          <w:szCs w:val="24"/>
        </w:rPr>
        <w:footnoteReference w:id="29"/>
      </w:r>
    </w:p>
    <w:p w14:paraId="72DDE8EF"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lastRenderedPageBreak/>
        <w:t>Th</w:t>
      </w:r>
      <w:r w:rsidR="00F62345" w:rsidRPr="006D481F">
        <w:rPr>
          <w:rFonts w:ascii="Times New Roman" w:hAnsi="Times New Roman" w:cs="Times New Roman"/>
          <w:sz w:val="24"/>
          <w:szCs w:val="24"/>
        </w:rPr>
        <w:t>at said</w:t>
      </w:r>
      <w:r w:rsidRPr="006D481F">
        <w:rPr>
          <w:rFonts w:ascii="Times New Roman" w:hAnsi="Times New Roman" w:cs="Times New Roman"/>
          <w:sz w:val="24"/>
          <w:szCs w:val="24"/>
        </w:rPr>
        <w:t xml:space="preserve">, it was often the elite of a culture which could afford objects, as well as human labour, that could </w:t>
      </w:r>
      <w:r w:rsidR="00F62345" w:rsidRPr="006D481F">
        <w:rPr>
          <w:rFonts w:ascii="Times New Roman" w:hAnsi="Times New Roman" w:cs="Times New Roman"/>
          <w:sz w:val="24"/>
          <w:szCs w:val="24"/>
        </w:rPr>
        <w:t>sell cultural</w:t>
      </w:r>
      <w:r w:rsidRPr="006D481F">
        <w:rPr>
          <w:rFonts w:ascii="Times New Roman" w:hAnsi="Times New Roman" w:cs="Times New Roman"/>
          <w:sz w:val="24"/>
          <w:szCs w:val="24"/>
        </w:rPr>
        <w:t xml:space="preserve"> concepts such as architectural features, by creating the latter for the recipient.</w:t>
      </w:r>
      <w:r w:rsidRPr="006D481F">
        <w:rPr>
          <w:rStyle w:val="Funotenzeichen"/>
          <w:rFonts w:ascii="Times New Roman" w:hAnsi="Times New Roman" w:cs="Times New Roman"/>
          <w:sz w:val="24"/>
          <w:szCs w:val="24"/>
        </w:rPr>
        <w:footnoteReference w:id="30"/>
      </w:r>
      <w:r w:rsidRPr="006D481F">
        <w:rPr>
          <w:rFonts w:ascii="Times New Roman" w:hAnsi="Times New Roman" w:cs="Times New Roman"/>
          <w:sz w:val="24"/>
          <w:szCs w:val="24"/>
        </w:rPr>
        <w:t xml:space="preserve">  </w:t>
      </w:r>
      <w:bookmarkStart w:id="7" w:name="_Hlk8382087"/>
      <w:r w:rsidRPr="006D481F">
        <w:rPr>
          <w:rFonts w:ascii="Times New Roman" w:hAnsi="Times New Roman" w:cs="Times New Roman"/>
          <w:sz w:val="24"/>
          <w:szCs w:val="24"/>
        </w:rPr>
        <w:t>Such services may have been performed by travelling artisans.</w:t>
      </w:r>
      <w:r w:rsidRPr="006D481F">
        <w:rPr>
          <w:rStyle w:val="Funotenzeichen"/>
          <w:rFonts w:ascii="Times New Roman" w:hAnsi="Times New Roman" w:cs="Times New Roman"/>
          <w:sz w:val="24"/>
          <w:szCs w:val="24"/>
        </w:rPr>
        <w:footnoteReference w:id="31"/>
      </w:r>
      <w:r w:rsidR="00F62345" w:rsidRPr="006D481F">
        <w:rPr>
          <w:rFonts w:ascii="Times New Roman" w:hAnsi="Times New Roman" w:cs="Times New Roman"/>
          <w:sz w:val="24"/>
          <w:szCs w:val="24"/>
        </w:rPr>
        <w:t xml:space="preserve"> Further, the aristocracy of a culture had great interests in utilizing monumental architecture in order to manifest a claim to power, as well as creating a lasting legacy.</w:t>
      </w:r>
      <w:r w:rsidRPr="006D481F">
        <w:rPr>
          <w:rStyle w:val="Funotenzeichen"/>
          <w:rFonts w:ascii="Times New Roman" w:hAnsi="Times New Roman" w:cs="Times New Roman"/>
          <w:sz w:val="24"/>
          <w:szCs w:val="24"/>
        </w:rPr>
        <w:footnoteReference w:id="32"/>
      </w:r>
    </w:p>
    <w:bookmarkEnd w:id="7"/>
    <w:p w14:paraId="463E198D"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Internal power struggles between different aristocratic families may have led to alliances and associations with outsiders, often deemed superior in influence, such as the leaders of an Empire or kingdom.</w:t>
      </w:r>
      <w:r w:rsidRPr="006D481F">
        <w:rPr>
          <w:rStyle w:val="Funotenzeichen"/>
          <w:rFonts w:ascii="Times New Roman" w:hAnsi="Times New Roman" w:cs="Times New Roman"/>
          <w:sz w:val="24"/>
          <w:szCs w:val="24"/>
        </w:rPr>
        <w:footnoteReference w:id="33"/>
      </w:r>
      <w:r w:rsidRPr="006D481F">
        <w:rPr>
          <w:rFonts w:ascii="Times New Roman" w:hAnsi="Times New Roman" w:cs="Times New Roman"/>
          <w:sz w:val="24"/>
          <w:szCs w:val="24"/>
        </w:rPr>
        <w:t xml:space="preserve"> </w:t>
      </w:r>
    </w:p>
    <w:p w14:paraId="57671275" w14:textId="77777777" w:rsidR="003213C0" w:rsidRPr="006D481F" w:rsidRDefault="007930D1"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In contrast</w:t>
      </w:r>
      <w:r w:rsidR="003213C0" w:rsidRPr="006D481F">
        <w:rPr>
          <w:rFonts w:ascii="Times New Roman" w:hAnsi="Times New Roman" w:cs="Times New Roman"/>
          <w:sz w:val="24"/>
          <w:szCs w:val="24"/>
        </w:rPr>
        <w:t xml:space="preserve">, Webster 2001 argues that not all </w:t>
      </w:r>
      <w:r w:rsidRPr="006D481F">
        <w:rPr>
          <w:rFonts w:ascii="Times New Roman" w:hAnsi="Times New Roman" w:cs="Times New Roman"/>
          <w:sz w:val="24"/>
          <w:szCs w:val="24"/>
        </w:rPr>
        <w:t>aristocratic</w:t>
      </w:r>
      <w:r w:rsidR="003213C0" w:rsidRPr="006D481F">
        <w:rPr>
          <w:rFonts w:ascii="Times New Roman" w:hAnsi="Times New Roman" w:cs="Times New Roman"/>
          <w:sz w:val="24"/>
          <w:szCs w:val="24"/>
        </w:rPr>
        <w:t xml:space="preserve"> families of a culture were eager to adopt insignia of another elite, but rather preferred traditional, already present architectural features to enforce authority.</w:t>
      </w:r>
      <w:r w:rsidR="003213C0" w:rsidRPr="006D481F">
        <w:rPr>
          <w:rStyle w:val="Funotenzeichen"/>
          <w:rFonts w:ascii="Times New Roman" w:hAnsi="Times New Roman" w:cs="Times New Roman"/>
          <w:sz w:val="24"/>
          <w:szCs w:val="24"/>
        </w:rPr>
        <w:footnoteReference w:id="34"/>
      </w:r>
      <w:r w:rsidR="003213C0" w:rsidRPr="006D481F">
        <w:rPr>
          <w:rFonts w:ascii="Times New Roman" w:hAnsi="Times New Roman" w:cs="Times New Roman"/>
          <w:sz w:val="24"/>
          <w:szCs w:val="24"/>
        </w:rPr>
        <w:t xml:space="preserve">  </w:t>
      </w:r>
    </w:p>
    <w:p w14:paraId="283C0359" w14:textId="77777777" w:rsidR="003213C0" w:rsidRPr="006D481F" w:rsidRDefault="003213C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Webster 2001 further proposes, that not all cultural changes were introduced by the elite, with some ideas </w:t>
      </w:r>
      <w:r w:rsidR="007930D1" w:rsidRPr="006D481F">
        <w:rPr>
          <w:rFonts w:ascii="Times New Roman" w:hAnsi="Times New Roman" w:cs="Times New Roman"/>
          <w:sz w:val="24"/>
          <w:szCs w:val="24"/>
        </w:rPr>
        <w:t>diffusing</w:t>
      </w:r>
      <w:r w:rsidRPr="006D481F">
        <w:rPr>
          <w:rFonts w:ascii="Times New Roman" w:hAnsi="Times New Roman" w:cs="Times New Roman"/>
          <w:sz w:val="24"/>
          <w:szCs w:val="24"/>
        </w:rPr>
        <w:t xml:space="preserve"> from the lower strata of society, eventually affecting the elite.</w:t>
      </w:r>
      <w:r w:rsidRPr="006D481F">
        <w:rPr>
          <w:rStyle w:val="Funotenzeichen"/>
          <w:rFonts w:ascii="Times New Roman" w:hAnsi="Times New Roman" w:cs="Times New Roman"/>
          <w:sz w:val="24"/>
          <w:szCs w:val="24"/>
        </w:rPr>
        <w:footnoteReference w:id="35"/>
      </w:r>
      <w:r w:rsidRPr="006D481F">
        <w:rPr>
          <w:rFonts w:ascii="Times New Roman" w:hAnsi="Times New Roman" w:cs="Times New Roman"/>
          <w:sz w:val="24"/>
          <w:szCs w:val="24"/>
        </w:rPr>
        <w:t xml:space="preserve"> </w:t>
      </w:r>
    </w:p>
    <w:p w14:paraId="215935F1" w14:textId="77777777" w:rsidR="003213C0" w:rsidRPr="006D481F" w:rsidRDefault="003213C0" w:rsidP="006D481F">
      <w:pPr>
        <w:spacing w:line="480" w:lineRule="auto"/>
        <w:rPr>
          <w:rFonts w:ascii="Times New Roman" w:hAnsi="Times New Roman" w:cs="Times New Roman"/>
          <w:sz w:val="24"/>
          <w:szCs w:val="24"/>
        </w:rPr>
      </w:pPr>
    </w:p>
    <w:p w14:paraId="76771266" w14:textId="77777777" w:rsidR="00DF0355" w:rsidRPr="006D481F" w:rsidRDefault="00DF0355" w:rsidP="006D481F">
      <w:pPr>
        <w:spacing w:line="480" w:lineRule="auto"/>
        <w:rPr>
          <w:rFonts w:ascii="Times New Roman" w:hAnsi="Times New Roman" w:cs="Times New Roman"/>
          <w:sz w:val="24"/>
          <w:szCs w:val="24"/>
        </w:rPr>
      </w:pPr>
    </w:p>
    <w:p w14:paraId="5109C791" w14:textId="77777777" w:rsidR="003213C0" w:rsidRPr="006D481F" w:rsidRDefault="003213C0" w:rsidP="006D481F">
      <w:pPr>
        <w:spacing w:line="480" w:lineRule="auto"/>
        <w:rPr>
          <w:rFonts w:ascii="Times New Roman" w:hAnsi="Times New Roman" w:cs="Times New Roman"/>
          <w:sz w:val="24"/>
          <w:szCs w:val="24"/>
        </w:rPr>
      </w:pPr>
    </w:p>
    <w:p w14:paraId="7F39F0E5" w14:textId="77777777" w:rsidR="003213C0" w:rsidRPr="006D481F" w:rsidRDefault="003213C0" w:rsidP="006D481F">
      <w:pPr>
        <w:spacing w:line="480" w:lineRule="auto"/>
        <w:rPr>
          <w:rFonts w:ascii="Times New Roman" w:hAnsi="Times New Roman" w:cs="Times New Roman"/>
          <w:sz w:val="24"/>
          <w:szCs w:val="24"/>
        </w:rPr>
      </w:pPr>
    </w:p>
    <w:p w14:paraId="6CDB7E9E" w14:textId="77777777" w:rsidR="00FF1318" w:rsidRPr="006D481F" w:rsidRDefault="00FF1318" w:rsidP="006D481F">
      <w:pPr>
        <w:spacing w:line="480" w:lineRule="auto"/>
        <w:rPr>
          <w:rFonts w:ascii="Times New Roman" w:hAnsi="Times New Roman" w:cs="Times New Roman"/>
          <w:sz w:val="24"/>
          <w:szCs w:val="24"/>
        </w:rPr>
      </w:pPr>
    </w:p>
    <w:p w14:paraId="3B95764C" w14:textId="77777777" w:rsidR="00602CF1" w:rsidRPr="006D481F" w:rsidRDefault="00602CF1" w:rsidP="006D481F">
      <w:pPr>
        <w:pStyle w:val="berschrift2"/>
        <w:spacing w:line="480" w:lineRule="auto"/>
        <w:rPr>
          <w:rFonts w:ascii="Times New Roman" w:hAnsi="Times New Roman" w:cs="Times New Roman"/>
          <w:sz w:val="24"/>
          <w:szCs w:val="24"/>
          <w:u w:val="single"/>
        </w:rPr>
      </w:pPr>
      <w:r w:rsidRPr="006D481F">
        <w:rPr>
          <w:rFonts w:ascii="Times New Roman" w:hAnsi="Times New Roman" w:cs="Times New Roman"/>
          <w:color w:val="auto"/>
          <w:sz w:val="24"/>
          <w:szCs w:val="24"/>
          <w:u w:val="single"/>
        </w:rPr>
        <w:lastRenderedPageBreak/>
        <w:t>Cultural contact in definition</w:t>
      </w:r>
    </w:p>
    <w:p w14:paraId="6FE82809" w14:textId="77777777" w:rsidR="00602CF1" w:rsidRPr="006D481F" w:rsidRDefault="00602CF1" w:rsidP="006D481F">
      <w:pPr>
        <w:spacing w:line="480" w:lineRule="auto"/>
        <w:rPr>
          <w:rFonts w:ascii="Times New Roman" w:hAnsi="Times New Roman" w:cs="Times New Roman"/>
          <w:sz w:val="24"/>
          <w:szCs w:val="24"/>
        </w:rPr>
      </w:pPr>
    </w:p>
    <w:p w14:paraId="3854C6B9" w14:textId="77777777" w:rsidR="00602CF1" w:rsidRPr="006D481F" w:rsidRDefault="00602CF1"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Different terms attempting to explain the process of cross-cultural contact have been widely used by scholarship, to what end they are useful for explaining the parameters of a contact situation is now being discussed.</w:t>
      </w:r>
      <w:r w:rsidRPr="006D481F">
        <w:rPr>
          <w:rStyle w:val="Funotenzeichen"/>
          <w:rFonts w:ascii="Times New Roman" w:hAnsi="Times New Roman" w:cs="Times New Roman"/>
          <w:sz w:val="24"/>
          <w:szCs w:val="24"/>
        </w:rPr>
        <w:footnoteReference w:id="36"/>
      </w:r>
      <w:r w:rsidRPr="006D481F">
        <w:rPr>
          <w:rFonts w:ascii="Times New Roman" w:hAnsi="Times New Roman" w:cs="Times New Roman"/>
          <w:sz w:val="24"/>
          <w:szCs w:val="24"/>
        </w:rPr>
        <w:t xml:space="preserve"> As there have been many </w:t>
      </w:r>
      <w:r w:rsidR="00044950" w:rsidRPr="006D481F">
        <w:rPr>
          <w:rFonts w:ascii="Times New Roman" w:hAnsi="Times New Roman" w:cs="Times New Roman"/>
          <w:sz w:val="24"/>
          <w:szCs w:val="24"/>
        </w:rPr>
        <w:t>terms invented for the purpose of describing cultural contact, its context and outcomes, only a few can be dealt with in this chapter.</w:t>
      </w:r>
    </w:p>
    <w:p w14:paraId="27587EF3" w14:textId="77777777" w:rsidR="00A70297" w:rsidRPr="006D481F" w:rsidRDefault="00044950"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One, quite frequently used term is diffusion. Often de</w:t>
      </w:r>
      <w:r w:rsidR="00A70297" w:rsidRPr="006D481F">
        <w:rPr>
          <w:rFonts w:ascii="Times New Roman" w:hAnsi="Times New Roman" w:cs="Times New Roman"/>
          <w:sz w:val="24"/>
          <w:szCs w:val="24"/>
        </w:rPr>
        <w:t>scrib</w:t>
      </w:r>
      <w:r w:rsidRPr="006D481F">
        <w:rPr>
          <w:rFonts w:ascii="Times New Roman" w:hAnsi="Times New Roman" w:cs="Times New Roman"/>
          <w:sz w:val="24"/>
          <w:szCs w:val="24"/>
        </w:rPr>
        <w:t>ing</w:t>
      </w:r>
      <w:r w:rsidR="00A70297" w:rsidRPr="006D481F">
        <w:rPr>
          <w:rFonts w:ascii="Times New Roman" w:hAnsi="Times New Roman" w:cs="Times New Roman"/>
          <w:sz w:val="24"/>
          <w:szCs w:val="24"/>
        </w:rPr>
        <w:t xml:space="preserve"> a more intensive outcome on the cultural interaction scale, </w:t>
      </w:r>
      <w:r w:rsidRPr="006D481F">
        <w:rPr>
          <w:rFonts w:ascii="Times New Roman" w:hAnsi="Times New Roman" w:cs="Times New Roman"/>
          <w:sz w:val="24"/>
          <w:szCs w:val="24"/>
        </w:rPr>
        <w:t>diffusion can</w:t>
      </w:r>
      <w:r w:rsidR="00A70297" w:rsidRPr="006D481F">
        <w:rPr>
          <w:rFonts w:ascii="Times New Roman" w:hAnsi="Times New Roman" w:cs="Times New Roman"/>
          <w:sz w:val="24"/>
          <w:szCs w:val="24"/>
        </w:rPr>
        <w:t xml:space="preserve"> result in the acceptance of ideas and material culture by individuals or groups on a large scale.</w:t>
      </w:r>
      <w:r w:rsidR="00A70297" w:rsidRPr="006D481F">
        <w:rPr>
          <w:rStyle w:val="Funotenzeichen"/>
          <w:rFonts w:ascii="Times New Roman" w:hAnsi="Times New Roman" w:cs="Times New Roman"/>
          <w:sz w:val="24"/>
          <w:szCs w:val="24"/>
        </w:rPr>
        <w:footnoteReference w:id="37"/>
      </w:r>
      <w:r w:rsidR="00A70297" w:rsidRPr="006D481F">
        <w:rPr>
          <w:rFonts w:ascii="Times New Roman" w:hAnsi="Times New Roman" w:cs="Times New Roman"/>
          <w:sz w:val="24"/>
          <w:szCs w:val="24"/>
        </w:rPr>
        <w:t xml:space="preserve"> It is thus the urban areas and elite that are most likely to be involved a process of diffusion.</w:t>
      </w:r>
      <w:r w:rsidR="00A70297" w:rsidRPr="006D481F">
        <w:rPr>
          <w:rStyle w:val="Funotenzeichen"/>
          <w:rFonts w:ascii="Times New Roman" w:hAnsi="Times New Roman" w:cs="Times New Roman"/>
          <w:sz w:val="24"/>
          <w:szCs w:val="24"/>
        </w:rPr>
        <w:footnoteReference w:id="38"/>
      </w:r>
      <w:r w:rsidR="00A70297" w:rsidRPr="006D481F">
        <w:rPr>
          <w:rFonts w:ascii="Times New Roman" w:hAnsi="Times New Roman" w:cs="Times New Roman"/>
          <w:sz w:val="24"/>
          <w:szCs w:val="24"/>
        </w:rPr>
        <w:t xml:space="preserve"> With lower strata of society experiencing diffusion rather haphazardly.</w:t>
      </w:r>
      <w:r w:rsidR="00A70297" w:rsidRPr="006D481F">
        <w:rPr>
          <w:rStyle w:val="Funotenzeichen"/>
          <w:rFonts w:ascii="Times New Roman" w:hAnsi="Times New Roman" w:cs="Times New Roman"/>
          <w:sz w:val="24"/>
          <w:szCs w:val="24"/>
        </w:rPr>
        <w:footnoteReference w:id="39"/>
      </w:r>
      <w:r w:rsidR="00A70297" w:rsidRPr="006D481F">
        <w:rPr>
          <w:rFonts w:ascii="Times New Roman" w:hAnsi="Times New Roman" w:cs="Times New Roman"/>
          <w:sz w:val="24"/>
          <w:szCs w:val="24"/>
        </w:rPr>
        <w:t xml:space="preserve"> </w:t>
      </w:r>
      <w:r w:rsidR="004643FE" w:rsidRPr="006D481F">
        <w:rPr>
          <w:rFonts w:ascii="Times New Roman" w:hAnsi="Times New Roman" w:cs="Times New Roman"/>
          <w:sz w:val="24"/>
          <w:szCs w:val="24"/>
        </w:rPr>
        <w:t xml:space="preserve">This concept </w:t>
      </w:r>
      <w:r w:rsidRPr="006D481F">
        <w:rPr>
          <w:rFonts w:ascii="Times New Roman" w:hAnsi="Times New Roman" w:cs="Times New Roman"/>
          <w:sz w:val="24"/>
          <w:szCs w:val="24"/>
        </w:rPr>
        <w:t xml:space="preserve">is </w:t>
      </w:r>
      <w:r w:rsidR="00A70297" w:rsidRPr="006D481F">
        <w:rPr>
          <w:rFonts w:ascii="Times New Roman" w:hAnsi="Times New Roman" w:cs="Times New Roman"/>
          <w:sz w:val="24"/>
          <w:szCs w:val="24"/>
        </w:rPr>
        <w:t>divided into external and internal diffusion.</w:t>
      </w:r>
      <w:r w:rsidR="00A70297" w:rsidRPr="006D481F">
        <w:rPr>
          <w:rStyle w:val="Funotenzeichen"/>
          <w:rFonts w:ascii="Times New Roman" w:hAnsi="Times New Roman" w:cs="Times New Roman"/>
          <w:sz w:val="24"/>
          <w:szCs w:val="24"/>
        </w:rPr>
        <w:footnoteReference w:id="40"/>
      </w:r>
      <w:r w:rsidR="00A70297" w:rsidRPr="006D481F">
        <w:rPr>
          <w:rFonts w:ascii="Times New Roman" w:hAnsi="Times New Roman" w:cs="Times New Roman"/>
          <w:sz w:val="24"/>
          <w:szCs w:val="24"/>
        </w:rPr>
        <w:t xml:space="preserve"> The first applying to </w:t>
      </w:r>
      <w:r w:rsidR="004643FE" w:rsidRPr="006D481F">
        <w:rPr>
          <w:rFonts w:ascii="Times New Roman" w:hAnsi="Times New Roman" w:cs="Times New Roman"/>
          <w:sz w:val="24"/>
          <w:szCs w:val="24"/>
        </w:rPr>
        <w:t xml:space="preserve">an </w:t>
      </w:r>
      <w:r w:rsidR="00A70297" w:rsidRPr="006D481F">
        <w:rPr>
          <w:rFonts w:ascii="Times New Roman" w:hAnsi="Times New Roman" w:cs="Times New Roman"/>
          <w:sz w:val="24"/>
          <w:szCs w:val="24"/>
        </w:rPr>
        <w:t xml:space="preserve">exchange </w:t>
      </w:r>
      <w:r w:rsidR="004643FE" w:rsidRPr="006D481F">
        <w:rPr>
          <w:rFonts w:ascii="Times New Roman" w:hAnsi="Times New Roman" w:cs="Times New Roman"/>
          <w:sz w:val="24"/>
          <w:szCs w:val="24"/>
        </w:rPr>
        <w:t xml:space="preserve">taking place </w:t>
      </w:r>
      <w:r w:rsidR="00A70297" w:rsidRPr="006D481F">
        <w:rPr>
          <w:rFonts w:ascii="Times New Roman" w:hAnsi="Times New Roman" w:cs="Times New Roman"/>
          <w:sz w:val="24"/>
          <w:szCs w:val="24"/>
        </w:rPr>
        <w:t>between two groups and the latter within a group.</w:t>
      </w:r>
      <w:r w:rsidR="00A70297" w:rsidRPr="006D481F">
        <w:rPr>
          <w:rStyle w:val="Funotenzeichen"/>
          <w:rFonts w:ascii="Times New Roman" w:hAnsi="Times New Roman" w:cs="Times New Roman"/>
          <w:sz w:val="24"/>
          <w:szCs w:val="24"/>
        </w:rPr>
        <w:footnoteReference w:id="41"/>
      </w:r>
      <w:r w:rsidRPr="006D481F">
        <w:rPr>
          <w:rFonts w:ascii="Times New Roman" w:hAnsi="Times New Roman" w:cs="Times New Roman"/>
          <w:sz w:val="24"/>
          <w:szCs w:val="24"/>
        </w:rPr>
        <w:t xml:space="preserve"> </w:t>
      </w:r>
    </w:p>
    <w:p w14:paraId="090AFEA8" w14:textId="77777777" w:rsidR="00A70297" w:rsidRPr="006D481F" w:rsidRDefault="00A70297"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Further</w:t>
      </w:r>
      <w:r w:rsidR="00405D52" w:rsidRPr="006D481F">
        <w:rPr>
          <w:rFonts w:ascii="Times New Roman" w:hAnsi="Times New Roman" w:cs="Times New Roman"/>
          <w:sz w:val="24"/>
          <w:szCs w:val="24"/>
        </w:rPr>
        <w:t>more</w:t>
      </w:r>
      <w:r w:rsidRPr="006D481F">
        <w:rPr>
          <w:rFonts w:ascii="Times New Roman" w:hAnsi="Times New Roman" w:cs="Times New Roman"/>
          <w:sz w:val="24"/>
          <w:szCs w:val="24"/>
        </w:rPr>
        <w:t>, primary and secondary diffusion are distinguished as follows; primary</w:t>
      </w:r>
      <w:r w:rsidR="00405D52" w:rsidRPr="006D481F">
        <w:rPr>
          <w:rFonts w:ascii="Times New Roman" w:hAnsi="Times New Roman" w:cs="Times New Roman"/>
          <w:sz w:val="24"/>
          <w:szCs w:val="24"/>
        </w:rPr>
        <w:t xml:space="preserve"> diffusion</w:t>
      </w:r>
      <w:r w:rsidRPr="006D481F">
        <w:rPr>
          <w:rFonts w:ascii="Times New Roman" w:hAnsi="Times New Roman" w:cs="Times New Roman"/>
          <w:sz w:val="24"/>
          <w:szCs w:val="24"/>
        </w:rPr>
        <w:t xml:space="preserve"> referring to</w:t>
      </w:r>
      <w:r w:rsidR="00405D52" w:rsidRPr="006D481F">
        <w:rPr>
          <w:rFonts w:ascii="Times New Roman" w:hAnsi="Times New Roman" w:cs="Times New Roman"/>
          <w:sz w:val="24"/>
          <w:szCs w:val="24"/>
        </w:rPr>
        <w:t xml:space="preserve"> a </w:t>
      </w:r>
      <w:r w:rsidRPr="006D481F">
        <w:rPr>
          <w:rFonts w:ascii="Times New Roman" w:hAnsi="Times New Roman" w:cs="Times New Roman"/>
          <w:sz w:val="24"/>
          <w:szCs w:val="24"/>
        </w:rPr>
        <w:t xml:space="preserve"> more </w:t>
      </w:r>
      <w:r w:rsidR="00405D52" w:rsidRPr="006D481F">
        <w:rPr>
          <w:rFonts w:ascii="Times New Roman" w:hAnsi="Times New Roman" w:cs="Times New Roman"/>
          <w:sz w:val="24"/>
          <w:szCs w:val="24"/>
        </w:rPr>
        <w:t>extreme</w:t>
      </w:r>
      <w:r w:rsidRPr="006D481F">
        <w:rPr>
          <w:rFonts w:ascii="Times New Roman" w:hAnsi="Times New Roman" w:cs="Times New Roman"/>
          <w:sz w:val="24"/>
          <w:szCs w:val="24"/>
        </w:rPr>
        <w:t xml:space="preserve"> scenario</w:t>
      </w:r>
      <w:r w:rsidR="00405D52" w:rsidRPr="006D481F">
        <w:rPr>
          <w:rFonts w:ascii="Times New Roman" w:hAnsi="Times New Roman" w:cs="Times New Roman"/>
          <w:sz w:val="24"/>
          <w:szCs w:val="24"/>
        </w:rPr>
        <w:t>,</w:t>
      </w:r>
      <w:r w:rsidRPr="006D481F">
        <w:rPr>
          <w:rFonts w:ascii="Times New Roman" w:hAnsi="Times New Roman" w:cs="Times New Roman"/>
          <w:sz w:val="24"/>
          <w:szCs w:val="24"/>
        </w:rPr>
        <w:t xml:space="preserve"> in which a whole cultural assemblage is relocated, </w:t>
      </w:r>
      <w:r w:rsidR="00405D52" w:rsidRPr="006D481F">
        <w:rPr>
          <w:rFonts w:ascii="Times New Roman" w:hAnsi="Times New Roman" w:cs="Times New Roman"/>
          <w:sz w:val="24"/>
          <w:szCs w:val="24"/>
        </w:rPr>
        <w:t>applicable in relation to the term of</w:t>
      </w:r>
      <w:r w:rsidRPr="006D481F">
        <w:rPr>
          <w:rFonts w:ascii="Times New Roman" w:hAnsi="Times New Roman" w:cs="Times New Roman"/>
          <w:sz w:val="24"/>
          <w:szCs w:val="24"/>
        </w:rPr>
        <w:t xml:space="preserve"> colonization.</w:t>
      </w:r>
      <w:r w:rsidRPr="006D481F">
        <w:rPr>
          <w:rStyle w:val="Funotenzeichen"/>
          <w:rFonts w:ascii="Times New Roman" w:hAnsi="Times New Roman" w:cs="Times New Roman"/>
          <w:sz w:val="24"/>
          <w:szCs w:val="24"/>
        </w:rPr>
        <w:footnoteReference w:id="42"/>
      </w:r>
      <w:r w:rsidRPr="006D481F">
        <w:rPr>
          <w:rFonts w:ascii="Times New Roman" w:hAnsi="Times New Roman" w:cs="Times New Roman"/>
          <w:sz w:val="24"/>
          <w:szCs w:val="24"/>
        </w:rPr>
        <w:t xml:space="preserve"> </w:t>
      </w:r>
      <w:bookmarkStart w:id="9" w:name="_Hlk8382144"/>
      <w:r w:rsidRPr="006D481F">
        <w:rPr>
          <w:rFonts w:ascii="Times New Roman" w:hAnsi="Times New Roman" w:cs="Times New Roman"/>
          <w:sz w:val="24"/>
          <w:szCs w:val="24"/>
        </w:rPr>
        <w:t>Secondary</w:t>
      </w:r>
      <w:r w:rsidR="00405D52" w:rsidRPr="006D481F">
        <w:rPr>
          <w:rFonts w:ascii="Times New Roman" w:hAnsi="Times New Roman" w:cs="Times New Roman"/>
          <w:sz w:val="24"/>
          <w:szCs w:val="24"/>
        </w:rPr>
        <w:t xml:space="preserve"> diffusion</w:t>
      </w:r>
      <w:r w:rsidRPr="006D481F">
        <w:rPr>
          <w:rFonts w:ascii="Times New Roman" w:hAnsi="Times New Roman" w:cs="Times New Roman"/>
          <w:sz w:val="24"/>
          <w:szCs w:val="24"/>
        </w:rPr>
        <w:t xml:space="preserve"> represents a milder form of cultural interaction in which a face-to face contact between two groups is not required for </w:t>
      </w:r>
      <w:r w:rsidR="00405D52" w:rsidRPr="006D481F">
        <w:rPr>
          <w:rFonts w:ascii="Times New Roman" w:hAnsi="Times New Roman" w:cs="Times New Roman"/>
          <w:sz w:val="24"/>
          <w:szCs w:val="24"/>
        </w:rPr>
        <w:t>material and conceptual exchange</w:t>
      </w:r>
      <w:r w:rsidRPr="006D481F">
        <w:rPr>
          <w:rFonts w:ascii="Times New Roman" w:hAnsi="Times New Roman" w:cs="Times New Roman"/>
          <w:sz w:val="24"/>
          <w:szCs w:val="24"/>
        </w:rPr>
        <w:t xml:space="preserve">, which </w:t>
      </w:r>
      <w:r w:rsidR="00405D52" w:rsidRPr="006D481F">
        <w:rPr>
          <w:rFonts w:ascii="Times New Roman" w:hAnsi="Times New Roman" w:cs="Times New Roman"/>
          <w:sz w:val="24"/>
          <w:szCs w:val="24"/>
        </w:rPr>
        <w:t xml:space="preserve">then may take </w:t>
      </w:r>
      <w:r w:rsidRPr="006D481F">
        <w:rPr>
          <w:rFonts w:ascii="Times New Roman" w:hAnsi="Times New Roman" w:cs="Times New Roman"/>
          <w:sz w:val="24"/>
          <w:szCs w:val="24"/>
        </w:rPr>
        <w:t xml:space="preserve"> place through intermediate parties.</w:t>
      </w:r>
      <w:r w:rsidRPr="006D481F">
        <w:rPr>
          <w:rStyle w:val="Funotenzeichen"/>
          <w:rFonts w:ascii="Times New Roman" w:hAnsi="Times New Roman" w:cs="Times New Roman"/>
          <w:sz w:val="24"/>
          <w:szCs w:val="24"/>
        </w:rPr>
        <w:footnoteReference w:id="43"/>
      </w:r>
      <w:r w:rsidRPr="006D481F">
        <w:rPr>
          <w:rFonts w:ascii="Times New Roman" w:hAnsi="Times New Roman" w:cs="Times New Roman"/>
          <w:sz w:val="24"/>
          <w:szCs w:val="24"/>
        </w:rPr>
        <w:t xml:space="preserve"> </w:t>
      </w:r>
    </w:p>
    <w:bookmarkEnd w:id="9"/>
    <w:p w14:paraId="05D8265C" w14:textId="7712F50E" w:rsidR="000A36D9" w:rsidRPr="006D481F" w:rsidRDefault="004B4BEF"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lastRenderedPageBreak/>
        <w:t xml:space="preserve">Similar to diffusion, acculturation, can experience different degrees </w:t>
      </w:r>
      <w:r w:rsidR="006A391B">
        <w:rPr>
          <w:rFonts w:ascii="Times New Roman" w:hAnsi="Times New Roman" w:cs="Times New Roman"/>
          <w:sz w:val="24"/>
          <w:szCs w:val="24"/>
        </w:rPr>
        <w:t>o</w:t>
      </w:r>
      <w:r w:rsidRPr="006D481F">
        <w:rPr>
          <w:rFonts w:ascii="Times New Roman" w:hAnsi="Times New Roman" w:cs="Times New Roman"/>
          <w:sz w:val="24"/>
          <w:szCs w:val="24"/>
        </w:rPr>
        <w:t>f interactions with consequentially different outcomes, ranging from no change,</w:t>
      </w:r>
      <w:r w:rsidR="00C1245C" w:rsidRPr="006D481F">
        <w:rPr>
          <w:rFonts w:ascii="Times New Roman" w:hAnsi="Times New Roman" w:cs="Times New Roman"/>
          <w:sz w:val="24"/>
          <w:szCs w:val="24"/>
        </w:rPr>
        <w:t xml:space="preserve"> partial acculturation,</w:t>
      </w:r>
      <w:r w:rsidRPr="006D481F">
        <w:rPr>
          <w:rFonts w:ascii="Times New Roman" w:hAnsi="Times New Roman" w:cs="Times New Roman"/>
          <w:sz w:val="24"/>
          <w:szCs w:val="24"/>
        </w:rPr>
        <w:t xml:space="preserve"> to deeply-rooted cultural alterations.</w:t>
      </w:r>
      <w:r w:rsidRPr="006D481F">
        <w:rPr>
          <w:rStyle w:val="Funotenzeichen"/>
          <w:rFonts w:ascii="Times New Roman" w:hAnsi="Times New Roman" w:cs="Times New Roman"/>
          <w:sz w:val="24"/>
          <w:szCs w:val="24"/>
        </w:rPr>
        <w:footnoteReference w:id="44"/>
      </w:r>
      <w:r w:rsidRPr="006D481F">
        <w:rPr>
          <w:rFonts w:ascii="Times New Roman" w:hAnsi="Times New Roman" w:cs="Times New Roman"/>
          <w:sz w:val="24"/>
          <w:szCs w:val="24"/>
        </w:rPr>
        <w:t xml:space="preserve"> The more extreme version often implies an obligatory cultural change where in some instances a whole new cultural identity is imposed upon a society, often equated with a process named hybridization.</w:t>
      </w:r>
      <w:r w:rsidRPr="006D481F">
        <w:rPr>
          <w:rStyle w:val="Funotenzeichen"/>
          <w:rFonts w:ascii="Times New Roman" w:hAnsi="Times New Roman" w:cs="Times New Roman"/>
          <w:sz w:val="24"/>
          <w:szCs w:val="24"/>
        </w:rPr>
        <w:footnoteReference w:id="45"/>
      </w:r>
      <w:r w:rsidRPr="006D481F">
        <w:rPr>
          <w:rFonts w:ascii="Times New Roman" w:hAnsi="Times New Roman" w:cs="Times New Roman"/>
          <w:sz w:val="24"/>
          <w:szCs w:val="24"/>
        </w:rPr>
        <w:t xml:space="preserve"> </w:t>
      </w:r>
      <w:r w:rsidR="000A36D9" w:rsidRPr="006D481F">
        <w:rPr>
          <w:rFonts w:ascii="Times New Roman" w:hAnsi="Times New Roman" w:cs="Times New Roman"/>
          <w:sz w:val="24"/>
          <w:szCs w:val="24"/>
        </w:rPr>
        <w:t>Hybridization entails two groups exchanging a significant amount of elements to form a completely new cultural identity.</w:t>
      </w:r>
      <w:r w:rsidR="000A36D9" w:rsidRPr="006D481F">
        <w:rPr>
          <w:rStyle w:val="Funotenzeichen"/>
          <w:rFonts w:ascii="Times New Roman" w:hAnsi="Times New Roman" w:cs="Times New Roman"/>
          <w:sz w:val="24"/>
          <w:szCs w:val="24"/>
        </w:rPr>
        <w:footnoteReference w:id="46"/>
      </w:r>
      <w:r w:rsidR="000A36D9" w:rsidRPr="006D481F">
        <w:rPr>
          <w:rFonts w:ascii="Times New Roman" w:hAnsi="Times New Roman" w:cs="Times New Roman"/>
          <w:sz w:val="24"/>
          <w:szCs w:val="24"/>
        </w:rPr>
        <w:t xml:space="preserve">  Historically, Hybridization was not only enabled through the movement of artisans, but also through trade, which facilitated the circulation of elite objects in the first place and contributed to the exchange of ideas.</w:t>
      </w:r>
      <w:r w:rsidR="000A36D9" w:rsidRPr="006D481F">
        <w:rPr>
          <w:rStyle w:val="Funotenzeichen"/>
          <w:rFonts w:ascii="Times New Roman" w:hAnsi="Times New Roman" w:cs="Times New Roman"/>
          <w:sz w:val="24"/>
          <w:szCs w:val="24"/>
        </w:rPr>
        <w:footnoteReference w:id="47"/>
      </w:r>
      <w:r w:rsidR="000A36D9" w:rsidRPr="006D481F">
        <w:rPr>
          <w:rFonts w:ascii="Times New Roman" w:hAnsi="Times New Roman" w:cs="Times New Roman"/>
          <w:sz w:val="24"/>
          <w:szCs w:val="24"/>
        </w:rPr>
        <w:t xml:space="preserve">  </w:t>
      </w:r>
    </w:p>
    <w:p w14:paraId="50445B28" w14:textId="77777777" w:rsidR="004B4BEF" w:rsidRPr="006D481F" w:rsidRDefault="004B4BEF"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 xml:space="preserve">Thus, primary diffusion, hybridization and acculturation can describe similarly intense outcomes of cultural exchange, with secondary diffusion and a milder form of acculturation, applying to the less altered outcomes of </w:t>
      </w:r>
      <w:r w:rsidR="00DF0355" w:rsidRPr="006D481F">
        <w:rPr>
          <w:rFonts w:ascii="Times New Roman" w:hAnsi="Times New Roman" w:cs="Times New Roman"/>
          <w:sz w:val="24"/>
          <w:szCs w:val="24"/>
        </w:rPr>
        <w:t xml:space="preserve">cultural interaction. Making it clear how interchangeable these concepts really are.  </w:t>
      </w:r>
    </w:p>
    <w:p w14:paraId="6969EF29" w14:textId="77777777" w:rsidR="00824CE3" w:rsidRPr="006D481F" w:rsidRDefault="00824CE3" w:rsidP="006D481F">
      <w:pPr>
        <w:spacing w:line="480" w:lineRule="auto"/>
        <w:rPr>
          <w:rFonts w:ascii="Times New Roman" w:hAnsi="Times New Roman" w:cs="Times New Roman"/>
          <w:sz w:val="24"/>
          <w:szCs w:val="24"/>
        </w:rPr>
      </w:pPr>
      <w:r w:rsidRPr="006D481F">
        <w:rPr>
          <w:rFonts w:ascii="Times New Roman" w:hAnsi="Times New Roman" w:cs="Times New Roman"/>
          <w:sz w:val="24"/>
          <w:szCs w:val="24"/>
        </w:rPr>
        <w:t>The aspect of cultural identity where acculturation has historically had the most difficulties proceeding has been the religious beliefs.</w:t>
      </w:r>
      <w:r w:rsidRPr="006D481F">
        <w:rPr>
          <w:rStyle w:val="Funotenzeichen"/>
          <w:rFonts w:ascii="Times New Roman" w:hAnsi="Times New Roman" w:cs="Times New Roman"/>
          <w:sz w:val="24"/>
          <w:szCs w:val="24"/>
        </w:rPr>
        <w:footnoteReference w:id="48"/>
      </w:r>
      <w:r w:rsidRPr="006D481F">
        <w:rPr>
          <w:rFonts w:ascii="Times New Roman" w:hAnsi="Times New Roman" w:cs="Times New Roman"/>
          <w:sz w:val="24"/>
          <w:szCs w:val="24"/>
        </w:rPr>
        <w:t xml:space="preserve"> In religious matters, local populations are more prone to rebellion against any establishment introducing various degrees of force in connection to a change in belief system.</w:t>
      </w:r>
      <w:r w:rsidRPr="006D481F">
        <w:rPr>
          <w:rStyle w:val="Funotenzeichen"/>
          <w:rFonts w:ascii="Times New Roman" w:hAnsi="Times New Roman" w:cs="Times New Roman"/>
          <w:sz w:val="24"/>
          <w:szCs w:val="24"/>
        </w:rPr>
        <w:footnoteReference w:id="49"/>
      </w:r>
    </w:p>
    <w:p w14:paraId="2008EBBC" w14:textId="77777777" w:rsidR="00C1245C" w:rsidRPr="00BD2AB4" w:rsidRDefault="00C1245C" w:rsidP="00BD2AB4">
      <w:pPr>
        <w:spacing w:line="480" w:lineRule="auto"/>
        <w:rPr>
          <w:rFonts w:ascii="Times New Roman" w:hAnsi="Times New Roman" w:cs="Times New Roman"/>
          <w:sz w:val="24"/>
          <w:szCs w:val="24"/>
        </w:rPr>
      </w:pPr>
      <w:r w:rsidRPr="006D481F">
        <w:rPr>
          <w:rFonts w:ascii="Times New Roman" w:hAnsi="Times New Roman" w:cs="Times New Roman"/>
          <w:sz w:val="24"/>
          <w:szCs w:val="24"/>
        </w:rPr>
        <w:t>No religion, similar to the concept of culture, can be described as totally static, but have always been more a “ system of symbols which acts to establish powerful, persuasive, and long-lasting moods and motivations in men…”,</w:t>
      </w:r>
      <w:r w:rsidRPr="006D481F">
        <w:rPr>
          <w:rStyle w:val="Funotenzeichen"/>
          <w:rFonts w:ascii="Times New Roman" w:hAnsi="Times New Roman" w:cs="Times New Roman"/>
          <w:sz w:val="24"/>
          <w:szCs w:val="24"/>
        </w:rPr>
        <w:footnoteReference w:id="50"/>
      </w:r>
      <w:r w:rsidRPr="006D481F">
        <w:rPr>
          <w:rFonts w:ascii="Times New Roman" w:hAnsi="Times New Roman" w:cs="Times New Roman"/>
          <w:sz w:val="24"/>
          <w:szCs w:val="24"/>
        </w:rPr>
        <w:t xml:space="preserve"> adapting constantly to maintain control over its subjects by using symbolism such as in architecture, making architecture a materialisation </w:t>
      </w:r>
      <w:r w:rsidRPr="00BD2AB4">
        <w:rPr>
          <w:rFonts w:ascii="Times New Roman" w:hAnsi="Times New Roman" w:cs="Times New Roman"/>
          <w:sz w:val="24"/>
          <w:szCs w:val="24"/>
        </w:rPr>
        <w:lastRenderedPageBreak/>
        <w:t>of religious beliefs and a manifestation of power, thus intertwining both religion and architecture.</w:t>
      </w:r>
      <w:r w:rsidRPr="00BD2AB4">
        <w:rPr>
          <w:rStyle w:val="Funotenzeichen"/>
          <w:rFonts w:ascii="Times New Roman" w:hAnsi="Times New Roman" w:cs="Times New Roman"/>
          <w:sz w:val="24"/>
          <w:szCs w:val="24"/>
        </w:rPr>
        <w:footnoteReference w:id="51"/>
      </w:r>
    </w:p>
    <w:p w14:paraId="11485E19" w14:textId="77777777" w:rsidR="00824CE3" w:rsidRPr="00BD2AB4" w:rsidRDefault="00C1245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Moreover, </w:t>
      </w:r>
      <w:proofErr w:type="spellStart"/>
      <w:r w:rsidR="003213C0" w:rsidRPr="00BD2AB4">
        <w:rPr>
          <w:rFonts w:ascii="Times New Roman" w:hAnsi="Times New Roman" w:cs="Times New Roman"/>
          <w:sz w:val="24"/>
          <w:szCs w:val="24"/>
        </w:rPr>
        <w:t>Drijvers</w:t>
      </w:r>
      <w:proofErr w:type="spellEnd"/>
      <w:r w:rsidR="003213C0" w:rsidRPr="00BD2AB4">
        <w:rPr>
          <w:rFonts w:ascii="Times New Roman" w:hAnsi="Times New Roman" w:cs="Times New Roman"/>
          <w:sz w:val="24"/>
          <w:szCs w:val="24"/>
        </w:rPr>
        <w:t xml:space="preserve"> 1980 describes</w:t>
      </w:r>
      <w:r w:rsidRPr="00BD2AB4">
        <w:rPr>
          <w:rFonts w:ascii="Times New Roman" w:hAnsi="Times New Roman" w:cs="Times New Roman"/>
          <w:sz w:val="24"/>
          <w:szCs w:val="24"/>
        </w:rPr>
        <w:t xml:space="preserve"> syncretism</w:t>
      </w:r>
      <w:r w:rsidR="003213C0" w:rsidRPr="00BD2AB4">
        <w:rPr>
          <w:rFonts w:ascii="Times New Roman" w:hAnsi="Times New Roman" w:cs="Times New Roman"/>
          <w:sz w:val="24"/>
          <w:szCs w:val="24"/>
        </w:rPr>
        <w:t>, as “a mingling of different elements into a strange cocktail, but simply this poly-interpretable character of a syncretistic culture which still functions as a unity.”</w:t>
      </w:r>
      <w:r w:rsidR="003213C0" w:rsidRPr="00BD2AB4">
        <w:rPr>
          <w:rStyle w:val="Funotenzeichen"/>
          <w:rFonts w:ascii="Times New Roman" w:hAnsi="Times New Roman" w:cs="Times New Roman"/>
          <w:sz w:val="24"/>
          <w:szCs w:val="24"/>
        </w:rPr>
        <w:footnoteReference w:id="52"/>
      </w:r>
      <w:r w:rsidR="003213C0" w:rsidRPr="00BD2AB4">
        <w:rPr>
          <w:rFonts w:ascii="Times New Roman" w:hAnsi="Times New Roman" w:cs="Times New Roman"/>
          <w:sz w:val="24"/>
          <w:szCs w:val="24"/>
        </w:rPr>
        <w:t xml:space="preserve"> While the same author suggests that the term assimilation would suit better in describing what syncretism fails to describe, as “a culture assimilates other elements to its own tradition and pattern, but does not mingle or mix everything together”.</w:t>
      </w:r>
      <w:r w:rsidR="003213C0" w:rsidRPr="00BD2AB4">
        <w:rPr>
          <w:rStyle w:val="Funotenzeichen"/>
          <w:rFonts w:ascii="Times New Roman" w:hAnsi="Times New Roman" w:cs="Times New Roman"/>
          <w:sz w:val="24"/>
          <w:szCs w:val="24"/>
        </w:rPr>
        <w:footnoteReference w:id="53"/>
      </w:r>
      <w:r w:rsidR="003213C0" w:rsidRPr="00BD2AB4">
        <w:rPr>
          <w:rFonts w:ascii="Times New Roman" w:hAnsi="Times New Roman" w:cs="Times New Roman"/>
          <w:sz w:val="24"/>
          <w:szCs w:val="24"/>
        </w:rPr>
        <w:t xml:space="preserve"> </w:t>
      </w:r>
    </w:p>
    <w:p w14:paraId="204E8D8C" w14:textId="77777777" w:rsidR="00083553" w:rsidRPr="00BD2AB4" w:rsidRDefault="00824CE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An entirely different concept is that of Hellenization, where the transmission and hybridization of Greek culture specifically is described.</w:t>
      </w:r>
      <w:r w:rsidRPr="00BD2AB4">
        <w:rPr>
          <w:rStyle w:val="Funotenzeichen"/>
          <w:rFonts w:ascii="Times New Roman" w:hAnsi="Times New Roman" w:cs="Times New Roman"/>
          <w:sz w:val="24"/>
          <w:szCs w:val="24"/>
        </w:rPr>
        <w:footnoteReference w:id="54"/>
      </w:r>
    </w:p>
    <w:p w14:paraId="0098EAA3" w14:textId="77777777" w:rsidR="00083553" w:rsidRPr="00BD2AB4" w:rsidRDefault="0008355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One definition saw it as transforming a foreign culture into something more Greek or to “make Greek in character”,</w:t>
      </w:r>
      <w:r w:rsidRPr="00BD2AB4">
        <w:rPr>
          <w:rStyle w:val="Funotenzeichen"/>
          <w:rFonts w:ascii="Times New Roman" w:hAnsi="Times New Roman" w:cs="Times New Roman"/>
          <w:sz w:val="24"/>
          <w:szCs w:val="24"/>
        </w:rPr>
        <w:footnoteReference w:id="55"/>
      </w:r>
      <w:r w:rsidRPr="00BD2AB4">
        <w:rPr>
          <w:rFonts w:ascii="Times New Roman" w:hAnsi="Times New Roman" w:cs="Times New Roman"/>
          <w:sz w:val="24"/>
          <w:szCs w:val="24"/>
        </w:rPr>
        <w:t xml:space="preserve"> and “adopt Greek ideas or customs”.</w:t>
      </w:r>
      <w:r w:rsidRPr="00BD2AB4">
        <w:rPr>
          <w:rStyle w:val="Funotenzeichen"/>
          <w:rFonts w:ascii="Times New Roman" w:hAnsi="Times New Roman" w:cs="Times New Roman"/>
          <w:sz w:val="24"/>
          <w:szCs w:val="24"/>
        </w:rPr>
        <w:footnoteReference w:id="56"/>
      </w:r>
      <w:r w:rsidRPr="00BD2AB4">
        <w:rPr>
          <w:rFonts w:ascii="Times New Roman" w:hAnsi="Times New Roman" w:cs="Times New Roman"/>
          <w:sz w:val="24"/>
          <w:szCs w:val="24"/>
        </w:rPr>
        <w:t xml:space="preserve"> </w:t>
      </w:r>
    </w:p>
    <w:p w14:paraId="056E1A3A" w14:textId="77777777" w:rsidR="00824CE3" w:rsidRPr="00BD2AB4" w:rsidRDefault="00824CE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Although adhering to the same principle as many previously mentioned concepts, Hellenization affects non-Hellenic cultures stronger than the Hellenistic culture itself, with the Hellenistic culture acting as the more active, transforming agent upon the non-Hellenistic cultures it encounters.</w:t>
      </w:r>
      <w:r w:rsidRPr="00BD2AB4">
        <w:rPr>
          <w:rStyle w:val="Funotenzeichen"/>
          <w:rFonts w:ascii="Times New Roman" w:hAnsi="Times New Roman" w:cs="Times New Roman"/>
          <w:sz w:val="24"/>
          <w:szCs w:val="24"/>
        </w:rPr>
        <w:footnoteReference w:id="57"/>
      </w:r>
    </w:p>
    <w:p w14:paraId="6BF0E096" w14:textId="77777777" w:rsidR="00C1245C" w:rsidRPr="00BD2AB4" w:rsidRDefault="00C1245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In contrast, the Hellenization of the Near East was also define as having changed Greek culture and establishing itself anew through social, religious and political confrontations, leading to a still ongoing dispute over a uniform definition for Hellenization.</w:t>
      </w:r>
      <w:r w:rsidRPr="00BD2AB4">
        <w:rPr>
          <w:rStyle w:val="Funotenzeichen"/>
          <w:rFonts w:ascii="Times New Roman" w:hAnsi="Times New Roman" w:cs="Times New Roman"/>
          <w:sz w:val="24"/>
          <w:szCs w:val="24"/>
        </w:rPr>
        <w:footnoteReference w:id="58"/>
      </w:r>
      <w:r w:rsidRPr="00BD2AB4">
        <w:rPr>
          <w:rFonts w:ascii="Times New Roman" w:hAnsi="Times New Roman" w:cs="Times New Roman"/>
          <w:sz w:val="24"/>
          <w:szCs w:val="24"/>
        </w:rPr>
        <w:t xml:space="preserve"> </w:t>
      </w:r>
    </w:p>
    <w:p w14:paraId="12E4C4B4" w14:textId="77777777" w:rsidR="00824CE3" w:rsidRPr="00BD2AB4" w:rsidRDefault="00824CE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 xml:space="preserve">This </w:t>
      </w:r>
      <w:r w:rsidR="00083553" w:rsidRPr="00BD2AB4">
        <w:rPr>
          <w:rFonts w:ascii="Times New Roman" w:hAnsi="Times New Roman" w:cs="Times New Roman"/>
          <w:sz w:val="24"/>
          <w:szCs w:val="24"/>
        </w:rPr>
        <w:t>term is however different from</w:t>
      </w:r>
      <w:r w:rsidRPr="00BD2AB4">
        <w:rPr>
          <w:rFonts w:ascii="Times New Roman" w:hAnsi="Times New Roman" w:cs="Times New Roman"/>
          <w:sz w:val="24"/>
          <w:szCs w:val="24"/>
        </w:rPr>
        <w:t xml:space="preserve"> Hellenism as a concept, which only describes the practice of Greek literature, religion, philosophy and art in the overall manifestation of Greek culture.</w:t>
      </w:r>
      <w:r w:rsidRPr="00BD2AB4">
        <w:rPr>
          <w:rStyle w:val="Funotenzeichen"/>
          <w:rFonts w:ascii="Times New Roman" w:hAnsi="Times New Roman" w:cs="Times New Roman"/>
          <w:sz w:val="24"/>
          <w:szCs w:val="24"/>
        </w:rPr>
        <w:footnoteReference w:id="59"/>
      </w:r>
    </w:p>
    <w:p w14:paraId="6D5AD852" w14:textId="77777777" w:rsidR="00824CE3" w:rsidRPr="00BD2AB4" w:rsidRDefault="0008355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term Romani</w:t>
      </w:r>
      <w:r w:rsidR="006D481F" w:rsidRPr="00BD2AB4">
        <w:rPr>
          <w:rFonts w:ascii="Times New Roman" w:hAnsi="Times New Roman" w:cs="Times New Roman"/>
          <w:sz w:val="24"/>
          <w:szCs w:val="24"/>
        </w:rPr>
        <w:t>zation</w:t>
      </w:r>
      <w:r w:rsidRPr="00BD2AB4">
        <w:rPr>
          <w:rFonts w:ascii="Times New Roman" w:hAnsi="Times New Roman" w:cs="Times New Roman"/>
          <w:sz w:val="24"/>
          <w:szCs w:val="24"/>
        </w:rPr>
        <w:t xml:space="preserve"> on the other hand, has been described by </w:t>
      </w:r>
      <w:r w:rsidR="00824CE3" w:rsidRPr="00BD2AB4">
        <w:rPr>
          <w:rFonts w:ascii="Times New Roman" w:hAnsi="Times New Roman" w:cs="Times New Roman"/>
          <w:sz w:val="24"/>
          <w:szCs w:val="24"/>
        </w:rPr>
        <w:t xml:space="preserve"> Francis </w:t>
      </w:r>
      <w:proofErr w:type="spellStart"/>
      <w:r w:rsidR="00824CE3" w:rsidRPr="00BD2AB4">
        <w:rPr>
          <w:rFonts w:ascii="Times New Roman" w:hAnsi="Times New Roman" w:cs="Times New Roman"/>
          <w:sz w:val="24"/>
          <w:szCs w:val="24"/>
        </w:rPr>
        <w:t>Haverfield</w:t>
      </w:r>
      <w:proofErr w:type="spellEnd"/>
      <w:r w:rsidRPr="00BD2AB4">
        <w:rPr>
          <w:rFonts w:ascii="Times New Roman" w:hAnsi="Times New Roman" w:cs="Times New Roman"/>
          <w:sz w:val="24"/>
          <w:szCs w:val="24"/>
        </w:rPr>
        <w:t xml:space="preserve">, as the process leading to </w:t>
      </w:r>
      <w:r w:rsidR="00824CE3" w:rsidRPr="00BD2AB4">
        <w:rPr>
          <w:rFonts w:ascii="Times New Roman" w:hAnsi="Times New Roman" w:cs="Times New Roman"/>
          <w:sz w:val="24"/>
          <w:szCs w:val="24"/>
        </w:rPr>
        <w:t xml:space="preserve"> Roman provinces  “becoming Roman”.</w:t>
      </w:r>
      <w:r w:rsidR="00824CE3" w:rsidRPr="00BD2AB4">
        <w:rPr>
          <w:rStyle w:val="Funotenzeichen"/>
          <w:rFonts w:ascii="Times New Roman" w:hAnsi="Times New Roman" w:cs="Times New Roman"/>
          <w:sz w:val="24"/>
          <w:szCs w:val="24"/>
        </w:rPr>
        <w:footnoteReference w:id="60"/>
      </w:r>
      <w:r w:rsidR="00824CE3" w:rsidRPr="00BD2AB4">
        <w:rPr>
          <w:rFonts w:ascii="Times New Roman" w:hAnsi="Times New Roman" w:cs="Times New Roman"/>
          <w:sz w:val="24"/>
          <w:szCs w:val="24"/>
        </w:rPr>
        <w:t xml:space="preserve"> A majorly flawed concept according to Webster 2001, as not every province equally accepted the same amount of Roman cultural attributes, as well as leaving the Roman culture itself unchanged.</w:t>
      </w:r>
      <w:r w:rsidR="00824CE3" w:rsidRPr="00BD2AB4">
        <w:rPr>
          <w:rStyle w:val="Funotenzeichen"/>
          <w:rFonts w:ascii="Times New Roman" w:hAnsi="Times New Roman" w:cs="Times New Roman"/>
          <w:sz w:val="24"/>
          <w:szCs w:val="24"/>
        </w:rPr>
        <w:footnoteReference w:id="61"/>
      </w:r>
      <w:r w:rsidR="00824CE3" w:rsidRPr="00BD2AB4">
        <w:rPr>
          <w:rFonts w:ascii="Times New Roman" w:hAnsi="Times New Roman" w:cs="Times New Roman"/>
          <w:sz w:val="24"/>
          <w:szCs w:val="24"/>
        </w:rPr>
        <w:t xml:space="preserve"> Instead, the term creolization is increasingly applied to describe the changes the Roman provinces underwent during the Roman occupation.</w:t>
      </w:r>
      <w:r w:rsidR="00824CE3" w:rsidRPr="00BD2AB4">
        <w:rPr>
          <w:rStyle w:val="Funotenzeichen"/>
          <w:rFonts w:ascii="Times New Roman" w:hAnsi="Times New Roman" w:cs="Times New Roman"/>
          <w:sz w:val="24"/>
          <w:szCs w:val="24"/>
        </w:rPr>
        <w:footnoteReference w:id="62"/>
      </w:r>
      <w:r w:rsidRPr="00BD2AB4">
        <w:rPr>
          <w:rFonts w:ascii="Times New Roman" w:hAnsi="Times New Roman" w:cs="Times New Roman"/>
          <w:sz w:val="24"/>
          <w:szCs w:val="24"/>
        </w:rPr>
        <w:t xml:space="preserve"> </w:t>
      </w:r>
    </w:p>
    <w:p w14:paraId="5129C510" w14:textId="77777777" w:rsidR="00824CE3" w:rsidRPr="00BD2AB4" w:rsidRDefault="00824CE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Both Hellenization and Romanization describe a process which leads to the assimilation of other cultures in order to become more Hellenistic or Roman, </w:t>
      </w:r>
      <w:r w:rsidR="00083553" w:rsidRPr="00BD2AB4">
        <w:rPr>
          <w:rFonts w:ascii="Times New Roman" w:hAnsi="Times New Roman" w:cs="Times New Roman"/>
          <w:sz w:val="24"/>
          <w:szCs w:val="24"/>
        </w:rPr>
        <w:t>focussing less on the effects</w:t>
      </w:r>
      <w:r w:rsidRPr="00BD2AB4">
        <w:rPr>
          <w:rFonts w:ascii="Times New Roman" w:hAnsi="Times New Roman" w:cs="Times New Roman"/>
          <w:sz w:val="24"/>
          <w:szCs w:val="24"/>
        </w:rPr>
        <w:t xml:space="preserve"> the Roman and Hellenistic cultures </w:t>
      </w:r>
      <w:r w:rsidR="00083553" w:rsidRPr="00BD2AB4">
        <w:rPr>
          <w:rFonts w:ascii="Times New Roman" w:hAnsi="Times New Roman" w:cs="Times New Roman"/>
          <w:sz w:val="24"/>
          <w:szCs w:val="24"/>
        </w:rPr>
        <w:t>might have experienced</w:t>
      </w:r>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63"/>
      </w:r>
      <w:r w:rsidRPr="00BD2AB4">
        <w:rPr>
          <w:rFonts w:ascii="Times New Roman" w:hAnsi="Times New Roman" w:cs="Times New Roman"/>
          <w:sz w:val="24"/>
          <w:szCs w:val="24"/>
        </w:rPr>
        <w:t xml:space="preserve"> The significant differences between the two concepts </w:t>
      </w:r>
      <w:r w:rsidR="006D481F" w:rsidRPr="00BD2AB4">
        <w:rPr>
          <w:rFonts w:ascii="Times New Roman" w:hAnsi="Times New Roman" w:cs="Times New Roman"/>
          <w:sz w:val="24"/>
          <w:szCs w:val="24"/>
        </w:rPr>
        <w:t>derives from the assumption</w:t>
      </w:r>
      <w:r w:rsidRPr="00BD2AB4">
        <w:rPr>
          <w:rFonts w:ascii="Times New Roman" w:hAnsi="Times New Roman" w:cs="Times New Roman"/>
          <w:sz w:val="24"/>
          <w:szCs w:val="24"/>
        </w:rPr>
        <w:t xml:space="preserve"> that the Romans actively used Romanization to unify and control local elite</w:t>
      </w:r>
      <w:r w:rsidR="006D481F" w:rsidRPr="00BD2AB4">
        <w:rPr>
          <w:rFonts w:ascii="Times New Roman" w:hAnsi="Times New Roman" w:cs="Times New Roman"/>
          <w:sz w:val="24"/>
          <w:szCs w:val="24"/>
        </w:rPr>
        <w:t>s, by ingraining shared</w:t>
      </w:r>
      <w:r w:rsidRPr="00BD2AB4">
        <w:rPr>
          <w:rFonts w:ascii="Times New Roman" w:hAnsi="Times New Roman" w:cs="Times New Roman"/>
          <w:sz w:val="24"/>
          <w:szCs w:val="24"/>
        </w:rPr>
        <w:t xml:space="preserve"> cultural values.</w:t>
      </w:r>
      <w:r w:rsidRPr="00BD2AB4">
        <w:rPr>
          <w:rStyle w:val="Funotenzeichen"/>
          <w:rFonts w:ascii="Times New Roman" w:hAnsi="Times New Roman" w:cs="Times New Roman"/>
          <w:sz w:val="24"/>
          <w:szCs w:val="24"/>
        </w:rPr>
        <w:footnoteReference w:id="64"/>
      </w:r>
      <w:r w:rsidRPr="00BD2AB4">
        <w:rPr>
          <w:rFonts w:ascii="Times New Roman" w:hAnsi="Times New Roman" w:cs="Times New Roman"/>
          <w:sz w:val="24"/>
          <w:szCs w:val="24"/>
        </w:rPr>
        <w:t xml:space="preserve"> </w:t>
      </w:r>
    </w:p>
    <w:p w14:paraId="4A79D9A5" w14:textId="77777777" w:rsidR="00824CE3" w:rsidRPr="00BD2AB4" w:rsidRDefault="005F1F8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In conclusion, many terms used to describe the process and outcome of cross-cultural interaction are interchangeable, while Hellenization and Romanization are more specific, but have undergone major criticism as to their historical accuracy.</w:t>
      </w:r>
      <w:r w:rsidRPr="00BD2AB4">
        <w:rPr>
          <w:rStyle w:val="Funotenzeichen"/>
          <w:rFonts w:ascii="Times New Roman" w:hAnsi="Times New Roman" w:cs="Times New Roman"/>
          <w:sz w:val="24"/>
          <w:szCs w:val="24"/>
        </w:rPr>
        <w:footnoteReference w:id="65"/>
      </w:r>
    </w:p>
    <w:p w14:paraId="3F9F58D2" w14:textId="77777777" w:rsidR="00824CE3" w:rsidRPr="00BD2AB4" w:rsidRDefault="00824CE3" w:rsidP="00BD2AB4">
      <w:pPr>
        <w:spacing w:line="480" w:lineRule="auto"/>
        <w:rPr>
          <w:rFonts w:ascii="Times New Roman" w:hAnsi="Times New Roman" w:cs="Times New Roman"/>
          <w:sz w:val="24"/>
          <w:szCs w:val="24"/>
        </w:rPr>
      </w:pPr>
    </w:p>
    <w:p w14:paraId="5F1F4DDF" w14:textId="77777777" w:rsidR="00824CE3" w:rsidRPr="00BD2AB4" w:rsidRDefault="00824CE3" w:rsidP="00BD2AB4">
      <w:pPr>
        <w:spacing w:line="480" w:lineRule="auto"/>
        <w:rPr>
          <w:rFonts w:ascii="Times New Roman" w:hAnsi="Times New Roman" w:cs="Times New Roman"/>
          <w:sz w:val="24"/>
          <w:szCs w:val="24"/>
        </w:rPr>
      </w:pPr>
    </w:p>
    <w:p w14:paraId="4F2AE2F4" w14:textId="77777777" w:rsidR="00A70297" w:rsidRPr="00BD2AB4" w:rsidRDefault="00A70297" w:rsidP="00BD2AB4">
      <w:pPr>
        <w:spacing w:line="480" w:lineRule="auto"/>
        <w:rPr>
          <w:rFonts w:ascii="Times New Roman" w:hAnsi="Times New Roman" w:cs="Times New Roman"/>
          <w:sz w:val="24"/>
          <w:szCs w:val="24"/>
        </w:rPr>
      </w:pPr>
    </w:p>
    <w:p w14:paraId="3B517D10" w14:textId="77777777" w:rsidR="00B95FE1" w:rsidRPr="00BD2AB4" w:rsidRDefault="00B95FE1" w:rsidP="00BD2AB4">
      <w:pPr>
        <w:spacing w:line="480" w:lineRule="auto"/>
        <w:rPr>
          <w:rFonts w:ascii="Times New Roman" w:hAnsi="Times New Roman" w:cs="Times New Roman"/>
          <w:sz w:val="24"/>
          <w:szCs w:val="24"/>
          <w:u w:val="single"/>
        </w:rPr>
      </w:pPr>
      <w:r w:rsidRPr="00BD2AB4">
        <w:rPr>
          <w:rFonts w:ascii="Times New Roman" w:hAnsi="Times New Roman" w:cs="Times New Roman"/>
          <w:sz w:val="24"/>
          <w:szCs w:val="24"/>
          <w:u w:val="single"/>
        </w:rPr>
        <w:lastRenderedPageBreak/>
        <w:t xml:space="preserve">Chapter 2:                                               </w:t>
      </w:r>
      <w:r w:rsidRPr="00BD2AB4">
        <w:rPr>
          <w:rFonts w:ascii="Times New Roman" w:hAnsi="Times New Roman" w:cs="Times New Roman"/>
          <w:b/>
          <w:sz w:val="24"/>
          <w:szCs w:val="24"/>
          <w:u w:val="single"/>
        </w:rPr>
        <w:t>Nabataean history</w:t>
      </w:r>
    </w:p>
    <w:p w14:paraId="4037A129" w14:textId="77777777" w:rsidR="00A70297" w:rsidRPr="00BD2AB4" w:rsidRDefault="00A70297" w:rsidP="00BD2AB4">
      <w:pPr>
        <w:spacing w:line="480" w:lineRule="auto"/>
        <w:rPr>
          <w:rFonts w:ascii="Times New Roman" w:hAnsi="Times New Roman" w:cs="Times New Roman"/>
          <w:sz w:val="24"/>
          <w:szCs w:val="24"/>
        </w:rPr>
      </w:pPr>
    </w:p>
    <w:p w14:paraId="312E6D46" w14:textId="181428D0" w:rsidR="00CD5B5F" w:rsidRPr="00BD2AB4" w:rsidRDefault="00385CD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This chapter gives a concise summary of the main sources of Nabataean history, while also discussing origin theories and historical developments</w:t>
      </w:r>
      <w:r w:rsidR="00A47875" w:rsidRPr="00BD2AB4">
        <w:rPr>
          <w:rFonts w:ascii="Times New Roman" w:hAnsi="Times New Roman" w:cs="Times New Roman"/>
          <w:sz w:val="24"/>
          <w:szCs w:val="24"/>
        </w:rPr>
        <w:t>. With the intention of providing a contextual background, Nabataean character and ability to adapt to new requirements will be shown.</w:t>
      </w:r>
    </w:p>
    <w:p w14:paraId="5D22E5ED" w14:textId="14301CE0" w:rsidR="00385CD4" w:rsidRPr="00BD2AB4" w:rsidRDefault="007E4F78"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Nabataeans</w:t>
      </w:r>
      <w:r w:rsidR="00CD5B5F" w:rsidRPr="00BD2AB4">
        <w:rPr>
          <w:rFonts w:ascii="Times New Roman" w:hAnsi="Times New Roman" w:cs="Times New Roman"/>
          <w:sz w:val="24"/>
          <w:szCs w:val="24"/>
        </w:rPr>
        <w:t xml:space="preserve"> seemingly adopted a partially sedentary lifestyle notably quickly, coming from a pastoral nomadic background while distinguishing themselves from the vast number of</w:t>
      </w:r>
      <w:r w:rsidR="00385CD4" w:rsidRPr="00BD2AB4">
        <w:rPr>
          <w:rFonts w:ascii="Times New Roman" w:hAnsi="Times New Roman" w:cs="Times New Roman"/>
          <w:sz w:val="24"/>
          <w:szCs w:val="24"/>
        </w:rPr>
        <w:t xml:space="preserve"> neighbouring</w:t>
      </w:r>
      <w:r w:rsidR="00CD5B5F" w:rsidRPr="00BD2AB4">
        <w:rPr>
          <w:rFonts w:ascii="Times New Roman" w:hAnsi="Times New Roman" w:cs="Times New Roman"/>
          <w:sz w:val="24"/>
          <w:szCs w:val="24"/>
        </w:rPr>
        <w:t xml:space="preserve"> Semitic</w:t>
      </w:r>
      <w:r w:rsidR="00CD5B5F" w:rsidRPr="00BD2AB4">
        <w:rPr>
          <w:rStyle w:val="Funotenzeichen"/>
          <w:rFonts w:ascii="Times New Roman" w:hAnsi="Times New Roman" w:cs="Times New Roman"/>
          <w:sz w:val="24"/>
          <w:szCs w:val="24"/>
        </w:rPr>
        <w:footnoteReference w:id="66"/>
      </w:r>
      <w:r w:rsidR="00CD5B5F" w:rsidRPr="00BD2AB4">
        <w:rPr>
          <w:rFonts w:ascii="Times New Roman" w:hAnsi="Times New Roman" w:cs="Times New Roman"/>
          <w:sz w:val="24"/>
          <w:szCs w:val="24"/>
        </w:rPr>
        <w:t xml:space="preserve"> Arab tribes that roamed the Arabic peninsula.</w:t>
      </w:r>
      <w:r w:rsidR="00CD5B5F" w:rsidRPr="00BD2AB4">
        <w:rPr>
          <w:rFonts w:ascii="Times New Roman" w:hAnsi="Times New Roman" w:cs="Times New Roman"/>
          <w:sz w:val="24"/>
          <w:szCs w:val="24"/>
          <w:vertAlign w:val="superscript"/>
        </w:rPr>
        <w:footnoteReference w:id="67"/>
      </w:r>
      <w:r w:rsidR="00385CD4" w:rsidRPr="00BD2AB4">
        <w:rPr>
          <w:rFonts w:ascii="Times New Roman" w:hAnsi="Times New Roman" w:cs="Times New Roman"/>
          <w:sz w:val="24"/>
          <w:szCs w:val="24"/>
        </w:rPr>
        <w:t xml:space="preserve"> Given their nomadic origins however, it is still under dispute, if the Nabataean</w:t>
      </w:r>
      <w:r w:rsidR="00ED5F12" w:rsidRPr="00BD2AB4">
        <w:rPr>
          <w:rFonts w:ascii="Times New Roman" w:hAnsi="Times New Roman" w:cs="Times New Roman"/>
          <w:sz w:val="24"/>
          <w:szCs w:val="24"/>
        </w:rPr>
        <w:t>s</w:t>
      </w:r>
      <w:r w:rsidR="00385CD4" w:rsidRPr="00BD2AB4">
        <w:rPr>
          <w:rFonts w:ascii="Times New Roman" w:hAnsi="Times New Roman" w:cs="Times New Roman"/>
          <w:sz w:val="24"/>
          <w:szCs w:val="24"/>
        </w:rPr>
        <w:t xml:space="preserve"> were ever truly a uniform culture, or merely</w:t>
      </w:r>
      <w:r w:rsidR="00ED5F12" w:rsidRPr="00BD2AB4">
        <w:rPr>
          <w:rFonts w:ascii="Times New Roman" w:hAnsi="Times New Roman" w:cs="Times New Roman"/>
          <w:sz w:val="24"/>
          <w:szCs w:val="24"/>
        </w:rPr>
        <w:t xml:space="preserve"> a people compiled of alliances and different tribal families</w:t>
      </w:r>
      <w:r w:rsidR="00EC4DBD" w:rsidRPr="00BD2AB4">
        <w:rPr>
          <w:rFonts w:ascii="Times New Roman" w:hAnsi="Times New Roman" w:cs="Times New Roman"/>
          <w:sz w:val="24"/>
          <w:szCs w:val="24"/>
        </w:rPr>
        <w:t>,</w:t>
      </w:r>
      <w:r w:rsidR="00ED5F12" w:rsidRPr="00BD2AB4">
        <w:rPr>
          <w:rFonts w:ascii="Times New Roman" w:hAnsi="Times New Roman" w:cs="Times New Roman"/>
          <w:sz w:val="24"/>
          <w:szCs w:val="24"/>
        </w:rPr>
        <w:t xml:space="preserve"> under the rule of a Nabataean king.</w:t>
      </w:r>
      <w:r w:rsidR="00EC4DBD" w:rsidRPr="00BD2AB4">
        <w:rPr>
          <w:rStyle w:val="Funotenzeichen"/>
          <w:rFonts w:ascii="Times New Roman" w:hAnsi="Times New Roman" w:cs="Times New Roman"/>
          <w:sz w:val="24"/>
          <w:szCs w:val="24"/>
        </w:rPr>
        <w:t xml:space="preserve"> </w:t>
      </w:r>
      <w:r w:rsidR="00EC4DBD" w:rsidRPr="00BD2AB4">
        <w:rPr>
          <w:rStyle w:val="Funotenzeichen"/>
          <w:rFonts w:ascii="Times New Roman" w:hAnsi="Times New Roman" w:cs="Times New Roman"/>
          <w:sz w:val="24"/>
          <w:szCs w:val="24"/>
        </w:rPr>
        <w:footnoteReference w:id="68"/>
      </w:r>
    </w:p>
    <w:p w14:paraId="1EDBAA96" w14:textId="77777777" w:rsidR="00AC0057" w:rsidRPr="00BD2AB4" w:rsidRDefault="00210C65"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Nabataean kingdom encompassed much of the territory of modern Jordan</w:t>
      </w:r>
      <w:r w:rsidR="00CD5B5F" w:rsidRPr="00BD2AB4">
        <w:rPr>
          <w:rFonts w:ascii="Times New Roman" w:hAnsi="Times New Roman" w:cs="Times New Roman"/>
          <w:sz w:val="24"/>
          <w:szCs w:val="24"/>
        </w:rPr>
        <w:t>,</w:t>
      </w:r>
      <w:r w:rsidR="00CD5B5F" w:rsidRPr="00BD2AB4">
        <w:rPr>
          <w:rStyle w:val="Funotenzeichen"/>
          <w:rFonts w:ascii="Times New Roman" w:hAnsi="Times New Roman" w:cs="Times New Roman"/>
          <w:sz w:val="24"/>
          <w:szCs w:val="24"/>
        </w:rPr>
        <w:footnoteReference w:id="69"/>
      </w:r>
      <w:r w:rsidR="00CD5B5F" w:rsidRPr="00BD2AB4">
        <w:rPr>
          <w:rFonts w:ascii="Times New Roman" w:hAnsi="Times New Roman" w:cs="Times New Roman"/>
          <w:sz w:val="24"/>
          <w:szCs w:val="24"/>
        </w:rPr>
        <w:t xml:space="preserve"> including areas of Northern Arabia and Syria.</w:t>
      </w:r>
      <w:r w:rsidR="00CD5B5F" w:rsidRPr="00BD2AB4">
        <w:rPr>
          <w:rFonts w:ascii="Times New Roman" w:hAnsi="Times New Roman" w:cs="Times New Roman"/>
          <w:sz w:val="24"/>
          <w:szCs w:val="24"/>
          <w:vertAlign w:val="superscript"/>
        </w:rPr>
        <w:footnoteReference w:id="70"/>
      </w:r>
      <w:r w:rsidR="00CD5B5F" w:rsidRPr="00BD2AB4">
        <w:rPr>
          <w:rFonts w:ascii="Times New Roman" w:hAnsi="Times New Roman" w:cs="Times New Roman"/>
          <w:sz w:val="24"/>
          <w:szCs w:val="24"/>
        </w:rPr>
        <w:t xml:space="preserve"> </w:t>
      </w:r>
      <w:r w:rsidR="00AC0057" w:rsidRPr="00BD2AB4">
        <w:rPr>
          <w:rFonts w:ascii="Times New Roman" w:hAnsi="Times New Roman" w:cs="Times New Roman"/>
          <w:sz w:val="24"/>
          <w:szCs w:val="24"/>
        </w:rPr>
        <w:t>However, different geological landscapes within the kingdom led to different socio-economic models of lifestyle, with nomadic-pastoralism dominating the south and settled agriculture in the north.</w:t>
      </w:r>
      <w:r w:rsidR="00AC0057" w:rsidRPr="00BD2AB4">
        <w:rPr>
          <w:rFonts w:ascii="Times New Roman" w:hAnsi="Times New Roman" w:cs="Times New Roman"/>
          <w:sz w:val="24"/>
          <w:szCs w:val="24"/>
          <w:vertAlign w:val="superscript"/>
        </w:rPr>
        <w:footnoteReference w:id="71"/>
      </w:r>
    </w:p>
    <w:p w14:paraId="6C2C0F23" w14:textId="77777777" w:rsidR="00CD5B5F" w:rsidRPr="00BD2AB4" w:rsidRDefault="00210C65"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Its origins have been traced back to the </w:t>
      </w:r>
      <w:r w:rsidR="00CD5B5F" w:rsidRPr="00BD2AB4">
        <w:rPr>
          <w:rFonts w:ascii="Times New Roman" w:hAnsi="Times New Roman" w:cs="Times New Roman"/>
          <w:sz w:val="24"/>
          <w:szCs w:val="24"/>
        </w:rPr>
        <w:t>first century B.C.</w:t>
      </w:r>
      <w:r w:rsidR="00CD5B5F" w:rsidRPr="00BD2AB4">
        <w:rPr>
          <w:rStyle w:val="Funotenzeichen"/>
          <w:rFonts w:ascii="Times New Roman" w:hAnsi="Times New Roman" w:cs="Times New Roman"/>
          <w:sz w:val="24"/>
          <w:szCs w:val="24"/>
        </w:rPr>
        <w:footnoteReference w:id="72"/>
      </w:r>
      <w:r w:rsidR="00CD5B5F" w:rsidRPr="00BD2AB4">
        <w:rPr>
          <w:rFonts w:ascii="Times New Roman" w:hAnsi="Times New Roman" w:cs="Times New Roman"/>
          <w:sz w:val="24"/>
          <w:szCs w:val="24"/>
        </w:rPr>
        <w:t xml:space="preserve"> </w:t>
      </w:r>
      <w:r w:rsidRPr="00BD2AB4">
        <w:rPr>
          <w:rFonts w:ascii="Times New Roman" w:hAnsi="Times New Roman" w:cs="Times New Roman"/>
          <w:sz w:val="24"/>
          <w:szCs w:val="24"/>
        </w:rPr>
        <w:t xml:space="preserve">,  and it remained an independent political unity </w:t>
      </w:r>
      <w:r w:rsidR="00CD5B5F" w:rsidRPr="00BD2AB4">
        <w:rPr>
          <w:rFonts w:ascii="Times New Roman" w:hAnsi="Times New Roman" w:cs="Times New Roman"/>
          <w:sz w:val="24"/>
          <w:szCs w:val="24"/>
        </w:rPr>
        <w:t>until A.D. 106</w:t>
      </w:r>
      <w:r w:rsidRPr="00BD2AB4">
        <w:rPr>
          <w:rFonts w:ascii="Times New Roman" w:hAnsi="Times New Roman" w:cs="Times New Roman"/>
          <w:sz w:val="24"/>
          <w:szCs w:val="24"/>
        </w:rPr>
        <w:t>, w</w:t>
      </w:r>
      <w:r w:rsidR="00CD5B5F" w:rsidRPr="00BD2AB4">
        <w:rPr>
          <w:rFonts w:ascii="Times New Roman" w:hAnsi="Times New Roman" w:cs="Times New Roman"/>
          <w:sz w:val="24"/>
          <w:szCs w:val="24"/>
        </w:rPr>
        <w:t xml:space="preserve">hen </w:t>
      </w:r>
      <w:r w:rsidRPr="00BD2AB4">
        <w:rPr>
          <w:rFonts w:ascii="Times New Roman" w:hAnsi="Times New Roman" w:cs="Times New Roman"/>
          <w:sz w:val="24"/>
          <w:szCs w:val="24"/>
        </w:rPr>
        <w:t>the kingdom</w:t>
      </w:r>
      <w:r w:rsidR="00CD5B5F" w:rsidRPr="00BD2AB4">
        <w:rPr>
          <w:rFonts w:ascii="Times New Roman" w:hAnsi="Times New Roman" w:cs="Times New Roman"/>
          <w:sz w:val="24"/>
          <w:szCs w:val="24"/>
        </w:rPr>
        <w:t xml:space="preserve"> was annexed by Rome.</w:t>
      </w:r>
      <w:r w:rsidR="00CD5B5F" w:rsidRPr="00BD2AB4">
        <w:rPr>
          <w:rStyle w:val="Funotenzeichen"/>
          <w:rFonts w:ascii="Times New Roman" w:hAnsi="Times New Roman" w:cs="Times New Roman"/>
          <w:sz w:val="24"/>
          <w:szCs w:val="24"/>
        </w:rPr>
        <w:footnoteReference w:id="73"/>
      </w:r>
      <w:r w:rsidR="00CD5B5F" w:rsidRPr="00BD2AB4">
        <w:rPr>
          <w:rFonts w:ascii="Times New Roman" w:hAnsi="Times New Roman" w:cs="Times New Roman"/>
          <w:sz w:val="24"/>
          <w:szCs w:val="24"/>
        </w:rPr>
        <w:t xml:space="preserve"> </w:t>
      </w:r>
    </w:p>
    <w:p w14:paraId="714D98F7" w14:textId="77777777" w:rsidR="00CD5B5F" w:rsidRPr="00BD2AB4" w:rsidRDefault="00CD5B5F"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 xml:space="preserve">Primary source material is sparse regarding the Nabataean origins and history, with epigraphic and archaeological evidence </w:t>
      </w:r>
      <w:r w:rsidR="00210C65" w:rsidRPr="00BD2AB4">
        <w:rPr>
          <w:rFonts w:ascii="Times New Roman" w:hAnsi="Times New Roman" w:cs="Times New Roman"/>
          <w:sz w:val="24"/>
          <w:szCs w:val="24"/>
        </w:rPr>
        <w:t>comprising</w:t>
      </w:r>
      <w:r w:rsidRPr="00BD2AB4">
        <w:rPr>
          <w:rFonts w:ascii="Times New Roman" w:hAnsi="Times New Roman" w:cs="Times New Roman"/>
          <w:sz w:val="24"/>
          <w:szCs w:val="24"/>
        </w:rPr>
        <w:t xml:space="preserve"> the </w:t>
      </w:r>
      <w:r w:rsidR="00210C65" w:rsidRPr="00BD2AB4">
        <w:rPr>
          <w:rFonts w:ascii="Times New Roman" w:hAnsi="Times New Roman" w:cs="Times New Roman"/>
          <w:sz w:val="24"/>
          <w:szCs w:val="24"/>
        </w:rPr>
        <w:t>majority</w:t>
      </w:r>
      <w:r w:rsidRPr="00BD2AB4">
        <w:rPr>
          <w:rFonts w:ascii="Times New Roman" w:hAnsi="Times New Roman" w:cs="Times New Roman"/>
          <w:sz w:val="24"/>
          <w:szCs w:val="24"/>
        </w:rPr>
        <w:t xml:space="preserve"> of materials used for reconstructing Nabataean civilization.</w:t>
      </w:r>
      <w:r w:rsidRPr="00BD2AB4">
        <w:rPr>
          <w:rStyle w:val="Funotenzeichen"/>
          <w:rFonts w:ascii="Times New Roman" w:hAnsi="Times New Roman" w:cs="Times New Roman"/>
          <w:sz w:val="24"/>
          <w:szCs w:val="24"/>
        </w:rPr>
        <w:footnoteReference w:id="74"/>
      </w:r>
      <w:r w:rsidR="00210C65" w:rsidRPr="00BD2AB4">
        <w:rPr>
          <w:rFonts w:ascii="Times New Roman" w:hAnsi="Times New Roman" w:cs="Times New Roman"/>
          <w:sz w:val="24"/>
          <w:szCs w:val="24"/>
        </w:rPr>
        <w:t xml:space="preserve"> </w:t>
      </w:r>
    </w:p>
    <w:p w14:paraId="48F22142" w14:textId="77777777" w:rsidR="001544E8" w:rsidRPr="00BD2AB4" w:rsidRDefault="001544E8"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Regarding literary sources, none are truly primary sources, as the oldest source, </w:t>
      </w:r>
      <w:proofErr w:type="spellStart"/>
      <w:r w:rsidRPr="00BD2AB4">
        <w:rPr>
          <w:rFonts w:ascii="Times New Roman" w:hAnsi="Times New Roman" w:cs="Times New Roman"/>
          <w:sz w:val="24"/>
          <w:szCs w:val="24"/>
        </w:rPr>
        <w:t>Diodorus</w:t>
      </w:r>
      <w:proofErr w:type="spellEnd"/>
      <w:r w:rsidRPr="00BD2AB4">
        <w:rPr>
          <w:rFonts w:ascii="Times New Roman" w:hAnsi="Times New Roman" w:cs="Times New Roman"/>
          <w:sz w:val="24"/>
          <w:szCs w:val="24"/>
        </w:rPr>
        <w:t xml:space="preserve"> Siculus, compiled his works in the first century B.C. while describing events that took place in the fourth century B.C.</w:t>
      </w:r>
      <w:r w:rsidRPr="00BD2AB4">
        <w:rPr>
          <w:rStyle w:val="Funotenzeichen"/>
          <w:rFonts w:ascii="Times New Roman" w:hAnsi="Times New Roman" w:cs="Times New Roman"/>
          <w:sz w:val="24"/>
          <w:szCs w:val="24"/>
        </w:rPr>
        <w:footnoteReference w:id="75"/>
      </w:r>
      <w:r w:rsidRPr="00BD2AB4">
        <w:rPr>
          <w:rFonts w:ascii="Times New Roman" w:hAnsi="Times New Roman" w:cs="Times New Roman"/>
          <w:sz w:val="24"/>
          <w:szCs w:val="24"/>
        </w:rPr>
        <w:t xml:space="preserve"> Nevertheless, one of his major sources regarding the Nabataeans was Hieronymus of Cardia, one of Alexander the Greats officers, a contemporary witness of events, giving his claims some credibility.</w:t>
      </w:r>
      <w:r w:rsidRPr="00BD2AB4">
        <w:rPr>
          <w:rFonts w:ascii="Times New Roman" w:hAnsi="Times New Roman" w:cs="Times New Roman"/>
          <w:sz w:val="24"/>
          <w:szCs w:val="24"/>
          <w:vertAlign w:val="superscript"/>
        </w:rPr>
        <w:footnoteReference w:id="76"/>
      </w:r>
      <w:r w:rsidRPr="00BD2AB4">
        <w:rPr>
          <w:rFonts w:ascii="Times New Roman" w:hAnsi="Times New Roman" w:cs="Times New Roman"/>
          <w:sz w:val="24"/>
          <w:szCs w:val="24"/>
        </w:rPr>
        <w:t xml:space="preserve"> Such a claim, stated in his book</w:t>
      </w:r>
      <w:r w:rsidRPr="00BD2AB4">
        <w:rPr>
          <w:rFonts w:ascii="Times New Roman" w:hAnsi="Times New Roman" w:cs="Times New Roman"/>
          <w:i/>
          <w:sz w:val="24"/>
          <w:szCs w:val="24"/>
        </w:rPr>
        <w:t>, XIX, 96</w:t>
      </w:r>
      <w:r w:rsidRPr="00BD2AB4">
        <w:rPr>
          <w:rFonts w:ascii="Times New Roman" w:hAnsi="Times New Roman" w:cs="Times New Roman"/>
          <w:sz w:val="24"/>
          <w:szCs w:val="24"/>
        </w:rPr>
        <w:t>,  states that the weakening of the Hellenistic kingdoms led to the formation of Nabataean identity.</w:t>
      </w:r>
      <w:r w:rsidRPr="00BD2AB4">
        <w:rPr>
          <w:rStyle w:val="Funotenzeichen"/>
          <w:rFonts w:ascii="Times New Roman" w:hAnsi="Times New Roman" w:cs="Times New Roman"/>
          <w:sz w:val="24"/>
          <w:szCs w:val="24"/>
        </w:rPr>
        <w:footnoteReference w:id="77"/>
      </w:r>
      <w:r w:rsidRPr="00BD2AB4">
        <w:rPr>
          <w:rFonts w:ascii="Times New Roman" w:hAnsi="Times New Roman" w:cs="Times New Roman"/>
          <w:sz w:val="24"/>
          <w:szCs w:val="24"/>
        </w:rPr>
        <w:t xml:space="preserve">  </w:t>
      </w:r>
    </w:p>
    <w:p w14:paraId="7AADAD51" w14:textId="77777777" w:rsidR="00EC4DBD" w:rsidRPr="00BD2AB4" w:rsidRDefault="00EC4DB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Further Pliny the Elder in his </w:t>
      </w:r>
      <w:r w:rsidRPr="00BD2AB4">
        <w:rPr>
          <w:rFonts w:ascii="Times New Roman" w:hAnsi="Times New Roman" w:cs="Times New Roman"/>
          <w:i/>
          <w:sz w:val="24"/>
          <w:szCs w:val="24"/>
        </w:rPr>
        <w:t>Historia Naturalis</w:t>
      </w:r>
      <w:r w:rsidRPr="00BD2AB4">
        <w:rPr>
          <w:rFonts w:ascii="Times New Roman" w:hAnsi="Times New Roman" w:cs="Times New Roman"/>
          <w:sz w:val="24"/>
          <w:szCs w:val="24"/>
        </w:rPr>
        <w:t xml:space="preserve"> informs about Nabataean trade routes and tariffs concerning the Augustan era.</w:t>
      </w:r>
      <w:r w:rsidRPr="00BD2AB4">
        <w:rPr>
          <w:rStyle w:val="Funotenzeichen"/>
          <w:rFonts w:ascii="Times New Roman" w:hAnsi="Times New Roman" w:cs="Times New Roman"/>
          <w:sz w:val="24"/>
          <w:szCs w:val="24"/>
        </w:rPr>
        <w:footnoteReference w:id="78"/>
      </w:r>
      <w:r w:rsidRPr="00BD2AB4">
        <w:rPr>
          <w:rFonts w:ascii="Times New Roman" w:hAnsi="Times New Roman" w:cs="Times New Roman"/>
          <w:sz w:val="24"/>
          <w:szCs w:val="24"/>
        </w:rPr>
        <w:t xml:space="preserve"> Other authors from the Roman but also Byzantine period include: Jerome of </w:t>
      </w:r>
      <w:proofErr w:type="spellStart"/>
      <w:r w:rsidRPr="00BD2AB4">
        <w:rPr>
          <w:rFonts w:ascii="Times New Roman" w:hAnsi="Times New Roman" w:cs="Times New Roman"/>
          <w:sz w:val="24"/>
          <w:szCs w:val="24"/>
        </w:rPr>
        <w:t>Kardia</w:t>
      </w:r>
      <w:proofErr w:type="spellEnd"/>
      <w:r w:rsidRPr="00BD2AB4">
        <w:rPr>
          <w:rFonts w:ascii="Times New Roman" w:hAnsi="Times New Roman" w:cs="Times New Roman"/>
          <w:sz w:val="24"/>
          <w:szCs w:val="24"/>
        </w:rPr>
        <w:t xml:space="preserve">, Stephen of Byzantine, Procopius, Justin, </w:t>
      </w:r>
      <w:proofErr w:type="spellStart"/>
      <w:r w:rsidRPr="00BD2AB4">
        <w:rPr>
          <w:rFonts w:ascii="Times New Roman" w:hAnsi="Times New Roman" w:cs="Times New Roman"/>
          <w:sz w:val="24"/>
          <w:szCs w:val="24"/>
        </w:rPr>
        <w:t>Uranius</w:t>
      </w:r>
      <w:proofErr w:type="spellEnd"/>
      <w:r w:rsidRPr="00BD2AB4">
        <w:rPr>
          <w:rFonts w:ascii="Times New Roman" w:hAnsi="Times New Roman" w:cs="Times New Roman"/>
          <w:sz w:val="24"/>
          <w:szCs w:val="24"/>
        </w:rPr>
        <w:t>, unknown author of the Periplus.</w:t>
      </w:r>
      <w:r w:rsidRPr="00BD2AB4">
        <w:rPr>
          <w:rStyle w:val="Funotenzeichen"/>
          <w:rFonts w:ascii="Times New Roman" w:hAnsi="Times New Roman" w:cs="Times New Roman"/>
          <w:sz w:val="24"/>
          <w:szCs w:val="24"/>
        </w:rPr>
        <w:footnoteReference w:id="79"/>
      </w:r>
    </w:p>
    <w:p w14:paraId="73DF00F9" w14:textId="6F81403B" w:rsidR="00B95FE1" w:rsidRPr="00BD2AB4" w:rsidRDefault="00A37288"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Some of the more elaborate descriptions stem from</w:t>
      </w:r>
      <w:r w:rsidR="00EC4DBD" w:rsidRPr="00BD2AB4">
        <w:rPr>
          <w:rFonts w:ascii="Times New Roman" w:hAnsi="Times New Roman" w:cs="Times New Roman"/>
          <w:sz w:val="24"/>
          <w:szCs w:val="24"/>
        </w:rPr>
        <w:t xml:space="preserve"> Josephus.</w:t>
      </w:r>
      <w:r w:rsidR="00EC4DBD" w:rsidRPr="00BD2AB4">
        <w:rPr>
          <w:rStyle w:val="Funotenzeichen"/>
          <w:rFonts w:ascii="Times New Roman" w:hAnsi="Times New Roman" w:cs="Times New Roman"/>
          <w:sz w:val="24"/>
          <w:szCs w:val="24"/>
        </w:rPr>
        <w:footnoteReference w:id="80"/>
      </w:r>
    </w:p>
    <w:p w14:paraId="4D3536BC" w14:textId="4C89FAF0" w:rsidR="00EC4DBD" w:rsidRPr="00BD2AB4" w:rsidRDefault="00F751EE"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Nabataeans have not left many written sources themselves</w:t>
      </w:r>
      <w:r w:rsidR="00EC4DBD" w:rsidRPr="00BD2AB4">
        <w:rPr>
          <w:rFonts w:ascii="Times New Roman" w:hAnsi="Times New Roman" w:cs="Times New Roman"/>
          <w:sz w:val="24"/>
          <w:szCs w:val="24"/>
        </w:rPr>
        <w:t xml:space="preserve">, other than their roughly 3000 known inscriptions, which </w:t>
      </w:r>
      <w:r w:rsidRPr="00BD2AB4">
        <w:rPr>
          <w:rFonts w:ascii="Times New Roman" w:hAnsi="Times New Roman" w:cs="Times New Roman"/>
          <w:sz w:val="24"/>
          <w:szCs w:val="24"/>
        </w:rPr>
        <w:t>are no long narratives</w:t>
      </w:r>
      <w:r w:rsidR="00EC4DBD" w:rsidRPr="00BD2AB4">
        <w:rPr>
          <w:rFonts w:ascii="Times New Roman" w:hAnsi="Times New Roman" w:cs="Times New Roman"/>
          <w:sz w:val="24"/>
          <w:szCs w:val="24"/>
        </w:rPr>
        <w:t>.</w:t>
      </w:r>
      <w:r w:rsidR="00EC4DBD" w:rsidRPr="00BD2AB4">
        <w:rPr>
          <w:rStyle w:val="Funotenzeichen"/>
          <w:rFonts w:ascii="Times New Roman" w:hAnsi="Times New Roman" w:cs="Times New Roman"/>
          <w:sz w:val="24"/>
          <w:szCs w:val="24"/>
        </w:rPr>
        <w:footnoteReference w:id="81"/>
      </w:r>
      <w:r w:rsidR="00EC4DBD" w:rsidRPr="00BD2AB4">
        <w:rPr>
          <w:rFonts w:ascii="Times New Roman" w:hAnsi="Times New Roman" w:cs="Times New Roman"/>
          <w:sz w:val="24"/>
          <w:szCs w:val="24"/>
        </w:rPr>
        <w:t xml:space="preserve"> </w:t>
      </w:r>
    </w:p>
    <w:p w14:paraId="0D81A1E4" w14:textId="77777777" w:rsidR="00A70297" w:rsidRPr="00BD2AB4" w:rsidRDefault="005A681B"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Most archaeological evidence is derived from the many small sites in the Syrian </w:t>
      </w:r>
      <w:proofErr w:type="spellStart"/>
      <w:r w:rsidRPr="00BD2AB4">
        <w:rPr>
          <w:rFonts w:ascii="Times New Roman" w:hAnsi="Times New Roman" w:cs="Times New Roman"/>
          <w:sz w:val="24"/>
          <w:szCs w:val="24"/>
        </w:rPr>
        <w:t>Hauran</w:t>
      </w:r>
      <w:proofErr w:type="spellEnd"/>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Mada</w:t>
      </w:r>
      <w:proofErr w:type="spellEnd"/>
      <w:r w:rsidRPr="00BD2AB4">
        <w:rPr>
          <w:rFonts w:ascii="Times New Roman" w:hAnsi="Times New Roman" w:cs="Times New Roman"/>
          <w:sz w:val="24"/>
          <w:szCs w:val="24"/>
        </w:rPr>
        <w:t xml:space="preserve"> in Salih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in Saudi Arabia, Khirbet et </w:t>
      </w:r>
      <w:proofErr w:type="spellStart"/>
      <w:r w:rsidRPr="00BD2AB4">
        <w:rPr>
          <w:rFonts w:ascii="Times New Roman" w:hAnsi="Times New Roman" w:cs="Times New Roman"/>
          <w:sz w:val="24"/>
          <w:szCs w:val="24"/>
        </w:rPr>
        <w:t>Tannur</w:t>
      </w:r>
      <w:proofErr w:type="spellEnd"/>
      <w:r w:rsidRPr="00BD2AB4">
        <w:rPr>
          <w:rFonts w:ascii="Times New Roman" w:hAnsi="Times New Roman" w:cs="Times New Roman"/>
          <w:sz w:val="24"/>
          <w:szCs w:val="24"/>
        </w:rPr>
        <w:t xml:space="preserve">, Wadi Ramm and Petra in modern </w:t>
      </w:r>
      <w:r w:rsidRPr="00BD2AB4">
        <w:rPr>
          <w:rFonts w:ascii="Times New Roman" w:hAnsi="Times New Roman" w:cs="Times New Roman"/>
          <w:sz w:val="24"/>
          <w:szCs w:val="24"/>
        </w:rPr>
        <w:lastRenderedPageBreak/>
        <w:t>Jordan.</w:t>
      </w:r>
      <w:r w:rsidRPr="00BD2AB4">
        <w:rPr>
          <w:rStyle w:val="Funotenzeichen"/>
          <w:rFonts w:ascii="Times New Roman" w:hAnsi="Times New Roman" w:cs="Times New Roman"/>
          <w:sz w:val="24"/>
          <w:szCs w:val="24"/>
        </w:rPr>
        <w:footnoteReference w:id="82"/>
      </w:r>
      <w:r w:rsidRPr="00BD2AB4">
        <w:rPr>
          <w:rFonts w:ascii="Times New Roman" w:hAnsi="Times New Roman" w:cs="Times New Roman"/>
          <w:sz w:val="24"/>
          <w:szCs w:val="24"/>
        </w:rPr>
        <w:t xml:space="preserve"> Besides inscriptions, specific pottery</w:t>
      </w:r>
      <w:r w:rsidRPr="00BD2AB4">
        <w:rPr>
          <w:rStyle w:val="Funotenzeichen"/>
          <w:rFonts w:ascii="Times New Roman" w:hAnsi="Times New Roman" w:cs="Times New Roman"/>
          <w:sz w:val="24"/>
          <w:szCs w:val="24"/>
        </w:rPr>
        <w:footnoteReference w:id="83"/>
      </w:r>
      <w:r w:rsidRPr="00BD2AB4">
        <w:rPr>
          <w:rFonts w:ascii="Times New Roman" w:hAnsi="Times New Roman" w:cs="Times New Roman"/>
          <w:sz w:val="24"/>
          <w:szCs w:val="24"/>
        </w:rPr>
        <w:t xml:space="preserve"> and coins, </w:t>
      </w:r>
      <w:r w:rsidRPr="00BD2AB4">
        <w:rPr>
          <w:rStyle w:val="Funotenzeichen"/>
          <w:rFonts w:ascii="Times New Roman" w:hAnsi="Times New Roman" w:cs="Times New Roman"/>
          <w:sz w:val="24"/>
          <w:szCs w:val="24"/>
        </w:rPr>
        <w:footnoteReference w:id="84"/>
      </w:r>
      <w:r w:rsidRPr="00BD2AB4">
        <w:rPr>
          <w:rFonts w:ascii="Times New Roman" w:hAnsi="Times New Roman" w:cs="Times New Roman"/>
          <w:sz w:val="24"/>
          <w:szCs w:val="24"/>
        </w:rPr>
        <w:t xml:space="preserve"> tombs and remains of temples compose the majority of Nabataean archaeological evidence.</w:t>
      </w:r>
      <w:r w:rsidRPr="00BD2AB4">
        <w:rPr>
          <w:rStyle w:val="Funotenzeichen"/>
          <w:rFonts w:ascii="Times New Roman" w:hAnsi="Times New Roman" w:cs="Times New Roman"/>
          <w:sz w:val="24"/>
          <w:szCs w:val="24"/>
        </w:rPr>
        <w:footnoteReference w:id="85"/>
      </w:r>
    </w:p>
    <w:p w14:paraId="412C6844" w14:textId="0B950C28" w:rsidR="00A70297" w:rsidRPr="00BD2AB4" w:rsidRDefault="007E4F78"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M</w:t>
      </w:r>
      <w:r w:rsidR="00221B0C" w:rsidRPr="00BD2AB4">
        <w:rPr>
          <w:rFonts w:ascii="Times New Roman" w:hAnsi="Times New Roman" w:cs="Times New Roman"/>
          <w:sz w:val="24"/>
          <w:szCs w:val="24"/>
        </w:rPr>
        <w:t>ost epigraphic evidence was found in the</w:t>
      </w:r>
      <w:r w:rsidRPr="00BD2AB4">
        <w:rPr>
          <w:rFonts w:ascii="Times New Roman" w:hAnsi="Times New Roman" w:cs="Times New Roman"/>
          <w:sz w:val="24"/>
          <w:szCs w:val="24"/>
        </w:rPr>
        <w:t xml:space="preserve"> Nabataean</w:t>
      </w:r>
      <w:r w:rsidR="00221B0C" w:rsidRPr="00BD2AB4">
        <w:rPr>
          <w:rFonts w:ascii="Times New Roman" w:hAnsi="Times New Roman" w:cs="Times New Roman"/>
          <w:sz w:val="24"/>
          <w:szCs w:val="24"/>
        </w:rPr>
        <w:t xml:space="preserve"> distinct Aramaic dialect,</w:t>
      </w:r>
      <w:r w:rsidR="00221B0C" w:rsidRPr="00BD2AB4">
        <w:rPr>
          <w:rStyle w:val="Funotenzeichen"/>
          <w:rFonts w:ascii="Times New Roman" w:hAnsi="Times New Roman" w:cs="Times New Roman"/>
          <w:sz w:val="24"/>
          <w:szCs w:val="24"/>
        </w:rPr>
        <w:footnoteReference w:id="86"/>
      </w:r>
      <w:r w:rsidR="00651E84" w:rsidRPr="00BD2AB4">
        <w:rPr>
          <w:rFonts w:ascii="Times New Roman" w:hAnsi="Times New Roman" w:cs="Times New Roman"/>
          <w:sz w:val="24"/>
          <w:szCs w:val="24"/>
        </w:rPr>
        <w:t xml:space="preserve"> while </w:t>
      </w:r>
      <w:r w:rsidR="00221B0C" w:rsidRPr="00BD2AB4">
        <w:rPr>
          <w:rFonts w:ascii="Times New Roman" w:hAnsi="Times New Roman" w:cs="Times New Roman"/>
          <w:sz w:val="24"/>
          <w:szCs w:val="24"/>
        </w:rPr>
        <w:t>some Greek inscriptions were also found.</w:t>
      </w:r>
      <w:r w:rsidR="00221B0C" w:rsidRPr="00BD2AB4">
        <w:rPr>
          <w:rStyle w:val="Funotenzeichen"/>
          <w:rFonts w:ascii="Times New Roman" w:hAnsi="Times New Roman" w:cs="Times New Roman"/>
          <w:sz w:val="24"/>
          <w:szCs w:val="24"/>
        </w:rPr>
        <w:footnoteReference w:id="87"/>
      </w:r>
    </w:p>
    <w:p w14:paraId="6BD86233" w14:textId="702F73CC" w:rsidR="004C5C4D" w:rsidRPr="00BD2AB4" w:rsidRDefault="004C5C4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Despite the lack of source material</w:t>
      </w:r>
      <w:r w:rsidR="00EC293E" w:rsidRPr="00BD2AB4">
        <w:rPr>
          <w:rFonts w:ascii="Times New Roman" w:hAnsi="Times New Roman" w:cs="Times New Roman"/>
          <w:sz w:val="24"/>
          <w:szCs w:val="24"/>
        </w:rPr>
        <w:t>, early Semitic languages from the Hejaz region have been associated with the root consonants of the Nabataean tribal name.</w:t>
      </w:r>
      <w:r w:rsidR="00EC293E" w:rsidRPr="00BD2AB4">
        <w:rPr>
          <w:rFonts w:ascii="Times New Roman" w:hAnsi="Times New Roman" w:cs="Times New Roman"/>
          <w:sz w:val="24"/>
          <w:szCs w:val="24"/>
          <w:vertAlign w:val="superscript"/>
        </w:rPr>
        <w:footnoteReference w:id="88"/>
      </w:r>
      <w:r w:rsidR="00EC293E" w:rsidRPr="00BD2AB4">
        <w:rPr>
          <w:rFonts w:ascii="Times New Roman" w:hAnsi="Times New Roman" w:cs="Times New Roman"/>
          <w:sz w:val="24"/>
          <w:szCs w:val="24"/>
        </w:rPr>
        <w:t xml:space="preserve"> On the o</w:t>
      </w:r>
      <w:r w:rsidRPr="00BD2AB4">
        <w:rPr>
          <w:rFonts w:ascii="Times New Roman" w:hAnsi="Times New Roman" w:cs="Times New Roman"/>
          <w:sz w:val="24"/>
          <w:szCs w:val="24"/>
        </w:rPr>
        <w:t xml:space="preserve">ther hand, another </w:t>
      </w:r>
      <w:r w:rsidR="00EC293E" w:rsidRPr="00BD2AB4">
        <w:rPr>
          <w:rFonts w:ascii="Times New Roman" w:hAnsi="Times New Roman" w:cs="Times New Roman"/>
          <w:sz w:val="24"/>
          <w:szCs w:val="24"/>
        </w:rPr>
        <w:t>suggestion</w:t>
      </w:r>
      <w:r w:rsidR="00A37288" w:rsidRPr="00BD2AB4">
        <w:rPr>
          <w:rFonts w:ascii="Times New Roman" w:hAnsi="Times New Roman" w:cs="Times New Roman"/>
          <w:sz w:val="24"/>
          <w:szCs w:val="24"/>
        </w:rPr>
        <w:t xml:space="preserve"> places Nabataean origins </w:t>
      </w:r>
      <w:r w:rsidR="00EC293E" w:rsidRPr="00BD2AB4">
        <w:rPr>
          <w:rFonts w:ascii="Times New Roman" w:hAnsi="Times New Roman" w:cs="Times New Roman"/>
          <w:sz w:val="24"/>
          <w:szCs w:val="24"/>
        </w:rPr>
        <w:t xml:space="preserve">in ancient Mesopotamia, while implying a Nabataean migration into an area equated with modern Jordan </w:t>
      </w:r>
      <w:r w:rsidRPr="00BD2AB4">
        <w:rPr>
          <w:rFonts w:ascii="Times New Roman" w:hAnsi="Times New Roman" w:cs="Times New Roman"/>
          <w:sz w:val="24"/>
          <w:szCs w:val="24"/>
        </w:rPr>
        <w:t>around</w:t>
      </w:r>
      <w:r w:rsidR="00EC293E" w:rsidRPr="00BD2AB4">
        <w:rPr>
          <w:rFonts w:ascii="Times New Roman" w:hAnsi="Times New Roman" w:cs="Times New Roman"/>
          <w:sz w:val="24"/>
          <w:szCs w:val="24"/>
        </w:rPr>
        <w:t xml:space="preserve"> the sixth and fourth centuries B.C.</w:t>
      </w:r>
      <w:r w:rsidR="00EC293E" w:rsidRPr="00BD2AB4">
        <w:rPr>
          <w:rFonts w:ascii="Times New Roman" w:hAnsi="Times New Roman" w:cs="Times New Roman"/>
          <w:sz w:val="24"/>
          <w:szCs w:val="24"/>
          <w:vertAlign w:val="superscript"/>
        </w:rPr>
        <w:footnoteReference w:id="89"/>
      </w:r>
    </w:p>
    <w:p w14:paraId="673C2733" w14:textId="677A50FE" w:rsidR="001A76D8" w:rsidRPr="00BD2AB4" w:rsidRDefault="004C5C4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As nomadic and pastoral people,</w:t>
      </w:r>
      <w:r w:rsidRPr="00BD2AB4">
        <w:rPr>
          <w:rStyle w:val="Funotenzeichen"/>
          <w:rFonts w:ascii="Times New Roman" w:hAnsi="Times New Roman" w:cs="Times New Roman"/>
          <w:sz w:val="24"/>
          <w:szCs w:val="24"/>
        </w:rPr>
        <w:footnoteReference w:id="90"/>
      </w:r>
      <w:r w:rsidRPr="00BD2AB4">
        <w:rPr>
          <w:rFonts w:ascii="Times New Roman" w:hAnsi="Times New Roman" w:cs="Times New Roman"/>
          <w:sz w:val="24"/>
          <w:szCs w:val="24"/>
        </w:rPr>
        <w:t xml:space="preserve"> their migration north into a region, previously occupied by the Edomites, would appear plausible.</w:t>
      </w:r>
      <w:r w:rsidRPr="00BD2AB4">
        <w:rPr>
          <w:rStyle w:val="Funotenzeichen"/>
          <w:rFonts w:ascii="Times New Roman" w:hAnsi="Times New Roman" w:cs="Times New Roman"/>
          <w:sz w:val="24"/>
          <w:szCs w:val="24"/>
        </w:rPr>
        <w:footnoteReference w:id="91"/>
      </w:r>
      <w:r w:rsidRPr="00BD2AB4">
        <w:rPr>
          <w:rFonts w:ascii="Times New Roman" w:hAnsi="Times New Roman" w:cs="Times New Roman"/>
          <w:sz w:val="24"/>
          <w:szCs w:val="24"/>
        </w:rPr>
        <w:t xml:space="preserve"> After Alexanders` death, the Nabataeans were already in control of the Edomite region,</w:t>
      </w:r>
      <w:r w:rsidRPr="00BD2AB4">
        <w:rPr>
          <w:rFonts w:ascii="Times New Roman" w:hAnsi="Times New Roman" w:cs="Times New Roman"/>
          <w:sz w:val="24"/>
          <w:szCs w:val="24"/>
          <w:vertAlign w:val="superscript"/>
        </w:rPr>
        <w:footnoteReference w:id="92"/>
      </w:r>
      <w:r w:rsidRPr="00BD2AB4">
        <w:rPr>
          <w:rFonts w:ascii="Times New Roman" w:hAnsi="Times New Roman" w:cs="Times New Roman"/>
          <w:sz w:val="24"/>
          <w:szCs w:val="24"/>
        </w:rPr>
        <w:t xml:space="preserve"> with archaeological evidence suggesting a similar ceramic style of Nabataean and Edomite people, due to a potentially peaceful integration process.</w:t>
      </w:r>
      <w:r w:rsidRPr="00BD2AB4">
        <w:rPr>
          <w:rStyle w:val="Funotenzeichen"/>
          <w:rFonts w:ascii="Times New Roman" w:hAnsi="Times New Roman" w:cs="Times New Roman"/>
          <w:sz w:val="24"/>
          <w:szCs w:val="24"/>
        </w:rPr>
        <w:footnoteReference w:id="93"/>
      </w:r>
      <w:r w:rsidRPr="00BD2AB4">
        <w:rPr>
          <w:rFonts w:ascii="Times New Roman" w:hAnsi="Times New Roman" w:cs="Times New Roman"/>
          <w:sz w:val="24"/>
          <w:szCs w:val="24"/>
        </w:rPr>
        <w:t xml:space="preserve">  </w:t>
      </w:r>
    </w:p>
    <w:p w14:paraId="09B8C64B" w14:textId="13EFCC53" w:rsidR="002F093D" w:rsidRPr="00BD2AB4" w:rsidRDefault="002F093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Hellenistic forces </w:t>
      </w:r>
      <w:r w:rsidR="001A76D8" w:rsidRPr="00BD2AB4">
        <w:rPr>
          <w:rFonts w:ascii="Times New Roman" w:hAnsi="Times New Roman" w:cs="Times New Roman"/>
          <w:sz w:val="24"/>
          <w:szCs w:val="24"/>
        </w:rPr>
        <w:t>never successfully kept control over</w:t>
      </w:r>
      <w:r w:rsidRPr="00BD2AB4">
        <w:rPr>
          <w:rFonts w:ascii="Times New Roman" w:hAnsi="Times New Roman" w:cs="Times New Roman"/>
          <w:sz w:val="24"/>
          <w:szCs w:val="24"/>
        </w:rPr>
        <w:t xml:space="preserve"> Nabataea,</w:t>
      </w:r>
      <w:r w:rsidRPr="00BD2AB4">
        <w:rPr>
          <w:rFonts w:ascii="Times New Roman" w:hAnsi="Times New Roman" w:cs="Times New Roman"/>
          <w:sz w:val="24"/>
          <w:szCs w:val="24"/>
          <w:vertAlign w:val="superscript"/>
        </w:rPr>
        <w:footnoteReference w:id="94"/>
      </w:r>
      <w:r w:rsidRPr="00BD2AB4">
        <w:rPr>
          <w:rFonts w:ascii="Times New Roman" w:hAnsi="Times New Roman" w:cs="Times New Roman"/>
          <w:sz w:val="24"/>
          <w:szCs w:val="24"/>
        </w:rPr>
        <w:t xml:space="preserve"> but had</w:t>
      </w:r>
      <w:r w:rsidR="007E4F78" w:rsidRPr="00BD2AB4">
        <w:rPr>
          <w:rFonts w:ascii="Times New Roman" w:hAnsi="Times New Roman" w:cs="Times New Roman"/>
          <w:sz w:val="24"/>
          <w:szCs w:val="24"/>
        </w:rPr>
        <w:t xml:space="preserve"> to</w:t>
      </w:r>
      <w:r w:rsidRPr="00BD2AB4">
        <w:rPr>
          <w:rFonts w:ascii="Times New Roman" w:hAnsi="Times New Roman" w:cs="Times New Roman"/>
          <w:sz w:val="24"/>
          <w:szCs w:val="24"/>
        </w:rPr>
        <w:t xml:space="preserve"> </w:t>
      </w:r>
      <w:r w:rsidR="001A76D8" w:rsidRPr="00BD2AB4">
        <w:rPr>
          <w:rFonts w:ascii="Times New Roman" w:hAnsi="Times New Roman" w:cs="Times New Roman"/>
          <w:sz w:val="24"/>
          <w:szCs w:val="24"/>
        </w:rPr>
        <w:t>maintain their economic relationship with Nabataea, in order to benefit from the Nabataean</w:t>
      </w:r>
      <w:r w:rsidRPr="00BD2AB4">
        <w:rPr>
          <w:rFonts w:ascii="Times New Roman" w:hAnsi="Times New Roman" w:cs="Times New Roman"/>
          <w:sz w:val="24"/>
          <w:szCs w:val="24"/>
        </w:rPr>
        <w:t xml:space="preserve"> trade network which connected </w:t>
      </w:r>
      <w:proofErr w:type="spellStart"/>
      <w:r w:rsidRPr="00BD2AB4">
        <w:rPr>
          <w:rFonts w:ascii="Times New Roman" w:hAnsi="Times New Roman" w:cs="Times New Roman"/>
          <w:sz w:val="24"/>
          <w:szCs w:val="24"/>
        </w:rPr>
        <w:t>Eudaimon</w:t>
      </w:r>
      <w:proofErr w:type="spellEnd"/>
      <w:r w:rsidRPr="00BD2AB4">
        <w:rPr>
          <w:rFonts w:ascii="Times New Roman" w:hAnsi="Times New Roman" w:cs="Times New Roman"/>
          <w:sz w:val="24"/>
          <w:szCs w:val="24"/>
        </w:rPr>
        <w:t xml:space="preserve"> Arabia with the Mediterranean Sea.</w:t>
      </w:r>
      <w:r w:rsidRPr="00BD2AB4">
        <w:rPr>
          <w:rStyle w:val="Funotenzeichen"/>
          <w:rFonts w:ascii="Times New Roman" w:hAnsi="Times New Roman" w:cs="Times New Roman"/>
          <w:sz w:val="24"/>
          <w:szCs w:val="24"/>
        </w:rPr>
        <w:footnoteReference w:id="95"/>
      </w:r>
      <w:r w:rsidRPr="00BD2AB4">
        <w:rPr>
          <w:rFonts w:ascii="Times New Roman" w:hAnsi="Times New Roman" w:cs="Times New Roman"/>
          <w:sz w:val="24"/>
          <w:szCs w:val="24"/>
        </w:rPr>
        <w:t xml:space="preserve"> </w:t>
      </w:r>
      <w:r w:rsidR="001A76D8" w:rsidRPr="00BD2AB4">
        <w:rPr>
          <w:rFonts w:ascii="Times New Roman" w:hAnsi="Times New Roman" w:cs="Times New Roman"/>
          <w:sz w:val="24"/>
          <w:szCs w:val="24"/>
        </w:rPr>
        <w:t>Nabataean</w:t>
      </w:r>
      <w:r w:rsidRPr="00BD2AB4">
        <w:rPr>
          <w:rFonts w:ascii="Times New Roman" w:hAnsi="Times New Roman" w:cs="Times New Roman"/>
          <w:sz w:val="24"/>
          <w:szCs w:val="24"/>
        </w:rPr>
        <w:t xml:space="preserve"> main commerce </w:t>
      </w:r>
      <w:r w:rsidRPr="00BD2AB4">
        <w:rPr>
          <w:rFonts w:ascii="Times New Roman" w:hAnsi="Times New Roman" w:cs="Times New Roman"/>
          <w:sz w:val="24"/>
          <w:szCs w:val="24"/>
        </w:rPr>
        <w:lastRenderedPageBreak/>
        <w:t>consisted of rare</w:t>
      </w:r>
      <w:r w:rsidR="001A76D8" w:rsidRPr="00BD2AB4">
        <w:rPr>
          <w:rFonts w:ascii="Times New Roman" w:hAnsi="Times New Roman" w:cs="Times New Roman"/>
          <w:sz w:val="24"/>
          <w:szCs w:val="24"/>
        </w:rPr>
        <w:t xml:space="preserve">, </w:t>
      </w:r>
      <w:r w:rsidRPr="00BD2AB4">
        <w:rPr>
          <w:rFonts w:ascii="Times New Roman" w:hAnsi="Times New Roman" w:cs="Times New Roman"/>
          <w:sz w:val="24"/>
          <w:szCs w:val="24"/>
        </w:rPr>
        <w:t>sought-after spices</w:t>
      </w:r>
      <w:r w:rsidR="001A76D8" w:rsidRPr="00BD2AB4">
        <w:rPr>
          <w:rFonts w:ascii="Times New Roman" w:hAnsi="Times New Roman" w:cs="Times New Roman"/>
          <w:sz w:val="24"/>
          <w:szCs w:val="24"/>
        </w:rPr>
        <w:t>,</w:t>
      </w:r>
      <w:r w:rsidRPr="00BD2AB4">
        <w:rPr>
          <w:rFonts w:ascii="Times New Roman" w:hAnsi="Times New Roman" w:cs="Times New Roman"/>
          <w:sz w:val="24"/>
          <w:szCs w:val="24"/>
        </w:rPr>
        <w:t xml:space="preserve"> frankincense and myrrh,</w:t>
      </w:r>
      <w:r w:rsidRPr="00BD2AB4">
        <w:rPr>
          <w:rFonts w:ascii="Times New Roman" w:hAnsi="Times New Roman" w:cs="Times New Roman"/>
          <w:sz w:val="24"/>
          <w:szCs w:val="24"/>
          <w:vertAlign w:val="superscript"/>
        </w:rPr>
        <w:footnoteReference w:id="96"/>
      </w:r>
      <w:r w:rsidRPr="00BD2AB4">
        <w:rPr>
          <w:rFonts w:ascii="Times New Roman" w:hAnsi="Times New Roman" w:cs="Times New Roman"/>
          <w:sz w:val="24"/>
          <w:szCs w:val="24"/>
        </w:rPr>
        <w:t xml:space="preserve"> greatly desired by the Greeks, Judaeans</w:t>
      </w:r>
      <w:r w:rsidR="006110AB" w:rsidRPr="00BD2AB4">
        <w:rPr>
          <w:rFonts w:ascii="Times New Roman" w:hAnsi="Times New Roman" w:cs="Times New Roman"/>
          <w:sz w:val="24"/>
          <w:szCs w:val="24"/>
        </w:rPr>
        <w:t xml:space="preserve"> and </w:t>
      </w:r>
      <w:r w:rsidRPr="00BD2AB4">
        <w:rPr>
          <w:rFonts w:ascii="Times New Roman" w:hAnsi="Times New Roman" w:cs="Times New Roman"/>
          <w:sz w:val="24"/>
          <w:szCs w:val="24"/>
        </w:rPr>
        <w:t>Romans</w:t>
      </w:r>
      <w:r w:rsidR="006110AB"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97"/>
      </w:r>
      <w:r w:rsidR="006110AB" w:rsidRPr="00BD2AB4">
        <w:rPr>
          <w:rFonts w:ascii="Times New Roman" w:hAnsi="Times New Roman" w:cs="Times New Roman"/>
          <w:sz w:val="24"/>
          <w:szCs w:val="24"/>
        </w:rPr>
        <w:t xml:space="preserve"> Pliny the Elder mentioned heavy tariffs used to extract wealth from traders travelling through Nabataean territory.</w:t>
      </w:r>
      <w:r w:rsidR="006110AB" w:rsidRPr="00BD2AB4">
        <w:rPr>
          <w:rStyle w:val="Funotenzeichen"/>
          <w:rFonts w:ascii="Times New Roman" w:hAnsi="Times New Roman" w:cs="Times New Roman"/>
          <w:sz w:val="24"/>
          <w:szCs w:val="24"/>
        </w:rPr>
        <w:footnoteReference w:id="98"/>
      </w:r>
    </w:p>
    <w:p w14:paraId="109BDAE7" w14:textId="77777777" w:rsidR="002F093D" w:rsidRPr="00BD2AB4" w:rsidRDefault="002F093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Furthermore silk, cottons and balsams from India, Southern Arabia and the Jordan valley near Jericho were transported across Nabataea.</w:t>
      </w:r>
      <w:r w:rsidRPr="00BD2AB4">
        <w:rPr>
          <w:rFonts w:ascii="Times New Roman" w:hAnsi="Times New Roman" w:cs="Times New Roman"/>
          <w:sz w:val="24"/>
          <w:szCs w:val="24"/>
          <w:vertAlign w:val="superscript"/>
        </w:rPr>
        <w:footnoteReference w:id="99"/>
      </w:r>
      <w:r w:rsidR="006110AB" w:rsidRPr="00BD2AB4">
        <w:rPr>
          <w:rFonts w:ascii="Times New Roman" w:hAnsi="Times New Roman" w:cs="Times New Roman"/>
          <w:sz w:val="24"/>
          <w:szCs w:val="24"/>
        </w:rPr>
        <w:t xml:space="preserve"> The foundation of the Nabataean kingdom may have been the result of a need to create </w:t>
      </w:r>
      <w:r w:rsidRPr="00BD2AB4">
        <w:rPr>
          <w:rFonts w:ascii="Times New Roman" w:hAnsi="Times New Roman" w:cs="Times New Roman"/>
          <w:sz w:val="24"/>
          <w:szCs w:val="24"/>
        </w:rPr>
        <w:t>urban trading centres which oversaw commercial activities.</w:t>
      </w:r>
      <w:r w:rsidRPr="00BD2AB4">
        <w:rPr>
          <w:rStyle w:val="Funotenzeichen"/>
          <w:rFonts w:ascii="Times New Roman" w:hAnsi="Times New Roman" w:cs="Times New Roman"/>
          <w:sz w:val="24"/>
          <w:szCs w:val="24"/>
        </w:rPr>
        <w:footnoteReference w:id="100"/>
      </w:r>
      <w:r w:rsidRPr="00BD2AB4">
        <w:rPr>
          <w:rFonts w:ascii="Times New Roman" w:hAnsi="Times New Roman" w:cs="Times New Roman"/>
          <w:sz w:val="24"/>
          <w:szCs w:val="24"/>
        </w:rPr>
        <w:t xml:space="preserve"> </w:t>
      </w:r>
    </w:p>
    <w:p w14:paraId="46299779" w14:textId="1328177E" w:rsidR="002F093D" w:rsidRPr="00BD2AB4" w:rsidRDefault="002F093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Nabataeans possibly acquired their commerce from the </w:t>
      </w:r>
      <w:proofErr w:type="spellStart"/>
      <w:r w:rsidRPr="00BD2AB4">
        <w:rPr>
          <w:rFonts w:ascii="Times New Roman" w:hAnsi="Times New Roman" w:cs="Times New Roman"/>
          <w:sz w:val="24"/>
          <w:szCs w:val="24"/>
        </w:rPr>
        <w:t>Minaeans</w:t>
      </w:r>
      <w:proofErr w:type="spellEnd"/>
      <w:r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01"/>
      </w:r>
      <w:r w:rsidRPr="00BD2AB4">
        <w:rPr>
          <w:rFonts w:ascii="Times New Roman" w:hAnsi="Times New Roman" w:cs="Times New Roman"/>
          <w:sz w:val="24"/>
          <w:szCs w:val="24"/>
        </w:rPr>
        <w:t xml:space="preserve"> </w:t>
      </w:r>
      <w:r w:rsidR="00A3757F" w:rsidRPr="00BD2AB4">
        <w:rPr>
          <w:rFonts w:ascii="Times New Roman" w:hAnsi="Times New Roman" w:cs="Times New Roman"/>
          <w:sz w:val="24"/>
          <w:szCs w:val="24"/>
        </w:rPr>
        <w:t>However, the</w:t>
      </w:r>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Minaean</w:t>
      </w:r>
      <w:proofErr w:type="spellEnd"/>
      <w:r w:rsidRPr="00BD2AB4">
        <w:rPr>
          <w:rFonts w:ascii="Times New Roman" w:hAnsi="Times New Roman" w:cs="Times New Roman"/>
          <w:sz w:val="24"/>
          <w:szCs w:val="24"/>
        </w:rPr>
        <w:t xml:space="preserve"> kingdom f</w:t>
      </w:r>
      <w:r w:rsidR="00A3757F" w:rsidRPr="00BD2AB4">
        <w:rPr>
          <w:rFonts w:ascii="Times New Roman" w:hAnsi="Times New Roman" w:cs="Times New Roman"/>
          <w:sz w:val="24"/>
          <w:szCs w:val="24"/>
        </w:rPr>
        <w:t xml:space="preserve">ell apart </w:t>
      </w:r>
      <w:r w:rsidRPr="00BD2AB4">
        <w:rPr>
          <w:rFonts w:ascii="Times New Roman" w:hAnsi="Times New Roman" w:cs="Times New Roman"/>
          <w:sz w:val="24"/>
          <w:szCs w:val="24"/>
        </w:rPr>
        <w:t xml:space="preserve">in the late second century B.C., </w:t>
      </w:r>
      <w:r w:rsidR="00A3757F" w:rsidRPr="00BD2AB4">
        <w:rPr>
          <w:rFonts w:ascii="Times New Roman" w:hAnsi="Times New Roman" w:cs="Times New Roman"/>
          <w:sz w:val="24"/>
          <w:szCs w:val="24"/>
        </w:rPr>
        <w:t>and the</w:t>
      </w:r>
      <w:r w:rsidRPr="00BD2AB4">
        <w:rPr>
          <w:rFonts w:ascii="Times New Roman" w:hAnsi="Times New Roman" w:cs="Times New Roman"/>
          <w:sz w:val="24"/>
          <w:szCs w:val="24"/>
        </w:rPr>
        <w:t xml:space="preserve"> Nabataeans took control of the northern parts of the incense route.</w:t>
      </w:r>
      <w:r w:rsidRPr="00BD2AB4">
        <w:rPr>
          <w:rFonts w:ascii="Times New Roman" w:hAnsi="Times New Roman" w:cs="Times New Roman"/>
          <w:sz w:val="24"/>
          <w:szCs w:val="24"/>
          <w:vertAlign w:val="superscript"/>
        </w:rPr>
        <w:footnoteReference w:id="102"/>
      </w:r>
      <w:r w:rsidRPr="00BD2AB4">
        <w:rPr>
          <w:rFonts w:ascii="Times New Roman" w:hAnsi="Times New Roman" w:cs="Times New Roman"/>
          <w:sz w:val="24"/>
          <w:szCs w:val="24"/>
        </w:rPr>
        <w:t xml:space="preserve"> </w:t>
      </w:r>
    </w:p>
    <w:p w14:paraId="44A4E8B4" w14:textId="0419ED42" w:rsidR="004C5C4D" w:rsidRPr="00BD2AB4" w:rsidRDefault="00A47875"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In conclusion, this chapter demonstrates how well the Nabataean people took advantage of the opportunities that were given to them, </w:t>
      </w:r>
      <w:r w:rsidR="00125542" w:rsidRPr="00BD2AB4">
        <w:rPr>
          <w:rFonts w:ascii="Times New Roman" w:hAnsi="Times New Roman" w:cs="Times New Roman"/>
          <w:sz w:val="24"/>
          <w:szCs w:val="24"/>
        </w:rPr>
        <w:t>adapted their lifestyles to new requirements and used their environment most intelligently.</w:t>
      </w:r>
    </w:p>
    <w:p w14:paraId="71AF9E18" w14:textId="543CBCF1" w:rsidR="00381B89" w:rsidRDefault="00381B89" w:rsidP="00BD2AB4">
      <w:pPr>
        <w:spacing w:line="480" w:lineRule="auto"/>
        <w:rPr>
          <w:rFonts w:ascii="Times New Roman" w:hAnsi="Times New Roman" w:cs="Times New Roman"/>
          <w:sz w:val="24"/>
          <w:szCs w:val="24"/>
        </w:rPr>
      </w:pPr>
    </w:p>
    <w:p w14:paraId="39293F7F" w14:textId="7E75ABB9" w:rsidR="00BD2AB4" w:rsidRDefault="00BD2AB4" w:rsidP="00BD2AB4">
      <w:pPr>
        <w:spacing w:line="480" w:lineRule="auto"/>
        <w:rPr>
          <w:rFonts w:ascii="Times New Roman" w:hAnsi="Times New Roman" w:cs="Times New Roman"/>
          <w:sz w:val="24"/>
          <w:szCs w:val="24"/>
        </w:rPr>
      </w:pPr>
    </w:p>
    <w:p w14:paraId="0349C814" w14:textId="408D6216" w:rsidR="00BD2AB4" w:rsidRDefault="00BD2AB4" w:rsidP="00BD2AB4">
      <w:pPr>
        <w:spacing w:line="480" w:lineRule="auto"/>
        <w:rPr>
          <w:rFonts w:ascii="Times New Roman" w:hAnsi="Times New Roman" w:cs="Times New Roman"/>
          <w:sz w:val="24"/>
          <w:szCs w:val="24"/>
        </w:rPr>
      </w:pPr>
    </w:p>
    <w:p w14:paraId="0AF8B007" w14:textId="0185B258" w:rsidR="00BD2AB4" w:rsidRDefault="00BD2AB4" w:rsidP="00BD2AB4">
      <w:pPr>
        <w:spacing w:line="480" w:lineRule="auto"/>
        <w:rPr>
          <w:rFonts w:ascii="Times New Roman" w:hAnsi="Times New Roman" w:cs="Times New Roman"/>
          <w:sz w:val="24"/>
          <w:szCs w:val="24"/>
        </w:rPr>
      </w:pPr>
    </w:p>
    <w:p w14:paraId="01179D7C" w14:textId="0201446A" w:rsidR="00BD2AB4" w:rsidRDefault="00BD2AB4" w:rsidP="00BD2AB4">
      <w:pPr>
        <w:spacing w:line="480" w:lineRule="auto"/>
        <w:rPr>
          <w:rFonts w:ascii="Times New Roman" w:hAnsi="Times New Roman" w:cs="Times New Roman"/>
          <w:sz w:val="24"/>
          <w:szCs w:val="24"/>
        </w:rPr>
      </w:pPr>
    </w:p>
    <w:p w14:paraId="05AA557D" w14:textId="77777777" w:rsidR="00BD2AB4" w:rsidRPr="00BD2AB4" w:rsidRDefault="00BD2AB4" w:rsidP="00BD2AB4">
      <w:pPr>
        <w:spacing w:line="480" w:lineRule="auto"/>
        <w:rPr>
          <w:rFonts w:ascii="Times New Roman" w:hAnsi="Times New Roman" w:cs="Times New Roman"/>
          <w:sz w:val="24"/>
          <w:szCs w:val="24"/>
        </w:rPr>
      </w:pPr>
    </w:p>
    <w:p w14:paraId="058022E0" w14:textId="77777777" w:rsidR="00AC0057" w:rsidRPr="00BD2AB4" w:rsidRDefault="00AC0057" w:rsidP="00BD2AB4">
      <w:pPr>
        <w:keepNext/>
        <w:keepLines/>
        <w:spacing w:before="240" w:after="0" w:line="480" w:lineRule="auto"/>
        <w:outlineLvl w:val="0"/>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lastRenderedPageBreak/>
        <w:t xml:space="preserve">Chapter 3:                             </w:t>
      </w:r>
      <w:r w:rsidRPr="005305C2">
        <w:rPr>
          <w:rFonts w:ascii="Times New Roman" w:eastAsiaTheme="majorEastAsia" w:hAnsi="Times New Roman" w:cs="Times New Roman"/>
          <w:b/>
          <w:sz w:val="24"/>
          <w:szCs w:val="24"/>
          <w:u w:val="single"/>
        </w:rPr>
        <w:t>Cultural context, surrounding history</w:t>
      </w:r>
    </w:p>
    <w:p w14:paraId="11677F85" w14:textId="77777777" w:rsidR="00A47875" w:rsidRPr="00BD2AB4" w:rsidRDefault="00A47875" w:rsidP="00BD2AB4">
      <w:pPr>
        <w:spacing w:line="480" w:lineRule="auto"/>
        <w:rPr>
          <w:rFonts w:ascii="Times New Roman" w:hAnsi="Times New Roman" w:cs="Times New Roman"/>
          <w:b/>
          <w:sz w:val="24"/>
          <w:szCs w:val="24"/>
        </w:rPr>
      </w:pPr>
    </w:p>
    <w:p w14:paraId="0CFCD070" w14:textId="27C1C59E" w:rsidR="00AC0057" w:rsidRPr="00BD2AB4" w:rsidRDefault="004D0649"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This chapter has been divided into the different cultural influences which, according to proximity and cross-cultural interaction, would have most likely impacted Nabataean architecture. </w:t>
      </w:r>
      <w:r w:rsidR="00125542" w:rsidRPr="00BD2AB4">
        <w:rPr>
          <w:rFonts w:ascii="Times New Roman" w:hAnsi="Times New Roman" w:cs="Times New Roman"/>
          <w:sz w:val="24"/>
          <w:szCs w:val="24"/>
        </w:rPr>
        <w:t xml:space="preserve">The aim is to reconstruct the impact and intensity with which each culture may have influenced Nabataea, as well as the understanding the nature of set influence. </w:t>
      </w:r>
    </w:p>
    <w:p w14:paraId="59D51681" w14:textId="4F10B889" w:rsidR="00AC0057" w:rsidRPr="00BD2AB4" w:rsidRDefault="00125542"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First known architectural developments of the Near East, developed during the</w:t>
      </w:r>
      <w:r w:rsidR="00AC0057" w:rsidRPr="00BD2AB4">
        <w:rPr>
          <w:rFonts w:ascii="Times New Roman" w:hAnsi="Times New Roman" w:cs="Times New Roman"/>
          <w:sz w:val="24"/>
          <w:szCs w:val="24"/>
        </w:rPr>
        <w:t xml:space="preserve"> Bronze Age,</w:t>
      </w:r>
      <w:r w:rsidRPr="00BD2AB4">
        <w:rPr>
          <w:rFonts w:ascii="Times New Roman" w:hAnsi="Times New Roman" w:cs="Times New Roman"/>
          <w:sz w:val="24"/>
          <w:szCs w:val="24"/>
        </w:rPr>
        <w:t xml:space="preserve"> where</w:t>
      </w:r>
      <w:r w:rsidR="00AC0057" w:rsidRPr="00BD2AB4">
        <w:rPr>
          <w:rFonts w:ascii="Times New Roman" w:hAnsi="Times New Roman" w:cs="Times New Roman"/>
          <w:sz w:val="24"/>
          <w:szCs w:val="24"/>
        </w:rPr>
        <w:t xml:space="preserve"> the regions of Syria and Mesopotamia experienced a strong expression of regional architecture development, gradually influencing their societies, inspiring a sense of cultural identity.</w:t>
      </w:r>
      <w:r w:rsidR="00AC0057" w:rsidRPr="00BD2AB4">
        <w:rPr>
          <w:rFonts w:ascii="Times New Roman" w:hAnsi="Times New Roman" w:cs="Times New Roman"/>
          <w:sz w:val="24"/>
          <w:szCs w:val="24"/>
          <w:vertAlign w:val="superscript"/>
        </w:rPr>
        <w:footnoteReference w:id="103"/>
      </w:r>
      <w:r w:rsidR="00AC0057" w:rsidRPr="00BD2AB4">
        <w:rPr>
          <w:rFonts w:ascii="Times New Roman" w:hAnsi="Times New Roman" w:cs="Times New Roman"/>
          <w:sz w:val="24"/>
          <w:szCs w:val="24"/>
        </w:rPr>
        <w:t xml:space="preserve"> Regional architecture in the Levant was comprised of two distinct types, the Negev and Mediterranean seaside architectural styles, which reflected an increased complexity of social organisation.</w:t>
      </w:r>
      <w:r w:rsidR="00AC0057" w:rsidRPr="00BD2AB4">
        <w:rPr>
          <w:rFonts w:ascii="Times New Roman" w:hAnsi="Times New Roman" w:cs="Times New Roman"/>
          <w:sz w:val="24"/>
          <w:szCs w:val="24"/>
          <w:vertAlign w:val="superscript"/>
        </w:rPr>
        <w:footnoteReference w:id="104"/>
      </w:r>
      <w:r w:rsidR="00AC0057" w:rsidRPr="00BD2AB4">
        <w:rPr>
          <w:rFonts w:ascii="Times New Roman" w:hAnsi="Times New Roman" w:cs="Times New Roman"/>
          <w:sz w:val="24"/>
          <w:szCs w:val="24"/>
        </w:rPr>
        <w:t xml:space="preserve"> </w:t>
      </w:r>
    </w:p>
    <w:p w14:paraId="4C1C3C0F" w14:textId="7950E37E"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Commencing with the first Egyptian dynasty around 2950 B.C,</w:t>
      </w:r>
      <w:r w:rsidRPr="00BD2AB4">
        <w:rPr>
          <w:rFonts w:ascii="Times New Roman" w:hAnsi="Times New Roman" w:cs="Times New Roman"/>
          <w:sz w:val="24"/>
          <w:szCs w:val="24"/>
          <w:vertAlign w:val="superscript"/>
        </w:rPr>
        <w:footnoteReference w:id="105"/>
      </w:r>
      <w:r w:rsidRPr="00BD2AB4">
        <w:rPr>
          <w:rFonts w:ascii="Times New Roman" w:hAnsi="Times New Roman" w:cs="Times New Roman"/>
          <w:sz w:val="24"/>
          <w:szCs w:val="24"/>
        </w:rPr>
        <w:t xml:space="preserve"> the regions of modern Palestine, Syria, Lebanon and Israel were engaged in trade with ancient Egypt.</w:t>
      </w:r>
      <w:r w:rsidRPr="00BD2AB4">
        <w:rPr>
          <w:rFonts w:ascii="Times New Roman" w:hAnsi="Times New Roman" w:cs="Times New Roman"/>
          <w:sz w:val="24"/>
          <w:szCs w:val="24"/>
          <w:vertAlign w:val="superscript"/>
        </w:rPr>
        <w:footnoteReference w:id="106"/>
      </w:r>
      <w:r w:rsidRPr="00BD2AB4">
        <w:rPr>
          <w:rFonts w:ascii="Times New Roman" w:hAnsi="Times New Roman" w:cs="Times New Roman"/>
          <w:sz w:val="24"/>
          <w:szCs w:val="24"/>
        </w:rPr>
        <w:t xml:space="preserve"> Egyptian trading posts distributed throughout the area of modern Palestine were subsequentially established, with sites such as Tel </w:t>
      </w:r>
      <w:proofErr w:type="spellStart"/>
      <w:r w:rsidRPr="00BD2AB4">
        <w:rPr>
          <w:rFonts w:ascii="Times New Roman" w:hAnsi="Times New Roman" w:cs="Times New Roman"/>
          <w:sz w:val="24"/>
          <w:szCs w:val="24"/>
        </w:rPr>
        <w:t>Erani</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Nahal</w:t>
      </w:r>
      <w:proofErr w:type="spellEnd"/>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Tillah</w:t>
      </w:r>
      <w:proofErr w:type="spellEnd"/>
      <w:r w:rsidRPr="00BD2AB4">
        <w:rPr>
          <w:rFonts w:ascii="Times New Roman" w:hAnsi="Times New Roman" w:cs="Times New Roman"/>
          <w:sz w:val="24"/>
          <w:szCs w:val="24"/>
        </w:rPr>
        <w:t xml:space="preserve"> showing a clear archaeological record of Egyptian pottery sherds.</w:t>
      </w:r>
      <w:r w:rsidRPr="00BD2AB4">
        <w:rPr>
          <w:rFonts w:ascii="Times New Roman" w:hAnsi="Times New Roman" w:cs="Times New Roman"/>
          <w:sz w:val="24"/>
          <w:szCs w:val="24"/>
          <w:vertAlign w:val="superscript"/>
        </w:rPr>
        <w:footnoteReference w:id="107"/>
      </w:r>
      <w:r w:rsidRPr="00BD2AB4">
        <w:rPr>
          <w:rFonts w:ascii="Times New Roman" w:hAnsi="Times New Roman" w:cs="Times New Roman"/>
          <w:sz w:val="24"/>
          <w:szCs w:val="24"/>
        </w:rPr>
        <w:t xml:space="preserve"> Additionally, the coastal route between the Nile Delta and Gaza became increasingly important, with Egypt establishing possibly early colonies and later vassal states, in order to maintain control over the Levant.</w:t>
      </w:r>
      <w:r w:rsidRPr="00BD2AB4">
        <w:rPr>
          <w:rFonts w:ascii="Times New Roman" w:hAnsi="Times New Roman" w:cs="Times New Roman"/>
          <w:sz w:val="24"/>
          <w:szCs w:val="24"/>
          <w:vertAlign w:val="superscript"/>
        </w:rPr>
        <w:footnoteReference w:id="108"/>
      </w:r>
      <w:r w:rsidRPr="00BD2AB4">
        <w:rPr>
          <w:rFonts w:ascii="Times New Roman" w:hAnsi="Times New Roman" w:cs="Times New Roman"/>
          <w:sz w:val="24"/>
          <w:szCs w:val="24"/>
        </w:rPr>
        <w:t xml:space="preserve">  Moreover, Egyptian influence can be detected in the art style of the ancient Ammonites and early people of </w:t>
      </w:r>
      <w:r w:rsidRPr="00BD2AB4">
        <w:rPr>
          <w:rFonts w:ascii="Times New Roman" w:hAnsi="Times New Roman" w:cs="Times New Roman"/>
          <w:sz w:val="24"/>
          <w:szCs w:val="24"/>
        </w:rPr>
        <w:lastRenderedPageBreak/>
        <w:t>Jordan.</w:t>
      </w:r>
      <w:r w:rsidRPr="00BD2AB4">
        <w:rPr>
          <w:rFonts w:ascii="Times New Roman" w:hAnsi="Times New Roman" w:cs="Times New Roman"/>
          <w:sz w:val="24"/>
          <w:szCs w:val="24"/>
          <w:vertAlign w:val="superscript"/>
        </w:rPr>
        <w:footnoteReference w:id="109"/>
      </w:r>
      <w:r w:rsidRPr="00BD2AB4">
        <w:rPr>
          <w:rFonts w:ascii="Times New Roman" w:hAnsi="Times New Roman" w:cs="Times New Roman"/>
          <w:sz w:val="24"/>
          <w:szCs w:val="24"/>
        </w:rPr>
        <w:t xml:space="preserve"> This gave rise to opportunities of material and concept exchange on all sides involved. </w:t>
      </w:r>
    </w:p>
    <w:p w14:paraId="7238E0B7" w14:textId="270FC87A"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To the East, Sumer </w:t>
      </w:r>
      <w:r w:rsidR="000F2016" w:rsidRPr="00BD2AB4">
        <w:rPr>
          <w:rFonts w:ascii="Times New Roman" w:hAnsi="Times New Roman" w:cs="Times New Roman"/>
          <w:sz w:val="24"/>
          <w:szCs w:val="24"/>
        </w:rPr>
        <w:t>was</w:t>
      </w:r>
      <w:r w:rsidRPr="00BD2AB4">
        <w:rPr>
          <w:rFonts w:ascii="Times New Roman" w:hAnsi="Times New Roman" w:cs="Times New Roman"/>
          <w:sz w:val="24"/>
          <w:szCs w:val="24"/>
        </w:rPr>
        <w:t xml:space="preserve"> succeeded by the Akkadians (ca. 2350-2150 B.C.), who actively tried expanding their territories, reaching into Arabia during </w:t>
      </w:r>
      <w:r w:rsidR="000F2016" w:rsidRPr="00BD2AB4">
        <w:rPr>
          <w:rFonts w:ascii="Times New Roman" w:hAnsi="Times New Roman" w:cs="Times New Roman"/>
          <w:sz w:val="24"/>
          <w:szCs w:val="24"/>
        </w:rPr>
        <w:t>their</w:t>
      </w:r>
      <w:r w:rsidRPr="00BD2AB4">
        <w:rPr>
          <w:rFonts w:ascii="Times New Roman" w:hAnsi="Times New Roman" w:cs="Times New Roman"/>
          <w:sz w:val="24"/>
          <w:szCs w:val="24"/>
        </w:rPr>
        <w:t xml:space="preserve"> greatest expansion, thus</w:t>
      </w:r>
      <w:r w:rsidR="000F2016" w:rsidRPr="00BD2AB4">
        <w:rPr>
          <w:rFonts w:ascii="Times New Roman" w:hAnsi="Times New Roman" w:cs="Times New Roman"/>
          <w:sz w:val="24"/>
          <w:szCs w:val="24"/>
        </w:rPr>
        <w:t xml:space="preserve"> possibly</w:t>
      </w:r>
      <w:r w:rsidRPr="00BD2AB4">
        <w:rPr>
          <w:rFonts w:ascii="Times New Roman" w:hAnsi="Times New Roman" w:cs="Times New Roman"/>
          <w:sz w:val="24"/>
          <w:szCs w:val="24"/>
        </w:rPr>
        <w:t xml:space="preserve"> coming into contact with</w:t>
      </w:r>
      <w:r w:rsidR="000F2016" w:rsidRPr="00BD2AB4">
        <w:rPr>
          <w:rFonts w:ascii="Times New Roman" w:hAnsi="Times New Roman" w:cs="Times New Roman"/>
          <w:sz w:val="24"/>
          <w:szCs w:val="24"/>
        </w:rPr>
        <w:t xml:space="preserve"> the ancestors of</w:t>
      </w:r>
      <w:r w:rsidRPr="00BD2AB4">
        <w:rPr>
          <w:rFonts w:ascii="Times New Roman" w:hAnsi="Times New Roman" w:cs="Times New Roman"/>
          <w:sz w:val="24"/>
          <w:szCs w:val="24"/>
        </w:rPr>
        <w:t xml:space="preserve"> early Arab tribes.</w:t>
      </w:r>
      <w:r w:rsidRPr="00BD2AB4">
        <w:rPr>
          <w:rFonts w:ascii="Times New Roman" w:hAnsi="Times New Roman" w:cs="Times New Roman"/>
          <w:sz w:val="24"/>
          <w:szCs w:val="24"/>
          <w:vertAlign w:val="superscript"/>
        </w:rPr>
        <w:footnoteReference w:id="110"/>
      </w:r>
      <w:r w:rsidRPr="00BD2AB4">
        <w:rPr>
          <w:rFonts w:ascii="Times New Roman" w:hAnsi="Times New Roman" w:cs="Times New Roman"/>
          <w:sz w:val="24"/>
          <w:szCs w:val="24"/>
        </w:rPr>
        <w:t xml:space="preserve"> </w:t>
      </w:r>
    </w:p>
    <w:p w14:paraId="0B11C172" w14:textId="605C9FE0"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Moving on, the next cultural developments followed through active and passive contacts of the</w:t>
      </w:r>
      <w:r w:rsidR="000F2016" w:rsidRPr="00BD2AB4">
        <w:rPr>
          <w:rFonts w:ascii="Times New Roman" w:hAnsi="Times New Roman" w:cs="Times New Roman"/>
          <w:sz w:val="24"/>
          <w:szCs w:val="24"/>
        </w:rPr>
        <w:t xml:space="preserve"> nomadic people of the </w:t>
      </w:r>
      <w:r w:rsidRPr="00BD2AB4">
        <w:rPr>
          <w:rFonts w:ascii="Times New Roman" w:hAnsi="Times New Roman" w:cs="Times New Roman"/>
          <w:sz w:val="24"/>
          <w:szCs w:val="24"/>
        </w:rPr>
        <w:t xml:space="preserve"> Arab </w:t>
      </w:r>
      <w:r w:rsidR="000F2016" w:rsidRPr="00BD2AB4">
        <w:rPr>
          <w:rFonts w:ascii="Times New Roman" w:hAnsi="Times New Roman" w:cs="Times New Roman"/>
          <w:sz w:val="24"/>
          <w:szCs w:val="24"/>
        </w:rPr>
        <w:t>Peninsula,</w:t>
      </w:r>
      <w:r w:rsidRPr="00BD2AB4">
        <w:rPr>
          <w:rFonts w:ascii="Times New Roman" w:hAnsi="Times New Roman" w:cs="Times New Roman"/>
          <w:sz w:val="24"/>
          <w:szCs w:val="24"/>
        </w:rPr>
        <w:t xml:space="preserve"> with the expanding Assyrian Empire, which saw the area of the Edomite under its control around 732 B.C.</w:t>
      </w:r>
      <w:r w:rsidRPr="00BD2AB4">
        <w:rPr>
          <w:rFonts w:ascii="Times New Roman" w:hAnsi="Times New Roman" w:cs="Times New Roman"/>
          <w:sz w:val="24"/>
          <w:szCs w:val="24"/>
          <w:vertAlign w:val="superscript"/>
        </w:rPr>
        <w:footnoteReference w:id="111"/>
      </w:r>
      <w:r w:rsidRPr="00BD2AB4">
        <w:rPr>
          <w:rFonts w:ascii="Times New Roman" w:hAnsi="Times New Roman" w:cs="Times New Roman"/>
          <w:sz w:val="24"/>
          <w:szCs w:val="24"/>
        </w:rPr>
        <w:t xml:space="preserve"> Although paying tribute, the Edomite kingdom prospered under Assyrian rule, gaining increasing control of the trading routes of the region and expanding Edomite territory into the Negev region.</w:t>
      </w:r>
      <w:r w:rsidRPr="00BD2AB4">
        <w:rPr>
          <w:rFonts w:ascii="Times New Roman" w:hAnsi="Times New Roman" w:cs="Times New Roman"/>
          <w:sz w:val="24"/>
          <w:szCs w:val="24"/>
          <w:vertAlign w:val="superscript"/>
        </w:rPr>
        <w:footnoteReference w:id="112"/>
      </w:r>
      <w:r w:rsidRPr="00BD2AB4">
        <w:rPr>
          <w:rFonts w:ascii="Times New Roman" w:hAnsi="Times New Roman" w:cs="Times New Roman"/>
          <w:sz w:val="24"/>
          <w:szCs w:val="24"/>
        </w:rPr>
        <w:t xml:space="preserve"> Around 552-539 B.C., the Edomites were part of the Neo-Babylonian Empire,</w:t>
      </w:r>
      <w:r w:rsidRPr="00BD2AB4">
        <w:rPr>
          <w:rFonts w:ascii="Times New Roman" w:hAnsi="Times New Roman" w:cs="Times New Roman"/>
          <w:sz w:val="24"/>
          <w:szCs w:val="24"/>
          <w:vertAlign w:val="superscript"/>
        </w:rPr>
        <w:footnoteReference w:id="113"/>
      </w:r>
      <w:r w:rsidRPr="00BD2AB4">
        <w:rPr>
          <w:rFonts w:ascii="Times New Roman" w:hAnsi="Times New Roman" w:cs="Times New Roman"/>
          <w:sz w:val="24"/>
          <w:szCs w:val="24"/>
        </w:rPr>
        <w:t xml:space="preserve"> which was then succeeded by the Achaemenid Empire.</w:t>
      </w:r>
      <w:r w:rsidRPr="00BD2AB4">
        <w:rPr>
          <w:rFonts w:ascii="Times New Roman" w:hAnsi="Times New Roman" w:cs="Times New Roman"/>
          <w:sz w:val="24"/>
          <w:szCs w:val="24"/>
          <w:vertAlign w:val="superscript"/>
        </w:rPr>
        <w:footnoteReference w:id="114"/>
      </w:r>
      <w:r w:rsidRPr="00BD2AB4">
        <w:rPr>
          <w:rFonts w:ascii="Times New Roman" w:hAnsi="Times New Roman" w:cs="Times New Roman"/>
          <w:sz w:val="24"/>
          <w:szCs w:val="24"/>
        </w:rPr>
        <w:t xml:space="preserve"> </w:t>
      </w:r>
    </w:p>
    <w:p w14:paraId="4336FAB8" w14:textId="77777777"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Achaemenid Empire, until defeated by Macedonia in 330 B.C., took over those territories which would later become components of the Nabataean kingdom.</w:t>
      </w:r>
      <w:r w:rsidRPr="00BD2AB4">
        <w:rPr>
          <w:rFonts w:ascii="Times New Roman" w:hAnsi="Times New Roman" w:cs="Times New Roman"/>
          <w:sz w:val="24"/>
          <w:szCs w:val="24"/>
          <w:vertAlign w:val="superscript"/>
        </w:rPr>
        <w:footnoteReference w:id="115"/>
      </w:r>
      <w:r w:rsidRPr="00BD2AB4">
        <w:rPr>
          <w:rFonts w:ascii="Times New Roman" w:hAnsi="Times New Roman" w:cs="Times New Roman"/>
          <w:sz w:val="24"/>
          <w:szCs w:val="24"/>
        </w:rPr>
        <w:t xml:space="preserve"> </w:t>
      </w:r>
    </w:p>
    <w:p w14:paraId="2F3D498C" w14:textId="729E3F5F" w:rsidR="00AC0057" w:rsidRDefault="00AC0057" w:rsidP="00BD2AB4">
      <w:pPr>
        <w:spacing w:line="480" w:lineRule="auto"/>
        <w:rPr>
          <w:rFonts w:ascii="Times New Roman" w:hAnsi="Times New Roman" w:cs="Times New Roman"/>
          <w:sz w:val="24"/>
          <w:szCs w:val="24"/>
        </w:rPr>
      </w:pPr>
    </w:p>
    <w:p w14:paraId="3BF211A3" w14:textId="509B758D" w:rsidR="00BD2AB4" w:rsidRDefault="00BD2AB4" w:rsidP="00BD2AB4">
      <w:pPr>
        <w:spacing w:line="480" w:lineRule="auto"/>
        <w:rPr>
          <w:rFonts w:ascii="Times New Roman" w:hAnsi="Times New Roman" w:cs="Times New Roman"/>
          <w:sz w:val="24"/>
          <w:szCs w:val="24"/>
        </w:rPr>
      </w:pPr>
    </w:p>
    <w:p w14:paraId="76F98C2B" w14:textId="5E8347AE" w:rsidR="00BD2AB4" w:rsidRDefault="00BD2AB4" w:rsidP="00BD2AB4">
      <w:pPr>
        <w:spacing w:line="480" w:lineRule="auto"/>
        <w:rPr>
          <w:rFonts w:ascii="Times New Roman" w:hAnsi="Times New Roman" w:cs="Times New Roman"/>
          <w:sz w:val="24"/>
          <w:szCs w:val="24"/>
        </w:rPr>
      </w:pPr>
    </w:p>
    <w:p w14:paraId="6D61B400" w14:textId="58436360" w:rsidR="00BD2AB4" w:rsidRDefault="00BD2AB4" w:rsidP="00BD2AB4">
      <w:pPr>
        <w:spacing w:line="480" w:lineRule="auto"/>
        <w:rPr>
          <w:rFonts w:ascii="Times New Roman" w:hAnsi="Times New Roman" w:cs="Times New Roman"/>
          <w:sz w:val="24"/>
          <w:szCs w:val="24"/>
        </w:rPr>
      </w:pPr>
    </w:p>
    <w:p w14:paraId="2C4851FD" w14:textId="77777777" w:rsidR="00BD2AB4" w:rsidRPr="00BD2AB4" w:rsidRDefault="00BD2AB4" w:rsidP="00BD2AB4">
      <w:pPr>
        <w:spacing w:line="480" w:lineRule="auto"/>
        <w:rPr>
          <w:rFonts w:ascii="Times New Roman" w:hAnsi="Times New Roman" w:cs="Times New Roman"/>
          <w:sz w:val="24"/>
          <w:szCs w:val="24"/>
        </w:rPr>
      </w:pPr>
    </w:p>
    <w:p w14:paraId="5D3B5E7E" w14:textId="77777777" w:rsidR="00AC0057" w:rsidRPr="00BD2AB4" w:rsidRDefault="00AC0057" w:rsidP="00BD2AB4">
      <w:pPr>
        <w:keepNext/>
        <w:keepLines/>
        <w:spacing w:before="40" w:after="0" w:line="480" w:lineRule="auto"/>
        <w:outlineLvl w:val="1"/>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lastRenderedPageBreak/>
        <w:t>The Hellenistic Period</w:t>
      </w:r>
    </w:p>
    <w:p w14:paraId="49A4F16C" w14:textId="77777777" w:rsidR="00AC0057" w:rsidRPr="00BD2AB4" w:rsidRDefault="00AC0057" w:rsidP="00BD2AB4">
      <w:pPr>
        <w:spacing w:line="480" w:lineRule="auto"/>
        <w:rPr>
          <w:rFonts w:ascii="Times New Roman" w:hAnsi="Times New Roman" w:cs="Times New Roman"/>
          <w:sz w:val="24"/>
          <w:szCs w:val="24"/>
        </w:rPr>
      </w:pPr>
    </w:p>
    <w:p w14:paraId="57CE9A6B" w14:textId="77777777"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Throughout the fourth century B.C., Greek influence was on the rise in the Near East, leading up to the Hellenistic period.</w:t>
      </w:r>
      <w:r w:rsidRPr="00BD2AB4">
        <w:rPr>
          <w:rFonts w:ascii="Times New Roman" w:hAnsi="Times New Roman" w:cs="Times New Roman"/>
          <w:sz w:val="24"/>
          <w:szCs w:val="24"/>
          <w:vertAlign w:val="superscript"/>
        </w:rPr>
        <w:footnoteReference w:id="116"/>
      </w:r>
      <w:r w:rsidRPr="00BD2AB4">
        <w:rPr>
          <w:rFonts w:ascii="Times New Roman" w:hAnsi="Times New Roman" w:cs="Times New Roman"/>
          <w:sz w:val="24"/>
          <w:szCs w:val="24"/>
        </w:rPr>
        <w:t xml:space="preserve"> This early influence was guaranteed through long distance trade between the Levant region, and especially Greeks from Ionia.</w:t>
      </w:r>
      <w:r w:rsidRPr="00BD2AB4">
        <w:rPr>
          <w:rFonts w:ascii="Times New Roman" w:hAnsi="Times New Roman" w:cs="Times New Roman"/>
          <w:sz w:val="24"/>
          <w:szCs w:val="24"/>
          <w:vertAlign w:val="superscript"/>
        </w:rPr>
        <w:footnoteReference w:id="117"/>
      </w:r>
    </w:p>
    <w:p w14:paraId="1EF56674" w14:textId="5EA63FBD"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It was due to Alexanders conquests and the fall of the Persians</w:t>
      </w:r>
      <w:r w:rsidR="00AD731F" w:rsidRPr="00BD2AB4">
        <w:rPr>
          <w:rFonts w:ascii="Times New Roman" w:hAnsi="Times New Roman" w:cs="Times New Roman"/>
          <w:sz w:val="24"/>
          <w:szCs w:val="24"/>
        </w:rPr>
        <w:t xml:space="preserve">, that the Hellenistic period </w:t>
      </w:r>
      <w:r w:rsidR="000F2016" w:rsidRPr="00BD2AB4">
        <w:rPr>
          <w:rFonts w:ascii="Times New Roman" w:hAnsi="Times New Roman" w:cs="Times New Roman"/>
          <w:sz w:val="24"/>
          <w:szCs w:val="24"/>
        </w:rPr>
        <w:t xml:space="preserve">fully </w:t>
      </w:r>
      <w:r w:rsidR="00AD731F" w:rsidRPr="00BD2AB4">
        <w:rPr>
          <w:rFonts w:ascii="Times New Roman" w:hAnsi="Times New Roman" w:cs="Times New Roman"/>
          <w:sz w:val="24"/>
          <w:szCs w:val="24"/>
        </w:rPr>
        <w:t>commenced</w:t>
      </w:r>
      <w:r w:rsidR="000F2016" w:rsidRPr="00BD2AB4">
        <w:rPr>
          <w:rFonts w:ascii="Times New Roman" w:hAnsi="Times New Roman" w:cs="Times New Roman"/>
          <w:sz w:val="24"/>
          <w:szCs w:val="24"/>
        </w:rPr>
        <w:t>,</w:t>
      </w:r>
      <w:r w:rsidR="00AD731F" w:rsidRPr="00BD2AB4">
        <w:rPr>
          <w:rStyle w:val="Funotenzeichen"/>
          <w:rFonts w:ascii="Times New Roman" w:hAnsi="Times New Roman" w:cs="Times New Roman"/>
          <w:sz w:val="24"/>
          <w:szCs w:val="24"/>
        </w:rPr>
        <w:footnoteReference w:id="118"/>
      </w:r>
      <w:r w:rsidR="00AD731F" w:rsidRPr="00BD2AB4">
        <w:rPr>
          <w:rFonts w:ascii="Times New Roman" w:hAnsi="Times New Roman" w:cs="Times New Roman"/>
          <w:sz w:val="24"/>
          <w:szCs w:val="24"/>
        </w:rPr>
        <w:t xml:space="preserve"> </w:t>
      </w:r>
      <w:r w:rsidR="000F2016" w:rsidRPr="00BD2AB4">
        <w:rPr>
          <w:rFonts w:ascii="Times New Roman" w:hAnsi="Times New Roman" w:cs="Times New Roman"/>
          <w:sz w:val="24"/>
          <w:szCs w:val="24"/>
        </w:rPr>
        <w:t xml:space="preserve">and </w:t>
      </w:r>
      <w:r w:rsidRPr="00BD2AB4">
        <w:rPr>
          <w:rFonts w:ascii="Times New Roman" w:hAnsi="Times New Roman" w:cs="Times New Roman"/>
          <w:sz w:val="24"/>
          <w:szCs w:val="24"/>
        </w:rPr>
        <w:t>gradually</w:t>
      </w:r>
      <w:r w:rsidR="000F2016" w:rsidRPr="00BD2AB4">
        <w:rPr>
          <w:rFonts w:ascii="Times New Roman" w:hAnsi="Times New Roman" w:cs="Times New Roman"/>
          <w:sz w:val="24"/>
          <w:szCs w:val="24"/>
        </w:rPr>
        <w:t xml:space="preserve"> ended</w:t>
      </w:r>
      <w:r w:rsidRPr="00BD2AB4">
        <w:rPr>
          <w:rFonts w:ascii="Times New Roman" w:hAnsi="Times New Roman" w:cs="Times New Roman"/>
          <w:sz w:val="24"/>
          <w:szCs w:val="24"/>
        </w:rPr>
        <w:t xml:space="preserve"> </w:t>
      </w:r>
      <w:r w:rsidR="00AD731F" w:rsidRPr="00BD2AB4">
        <w:rPr>
          <w:rFonts w:ascii="Times New Roman" w:hAnsi="Times New Roman" w:cs="Times New Roman"/>
          <w:sz w:val="24"/>
          <w:szCs w:val="24"/>
        </w:rPr>
        <w:t>after</w:t>
      </w:r>
      <w:r w:rsidRPr="00BD2AB4">
        <w:rPr>
          <w:rFonts w:ascii="Times New Roman" w:hAnsi="Times New Roman" w:cs="Times New Roman"/>
          <w:sz w:val="24"/>
          <w:szCs w:val="24"/>
        </w:rPr>
        <w:t xml:space="preserve"> the battle of Actium in 31 B.C.</w:t>
      </w:r>
      <w:r w:rsidRPr="00BD2AB4">
        <w:rPr>
          <w:rFonts w:ascii="Times New Roman" w:hAnsi="Times New Roman" w:cs="Times New Roman"/>
          <w:sz w:val="24"/>
          <w:szCs w:val="24"/>
          <w:vertAlign w:val="superscript"/>
        </w:rPr>
        <w:footnoteReference w:id="119"/>
      </w:r>
      <w:r w:rsidRPr="00BD2AB4">
        <w:rPr>
          <w:rFonts w:ascii="Times New Roman" w:hAnsi="Times New Roman" w:cs="Times New Roman"/>
          <w:sz w:val="24"/>
          <w:szCs w:val="24"/>
        </w:rPr>
        <w:t xml:space="preserve"> However, Hellenistic influence did extend beyond that time, especially in the Near East,</w:t>
      </w:r>
      <w:r w:rsidRPr="00BD2AB4">
        <w:rPr>
          <w:rFonts w:ascii="Times New Roman" w:hAnsi="Times New Roman" w:cs="Times New Roman"/>
          <w:sz w:val="24"/>
          <w:szCs w:val="24"/>
          <w:vertAlign w:val="superscript"/>
        </w:rPr>
        <w:footnoteReference w:id="120"/>
      </w:r>
      <w:r w:rsidRPr="00BD2AB4">
        <w:rPr>
          <w:rFonts w:ascii="Times New Roman" w:hAnsi="Times New Roman" w:cs="Times New Roman"/>
          <w:sz w:val="24"/>
          <w:szCs w:val="24"/>
        </w:rPr>
        <w:t xml:space="preserve"> as with the annexation of Ptolemaic Egypt in 30 B.C., an </w:t>
      </w:r>
      <w:r w:rsidR="000F2016" w:rsidRPr="00BD2AB4">
        <w:rPr>
          <w:rFonts w:ascii="Times New Roman" w:hAnsi="Times New Roman" w:cs="Times New Roman"/>
          <w:sz w:val="24"/>
          <w:szCs w:val="24"/>
        </w:rPr>
        <w:t>exodus</w:t>
      </w:r>
      <w:r w:rsidRPr="00BD2AB4">
        <w:rPr>
          <w:rFonts w:ascii="Times New Roman" w:hAnsi="Times New Roman" w:cs="Times New Roman"/>
          <w:sz w:val="24"/>
          <w:szCs w:val="24"/>
        </w:rPr>
        <w:t xml:space="preserve"> of Alexandrian artists </w:t>
      </w:r>
      <w:r w:rsidR="00AD731F" w:rsidRPr="00BD2AB4">
        <w:rPr>
          <w:rFonts w:ascii="Times New Roman" w:hAnsi="Times New Roman" w:cs="Times New Roman"/>
          <w:sz w:val="24"/>
          <w:szCs w:val="24"/>
        </w:rPr>
        <w:t>followed</w:t>
      </w:r>
      <w:r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21"/>
      </w:r>
      <w:r w:rsidRPr="00BD2AB4">
        <w:rPr>
          <w:rFonts w:ascii="Times New Roman" w:hAnsi="Times New Roman" w:cs="Times New Roman"/>
          <w:sz w:val="24"/>
          <w:szCs w:val="24"/>
        </w:rPr>
        <w:t xml:space="preserve"> Some moved into the wider Mediterranean and Near Eastern world, possibly encouraging the thriving of Alexandrian architecture in the Jordan area, seen around the last quarter of the first century B.C and onwards.</w:t>
      </w:r>
      <w:r w:rsidRPr="00BD2AB4">
        <w:rPr>
          <w:rFonts w:ascii="Times New Roman" w:hAnsi="Times New Roman" w:cs="Times New Roman"/>
          <w:sz w:val="24"/>
          <w:szCs w:val="24"/>
          <w:vertAlign w:val="superscript"/>
        </w:rPr>
        <w:footnoteReference w:id="122"/>
      </w:r>
    </w:p>
    <w:p w14:paraId="47682DBB" w14:textId="77777777"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Alexanders` initial attempt in unifying Persians and Macedonians under one rule was discontinued by his successors, who saw themselves primarily as Geeks and Macedonians, supporting the spread of Hellenistic culture, without following any public political agenda to spread Hellenization.</w:t>
      </w:r>
      <w:r w:rsidRPr="00BD2AB4">
        <w:rPr>
          <w:rFonts w:ascii="Times New Roman" w:hAnsi="Times New Roman" w:cs="Times New Roman"/>
          <w:sz w:val="24"/>
          <w:szCs w:val="24"/>
          <w:vertAlign w:val="superscript"/>
        </w:rPr>
        <w:footnoteReference w:id="123"/>
      </w:r>
      <w:r w:rsidRPr="00BD2AB4">
        <w:rPr>
          <w:rFonts w:ascii="Times New Roman" w:hAnsi="Times New Roman" w:cs="Times New Roman"/>
          <w:sz w:val="24"/>
          <w:szCs w:val="24"/>
        </w:rPr>
        <w:t xml:space="preserve"> On the other hand, a certain dependence on the sheer mass of Macedonian immigrants of influence existed, guaranteeing the dominance of Hellenistic culture and control.</w:t>
      </w:r>
      <w:r w:rsidRPr="00BD2AB4">
        <w:rPr>
          <w:rFonts w:ascii="Times New Roman" w:hAnsi="Times New Roman" w:cs="Times New Roman"/>
          <w:sz w:val="24"/>
          <w:szCs w:val="24"/>
          <w:vertAlign w:val="superscript"/>
        </w:rPr>
        <w:footnoteReference w:id="124"/>
      </w:r>
    </w:p>
    <w:p w14:paraId="18E8012C" w14:textId="5AAB19AF"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Hellenistic influences reached as far east as the river Oxus, across Egypt, India and previous territories of the Persians,</w:t>
      </w:r>
      <w:r w:rsidRPr="00BD2AB4">
        <w:rPr>
          <w:rFonts w:ascii="Times New Roman" w:hAnsi="Times New Roman" w:cs="Times New Roman"/>
          <w:sz w:val="24"/>
          <w:szCs w:val="24"/>
          <w:vertAlign w:val="superscript"/>
        </w:rPr>
        <w:footnoteReference w:id="125"/>
      </w:r>
      <w:r w:rsidRPr="00BD2AB4">
        <w:rPr>
          <w:rFonts w:ascii="Times New Roman" w:hAnsi="Times New Roman" w:cs="Times New Roman"/>
          <w:sz w:val="24"/>
          <w:szCs w:val="24"/>
        </w:rPr>
        <w:t xml:space="preserve"> often </w:t>
      </w:r>
      <w:r w:rsidR="000F2016" w:rsidRPr="00BD2AB4">
        <w:rPr>
          <w:rFonts w:ascii="Times New Roman" w:hAnsi="Times New Roman" w:cs="Times New Roman"/>
          <w:sz w:val="24"/>
          <w:szCs w:val="24"/>
        </w:rPr>
        <w:t>hybridising</w:t>
      </w:r>
      <w:r w:rsidRPr="00BD2AB4">
        <w:rPr>
          <w:rFonts w:ascii="Times New Roman" w:hAnsi="Times New Roman" w:cs="Times New Roman"/>
          <w:sz w:val="24"/>
          <w:szCs w:val="24"/>
        </w:rPr>
        <w:t xml:space="preserve"> with local styles it encountered.</w:t>
      </w:r>
      <w:r w:rsidRPr="00BD2AB4">
        <w:rPr>
          <w:rFonts w:ascii="Times New Roman" w:hAnsi="Times New Roman" w:cs="Times New Roman"/>
          <w:sz w:val="24"/>
          <w:szCs w:val="24"/>
          <w:vertAlign w:val="superscript"/>
        </w:rPr>
        <w:footnoteReference w:id="126"/>
      </w:r>
      <w:r w:rsidRPr="00BD2AB4">
        <w:rPr>
          <w:rFonts w:ascii="Times New Roman" w:hAnsi="Times New Roman" w:cs="Times New Roman"/>
          <w:sz w:val="24"/>
          <w:szCs w:val="24"/>
        </w:rPr>
        <w:t xml:space="preserve"> Almost all aspects of material culture were affected, elite and non- elite respectively.</w:t>
      </w:r>
      <w:r w:rsidRPr="00BD2AB4">
        <w:rPr>
          <w:rFonts w:ascii="Times New Roman" w:hAnsi="Times New Roman" w:cs="Times New Roman"/>
          <w:sz w:val="24"/>
          <w:szCs w:val="24"/>
          <w:vertAlign w:val="superscript"/>
        </w:rPr>
        <w:footnoteReference w:id="127"/>
      </w:r>
      <w:r w:rsidRPr="00BD2AB4">
        <w:rPr>
          <w:rFonts w:ascii="Times New Roman" w:hAnsi="Times New Roman" w:cs="Times New Roman"/>
          <w:sz w:val="24"/>
          <w:szCs w:val="24"/>
        </w:rPr>
        <w:t xml:space="preserve"> It was a time of great opportunity for Hellenistic artisans</w:t>
      </w:r>
      <w:r w:rsidR="00A02A97" w:rsidRPr="00BD2AB4">
        <w:rPr>
          <w:rFonts w:ascii="Times New Roman" w:hAnsi="Times New Roman" w:cs="Times New Roman"/>
          <w:sz w:val="24"/>
          <w:szCs w:val="24"/>
        </w:rPr>
        <w:t>, travelling t</w:t>
      </w:r>
      <w:r w:rsidR="000F2272" w:rsidRPr="00BD2AB4">
        <w:rPr>
          <w:rFonts w:ascii="Times New Roman" w:hAnsi="Times New Roman" w:cs="Times New Roman"/>
          <w:sz w:val="24"/>
          <w:szCs w:val="24"/>
        </w:rPr>
        <w:t>h</w:t>
      </w:r>
      <w:r w:rsidR="00A02A97" w:rsidRPr="00BD2AB4">
        <w:rPr>
          <w:rFonts w:ascii="Times New Roman" w:hAnsi="Times New Roman" w:cs="Times New Roman"/>
          <w:sz w:val="24"/>
          <w:szCs w:val="24"/>
        </w:rPr>
        <w:t>e Near East despite conflicts.</w:t>
      </w:r>
      <w:r w:rsidRPr="00BD2AB4">
        <w:rPr>
          <w:rFonts w:ascii="Times New Roman" w:hAnsi="Times New Roman" w:cs="Times New Roman"/>
          <w:sz w:val="24"/>
          <w:szCs w:val="24"/>
          <w:vertAlign w:val="superscript"/>
        </w:rPr>
        <w:footnoteReference w:id="128"/>
      </w:r>
      <w:r w:rsidRPr="00BD2AB4">
        <w:rPr>
          <w:rFonts w:ascii="Times New Roman" w:hAnsi="Times New Roman" w:cs="Times New Roman"/>
          <w:sz w:val="24"/>
          <w:szCs w:val="24"/>
        </w:rPr>
        <w:t xml:space="preserve"> This was a </w:t>
      </w:r>
      <w:r w:rsidR="000F2272" w:rsidRPr="00BD2AB4">
        <w:rPr>
          <w:rFonts w:ascii="Times New Roman" w:hAnsi="Times New Roman" w:cs="Times New Roman"/>
          <w:sz w:val="24"/>
          <w:szCs w:val="24"/>
        </w:rPr>
        <w:t xml:space="preserve">gradual </w:t>
      </w:r>
      <w:r w:rsidRPr="00BD2AB4">
        <w:rPr>
          <w:rFonts w:ascii="Times New Roman" w:hAnsi="Times New Roman" w:cs="Times New Roman"/>
          <w:sz w:val="24"/>
          <w:szCs w:val="24"/>
        </w:rPr>
        <w:t>process, with Greek architecture diffusing from urban centres under Hellenistic rule, into areas connected by trade.</w:t>
      </w:r>
      <w:r w:rsidRPr="00BD2AB4">
        <w:rPr>
          <w:rFonts w:ascii="Times New Roman" w:hAnsi="Times New Roman" w:cs="Times New Roman"/>
          <w:sz w:val="24"/>
          <w:szCs w:val="24"/>
          <w:vertAlign w:val="superscript"/>
        </w:rPr>
        <w:footnoteReference w:id="129"/>
      </w:r>
      <w:r w:rsidRPr="00BD2AB4">
        <w:rPr>
          <w:rFonts w:ascii="Times New Roman" w:hAnsi="Times New Roman" w:cs="Times New Roman"/>
          <w:sz w:val="24"/>
          <w:szCs w:val="24"/>
        </w:rPr>
        <w:t xml:space="preserve"> </w:t>
      </w:r>
    </w:p>
    <w:p w14:paraId="1781A911" w14:textId="396BE2A9"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Territories under Hellenistic rule would have seen Greek institutions replacing local ones, overseeing religious affairs, as well as the building of monumental architecture and monitoring trade with other urban areas.</w:t>
      </w:r>
      <w:r w:rsidRPr="00BD2AB4">
        <w:rPr>
          <w:rFonts w:ascii="Times New Roman" w:hAnsi="Times New Roman" w:cs="Times New Roman"/>
          <w:sz w:val="24"/>
          <w:szCs w:val="24"/>
          <w:vertAlign w:val="superscript"/>
        </w:rPr>
        <w:footnoteReference w:id="130"/>
      </w:r>
      <w:r w:rsidRPr="00BD2AB4">
        <w:rPr>
          <w:rFonts w:ascii="Times New Roman" w:hAnsi="Times New Roman" w:cs="Times New Roman"/>
          <w:sz w:val="24"/>
          <w:szCs w:val="24"/>
        </w:rPr>
        <w:t xml:space="preserve">  New found Hellenistic cities such as Alexandria in Egypt, Seleucia at the Tigris, Pergamum in </w:t>
      </w:r>
      <w:proofErr w:type="spellStart"/>
      <w:r w:rsidRPr="00BD2AB4">
        <w:rPr>
          <w:rFonts w:ascii="Times New Roman" w:hAnsi="Times New Roman" w:cs="Times New Roman"/>
          <w:sz w:val="24"/>
          <w:szCs w:val="24"/>
        </w:rPr>
        <w:t>Attalid</w:t>
      </w:r>
      <w:proofErr w:type="spellEnd"/>
      <w:r w:rsidRPr="00BD2AB4">
        <w:rPr>
          <w:rFonts w:ascii="Times New Roman" w:hAnsi="Times New Roman" w:cs="Times New Roman"/>
          <w:sz w:val="24"/>
          <w:szCs w:val="24"/>
        </w:rPr>
        <w:t xml:space="preserve"> and Antioch on the Orontes grew rapidly.</w:t>
      </w:r>
      <w:r w:rsidRPr="00BD2AB4">
        <w:rPr>
          <w:rFonts w:ascii="Times New Roman" w:hAnsi="Times New Roman" w:cs="Times New Roman"/>
          <w:sz w:val="24"/>
          <w:szCs w:val="24"/>
          <w:vertAlign w:val="superscript"/>
        </w:rPr>
        <w:footnoteReference w:id="131"/>
      </w:r>
      <w:r w:rsidRPr="00BD2AB4">
        <w:rPr>
          <w:rFonts w:ascii="Times New Roman" w:hAnsi="Times New Roman" w:cs="Times New Roman"/>
          <w:sz w:val="24"/>
          <w:szCs w:val="24"/>
        </w:rPr>
        <w:t xml:space="preserve"> Population numbers reached up to a 300,000 inhabitants, larger than any previously known Greek cit</w:t>
      </w:r>
      <w:r w:rsidR="00E207E7" w:rsidRPr="00BD2AB4">
        <w:rPr>
          <w:rFonts w:ascii="Times New Roman" w:hAnsi="Times New Roman" w:cs="Times New Roman"/>
          <w:sz w:val="24"/>
          <w:szCs w:val="24"/>
        </w:rPr>
        <w:t>y</w:t>
      </w:r>
      <w:r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32"/>
      </w:r>
      <w:r w:rsidRPr="00BD2AB4">
        <w:rPr>
          <w:rFonts w:ascii="Times New Roman" w:hAnsi="Times New Roman" w:cs="Times New Roman"/>
          <w:sz w:val="24"/>
          <w:szCs w:val="24"/>
        </w:rPr>
        <w:t xml:space="preserve"> Urban areas were the ideal centres for Hellenization, attracting large numbers of Mediterranean Greeks and Macedonians</w:t>
      </w:r>
      <w:r w:rsidR="000F2016"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33"/>
      </w:r>
      <w:r w:rsidR="000F2016" w:rsidRPr="00BD2AB4">
        <w:rPr>
          <w:rFonts w:ascii="Times New Roman" w:hAnsi="Times New Roman" w:cs="Times New Roman"/>
          <w:sz w:val="24"/>
          <w:szCs w:val="24"/>
        </w:rPr>
        <w:t xml:space="preserve"> as well as many peoples from around </w:t>
      </w:r>
      <w:r w:rsidR="00920C07" w:rsidRPr="00BD2AB4">
        <w:rPr>
          <w:rFonts w:ascii="Times New Roman" w:hAnsi="Times New Roman" w:cs="Times New Roman"/>
          <w:sz w:val="24"/>
          <w:szCs w:val="24"/>
        </w:rPr>
        <w:t>the Mediterranean world, due to its port location and importance in controlling trade.</w:t>
      </w:r>
      <w:r w:rsidR="00920C07" w:rsidRPr="00BD2AB4">
        <w:rPr>
          <w:rStyle w:val="Funotenzeichen"/>
          <w:rFonts w:ascii="Times New Roman" w:hAnsi="Times New Roman" w:cs="Times New Roman"/>
          <w:sz w:val="24"/>
          <w:szCs w:val="24"/>
        </w:rPr>
        <w:footnoteReference w:id="134"/>
      </w:r>
    </w:p>
    <w:p w14:paraId="643F9E81" w14:textId="77777777"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concept of syncretism is frequently applied to the combination of Near Eastern and Hellenistic culture, especially in the religious domain, which for instance applied to the dress code of Egyptian deities under Ptolemaic rule.</w:t>
      </w:r>
      <w:r w:rsidRPr="00BD2AB4">
        <w:rPr>
          <w:rFonts w:ascii="Times New Roman" w:hAnsi="Times New Roman" w:cs="Times New Roman"/>
          <w:sz w:val="24"/>
          <w:szCs w:val="24"/>
          <w:vertAlign w:val="superscript"/>
        </w:rPr>
        <w:footnoteReference w:id="135"/>
      </w:r>
      <w:r w:rsidRPr="00BD2AB4">
        <w:rPr>
          <w:rFonts w:ascii="Times New Roman" w:hAnsi="Times New Roman" w:cs="Times New Roman"/>
          <w:sz w:val="24"/>
          <w:szCs w:val="24"/>
        </w:rPr>
        <w:t xml:space="preserve"> </w:t>
      </w:r>
    </w:p>
    <w:p w14:paraId="77B0B6F1" w14:textId="678C9986"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Even regions not under direct Hellenistic control, but adjacent in territory, sought </w:t>
      </w:r>
      <w:r w:rsidR="007D292C" w:rsidRPr="00BD2AB4">
        <w:rPr>
          <w:rFonts w:ascii="Times New Roman" w:hAnsi="Times New Roman" w:cs="Times New Roman"/>
          <w:sz w:val="24"/>
          <w:szCs w:val="24"/>
        </w:rPr>
        <w:t>t</w:t>
      </w:r>
      <w:r w:rsidRPr="00BD2AB4">
        <w:rPr>
          <w:rFonts w:ascii="Times New Roman" w:hAnsi="Times New Roman" w:cs="Times New Roman"/>
          <w:sz w:val="24"/>
          <w:szCs w:val="24"/>
        </w:rPr>
        <w:t>o associate themselves with Hellenistic culture, as seen with the kingdom of Pontus.</w:t>
      </w:r>
      <w:r w:rsidRPr="00BD2AB4">
        <w:rPr>
          <w:rFonts w:ascii="Times New Roman" w:hAnsi="Times New Roman" w:cs="Times New Roman"/>
          <w:sz w:val="24"/>
          <w:szCs w:val="24"/>
          <w:vertAlign w:val="superscript"/>
        </w:rPr>
        <w:footnoteReference w:id="136"/>
      </w:r>
      <w:r w:rsidRPr="00BD2AB4">
        <w:rPr>
          <w:rFonts w:ascii="Times New Roman" w:hAnsi="Times New Roman" w:cs="Times New Roman"/>
          <w:sz w:val="24"/>
          <w:szCs w:val="24"/>
        </w:rPr>
        <w:t xml:space="preserve"> Their elite sought </w:t>
      </w:r>
      <w:r w:rsidRPr="00BD2AB4">
        <w:rPr>
          <w:rFonts w:ascii="Times New Roman" w:hAnsi="Times New Roman" w:cs="Times New Roman"/>
          <w:sz w:val="24"/>
          <w:szCs w:val="24"/>
        </w:rPr>
        <w:lastRenderedPageBreak/>
        <w:t>cultural relationships with the most influential cultures of the Near East, resulting in the taking on of Greek surnames, until the Romans became more influential, leading to the adoption of Roman honorific titles.</w:t>
      </w:r>
      <w:r w:rsidRPr="00BD2AB4">
        <w:rPr>
          <w:rFonts w:ascii="Times New Roman" w:hAnsi="Times New Roman" w:cs="Times New Roman"/>
          <w:sz w:val="24"/>
          <w:szCs w:val="24"/>
          <w:vertAlign w:val="superscript"/>
        </w:rPr>
        <w:footnoteReference w:id="137"/>
      </w:r>
      <w:r w:rsidRPr="00BD2AB4">
        <w:rPr>
          <w:rFonts w:ascii="Times New Roman" w:hAnsi="Times New Roman" w:cs="Times New Roman"/>
          <w:sz w:val="24"/>
          <w:szCs w:val="24"/>
        </w:rPr>
        <w:t xml:space="preserve"> </w:t>
      </w:r>
    </w:p>
    <w:p w14:paraId="516733F6" w14:textId="092D2664"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Some monumental architecture which spread more widely within the Hellenistic kingdoms included: Greek temples, civic buildings and market places.</w:t>
      </w:r>
      <w:r w:rsidRPr="00BD2AB4">
        <w:rPr>
          <w:rFonts w:ascii="Times New Roman" w:hAnsi="Times New Roman" w:cs="Times New Roman"/>
          <w:sz w:val="24"/>
          <w:szCs w:val="24"/>
          <w:vertAlign w:val="superscript"/>
        </w:rPr>
        <w:footnoteReference w:id="138"/>
      </w:r>
      <w:r w:rsidRPr="00BD2AB4">
        <w:rPr>
          <w:rFonts w:ascii="Times New Roman" w:hAnsi="Times New Roman" w:cs="Times New Roman"/>
          <w:sz w:val="24"/>
          <w:szCs w:val="24"/>
        </w:rPr>
        <w:t xml:space="preserve">  Many of these institutions, only permitted Greeks entry.</w:t>
      </w:r>
      <w:r w:rsidRPr="00BD2AB4">
        <w:rPr>
          <w:rFonts w:ascii="Times New Roman" w:hAnsi="Times New Roman" w:cs="Times New Roman"/>
          <w:sz w:val="24"/>
          <w:szCs w:val="24"/>
          <w:vertAlign w:val="superscript"/>
        </w:rPr>
        <w:footnoteReference w:id="139"/>
      </w:r>
      <w:r w:rsidRPr="00BD2AB4">
        <w:rPr>
          <w:rFonts w:ascii="Times New Roman" w:hAnsi="Times New Roman" w:cs="Times New Roman"/>
          <w:sz w:val="24"/>
          <w:szCs w:val="24"/>
        </w:rPr>
        <w:t xml:space="preserve"> Thus, architecture was a </w:t>
      </w:r>
      <w:r w:rsidR="007D292C" w:rsidRPr="00BD2AB4">
        <w:rPr>
          <w:rFonts w:ascii="Times New Roman" w:hAnsi="Times New Roman" w:cs="Times New Roman"/>
          <w:sz w:val="24"/>
          <w:szCs w:val="24"/>
        </w:rPr>
        <w:t>physical</w:t>
      </w:r>
      <w:r w:rsidRPr="00BD2AB4">
        <w:rPr>
          <w:rFonts w:ascii="Times New Roman" w:hAnsi="Times New Roman" w:cs="Times New Roman"/>
          <w:sz w:val="24"/>
          <w:szCs w:val="24"/>
        </w:rPr>
        <w:t xml:space="preserve"> manifesting of an elite supremacy which used Hellenism as their unifying marker, giving an incentive to a non-Greek elite to copy and include Hellenistic architectural features, in order to associate themselves with that supremacy.</w:t>
      </w:r>
    </w:p>
    <w:p w14:paraId="7F413A4E" w14:textId="77777777"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Consequentially, intermarriage between Greeks, Macedonians and the local population must have taken place on a larger scale than in previous cases of Greek colonisation, leading to much cultural interaction and acculturation on both sides.</w:t>
      </w:r>
      <w:r w:rsidRPr="00BD2AB4">
        <w:rPr>
          <w:rFonts w:ascii="Times New Roman" w:hAnsi="Times New Roman" w:cs="Times New Roman"/>
          <w:sz w:val="24"/>
          <w:szCs w:val="24"/>
          <w:vertAlign w:val="superscript"/>
        </w:rPr>
        <w:footnoteReference w:id="140"/>
      </w:r>
      <w:r w:rsidRPr="00BD2AB4">
        <w:rPr>
          <w:rFonts w:ascii="Times New Roman" w:hAnsi="Times New Roman" w:cs="Times New Roman"/>
          <w:sz w:val="24"/>
          <w:szCs w:val="24"/>
        </w:rPr>
        <w:t xml:space="preserve"> It became plain to see that if the locals wanted to rise politically and influentially, they needed to appear Greek to a degree, often subsequentially leading to a second Greek identity through dress, values and names.</w:t>
      </w:r>
      <w:r w:rsidRPr="00BD2AB4">
        <w:rPr>
          <w:rFonts w:ascii="Times New Roman" w:hAnsi="Times New Roman" w:cs="Times New Roman"/>
          <w:sz w:val="24"/>
          <w:szCs w:val="24"/>
          <w:vertAlign w:val="superscript"/>
        </w:rPr>
        <w:footnoteReference w:id="141"/>
      </w:r>
      <w:r w:rsidRPr="00BD2AB4">
        <w:rPr>
          <w:rFonts w:ascii="Times New Roman" w:hAnsi="Times New Roman" w:cs="Times New Roman"/>
          <w:sz w:val="24"/>
          <w:szCs w:val="24"/>
        </w:rPr>
        <w:t xml:space="preserve"> Gradually the result saw locals occupying high positions in society, as was the case with the stoic philosopher Zeno from Cyprus.</w:t>
      </w:r>
      <w:r w:rsidRPr="00BD2AB4">
        <w:rPr>
          <w:rFonts w:ascii="Times New Roman" w:hAnsi="Times New Roman" w:cs="Times New Roman"/>
          <w:sz w:val="24"/>
          <w:szCs w:val="24"/>
          <w:vertAlign w:val="superscript"/>
        </w:rPr>
        <w:footnoteReference w:id="142"/>
      </w:r>
    </w:p>
    <w:p w14:paraId="0466CFA8" w14:textId="330E2026"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To maintain control over their subjects, </w:t>
      </w:r>
      <w:r w:rsidR="007D292C" w:rsidRPr="00BD2AB4">
        <w:rPr>
          <w:rFonts w:ascii="Times New Roman" w:hAnsi="Times New Roman" w:cs="Times New Roman"/>
          <w:sz w:val="24"/>
          <w:szCs w:val="24"/>
        </w:rPr>
        <w:t>adjacent</w:t>
      </w:r>
      <w:r w:rsidRPr="00BD2AB4">
        <w:rPr>
          <w:rFonts w:ascii="Times New Roman" w:hAnsi="Times New Roman" w:cs="Times New Roman"/>
          <w:sz w:val="24"/>
          <w:szCs w:val="24"/>
        </w:rPr>
        <w:t xml:space="preserve"> elites would not blindly copy Hellenistic architecture, but maintain their own symbolic markers of superiority, inherited from associations with previous great powers, already established in the mindset of their cultures` </w:t>
      </w:r>
      <w:r w:rsidRPr="00BD2AB4">
        <w:rPr>
          <w:rFonts w:ascii="Times New Roman" w:hAnsi="Times New Roman" w:cs="Times New Roman"/>
          <w:sz w:val="24"/>
          <w:szCs w:val="24"/>
        </w:rPr>
        <w:lastRenderedPageBreak/>
        <w:t>identity.</w:t>
      </w:r>
      <w:r w:rsidRPr="00BD2AB4">
        <w:rPr>
          <w:rFonts w:ascii="Times New Roman" w:hAnsi="Times New Roman" w:cs="Times New Roman"/>
          <w:sz w:val="24"/>
          <w:szCs w:val="24"/>
          <w:vertAlign w:val="superscript"/>
        </w:rPr>
        <w:footnoteReference w:id="143"/>
      </w:r>
      <w:r w:rsidRPr="00BD2AB4">
        <w:rPr>
          <w:rFonts w:ascii="Times New Roman" w:hAnsi="Times New Roman" w:cs="Times New Roman"/>
          <w:sz w:val="24"/>
          <w:szCs w:val="24"/>
        </w:rPr>
        <w:t xml:space="preserve"> This deliberate act of selecting certain architectural features manifesting control, resulted in an elite material culture, often referred to as a hybrid style.</w:t>
      </w:r>
      <w:r w:rsidRPr="00BD2AB4">
        <w:rPr>
          <w:rFonts w:ascii="Times New Roman" w:hAnsi="Times New Roman" w:cs="Times New Roman"/>
          <w:sz w:val="24"/>
          <w:szCs w:val="24"/>
          <w:vertAlign w:val="superscript"/>
        </w:rPr>
        <w:footnoteReference w:id="144"/>
      </w:r>
    </w:p>
    <w:p w14:paraId="77390352" w14:textId="77777777" w:rsidR="00AC0057" w:rsidRPr="00BD2AB4" w:rsidRDefault="00AC0057" w:rsidP="00BD2AB4">
      <w:pPr>
        <w:spacing w:line="480" w:lineRule="auto"/>
        <w:rPr>
          <w:rFonts w:ascii="Times New Roman" w:hAnsi="Times New Roman" w:cs="Times New Roman"/>
          <w:sz w:val="24"/>
          <w:szCs w:val="24"/>
          <w:u w:val="single"/>
        </w:rPr>
      </w:pPr>
    </w:p>
    <w:p w14:paraId="61414FD5" w14:textId="77777777" w:rsidR="00AC0057" w:rsidRPr="00BD2AB4" w:rsidRDefault="00AC0057" w:rsidP="00BD2AB4">
      <w:pPr>
        <w:keepNext/>
        <w:keepLines/>
        <w:spacing w:before="40" w:after="0" w:line="480" w:lineRule="auto"/>
        <w:outlineLvl w:val="1"/>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t>Roman cultural influences</w:t>
      </w:r>
    </w:p>
    <w:p w14:paraId="21A07FB7" w14:textId="77777777" w:rsidR="00AC0057" w:rsidRPr="00BD2AB4" w:rsidRDefault="00AC0057" w:rsidP="00BD2AB4">
      <w:pPr>
        <w:spacing w:line="480" w:lineRule="auto"/>
        <w:rPr>
          <w:rFonts w:ascii="Times New Roman" w:hAnsi="Times New Roman" w:cs="Times New Roman"/>
          <w:sz w:val="24"/>
          <w:szCs w:val="24"/>
        </w:rPr>
      </w:pPr>
    </w:p>
    <w:p w14:paraId="25504116" w14:textId="224A1F13"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Roman influence, from the moment in which competition commenced with some of the Hellenistic kingdoms,</w:t>
      </w:r>
      <w:r w:rsidRPr="00BD2AB4">
        <w:rPr>
          <w:rFonts w:ascii="Times New Roman" w:hAnsi="Times New Roman" w:cs="Times New Roman"/>
          <w:sz w:val="24"/>
          <w:szCs w:val="24"/>
          <w:vertAlign w:val="superscript"/>
        </w:rPr>
        <w:footnoteReference w:id="145"/>
      </w:r>
      <w:r w:rsidRPr="00BD2AB4">
        <w:rPr>
          <w:rFonts w:ascii="Times New Roman" w:hAnsi="Times New Roman" w:cs="Times New Roman"/>
          <w:sz w:val="24"/>
          <w:szCs w:val="24"/>
        </w:rPr>
        <w:t xml:space="preserve"> was seen as `other`, non- Hellenistic influence. Despite similarities in Roman and Hellenistic architecture,</w:t>
      </w:r>
      <w:r w:rsidR="008509FB" w:rsidRPr="00BD2AB4">
        <w:rPr>
          <w:rFonts w:ascii="Times New Roman" w:hAnsi="Times New Roman" w:cs="Times New Roman"/>
          <w:sz w:val="24"/>
          <w:szCs w:val="24"/>
          <w:vertAlign w:val="superscript"/>
        </w:rPr>
        <w:t xml:space="preserve"> </w:t>
      </w:r>
      <w:r w:rsidR="008509FB" w:rsidRPr="00BD2AB4">
        <w:rPr>
          <w:rFonts w:ascii="Times New Roman" w:hAnsi="Times New Roman" w:cs="Times New Roman"/>
          <w:sz w:val="24"/>
          <w:szCs w:val="24"/>
          <w:vertAlign w:val="superscript"/>
        </w:rPr>
        <w:footnoteReference w:id="146"/>
      </w:r>
      <w:r w:rsidRPr="00BD2AB4">
        <w:rPr>
          <w:rFonts w:ascii="Times New Roman" w:hAnsi="Times New Roman" w:cs="Times New Roman"/>
          <w:sz w:val="24"/>
          <w:szCs w:val="24"/>
        </w:rPr>
        <w:t xml:space="preserve"> due to previous Hellenistic influences on Roman culture, the two were seen as more separate due to their power struggles.</w:t>
      </w:r>
    </w:p>
    <w:p w14:paraId="12DDA5E9" w14:textId="46CE923C"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Rome as a rising power, integrated the territories of Syria Palestine into their Empire in 62 B.C.</w:t>
      </w:r>
      <w:r w:rsidRPr="00BD2AB4">
        <w:rPr>
          <w:rFonts w:ascii="Times New Roman" w:hAnsi="Times New Roman" w:cs="Times New Roman"/>
          <w:sz w:val="24"/>
          <w:szCs w:val="24"/>
          <w:vertAlign w:val="superscript"/>
        </w:rPr>
        <w:footnoteReference w:id="147"/>
      </w:r>
      <w:r w:rsidR="007D292C" w:rsidRPr="00BD2AB4">
        <w:rPr>
          <w:rFonts w:ascii="Times New Roman" w:hAnsi="Times New Roman" w:cs="Times New Roman"/>
          <w:sz w:val="24"/>
          <w:szCs w:val="24"/>
        </w:rPr>
        <w:t xml:space="preserve"> and with the further spread of Roman influence, some Near Eastern elites sought to associate themselves with the Romans, culturally and by allying themselves.</w:t>
      </w:r>
      <w:r w:rsidR="007D292C" w:rsidRPr="00BD2AB4">
        <w:rPr>
          <w:rStyle w:val="Funotenzeichen"/>
          <w:rFonts w:ascii="Times New Roman" w:hAnsi="Times New Roman" w:cs="Times New Roman"/>
          <w:sz w:val="24"/>
          <w:szCs w:val="24"/>
        </w:rPr>
        <w:footnoteReference w:id="148"/>
      </w:r>
      <w:r w:rsidR="008C45C8" w:rsidRPr="00BD2AB4">
        <w:rPr>
          <w:rFonts w:ascii="Times New Roman" w:hAnsi="Times New Roman" w:cs="Times New Roman"/>
          <w:sz w:val="24"/>
          <w:szCs w:val="24"/>
        </w:rPr>
        <w:t xml:space="preserve"> However, as Nabataea ceased to exist politically in 106 A.D.</w:t>
      </w:r>
      <w:r w:rsidR="008509FB" w:rsidRPr="00BD2AB4">
        <w:rPr>
          <w:rStyle w:val="Funotenzeichen"/>
          <w:rFonts w:ascii="Times New Roman" w:hAnsi="Times New Roman" w:cs="Times New Roman"/>
          <w:sz w:val="24"/>
          <w:szCs w:val="24"/>
        </w:rPr>
        <w:footnoteReference w:id="149"/>
      </w:r>
      <w:r w:rsidR="008C45C8" w:rsidRPr="00BD2AB4">
        <w:rPr>
          <w:rFonts w:ascii="Times New Roman" w:hAnsi="Times New Roman" w:cs="Times New Roman"/>
          <w:sz w:val="24"/>
          <w:szCs w:val="24"/>
        </w:rPr>
        <w:t xml:space="preserve">, and most Nabataean tomb facades were built </w:t>
      </w:r>
      <w:r w:rsidR="008509FB" w:rsidRPr="00BD2AB4">
        <w:rPr>
          <w:rFonts w:ascii="Times New Roman" w:hAnsi="Times New Roman" w:cs="Times New Roman"/>
          <w:sz w:val="24"/>
          <w:szCs w:val="24"/>
        </w:rPr>
        <w:t>between the second century B.C. and first century A.D,</w:t>
      </w:r>
      <w:r w:rsidR="008509FB" w:rsidRPr="00BD2AB4">
        <w:rPr>
          <w:rStyle w:val="Funotenzeichen"/>
          <w:rFonts w:ascii="Times New Roman" w:hAnsi="Times New Roman" w:cs="Times New Roman"/>
          <w:sz w:val="24"/>
          <w:szCs w:val="24"/>
        </w:rPr>
        <w:footnoteReference w:id="150"/>
      </w:r>
      <w:r w:rsidR="008509FB" w:rsidRPr="00BD2AB4">
        <w:rPr>
          <w:rFonts w:ascii="Times New Roman" w:hAnsi="Times New Roman" w:cs="Times New Roman"/>
          <w:sz w:val="24"/>
          <w:szCs w:val="24"/>
        </w:rPr>
        <w:t xml:space="preserve"> there will be no discussion of Roman influence after this time. </w:t>
      </w:r>
    </w:p>
    <w:p w14:paraId="5C32A8F8" w14:textId="77777777" w:rsidR="00AC0057" w:rsidRPr="00BD2AB4" w:rsidRDefault="00AC0057" w:rsidP="00BD2AB4">
      <w:pPr>
        <w:spacing w:line="480" w:lineRule="auto"/>
        <w:rPr>
          <w:rFonts w:ascii="Times New Roman" w:hAnsi="Times New Roman" w:cs="Times New Roman"/>
          <w:b/>
          <w:sz w:val="24"/>
          <w:szCs w:val="24"/>
        </w:rPr>
      </w:pPr>
    </w:p>
    <w:p w14:paraId="1E891D52" w14:textId="77777777" w:rsidR="00AC0057" w:rsidRPr="00BD2AB4" w:rsidRDefault="00AC0057" w:rsidP="00BD2AB4">
      <w:pPr>
        <w:spacing w:line="480" w:lineRule="auto"/>
        <w:rPr>
          <w:rFonts w:ascii="Times New Roman" w:hAnsi="Times New Roman" w:cs="Times New Roman"/>
          <w:b/>
          <w:sz w:val="24"/>
          <w:szCs w:val="24"/>
        </w:rPr>
      </w:pPr>
    </w:p>
    <w:p w14:paraId="0D36837F" w14:textId="77777777" w:rsidR="00AC0057" w:rsidRPr="00BD2AB4" w:rsidRDefault="00AC0057" w:rsidP="00BD2AB4">
      <w:pPr>
        <w:spacing w:line="480" w:lineRule="auto"/>
        <w:rPr>
          <w:rFonts w:ascii="Times New Roman" w:hAnsi="Times New Roman" w:cs="Times New Roman"/>
          <w:b/>
          <w:sz w:val="24"/>
          <w:szCs w:val="24"/>
        </w:rPr>
      </w:pPr>
    </w:p>
    <w:p w14:paraId="7F5F5528" w14:textId="77777777" w:rsidR="00AC0057" w:rsidRPr="00BD2AB4" w:rsidRDefault="00AC0057" w:rsidP="00BD2AB4">
      <w:pPr>
        <w:keepNext/>
        <w:keepLines/>
        <w:spacing w:before="40" w:after="0" w:line="480" w:lineRule="auto"/>
        <w:outlineLvl w:val="1"/>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lastRenderedPageBreak/>
        <w:t xml:space="preserve">Arabic cultural influences </w:t>
      </w:r>
    </w:p>
    <w:p w14:paraId="0752DE50" w14:textId="77777777" w:rsidR="00AC0057" w:rsidRPr="00BD2AB4" w:rsidRDefault="00AC0057" w:rsidP="00BD2AB4">
      <w:pPr>
        <w:spacing w:line="480" w:lineRule="auto"/>
        <w:rPr>
          <w:rFonts w:ascii="Times New Roman" w:hAnsi="Times New Roman" w:cs="Times New Roman"/>
          <w:sz w:val="24"/>
          <w:szCs w:val="24"/>
        </w:rPr>
      </w:pPr>
    </w:p>
    <w:p w14:paraId="1127636E" w14:textId="1B957755"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Nabataeans were innovative regarding their farming as well as in hydraulic engineering,</w:t>
      </w:r>
      <w:r w:rsidRPr="00BD2AB4">
        <w:rPr>
          <w:rFonts w:ascii="Times New Roman" w:hAnsi="Times New Roman" w:cs="Times New Roman"/>
          <w:sz w:val="24"/>
          <w:szCs w:val="24"/>
          <w:vertAlign w:val="superscript"/>
        </w:rPr>
        <w:footnoteReference w:id="151"/>
      </w:r>
      <w:r w:rsidRPr="00BD2AB4">
        <w:rPr>
          <w:rFonts w:ascii="Times New Roman" w:hAnsi="Times New Roman" w:cs="Times New Roman"/>
          <w:sz w:val="24"/>
          <w:szCs w:val="24"/>
        </w:rPr>
        <w:t xml:space="preserve">  which led to Taylors` 2002</w:t>
      </w:r>
      <w:r w:rsidRPr="00BD2AB4">
        <w:rPr>
          <w:rFonts w:ascii="Times New Roman" w:hAnsi="Times New Roman" w:cs="Times New Roman"/>
          <w:sz w:val="24"/>
          <w:szCs w:val="24"/>
          <w:vertAlign w:val="superscript"/>
        </w:rPr>
        <w:footnoteReference w:id="152"/>
      </w:r>
      <w:r w:rsidRPr="00BD2AB4">
        <w:rPr>
          <w:rFonts w:ascii="Times New Roman" w:hAnsi="Times New Roman" w:cs="Times New Roman"/>
          <w:sz w:val="24"/>
          <w:szCs w:val="24"/>
        </w:rPr>
        <w:t xml:space="preserve"> suggestion that the Nabataeans might have had some help in acquiring these skills.</w:t>
      </w:r>
      <w:r w:rsidRPr="00BD2AB4">
        <w:rPr>
          <w:rFonts w:ascii="Times New Roman" w:hAnsi="Times New Roman" w:cs="Times New Roman"/>
          <w:sz w:val="24"/>
          <w:szCs w:val="24"/>
          <w:vertAlign w:val="superscript"/>
        </w:rPr>
        <w:footnoteReference w:id="153"/>
      </w:r>
      <w:r w:rsidRPr="00BD2AB4">
        <w:rPr>
          <w:rFonts w:ascii="Times New Roman" w:hAnsi="Times New Roman" w:cs="Times New Roman"/>
          <w:sz w:val="24"/>
          <w:szCs w:val="24"/>
        </w:rPr>
        <w:t xml:space="preserve"> Such abilities were known earlier to be an asset of the Saba, another but earlier Arab tribe located to the south, sophisticated in their agricultural and water planning skills.</w:t>
      </w:r>
      <w:r w:rsidRPr="00BD2AB4">
        <w:rPr>
          <w:rFonts w:ascii="Times New Roman" w:hAnsi="Times New Roman" w:cs="Times New Roman"/>
          <w:sz w:val="24"/>
          <w:szCs w:val="24"/>
          <w:vertAlign w:val="superscript"/>
        </w:rPr>
        <w:footnoteReference w:id="154"/>
      </w:r>
      <w:r w:rsidRPr="00BD2AB4">
        <w:rPr>
          <w:rFonts w:ascii="Times New Roman" w:hAnsi="Times New Roman" w:cs="Times New Roman"/>
          <w:sz w:val="24"/>
          <w:szCs w:val="24"/>
        </w:rPr>
        <w:t xml:space="preserve"> Through cultural interaction, a diffusion of knowledge and its adaptation to Nabatean requirements and </w:t>
      </w:r>
      <w:r w:rsidR="008509FB" w:rsidRPr="00BD2AB4">
        <w:rPr>
          <w:rFonts w:ascii="Times New Roman" w:hAnsi="Times New Roman" w:cs="Times New Roman"/>
          <w:sz w:val="24"/>
          <w:szCs w:val="24"/>
        </w:rPr>
        <w:t>environment</w:t>
      </w:r>
      <w:r w:rsidRPr="00BD2AB4">
        <w:rPr>
          <w:rFonts w:ascii="Times New Roman" w:hAnsi="Times New Roman" w:cs="Times New Roman"/>
          <w:sz w:val="24"/>
          <w:szCs w:val="24"/>
        </w:rPr>
        <w:t xml:space="preserve"> could have taken place.</w:t>
      </w:r>
      <w:r w:rsidRPr="00BD2AB4">
        <w:rPr>
          <w:rFonts w:ascii="Times New Roman" w:hAnsi="Times New Roman" w:cs="Times New Roman"/>
          <w:sz w:val="24"/>
          <w:szCs w:val="24"/>
          <w:vertAlign w:val="superscript"/>
        </w:rPr>
        <w:footnoteReference w:id="155"/>
      </w:r>
      <w:r w:rsidRPr="00BD2AB4">
        <w:rPr>
          <w:rFonts w:ascii="Times New Roman" w:hAnsi="Times New Roman" w:cs="Times New Roman"/>
          <w:sz w:val="24"/>
          <w:szCs w:val="24"/>
        </w:rPr>
        <w:t xml:space="preserve"> </w:t>
      </w:r>
    </w:p>
    <w:p w14:paraId="2F1E2790" w14:textId="500FA6DC" w:rsidR="00AC0057" w:rsidRPr="00BD2AB4" w:rsidRDefault="00AC0057"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kingdom of Saba and its later capital of </w:t>
      </w:r>
      <w:proofErr w:type="spellStart"/>
      <w:r w:rsidRPr="00BD2AB4">
        <w:rPr>
          <w:rFonts w:ascii="Times New Roman" w:hAnsi="Times New Roman" w:cs="Times New Roman"/>
          <w:sz w:val="24"/>
          <w:szCs w:val="24"/>
        </w:rPr>
        <w:t>Marib</w:t>
      </w:r>
      <w:proofErr w:type="spellEnd"/>
      <w:r w:rsidRPr="00BD2AB4">
        <w:rPr>
          <w:rFonts w:ascii="Times New Roman" w:hAnsi="Times New Roman" w:cs="Times New Roman"/>
          <w:sz w:val="24"/>
          <w:szCs w:val="24"/>
        </w:rPr>
        <w:t xml:space="preserve"> might have inspired and required the Nabataean transition into a partially sedentary society, out of the need to compete with a society that must have partially drawn its` organisational advantages from building sedentary trading centres from which to supply the needs for long distance trade.</w:t>
      </w:r>
      <w:r w:rsidRPr="00BD2AB4">
        <w:rPr>
          <w:rFonts w:ascii="Times New Roman" w:hAnsi="Times New Roman" w:cs="Times New Roman"/>
          <w:sz w:val="24"/>
          <w:szCs w:val="24"/>
          <w:vertAlign w:val="superscript"/>
        </w:rPr>
        <w:footnoteReference w:id="156"/>
      </w:r>
      <w:r w:rsidRPr="00BD2AB4">
        <w:rPr>
          <w:rFonts w:ascii="Times New Roman" w:hAnsi="Times New Roman" w:cs="Times New Roman"/>
          <w:sz w:val="24"/>
          <w:szCs w:val="24"/>
        </w:rPr>
        <w:t xml:space="preserve"> Thus the need to compete and adapt to new circumstances may have led to cities such as Petra.</w:t>
      </w:r>
    </w:p>
    <w:p w14:paraId="32E0866C" w14:textId="3A621BAC" w:rsidR="00AC0057" w:rsidRPr="00BD2AB4" w:rsidRDefault="008509FB"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F</w:t>
      </w:r>
      <w:r w:rsidR="00AC0057" w:rsidRPr="00BD2AB4">
        <w:rPr>
          <w:rFonts w:ascii="Times New Roman" w:hAnsi="Times New Roman" w:cs="Times New Roman"/>
          <w:sz w:val="24"/>
          <w:szCs w:val="24"/>
        </w:rPr>
        <w:t xml:space="preserve">ew other Arabic tribes, namely the people of </w:t>
      </w:r>
      <w:proofErr w:type="spellStart"/>
      <w:r w:rsidR="00AC0057" w:rsidRPr="00BD2AB4">
        <w:rPr>
          <w:rFonts w:ascii="Times New Roman" w:hAnsi="Times New Roman" w:cs="Times New Roman"/>
          <w:sz w:val="24"/>
          <w:szCs w:val="24"/>
        </w:rPr>
        <w:t>Hadhramut</w:t>
      </w:r>
      <w:proofErr w:type="spellEnd"/>
      <w:r w:rsidR="00AC0057" w:rsidRPr="00BD2AB4">
        <w:rPr>
          <w:rFonts w:ascii="Times New Roman" w:hAnsi="Times New Roman" w:cs="Times New Roman"/>
          <w:sz w:val="24"/>
          <w:szCs w:val="24"/>
        </w:rPr>
        <w:t xml:space="preserve">, Ma in and </w:t>
      </w:r>
      <w:proofErr w:type="spellStart"/>
      <w:r w:rsidR="00AC0057" w:rsidRPr="00BD2AB4">
        <w:rPr>
          <w:rFonts w:ascii="Times New Roman" w:hAnsi="Times New Roman" w:cs="Times New Roman"/>
          <w:sz w:val="24"/>
          <w:szCs w:val="24"/>
        </w:rPr>
        <w:t>Quataban</w:t>
      </w:r>
      <w:proofErr w:type="spellEnd"/>
      <w:r w:rsidR="00AC0057" w:rsidRPr="00BD2AB4">
        <w:rPr>
          <w:rFonts w:ascii="Times New Roman" w:hAnsi="Times New Roman" w:cs="Times New Roman"/>
          <w:sz w:val="24"/>
          <w:szCs w:val="24"/>
        </w:rPr>
        <w:t xml:space="preserve"> were also involved in trade, advanced water technology and architectural designs.</w:t>
      </w:r>
      <w:r w:rsidR="00AC0057" w:rsidRPr="00BD2AB4">
        <w:rPr>
          <w:rFonts w:ascii="Times New Roman" w:hAnsi="Times New Roman" w:cs="Times New Roman"/>
          <w:sz w:val="24"/>
          <w:szCs w:val="24"/>
          <w:vertAlign w:val="superscript"/>
        </w:rPr>
        <w:footnoteReference w:id="157"/>
      </w:r>
      <w:r w:rsidR="00AC0057" w:rsidRPr="00BD2AB4">
        <w:rPr>
          <w:rFonts w:ascii="Times New Roman" w:hAnsi="Times New Roman" w:cs="Times New Roman"/>
          <w:sz w:val="24"/>
          <w:szCs w:val="24"/>
        </w:rPr>
        <w:t xml:space="preserve"> </w:t>
      </w:r>
    </w:p>
    <w:p w14:paraId="6E9DB670" w14:textId="3C816A1E" w:rsidR="00A70297" w:rsidRPr="00BD2AB4" w:rsidRDefault="008509FB"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Considering all these major cultural influences, clearly demonstrates, that Nabataea could not have isolated itself from the many cultural opportunities </w:t>
      </w:r>
      <w:r w:rsidR="00792A1C" w:rsidRPr="00BD2AB4">
        <w:rPr>
          <w:rFonts w:ascii="Times New Roman" w:hAnsi="Times New Roman" w:cs="Times New Roman"/>
          <w:sz w:val="24"/>
          <w:szCs w:val="24"/>
        </w:rPr>
        <w:t>that would have presented themselves, especially through the extensive Nabataean engagement in trade.</w:t>
      </w:r>
      <w:r w:rsidR="00792A1C" w:rsidRPr="00BD2AB4">
        <w:rPr>
          <w:rStyle w:val="Funotenzeichen"/>
          <w:rFonts w:ascii="Times New Roman" w:hAnsi="Times New Roman" w:cs="Times New Roman"/>
          <w:sz w:val="24"/>
          <w:szCs w:val="24"/>
        </w:rPr>
        <w:footnoteReference w:id="158"/>
      </w:r>
    </w:p>
    <w:p w14:paraId="549529DE" w14:textId="77777777" w:rsidR="00792A1C" w:rsidRPr="00BD2AB4" w:rsidRDefault="00792A1C" w:rsidP="00BD2AB4">
      <w:pPr>
        <w:spacing w:line="480" w:lineRule="auto"/>
        <w:rPr>
          <w:rFonts w:ascii="Times New Roman" w:hAnsi="Times New Roman" w:cs="Times New Roman"/>
          <w:sz w:val="24"/>
          <w:szCs w:val="24"/>
        </w:rPr>
      </w:pPr>
    </w:p>
    <w:p w14:paraId="6FBDDA5E" w14:textId="77777777" w:rsidR="00A70297" w:rsidRPr="00BD2AB4" w:rsidRDefault="00A70297" w:rsidP="00BD2AB4">
      <w:pPr>
        <w:spacing w:line="480" w:lineRule="auto"/>
        <w:rPr>
          <w:rFonts w:ascii="Times New Roman" w:hAnsi="Times New Roman" w:cs="Times New Roman"/>
          <w:sz w:val="24"/>
          <w:szCs w:val="24"/>
        </w:rPr>
      </w:pPr>
    </w:p>
    <w:p w14:paraId="0182481A" w14:textId="2FA91B43" w:rsidR="00792A1C" w:rsidRPr="00BD2AB4" w:rsidRDefault="00792A1C" w:rsidP="00BD2AB4">
      <w:pPr>
        <w:keepNext/>
        <w:keepLines/>
        <w:spacing w:before="240" w:after="0" w:line="480" w:lineRule="auto"/>
        <w:outlineLvl w:val="0"/>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t xml:space="preserve">Chapter 4:                             </w:t>
      </w:r>
      <w:r w:rsidR="00CD50DE" w:rsidRPr="00BD2AB4">
        <w:rPr>
          <w:rFonts w:ascii="Times New Roman" w:hAnsi="Times New Roman" w:cs="Times New Roman"/>
          <w:b/>
          <w:sz w:val="24"/>
          <w:szCs w:val="24"/>
          <w:u w:val="single"/>
        </w:rPr>
        <w:t>Nabataean religion and funerary rites</w:t>
      </w:r>
    </w:p>
    <w:p w14:paraId="7E14BBBF" w14:textId="77777777" w:rsidR="00792A1C" w:rsidRPr="00BD2AB4" w:rsidRDefault="00792A1C" w:rsidP="00BD2AB4">
      <w:pPr>
        <w:spacing w:line="480" w:lineRule="auto"/>
        <w:rPr>
          <w:rFonts w:ascii="Times New Roman" w:hAnsi="Times New Roman" w:cs="Times New Roman"/>
          <w:sz w:val="24"/>
          <w:szCs w:val="24"/>
        </w:rPr>
      </w:pPr>
    </w:p>
    <w:p w14:paraId="7C739854" w14:textId="21E7FC76"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Nabataean religion represents </w:t>
      </w:r>
      <w:r w:rsidR="003D001A" w:rsidRPr="00BD2AB4">
        <w:rPr>
          <w:rFonts w:ascii="Times New Roman" w:hAnsi="Times New Roman" w:cs="Times New Roman"/>
          <w:sz w:val="24"/>
          <w:szCs w:val="24"/>
        </w:rPr>
        <w:t>a very complex field and is only required in association with the tomb facades,</w:t>
      </w:r>
      <w:r w:rsidRPr="00BD2AB4">
        <w:rPr>
          <w:rFonts w:ascii="Times New Roman" w:hAnsi="Times New Roman" w:cs="Times New Roman"/>
          <w:sz w:val="24"/>
          <w:szCs w:val="24"/>
        </w:rPr>
        <w:t xml:space="preserve"> thus only a quick overview regarding its connection to funerary beliefs will be given, tying into some concept of cross-cultural interaction, while showing a correlation with Nabataean tomb architecture.</w:t>
      </w:r>
    </w:p>
    <w:p w14:paraId="3CAF2FDC" w14:textId="5347C7B1" w:rsidR="00792A1C" w:rsidRPr="00BD2AB4" w:rsidRDefault="00792A1C" w:rsidP="00BD2AB4">
      <w:pPr>
        <w:spacing w:line="480" w:lineRule="auto"/>
        <w:rPr>
          <w:rFonts w:ascii="Times New Roman" w:hAnsi="Times New Roman" w:cs="Times New Roman"/>
          <w:sz w:val="24"/>
          <w:szCs w:val="24"/>
        </w:rPr>
      </w:pPr>
    </w:p>
    <w:p w14:paraId="03C4C2BF" w14:textId="5D3F375C" w:rsidR="00792A1C" w:rsidRPr="00BD2AB4" w:rsidRDefault="00792A1C" w:rsidP="00BD2AB4">
      <w:pPr>
        <w:spacing w:line="480" w:lineRule="auto"/>
        <w:rPr>
          <w:rFonts w:ascii="Times New Roman" w:hAnsi="Times New Roman" w:cs="Times New Roman"/>
          <w:sz w:val="24"/>
          <w:szCs w:val="24"/>
          <w:u w:val="single"/>
        </w:rPr>
      </w:pPr>
      <w:r w:rsidRPr="00BD2AB4">
        <w:rPr>
          <w:rFonts w:ascii="Times New Roman" w:hAnsi="Times New Roman" w:cs="Times New Roman"/>
          <w:sz w:val="24"/>
          <w:szCs w:val="24"/>
          <w:u w:val="single"/>
        </w:rPr>
        <w:t>Religious belief</w:t>
      </w:r>
    </w:p>
    <w:p w14:paraId="79A7C353" w14:textId="77777777"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Overall, it appears that the Nabataeans possessed a Semitic- Arab core belief, suited for a pastoralist lifestyle,</w:t>
      </w:r>
      <w:r w:rsidRPr="00BD2AB4">
        <w:rPr>
          <w:rFonts w:ascii="Times New Roman" w:hAnsi="Times New Roman" w:cs="Times New Roman"/>
          <w:sz w:val="24"/>
          <w:szCs w:val="24"/>
          <w:vertAlign w:val="superscript"/>
        </w:rPr>
        <w:footnoteReference w:id="159"/>
      </w:r>
      <w:r w:rsidRPr="00BD2AB4">
        <w:rPr>
          <w:rFonts w:ascii="Times New Roman" w:hAnsi="Times New Roman" w:cs="Times New Roman"/>
          <w:sz w:val="24"/>
          <w:szCs w:val="24"/>
        </w:rPr>
        <w:t xml:space="preserve"> influenced by incoming religions, leading to the construction of temple sites and the occasional anthropomorphic representations of their deities.</w:t>
      </w:r>
      <w:r w:rsidRPr="00BD2AB4">
        <w:rPr>
          <w:rFonts w:ascii="Times New Roman" w:hAnsi="Times New Roman" w:cs="Times New Roman"/>
          <w:sz w:val="24"/>
          <w:szCs w:val="24"/>
          <w:vertAlign w:val="superscript"/>
        </w:rPr>
        <w:footnoteReference w:id="160"/>
      </w:r>
      <w:r w:rsidRPr="00BD2AB4">
        <w:rPr>
          <w:rFonts w:ascii="Times New Roman" w:hAnsi="Times New Roman" w:cs="Times New Roman"/>
          <w:sz w:val="24"/>
          <w:szCs w:val="24"/>
        </w:rPr>
        <w:t xml:space="preserve"> This led to an adoption of several foreign religious elements, introduced through cultural interaction, seemingly without replacing Nabataean core beliefs and representations.</w:t>
      </w:r>
      <w:r w:rsidRPr="00BD2AB4">
        <w:rPr>
          <w:rFonts w:ascii="Times New Roman" w:hAnsi="Times New Roman" w:cs="Times New Roman"/>
          <w:sz w:val="24"/>
          <w:szCs w:val="24"/>
          <w:vertAlign w:val="superscript"/>
        </w:rPr>
        <w:footnoteReference w:id="161"/>
      </w:r>
      <w:r w:rsidRPr="00BD2AB4">
        <w:rPr>
          <w:rFonts w:ascii="Times New Roman" w:hAnsi="Times New Roman" w:cs="Times New Roman"/>
          <w:sz w:val="24"/>
          <w:szCs w:val="24"/>
        </w:rPr>
        <w:t xml:space="preserve"> Among the many deities adopted by the Nabataeans were </w:t>
      </w:r>
      <w:proofErr w:type="spellStart"/>
      <w:r w:rsidRPr="00BD2AB4">
        <w:rPr>
          <w:rFonts w:ascii="Times New Roman" w:hAnsi="Times New Roman" w:cs="Times New Roman"/>
          <w:sz w:val="24"/>
          <w:szCs w:val="24"/>
        </w:rPr>
        <w:t>Manutu</w:t>
      </w:r>
      <w:proofErr w:type="spellEnd"/>
      <w:r w:rsidRPr="00BD2AB4">
        <w:rPr>
          <w:rFonts w:ascii="Times New Roman" w:hAnsi="Times New Roman" w:cs="Times New Roman"/>
          <w:sz w:val="24"/>
          <w:szCs w:val="24"/>
        </w:rPr>
        <w:t xml:space="preserve">, popular at Palmyra, and </w:t>
      </w:r>
      <w:proofErr w:type="spellStart"/>
      <w:r w:rsidRPr="00BD2AB4">
        <w:rPr>
          <w:rFonts w:ascii="Times New Roman" w:hAnsi="Times New Roman" w:cs="Times New Roman"/>
          <w:sz w:val="24"/>
          <w:szCs w:val="24"/>
        </w:rPr>
        <w:t>Manah</w:t>
      </w:r>
      <w:proofErr w:type="spellEnd"/>
      <w:r w:rsidRPr="00BD2AB4">
        <w:rPr>
          <w:rFonts w:ascii="Times New Roman" w:hAnsi="Times New Roman" w:cs="Times New Roman"/>
          <w:sz w:val="24"/>
          <w:szCs w:val="24"/>
        </w:rPr>
        <w:t xml:space="preserve">, a goddess of great importance to many Arab tribes, especially the neighbouring </w:t>
      </w:r>
      <w:proofErr w:type="spellStart"/>
      <w:r w:rsidRPr="00BD2AB4">
        <w:rPr>
          <w:rFonts w:ascii="Times New Roman" w:hAnsi="Times New Roman" w:cs="Times New Roman"/>
          <w:sz w:val="24"/>
          <w:szCs w:val="24"/>
        </w:rPr>
        <w:t>Safaits</w:t>
      </w:r>
      <w:proofErr w:type="spellEnd"/>
      <w:r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t xml:space="preserve"> </w:t>
      </w:r>
      <w:r w:rsidRPr="00BD2AB4">
        <w:rPr>
          <w:rFonts w:ascii="Times New Roman" w:hAnsi="Times New Roman" w:cs="Times New Roman"/>
          <w:sz w:val="24"/>
          <w:szCs w:val="24"/>
          <w:vertAlign w:val="superscript"/>
        </w:rPr>
        <w:footnoteReference w:id="162"/>
      </w:r>
    </w:p>
    <w:p w14:paraId="33FD4E40" w14:textId="286475AC"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Nabataean religious life appeared to have been highly personalized and dominantly carried out in small social groups,</w:t>
      </w:r>
      <w:r w:rsidRPr="00BD2AB4">
        <w:rPr>
          <w:rFonts w:ascii="Times New Roman" w:hAnsi="Times New Roman" w:cs="Times New Roman"/>
          <w:sz w:val="24"/>
          <w:szCs w:val="24"/>
          <w:vertAlign w:val="superscript"/>
        </w:rPr>
        <w:footnoteReference w:id="163"/>
      </w:r>
      <w:r w:rsidRPr="00BD2AB4">
        <w:rPr>
          <w:rFonts w:ascii="Times New Roman" w:hAnsi="Times New Roman" w:cs="Times New Roman"/>
          <w:sz w:val="24"/>
          <w:szCs w:val="24"/>
        </w:rPr>
        <w:t xml:space="preserve"> with individual families dedicating sanctuaries to a particular deity associated with th</w:t>
      </w:r>
      <w:r w:rsidR="00AC21A0" w:rsidRPr="00BD2AB4">
        <w:rPr>
          <w:rFonts w:ascii="Times New Roman" w:hAnsi="Times New Roman" w:cs="Times New Roman"/>
          <w:sz w:val="24"/>
          <w:szCs w:val="24"/>
        </w:rPr>
        <w:t>is family</w:t>
      </w:r>
      <w:r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64"/>
      </w:r>
      <w:r w:rsidRPr="00BD2AB4">
        <w:rPr>
          <w:rFonts w:ascii="Times New Roman" w:hAnsi="Times New Roman" w:cs="Times New Roman"/>
          <w:sz w:val="24"/>
          <w:szCs w:val="24"/>
        </w:rPr>
        <w:t xml:space="preserve">  The tendency to act in family groups was also expressed </w:t>
      </w:r>
      <w:r w:rsidRPr="00BD2AB4">
        <w:rPr>
          <w:rFonts w:ascii="Times New Roman" w:hAnsi="Times New Roman" w:cs="Times New Roman"/>
          <w:sz w:val="24"/>
          <w:szCs w:val="24"/>
        </w:rPr>
        <w:lastRenderedPageBreak/>
        <w:t>through Nabataean funerary beliefs, were members of the same elite or royal family would have been buried in the same tomb.</w:t>
      </w:r>
      <w:r w:rsidRPr="00BD2AB4">
        <w:rPr>
          <w:rFonts w:ascii="Times New Roman" w:hAnsi="Times New Roman" w:cs="Times New Roman"/>
          <w:sz w:val="24"/>
          <w:szCs w:val="24"/>
          <w:vertAlign w:val="superscript"/>
        </w:rPr>
        <w:footnoteReference w:id="165"/>
      </w:r>
    </w:p>
    <w:p w14:paraId="17AFB3E9" w14:textId="5C8D4814"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principle deity of the Nabataeans</w:t>
      </w:r>
      <w:r w:rsidR="00AC21A0" w:rsidRPr="00BD2AB4">
        <w:rPr>
          <w:rFonts w:ascii="Times New Roman" w:hAnsi="Times New Roman" w:cs="Times New Roman"/>
          <w:sz w:val="24"/>
          <w:szCs w:val="24"/>
        </w:rPr>
        <w:t>,</w:t>
      </w:r>
      <w:r w:rsidRPr="00BD2AB4">
        <w:rPr>
          <w:rFonts w:ascii="Times New Roman" w:hAnsi="Times New Roman" w:cs="Times New Roman"/>
          <w:sz w:val="24"/>
          <w:szCs w:val="24"/>
        </w:rPr>
        <w:t xml:space="preserve"> was </w:t>
      </w:r>
      <w:proofErr w:type="spellStart"/>
      <w:r w:rsidRPr="00BD2AB4">
        <w:rPr>
          <w:rFonts w:ascii="Times New Roman" w:hAnsi="Times New Roman" w:cs="Times New Roman"/>
          <w:sz w:val="24"/>
          <w:szCs w:val="24"/>
        </w:rPr>
        <w:t>Dushara</w:t>
      </w:r>
      <w:proofErr w:type="spellEnd"/>
      <w:r w:rsidRPr="00BD2AB4">
        <w:rPr>
          <w:rFonts w:ascii="Times New Roman" w:hAnsi="Times New Roman" w:cs="Times New Roman"/>
          <w:sz w:val="24"/>
          <w:szCs w:val="24"/>
        </w:rPr>
        <w:t>, translated into path, mountain or land,</w:t>
      </w:r>
      <w:r w:rsidRPr="00BD2AB4">
        <w:rPr>
          <w:rFonts w:ascii="Times New Roman" w:hAnsi="Times New Roman" w:cs="Times New Roman"/>
          <w:sz w:val="24"/>
          <w:szCs w:val="24"/>
          <w:vertAlign w:val="superscript"/>
        </w:rPr>
        <w:footnoteReference w:id="166"/>
      </w:r>
      <w:r w:rsidRPr="00BD2AB4">
        <w:rPr>
          <w:rFonts w:ascii="Times New Roman" w:hAnsi="Times New Roman" w:cs="Times New Roman"/>
          <w:sz w:val="24"/>
          <w:szCs w:val="24"/>
        </w:rPr>
        <w:t xml:space="preserve"> who possibly originated near Petra, referring to an important landmark.</w:t>
      </w:r>
      <w:r w:rsidRPr="00BD2AB4">
        <w:rPr>
          <w:rFonts w:ascii="Times New Roman" w:hAnsi="Times New Roman" w:cs="Times New Roman"/>
          <w:sz w:val="24"/>
          <w:szCs w:val="24"/>
          <w:vertAlign w:val="superscript"/>
        </w:rPr>
        <w:footnoteReference w:id="167"/>
      </w:r>
    </w:p>
    <w:p w14:paraId="4A95B022" w14:textId="367219EB" w:rsidR="00792A1C" w:rsidRPr="00BD2AB4" w:rsidRDefault="00792A1C" w:rsidP="00BD2AB4">
      <w:pPr>
        <w:spacing w:line="480" w:lineRule="auto"/>
        <w:rPr>
          <w:rFonts w:ascii="Times New Roman" w:hAnsi="Times New Roman" w:cs="Times New Roman"/>
          <w:sz w:val="24"/>
          <w:szCs w:val="24"/>
        </w:rPr>
      </w:pPr>
      <w:proofErr w:type="spellStart"/>
      <w:r w:rsidRPr="00BD2AB4">
        <w:rPr>
          <w:rFonts w:ascii="Times New Roman" w:hAnsi="Times New Roman" w:cs="Times New Roman"/>
          <w:sz w:val="24"/>
          <w:szCs w:val="24"/>
        </w:rPr>
        <w:t>Dushara</w:t>
      </w:r>
      <w:proofErr w:type="spellEnd"/>
      <w:r w:rsidRPr="00BD2AB4">
        <w:rPr>
          <w:rFonts w:ascii="Times New Roman" w:hAnsi="Times New Roman" w:cs="Times New Roman"/>
          <w:sz w:val="24"/>
          <w:szCs w:val="24"/>
        </w:rPr>
        <w:t xml:space="preserve"> ha</w:t>
      </w:r>
      <w:r w:rsidR="00AC21A0" w:rsidRPr="00BD2AB4">
        <w:rPr>
          <w:rFonts w:ascii="Times New Roman" w:hAnsi="Times New Roman" w:cs="Times New Roman"/>
          <w:sz w:val="24"/>
          <w:szCs w:val="24"/>
        </w:rPr>
        <w:t>s</w:t>
      </w:r>
      <w:r w:rsidRPr="00BD2AB4">
        <w:rPr>
          <w:rFonts w:ascii="Times New Roman" w:hAnsi="Times New Roman" w:cs="Times New Roman"/>
          <w:sz w:val="24"/>
          <w:szCs w:val="24"/>
        </w:rPr>
        <w:t xml:space="preserve"> been tied to Nabataean kingship, were he was always mentioned in inscriptions ahead of other deities, as well as in inscriptions relat</w:t>
      </w:r>
      <w:r w:rsidR="00AC21A0" w:rsidRPr="00BD2AB4">
        <w:rPr>
          <w:rFonts w:ascii="Times New Roman" w:hAnsi="Times New Roman" w:cs="Times New Roman"/>
          <w:sz w:val="24"/>
          <w:szCs w:val="24"/>
        </w:rPr>
        <w:t>ed</w:t>
      </w:r>
      <w:r w:rsidRPr="00BD2AB4">
        <w:rPr>
          <w:rFonts w:ascii="Times New Roman" w:hAnsi="Times New Roman" w:cs="Times New Roman"/>
          <w:sz w:val="24"/>
          <w:szCs w:val="24"/>
        </w:rPr>
        <w:t xml:space="preserve"> to the king.</w:t>
      </w:r>
      <w:r w:rsidRPr="00BD2AB4">
        <w:rPr>
          <w:rFonts w:ascii="Times New Roman" w:hAnsi="Times New Roman" w:cs="Times New Roman"/>
          <w:sz w:val="24"/>
          <w:szCs w:val="24"/>
          <w:vertAlign w:val="superscript"/>
        </w:rPr>
        <w:footnoteReference w:id="168"/>
      </w:r>
      <w:r w:rsidRPr="00BD2AB4">
        <w:rPr>
          <w:rFonts w:ascii="Times New Roman" w:hAnsi="Times New Roman" w:cs="Times New Roman"/>
          <w:sz w:val="24"/>
          <w:szCs w:val="24"/>
        </w:rPr>
        <w:t xml:space="preserve"> This direct dependence of the power of kingship </w:t>
      </w:r>
      <w:r w:rsidR="00AC21A0" w:rsidRPr="00BD2AB4">
        <w:rPr>
          <w:rFonts w:ascii="Times New Roman" w:hAnsi="Times New Roman" w:cs="Times New Roman"/>
          <w:sz w:val="24"/>
          <w:szCs w:val="24"/>
        </w:rPr>
        <w:t>on</w:t>
      </w:r>
      <w:r w:rsidRPr="00BD2AB4">
        <w:rPr>
          <w:rFonts w:ascii="Times New Roman" w:hAnsi="Times New Roman" w:cs="Times New Roman"/>
          <w:sz w:val="24"/>
          <w:szCs w:val="24"/>
        </w:rPr>
        <w:t xml:space="preserve"> the popularity </w:t>
      </w:r>
      <w:r w:rsidR="00AC21A0" w:rsidRPr="00BD2AB4">
        <w:rPr>
          <w:rFonts w:ascii="Times New Roman" w:hAnsi="Times New Roman" w:cs="Times New Roman"/>
          <w:sz w:val="24"/>
          <w:szCs w:val="24"/>
        </w:rPr>
        <w:t>of</w:t>
      </w:r>
      <w:r w:rsidRPr="00BD2AB4">
        <w:rPr>
          <w:rFonts w:ascii="Times New Roman" w:hAnsi="Times New Roman" w:cs="Times New Roman"/>
          <w:sz w:val="24"/>
          <w:szCs w:val="24"/>
        </w:rPr>
        <w:t xml:space="preserve"> the states` principle deity</w:t>
      </w:r>
      <w:r w:rsidR="00AC21A0" w:rsidRPr="00BD2AB4">
        <w:rPr>
          <w:rFonts w:ascii="Times New Roman" w:hAnsi="Times New Roman" w:cs="Times New Roman"/>
          <w:sz w:val="24"/>
          <w:szCs w:val="24"/>
        </w:rPr>
        <w:t>,</w:t>
      </w:r>
      <w:r w:rsidRPr="00BD2AB4">
        <w:rPr>
          <w:rFonts w:ascii="Times New Roman" w:hAnsi="Times New Roman" w:cs="Times New Roman"/>
          <w:sz w:val="24"/>
          <w:szCs w:val="24"/>
        </w:rPr>
        <w:t xml:space="preserve"> finds an earlier application in the Hellenistic kingdoms,</w:t>
      </w:r>
      <w:r w:rsidRPr="00BD2AB4">
        <w:rPr>
          <w:rFonts w:ascii="Times New Roman" w:hAnsi="Times New Roman" w:cs="Times New Roman"/>
          <w:sz w:val="24"/>
          <w:szCs w:val="24"/>
          <w:vertAlign w:val="superscript"/>
        </w:rPr>
        <w:footnoteReference w:id="169"/>
      </w:r>
      <w:r w:rsidRPr="00BD2AB4">
        <w:rPr>
          <w:rFonts w:ascii="Times New Roman" w:hAnsi="Times New Roman" w:cs="Times New Roman"/>
          <w:sz w:val="24"/>
          <w:szCs w:val="24"/>
        </w:rPr>
        <w:t xml:space="preserve"> which saw the Ptolemies connected to Serapis</w:t>
      </w:r>
      <w:r w:rsidR="00381B89" w:rsidRPr="00BD2AB4">
        <w:rPr>
          <w:rFonts w:ascii="Times New Roman" w:hAnsi="Times New Roman" w:cs="Times New Roman"/>
          <w:sz w:val="24"/>
          <w:szCs w:val="24"/>
        </w:rPr>
        <w:t xml:space="preserve"> and</w:t>
      </w:r>
      <w:r w:rsidRPr="00BD2AB4">
        <w:rPr>
          <w:rFonts w:ascii="Times New Roman" w:hAnsi="Times New Roman" w:cs="Times New Roman"/>
          <w:sz w:val="24"/>
          <w:szCs w:val="24"/>
        </w:rPr>
        <w:t xml:space="preserve"> the </w:t>
      </w:r>
      <w:proofErr w:type="spellStart"/>
      <w:r w:rsidRPr="00BD2AB4">
        <w:rPr>
          <w:rFonts w:ascii="Times New Roman" w:hAnsi="Times New Roman" w:cs="Times New Roman"/>
          <w:sz w:val="24"/>
          <w:szCs w:val="24"/>
        </w:rPr>
        <w:t>Attalids</w:t>
      </w:r>
      <w:proofErr w:type="spellEnd"/>
      <w:r w:rsidRPr="00BD2AB4">
        <w:rPr>
          <w:rFonts w:ascii="Times New Roman" w:hAnsi="Times New Roman" w:cs="Times New Roman"/>
          <w:sz w:val="24"/>
          <w:szCs w:val="24"/>
        </w:rPr>
        <w:t xml:space="preserve"> to Athene.</w:t>
      </w:r>
      <w:r w:rsidRPr="00BD2AB4">
        <w:rPr>
          <w:rFonts w:ascii="Times New Roman" w:hAnsi="Times New Roman" w:cs="Times New Roman"/>
          <w:sz w:val="24"/>
          <w:szCs w:val="24"/>
          <w:vertAlign w:val="superscript"/>
        </w:rPr>
        <w:footnoteReference w:id="170"/>
      </w:r>
      <w:r w:rsidRPr="00BD2AB4">
        <w:rPr>
          <w:rFonts w:ascii="Times New Roman" w:hAnsi="Times New Roman" w:cs="Times New Roman"/>
          <w:sz w:val="24"/>
          <w:szCs w:val="24"/>
        </w:rPr>
        <w:t xml:space="preserve"> Interestingly, these deities as symbols of political power, were materialised into public art, thus visually accessible to the public.</w:t>
      </w:r>
      <w:r w:rsidRPr="00BD2AB4">
        <w:rPr>
          <w:rFonts w:ascii="Times New Roman" w:hAnsi="Times New Roman" w:cs="Times New Roman"/>
          <w:sz w:val="24"/>
          <w:szCs w:val="24"/>
          <w:vertAlign w:val="superscript"/>
        </w:rPr>
        <w:footnoteReference w:id="171"/>
      </w:r>
      <w:r w:rsidRPr="00BD2AB4">
        <w:rPr>
          <w:rFonts w:ascii="Times New Roman" w:hAnsi="Times New Roman" w:cs="Times New Roman"/>
          <w:sz w:val="24"/>
          <w:szCs w:val="24"/>
        </w:rPr>
        <w:t xml:space="preserve"> This was possibly a </w:t>
      </w:r>
      <w:r w:rsidR="00AC21A0" w:rsidRPr="00BD2AB4">
        <w:rPr>
          <w:rFonts w:ascii="Times New Roman" w:hAnsi="Times New Roman" w:cs="Times New Roman"/>
          <w:sz w:val="24"/>
          <w:szCs w:val="24"/>
        </w:rPr>
        <w:t>way</w:t>
      </w:r>
      <w:r w:rsidRPr="00BD2AB4">
        <w:rPr>
          <w:rFonts w:ascii="Times New Roman" w:hAnsi="Times New Roman" w:cs="Times New Roman"/>
          <w:sz w:val="24"/>
          <w:szCs w:val="24"/>
        </w:rPr>
        <w:t xml:space="preserve"> of facilitating power over both Greek and non-Greeks within the Hellenic kingdoms, a concept adopted by Nabataean kings.</w:t>
      </w:r>
      <w:r w:rsidRPr="00BD2AB4">
        <w:rPr>
          <w:rFonts w:ascii="Times New Roman" w:hAnsi="Times New Roman" w:cs="Times New Roman"/>
          <w:sz w:val="24"/>
          <w:szCs w:val="24"/>
          <w:vertAlign w:val="superscript"/>
        </w:rPr>
        <w:footnoteReference w:id="172"/>
      </w:r>
    </w:p>
    <w:p w14:paraId="18828CE1" w14:textId="6BD398A8" w:rsidR="00BA17F6"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Most of the deities seem to have had certain locations they were tied to or most popular at, often associated with landmarks.</w:t>
      </w:r>
      <w:r w:rsidRPr="00BD2AB4">
        <w:rPr>
          <w:rFonts w:ascii="Times New Roman" w:hAnsi="Times New Roman" w:cs="Times New Roman"/>
          <w:sz w:val="24"/>
          <w:szCs w:val="24"/>
          <w:vertAlign w:val="superscript"/>
        </w:rPr>
        <w:footnoteReference w:id="173"/>
      </w:r>
      <w:r w:rsidRPr="00BD2AB4">
        <w:rPr>
          <w:rFonts w:ascii="Times New Roman" w:hAnsi="Times New Roman" w:cs="Times New Roman"/>
          <w:sz w:val="24"/>
          <w:szCs w:val="24"/>
        </w:rPr>
        <w:t xml:space="preserve"> Interestingly, the deities` origins can either be traced back to adjacent kingdoms and peoples such as Palmyra, the </w:t>
      </w:r>
      <w:proofErr w:type="spellStart"/>
      <w:r w:rsidRPr="00BD2AB4">
        <w:rPr>
          <w:rFonts w:ascii="Times New Roman" w:hAnsi="Times New Roman" w:cs="Times New Roman"/>
          <w:sz w:val="24"/>
          <w:szCs w:val="24"/>
        </w:rPr>
        <w:t>Safaits</w:t>
      </w:r>
      <w:proofErr w:type="spellEnd"/>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Dehdans</w:t>
      </w:r>
      <w:proofErr w:type="spellEnd"/>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Lihains</w:t>
      </w:r>
      <w:proofErr w:type="spellEnd"/>
      <w:r w:rsidRPr="00BD2AB4">
        <w:rPr>
          <w:rFonts w:ascii="Times New Roman" w:hAnsi="Times New Roman" w:cs="Times New Roman"/>
          <w:sz w:val="24"/>
          <w:szCs w:val="24"/>
        </w:rPr>
        <w:t xml:space="preserve">, Syrians and </w:t>
      </w:r>
      <w:proofErr w:type="spellStart"/>
      <w:r w:rsidRPr="00BD2AB4">
        <w:rPr>
          <w:rFonts w:ascii="Times New Roman" w:hAnsi="Times New Roman" w:cs="Times New Roman"/>
          <w:sz w:val="24"/>
          <w:szCs w:val="24"/>
        </w:rPr>
        <w:t>Thamuds</w:t>
      </w:r>
      <w:proofErr w:type="spellEnd"/>
      <w:r w:rsidRPr="00BD2AB4">
        <w:rPr>
          <w:rFonts w:ascii="Times New Roman" w:hAnsi="Times New Roman" w:cs="Times New Roman"/>
          <w:sz w:val="24"/>
          <w:szCs w:val="24"/>
        </w:rPr>
        <w:t xml:space="preserve">, such as </w:t>
      </w:r>
      <w:proofErr w:type="spellStart"/>
      <w:r w:rsidRPr="00BD2AB4">
        <w:rPr>
          <w:rFonts w:ascii="Times New Roman" w:hAnsi="Times New Roman" w:cs="Times New Roman"/>
          <w:sz w:val="24"/>
          <w:szCs w:val="24"/>
        </w:rPr>
        <w:t>Allat</w:t>
      </w:r>
      <w:proofErr w:type="spellEnd"/>
      <w:r w:rsidRPr="00BD2AB4">
        <w:rPr>
          <w:rFonts w:ascii="Times New Roman" w:hAnsi="Times New Roman" w:cs="Times New Roman"/>
          <w:sz w:val="24"/>
          <w:szCs w:val="24"/>
        </w:rPr>
        <w:t xml:space="preserve"> and Gad, </w:t>
      </w:r>
      <w:r w:rsidRPr="00BD2AB4">
        <w:rPr>
          <w:rFonts w:ascii="Times New Roman" w:hAnsi="Times New Roman" w:cs="Times New Roman"/>
          <w:sz w:val="24"/>
          <w:szCs w:val="24"/>
          <w:vertAlign w:val="superscript"/>
        </w:rPr>
        <w:footnoteReference w:id="174"/>
      </w:r>
      <w:r w:rsidRPr="00BD2AB4">
        <w:rPr>
          <w:rFonts w:ascii="Times New Roman" w:hAnsi="Times New Roman" w:cs="Times New Roman"/>
          <w:sz w:val="24"/>
          <w:szCs w:val="24"/>
        </w:rPr>
        <w:t xml:space="preserve"> or Egypt with Isis,</w:t>
      </w:r>
      <w:r w:rsidRPr="00BD2AB4">
        <w:rPr>
          <w:rFonts w:ascii="Times New Roman" w:hAnsi="Times New Roman" w:cs="Times New Roman"/>
          <w:sz w:val="24"/>
          <w:szCs w:val="24"/>
          <w:vertAlign w:val="superscript"/>
        </w:rPr>
        <w:footnoteReference w:id="175"/>
      </w:r>
      <w:r w:rsidRPr="00BD2AB4">
        <w:rPr>
          <w:rFonts w:ascii="Times New Roman" w:hAnsi="Times New Roman" w:cs="Times New Roman"/>
          <w:sz w:val="24"/>
          <w:szCs w:val="24"/>
        </w:rPr>
        <w:t xml:space="preserve">and </w:t>
      </w:r>
      <w:r w:rsidR="00381B89" w:rsidRPr="00BD2AB4">
        <w:rPr>
          <w:rFonts w:ascii="Times New Roman" w:hAnsi="Times New Roman" w:cs="Times New Roman"/>
          <w:sz w:val="24"/>
          <w:szCs w:val="24"/>
        </w:rPr>
        <w:t>less frequently so from the</w:t>
      </w:r>
      <w:r w:rsidRPr="00BD2AB4">
        <w:rPr>
          <w:rFonts w:ascii="Times New Roman" w:hAnsi="Times New Roman" w:cs="Times New Roman"/>
          <w:sz w:val="24"/>
          <w:szCs w:val="24"/>
        </w:rPr>
        <w:t xml:space="preserve"> Hellenistic kingdoms.</w:t>
      </w:r>
      <w:r w:rsidRPr="00BD2AB4">
        <w:rPr>
          <w:rFonts w:ascii="Times New Roman" w:hAnsi="Times New Roman" w:cs="Times New Roman"/>
          <w:sz w:val="24"/>
          <w:szCs w:val="24"/>
          <w:vertAlign w:val="superscript"/>
        </w:rPr>
        <w:footnoteReference w:id="176"/>
      </w:r>
      <w:r w:rsidRPr="00BD2AB4">
        <w:rPr>
          <w:rFonts w:ascii="Times New Roman" w:hAnsi="Times New Roman" w:cs="Times New Roman"/>
          <w:sz w:val="24"/>
          <w:szCs w:val="24"/>
        </w:rPr>
        <w:t xml:space="preserve">  </w:t>
      </w:r>
    </w:p>
    <w:p w14:paraId="7BF5E1D1" w14:textId="30AD059E"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 xml:space="preserve">However, the latter were having a greater impact on the material representation of </w:t>
      </w:r>
      <w:r w:rsidR="00BA17F6" w:rsidRPr="00BD2AB4">
        <w:rPr>
          <w:rFonts w:ascii="Times New Roman" w:hAnsi="Times New Roman" w:cs="Times New Roman"/>
          <w:sz w:val="24"/>
          <w:szCs w:val="24"/>
        </w:rPr>
        <w:t xml:space="preserve">Nabataean </w:t>
      </w:r>
      <w:r w:rsidRPr="00BD2AB4">
        <w:rPr>
          <w:rFonts w:ascii="Times New Roman" w:hAnsi="Times New Roman" w:cs="Times New Roman"/>
          <w:sz w:val="24"/>
          <w:szCs w:val="24"/>
        </w:rPr>
        <w:t>deities</w:t>
      </w:r>
      <w:r w:rsidR="00BA17F6"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77"/>
      </w:r>
      <w:r w:rsidR="00381B89" w:rsidRPr="00BD2AB4">
        <w:rPr>
          <w:rFonts w:ascii="Times New Roman" w:hAnsi="Times New Roman" w:cs="Times New Roman"/>
          <w:sz w:val="24"/>
          <w:szCs w:val="24"/>
        </w:rPr>
        <w:t xml:space="preserve"> While </w:t>
      </w:r>
      <w:r w:rsidR="00BA17F6" w:rsidRPr="00BD2AB4">
        <w:rPr>
          <w:rFonts w:ascii="Times New Roman" w:hAnsi="Times New Roman" w:cs="Times New Roman"/>
          <w:sz w:val="24"/>
          <w:szCs w:val="24"/>
        </w:rPr>
        <w:t>the other influences, have had a longer and thus deeper impact</w:t>
      </w:r>
      <w:r w:rsidRPr="00BD2AB4">
        <w:rPr>
          <w:rFonts w:ascii="Times New Roman" w:hAnsi="Times New Roman" w:cs="Times New Roman"/>
          <w:sz w:val="24"/>
          <w:szCs w:val="24"/>
        </w:rPr>
        <w:t xml:space="preserve">, as Zeus and other Hellenistic and Roman deities </w:t>
      </w:r>
      <w:r w:rsidR="00BA17F6" w:rsidRPr="00BD2AB4">
        <w:rPr>
          <w:rFonts w:ascii="Times New Roman" w:hAnsi="Times New Roman" w:cs="Times New Roman"/>
          <w:sz w:val="24"/>
          <w:szCs w:val="24"/>
        </w:rPr>
        <w:t>were only properly assimilated</w:t>
      </w:r>
      <w:r w:rsidRPr="00BD2AB4">
        <w:rPr>
          <w:rFonts w:ascii="Times New Roman" w:hAnsi="Times New Roman" w:cs="Times New Roman"/>
          <w:sz w:val="24"/>
          <w:szCs w:val="24"/>
        </w:rPr>
        <w:t xml:space="preserve"> during the Roman period.</w:t>
      </w:r>
      <w:r w:rsidRPr="00BD2AB4">
        <w:rPr>
          <w:rFonts w:ascii="Times New Roman" w:hAnsi="Times New Roman" w:cs="Times New Roman"/>
          <w:sz w:val="24"/>
          <w:szCs w:val="24"/>
          <w:vertAlign w:val="superscript"/>
        </w:rPr>
        <w:footnoteReference w:id="178"/>
      </w:r>
      <w:r w:rsidRPr="00BD2AB4">
        <w:rPr>
          <w:rFonts w:ascii="Times New Roman" w:hAnsi="Times New Roman" w:cs="Times New Roman"/>
          <w:sz w:val="24"/>
          <w:szCs w:val="24"/>
        </w:rPr>
        <w:t xml:space="preserve"> </w:t>
      </w:r>
    </w:p>
    <w:p w14:paraId="22E518DF" w14:textId="77777777" w:rsidR="00792A1C" w:rsidRPr="00BD2AB4" w:rsidRDefault="00792A1C" w:rsidP="00BD2AB4">
      <w:pPr>
        <w:spacing w:line="480" w:lineRule="auto"/>
        <w:rPr>
          <w:rFonts w:ascii="Times New Roman" w:hAnsi="Times New Roman" w:cs="Times New Roman"/>
          <w:sz w:val="24"/>
          <w:szCs w:val="24"/>
        </w:rPr>
      </w:pPr>
    </w:p>
    <w:p w14:paraId="49F7E5EC" w14:textId="77777777" w:rsidR="00792A1C" w:rsidRPr="00BD2AB4" w:rsidRDefault="00792A1C" w:rsidP="00BD2AB4">
      <w:pPr>
        <w:keepNext/>
        <w:keepLines/>
        <w:spacing w:before="40" w:after="0" w:line="480" w:lineRule="auto"/>
        <w:outlineLvl w:val="1"/>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t xml:space="preserve">Altars and </w:t>
      </w:r>
      <w:proofErr w:type="spellStart"/>
      <w:r w:rsidRPr="00BD2AB4">
        <w:rPr>
          <w:rFonts w:ascii="Times New Roman" w:eastAsiaTheme="majorEastAsia" w:hAnsi="Times New Roman" w:cs="Times New Roman"/>
          <w:sz w:val="24"/>
          <w:szCs w:val="24"/>
          <w:u w:val="single"/>
        </w:rPr>
        <w:t>Betyls</w:t>
      </w:r>
      <w:proofErr w:type="spellEnd"/>
    </w:p>
    <w:p w14:paraId="185B5E63" w14:textId="77777777" w:rsidR="00BD2AB4" w:rsidRDefault="00BD2AB4" w:rsidP="00BD2AB4">
      <w:pPr>
        <w:spacing w:line="480" w:lineRule="auto"/>
        <w:rPr>
          <w:rFonts w:ascii="Times New Roman" w:hAnsi="Times New Roman" w:cs="Times New Roman"/>
          <w:sz w:val="24"/>
          <w:szCs w:val="24"/>
        </w:rPr>
      </w:pPr>
    </w:p>
    <w:p w14:paraId="17B2737F" w14:textId="6D7E10E7"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It was common to depict deities in an aniconic fashion, including the majority of Nabataean gods.</w:t>
      </w:r>
      <w:r w:rsidRPr="00BD2AB4">
        <w:rPr>
          <w:rFonts w:ascii="Times New Roman" w:hAnsi="Times New Roman" w:cs="Times New Roman"/>
          <w:sz w:val="24"/>
          <w:szCs w:val="24"/>
          <w:vertAlign w:val="superscript"/>
        </w:rPr>
        <w:footnoteReference w:id="179"/>
      </w:r>
      <w:r w:rsidRPr="00BD2AB4">
        <w:rPr>
          <w:rFonts w:ascii="Times New Roman" w:hAnsi="Times New Roman" w:cs="Times New Roman"/>
          <w:sz w:val="24"/>
          <w:szCs w:val="24"/>
        </w:rPr>
        <w:t xml:space="preserve"> These deities were made manifest through objects called </w:t>
      </w:r>
      <w:proofErr w:type="spellStart"/>
      <w:r w:rsidRPr="00BD2AB4">
        <w:rPr>
          <w:rFonts w:ascii="Times New Roman" w:hAnsi="Times New Roman" w:cs="Times New Roman"/>
          <w:sz w:val="24"/>
          <w:szCs w:val="24"/>
        </w:rPr>
        <w:t>betyls</w:t>
      </w:r>
      <w:proofErr w:type="spellEnd"/>
      <w:r w:rsidRPr="00BD2AB4">
        <w:rPr>
          <w:rFonts w:ascii="Times New Roman" w:hAnsi="Times New Roman" w:cs="Times New Roman"/>
          <w:sz w:val="24"/>
          <w:szCs w:val="24"/>
        </w:rPr>
        <w:t xml:space="preserve"> or idols which would only rarely depict human features.</w:t>
      </w:r>
      <w:r w:rsidRPr="00BD2AB4">
        <w:rPr>
          <w:rFonts w:ascii="Times New Roman" w:hAnsi="Times New Roman" w:cs="Times New Roman"/>
          <w:sz w:val="24"/>
          <w:szCs w:val="24"/>
          <w:vertAlign w:val="superscript"/>
        </w:rPr>
        <w:footnoteReference w:id="180"/>
      </w:r>
      <w:r w:rsidRPr="00BD2AB4">
        <w:rPr>
          <w:rFonts w:ascii="Times New Roman" w:hAnsi="Times New Roman" w:cs="Times New Roman"/>
          <w:sz w:val="24"/>
          <w:szCs w:val="24"/>
        </w:rPr>
        <w:t xml:space="preserve"> </w:t>
      </w:r>
    </w:p>
    <w:p w14:paraId="34059DD0" w14:textId="223766A6" w:rsidR="00792A1C" w:rsidRPr="00BD2AB4" w:rsidRDefault="00792A1C" w:rsidP="00BD2AB4">
      <w:pPr>
        <w:spacing w:line="480" w:lineRule="auto"/>
        <w:rPr>
          <w:rFonts w:ascii="Times New Roman" w:hAnsi="Times New Roman" w:cs="Times New Roman"/>
          <w:sz w:val="24"/>
          <w:szCs w:val="24"/>
        </w:rPr>
      </w:pPr>
      <w:proofErr w:type="spellStart"/>
      <w:r w:rsidRPr="00BD2AB4">
        <w:rPr>
          <w:rFonts w:ascii="Times New Roman" w:hAnsi="Times New Roman" w:cs="Times New Roman"/>
          <w:sz w:val="24"/>
          <w:szCs w:val="24"/>
        </w:rPr>
        <w:t>Dushara</w:t>
      </w:r>
      <w:proofErr w:type="spellEnd"/>
      <w:r w:rsidRPr="00BD2AB4">
        <w:rPr>
          <w:rFonts w:ascii="Times New Roman" w:hAnsi="Times New Roman" w:cs="Times New Roman"/>
          <w:sz w:val="24"/>
          <w:szCs w:val="24"/>
        </w:rPr>
        <w:t xml:space="preserve"> was represented through various shapes of </w:t>
      </w:r>
      <w:proofErr w:type="spellStart"/>
      <w:r w:rsidRPr="00BD2AB4">
        <w:rPr>
          <w:rFonts w:ascii="Times New Roman" w:hAnsi="Times New Roman" w:cs="Times New Roman"/>
          <w:sz w:val="24"/>
          <w:szCs w:val="24"/>
        </w:rPr>
        <w:t>betyls</w:t>
      </w:r>
      <w:proofErr w:type="spellEnd"/>
      <w:r w:rsidRPr="00BD2AB4">
        <w:rPr>
          <w:rFonts w:ascii="Times New Roman" w:hAnsi="Times New Roman" w:cs="Times New Roman"/>
          <w:sz w:val="24"/>
          <w:szCs w:val="24"/>
        </w:rPr>
        <w:t xml:space="preserve">, generally placed upon a </w:t>
      </w:r>
      <w:proofErr w:type="spellStart"/>
      <w:r w:rsidRPr="00BD2AB4">
        <w:rPr>
          <w:rFonts w:ascii="Times New Roman" w:hAnsi="Times New Roman" w:cs="Times New Roman"/>
          <w:sz w:val="24"/>
          <w:szCs w:val="24"/>
        </w:rPr>
        <w:t>motab</w:t>
      </w:r>
      <w:proofErr w:type="spellEnd"/>
      <w:r w:rsidRPr="00BD2AB4">
        <w:rPr>
          <w:rFonts w:ascii="Times New Roman" w:hAnsi="Times New Roman" w:cs="Times New Roman"/>
          <w:sz w:val="24"/>
          <w:szCs w:val="24"/>
        </w:rPr>
        <w:t>, a type of pedestal.</w:t>
      </w:r>
      <w:r w:rsidRPr="00BD2AB4">
        <w:rPr>
          <w:rFonts w:ascii="Times New Roman" w:hAnsi="Times New Roman" w:cs="Times New Roman"/>
          <w:sz w:val="24"/>
          <w:szCs w:val="24"/>
          <w:vertAlign w:val="superscript"/>
        </w:rPr>
        <w:footnoteReference w:id="181"/>
      </w:r>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Motabs</w:t>
      </w:r>
      <w:proofErr w:type="spellEnd"/>
      <w:r w:rsidRPr="00BD2AB4">
        <w:rPr>
          <w:rFonts w:ascii="Times New Roman" w:hAnsi="Times New Roman" w:cs="Times New Roman"/>
          <w:sz w:val="24"/>
          <w:szCs w:val="24"/>
        </w:rPr>
        <w:t xml:space="preserve"> were sacred too as they stood in contact with the </w:t>
      </w:r>
      <w:proofErr w:type="spellStart"/>
      <w:r w:rsidRPr="00BD2AB4">
        <w:rPr>
          <w:rFonts w:ascii="Times New Roman" w:hAnsi="Times New Roman" w:cs="Times New Roman"/>
          <w:sz w:val="24"/>
          <w:szCs w:val="24"/>
        </w:rPr>
        <w:t>betyl</w:t>
      </w:r>
      <w:proofErr w:type="spellEnd"/>
      <w:r w:rsidRPr="00BD2AB4">
        <w:rPr>
          <w:rFonts w:ascii="Times New Roman" w:hAnsi="Times New Roman" w:cs="Times New Roman"/>
          <w:sz w:val="24"/>
          <w:szCs w:val="24"/>
        </w:rPr>
        <w:t xml:space="preserve">, as </w:t>
      </w:r>
      <w:proofErr w:type="gramStart"/>
      <w:r w:rsidRPr="00BD2AB4">
        <w:rPr>
          <w:rFonts w:ascii="Times New Roman" w:hAnsi="Times New Roman" w:cs="Times New Roman"/>
          <w:sz w:val="24"/>
          <w:szCs w:val="24"/>
        </w:rPr>
        <w:t>the  inscriptions</w:t>
      </w:r>
      <w:proofErr w:type="gramEnd"/>
      <w:r w:rsidRPr="00BD2AB4">
        <w:rPr>
          <w:rFonts w:ascii="Times New Roman" w:hAnsi="Times New Roman" w:cs="Times New Roman"/>
          <w:sz w:val="24"/>
          <w:szCs w:val="24"/>
        </w:rPr>
        <w:t xml:space="preserve"> N.o6o.29.o1 and Q.o47.o2 demonstrate.</w:t>
      </w:r>
      <w:r w:rsidRPr="00BD2AB4">
        <w:rPr>
          <w:rFonts w:ascii="Times New Roman" w:hAnsi="Times New Roman" w:cs="Times New Roman"/>
          <w:sz w:val="24"/>
          <w:szCs w:val="24"/>
          <w:vertAlign w:val="superscript"/>
        </w:rPr>
        <w:footnoteReference w:id="182"/>
      </w:r>
    </w:p>
    <w:p w14:paraId="568403C3" w14:textId="77777777"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Altars may have been present right next to a </w:t>
      </w:r>
      <w:proofErr w:type="spellStart"/>
      <w:r w:rsidRPr="00BD2AB4">
        <w:rPr>
          <w:rFonts w:ascii="Times New Roman" w:hAnsi="Times New Roman" w:cs="Times New Roman"/>
          <w:sz w:val="24"/>
          <w:szCs w:val="24"/>
        </w:rPr>
        <w:t>betyl</w:t>
      </w:r>
      <w:proofErr w:type="spellEnd"/>
      <w:r w:rsidRPr="00BD2AB4">
        <w:rPr>
          <w:rFonts w:ascii="Times New Roman" w:hAnsi="Times New Roman" w:cs="Times New Roman"/>
          <w:sz w:val="24"/>
          <w:szCs w:val="24"/>
        </w:rPr>
        <w:t>, upon which sacrifices were carried out.</w:t>
      </w:r>
      <w:r w:rsidRPr="00BD2AB4">
        <w:rPr>
          <w:rFonts w:ascii="Times New Roman" w:hAnsi="Times New Roman" w:cs="Times New Roman"/>
          <w:sz w:val="24"/>
          <w:szCs w:val="24"/>
          <w:vertAlign w:val="superscript"/>
        </w:rPr>
        <w:footnoteReference w:id="183"/>
      </w:r>
      <w:r w:rsidRPr="00BD2AB4">
        <w:rPr>
          <w:rFonts w:ascii="Times New Roman" w:hAnsi="Times New Roman" w:cs="Times New Roman"/>
          <w:sz w:val="24"/>
          <w:szCs w:val="24"/>
        </w:rPr>
        <w:t xml:space="preserve"> Libations or sacrificial blood would then proceed to come into contact with the </w:t>
      </w:r>
      <w:proofErr w:type="spellStart"/>
      <w:r w:rsidRPr="00BD2AB4">
        <w:rPr>
          <w:rFonts w:ascii="Times New Roman" w:hAnsi="Times New Roman" w:cs="Times New Roman"/>
          <w:sz w:val="24"/>
          <w:szCs w:val="24"/>
        </w:rPr>
        <w:t>betyl</w:t>
      </w:r>
      <w:proofErr w:type="spellEnd"/>
      <w:r w:rsidRPr="00BD2AB4">
        <w:rPr>
          <w:rFonts w:ascii="Times New Roman" w:hAnsi="Times New Roman" w:cs="Times New Roman"/>
          <w:sz w:val="24"/>
          <w:szCs w:val="24"/>
        </w:rPr>
        <w:t>, consequentially evoking the deities` presence.</w:t>
      </w:r>
      <w:r w:rsidRPr="00BD2AB4">
        <w:rPr>
          <w:rFonts w:ascii="Times New Roman" w:hAnsi="Times New Roman" w:cs="Times New Roman"/>
          <w:sz w:val="24"/>
          <w:szCs w:val="24"/>
          <w:vertAlign w:val="superscript"/>
        </w:rPr>
        <w:footnoteReference w:id="184"/>
      </w:r>
      <w:r w:rsidRPr="00BD2AB4">
        <w:rPr>
          <w:rFonts w:ascii="Times New Roman" w:hAnsi="Times New Roman" w:cs="Times New Roman"/>
          <w:sz w:val="24"/>
          <w:szCs w:val="24"/>
        </w:rPr>
        <w:t xml:space="preserve"> Such proceedings have been a sighted by Herodotus, who attributed them to Arab tribes in general.</w:t>
      </w:r>
      <w:r w:rsidRPr="00BD2AB4">
        <w:rPr>
          <w:rFonts w:ascii="Times New Roman" w:hAnsi="Times New Roman" w:cs="Times New Roman"/>
          <w:sz w:val="24"/>
          <w:szCs w:val="24"/>
          <w:vertAlign w:val="superscript"/>
        </w:rPr>
        <w:footnoteReference w:id="185"/>
      </w:r>
      <w:r w:rsidRPr="00BD2AB4">
        <w:rPr>
          <w:rFonts w:ascii="Times New Roman" w:hAnsi="Times New Roman" w:cs="Times New Roman"/>
          <w:sz w:val="24"/>
          <w:szCs w:val="24"/>
        </w:rPr>
        <w:t xml:space="preserve"> </w:t>
      </w:r>
    </w:p>
    <w:p w14:paraId="21912975" w14:textId="69924D92"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 xml:space="preserve">Rock-cut niches for </w:t>
      </w:r>
      <w:proofErr w:type="spellStart"/>
      <w:r w:rsidRPr="00BD2AB4">
        <w:rPr>
          <w:rFonts w:ascii="Times New Roman" w:hAnsi="Times New Roman" w:cs="Times New Roman"/>
          <w:sz w:val="24"/>
          <w:szCs w:val="24"/>
        </w:rPr>
        <w:t>betyls</w:t>
      </w:r>
      <w:proofErr w:type="spellEnd"/>
      <w:r w:rsidRPr="00BD2AB4">
        <w:rPr>
          <w:rFonts w:ascii="Times New Roman" w:hAnsi="Times New Roman" w:cs="Times New Roman"/>
          <w:sz w:val="24"/>
          <w:szCs w:val="24"/>
        </w:rPr>
        <w:t>, also called loculi,</w:t>
      </w:r>
      <w:r w:rsidRPr="00BD2AB4">
        <w:rPr>
          <w:rFonts w:ascii="Times New Roman" w:hAnsi="Times New Roman" w:cs="Times New Roman"/>
          <w:sz w:val="24"/>
          <w:szCs w:val="24"/>
          <w:vertAlign w:val="superscript"/>
        </w:rPr>
        <w:footnoteReference w:id="186"/>
      </w:r>
      <w:r w:rsidRPr="00BD2AB4">
        <w:rPr>
          <w:rFonts w:ascii="Times New Roman" w:hAnsi="Times New Roman" w:cs="Times New Roman"/>
          <w:sz w:val="24"/>
          <w:szCs w:val="24"/>
        </w:rPr>
        <w:t xml:space="preserve"> can be found in numerous places including Petra, creating small cult sites, </w:t>
      </w:r>
      <w:r w:rsidRPr="00BD2AB4">
        <w:rPr>
          <w:rFonts w:ascii="Times New Roman" w:hAnsi="Times New Roman" w:cs="Times New Roman"/>
          <w:sz w:val="24"/>
          <w:szCs w:val="24"/>
          <w:vertAlign w:val="superscript"/>
        </w:rPr>
        <w:footnoteReference w:id="187"/>
      </w:r>
      <w:r w:rsidRPr="00BD2AB4">
        <w:rPr>
          <w:rFonts w:ascii="Times New Roman" w:hAnsi="Times New Roman" w:cs="Times New Roman"/>
          <w:sz w:val="24"/>
          <w:szCs w:val="24"/>
        </w:rPr>
        <w:t xml:space="preserve"> while some </w:t>
      </w:r>
      <w:proofErr w:type="spellStart"/>
      <w:r w:rsidRPr="00BD2AB4">
        <w:rPr>
          <w:rFonts w:ascii="Times New Roman" w:hAnsi="Times New Roman" w:cs="Times New Roman"/>
          <w:sz w:val="24"/>
          <w:szCs w:val="24"/>
        </w:rPr>
        <w:t>betyls</w:t>
      </w:r>
      <w:proofErr w:type="spellEnd"/>
      <w:r w:rsidRPr="00BD2AB4">
        <w:rPr>
          <w:rFonts w:ascii="Times New Roman" w:hAnsi="Times New Roman" w:cs="Times New Roman"/>
          <w:sz w:val="24"/>
          <w:szCs w:val="24"/>
        </w:rPr>
        <w:t xml:space="preserve"> might have been portable, thus ideal for a nomadic lifestyle.</w:t>
      </w:r>
      <w:r w:rsidRPr="00BD2AB4">
        <w:rPr>
          <w:rFonts w:ascii="Times New Roman" w:hAnsi="Times New Roman" w:cs="Times New Roman"/>
          <w:sz w:val="24"/>
          <w:szCs w:val="24"/>
          <w:vertAlign w:val="superscript"/>
        </w:rPr>
        <w:footnoteReference w:id="188"/>
      </w:r>
      <w:r w:rsidR="00153175" w:rsidRPr="00BD2AB4">
        <w:rPr>
          <w:rFonts w:ascii="Times New Roman" w:hAnsi="Times New Roman" w:cs="Times New Roman"/>
          <w:sz w:val="24"/>
          <w:szCs w:val="24"/>
        </w:rPr>
        <w:t xml:space="preserve"> Eye-</w:t>
      </w:r>
      <w:proofErr w:type="spellStart"/>
      <w:r w:rsidR="00153175" w:rsidRPr="00BD2AB4">
        <w:rPr>
          <w:rFonts w:ascii="Times New Roman" w:hAnsi="Times New Roman" w:cs="Times New Roman"/>
          <w:sz w:val="24"/>
          <w:szCs w:val="24"/>
        </w:rPr>
        <w:t>betyls</w:t>
      </w:r>
      <w:proofErr w:type="spellEnd"/>
      <w:r w:rsidR="00153175" w:rsidRPr="00BD2AB4">
        <w:rPr>
          <w:rFonts w:ascii="Times New Roman" w:hAnsi="Times New Roman" w:cs="Times New Roman"/>
          <w:sz w:val="24"/>
          <w:szCs w:val="24"/>
        </w:rPr>
        <w:t xml:space="preserve"> were adopted in a trend towards anthropomorphic representation, but very rare.</w:t>
      </w:r>
      <w:r w:rsidR="00153175" w:rsidRPr="00BD2AB4">
        <w:rPr>
          <w:rStyle w:val="Funotenzeichen"/>
          <w:rFonts w:ascii="Times New Roman" w:hAnsi="Times New Roman" w:cs="Times New Roman"/>
          <w:sz w:val="24"/>
          <w:szCs w:val="24"/>
        </w:rPr>
        <w:footnoteReference w:id="189"/>
      </w:r>
      <w:r w:rsidR="00153175" w:rsidRPr="00BD2AB4">
        <w:rPr>
          <w:rFonts w:ascii="Times New Roman" w:hAnsi="Times New Roman" w:cs="Times New Roman"/>
          <w:sz w:val="24"/>
          <w:szCs w:val="24"/>
        </w:rPr>
        <w:t xml:space="preserve"> </w:t>
      </w:r>
    </w:p>
    <w:p w14:paraId="4BE81976" w14:textId="77777777" w:rsidR="00792A1C" w:rsidRPr="00BD2AB4" w:rsidRDefault="00792A1C" w:rsidP="00BD2AB4">
      <w:pPr>
        <w:spacing w:line="480" w:lineRule="auto"/>
        <w:rPr>
          <w:rFonts w:ascii="Times New Roman" w:hAnsi="Times New Roman" w:cs="Times New Roman"/>
          <w:sz w:val="24"/>
          <w:szCs w:val="24"/>
        </w:rPr>
      </w:pPr>
    </w:p>
    <w:p w14:paraId="22259936" w14:textId="77777777" w:rsidR="00792A1C" w:rsidRPr="00BD2AB4" w:rsidRDefault="00792A1C" w:rsidP="00BD2AB4">
      <w:pPr>
        <w:keepNext/>
        <w:keepLines/>
        <w:spacing w:before="40" w:after="0" w:line="480" w:lineRule="auto"/>
        <w:outlineLvl w:val="1"/>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t>Nabataean funerary rites</w:t>
      </w:r>
    </w:p>
    <w:p w14:paraId="17738230" w14:textId="77777777" w:rsidR="00792A1C" w:rsidRPr="00BD2AB4" w:rsidRDefault="00792A1C" w:rsidP="00BD2AB4">
      <w:pPr>
        <w:spacing w:line="480" w:lineRule="auto"/>
        <w:rPr>
          <w:rFonts w:ascii="Times New Roman" w:hAnsi="Times New Roman" w:cs="Times New Roman"/>
          <w:sz w:val="24"/>
          <w:szCs w:val="24"/>
        </w:rPr>
      </w:pPr>
    </w:p>
    <w:p w14:paraId="45562F8C" w14:textId="3CCD8B8F"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Nabataean funerary belief was profoundly intertwined with the architecture built to accommodate it, as a modern understanding of those beliefs is in majority derived from architectural interpretations and the analysis of inscriptions</w:t>
      </w:r>
      <w:r w:rsidR="00CD50DE" w:rsidRPr="00BD2AB4">
        <w:rPr>
          <w:rFonts w:ascii="Times New Roman" w:hAnsi="Times New Roman" w:cs="Times New Roman"/>
          <w:sz w:val="24"/>
          <w:szCs w:val="24"/>
        </w:rPr>
        <w:t>, as</w:t>
      </w:r>
      <w:r w:rsidRPr="00BD2AB4">
        <w:rPr>
          <w:rFonts w:ascii="Times New Roman" w:hAnsi="Times New Roman" w:cs="Times New Roman"/>
          <w:sz w:val="24"/>
          <w:szCs w:val="24"/>
        </w:rPr>
        <w:t xml:space="preserve"> </w:t>
      </w:r>
      <w:r w:rsidR="00CD50DE" w:rsidRPr="00BD2AB4">
        <w:rPr>
          <w:rFonts w:ascii="Times New Roman" w:hAnsi="Times New Roman" w:cs="Times New Roman"/>
          <w:sz w:val="24"/>
          <w:szCs w:val="24"/>
        </w:rPr>
        <w:t>m</w:t>
      </w:r>
      <w:r w:rsidRPr="00BD2AB4">
        <w:rPr>
          <w:rFonts w:ascii="Times New Roman" w:hAnsi="Times New Roman" w:cs="Times New Roman"/>
          <w:sz w:val="24"/>
          <w:szCs w:val="24"/>
        </w:rPr>
        <w:t>ost inscriptions have been placed into the funerary sphere</w:t>
      </w:r>
      <w:r w:rsidR="00BA17F6"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t xml:space="preserve"> </w:t>
      </w:r>
      <w:r w:rsidRPr="00BD2AB4">
        <w:rPr>
          <w:rFonts w:ascii="Times New Roman" w:hAnsi="Times New Roman" w:cs="Times New Roman"/>
          <w:sz w:val="24"/>
          <w:szCs w:val="24"/>
          <w:vertAlign w:val="superscript"/>
        </w:rPr>
        <w:footnoteReference w:id="190"/>
      </w:r>
      <w:r w:rsidRPr="00BD2AB4">
        <w:rPr>
          <w:rFonts w:ascii="Times New Roman" w:hAnsi="Times New Roman" w:cs="Times New Roman"/>
          <w:sz w:val="24"/>
          <w:szCs w:val="24"/>
        </w:rPr>
        <w:t xml:space="preserve">  </w:t>
      </w:r>
      <w:r w:rsidR="00BA17F6" w:rsidRPr="00BD2AB4">
        <w:rPr>
          <w:rFonts w:ascii="Times New Roman" w:hAnsi="Times New Roman" w:cs="Times New Roman"/>
          <w:sz w:val="24"/>
          <w:szCs w:val="24"/>
        </w:rPr>
        <w:t>M</w:t>
      </w:r>
      <w:r w:rsidRPr="00BD2AB4">
        <w:rPr>
          <w:rFonts w:ascii="Times New Roman" w:hAnsi="Times New Roman" w:cs="Times New Roman"/>
          <w:sz w:val="24"/>
          <w:szCs w:val="24"/>
        </w:rPr>
        <w:t>any funerary texts have been recorded on stone slaps</w:t>
      </w:r>
      <w:r w:rsidR="00BA17F6" w:rsidRPr="00BD2AB4">
        <w:rPr>
          <w:rFonts w:ascii="Times New Roman" w:hAnsi="Times New Roman" w:cs="Times New Roman"/>
          <w:sz w:val="24"/>
          <w:szCs w:val="24"/>
        </w:rPr>
        <w:t>,</w:t>
      </w:r>
      <w:r w:rsidRPr="00BD2AB4">
        <w:rPr>
          <w:rFonts w:ascii="Times New Roman" w:hAnsi="Times New Roman" w:cs="Times New Roman"/>
          <w:sz w:val="24"/>
          <w:szCs w:val="24"/>
        </w:rPr>
        <w:t xml:space="preserve"> that mention the deceased and their ancestors. </w:t>
      </w:r>
      <w:r w:rsidRPr="00BD2AB4">
        <w:rPr>
          <w:rFonts w:ascii="Times New Roman" w:hAnsi="Times New Roman" w:cs="Times New Roman"/>
          <w:sz w:val="24"/>
          <w:szCs w:val="24"/>
          <w:vertAlign w:val="superscript"/>
        </w:rPr>
        <w:footnoteReference w:id="191"/>
      </w:r>
      <w:r w:rsidRPr="00BD2AB4">
        <w:rPr>
          <w:rFonts w:ascii="Times New Roman" w:hAnsi="Times New Roman" w:cs="Times New Roman"/>
          <w:sz w:val="24"/>
          <w:szCs w:val="24"/>
        </w:rPr>
        <w:t xml:space="preserve">  Additionally, funerary texts can be found on tomb facades, claiming the divine protection of the deceased.</w:t>
      </w:r>
      <w:r w:rsidRPr="00BD2AB4">
        <w:rPr>
          <w:rFonts w:ascii="Times New Roman" w:hAnsi="Times New Roman" w:cs="Times New Roman"/>
          <w:sz w:val="24"/>
          <w:szCs w:val="24"/>
          <w:vertAlign w:val="superscript"/>
        </w:rPr>
        <w:footnoteReference w:id="192"/>
      </w:r>
      <w:r w:rsidRPr="00BD2AB4">
        <w:rPr>
          <w:rFonts w:ascii="Times New Roman" w:hAnsi="Times New Roman" w:cs="Times New Roman"/>
          <w:sz w:val="24"/>
          <w:szCs w:val="24"/>
        </w:rPr>
        <w:t xml:space="preserve"> Understandably so, as the tomb and its complex were considered sacred space, with the description “house of eternity”</w:t>
      </w:r>
      <w:r w:rsidRPr="00BD2AB4">
        <w:rPr>
          <w:rFonts w:ascii="Times New Roman" w:hAnsi="Times New Roman" w:cs="Times New Roman"/>
          <w:sz w:val="24"/>
          <w:szCs w:val="24"/>
          <w:vertAlign w:val="superscript"/>
        </w:rPr>
        <w:footnoteReference w:id="193"/>
      </w:r>
      <w:r w:rsidRPr="00BD2AB4">
        <w:rPr>
          <w:rFonts w:ascii="Times New Roman" w:hAnsi="Times New Roman" w:cs="Times New Roman"/>
          <w:sz w:val="24"/>
          <w:szCs w:val="24"/>
        </w:rPr>
        <w:t xml:space="preserve"> referring to the tombs themselves. </w:t>
      </w:r>
      <w:r w:rsidR="00BA17F6" w:rsidRPr="00BD2AB4">
        <w:rPr>
          <w:rFonts w:ascii="Times New Roman" w:hAnsi="Times New Roman" w:cs="Times New Roman"/>
          <w:sz w:val="24"/>
          <w:szCs w:val="24"/>
        </w:rPr>
        <w:t>E</w:t>
      </w:r>
      <w:r w:rsidRPr="00BD2AB4">
        <w:rPr>
          <w:rFonts w:ascii="Times New Roman" w:hAnsi="Times New Roman" w:cs="Times New Roman"/>
          <w:sz w:val="24"/>
          <w:szCs w:val="24"/>
        </w:rPr>
        <w:t xml:space="preserve">xamples of </w:t>
      </w:r>
      <w:r w:rsidR="00BA17F6" w:rsidRPr="00BD2AB4">
        <w:rPr>
          <w:rFonts w:ascii="Times New Roman" w:hAnsi="Times New Roman" w:cs="Times New Roman"/>
          <w:sz w:val="24"/>
          <w:szCs w:val="24"/>
        </w:rPr>
        <w:t>such protection,</w:t>
      </w:r>
      <w:r w:rsidRPr="00BD2AB4">
        <w:rPr>
          <w:rFonts w:ascii="Times New Roman" w:hAnsi="Times New Roman" w:cs="Times New Roman"/>
          <w:sz w:val="24"/>
          <w:szCs w:val="24"/>
        </w:rPr>
        <w:t xml:space="preserve"> can be seen </w:t>
      </w:r>
      <w:r w:rsidR="00BA17F6" w:rsidRPr="00BD2AB4">
        <w:rPr>
          <w:rFonts w:ascii="Times New Roman" w:hAnsi="Times New Roman" w:cs="Times New Roman"/>
          <w:sz w:val="24"/>
          <w:szCs w:val="24"/>
        </w:rPr>
        <w:t xml:space="preserve">on </w:t>
      </w:r>
      <w:r w:rsidRPr="00BD2AB4">
        <w:rPr>
          <w:rFonts w:ascii="Times New Roman" w:hAnsi="Times New Roman" w:cs="Times New Roman"/>
          <w:sz w:val="24"/>
          <w:szCs w:val="24"/>
        </w:rPr>
        <w:t xml:space="preserve">the </w:t>
      </w:r>
      <w:proofErr w:type="spellStart"/>
      <w:r w:rsidRPr="00BD2AB4">
        <w:rPr>
          <w:rFonts w:ascii="Times New Roman" w:hAnsi="Times New Roman" w:cs="Times New Roman"/>
          <w:sz w:val="24"/>
          <w:szCs w:val="24"/>
        </w:rPr>
        <w:t>Turkmaniyah</w:t>
      </w:r>
      <w:proofErr w:type="spellEnd"/>
      <w:r w:rsidRPr="00BD2AB4">
        <w:rPr>
          <w:rFonts w:ascii="Times New Roman" w:hAnsi="Times New Roman" w:cs="Times New Roman"/>
          <w:sz w:val="24"/>
          <w:szCs w:val="24"/>
        </w:rPr>
        <w:t xml:space="preserve"> and B22/IGN 44 tomb</w:t>
      </w:r>
      <w:r w:rsidR="00BA17F6" w:rsidRPr="00BD2AB4">
        <w:rPr>
          <w:rFonts w:ascii="Times New Roman" w:hAnsi="Times New Roman" w:cs="Times New Roman"/>
          <w:sz w:val="24"/>
          <w:szCs w:val="24"/>
        </w:rPr>
        <w:t>s</w:t>
      </w:r>
      <w:r w:rsidRPr="00BD2AB4">
        <w:rPr>
          <w:rFonts w:ascii="Times New Roman" w:hAnsi="Times New Roman" w:cs="Times New Roman"/>
          <w:sz w:val="24"/>
          <w:szCs w:val="24"/>
        </w:rPr>
        <w:t>, bearing inscriptions claiming the tomb and its contents as sacred and belonging to the gods alone.</w:t>
      </w:r>
      <w:r w:rsidRPr="00BD2AB4">
        <w:rPr>
          <w:rFonts w:ascii="Times New Roman" w:hAnsi="Times New Roman" w:cs="Times New Roman"/>
          <w:sz w:val="24"/>
          <w:szCs w:val="24"/>
          <w:vertAlign w:val="superscript"/>
        </w:rPr>
        <w:footnoteReference w:id="194"/>
      </w:r>
    </w:p>
    <w:p w14:paraId="166AEBF9" w14:textId="77777777"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Despite epigraphic and archaeological sources however, there is overall very little known about Nabataean funerary rites.</w:t>
      </w:r>
      <w:r w:rsidRPr="00BD2AB4">
        <w:rPr>
          <w:rFonts w:ascii="Times New Roman" w:hAnsi="Times New Roman" w:cs="Times New Roman"/>
          <w:sz w:val="24"/>
          <w:szCs w:val="24"/>
          <w:vertAlign w:val="superscript"/>
        </w:rPr>
        <w:footnoteReference w:id="195"/>
      </w:r>
    </w:p>
    <w:p w14:paraId="1EEB6854" w14:textId="149CE69B"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It has been suggested that funerary rites in general</w:t>
      </w:r>
      <w:r w:rsidR="00BA17F6" w:rsidRPr="00BD2AB4">
        <w:rPr>
          <w:rFonts w:ascii="Times New Roman" w:hAnsi="Times New Roman" w:cs="Times New Roman"/>
          <w:sz w:val="24"/>
          <w:szCs w:val="24"/>
        </w:rPr>
        <w:t>,</w:t>
      </w:r>
      <w:r w:rsidRPr="00BD2AB4">
        <w:rPr>
          <w:rFonts w:ascii="Times New Roman" w:hAnsi="Times New Roman" w:cs="Times New Roman"/>
          <w:sz w:val="24"/>
          <w:szCs w:val="24"/>
        </w:rPr>
        <w:t xml:space="preserve"> were likely carried out in associated with tombs, which could form funerary complexes</w:t>
      </w:r>
      <w:r w:rsidR="00BA17F6" w:rsidRPr="00BD2AB4">
        <w:rPr>
          <w:rFonts w:ascii="Times New Roman" w:hAnsi="Times New Roman" w:cs="Times New Roman"/>
          <w:sz w:val="24"/>
          <w:szCs w:val="24"/>
        </w:rPr>
        <w:t xml:space="preserve">, </w:t>
      </w:r>
      <w:r w:rsidRPr="00BD2AB4">
        <w:rPr>
          <w:rFonts w:ascii="Times New Roman" w:hAnsi="Times New Roman" w:cs="Times New Roman"/>
          <w:sz w:val="24"/>
          <w:szCs w:val="24"/>
        </w:rPr>
        <w:t xml:space="preserve">as seen from the tombs of </w:t>
      </w:r>
      <w:proofErr w:type="spellStart"/>
      <w:r w:rsidRPr="00BD2AB4">
        <w:rPr>
          <w:rFonts w:ascii="Times New Roman" w:hAnsi="Times New Roman" w:cs="Times New Roman"/>
          <w:sz w:val="24"/>
          <w:szCs w:val="24"/>
        </w:rPr>
        <w:t>Uneishu</w:t>
      </w:r>
      <w:proofErr w:type="spellEnd"/>
      <w:r w:rsidRPr="00BD2AB4">
        <w:rPr>
          <w:rFonts w:ascii="Times New Roman" w:hAnsi="Times New Roman" w:cs="Times New Roman"/>
          <w:sz w:val="24"/>
          <w:szCs w:val="24"/>
        </w:rPr>
        <w:t xml:space="preserve">, the </w:t>
      </w:r>
      <w:proofErr w:type="spellStart"/>
      <w:r w:rsidRPr="00BD2AB4">
        <w:rPr>
          <w:rFonts w:ascii="Times New Roman" w:hAnsi="Times New Roman" w:cs="Times New Roman"/>
          <w:sz w:val="24"/>
          <w:szCs w:val="24"/>
        </w:rPr>
        <w:t>Soldies</w:t>
      </w:r>
      <w:proofErr w:type="spellEnd"/>
      <w:r w:rsidRPr="00BD2AB4">
        <w:rPr>
          <w:rFonts w:ascii="Times New Roman" w:hAnsi="Times New Roman" w:cs="Times New Roman"/>
          <w:sz w:val="24"/>
          <w:szCs w:val="24"/>
        </w:rPr>
        <w:t xml:space="preserve"> tomb and the Urn tomb at Petra.</w:t>
      </w:r>
      <w:r w:rsidRPr="00BD2AB4">
        <w:rPr>
          <w:rFonts w:ascii="Times New Roman" w:hAnsi="Times New Roman" w:cs="Times New Roman"/>
          <w:sz w:val="24"/>
          <w:szCs w:val="24"/>
          <w:vertAlign w:val="superscript"/>
        </w:rPr>
        <w:footnoteReference w:id="196"/>
      </w:r>
      <w:r w:rsidRPr="00BD2AB4">
        <w:rPr>
          <w:rFonts w:ascii="Times New Roman" w:hAnsi="Times New Roman" w:cs="Times New Roman"/>
          <w:sz w:val="24"/>
          <w:szCs w:val="24"/>
        </w:rPr>
        <w:t xml:space="preserve"> Those complexes could be composed of surrounding colonnades and vaults, as well as loculi placed on top of doorways.</w:t>
      </w:r>
      <w:r w:rsidRPr="00BD2AB4">
        <w:rPr>
          <w:rFonts w:ascii="Times New Roman" w:hAnsi="Times New Roman" w:cs="Times New Roman"/>
          <w:sz w:val="24"/>
          <w:szCs w:val="24"/>
          <w:vertAlign w:val="superscript"/>
        </w:rPr>
        <w:footnoteReference w:id="197"/>
      </w:r>
      <w:r w:rsidRPr="00BD2AB4">
        <w:rPr>
          <w:rFonts w:ascii="Times New Roman" w:hAnsi="Times New Roman" w:cs="Times New Roman"/>
          <w:sz w:val="24"/>
          <w:szCs w:val="24"/>
        </w:rPr>
        <w:t xml:space="preserve"> Additionally, tomb chambers may have served or had adjacent to them, triclinia, possibly used for funerary rituals including feasts, as twenty-five triclinia at Petra have been found affiliated with tombs.</w:t>
      </w:r>
      <w:r w:rsidRPr="00BD2AB4">
        <w:rPr>
          <w:rFonts w:ascii="Times New Roman" w:hAnsi="Times New Roman" w:cs="Times New Roman"/>
          <w:sz w:val="24"/>
          <w:szCs w:val="24"/>
          <w:vertAlign w:val="superscript"/>
        </w:rPr>
        <w:footnoteReference w:id="198"/>
      </w:r>
      <w:r w:rsidRPr="00BD2AB4">
        <w:rPr>
          <w:rFonts w:ascii="Times New Roman" w:hAnsi="Times New Roman" w:cs="Times New Roman"/>
          <w:sz w:val="24"/>
          <w:szCs w:val="24"/>
        </w:rPr>
        <w:t xml:space="preserve"> Such triclinia,  associated with funerary feasting,  were also common at Palmyra, with a distinguished Nabataean example situated at Khirbet </w:t>
      </w:r>
      <w:proofErr w:type="spellStart"/>
      <w:r w:rsidRPr="00BD2AB4">
        <w:rPr>
          <w:rFonts w:ascii="Times New Roman" w:hAnsi="Times New Roman" w:cs="Times New Roman"/>
          <w:sz w:val="24"/>
          <w:szCs w:val="24"/>
        </w:rPr>
        <w:t>Tannur</w:t>
      </w:r>
      <w:proofErr w:type="spellEnd"/>
      <w:r w:rsidRPr="00BD2AB4">
        <w:rPr>
          <w:rFonts w:ascii="Times New Roman" w:hAnsi="Times New Roman" w:cs="Times New Roman"/>
          <w:sz w:val="24"/>
          <w:szCs w:val="24"/>
        </w:rPr>
        <w:t>.</w:t>
      </w:r>
      <w:r w:rsidRPr="00BD2AB4">
        <w:rPr>
          <w:rFonts w:ascii="Times New Roman" w:hAnsi="Times New Roman" w:cs="Times New Roman"/>
          <w:sz w:val="24"/>
          <w:szCs w:val="24"/>
          <w:vertAlign w:val="superscript"/>
        </w:rPr>
        <w:footnoteReference w:id="199"/>
      </w:r>
      <w:r w:rsidRPr="00BD2AB4">
        <w:rPr>
          <w:rFonts w:ascii="Times New Roman" w:hAnsi="Times New Roman" w:cs="Times New Roman"/>
          <w:sz w:val="24"/>
          <w:szCs w:val="24"/>
        </w:rPr>
        <w:t xml:space="preserve"> The </w:t>
      </w:r>
      <w:proofErr w:type="spellStart"/>
      <w:r w:rsidRPr="00BD2AB4">
        <w:rPr>
          <w:rFonts w:ascii="Times New Roman" w:hAnsi="Times New Roman" w:cs="Times New Roman"/>
          <w:sz w:val="24"/>
          <w:szCs w:val="24"/>
        </w:rPr>
        <w:t>Turkmaniyyeh</w:t>
      </w:r>
      <w:proofErr w:type="spellEnd"/>
      <w:r w:rsidRPr="00BD2AB4">
        <w:rPr>
          <w:rFonts w:ascii="Times New Roman" w:hAnsi="Times New Roman" w:cs="Times New Roman"/>
          <w:sz w:val="24"/>
          <w:szCs w:val="24"/>
        </w:rPr>
        <w:t xml:space="preserve"> tomb inscriptions have moreover referred to funerary associations with gardens, </w:t>
      </w:r>
      <w:r w:rsidRPr="00BD2AB4">
        <w:rPr>
          <w:rFonts w:ascii="Times New Roman" w:hAnsi="Times New Roman" w:cs="Times New Roman"/>
          <w:sz w:val="24"/>
          <w:szCs w:val="24"/>
          <w:vertAlign w:val="superscript"/>
        </w:rPr>
        <w:footnoteReference w:id="200"/>
      </w:r>
      <w:r w:rsidRPr="00BD2AB4">
        <w:rPr>
          <w:rFonts w:ascii="Times New Roman" w:hAnsi="Times New Roman" w:cs="Times New Roman"/>
          <w:sz w:val="24"/>
          <w:szCs w:val="24"/>
        </w:rPr>
        <w:t xml:space="preserve"> while there is also evidence for adjacent chapels, as seen with the </w:t>
      </w:r>
      <w:proofErr w:type="spellStart"/>
      <w:r w:rsidRPr="00BD2AB4">
        <w:rPr>
          <w:rFonts w:ascii="Times New Roman" w:hAnsi="Times New Roman" w:cs="Times New Roman"/>
          <w:sz w:val="24"/>
          <w:szCs w:val="24"/>
        </w:rPr>
        <w:t>Obodas</w:t>
      </w:r>
      <w:proofErr w:type="spellEnd"/>
      <w:r w:rsidRPr="00BD2AB4">
        <w:rPr>
          <w:rFonts w:ascii="Times New Roman" w:hAnsi="Times New Roman" w:cs="Times New Roman"/>
          <w:sz w:val="24"/>
          <w:szCs w:val="24"/>
        </w:rPr>
        <w:t xml:space="preserve"> chapel.</w:t>
      </w:r>
      <w:r w:rsidRPr="00BD2AB4">
        <w:rPr>
          <w:rFonts w:ascii="Times New Roman" w:hAnsi="Times New Roman" w:cs="Times New Roman"/>
          <w:sz w:val="24"/>
          <w:szCs w:val="24"/>
          <w:vertAlign w:val="superscript"/>
        </w:rPr>
        <w:footnoteReference w:id="201"/>
      </w:r>
      <w:r w:rsidRPr="00BD2AB4">
        <w:rPr>
          <w:rFonts w:ascii="Times New Roman" w:hAnsi="Times New Roman" w:cs="Times New Roman"/>
          <w:sz w:val="24"/>
          <w:szCs w:val="24"/>
        </w:rPr>
        <w:t xml:space="preserve">  </w:t>
      </w:r>
    </w:p>
    <w:p w14:paraId="480E332F" w14:textId="62478B25"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Attempts at reconstructing the complex around tomb BD 649 at Petra</w:t>
      </w:r>
      <w:r w:rsidR="00BA17F6" w:rsidRPr="00BD2AB4">
        <w:rPr>
          <w:rFonts w:ascii="Times New Roman" w:hAnsi="Times New Roman" w:cs="Times New Roman"/>
          <w:sz w:val="24"/>
          <w:szCs w:val="24"/>
        </w:rPr>
        <w:t>,</w:t>
      </w:r>
      <w:r w:rsidRPr="00BD2AB4">
        <w:rPr>
          <w:rFonts w:ascii="Times New Roman" w:hAnsi="Times New Roman" w:cs="Times New Roman"/>
          <w:sz w:val="24"/>
          <w:szCs w:val="24"/>
        </w:rPr>
        <w:t xml:space="preserve"> have yielded an illustration that may give an incentive of the structures which could have been associated with Nabataean rock-cut tombs.</w:t>
      </w:r>
      <w:r w:rsidRPr="00BD2AB4">
        <w:rPr>
          <w:rFonts w:ascii="Times New Roman" w:hAnsi="Times New Roman" w:cs="Times New Roman"/>
          <w:sz w:val="24"/>
          <w:szCs w:val="24"/>
          <w:vertAlign w:val="superscript"/>
        </w:rPr>
        <w:footnoteReference w:id="202"/>
      </w:r>
    </w:p>
    <w:p w14:paraId="63CE75A7" w14:textId="6DB1E52D"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presence of numerous “high-places”</w:t>
      </w:r>
      <w:r w:rsidRPr="00BD2AB4">
        <w:rPr>
          <w:rFonts w:ascii="Times New Roman" w:hAnsi="Times New Roman" w:cs="Times New Roman"/>
          <w:sz w:val="24"/>
          <w:szCs w:val="24"/>
          <w:vertAlign w:val="superscript"/>
        </w:rPr>
        <w:footnoteReference w:id="203"/>
      </w:r>
      <w:r w:rsidRPr="00BD2AB4">
        <w:rPr>
          <w:rFonts w:ascii="Times New Roman" w:hAnsi="Times New Roman" w:cs="Times New Roman"/>
          <w:sz w:val="24"/>
          <w:szCs w:val="24"/>
        </w:rPr>
        <w:t xml:space="preserve"> close to tomb sites, has led to the belief that they have been significant for ritualistic purposes, such as exposing the dead before burial or even serving as a space for funerary sacrifices.</w:t>
      </w:r>
      <w:r w:rsidRPr="00BD2AB4">
        <w:rPr>
          <w:rFonts w:ascii="Times New Roman" w:hAnsi="Times New Roman" w:cs="Times New Roman"/>
          <w:sz w:val="24"/>
          <w:szCs w:val="24"/>
          <w:vertAlign w:val="superscript"/>
        </w:rPr>
        <w:footnoteReference w:id="204"/>
      </w:r>
      <w:r w:rsidRPr="00BD2AB4">
        <w:rPr>
          <w:rFonts w:ascii="Times New Roman" w:hAnsi="Times New Roman" w:cs="Times New Roman"/>
          <w:sz w:val="24"/>
          <w:szCs w:val="24"/>
        </w:rPr>
        <w:t xml:space="preserve">  Not just limited to Nabataean territory, high places existed throughout the Near East, often representing mountain tops or elevated positions</w:t>
      </w:r>
      <w:r w:rsidR="00BA17F6" w:rsidRPr="00BD2AB4">
        <w:rPr>
          <w:rFonts w:ascii="Times New Roman" w:hAnsi="Times New Roman" w:cs="Times New Roman"/>
          <w:sz w:val="24"/>
          <w:szCs w:val="24"/>
        </w:rPr>
        <w:t>,</w:t>
      </w:r>
      <w:r w:rsidRPr="00BD2AB4">
        <w:rPr>
          <w:rFonts w:ascii="Times New Roman" w:hAnsi="Times New Roman" w:cs="Times New Roman"/>
          <w:sz w:val="24"/>
          <w:szCs w:val="24"/>
        </w:rPr>
        <w:t xml:space="preserve"> which could host a range of religious monuments, such as sanctuaries.</w:t>
      </w:r>
      <w:r w:rsidRPr="00BD2AB4">
        <w:rPr>
          <w:rFonts w:ascii="Times New Roman" w:hAnsi="Times New Roman" w:cs="Times New Roman"/>
          <w:sz w:val="24"/>
          <w:szCs w:val="24"/>
          <w:vertAlign w:val="superscript"/>
        </w:rPr>
        <w:footnoteReference w:id="205"/>
      </w:r>
      <w:r w:rsidRPr="00BD2AB4">
        <w:rPr>
          <w:rFonts w:ascii="Times New Roman" w:hAnsi="Times New Roman" w:cs="Times New Roman"/>
          <w:sz w:val="24"/>
          <w:szCs w:val="24"/>
        </w:rPr>
        <w:t xml:space="preserve"> What was interpreted as processional routes, sometimes led up to high places, adorned with rock-cut </w:t>
      </w:r>
      <w:r w:rsidRPr="00BD2AB4">
        <w:rPr>
          <w:rFonts w:ascii="Times New Roman" w:hAnsi="Times New Roman" w:cs="Times New Roman"/>
          <w:sz w:val="24"/>
          <w:szCs w:val="24"/>
        </w:rPr>
        <w:lastRenderedPageBreak/>
        <w:t>loculi and inscriptions.</w:t>
      </w:r>
      <w:r w:rsidRPr="00BD2AB4">
        <w:rPr>
          <w:rFonts w:ascii="Times New Roman" w:hAnsi="Times New Roman" w:cs="Times New Roman"/>
          <w:sz w:val="24"/>
          <w:szCs w:val="24"/>
          <w:vertAlign w:val="superscript"/>
        </w:rPr>
        <w:footnoteReference w:id="206"/>
      </w:r>
      <w:r w:rsidRPr="00BD2AB4">
        <w:rPr>
          <w:rFonts w:ascii="Times New Roman" w:hAnsi="Times New Roman" w:cs="Times New Roman"/>
          <w:sz w:val="24"/>
          <w:szCs w:val="24"/>
        </w:rPr>
        <w:t xml:space="preserve"> An example of a Nabataean high place was </w:t>
      </w:r>
      <w:proofErr w:type="spellStart"/>
      <w:r w:rsidRPr="00BD2AB4">
        <w:rPr>
          <w:rFonts w:ascii="Times New Roman" w:hAnsi="Times New Roman" w:cs="Times New Roman"/>
          <w:sz w:val="24"/>
          <w:szCs w:val="24"/>
        </w:rPr>
        <w:t>Oboda</w:t>
      </w:r>
      <w:proofErr w:type="spellEnd"/>
      <w:r w:rsidRPr="00BD2AB4">
        <w:rPr>
          <w:rFonts w:ascii="Times New Roman" w:hAnsi="Times New Roman" w:cs="Times New Roman"/>
          <w:sz w:val="24"/>
          <w:szCs w:val="24"/>
        </w:rPr>
        <w:t xml:space="preserve"> in the Negev.</w:t>
      </w:r>
      <w:r w:rsidRPr="00BD2AB4">
        <w:rPr>
          <w:rFonts w:ascii="Times New Roman" w:hAnsi="Times New Roman" w:cs="Times New Roman"/>
          <w:sz w:val="24"/>
          <w:szCs w:val="24"/>
          <w:vertAlign w:val="superscript"/>
        </w:rPr>
        <w:footnoteReference w:id="207"/>
      </w:r>
      <w:r w:rsidRPr="00BD2AB4">
        <w:rPr>
          <w:rFonts w:ascii="Times New Roman" w:hAnsi="Times New Roman" w:cs="Times New Roman"/>
          <w:sz w:val="24"/>
          <w:szCs w:val="24"/>
        </w:rPr>
        <w:t xml:space="preserve"> Healey 2001 suggested a possible root of the utilization of high places for funerary rites in Persian culture, despite lacking an example.</w:t>
      </w:r>
      <w:r w:rsidRPr="00BD2AB4">
        <w:rPr>
          <w:rFonts w:ascii="Times New Roman" w:hAnsi="Times New Roman" w:cs="Times New Roman"/>
          <w:sz w:val="24"/>
          <w:szCs w:val="24"/>
          <w:vertAlign w:val="superscript"/>
        </w:rPr>
        <w:footnoteReference w:id="208"/>
      </w:r>
      <w:r w:rsidRPr="00BD2AB4">
        <w:rPr>
          <w:rFonts w:ascii="Times New Roman" w:hAnsi="Times New Roman" w:cs="Times New Roman"/>
          <w:sz w:val="24"/>
          <w:szCs w:val="24"/>
        </w:rPr>
        <w:t xml:space="preserve"> </w:t>
      </w:r>
    </w:p>
    <w:p w14:paraId="028470DF" w14:textId="0082C048"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Deir at Petra, not a tomb and easily confused with </w:t>
      </w:r>
      <w:r w:rsidR="00BA17F6" w:rsidRPr="00BD2AB4">
        <w:rPr>
          <w:rFonts w:ascii="Times New Roman" w:hAnsi="Times New Roman" w:cs="Times New Roman"/>
          <w:sz w:val="24"/>
          <w:szCs w:val="24"/>
        </w:rPr>
        <w:t>the</w:t>
      </w:r>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Kazneh</w:t>
      </w:r>
      <w:proofErr w:type="spellEnd"/>
      <w:r w:rsidRPr="00BD2AB4">
        <w:rPr>
          <w:rFonts w:ascii="Times New Roman" w:hAnsi="Times New Roman" w:cs="Times New Roman"/>
          <w:sz w:val="24"/>
          <w:szCs w:val="24"/>
        </w:rPr>
        <w:t>, was supposedly hosting a “high place type of ritual”</w:t>
      </w:r>
      <w:r w:rsidRPr="00BD2AB4">
        <w:rPr>
          <w:rFonts w:ascii="Times New Roman" w:hAnsi="Times New Roman" w:cs="Times New Roman"/>
          <w:sz w:val="24"/>
          <w:szCs w:val="24"/>
          <w:vertAlign w:val="superscript"/>
        </w:rPr>
        <w:footnoteReference w:id="209"/>
      </w:r>
      <w:r w:rsidRPr="00BD2AB4">
        <w:rPr>
          <w:rFonts w:ascii="Times New Roman" w:hAnsi="Times New Roman" w:cs="Times New Roman"/>
          <w:sz w:val="24"/>
          <w:szCs w:val="24"/>
        </w:rPr>
        <w:t>, whereby no evidence for such, other than the existence of a platform is given.</w:t>
      </w:r>
      <w:r w:rsidRPr="00BD2AB4">
        <w:rPr>
          <w:rFonts w:ascii="Times New Roman" w:hAnsi="Times New Roman" w:cs="Times New Roman"/>
          <w:sz w:val="24"/>
          <w:szCs w:val="24"/>
          <w:vertAlign w:val="superscript"/>
        </w:rPr>
        <w:footnoteReference w:id="210"/>
      </w:r>
      <w:r w:rsidRPr="00BD2AB4">
        <w:rPr>
          <w:rFonts w:ascii="Times New Roman" w:hAnsi="Times New Roman" w:cs="Times New Roman"/>
          <w:sz w:val="24"/>
          <w:szCs w:val="24"/>
        </w:rPr>
        <w:t xml:space="preserve">  This evidently shows</w:t>
      </w:r>
      <w:r w:rsidR="00BA17F6" w:rsidRPr="00BD2AB4">
        <w:rPr>
          <w:rFonts w:ascii="Times New Roman" w:hAnsi="Times New Roman" w:cs="Times New Roman"/>
          <w:sz w:val="24"/>
          <w:szCs w:val="24"/>
        </w:rPr>
        <w:t>,</w:t>
      </w:r>
      <w:r w:rsidRPr="00BD2AB4">
        <w:rPr>
          <w:rFonts w:ascii="Times New Roman" w:hAnsi="Times New Roman" w:cs="Times New Roman"/>
          <w:sz w:val="24"/>
          <w:szCs w:val="24"/>
        </w:rPr>
        <w:t xml:space="preserve"> how careful modern scholars have to be</w:t>
      </w:r>
      <w:r w:rsidR="00BA17F6" w:rsidRPr="00BD2AB4">
        <w:rPr>
          <w:rFonts w:ascii="Times New Roman" w:hAnsi="Times New Roman" w:cs="Times New Roman"/>
          <w:sz w:val="24"/>
          <w:szCs w:val="24"/>
        </w:rPr>
        <w:t>,</w:t>
      </w:r>
      <w:r w:rsidRPr="00BD2AB4">
        <w:rPr>
          <w:rFonts w:ascii="Times New Roman" w:hAnsi="Times New Roman" w:cs="Times New Roman"/>
          <w:sz w:val="24"/>
          <w:szCs w:val="24"/>
        </w:rPr>
        <w:t xml:space="preserve"> when labelling something as a ritualistic space, as this term is referred to many unclear applications.</w:t>
      </w:r>
      <w:r w:rsidRPr="00BD2AB4">
        <w:rPr>
          <w:rFonts w:ascii="Times New Roman" w:hAnsi="Times New Roman" w:cs="Times New Roman"/>
          <w:sz w:val="24"/>
          <w:szCs w:val="24"/>
          <w:vertAlign w:val="superscript"/>
        </w:rPr>
        <w:footnoteReference w:id="211"/>
      </w:r>
      <w:r w:rsidRPr="00BD2AB4">
        <w:rPr>
          <w:rFonts w:ascii="Times New Roman" w:hAnsi="Times New Roman" w:cs="Times New Roman"/>
          <w:sz w:val="24"/>
          <w:szCs w:val="24"/>
        </w:rPr>
        <w:t xml:space="preserve"> </w:t>
      </w:r>
    </w:p>
    <w:p w14:paraId="2DEACF63" w14:textId="78BD505E"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After exposing the dead to the alleged rituals, most of them were probably wrapped into cloths and placed into slots on the tomb walls or floor.</w:t>
      </w:r>
      <w:r w:rsidRPr="00BD2AB4">
        <w:rPr>
          <w:rFonts w:ascii="Times New Roman" w:hAnsi="Times New Roman" w:cs="Times New Roman"/>
          <w:sz w:val="24"/>
          <w:szCs w:val="24"/>
          <w:vertAlign w:val="superscript"/>
        </w:rPr>
        <w:footnoteReference w:id="212"/>
      </w:r>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Heckl</w:t>
      </w:r>
      <w:proofErr w:type="spellEnd"/>
      <w:r w:rsidRPr="00BD2AB4">
        <w:rPr>
          <w:rFonts w:ascii="Times New Roman" w:hAnsi="Times New Roman" w:cs="Times New Roman"/>
          <w:sz w:val="24"/>
          <w:szCs w:val="24"/>
        </w:rPr>
        <w:t xml:space="preserve"> et al 2003 suggested that, as the collective burial of family members appeared to have been important to the Nabataeans, that secondary bone burials</w:t>
      </w:r>
      <w:r w:rsidR="003147A0" w:rsidRPr="00BD2AB4">
        <w:rPr>
          <w:rFonts w:ascii="Times New Roman" w:hAnsi="Times New Roman" w:cs="Times New Roman"/>
          <w:sz w:val="24"/>
          <w:szCs w:val="24"/>
        </w:rPr>
        <w:t>,</w:t>
      </w:r>
      <w:r w:rsidRPr="00BD2AB4">
        <w:rPr>
          <w:rFonts w:ascii="Times New Roman" w:hAnsi="Times New Roman" w:cs="Times New Roman"/>
          <w:sz w:val="24"/>
          <w:szCs w:val="24"/>
        </w:rPr>
        <w:t xml:space="preserve"> which were occasionally found inside rock-cut tombs, represented family members who died away from home</w:t>
      </w:r>
      <w:r w:rsidR="003147A0" w:rsidRPr="00BD2AB4">
        <w:rPr>
          <w:rFonts w:ascii="Times New Roman" w:hAnsi="Times New Roman" w:cs="Times New Roman"/>
          <w:sz w:val="24"/>
          <w:szCs w:val="24"/>
        </w:rPr>
        <w:t>,</w:t>
      </w:r>
      <w:r w:rsidRPr="00BD2AB4">
        <w:rPr>
          <w:rFonts w:ascii="Times New Roman" w:hAnsi="Times New Roman" w:cs="Times New Roman"/>
          <w:sz w:val="24"/>
          <w:szCs w:val="24"/>
        </w:rPr>
        <w:t xml:space="preserve"> and were brought back to their families.</w:t>
      </w:r>
      <w:r w:rsidRPr="00BD2AB4">
        <w:rPr>
          <w:rFonts w:ascii="Times New Roman" w:hAnsi="Times New Roman" w:cs="Times New Roman"/>
          <w:sz w:val="24"/>
          <w:szCs w:val="24"/>
          <w:vertAlign w:val="superscript"/>
        </w:rPr>
        <w:footnoteReference w:id="213"/>
      </w:r>
      <w:r w:rsidRPr="00BD2AB4">
        <w:rPr>
          <w:rFonts w:ascii="Times New Roman" w:hAnsi="Times New Roman" w:cs="Times New Roman"/>
          <w:sz w:val="24"/>
          <w:szCs w:val="24"/>
        </w:rPr>
        <w:t xml:space="preserve"> Findings of funerary goods</w:t>
      </w:r>
      <w:r w:rsidR="003147A0" w:rsidRPr="00BD2AB4">
        <w:rPr>
          <w:rFonts w:ascii="Times New Roman" w:hAnsi="Times New Roman" w:cs="Times New Roman"/>
          <w:sz w:val="24"/>
          <w:szCs w:val="24"/>
        </w:rPr>
        <w:t>,</w:t>
      </w:r>
      <w:r w:rsidRPr="00BD2AB4">
        <w:rPr>
          <w:rFonts w:ascii="Times New Roman" w:hAnsi="Times New Roman" w:cs="Times New Roman"/>
          <w:sz w:val="24"/>
          <w:szCs w:val="24"/>
        </w:rPr>
        <w:t xml:space="preserve"> inside rock-cut tombs are a rarity, as the majority were looted.</w:t>
      </w:r>
      <w:r w:rsidRPr="00BD2AB4">
        <w:rPr>
          <w:rFonts w:ascii="Times New Roman" w:hAnsi="Times New Roman" w:cs="Times New Roman"/>
          <w:sz w:val="24"/>
          <w:szCs w:val="24"/>
          <w:vertAlign w:val="superscript"/>
        </w:rPr>
        <w:footnoteReference w:id="214"/>
      </w:r>
      <w:r w:rsidRPr="00BD2AB4">
        <w:rPr>
          <w:rFonts w:ascii="Times New Roman" w:hAnsi="Times New Roman" w:cs="Times New Roman"/>
          <w:sz w:val="24"/>
          <w:szCs w:val="24"/>
        </w:rPr>
        <w:t xml:space="preserve"> Nevertheless, pottery figurines, drinking vessels, pots, lamps, coins and the occasional jewellery prove that funerary goods were part of  Nabataean funerary belief.</w:t>
      </w:r>
      <w:r w:rsidRPr="00BD2AB4">
        <w:rPr>
          <w:rFonts w:ascii="Times New Roman" w:hAnsi="Times New Roman" w:cs="Times New Roman"/>
          <w:sz w:val="24"/>
          <w:szCs w:val="24"/>
          <w:vertAlign w:val="superscript"/>
        </w:rPr>
        <w:footnoteReference w:id="215"/>
      </w:r>
      <w:r w:rsidRPr="00BD2AB4">
        <w:rPr>
          <w:rFonts w:ascii="Times New Roman" w:hAnsi="Times New Roman" w:cs="Times New Roman"/>
          <w:sz w:val="24"/>
          <w:szCs w:val="24"/>
        </w:rPr>
        <w:t xml:space="preserve">  Also occasionally present</w:t>
      </w:r>
      <w:r w:rsidR="003147A0" w:rsidRPr="00BD2AB4">
        <w:rPr>
          <w:rFonts w:ascii="Times New Roman" w:hAnsi="Times New Roman" w:cs="Times New Roman"/>
          <w:sz w:val="24"/>
          <w:szCs w:val="24"/>
        </w:rPr>
        <w:t>,</w:t>
      </w:r>
      <w:r w:rsidRPr="00BD2AB4">
        <w:rPr>
          <w:rFonts w:ascii="Times New Roman" w:hAnsi="Times New Roman" w:cs="Times New Roman"/>
          <w:sz w:val="24"/>
          <w:szCs w:val="24"/>
        </w:rPr>
        <w:t xml:space="preserve"> were stele called </w:t>
      </w:r>
      <w:proofErr w:type="spellStart"/>
      <w:r w:rsidRPr="00BD2AB4">
        <w:rPr>
          <w:rFonts w:ascii="Times New Roman" w:hAnsi="Times New Roman" w:cs="Times New Roman"/>
          <w:sz w:val="24"/>
          <w:szCs w:val="24"/>
        </w:rPr>
        <w:t>nefes</w:t>
      </w:r>
      <w:proofErr w:type="spellEnd"/>
      <w:r w:rsidRPr="00BD2AB4">
        <w:rPr>
          <w:rFonts w:ascii="Times New Roman" w:hAnsi="Times New Roman" w:cs="Times New Roman"/>
          <w:sz w:val="24"/>
          <w:szCs w:val="24"/>
        </w:rPr>
        <w:t xml:space="preserve">, which represented the deceased, similar to the concept of a </w:t>
      </w:r>
      <w:proofErr w:type="spellStart"/>
      <w:r w:rsidRPr="00BD2AB4">
        <w:rPr>
          <w:rFonts w:ascii="Times New Roman" w:hAnsi="Times New Roman" w:cs="Times New Roman"/>
          <w:sz w:val="24"/>
          <w:szCs w:val="24"/>
        </w:rPr>
        <w:t>betyl</w:t>
      </w:r>
      <w:proofErr w:type="spellEnd"/>
      <w:r w:rsidRPr="00BD2AB4">
        <w:rPr>
          <w:rFonts w:ascii="Times New Roman" w:hAnsi="Times New Roman" w:cs="Times New Roman"/>
          <w:sz w:val="24"/>
          <w:szCs w:val="24"/>
        </w:rPr>
        <w:t xml:space="preserve"> representing a specific deity.</w:t>
      </w:r>
      <w:r w:rsidRPr="00BD2AB4">
        <w:rPr>
          <w:rFonts w:ascii="Times New Roman" w:hAnsi="Times New Roman" w:cs="Times New Roman"/>
          <w:sz w:val="24"/>
          <w:szCs w:val="24"/>
          <w:vertAlign w:val="superscript"/>
        </w:rPr>
        <w:footnoteReference w:id="216"/>
      </w:r>
      <w:r w:rsidRPr="00BD2AB4">
        <w:rPr>
          <w:rFonts w:ascii="Times New Roman" w:hAnsi="Times New Roman" w:cs="Times New Roman"/>
          <w:sz w:val="24"/>
          <w:szCs w:val="24"/>
        </w:rPr>
        <w:t xml:space="preserve"> Another type of stele, pyramid in shape and rock-carved, is also frequently found in proximity of the tombs, and has seen inscriptions </w:t>
      </w:r>
      <w:r w:rsidRPr="00BD2AB4">
        <w:rPr>
          <w:rFonts w:ascii="Times New Roman" w:hAnsi="Times New Roman" w:cs="Times New Roman"/>
          <w:sz w:val="24"/>
          <w:szCs w:val="24"/>
        </w:rPr>
        <w:lastRenderedPageBreak/>
        <w:t>referred to as a “funerary monument”,</w:t>
      </w:r>
      <w:r w:rsidRPr="00BD2AB4">
        <w:rPr>
          <w:rFonts w:ascii="Times New Roman" w:hAnsi="Times New Roman" w:cs="Times New Roman"/>
          <w:sz w:val="24"/>
          <w:szCs w:val="24"/>
          <w:vertAlign w:val="superscript"/>
        </w:rPr>
        <w:footnoteReference w:id="217"/>
      </w:r>
      <w:r w:rsidRPr="00BD2AB4">
        <w:rPr>
          <w:rFonts w:ascii="Times New Roman" w:hAnsi="Times New Roman" w:cs="Times New Roman"/>
          <w:sz w:val="24"/>
          <w:szCs w:val="24"/>
        </w:rPr>
        <w:t xml:space="preserve"> derived from the Greek example: “the tomb and the two funeral monuments above it”.</w:t>
      </w:r>
      <w:r w:rsidRPr="00BD2AB4">
        <w:rPr>
          <w:rFonts w:ascii="Times New Roman" w:hAnsi="Times New Roman" w:cs="Times New Roman"/>
          <w:sz w:val="24"/>
          <w:szCs w:val="24"/>
          <w:vertAlign w:val="superscript"/>
        </w:rPr>
        <w:footnoteReference w:id="218"/>
      </w:r>
      <w:r w:rsidRPr="00BD2AB4">
        <w:rPr>
          <w:rFonts w:ascii="Times New Roman" w:hAnsi="Times New Roman" w:cs="Times New Roman"/>
          <w:sz w:val="24"/>
          <w:szCs w:val="24"/>
        </w:rPr>
        <w:t xml:space="preserve"> </w:t>
      </w:r>
    </w:p>
    <w:p w14:paraId="2422E189" w14:textId="3C064D7C" w:rsidR="00792A1C" w:rsidRPr="00BD2AB4" w:rsidRDefault="00792A1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What has been described as typical Nabataean in religious and funerary practice, is in truth more difficult to ascribe to a people whose uniformity as a kingdom has been heavily criticised.</w:t>
      </w:r>
      <w:r w:rsidRPr="00BD2AB4">
        <w:rPr>
          <w:rFonts w:ascii="Times New Roman" w:hAnsi="Times New Roman" w:cs="Times New Roman"/>
          <w:sz w:val="24"/>
          <w:szCs w:val="24"/>
          <w:vertAlign w:val="superscript"/>
        </w:rPr>
        <w:footnoteReference w:id="219"/>
      </w:r>
      <w:r w:rsidRPr="00BD2AB4">
        <w:rPr>
          <w:rFonts w:ascii="Times New Roman" w:hAnsi="Times New Roman" w:cs="Times New Roman"/>
          <w:sz w:val="24"/>
          <w:szCs w:val="24"/>
        </w:rPr>
        <w:t xml:space="preserve">  As much as the </w:t>
      </w:r>
      <w:proofErr w:type="spellStart"/>
      <w:r w:rsidRPr="00BD2AB4">
        <w:rPr>
          <w:rFonts w:ascii="Times New Roman" w:hAnsi="Times New Roman" w:cs="Times New Roman"/>
          <w:sz w:val="24"/>
          <w:szCs w:val="24"/>
        </w:rPr>
        <w:t>betyl</w:t>
      </w:r>
      <w:proofErr w:type="spellEnd"/>
      <w:r w:rsidRPr="00BD2AB4">
        <w:rPr>
          <w:rFonts w:ascii="Times New Roman" w:hAnsi="Times New Roman" w:cs="Times New Roman"/>
          <w:sz w:val="24"/>
          <w:szCs w:val="24"/>
        </w:rPr>
        <w:t>, loculi and aniconic depictions were a wide spread on the Arab peninsula, new cultural interactions consequentially introduced additional deities, social concepts and traditions impacting Nabataean funerary rites.</w:t>
      </w:r>
      <w:r w:rsidRPr="00BD2AB4">
        <w:rPr>
          <w:rFonts w:ascii="Times New Roman" w:hAnsi="Times New Roman" w:cs="Times New Roman"/>
          <w:sz w:val="24"/>
          <w:szCs w:val="24"/>
          <w:vertAlign w:val="superscript"/>
        </w:rPr>
        <w:footnoteReference w:id="220"/>
      </w:r>
      <w:r w:rsidR="003147A0" w:rsidRPr="00BD2AB4">
        <w:rPr>
          <w:rFonts w:ascii="Times New Roman" w:hAnsi="Times New Roman" w:cs="Times New Roman"/>
          <w:sz w:val="24"/>
          <w:szCs w:val="24"/>
        </w:rPr>
        <w:t xml:space="preserve"> Notably, it becomes evident how important, the family and the families` deity must have been to the Nabataean.</w:t>
      </w:r>
    </w:p>
    <w:p w14:paraId="616F47F9" w14:textId="77777777" w:rsidR="00A70297" w:rsidRPr="00BD2AB4" w:rsidRDefault="00A70297" w:rsidP="00BD2AB4">
      <w:pPr>
        <w:spacing w:line="480" w:lineRule="auto"/>
        <w:rPr>
          <w:rFonts w:ascii="Times New Roman" w:hAnsi="Times New Roman" w:cs="Times New Roman"/>
          <w:sz w:val="24"/>
          <w:szCs w:val="24"/>
        </w:rPr>
      </w:pPr>
    </w:p>
    <w:p w14:paraId="146A7BD4" w14:textId="77777777" w:rsidR="00A70297" w:rsidRPr="00BD2AB4" w:rsidRDefault="00A70297" w:rsidP="00BD2AB4">
      <w:pPr>
        <w:spacing w:line="480" w:lineRule="auto"/>
        <w:rPr>
          <w:rFonts w:ascii="Times New Roman" w:hAnsi="Times New Roman" w:cs="Times New Roman"/>
          <w:sz w:val="24"/>
          <w:szCs w:val="24"/>
        </w:rPr>
      </w:pPr>
    </w:p>
    <w:p w14:paraId="73F441FB" w14:textId="7C942A33" w:rsidR="003826E0" w:rsidRPr="00BD2AB4" w:rsidRDefault="003826E0" w:rsidP="00BD2AB4">
      <w:pPr>
        <w:spacing w:line="480" w:lineRule="auto"/>
        <w:rPr>
          <w:rFonts w:ascii="Times New Roman" w:hAnsi="Times New Roman" w:cs="Times New Roman"/>
          <w:sz w:val="24"/>
          <w:szCs w:val="24"/>
        </w:rPr>
      </w:pPr>
    </w:p>
    <w:p w14:paraId="5B23D5A5" w14:textId="43C9ABED" w:rsidR="003826E0" w:rsidRDefault="003826E0" w:rsidP="00BD2AB4">
      <w:pPr>
        <w:spacing w:line="480" w:lineRule="auto"/>
        <w:rPr>
          <w:rFonts w:ascii="Times New Roman" w:hAnsi="Times New Roman" w:cs="Times New Roman"/>
          <w:sz w:val="24"/>
          <w:szCs w:val="24"/>
        </w:rPr>
      </w:pPr>
    </w:p>
    <w:p w14:paraId="2AD56B7B" w14:textId="588912FE" w:rsidR="00BD2AB4" w:rsidRDefault="00BD2AB4" w:rsidP="00BD2AB4">
      <w:pPr>
        <w:spacing w:line="480" w:lineRule="auto"/>
        <w:rPr>
          <w:rFonts w:ascii="Times New Roman" w:hAnsi="Times New Roman" w:cs="Times New Roman"/>
          <w:sz w:val="24"/>
          <w:szCs w:val="24"/>
        </w:rPr>
      </w:pPr>
    </w:p>
    <w:p w14:paraId="1DAA74CA" w14:textId="2F4F2D0B" w:rsidR="00BD2AB4" w:rsidRDefault="00BD2AB4" w:rsidP="00BD2AB4">
      <w:pPr>
        <w:spacing w:line="480" w:lineRule="auto"/>
        <w:rPr>
          <w:rFonts w:ascii="Times New Roman" w:hAnsi="Times New Roman" w:cs="Times New Roman"/>
          <w:sz w:val="24"/>
          <w:szCs w:val="24"/>
        </w:rPr>
      </w:pPr>
    </w:p>
    <w:p w14:paraId="0B7FD9AA" w14:textId="42CDF9FE" w:rsidR="00BD2AB4" w:rsidRDefault="00BD2AB4" w:rsidP="00BD2AB4">
      <w:pPr>
        <w:spacing w:line="480" w:lineRule="auto"/>
        <w:rPr>
          <w:rFonts w:ascii="Times New Roman" w:hAnsi="Times New Roman" w:cs="Times New Roman"/>
          <w:sz w:val="24"/>
          <w:szCs w:val="24"/>
        </w:rPr>
      </w:pPr>
    </w:p>
    <w:p w14:paraId="72FC57B1" w14:textId="55BD1A02" w:rsidR="00BD2AB4" w:rsidRDefault="00BD2AB4" w:rsidP="00BD2AB4">
      <w:pPr>
        <w:spacing w:line="480" w:lineRule="auto"/>
        <w:rPr>
          <w:rFonts w:ascii="Times New Roman" w:hAnsi="Times New Roman" w:cs="Times New Roman"/>
          <w:sz w:val="24"/>
          <w:szCs w:val="24"/>
        </w:rPr>
      </w:pPr>
    </w:p>
    <w:p w14:paraId="529BB08B" w14:textId="39D09AF7" w:rsidR="00BD2AB4" w:rsidRDefault="00BD2AB4" w:rsidP="00BD2AB4">
      <w:pPr>
        <w:spacing w:line="480" w:lineRule="auto"/>
        <w:rPr>
          <w:rFonts w:ascii="Times New Roman" w:hAnsi="Times New Roman" w:cs="Times New Roman"/>
          <w:sz w:val="24"/>
          <w:szCs w:val="24"/>
        </w:rPr>
      </w:pPr>
    </w:p>
    <w:p w14:paraId="12D5C0BD" w14:textId="2D4FBF52" w:rsidR="00BD2AB4" w:rsidRDefault="00BD2AB4" w:rsidP="00BD2AB4">
      <w:pPr>
        <w:spacing w:line="480" w:lineRule="auto"/>
        <w:rPr>
          <w:rFonts w:ascii="Times New Roman" w:hAnsi="Times New Roman" w:cs="Times New Roman"/>
          <w:sz w:val="24"/>
          <w:szCs w:val="24"/>
        </w:rPr>
      </w:pPr>
    </w:p>
    <w:p w14:paraId="38284EEC" w14:textId="77777777" w:rsidR="00BD2AB4" w:rsidRPr="00BD2AB4" w:rsidRDefault="00BD2AB4" w:rsidP="00BD2AB4">
      <w:pPr>
        <w:spacing w:line="480" w:lineRule="auto"/>
        <w:rPr>
          <w:rFonts w:ascii="Times New Roman" w:hAnsi="Times New Roman" w:cs="Times New Roman"/>
          <w:sz w:val="24"/>
          <w:szCs w:val="24"/>
        </w:rPr>
      </w:pPr>
    </w:p>
    <w:p w14:paraId="745F444B" w14:textId="28BE2ABE" w:rsidR="003826E0" w:rsidRPr="00BD2AB4" w:rsidRDefault="003826E0" w:rsidP="00BD2AB4">
      <w:pPr>
        <w:keepNext/>
        <w:keepLines/>
        <w:spacing w:before="240" w:after="0" w:line="480" w:lineRule="auto"/>
        <w:outlineLvl w:val="0"/>
        <w:rPr>
          <w:rFonts w:ascii="Times New Roman" w:eastAsiaTheme="majorEastAsia" w:hAnsi="Times New Roman" w:cs="Times New Roman"/>
          <w:b/>
          <w:sz w:val="24"/>
          <w:szCs w:val="24"/>
          <w:u w:val="single"/>
        </w:rPr>
      </w:pPr>
      <w:r w:rsidRPr="00BD2AB4">
        <w:rPr>
          <w:rFonts w:ascii="Times New Roman" w:eastAsiaTheme="majorEastAsia" w:hAnsi="Times New Roman" w:cs="Times New Roman"/>
          <w:sz w:val="24"/>
          <w:szCs w:val="24"/>
          <w:u w:val="single"/>
        </w:rPr>
        <w:lastRenderedPageBreak/>
        <w:t xml:space="preserve">Chapter 5:                                           </w:t>
      </w:r>
      <w:r w:rsidRPr="00BD2AB4">
        <w:rPr>
          <w:rFonts w:ascii="Times New Roman" w:eastAsiaTheme="majorEastAsia" w:hAnsi="Times New Roman" w:cs="Times New Roman"/>
          <w:b/>
          <w:sz w:val="24"/>
          <w:szCs w:val="24"/>
          <w:u w:val="single"/>
        </w:rPr>
        <w:t xml:space="preserve">Rock-cut tombs </w:t>
      </w:r>
    </w:p>
    <w:p w14:paraId="05CBDF05" w14:textId="77777777" w:rsidR="003826E0" w:rsidRPr="00BD2AB4" w:rsidRDefault="003826E0" w:rsidP="00BD2AB4">
      <w:pPr>
        <w:spacing w:line="480" w:lineRule="auto"/>
        <w:rPr>
          <w:rFonts w:ascii="Times New Roman" w:hAnsi="Times New Roman" w:cs="Times New Roman"/>
          <w:b/>
          <w:sz w:val="24"/>
          <w:szCs w:val="24"/>
        </w:rPr>
      </w:pPr>
    </w:p>
    <w:p w14:paraId="79377A56" w14:textId="7DEFF180"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This chapter discusses </w:t>
      </w:r>
      <w:r w:rsidR="00122D58" w:rsidRPr="00BD2AB4">
        <w:rPr>
          <w:rFonts w:ascii="Times New Roman" w:hAnsi="Times New Roman" w:cs="Times New Roman"/>
          <w:sz w:val="24"/>
          <w:szCs w:val="24"/>
        </w:rPr>
        <w:t>possible</w:t>
      </w:r>
      <w:r w:rsidRPr="00BD2AB4">
        <w:rPr>
          <w:rFonts w:ascii="Times New Roman" w:hAnsi="Times New Roman" w:cs="Times New Roman"/>
          <w:sz w:val="24"/>
          <w:szCs w:val="24"/>
        </w:rPr>
        <w:t xml:space="preserve"> developments of the concept of rock-cut tombs</w:t>
      </w:r>
      <w:r w:rsidR="00122D58" w:rsidRPr="00BD2AB4">
        <w:rPr>
          <w:rFonts w:ascii="Times New Roman" w:hAnsi="Times New Roman" w:cs="Times New Roman"/>
          <w:sz w:val="24"/>
          <w:szCs w:val="24"/>
        </w:rPr>
        <w:t xml:space="preserve"> within a Mediterranean context, tying into cross-cultural interaction, by suggesting possible links to the Nabataean tombs.</w:t>
      </w:r>
    </w:p>
    <w:p w14:paraId="605D25EF" w14:textId="77777777"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idea of carving a tomb into a rock is an ancient one, stretching back to around 1450 B.C., with the creation of Egyptian rock-cut tombs.</w:t>
      </w:r>
      <w:r w:rsidRPr="00BD2AB4">
        <w:rPr>
          <w:rFonts w:ascii="Times New Roman" w:hAnsi="Times New Roman" w:cs="Times New Roman"/>
          <w:sz w:val="24"/>
          <w:szCs w:val="24"/>
          <w:vertAlign w:val="superscript"/>
        </w:rPr>
        <w:footnoteReference w:id="221"/>
      </w:r>
      <w:r w:rsidRPr="00BD2AB4">
        <w:rPr>
          <w:rFonts w:ascii="Times New Roman" w:hAnsi="Times New Roman" w:cs="Times New Roman"/>
          <w:sz w:val="24"/>
          <w:szCs w:val="24"/>
        </w:rPr>
        <w:t xml:space="preserve"> The Egyptian model was visually still very different from the Nabataean types, with the tombs appearances gradually changing, as seen in the Midas Monument in ancient Phrygia, near modern Eskisehir, dated to 740 B.C.</w:t>
      </w:r>
      <w:r w:rsidRPr="00BD2AB4">
        <w:rPr>
          <w:rFonts w:ascii="Times New Roman" w:hAnsi="Times New Roman" w:cs="Times New Roman"/>
          <w:sz w:val="24"/>
          <w:szCs w:val="24"/>
          <w:vertAlign w:val="superscript"/>
        </w:rPr>
        <w:footnoteReference w:id="222"/>
      </w:r>
      <w:r w:rsidRPr="00BD2AB4">
        <w:rPr>
          <w:rFonts w:ascii="Times New Roman" w:hAnsi="Times New Roman" w:cs="Times New Roman"/>
          <w:sz w:val="24"/>
          <w:szCs w:val="24"/>
        </w:rPr>
        <w:t xml:space="preserve"> here at Midas city,  Egyptianizing rock-cut monuments can be found.</w:t>
      </w:r>
      <w:r w:rsidRPr="00BD2AB4">
        <w:rPr>
          <w:rFonts w:ascii="Times New Roman" w:hAnsi="Times New Roman" w:cs="Times New Roman"/>
          <w:sz w:val="24"/>
          <w:szCs w:val="24"/>
          <w:vertAlign w:val="superscript"/>
        </w:rPr>
        <w:footnoteReference w:id="223"/>
      </w:r>
      <w:r w:rsidRPr="00BD2AB4">
        <w:rPr>
          <w:rFonts w:ascii="Times New Roman" w:hAnsi="Times New Roman" w:cs="Times New Roman"/>
          <w:sz w:val="24"/>
          <w:szCs w:val="24"/>
        </w:rPr>
        <w:t xml:space="preserve"> In 1250 B.C, the Hittites applied the concept to rock-carved sanctuaries.</w:t>
      </w:r>
      <w:r w:rsidRPr="00BD2AB4">
        <w:rPr>
          <w:rFonts w:ascii="Times New Roman" w:hAnsi="Times New Roman" w:cs="Times New Roman"/>
          <w:sz w:val="24"/>
          <w:szCs w:val="24"/>
          <w:vertAlign w:val="superscript"/>
        </w:rPr>
        <w:footnoteReference w:id="224"/>
      </w:r>
      <w:r w:rsidRPr="00BD2AB4">
        <w:rPr>
          <w:rFonts w:ascii="Times New Roman" w:hAnsi="Times New Roman" w:cs="Times New Roman"/>
          <w:sz w:val="24"/>
          <w:szCs w:val="24"/>
        </w:rPr>
        <w:t xml:space="preserve">  In fact, many rock-cut tombs have been found within the area of modern Turkey.</w:t>
      </w:r>
      <w:r w:rsidRPr="00BD2AB4">
        <w:rPr>
          <w:rFonts w:ascii="Times New Roman" w:hAnsi="Times New Roman" w:cs="Times New Roman"/>
          <w:sz w:val="24"/>
          <w:szCs w:val="24"/>
          <w:vertAlign w:val="superscript"/>
        </w:rPr>
        <w:footnoteReference w:id="225"/>
      </w:r>
      <w:r w:rsidRPr="00BD2AB4">
        <w:rPr>
          <w:rFonts w:ascii="Times New Roman" w:hAnsi="Times New Roman" w:cs="Times New Roman"/>
          <w:sz w:val="24"/>
          <w:szCs w:val="24"/>
        </w:rPr>
        <w:t xml:space="preserve"> The Etruscans created their own versions around the 6</w:t>
      </w:r>
      <w:r w:rsidRPr="00BD2AB4">
        <w:rPr>
          <w:rFonts w:ascii="Times New Roman" w:hAnsi="Times New Roman" w:cs="Times New Roman"/>
          <w:sz w:val="24"/>
          <w:szCs w:val="24"/>
          <w:vertAlign w:val="superscript"/>
        </w:rPr>
        <w:t>th</w:t>
      </w:r>
      <w:r w:rsidRPr="00BD2AB4">
        <w:rPr>
          <w:rFonts w:ascii="Times New Roman" w:hAnsi="Times New Roman" w:cs="Times New Roman"/>
          <w:sz w:val="24"/>
          <w:szCs w:val="24"/>
        </w:rPr>
        <w:t xml:space="preserve"> century B.C, with similar developments taking place in ancient Cyprus.</w:t>
      </w:r>
      <w:r w:rsidRPr="00BD2AB4">
        <w:rPr>
          <w:rFonts w:ascii="Times New Roman" w:hAnsi="Times New Roman" w:cs="Times New Roman"/>
          <w:sz w:val="24"/>
          <w:szCs w:val="24"/>
          <w:vertAlign w:val="superscript"/>
        </w:rPr>
        <w:footnoteReference w:id="226"/>
      </w:r>
      <w:r w:rsidRPr="00BD2AB4">
        <w:rPr>
          <w:rFonts w:ascii="Times New Roman" w:hAnsi="Times New Roman" w:cs="Times New Roman"/>
          <w:sz w:val="24"/>
          <w:szCs w:val="24"/>
        </w:rPr>
        <w:t xml:space="preserve"> However, only with the tomb of Darius at Persepolis dating back to ca.486 B.C.,</w:t>
      </w:r>
      <w:r w:rsidRPr="00BD2AB4">
        <w:rPr>
          <w:rFonts w:ascii="Times New Roman" w:hAnsi="Times New Roman" w:cs="Times New Roman"/>
          <w:sz w:val="24"/>
          <w:szCs w:val="24"/>
          <w:vertAlign w:val="superscript"/>
        </w:rPr>
        <w:footnoteReference w:id="227"/>
      </w:r>
      <w:r w:rsidRPr="00BD2AB4">
        <w:rPr>
          <w:rFonts w:ascii="Times New Roman" w:hAnsi="Times New Roman" w:cs="Times New Roman"/>
          <w:sz w:val="24"/>
          <w:szCs w:val="24"/>
        </w:rPr>
        <w:t xml:space="preserve"> did rock-cut tomb architecture become quite prominent in the Near East,</w:t>
      </w:r>
      <w:r w:rsidRPr="00BD2AB4">
        <w:rPr>
          <w:rFonts w:ascii="Times New Roman" w:hAnsi="Times New Roman" w:cs="Times New Roman"/>
          <w:sz w:val="24"/>
          <w:szCs w:val="24"/>
          <w:vertAlign w:val="superscript"/>
        </w:rPr>
        <w:footnoteReference w:id="228"/>
      </w:r>
      <w:r w:rsidRPr="00BD2AB4">
        <w:rPr>
          <w:rFonts w:ascii="Times New Roman" w:hAnsi="Times New Roman" w:cs="Times New Roman"/>
          <w:sz w:val="24"/>
          <w:szCs w:val="24"/>
        </w:rPr>
        <w:t xml:space="preserve"> giving way to the development of the later Nabataean models.</w:t>
      </w:r>
      <w:r w:rsidRPr="00BD2AB4">
        <w:rPr>
          <w:rFonts w:ascii="Times New Roman" w:hAnsi="Times New Roman" w:cs="Times New Roman"/>
          <w:sz w:val="24"/>
          <w:szCs w:val="24"/>
          <w:vertAlign w:val="superscript"/>
        </w:rPr>
        <w:footnoteReference w:id="229"/>
      </w:r>
      <w:r w:rsidRPr="00BD2AB4">
        <w:rPr>
          <w:rFonts w:ascii="Times New Roman" w:hAnsi="Times New Roman" w:cs="Times New Roman"/>
          <w:sz w:val="24"/>
          <w:szCs w:val="24"/>
        </w:rPr>
        <w:t xml:space="preserve"> Persian rock-cut tombs already featured certain Hellenistic elements,</w:t>
      </w:r>
      <w:r w:rsidRPr="00BD2AB4">
        <w:rPr>
          <w:rFonts w:ascii="Times New Roman" w:hAnsi="Times New Roman" w:cs="Times New Roman"/>
          <w:sz w:val="24"/>
          <w:szCs w:val="24"/>
          <w:vertAlign w:val="superscript"/>
        </w:rPr>
        <w:footnoteReference w:id="230"/>
      </w:r>
      <w:r w:rsidRPr="00BD2AB4">
        <w:rPr>
          <w:rFonts w:ascii="Times New Roman" w:hAnsi="Times New Roman" w:cs="Times New Roman"/>
          <w:sz w:val="24"/>
          <w:szCs w:val="24"/>
        </w:rPr>
        <w:t xml:space="preserve"> also evident in the 4</w:t>
      </w:r>
      <w:r w:rsidRPr="00BD2AB4">
        <w:rPr>
          <w:rFonts w:ascii="Times New Roman" w:hAnsi="Times New Roman" w:cs="Times New Roman"/>
          <w:sz w:val="24"/>
          <w:szCs w:val="24"/>
          <w:vertAlign w:val="superscript"/>
        </w:rPr>
        <w:t>th</w:t>
      </w:r>
      <w:r w:rsidRPr="00BD2AB4">
        <w:rPr>
          <w:rFonts w:ascii="Times New Roman" w:hAnsi="Times New Roman" w:cs="Times New Roman"/>
          <w:sz w:val="24"/>
          <w:szCs w:val="24"/>
        </w:rPr>
        <w:t xml:space="preserve"> century rock-cut tombs from ancient Lycia had recognizably Greek temple-like front facades.</w:t>
      </w:r>
      <w:r w:rsidRPr="00BD2AB4">
        <w:rPr>
          <w:rFonts w:ascii="Times New Roman" w:hAnsi="Times New Roman" w:cs="Times New Roman"/>
          <w:sz w:val="24"/>
          <w:szCs w:val="24"/>
          <w:vertAlign w:val="superscript"/>
        </w:rPr>
        <w:footnoteReference w:id="231"/>
      </w:r>
      <w:r w:rsidRPr="00BD2AB4">
        <w:rPr>
          <w:rFonts w:ascii="Times New Roman" w:hAnsi="Times New Roman" w:cs="Times New Roman"/>
          <w:sz w:val="24"/>
          <w:szCs w:val="24"/>
        </w:rPr>
        <w:t xml:space="preserve"> </w:t>
      </w:r>
    </w:p>
    <w:p w14:paraId="708522DB" w14:textId="77777777"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It was further suggested by Mouton 2010, that tower-shaped monuments, free-standing monoliths, often attributed to Arab tribes distributed across the Arabian Peninsula, could have inspired the Nabataean concept to create monumental tombs.</w:t>
      </w:r>
      <w:r w:rsidRPr="00BD2AB4">
        <w:rPr>
          <w:rFonts w:ascii="Times New Roman" w:hAnsi="Times New Roman" w:cs="Times New Roman"/>
          <w:sz w:val="24"/>
          <w:szCs w:val="24"/>
          <w:vertAlign w:val="superscript"/>
        </w:rPr>
        <w:footnoteReference w:id="232"/>
      </w:r>
      <w:r w:rsidRPr="00BD2AB4">
        <w:rPr>
          <w:rFonts w:ascii="Times New Roman" w:hAnsi="Times New Roman" w:cs="Times New Roman"/>
          <w:sz w:val="24"/>
          <w:szCs w:val="24"/>
        </w:rPr>
        <w:t xml:space="preserve"> Examples of such structures can be found at </w:t>
      </w:r>
      <w:proofErr w:type="spellStart"/>
      <w:r w:rsidRPr="00BD2AB4">
        <w:rPr>
          <w:rFonts w:ascii="Times New Roman" w:hAnsi="Times New Roman" w:cs="Times New Roman"/>
          <w:sz w:val="24"/>
          <w:szCs w:val="24"/>
        </w:rPr>
        <w:t>Qaryat</w:t>
      </w:r>
      <w:proofErr w:type="spellEnd"/>
      <w:r w:rsidRPr="00BD2AB4">
        <w:rPr>
          <w:rFonts w:ascii="Times New Roman" w:hAnsi="Times New Roman" w:cs="Times New Roman"/>
          <w:sz w:val="24"/>
          <w:szCs w:val="24"/>
        </w:rPr>
        <w:t xml:space="preserve"> al-</w:t>
      </w:r>
      <w:proofErr w:type="spellStart"/>
      <w:r w:rsidRPr="00BD2AB4">
        <w:rPr>
          <w:rFonts w:ascii="Times New Roman" w:hAnsi="Times New Roman" w:cs="Times New Roman"/>
          <w:sz w:val="24"/>
          <w:szCs w:val="24"/>
        </w:rPr>
        <w:t>Fau</w:t>
      </w:r>
      <w:proofErr w:type="spellEnd"/>
      <w:r w:rsidRPr="00BD2AB4">
        <w:rPr>
          <w:rFonts w:ascii="Times New Roman" w:hAnsi="Times New Roman" w:cs="Times New Roman"/>
          <w:sz w:val="24"/>
          <w:szCs w:val="24"/>
        </w:rPr>
        <w:t xml:space="preserve"> in central Arabia and at </w:t>
      </w:r>
      <w:proofErr w:type="spellStart"/>
      <w:r w:rsidRPr="00BD2AB4">
        <w:rPr>
          <w:rFonts w:ascii="Times New Roman" w:hAnsi="Times New Roman" w:cs="Times New Roman"/>
          <w:sz w:val="24"/>
          <w:szCs w:val="24"/>
        </w:rPr>
        <w:t>Mleiha</w:t>
      </w:r>
      <w:proofErr w:type="spellEnd"/>
      <w:r w:rsidRPr="00BD2AB4">
        <w:rPr>
          <w:rFonts w:ascii="Times New Roman" w:hAnsi="Times New Roman" w:cs="Times New Roman"/>
          <w:sz w:val="24"/>
          <w:szCs w:val="24"/>
        </w:rPr>
        <w:t xml:space="preserve"> situated in the Oman peninsula.</w:t>
      </w:r>
      <w:r w:rsidRPr="00BD2AB4">
        <w:rPr>
          <w:rFonts w:ascii="Times New Roman" w:hAnsi="Times New Roman" w:cs="Times New Roman"/>
          <w:sz w:val="24"/>
          <w:szCs w:val="24"/>
          <w:vertAlign w:val="superscript"/>
        </w:rPr>
        <w:footnoteReference w:id="233"/>
      </w:r>
      <w:r w:rsidRPr="00BD2AB4">
        <w:rPr>
          <w:rFonts w:ascii="Times New Roman" w:hAnsi="Times New Roman" w:cs="Times New Roman"/>
          <w:sz w:val="24"/>
          <w:szCs w:val="24"/>
        </w:rPr>
        <w:t xml:space="preserve"> An architectural concept shared especially during the third century B.C. due to increased trade between the nomadic tribes of Arabia. </w:t>
      </w:r>
      <w:r w:rsidRPr="00BD2AB4">
        <w:rPr>
          <w:rFonts w:ascii="Times New Roman" w:hAnsi="Times New Roman" w:cs="Times New Roman"/>
          <w:sz w:val="24"/>
          <w:szCs w:val="24"/>
          <w:vertAlign w:val="superscript"/>
        </w:rPr>
        <w:footnoteReference w:id="234"/>
      </w:r>
    </w:p>
    <w:p w14:paraId="3E970E04" w14:textId="77777777" w:rsidR="003826E0" w:rsidRPr="00BD2AB4" w:rsidRDefault="003826E0" w:rsidP="00BD2AB4">
      <w:pPr>
        <w:spacing w:line="480" w:lineRule="auto"/>
        <w:rPr>
          <w:rFonts w:ascii="Times New Roman" w:hAnsi="Times New Roman" w:cs="Times New Roman"/>
          <w:b/>
          <w:sz w:val="24"/>
          <w:szCs w:val="24"/>
        </w:rPr>
      </w:pPr>
    </w:p>
    <w:p w14:paraId="44017D01" w14:textId="77777777" w:rsidR="003826E0" w:rsidRPr="00BD2AB4" w:rsidRDefault="003826E0" w:rsidP="00BD2AB4">
      <w:pPr>
        <w:keepNext/>
        <w:keepLines/>
        <w:spacing w:before="40" w:after="0" w:line="480" w:lineRule="auto"/>
        <w:outlineLvl w:val="1"/>
        <w:rPr>
          <w:rFonts w:ascii="Times New Roman" w:eastAsiaTheme="majorEastAsia" w:hAnsi="Times New Roman" w:cs="Times New Roman"/>
          <w:sz w:val="24"/>
          <w:szCs w:val="24"/>
          <w:u w:val="single"/>
        </w:rPr>
      </w:pPr>
      <w:r w:rsidRPr="00BD2AB4">
        <w:rPr>
          <w:rFonts w:ascii="Times New Roman" w:eastAsiaTheme="majorEastAsia" w:hAnsi="Times New Roman" w:cs="Times New Roman"/>
          <w:sz w:val="24"/>
          <w:szCs w:val="24"/>
          <w:u w:val="single"/>
        </w:rPr>
        <w:t>The Nabataean rock-cut tomb</w:t>
      </w:r>
    </w:p>
    <w:p w14:paraId="08256922" w14:textId="77777777" w:rsidR="003826E0" w:rsidRPr="00BD2AB4" w:rsidRDefault="003826E0" w:rsidP="00BD2AB4">
      <w:pPr>
        <w:spacing w:line="480" w:lineRule="auto"/>
        <w:rPr>
          <w:rFonts w:ascii="Times New Roman" w:hAnsi="Times New Roman" w:cs="Times New Roman"/>
          <w:sz w:val="24"/>
          <w:szCs w:val="24"/>
        </w:rPr>
      </w:pPr>
    </w:p>
    <w:p w14:paraId="1E3EE1B2" w14:textId="0301BF98"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architecture of Nabataean rock-cut tombs could, on the one hand, reflect the need to accommodate a potential afterlife belief and suit religious beliefs, and on the other hand, conform to elite concepts and cross-cultural relationships.</w:t>
      </w:r>
      <w:r w:rsidRPr="00BD2AB4">
        <w:rPr>
          <w:rFonts w:ascii="Times New Roman" w:hAnsi="Times New Roman" w:cs="Times New Roman"/>
          <w:sz w:val="24"/>
          <w:szCs w:val="24"/>
          <w:vertAlign w:val="superscript"/>
        </w:rPr>
        <w:footnoteReference w:id="235"/>
      </w:r>
      <w:r w:rsidRPr="00BD2AB4">
        <w:rPr>
          <w:rFonts w:ascii="Times New Roman" w:hAnsi="Times New Roman" w:cs="Times New Roman"/>
          <w:sz w:val="24"/>
          <w:szCs w:val="24"/>
        </w:rPr>
        <w:t xml:space="preserve">  Especially the royal family would have seen an interest in maintaining good relationships with neighbouring powers, while also seeking to create a legacy by visually manifesting power and important cultural relations through architecture.</w:t>
      </w:r>
      <w:r w:rsidRPr="00BD2AB4">
        <w:rPr>
          <w:rFonts w:ascii="Times New Roman" w:hAnsi="Times New Roman" w:cs="Times New Roman"/>
          <w:sz w:val="24"/>
          <w:szCs w:val="24"/>
          <w:vertAlign w:val="superscript"/>
        </w:rPr>
        <w:footnoteReference w:id="236"/>
      </w:r>
      <w:r w:rsidRPr="00BD2AB4">
        <w:rPr>
          <w:rFonts w:ascii="Times New Roman" w:hAnsi="Times New Roman" w:cs="Times New Roman"/>
          <w:sz w:val="24"/>
          <w:szCs w:val="24"/>
        </w:rPr>
        <w:t xml:space="preserve"> </w:t>
      </w:r>
    </w:p>
    <w:p w14:paraId="6D6520CF" w14:textId="77777777"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Regarding the locations of Nabataean rock-cut tombs, the best studied ones are found at Petra,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vertAlign w:val="superscript"/>
        </w:rPr>
        <w:footnoteReference w:id="237"/>
      </w:r>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Mada</w:t>
      </w:r>
      <w:proofErr w:type="spellEnd"/>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in`Saleh</w:t>
      </w:r>
      <w:proofErr w:type="spellEnd"/>
      <w:r w:rsidRPr="00BD2AB4">
        <w:rPr>
          <w:rFonts w:ascii="Times New Roman" w:hAnsi="Times New Roman" w:cs="Times New Roman"/>
          <w:sz w:val="24"/>
          <w:szCs w:val="24"/>
        </w:rPr>
        <w:t xml:space="preserve"> in modern Saudi Arabia.</w:t>
      </w:r>
      <w:r w:rsidRPr="00BD2AB4">
        <w:rPr>
          <w:rFonts w:ascii="Times New Roman" w:hAnsi="Times New Roman" w:cs="Times New Roman"/>
          <w:sz w:val="24"/>
          <w:szCs w:val="24"/>
          <w:vertAlign w:val="superscript"/>
        </w:rPr>
        <w:footnoteReference w:id="238"/>
      </w:r>
      <w:r w:rsidRPr="00BD2AB4">
        <w:rPr>
          <w:rFonts w:ascii="Times New Roman" w:hAnsi="Times New Roman" w:cs="Times New Roman"/>
          <w:sz w:val="24"/>
          <w:szCs w:val="24"/>
        </w:rPr>
        <w:t xml:space="preserve">  Petra delivered a wealth in complexes associated with tombs, while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rarely shows any architectural associations.</w:t>
      </w:r>
      <w:r w:rsidRPr="00BD2AB4">
        <w:rPr>
          <w:rFonts w:ascii="Times New Roman" w:hAnsi="Times New Roman" w:cs="Times New Roman"/>
          <w:sz w:val="24"/>
          <w:szCs w:val="24"/>
          <w:vertAlign w:val="superscript"/>
        </w:rPr>
        <w:footnoteReference w:id="239"/>
      </w:r>
      <w:r w:rsidRPr="00BD2AB4">
        <w:rPr>
          <w:rFonts w:ascii="Times New Roman" w:hAnsi="Times New Roman" w:cs="Times New Roman"/>
          <w:sz w:val="24"/>
          <w:szCs w:val="24"/>
        </w:rPr>
        <w:t xml:space="preserve">  </w:t>
      </w:r>
    </w:p>
    <w:p w14:paraId="5BA89969" w14:textId="77777777"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 xml:space="preserve">On the other hand,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distinguishes herself by the large corpus of inscriptions associated with tombs, not found to this extend at Petra.</w:t>
      </w:r>
      <w:r w:rsidRPr="00BD2AB4">
        <w:rPr>
          <w:rFonts w:ascii="Times New Roman" w:hAnsi="Times New Roman" w:cs="Times New Roman"/>
          <w:sz w:val="24"/>
          <w:szCs w:val="24"/>
          <w:vertAlign w:val="superscript"/>
        </w:rPr>
        <w:footnoteReference w:id="240"/>
      </w:r>
      <w:r w:rsidRPr="00BD2AB4">
        <w:rPr>
          <w:rFonts w:ascii="Times New Roman" w:hAnsi="Times New Roman" w:cs="Times New Roman"/>
          <w:sz w:val="24"/>
          <w:szCs w:val="24"/>
        </w:rPr>
        <w:t xml:space="preserve">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eighty rock-cut tombs have been detected, </w:t>
      </w:r>
      <w:r w:rsidRPr="00BD2AB4">
        <w:rPr>
          <w:rFonts w:ascii="Times New Roman" w:hAnsi="Times New Roman" w:cs="Times New Roman"/>
          <w:sz w:val="24"/>
          <w:szCs w:val="24"/>
          <w:vertAlign w:val="superscript"/>
        </w:rPr>
        <w:footnoteReference w:id="241"/>
      </w:r>
      <w:r w:rsidRPr="00BD2AB4">
        <w:rPr>
          <w:rFonts w:ascii="Times New Roman" w:hAnsi="Times New Roman" w:cs="Times New Roman"/>
          <w:sz w:val="24"/>
          <w:szCs w:val="24"/>
        </w:rPr>
        <w:t xml:space="preserve"> while famous Petra is the location of about 600 rock-cut tombs, </w:t>
      </w:r>
      <w:r w:rsidRPr="00BD2AB4">
        <w:rPr>
          <w:rFonts w:ascii="Times New Roman" w:hAnsi="Times New Roman" w:cs="Times New Roman"/>
          <w:sz w:val="24"/>
          <w:szCs w:val="24"/>
          <w:vertAlign w:val="superscript"/>
        </w:rPr>
        <w:footnoteReference w:id="242"/>
      </w:r>
      <w:r w:rsidRPr="00BD2AB4">
        <w:rPr>
          <w:rFonts w:ascii="Times New Roman" w:hAnsi="Times New Roman" w:cs="Times New Roman"/>
          <w:sz w:val="24"/>
          <w:szCs w:val="24"/>
        </w:rPr>
        <w:t xml:space="preserve"> of which most would have been likely belonged to an elite which honoured their ancestors.</w:t>
      </w:r>
      <w:r w:rsidRPr="00BD2AB4">
        <w:rPr>
          <w:rFonts w:ascii="Times New Roman" w:hAnsi="Times New Roman" w:cs="Times New Roman"/>
          <w:sz w:val="24"/>
          <w:szCs w:val="24"/>
          <w:vertAlign w:val="superscript"/>
        </w:rPr>
        <w:footnoteReference w:id="243"/>
      </w:r>
      <w:r w:rsidRPr="00BD2AB4">
        <w:rPr>
          <w:rFonts w:ascii="Times New Roman" w:hAnsi="Times New Roman" w:cs="Times New Roman"/>
          <w:sz w:val="24"/>
          <w:szCs w:val="24"/>
        </w:rPr>
        <w:t xml:space="preserve">  </w:t>
      </w:r>
    </w:p>
    <w:p w14:paraId="6E1246DB" w14:textId="21FB52AC" w:rsidR="003826E0" w:rsidRPr="00BD2AB4" w:rsidRDefault="003826E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Some of the most famous tomb façades at Petra have been categorized as royal tombs, such as the Corinthian tomb and Urn tomb.</w:t>
      </w:r>
      <w:r w:rsidRPr="00BD2AB4">
        <w:rPr>
          <w:rFonts w:ascii="Times New Roman" w:hAnsi="Times New Roman" w:cs="Times New Roman"/>
          <w:sz w:val="24"/>
          <w:szCs w:val="24"/>
          <w:vertAlign w:val="superscript"/>
        </w:rPr>
        <w:footnoteReference w:id="244"/>
      </w:r>
      <w:r w:rsidRPr="00BD2AB4">
        <w:rPr>
          <w:rFonts w:ascii="Times New Roman" w:hAnsi="Times New Roman" w:cs="Times New Roman"/>
          <w:sz w:val="24"/>
          <w:szCs w:val="24"/>
        </w:rPr>
        <w:t xml:space="preserve"> </w:t>
      </w:r>
    </w:p>
    <w:p w14:paraId="36BB3DB2" w14:textId="020613AB" w:rsidR="003826E0" w:rsidRPr="00BD2AB4" w:rsidRDefault="00FD588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Essentially, the development of the rock-cut tomb in the Near Eastern and Mediterranean, does not reveal, where exactly the Nabataeans might have gotten the concept from. However, the stark similarities with the Achaemenid tombs, might give an idea of where much of the influence has come from.</w:t>
      </w:r>
      <w:r w:rsidRPr="00BD2AB4">
        <w:rPr>
          <w:rStyle w:val="Funotenzeichen"/>
          <w:rFonts w:ascii="Times New Roman" w:hAnsi="Times New Roman" w:cs="Times New Roman"/>
          <w:sz w:val="24"/>
          <w:szCs w:val="24"/>
        </w:rPr>
        <w:footnoteReference w:id="245"/>
      </w:r>
      <w:r w:rsidRPr="00BD2AB4">
        <w:rPr>
          <w:rFonts w:ascii="Times New Roman" w:hAnsi="Times New Roman" w:cs="Times New Roman"/>
          <w:sz w:val="24"/>
          <w:szCs w:val="24"/>
        </w:rPr>
        <w:t xml:space="preserve"> Additionally, the presence of tomb complexes was dependent on the location</w:t>
      </w:r>
      <w:r w:rsidR="00A308F8" w:rsidRPr="00BD2AB4">
        <w:rPr>
          <w:rFonts w:ascii="Times New Roman" w:hAnsi="Times New Roman" w:cs="Times New Roman"/>
          <w:sz w:val="24"/>
          <w:szCs w:val="24"/>
        </w:rPr>
        <w:t xml:space="preserve"> of the tomb.</w:t>
      </w:r>
      <w:r w:rsidR="00A308F8" w:rsidRPr="00BD2AB4">
        <w:rPr>
          <w:rFonts w:ascii="Times New Roman" w:hAnsi="Times New Roman" w:cs="Times New Roman"/>
          <w:sz w:val="24"/>
          <w:szCs w:val="24"/>
          <w:vertAlign w:val="superscript"/>
        </w:rPr>
        <w:t xml:space="preserve"> </w:t>
      </w:r>
      <w:r w:rsidR="00A308F8" w:rsidRPr="00BD2AB4">
        <w:rPr>
          <w:rFonts w:ascii="Times New Roman" w:hAnsi="Times New Roman" w:cs="Times New Roman"/>
          <w:sz w:val="24"/>
          <w:szCs w:val="24"/>
          <w:vertAlign w:val="superscript"/>
        </w:rPr>
        <w:footnoteReference w:id="246"/>
      </w:r>
    </w:p>
    <w:p w14:paraId="7C2E557F" w14:textId="4F6E48BD" w:rsidR="003826E0" w:rsidRPr="00BD2AB4" w:rsidRDefault="003826E0" w:rsidP="00BD2AB4">
      <w:pPr>
        <w:spacing w:line="480" w:lineRule="auto"/>
        <w:rPr>
          <w:rFonts w:ascii="Times New Roman" w:hAnsi="Times New Roman" w:cs="Times New Roman"/>
          <w:sz w:val="24"/>
          <w:szCs w:val="24"/>
        </w:rPr>
      </w:pPr>
    </w:p>
    <w:p w14:paraId="6932C134" w14:textId="5B2AE6F8" w:rsidR="00233357" w:rsidRPr="00BD2AB4" w:rsidRDefault="00233357" w:rsidP="00BD2AB4">
      <w:pPr>
        <w:spacing w:line="480" w:lineRule="auto"/>
        <w:rPr>
          <w:rFonts w:ascii="Times New Roman" w:hAnsi="Times New Roman" w:cs="Times New Roman"/>
          <w:sz w:val="24"/>
          <w:szCs w:val="24"/>
        </w:rPr>
      </w:pPr>
    </w:p>
    <w:p w14:paraId="17EB9455" w14:textId="43A64B5C" w:rsidR="00233357" w:rsidRPr="00BD2AB4" w:rsidRDefault="00233357" w:rsidP="00BD2AB4">
      <w:pPr>
        <w:spacing w:line="480" w:lineRule="auto"/>
        <w:rPr>
          <w:rFonts w:ascii="Times New Roman" w:hAnsi="Times New Roman" w:cs="Times New Roman"/>
          <w:sz w:val="24"/>
          <w:szCs w:val="24"/>
        </w:rPr>
      </w:pPr>
    </w:p>
    <w:p w14:paraId="5DA5D107" w14:textId="3D50D3C2" w:rsidR="00233357" w:rsidRPr="00BD2AB4" w:rsidRDefault="00233357" w:rsidP="00BD2AB4">
      <w:pPr>
        <w:spacing w:line="480" w:lineRule="auto"/>
        <w:rPr>
          <w:rFonts w:ascii="Times New Roman" w:hAnsi="Times New Roman" w:cs="Times New Roman"/>
          <w:sz w:val="24"/>
          <w:szCs w:val="24"/>
        </w:rPr>
      </w:pPr>
    </w:p>
    <w:p w14:paraId="60D887A0" w14:textId="6DD7F045" w:rsidR="00233357" w:rsidRPr="00BD2AB4" w:rsidRDefault="00233357" w:rsidP="00BD2AB4">
      <w:pPr>
        <w:spacing w:line="480" w:lineRule="auto"/>
        <w:rPr>
          <w:rFonts w:ascii="Times New Roman" w:hAnsi="Times New Roman" w:cs="Times New Roman"/>
          <w:sz w:val="24"/>
          <w:szCs w:val="24"/>
        </w:rPr>
      </w:pPr>
    </w:p>
    <w:p w14:paraId="10297D88" w14:textId="22C184A1" w:rsidR="00233357" w:rsidRPr="00BD2AB4" w:rsidRDefault="00233357" w:rsidP="00BD2AB4">
      <w:pPr>
        <w:spacing w:line="480" w:lineRule="auto"/>
        <w:rPr>
          <w:rFonts w:ascii="Times New Roman" w:hAnsi="Times New Roman" w:cs="Times New Roman"/>
          <w:sz w:val="24"/>
          <w:szCs w:val="24"/>
        </w:rPr>
      </w:pPr>
    </w:p>
    <w:p w14:paraId="7509CD22" w14:textId="140F777B" w:rsidR="00233357" w:rsidRPr="00BD2AB4" w:rsidRDefault="00233357" w:rsidP="00BD2AB4">
      <w:pPr>
        <w:spacing w:line="480" w:lineRule="auto"/>
        <w:rPr>
          <w:rFonts w:ascii="Times New Roman" w:hAnsi="Times New Roman" w:cs="Times New Roman"/>
          <w:sz w:val="24"/>
          <w:szCs w:val="24"/>
        </w:rPr>
      </w:pPr>
    </w:p>
    <w:p w14:paraId="4E851788" w14:textId="62E48A7B" w:rsidR="00233357" w:rsidRPr="00BD2AB4" w:rsidRDefault="00233357" w:rsidP="00BD2AB4">
      <w:pPr>
        <w:spacing w:line="480" w:lineRule="auto"/>
        <w:rPr>
          <w:rFonts w:ascii="Times New Roman" w:hAnsi="Times New Roman" w:cs="Times New Roman"/>
          <w:sz w:val="24"/>
          <w:szCs w:val="24"/>
        </w:rPr>
      </w:pPr>
    </w:p>
    <w:p w14:paraId="74A174DC" w14:textId="3F16E12A" w:rsidR="00233357" w:rsidRPr="00BD2AB4" w:rsidRDefault="0022006F" w:rsidP="00BD2AB4">
      <w:pPr>
        <w:spacing w:line="480" w:lineRule="auto"/>
        <w:rPr>
          <w:rFonts w:ascii="Times New Roman" w:hAnsi="Times New Roman" w:cs="Times New Roman"/>
          <w:b/>
          <w:sz w:val="24"/>
          <w:szCs w:val="24"/>
          <w:u w:val="single"/>
        </w:rPr>
      </w:pPr>
      <w:r w:rsidRPr="00BD2AB4">
        <w:rPr>
          <w:rFonts w:ascii="Times New Roman" w:hAnsi="Times New Roman" w:cs="Times New Roman"/>
          <w:sz w:val="24"/>
          <w:szCs w:val="24"/>
          <w:u w:val="single"/>
        </w:rPr>
        <w:lastRenderedPageBreak/>
        <w:t xml:space="preserve">Chapter </w:t>
      </w:r>
      <w:r w:rsidR="006B352D" w:rsidRPr="00BD2AB4">
        <w:rPr>
          <w:rFonts w:ascii="Times New Roman" w:hAnsi="Times New Roman" w:cs="Times New Roman"/>
          <w:sz w:val="24"/>
          <w:szCs w:val="24"/>
          <w:u w:val="single"/>
        </w:rPr>
        <w:t>6</w:t>
      </w:r>
      <w:r w:rsidRPr="00BD2AB4">
        <w:rPr>
          <w:rFonts w:ascii="Times New Roman" w:hAnsi="Times New Roman" w:cs="Times New Roman"/>
          <w:sz w:val="24"/>
          <w:szCs w:val="24"/>
          <w:u w:val="single"/>
        </w:rPr>
        <w:t xml:space="preserve">:                               </w:t>
      </w:r>
      <w:r w:rsidR="00FD0BDC" w:rsidRPr="00BD2AB4">
        <w:rPr>
          <w:rFonts w:ascii="Times New Roman" w:hAnsi="Times New Roman" w:cs="Times New Roman"/>
          <w:b/>
          <w:sz w:val="24"/>
          <w:szCs w:val="24"/>
          <w:u w:val="single"/>
        </w:rPr>
        <w:t xml:space="preserve">Tomb façade architecture </w:t>
      </w:r>
    </w:p>
    <w:p w14:paraId="79C9A2B1" w14:textId="47734AEC" w:rsidR="0022006F" w:rsidRPr="00BD2AB4" w:rsidRDefault="0022006F" w:rsidP="00BD2AB4">
      <w:pPr>
        <w:spacing w:line="480" w:lineRule="auto"/>
        <w:rPr>
          <w:rFonts w:ascii="Times New Roman" w:hAnsi="Times New Roman" w:cs="Times New Roman"/>
          <w:b/>
          <w:sz w:val="24"/>
          <w:szCs w:val="24"/>
          <w:u w:val="single"/>
        </w:rPr>
      </w:pPr>
    </w:p>
    <w:p w14:paraId="448C3652" w14:textId="454A8DEF" w:rsidR="0022006F" w:rsidRPr="00BD2AB4" w:rsidRDefault="00FD0BD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Introducing </w:t>
      </w:r>
      <w:r w:rsidR="0022006F" w:rsidRPr="00BD2AB4">
        <w:rPr>
          <w:rFonts w:ascii="Times New Roman" w:hAnsi="Times New Roman" w:cs="Times New Roman"/>
          <w:sz w:val="24"/>
          <w:szCs w:val="24"/>
        </w:rPr>
        <w:t>proposed tomb</w:t>
      </w:r>
      <w:r w:rsidRPr="00BD2AB4">
        <w:rPr>
          <w:rFonts w:ascii="Times New Roman" w:hAnsi="Times New Roman" w:cs="Times New Roman"/>
          <w:sz w:val="24"/>
          <w:szCs w:val="24"/>
        </w:rPr>
        <w:t xml:space="preserve"> facade</w:t>
      </w:r>
      <w:r w:rsidR="0022006F" w:rsidRPr="00BD2AB4">
        <w:rPr>
          <w:rFonts w:ascii="Times New Roman" w:hAnsi="Times New Roman" w:cs="Times New Roman"/>
          <w:sz w:val="24"/>
          <w:szCs w:val="24"/>
        </w:rPr>
        <w:t xml:space="preserve"> types and their chronology,</w:t>
      </w:r>
      <w:r w:rsidRPr="00BD2AB4">
        <w:rPr>
          <w:rFonts w:ascii="Times New Roman" w:hAnsi="Times New Roman" w:cs="Times New Roman"/>
          <w:sz w:val="24"/>
          <w:szCs w:val="24"/>
        </w:rPr>
        <w:t xml:space="preserve"> this chapter focusses</w:t>
      </w:r>
      <w:r w:rsidR="0022006F" w:rsidRPr="00BD2AB4">
        <w:rPr>
          <w:rFonts w:ascii="Times New Roman" w:hAnsi="Times New Roman" w:cs="Times New Roman"/>
          <w:sz w:val="24"/>
          <w:szCs w:val="24"/>
        </w:rPr>
        <w:t xml:space="preserve"> as well </w:t>
      </w:r>
      <w:r w:rsidRPr="00BD2AB4">
        <w:rPr>
          <w:rFonts w:ascii="Times New Roman" w:hAnsi="Times New Roman" w:cs="Times New Roman"/>
          <w:sz w:val="24"/>
          <w:szCs w:val="24"/>
        </w:rPr>
        <w:t>on the general description of Nabataean tomb façades, while criticising modern scholarship by comparing different approaches to the chronology problem.</w:t>
      </w:r>
      <w:r w:rsidR="0022006F" w:rsidRPr="00BD2AB4">
        <w:rPr>
          <w:rFonts w:ascii="Times New Roman" w:hAnsi="Times New Roman" w:cs="Times New Roman"/>
          <w:sz w:val="24"/>
          <w:szCs w:val="24"/>
        </w:rPr>
        <w:t xml:space="preserve"> </w:t>
      </w:r>
    </w:p>
    <w:p w14:paraId="3F122261" w14:textId="541E3576" w:rsidR="0022006F" w:rsidRPr="00BD2AB4" w:rsidRDefault="0000181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To give a general overview, t</w:t>
      </w:r>
      <w:r w:rsidR="0022006F" w:rsidRPr="00BD2AB4">
        <w:rPr>
          <w:rFonts w:ascii="Times New Roman" w:hAnsi="Times New Roman" w:cs="Times New Roman"/>
          <w:sz w:val="24"/>
          <w:szCs w:val="24"/>
        </w:rPr>
        <w:t>he average Nabataean rock-cut tomb façade can be divided into two parts, a lower secular and an upper sacred part.</w:t>
      </w:r>
      <w:r w:rsidR="0022006F" w:rsidRPr="00BD2AB4">
        <w:rPr>
          <w:rStyle w:val="Funotenzeichen"/>
          <w:rFonts w:ascii="Times New Roman" w:hAnsi="Times New Roman" w:cs="Times New Roman"/>
          <w:sz w:val="24"/>
          <w:szCs w:val="24"/>
        </w:rPr>
        <w:footnoteReference w:id="247"/>
      </w:r>
      <w:r w:rsidR="0022006F" w:rsidRPr="00BD2AB4">
        <w:rPr>
          <w:rFonts w:ascii="Times New Roman" w:hAnsi="Times New Roman" w:cs="Times New Roman"/>
          <w:sz w:val="24"/>
          <w:szCs w:val="24"/>
        </w:rPr>
        <w:t xml:space="preserve"> The upper part of the façade</w:t>
      </w:r>
      <w:r w:rsidRPr="00BD2AB4">
        <w:rPr>
          <w:rFonts w:ascii="Times New Roman" w:hAnsi="Times New Roman" w:cs="Times New Roman"/>
          <w:sz w:val="24"/>
          <w:szCs w:val="24"/>
        </w:rPr>
        <w:t xml:space="preserve"> is mainly more</w:t>
      </w:r>
      <w:r w:rsidR="0022006F" w:rsidRPr="00BD2AB4">
        <w:rPr>
          <w:rFonts w:ascii="Times New Roman" w:hAnsi="Times New Roman" w:cs="Times New Roman"/>
          <w:sz w:val="24"/>
          <w:szCs w:val="24"/>
        </w:rPr>
        <w:t xml:space="preserve"> decorative, w</w:t>
      </w:r>
      <w:r w:rsidRPr="00BD2AB4">
        <w:rPr>
          <w:rFonts w:ascii="Times New Roman" w:hAnsi="Times New Roman" w:cs="Times New Roman"/>
          <w:sz w:val="24"/>
          <w:szCs w:val="24"/>
        </w:rPr>
        <w:t>hile also having some religious meaning attached</w:t>
      </w:r>
      <w:r w:rsidR="0022006F" w:rsidRPr="00BD2AB4">
        <w:rPr>
          <w:rFonts w:ascii="Times New Roman" w:hAnsi="Times New Roman" w:cs="Times New Roman"/>
          <w:sz w:val="24"/>
          <w:szCs w:val="24"/>
        </w:rPr>
        <w:t>.</w:t>
      </w:r>
      <w:r w:rsidR="0022006F" w:rsidRPr="00BD2AB4">
        <w:rPr>
          <w:rStyle w:val="Funotenzeichen"/>
          <w:rFonts w:ascii="Times New Roman" w:hAnsi="Times New Roman" w:cs="Times New Roman"/>
          <w:sz w:val="24"/>
          <w:szCs w:val="24"/>
        </w:rPr>
        <w:footnoteReference w:id="248"/>
      </w:r>
      <w:r w:rsidR="0022006F" w:rsidRPr="00BD2AB4">
        <w:rPr>
          <w:rFonts w:ascii="Times New Roman" w:hAnsi="Times New Roman" w:cs="Times New Roman"/>
          <w:sz w:val="24"/>
          <w:szCs w:val="24"/>
        </w:rPr>
        <w:t xml:space="preserve"> </w:t>
      </w:r>
      <w:r w:rsidRPr="00BD2AB4">
        <w:rPr>
          <w:rFonts w:ascii="Times New Roman" w:hAnsi="Times New Roman" w:cs="Times New Roman"/>
          <w:sz w:val="24"/>
          <w:szCs w:val="24"/>
        </w:rPr>
        <w:t>T</w:t>
      </w:r>
      <w:r w:rsidR="0022006F" w:rsidRPr="00BD2AB4">
        <w:rPr>
          <w:rFonts w:ascii="Times New Roman" w:hAnsi="Times New Roman" w:cs="Times New Roman"/>
          <w:sz w:val="24"/>
          <w:szCs w:val="24"/>
        </w:rPr>
        <w:t>he lower part mainly fulfill</w:t>
      </w:r>
      <w:r w:rsidRPr="00BD2AB4">
        <w:rPr>
          <w:rFonts w:ascii="Times New Roman" w:hAnsi="Times New Roman" w:cs="Times New Roman"/>
          <w:sz w:val="24"/>
          <w:szCs w:val="24"/>
        </w:rPr>
        <w:t>ed</w:t>
      </w:r>
      <w:r w:rsidR="0022006F" w:rsidRPr="00BD2AB4">
        <w:rPr>
          <w:rFonts w:ascii="Times New Roman" w:hAnsi="Times New Roman" w:cs="Times New Roman"/>
          <w:sz w:val="24"/>
          <w:szCs w:val="24"/>
        </w:rPr>
        <w:t xml:space="preserve"> the functional of providing an entrance, while also serving</w:t>
      </w:r>
      <w:r w:rsidRPr="00BD2AB4">
        <w:rPr>
          <w:rFonts w:ascii="Times New Roman" w:hAnsi="Times New Roman" w:cs="Times New Roman"/>
          <w:sz w:val="24"/>
          <w:szCs w:val="24"/>
        </w:rPr>
        <w:t xml:space="preserve"> often less</w:t>
      </w:r>
      <w:r w:rsidR="0022006F" w:rsidRPr="00BD2AB4">
        <w:rPr>
          <w:rFonts w:ascii="Times New Roman" w:hAnsi="Times New Roman" w:cs="Times New Roman"/>
          <w:sz w:val="24"/>
          <w:szCs w:val="24"/>
        </w:rPr>
        <w:t xml:space="preserve"> decorative and symbolic purposes.</w:t>
      </w:r>
      <w:r w:rsidR="0022006F" w:rsidRPr="00BD2AB4">
        <w:rPr>
          <w:rStyle w:val="Funotenzeichen"/>
          <w:rFonts w:ascii="Times New Roman" w:hAnsi="Times New Roman" w:cs="Times New Roman"/>
          <w:sz w:val="24"/>
          <w:szCs w:val="24"/>
        </w:rPr>
        <w:footnoteReference w:id="249"/>
      </w:r>
      <w:r w:rsidR="0022006F" w:rsidRPr="00BD2AB4">
        <w:rPr>
          <w:rFonts w:ascii="Times New Roman" w:hAnsi="Times New Roman" w:cs="Times New Roman"/>
          <w:sz w:val="24"/>
          <w:szCs w:val="24"/>
        </w:rPr>
        <w:t xml:space="preserve"> </w:t>
      </w:r>
    </w:p>
    <w:p w14:paraId="22D79127" w14:textId="61136C6D" w:rsidR="0000181D" w:rsidRPr="00BD2AB4" w:rsidRDefault="0000181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These facades were only possible to carve, because of the presence of smooth</w:t>
      </w:r>
      <w:r w:rsidR="0022006F" w:rsidRPr="00BD2AB4">
        <w:rPr>
          <w:rFonts w:ascii="Times New Roman" w:hAnsi="Times New Roman" w:cs="Times New Roman"/>
          <w:sz w:val="24"/>
          <w:szCs w:val="24"/>
        </w:rPr>
        <w:t xml:space="preserve"> sandstone</w:t>
      </w:r>
      <w:r w:rsidR="0022006F" w:rsidRPr="00BD2AB4">
        <w:rPr>
          <w:rStyle w:val="Funotenzeichen"/>
          <w:rFonts w:ascii="Times New Roman" w:hAnsi="Times New Roman" w:cs="Times New Roman"/>
          <w:sz w:val="24"/>
          <w:szCs w:val="24"/>
        </w:rPr>
        <w:footnoteReference w:id="250"/>
      </w:r>
      <w:r w:rsidR="0022006F" w:rsidRPr="00BD2AB4">
        <w:rPr>
          <w:rFonts w:ascii="Times New Roman" w:hAnsi="Times New Roman" w:cs="Times New Roman"/>
          <w:sz w:val="24"/>
          <w:szCs w:val="24"/>
        </w:rPr>
        <w:t xml:space="preserve"> cliff</w:t>
      </w:r>
      <w:r w:rsidRPr="00BD2AB4">
        <w:rPr>
          <w:rFonts w:ascii="Times New Roman" w:hAnsi="Times New Roman" w:cs="Times New Roman"/>
          <w:sz w:val="24"/>
          <w:szCs w:val="24"/>
        </w:rPr>
        <w:t>s, while e</w:t>
      </w:r>
      <w:r w:rsidR="0022006F" w:rsidRPr="00BD2AB4">
        <w:rPr>
          <w:rFonts w:ascii="Times New Roman" w:hAnsi="Times New Roman" w:cs="Times New Roman"/>
          <w:sz w:val="24"/>
          <w:szCs w:val="24"/>
        </w:rPr>
        <w:t>xperimental work has</w:t>
      </w:r>
      <w:r w:rsidRPr="00BD2AB4">
        <w:rPr>
          <w:rFonts w:ascii="Times New Roman" w:hAnsi="Times New Roman" w:cs="Times New Roman"/>
          <w:sz w:val="24"/>
          <w:szCs w:val="24"/>
        </w:rPr>
        <w:t xml:space="preserve"> shown that the Nabataeans worked a top down approach and dealt with problems with the stone, by adjusting crow step sizes, the most common architectural feature</w:t>
      </w:r>
      <w:r w:rsidR="0022006F" w:rsidRPr="00BD2AB4">
        <w:rPr>
          <w:rFonts w:ascii="Times New Roman" w:hAnsi="Times New Roman" w:cs="Times New Roman"/>
          <w:sz w:val="24"/>
          <w:szCs w:val="24"/>
        </w:rPr>
        <w:t xml:space="preserve">. </w:t>
      </w:r>
      <w:r w:rsidR="0022006F" w:rsidRPr="00BD2AB4">
        <w:rPr>
          <w:rStyle w:val="Funotenzeichen"/>
          <w:rFonts w:ascii="Times New Roman" w:hAnsi="Times New Roman" w:cs="Times New Roman"/>
          <w:sz w:val="24"/>
          <w:szCs w:val="24"/>
        </w:rPr>
        <w:footnoteReference w:id="251"/>
      </w:r>
      <w:r w:rsidR="0022006F" w:rsidRPr="00BD2AB4">
        <w:rPr>
          <w:rFonts w:ascii="Times New Roman" w:hAnsi="Times New Roman" w:cs="Times New Roman"/>
          <w:sz w:val="24"/>
          <w:szCs w:val="24"/>
        </w:rPr>
        <w:t xml:space="preserve"> </w:t>
      </w:r>
    </w:p>
    <w:p w14:paraId="35BDC5D8" w14:textId="136F367C" w:rsidR="0022006F" w:rsidRPr="00BD2AB4" w:rsidRDefault="0022006F"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Depending on the wishes of the commissioner of the tomb, the extend of elaboration of the facades would vary, making use of different plant, animal and anthropomorphic symbols, as well as geometrical forms.</w:t>
      </w:r>
      <w:r w:rsidRPr="00BD2AB4">
        <w:rPr>
          <w:rStyle w:val="Funotenzeichen"/>
          <w:rFonts w:ascii="Times New Roman" w:hAnsi="Times New Roman" w:cs="Times New Roman"/>
          <w:sz w:val="24"/>
          <w:szCs w:val="24"/>
        </w:rPr>
        <w:footnoteReference w:id="252"/>
      </w:r>
      <w:r w:rsidRPr="00BD2AB4">
        <w:rPr>
          <w:rFonts w:ascii="Times New Roman" w:hAnsi="Times New Roman" w:cs="Times New Roman"/>
          <w:sz w:val="24"/>
          <w:szCs w:val="24"/>
        </w:rPr>
        <w:t xml:space="preserve"> </w:t>
      </w:r>
      <w:r w:rsidR="00CB1F98" w:rsidRPr="00BD2AB4">
        <w:rPr>
          <w:rFonts w:ascii="Times New Roman" w:hAnsi="Times New Roman" w:cs="Times New Roman"/>
          <w:sz w:val="24"/>
          <w:szCs w:val="24"/>
        </w:rPr>
        <w:t>Further, the f</w:t>
      </w:r>
      <w:r w:rsidRPr="00BD2AB4">
        <w:rPr>
          <w:rFonts w:ascii="Times New Roman" w:hAnsi="Times New Roman" w:cs="Times New Roman"/>
          <w:sz w:val="24"/>
          <w:szCs w:val="24"/>
        </w:rPr>
        <w:t>acades may have been initially plastered, painted or both.</w:t>
      </w:r>
      <w:r w:rsidRPr="00BD2AB4">
        <w:rPr>
          <w:rStyle w:val="Funotenzeichen"/>
          <w:rFonts w:ascii="Times New Roman" w:hAnsi="Times New Roman" w:cs="Times New Roman"/>
          <w:sz w:val="24"/>
          <w:szCs w:val="24"/>
        </w:rPr>
        <w:footnoteReference w:id="253"/>
      </w:r>
    </w:p>
    <w:p w14:paraId="7D6DDFDF" w14:textId="7B3258EE" w:rsidR="00B93BF4" w:rsidRPr="00BD2AB4" w:rsidRDefault="00B93BF4" w:rsidP="00BD2AB4">
      <w:pPr>
        <w:spacing w:line="480" w:lineRule="auto"/>
        <w:rPr>
          <w:rFonts w:ascii="Times New Roman" w:hAnsi="Times New Roman" w:cs="Times New Roman"/>
          <w:sz w:val="24"/>
          <w:szCs w:val="24"/>
        </w:rPr>
      </w:pPr>
    </w:p>
    <w:p w14:paraId="61BB1834" w14:textId="2BC93548" w:rsidR="00B93BF4" w:rsidRPr="00BD2AB4" w:rsidRDefault="00B93BF4" w:rsidP="00BD2AB4">
      <w:pPr>
        <w:pStyle w:val="berschrift2"/>
        <w:spacing w:line="480" w:lineRule="auto"/>
        <w:rPr>
          <w:rFonts w:ascii="Times New Roman" w:hAnsi="Times New Roman" w:cs="Times New Roman"/>
          <w:color w:val="auto"/>
          <w:sz w:val="24"/>
          <w:szCs w:val="24"/>
          <w:u w:val="single"/>
        </w:rPr>
      </w:pPr>
      <w:r w:rsidRPr="00BD2AB4">
        <w:rPr>
          <w:rFonts w:ascii="Times New Roman" w:hAnsi="Times New Roman" w:cs="Times New Roman"/>
          <w:color w:val="auto"/>
          <w:sz w:val="24"/>
          <w:szCs w:val="24"/>
          <w:u w:val="single"/>
        </w:rPr>
        <w:lastRenderedPageBreak/>
        <w:t xml:space="preserve">Façade types and proposed chronology </w:t>
      </w:r>
    </w:p>
    <w:p w14:paraId="619C7D3F" w14:textId="77777777" w:rsidR="00B93BF4" w:rsidRPr="00BD2AB4" w:rsidRDefault="00B93BF4" w:rsidP="00BD2AB4">
      <w:pPr>
        <w:spacing w:line="480" w:lineRule="auto"/>
        <w:rPr>
          <w:rFonts w:ascii="Times New Roman" w:hAnsi="Times New Roman" w:cs="Times New Roman"/>
          <w:sz w:val="24"/>
          <w:szCs w:val="24"/>
        </w:rPr>
      </w:pPr>
    </w:p>
    <w:p w14:paraId="4B7DCB7A" w14:textId="5B80A687" w:rsidR="00B93BF4" w:rsidRPr="00BD2AB4" w:rsidRDefault="00B93BF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rock-cut tomb facades have been categorised into the following types: Single and double pylon, step, proto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as well as into the simple and complex classical types.</w:t>
      </w:r>
      <w:r w:rsidRPr="00BD2AB4">
        <w:rPr>
          <w:rStyle w:val="Funotenzeichen"/>
          <w:rFonts w:ascii="Times New Roman" w:hAnsi="Times New Roman" w:cs="Times New Roman"/>
          <w:sz w:val="24"/>
          <w:szCs w:val="24"/>
        </w:rPr>
        <w:footnoteReference w:id="254"/>
      </w:r>
      <w:r w:rsidRPr="00BD2AB4">
        <w:rPr>
          <w:rFonts w:ascii="Times New Roman" w:hAnsi="Times New Roman" w:cs="Times New Roman"/>
          <w:sz w:val="24"/>
          <w:szCs w:val="24"/>
        </w:rPr>
        <w:t xml:space="preserve">  An additional category has been proposed for Roman and Imperial facades.</w:t>
      </w:r>
      <w:r w:rsidRPr="00BD2AB4">
        <w:rPr>
          <w:rStyle w:val="Funotenzeichen"/>
          <w:rFonts w:ascii="Times New Roman" w:hAnsi="Times New Roman" w:cs="Times New Roman"/>
          <w:sz w:val="24"/>
          <w:szCs w:val="24"/>
        </w:rPr>
        <w:footnoteReference w:id="255"/>
      </w:r>
    </w:p>
    <w:p w14:paraId="06C25D3A" w14:textId="2CD7B7A0" w:rsidR="00FD0BDC" w:rsidRPr="00BD2AB4" w:rsidRDefault="00FD0BDC"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Additionally, </w:t>
      </w:r>
      <w:proofErr w:type="spellStart"/>
      <w:r w:rsidRPr="00BD2AB4">
        <w:rPr>
          <w:rFonts w:ascii="Times New Roman" w:hAnsi="Times New Roman" w:cs="Times New Roman"/>
          <w:sz w:val="24"/>
          <w:szCs w:val="24"/>
        </w:rPr>
        <w:t>Rababeh</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Rabady</w:t>
      </w:r>
      <w:proofErr w:type="spellEnd"/>
      <w:r w:rsidRPr="00BD2AB4">
        <w:rPr>
          <w:rFonts w:ascii="Times New Roman" w:hAnsi="Times New Roman" w:cs="Times New Roman"/>
          <w:sz w:val="24"/>
          <w:szCs w:val="24"/>
        </w:rPr>
        <w:t xml:space="preserve"> 2014 have noted that the more eastern influenced tombs were mainly of the double pylon, Proto-</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Step, Pylon and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type, while the remaining tomb types showed a mix between Hellenistic, overall classical and eastern influences.</w:t>
      </w:r>
      <w:r w:rsidRPr="00BD2AB4">
        <w:rPr>
          <w:rStyle w:val="Funotenzeichen"/>
          <w:rFonts w:ascii="Times New Roman" w:hAnsi="Times New Roman" w:cs="Times New Roman"/>
          <w:sz w:val="24"/>
          <w:szCs w:val="24"/>
        </w:rPr>
        <w:footnoteReference w:id="256"/>
      </w:r>
      <w:r w:rsidRPr="00BD2AB4">
        <w:rPr>
          <w:rFonts w:ascii="Times New Roman" w:hAnsi="Times New Roman" w:cs="Times New Roman"/>
          <w:sz w:val="24"/>
          <w:szCs w:val="24"/>
        </w:rPr>
        <w:t xml:space="preserve"> </w:t>
      </w:r>
    </w:p>
    <w:p w14:paraId="33F3EF3F" w14:textId="77777777" w:rsidR="00B93BF4" w:rsidRPr="00BD2AB4" w:rsidRDefault="00B93BF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Often square or upright rectangular in shape, most standard tombs would have had crowsteps,</w:t>
      </w:r>
      <w:r w:rsidRPr="00BD2AB4">
        <w:rPr>
          <w:rStyle w:val="Funotenzeichen"/>
          <w:rFonts w:ascii="Times New Roman" w:hAnsi="Times New Roman" w:cs="Times New Roman"/>
          <w:sz w:val="24"/>
          <w:szCs w:val="24"/>
        </w:rPr>
        <w:footnoteReference w:id="257"/>
      </w:r>
      <w:r w:rsidRPr="00BD2AB4">
        <w:rPr>
          <w:rFonts w:ascii="Times New Roman" w:hAnsi="Times New Roman" w:cs="Times New Roman"/>
          <w:sz w:val="24"/>
          <w:szCs w:val="24"/>
        </w:rPr>
        <w:t xml:space="preserve"> also termed crenelated features, carved unto the upmost segment.</w:t>
      </w:r>
      <w:r w:rsidRPr="00BD2AB4">
        <w:rPr>
          <w:rStyle w:val="Funotenzeichen"/>
          <w:rFonts w:ascii="Times New Roman" w:hAnsi="Times New Roman" w:cs="Times New Roman"/>
          <w:sz w:val="24"/>
          <w:szCs w:val="24"/>
        </w:rPr>
        <w:footnoteReference w:id="258"/>
      </w:r>
      <w:r w:rsidRPr="00BD2AB4">
        <w:rPr>
          <w:rFonts w:ascii="Times New Roman" w:hAnsi="Times New Roman" w:cs="Times New Roman"/>
          <w:sz w:val="24"/>
          <w:szCs w:val="24"/>
        </w:rPr>
        <w:t xml:space="preserve"> </w:t>
      </w:r>
    </w:p>
    <w:p w14:paraId="383D1B84" w14:textId="1B556B66" w:rsidR="00B93BF4" w:rsidRPr="00BD2AB4" w:rsidRDefault="00B93BF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Different chronologies have been proposed regarding the facades sequence of appearance, with </w:t>
      </w:r>
      <w:proofErr w:type="spellStart"/>
      <w:r w:rsidRPr="00BD2AB4">
        <w:rPr>
          <w:rFonts w:ascii="Times New Roman" w:hAnsi="Times New Roman" w:cs="Times New Roman"/>
          <w:sz w:val="24"/>
          <w:szCs w:val="24"/>
        </w:rPr>
        <w:t>Rababeh</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Rabady</w:t>
      </w:r>
      <w:proofErr w:type="spellEnd"/>
      <w:r w:rsidRPr="00BD2AB4">
        <w:rPr>
          <w:rFonts w:ascii="Times New Roman" w:hAnsi="Times New Roman" w:cs="Times New Roman"/>
          <w:sz w:val="24"/>
          <w:szCs w:val="24"/>
        </w:rPr>
        <w:t xml:space="preserve"> 2014</w:t>
      </w:r>
      <w:r w:rsidRPr="00BD2AB4">
        <w:rPr>
          <w:rStyle w:val="Funotenzeichen"/>
          <w:rFonts w:ascii="Times New Roman" w:hAnsi="Times New Roman" w:cs="Times New Roman"/>
          <w:sz w:val="24"/>
          <w:szCs w:val="24"/>
        </w:rPr>
        <w:footnoteReference w:id="259"/>
      </w:r>
      <w:r w:rsidRPr="00BD2AB4">
        <w:rPr>
          <w:rFonts w:ascii="Times New Roman" w:hAnsi="Times New Roman" w:cs="Times New Roman"/>
          <w:sz w:val="24"/>
          <w:szCs w:val="24"/>
        </w:rPr>
        <w:t xml:space="preserve"> and Hammond 1973</w:t>
      </w:r>
      <w:r w:rsidRPr="00BD2AB4">
        <w:rPr>
          <w:rStyle w:val="Funotenzeichen"/>
          <w:rFonts w:ascii="Times New Roman" w:hAnsi="Times New Roman" w:cs="Times New Roman"/>
          <w:sz w:val="24"/>
          <w:szCs w:val="24"/>
        </w:rPr>
        <w:footnoteReference w:id="260"/>
      </w:r>
      <w:r w:rsidRPr="00BD2AB4">
        <w:rPr>
          <w:rFonts w:ascii="Times New Roman" w:hAnsi="Times New Roman" w:cs="Times New Roman"/>
          <w:sz w:val="24"/>
          <w:szCs w:val="24"/>
        </w:rPr>
        <w:t xml:space="preserve"> suggesting that the Pylon type may have been the first, dating to the sixth century B.C.,</w:t>
      </w:r>
      <w:r w:rsidRPr="00BD2AB4">
        <w:rPr>
          <w:rStyle w:val="Funotenzeichen"/>
          <w:rFonts w:ascii="Times New Roman" w:hAnsi="Times New Roman" w:cs="Times New Roman"/>
          <w:sz w:val="24"/>
          <w:szCs w:val="24"/>
        </w:rPr>
        <w:footnoteReference w:id="261"/>
      </w:r>
      <w:r w:rsidRPr="00BD2AB4">
        <w:rPr>
          <w:rFonts w:ascii="Times New Roman" w:hAnsi="Times New Roman" w:cs="Times New Roman"/>
          <w:sz w:val="24"/>
          <w:szCs w:val="24"/>
        </w:rPr>
        <w:t xml:space="preserve"> contradicting Lindner 1970 who suggested that most facades were carved between the second century B.C and first century A.D.</w:t>
      </w:r>
      <w:r w:rsidRPr="00BD2AB4">
        <w:rPr>
          <w:rStyle w:val="Funotenzeichen"/>
          <w:rFonts w:ascii="Times New Roman" w:hAnsi="Times New Roman" w:cs="Times New Roman"/>
          <w:sz w:val="24"/>
          <w:szCs w:val="24"/>
        </w:rPr>
        <w:footnoteReference w:id="262"/>
      </w:r>
    </w:p>
    <w:p w14:paraId="302E1B41" w14:textId="3806FE70" w:rsidR="00B93BF4" w:rsidRPr="00BD2AB4" w:rsidRDefault="00B93BF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following styles were proposed to have developed afterwards, although it is difficult to determine to what extend there were overlaps in the development: The step tombs, classical façade tombs, Roman façade and Imperial façade tombs.</w:t>
      </w:r>
      <w:r w:rsidRPr="00BD2AB4">
        <w:rPr>
          <w:rStyle w:val="Funotenzeichen"/>
          <w:rFonts w:ascii="Times New Roman" w:hAnsi="Times New Roman" w:cs="Times New Roman"/>
          <w:sz w:val="24"/>
          <w:szCs w:val="24"/>
        </w:rPr>
        <w:footnoteReference w:id="263"/>
      </w:r>
      <w:r w:rsidRPr="00BD2AB4">
        <w:rPr>
          <w:rFonts w:ascii="Times New Roman" w:hAnsi="Times New Roman" w:cs="Times New Roman"/>
          <w:sz w:val="24"/>
          <w:szCs w:val="24"/>
        </w:rPr>
        <w:t xml:space="preserve"> This development reflects a move away from the simple into the more complex design, often described as a general shift from </w:t>
      </w:r>
      <w:r w:rsidRPr="00BD2AB4">
        <w:rPr>
          <w:rFonts w:ascii="Times New Roman" w:hAnsi="Times New Roman" w:cs="Times New Roman"/>
          <w:sz w:val="24"/>
          <w:szCs w:val="24"/>
        </w:rPr>
        <w:lastRenderedPageBreak/>
        <w:t>eastern towards western influence.</w:t>
      </w:r>
      <w:r w:rsidRPr="00BD2AB4">
        <w:rPr>
          <w:rStyle w:val="Funotenzeichen"/>
          <w:rFonts w:ascii="Times New Roman" w:hAnsi="Times New Roman" w:cs="Times New Roman"/>
          <w:sz w:val="24"/>
          <w:szCs w:val="24"/>
        </w:rPr>
        <w:footnoteReference w:id="264"/>
      </w:r>
      <w:r w:rsidRPr="00BD2AB4">
        <w:rPr>
          <w:rFonts w:ascii="Times New Roman" w:hAnsi="Times New Roman" w:cs="Times New Roman"/>
          <w:sz w:val="24"/>
          <w:szCs w:val="24"/>
        </w:rPr>
        <w:t xml:space="preserve"> This notion follows the first proper analysis by </w:t>
      </w:r>
      <w:proofErr w:type="spellStart"/>
      <w:r w:rsidRPr="00BD2AB4">
        <w:rPr>
          <w:rFonts w:ascii="Times New Roman" w:hAnsi="Times New Roman" w:cs="Times New Roman"/>
          <w:sz w:val="24"/>
          <w:szCs w:val="24"/>
        </w:rPr>
        <w:t>Brünnow</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Domaszewski</w:t>
      </w:r>
      <w:proofErr w:type="spellEnd"/>
      <w:r w:rsidRPr="00BD2AB4">
        <w:rPr>
          <w:rFonts w:ascii="Times New Roman" w:hAnsi="Times New Roman" w:cs="Times New Roman"/>
          <w:sz w:val="24"/>
          <w:szCs w:val="24"/>
        </w:rPr>
        <w:t>, who were the first to propose this sequence.</w:t>
      </w:r>
      <w:r w:rsidRPr="00BD2AB4">
        <w:rPr>
          <w:rStyle w:val="Funotenzeichen"/>
          <w:rFonts w:ascii="Times New Roman" w:hAnsi="Times New Roman" w:cs="Times New Roman"/>
          <w:sz w:val="24"/>
          <w:szCs w:val="24"/>
        </w:rPr>
        <w:footnoteReference w:id="265"/>
      </w:r>
      <w:r w:rsidRPr="00BD2AB4">
        <w:rPr>
          <w:rFonts w:ascii="Times New Roman" w:hAnsi="Times New Roman" w:cs="Times New Roman"/>
          <w:sz w:val="24"/>
          <w:szCs w:val="24"/>
        </w:rPr>
        <w:t xml:space="preserve"> </w:t>
      </w:r>
    </w:p>
    <w:p w14:paraId="4EAE8F85" w14:textId="4487D4F7" w:rsidR="00B93BF4" w:rsidRPr="00BD2AB4" w:rsidRDefault="00B93BF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With </w:t>
      </w:r>
      <w:proofErr w:type="spellStart"/>
      <w:r w:rsidRPr="00BD2AB4">
        <w:rPr>
          <w:rFonts w:ascii="Times New Roman" w:hAnsi="Times New Roman" w:cs="Times New Roman"/>
          <w:sz w:val="24"/>
          <w:szCs w:val="24"/>
        </w:rPr>
        <w:t>Wadeson</w:t>
      </w:r>
      <w:proofErr w:type="spellEnd"/>
      <w:r w:rsidRPr="00BD2AB4">
        <w:rPr>
          <w:rFonts w:ascii="Times New Roman" w:hAnsi="Times New Roman" w:cs="Times New Roman"/>
          <w:sz w:val="24"/>
          <w:szCs w:val="24"/>
        </w:rPr>
        <w:t xml:space="preserve"> 2011 going as far as suggesting a reverse chronology to </w:t>
      </w:r>
      <w:proofErr w:type="spellStart"/>
      <w:r w:rsidRPr="00BD2AB4">
        <w:rPr>
          <w:rFonts w:ascii="Times New Roman" w:hAnsi="Times New Roman" w:cs="Times New Roman"/>
          <w:sz w:val="24"/>
          <w:szCs w:val="24"/>
        </w:rPr>
        <w:t>Brünnow</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Domaszewski</w:t>
      </w:r>
      <w:proofErr w:type="spellEnd"/>
      <w:r w:rsidRPr="00BD2AB4">
        <w:rPr>
          <w:rFonts w:ascii="Times New Roman" w:hAnsi="Times New Roman" w:cs="Times New Roman"/>
          <w:sz w:val="24"/>
          <w:szCs w:val="24"/>
        </w:rPr>
        <w:t>, with smaller and simpler tombs supposedly carved later than the larger more complex ones</w:t>
      </w:r>
      <w:r w:rsidR="00FD0BDC" w:rsidRPr="00BD2AB4">
        <w:rPr>
          <w:rFonts w:ascii="Times New Roman" w:hAnsi="Times New Roman" w:cs="Times New Roman"/>
          <w:sz w:val="24"/>
          <w:szCs w:val="24"/>
        </w:rPr>
        <w:t>.</w:t>
      </w:r>
      <w:r w:rsidR="00FD0BDC" w:rsidRPr="00BD2AB4">
        <w:rPr>
          <w:rStyle w:val="Funotenzeichen"/>
          <w:rFonts w:ascii="Times New Roman" w:hAnsi="Times New Roman" w:cs="Times New Roman"/>
          <w:sz w:val="24"/>
          <w:szCs w:val="24"/>
        </w:rPr>
        <w:footnoteReference w:id="266"/>
      </w:r>
      <w:r w:rsidRPr="00BD2AB4">
        <w:rPr>
          <w:rFonts w:ascii="Times New Roman" w:hAnsi="Times New Roman" w:cs="Times New Roman"/>
          <w:sz w:val="24"/>
          <w:szCs w:val="24"/>
        </w:rPr>
        <w:t xml:space="preserve"> </w:t>
      </w:r>
      <w:r w:rsidR="00FD0BDC" w:rsidRPr="00BD2AB4">
        <w:rPr>
          <w:rFonts w:ascii="Times New Roman" w:hAnsi="Times New Roman" w:cs="Times New Roman"/>
          <w:sz w:val="24"/>
          <w:szCs w:val="24"/>
        </w:rPr>
        <w:t>A</w:t>
      </w:r>
      <w:r w:rsidRPr="00BD2AB4">
        <w:rPr>
          <w:rFonts w:ascii="Times New Roman" w:hAnsi="Times New Roman" w:cs="Times New Roman"/>
          <w:sz w:val="24"/>
          <w:szCs w:val="24"/>
        </w:rPr>
        <w:t xml:space="preserve">n argument which </w:t>
      </w:r>
      <w:proofErr w:type="spellStart"/>
      <w:r w:rsidRPr="00BD2AB4">
        <w:rPr>
          <w:rFonts w:ascii="Times New Roman" w:hAnsi="Times New Roman" w:cs="Times New Roman"/>
          <w:sz w:val="24"/>
          <w:szCs w:val="24"/>
        </w:rPr>
        <w:t>Wadeson</w:t>
      </w:r>
      <w:proofErr w:type="spellEnd"/>
      <w:r w:rsidRPr="00BD2AB4">
        <w:rPr>
          <w:rFonts w:ascii="Times New Roman" w:hAnsi="Times New Roman" w:cs="Times New Roman"/>
          <w:sz w:val="24"/>
          <w:szCs w:val="24"/>
        </w:rPr>
        <w:t xml:space="preserve"> support</w:t>
      </w:r>
      <w:r w:rsidR="00FD0BDC" w:rsidRPr="00BD2AB4">
        <w:rPr>
          <w:rFonts w:ascii="Times New Roman" w:hAnsi="Times New Roman" w:cs="Times New Roman"/>
          <w:sz w:val="24"/>
          <w:szCs w:val="24"/>
        </w:rPr>
        <w:t>s</w:t>
      </w:r>
      <w:r w:rsidRPr="00BD2AB4">
        <w:rPr>
          <w:rFonts w:ascii="Times New Roman" w:hAnsi="Times New Roman" w:cs="Times New Roman"/>
          <w:sz w:val="24"/>
          <w:szCs w:val="24"/>
        </w:rPr>
        <w:t xml:space="preserve"> by claiming that political developments within the Nabataean kingdom during the first century C.E. were responsible.</w:t>
      </w:r>
      <w:r w:rsidRPr="00BD2AB4">
        <w:rPr>
          <w:rStyle w:val="Funotenzeichen"/>
          <w:rFonts w:ascii="Times New Roman" w:hAnsi="Times New Roman" w:cs="Times New Roman"/>
          <w:sz w:val="24"/>
          <w:szCs w:val="24"/>
        </w:rPr>
        <w:footnoteReference w:id="267"/>
      </w:r>
      <w:r w:rsidR="00FD0BDC" w:rsidRPr="00BD2AB4">
        <w:rPr>
          <w:rFonts w:ascii="Times New Roman" w:hAnsi="Times New Roman" w:cs="Times New Roman"/>
          <w:sz w:val="24"/>
          <w:szCs w:val="24"/>
        </w:rPr>
        <w:t xml:space="preserve"> However, </w:t>
      </w:r>
      <w:proofErr w:type="spellStart"/>
      <w:r w:rsidR="00FD0BDC" w:rsidRPr="00BD2AB4">
        <w:rPr>
          <w:rFonts w:ascii="Times New Roman" w:hAnsi="Times New Roman" w:cs="Times New Roman"/>
          <w:sz w:val="24"/>
          <w:szCs w:val="24"/>
        </w:rPr>
        <w:t>Wadeson</w:t>
      </w:r>
      <w:proofErr w:type="spellEnd"/>
      <w:r w:rsidR="00FD0BDC" w:rsidRPr="00BD2AB4">
        <w:rPr>
          <w:rFonts w:ascii="Times New Roman" w:hAnsi="Times New Roman" w:cs="Times New Roman"/>
          <w:sz w:val="24"/>
          <w:szCs w:val="24"/>
        </w:rPr>
        <w:t xml:space="preserve"> does not provide an example.</w:t>
      </w:r>
      <w:r w:rsidR="00FD0BDC" w:rsidRPr="00BD2AB4">
        <w:rPr>
          <w:rStyle w:val="Funotenzeichen"/>
          <w:rFonts w:ascii="Times New Roman" w:hAnsi="Times New Roman" w:cs="Times New Roman"/>
          <w:sz w:val="24"/>
          <w:szCs w:val="24"/>
        </w:rPr>
        <w:footnoteReference w:id="268"/>
      </w:r>
      <w:r w:rsidRPr="00BD2AB4">
        <w:rPr>
          <w:rFonts w:ascii="Times New Roman" w:hAnsi="Times New Roman" w:cs="Times New Roman"/>
          <w:sz w:val="24"/>
          <w:szCs w:val="24"/>
        </w:rPr>
        <w:t xml:space="preserve"> In truth, precise dates of introduction </w:t>
      </w:r>
      <w:r w:rsidR="00FD0BDC" w:rsidRPr="00BD2AB4">
        <w:rPr>
          <w:rFonts w:ascii="Times New Roman" w:hAnsi="Times New Roman" w:cs="Times New Roman"/>
          <w:sz w:val="24"/>
          <w:szCs w:val="24"/>
        </w:rPr>
        <w:t>are difficult to determine</w:t>
      </w:r>
      <w:r w:rsidRPr="00BD2AB4">
        <w:rPr>
          <w:rFonts w:ascii="Times New Roman" w:hAnsi="Times New Roman" w:cs="Times New Roman"/>
          <w:sz w:val="24"/>
          <w:szCs w:val="24"/>
        </w:rPr>
        <w:t xml:space="preserve">, as even the most famous royal tomb, the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has been dated both to the first century B.C and A.D.</w:t>
      </w:r>
      <w:r w:rsidRPr="00BD2AB4">
        <w:rPr>
          <w:rStyle w:val="Funotenzeichen"/>
          <w:rFonts w:ascii="Times New Roman" w:hAnsi="Times New Roman" w:cs="Times New Roman"/>
          <w:sz w:val="24"/>
          <w:szCs w:val="24"/>
        </w:rPr>
        <w:footnoteReference w:id="269"/>
      </w:r>
    </w:p>
    <w:p w14:paraId="2D92159D" w14:textId="4C141C1C" w:rsidR="0022006F" w:rsidRPr="00BD2AB4" w:rsidRDefault="006B352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Concluding this chapter, it becomes appreciative how difficult it is to both categorize and date Nabataean tomb facades, making it difficult to suggest, when certain architectural features, would have been introduced into Nabataea. </w:t>
      </w:r>
    </w:p>
    <w:p w14:paraId="3A873EFB" w14:textId="7187F0BB" w:rsidR="006B352D" w:rsidRPr="00BD2AB4" w:rsidRDefault="006B352D" w:rsidP="00BD2AB4">
      <w:pPr>
        <w:spacing w:line="480" w:lineRule="auto"/>
        <w:rPr>
          <w:rFonts w:ascii="Times New Roman" w:hAnsi="Times New Roman" w:cs="Times New Roman"/>
          <w:sz w:val="24"/>
          <w:szCs w:val="24"/>
        </w:rPr>
      </w:pPr>
    </w:p>
    <w:p w14:paraId="072B3611" w14:textId="1FC5CEAB" w:rsidR="006B352D" w:rsidRPr="00BD2AB4" w:rsidRDefault="006B352D" w:rsidP="00BD2AB4">
      <w:pPr>
        <w:spacing w:line="480" w:lineRule="auto"/>
        <w:rPr>
          <w:rFonts w:ascii="Times New Roman" w:hAnsi="Times New Roman" w:cs="Times New Roman"/>
          <w:sz w:val="24"/>
          <w:szCs w:val="24"/>
        </w:rPr>
      </w:pPr>
    </w:p>
    <w:p w14:paraId="02963B36" w14:textId="586A25DC" w:rsidR="006B352D" w:rsidRPr="00BD2AB4" w:rsidRDefault="006B352D" w:rsidP="00BD2AB4">
      <w:pPr>
        <w:spacing w:line="480" w:lineRule="auto"/>
        <w:rPr>
          <w:rFonts w:ascii="Times New Roman" w:hAnsi="Times New Roman" w:cs="Times New Roman"/>
          <w:sz w:val="24"/>
          <w:szCs w:val="24"/>
        </w:rPr>
      </w:pPr>
    </w:p>
    <w:p w14:paraId="7B3B5F4F" w14:textId="2FC44A3E" w:rsidR="006B352D" w:rsidRPr="00BD2AB4" w:rsidRDefault="006B352D" w:rsidP="00BD2AB4">
      <w:pPr>
        <w:spacing w:line="480" w:lineRule="auto"/>
        <w:rPr>
          <w:rFonts w:ascii="Times New Roman" w:hAnsi="Times New Roman" w:cs="Times New Roman"/>
          <w:sz w:val="24"/>
          <w:szCs w:val="24"/>
        </w:rPr>
      </w:pPr>
    </w:p>
    <w:p w14:paraId="1860FFC6" w14:textId="5C40FAD6" w:rsidR="006B352D" w:rsidRPr="00BD2AB4" w:rsidRDefault="006B352D" w:rsidP="00BD2AB4">
      <w:pPr>
        <w:spacing w:line="480" w:lineRule="auto"/>
        <w:rPr>
          <w:rFonts w:ascii="Times New Roman" w:hAnsi="Times New Roman" w:cs="Times New Roman"/>
          <w:sz w:val="24"/>
          <w:szCs w:val="24"/>
        </w:rPr>
      </w:pPr>
    </w:p>
    <w:p w14:paraId="43E3CE84" w14:textId="15767193" w:rsidR="006B352D" w:rsidRPr="00BD2AB4" w:rsidRDefault="006B352D" w:rsidP="00BD2AB4">
      <w:pPr>
        <w:spacing w:line="480" w:lineRule="auto"/>
        <w:rPr>
          <w:rFonts w:ascii="Times New Roman" w:hAnsi="Times New Roman" w:cs="Times New Roman"/>
          <w:sz w:val="24"/>
          <w:szCs w:val="24"/>
        </w:rPr>
      </w:pPr>
    </w:p>
    <w:p w14:paraId="5FA6245C" w14:textId="03CDC461" w:rsidR="006B352D" w:rsidRPr="00BD2AB4" w:rsidRDefault="006B352D" w:rsidP="00BD2AB4">
      <w:pPr>
        <w:spacing w:line="480" w:lineRule="auto"/>
        <w:rPr>
          <w:rFonts w:ascii="Times New Roman" w:hAnsi="Times New Roman" w:cs="Times New Roman"/>
          <w:sz w:val="24"/>
          <w:szCs w:val="24"/>
        </w:rPr>
      </w:pPr>
    </w:p>
    <w:p w14:paraId="07F36062" w14:textId="1EC54A59" w:rsidR="006B352D" w:rsidRPr="00BD2AB4" w:rsidRDefault="006B352D" w:rsidP="00BD2AB4">
      <w:pPr>
        <w:spacing w:line="480" w:lineRule="auto"/>
        <w:rPr>
          <w:rFonts w:ascii="Times New Roman" w:hAnsi="Times New Roman" w:cs="Times New Roman"/>
          <w:sz w:val="24"/>
          <w:szCs w:val="24"/>
        </w:rPr>
      </w:pPr>
    </w:p>
    <w:p w14:paraId="05D58EAA" w14:textId="4F666402" w:rsidR="006B352D" w:rsidRPr="00BD2AB4" w:rsidRDefault="006B352D" w:rsidP="00BD2AB4">
      <w:pPr>
        <w:spacing w:line="480" w:lineRule="auto"/>
        <w:rPr>
          <w:rFonts w:ascii="Times New Roman" w:hAnsi="Times New Roman" w:cs="Times New Roman"/>
          <w:sz w:val="24"/>
          <w:szCs w:val="24"/>
          <w:u w:val="single"/>
        </w:rPr>
      </w:pPr>
      <w:r w:rsidRPr="00BD2AB4">
        <w:rPr>
          <w:rFonts w:ascii="Times New Roman" w:hAnsi="Times New Roman" w:cs="Times New Roman"/>
          <w:sz w:val="24"/>
          <w:szCs w:val="24"/>
          <w:u w:val="single"/>
        </w:rPr>
        <w:t xml:space="preserve">Chapter 7:                              </w:t>
      </w:r>
      <w:r w:rsidRPr="00BD2AB4">
        <w:rPr>
          <w:rFonts w:ascii="Times New Roman" w:hAnsi="Times New Roman" w:cs="Times New Roman"/>
          <w:b/>
          <w:sz w:val="24"/>
          <w:szCs w:val="24"/>
          <w:u w:val="single"/>
        </w:rPr>
        <w:t>Categorising architectural features</w:t>
      </w:r>
    </w:p>
    <w:p w14:paraId="26177DA4" w14:textId="6E3BB90B" w:rsidR="006B352D" w:rsidRPr="00BD2AB4" w:rsidRDefault="006B352D" w:rsidP="00BD2AB4">
      <w:pPr>
        <w:spacing w:line="480" w:lineRule="auto"/>
        <w:rPr>
          <w:rFonts w:ascii="Times New Roman" w:hAnsi="Times New Roman" w:cs="Times New Roman"/>
          <w:sz w:val="24"/>
          <w:szCs w:val="24"/>
          <w:u w:val="single"/>
        </w:rPr>
      </w:pPr>
    </w:p>
    <w:p w14:paraId="0436CB3E" w14:textId="4D91901B" w:rsidR="006B352D" w:rsidRPr="00BD2AB4" w:rsidRDefault="007E273F"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Finally, the various architectural features, predominant on Nabataean tomb facades, are categorised and different origin theories discussed, while also examining the possible significance these features could have had to the Nabataeans.</w:t>
      </w:r>
    </w:p>
    <w:p w14:paraId="27331974" w14:textId="2FC22618" w:rsidR="000732ED" w:rsidRPr="00BD2AB4" w:rsidRDefault="000732ED" w:rsidP="00BD2AB4">
      <w:pPr>
        <w:spacing w:line="480" w:lineRule="auto"/>
        <w:rPr>
          <w:rFonts w:ascii="Times New Roman" w:hAnsi="Times New Roman" w:cs="Times New Roman"/>
          <w:b/>
          <w:sz w:val="24"/>
          <w:szCs w:val="24"/>
        </w:rPr>
      </w:pPr>
    </w:p>
    <w:p w14:paraId="153304F6" w14:textId="77777777" w:rsidR="000732ED" w:rsidRPr="00BD2AB4" w:rsidRDefault="000732ED" w:rsidP="00BD2AB4">
      <w:pPr>
        <w:spacing w:line="480" w:lineRule="auto"/>
        <w:rPr>
          <w:rFonts w:ascii="Times New Roman" w:hAnsi="Times New Roman" w:cs="Times New Roman"/>
          <w:sz w:val="24"/>
          <w:szCs w:val="24"/>
          <w:u w:val="single"/>
        </w:rPr>
      </w:pPr>
      <w:r w:rsidRPr="00BD2AB4">
        <w:rPr>
          <w:rFonts w:ascii="Times New Roman" w:hAnsi="Times New Roman" w:cs="Times New Roman"/>
          <w:sz w:val="24"/>
          <w:szCs w:val="24"/>
          <w:u w:val="single"/>
        </w:rPr>
        <w:t xml:space="preserve">The crowsteps </w:t>
      </w:r>
    </w:p>
    <w:p w14:paraId="463C2462" w14:textId="0C4CB040" w:rsidR="000732ED" w:rsidRPr="00BD2AB4" w:rsidRDefault="000732ED" w:rsidP="00BD2AB4">
      <w:pPr>
        <w:spacing w:line="480" w:lineRule="auto"/>
        <w:rPr>
          <w:rFonts w:ascii="Times New Roman" w:hAnsi="Times New Roman" w:cs="Times New Roman"/>
          <w:b/>
          <w:sz w:val="24"/>
          <w:szCs w:val="24"/>
        </w:rPr>
      </w:pPr>
    </w:p>
    <w:p w14:paraId="51DF961A" w14:textId="1B509AED" w:rsidR="000732ED" w:rsidRPr="00BD2AB4" w:rsidRDefault="000732E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crowsteps are the most common architectural feature observed on Nabataean rock-cut tomb facades.</w:t>
      </w:r>
      <w:r w:rsidRPr="00BD2AB4">
        <w:rPr>
          <w:rStyle w:val="Funotenzeichen"/>
          <w:rFonts w:ascii="Times New Roman" w:hAnsi="Times New Roman" w:cs="Times New Roman"/>
          <w:sz w:val="24"/>
          <w:szCs w:val="24"/>
        </w:rPr>
        <w:footnoteReference w:id="270"/>
      </w:r>
      <w:r w:rsidRPr="00BD2AB4">
        <w:rPr>
          <w:rFonts w:ascii="Times New Roman" w:hAnsi="Times New Roman" w:cs="Times New Roman"/>
          <w:sz w:val="24"/>
          <w:szCs w:val="24"/>
        </w:rPr>
        <w:t xml:space="preserve"> They are most widely observed at Petra, but also heavily feature at </w:t>
      </w:r>
      <w:proofErr w:type="spellStart"/>
      <w:r w:rsidRPr="00BD2AB4">
        <w:rPr>
          <w:rFonts w:ascii="Times New Roman" w:hAnsi="Times New Roman" w:cs="Times New Roman"/>
          <w:sz w:val="24"/>
          <w:szCs w:val="24"/>
        </w:rPr>
        <w:t>Meda’in</w:t>
      </w:r>
      <w:proofErr w:type="spellEnd"/>
      <w:r w:rsidRPr="00BD2AB4">
        <w:rPr>
          <w:rFonts w:ascii="Times New Roman" w:hAnsi="Times New Roman" w:cs="Times New Roman"/>
          <w:sz w:val="24"/>
          <w:szCs w:val="24"/>
        </w:rPr>
        <w:t xml:space="preserve"> Salih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as well as at Median at </w:t>
      </w:r>
      <w:proofErr w:type="spellStart"/>
      <w:r w:rsidRPr="00BD2AB4">
        <w:rPr>
          <w:rFonts w:ascii="Times New Roman" w:hAnsi="Times New Roman" w:cs="Times New Roman"/>
          <w:sz w:val="24"/>
          <w:szCs w:val="24"/>
        </w:rPr>
        <w:t>Mugha’ir</w:t>
      </w:r>
      <w:proofErr w:type="spellEnd"/>
      <w:r w:rsidRPr="00BD2AB4">
        <w:rPr>
          <w:rFonts w:ascii="Times New Roman" w:hAnsi="Times New Roman" w:cs="Times New Roman"/>
          <w:sz w:val="24"/>
          <w:szCs w:val="24"/>
        </w:rPr>
        <w:t xml:space="preserve"> </w:t>
      </w:r>
      <w:proofErr w:type="spellStart"/>
      <w:r w:rsidRPr="00BD2AB4">
        <w:rPr>
          <w:rFonts w:ascii="Times New Roman" w:hAnsi="Times New Roman" w:cs="Times New Roman"/>
          <w:sz w:val="24"/>
          <w:szCs w:val="24"/>
        </w:rPr>
        <w:t>Shu’ayb</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271"/>
      </w:r>
      <w:r w:rsidRPr="00BD2AB4">
        <w:rPr>
          <w:rFonts w:ascii="Times New Roman" w:hAnsi="Times New Roman" w:cs="Times New Roman"/>
          <w:sz w:val="24"/>
          <w:szCs w:val="24"/>
        </w:rPr>
        <w:t xml:space="preserve"> </w:t>
      </w:r>
    </w:p>
    <w:p w14:paraId="098E40F6" w14:textId="700CE71B" w:rsidR="000732ED" w:rsidRPr="00BD2AB4" w:rsidRDefault="000732E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This architectural feature was created by using low relief carving while pursuing a three- dimensional look.</w:t>
      </w:r>
      <w:r w:rsidRPr="00BD2AB4">
        <w:rPr>
          <w:rStyle w:val="Funotenzeichen"/>
          <w:rFonts w:ascii="Times New Roman" w:hAnsi="Times New Roman" w:cs="Times New Roman"/>
          <w:sz w:val="24"/>
          <w:szCs w:val="24"/>
        </w:rPr>
        <w:t xml:space="preserve"> </w:t>
      </w:r>
      <w:r w:rsidRPr="00BD2AB4">
        <w:rPr>
          <w:rStyle w:val="Funotenzeichen"/>
          <w:rFonts w:ascii="Times New Roman" w:hAnsi="Times New Roman" w:cs="Times New Roman"/>
          <w:sz w:val="24"/>
          <w:szCs w:val="24"/>
        </w:rPr>
        <w:footnoteReference w:id="272"/>
      </w:r>
      <w:r w:rsidRPr="00BD2AB4">
        <w:rPr>
          <w:rFonts w:ascii="Times New Roman" w:hAnsi="Times New Roman" w:cs="Times New Roman"/>
          <w:sz w:val="24"/>
          <w:szCs w:val="24"/>
        </w:rPr>
        <w:t xml:space="preserve"> Generally, two types of crowsteps can be distinguished, differing in size and utilization, which can be seen in the difference between the step and pylon facade types.</w:t>
      </w:r>
      <w:r w:rsidRPr="00BD2AB4">
        <w:rPr>
          <w:rStyle w:val="Funotenzeichen"/>
          <w:rFonts w:ascii="Times New Roman" w:hAnsi="Times New Roman" w:cs="Times New Roman"/>
          <w:sz w:val="24"/>
          <w:szCs w:val="24"/>
        </w:rPr>
        <w:footnoteReference w:id="273"/>
      </w:r>
      <w:r w:rsidRPr="00BD2AB4">
        <w:rPr>
          <w:rFonts w:ascii="Times New Roman" w:hAnsi="Times New Roman" w:cs="Times New Roman"/>
          <w:sz w:val="24"/>
          <w:szCs w:val="24"/>
        </w:rPr>
        <w:t xml:space="preserve"> The first type shows two sets of steps, sometimes meeting in the middle depending on size of the tomb.</w:t>
      </w:r>
      <w:r w:rsidRPr="00BD2AB4">
        <w:rPr>
          <w:rStyle w:val="Funotenzeichen"/>
          <w:rFonts w:ascii="Times New Roman" w:hAnsi="Times New Roman" w:cs="Times New Roman"/>
          <w:sz w:val="24"/>
          <w:szCs w:val="24"/>
        </w:rPr>
        <w:footnoteReference w:id="274"/>
      </w:r>
      <w:r w:rsidRPr="00BD2AB4">
        <w:rPr>
          <w:rFonts w:ascii="Times New Roman" w:hAnsi="Times New Roman" w:cs="Times New Roman"/>
          <w:sz w:val="24"/>
          <w:szCs w:val="24"/>
        </w:rPr>
        <w:t xml:space="preserve"> </w:t>
      </w:r>
    </w:p>
    <w:p w14:paraId="315EC4DB" w14:textId="35676072" w:rsidR="000732ED" w:rsidRPr="00BD2AB4" w:rsidRDefault="000732E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pylon type crowsteps were smaller in size and formed multiple pyramid shaped features in line, in two lines in case of the double pylon type.</w:t>
      </w:r>
      <w:r w:rsidRPr="00BD2AB4">
        <w:rPr>
          <w:rStyle w:val="Funotenzeichen"/>
          <w:rFonts w:ascii="Times New Roman" w:hAnsi="Times New Roman" w:cs="Times New Roman"/>
          <w:sz w:val="24"/>
          <w:szCs w:val="24"/>
        </w:rPr>
        <w:footnoteReference w:id="275"/>
      </w:r>
      <w:r w:rsidRPr="00BD2AB4">
        <w:rPr>
          <w:rFonts w:ascii="Times New Roman" w:hAnsi="Times New Roman" w:cs="Times New Roman"/>
          <w:sz w:val="24"/>
          <w:szCs w:val="24"/>
        </w:rPr>
        <w:t xml:space="preserve">  The single pylon facade has also been </w:t>
      </w:r>
      <w:r w:rsidRPr="00BD2AB4">
        <w:rPr>
          <w:rFonts w:ascii="Times New Roman" w:hAnsi="Times New Roman" w:cs="Times New Roman"/>
          <w:sz w:val="24"/>
          <w:szCs w:val="24"/>
        </w:rPr>
        <w:lastRenderedPageBreak/>
        <w:t xml:space="preserve">called the Assyrian type by Browning 1989, </w:t>
      </w:r>
      <w:r w:rsidRPr="00BD2AB4">
        <w:rPr>
          <w:rStyle w:val="Funotenzeichen"/>
          <w:rFonts w:ascii="Times New Roman" w:hAnsi="Times New Roman" w:cs="Times New Roman"/>
          <w:sz w:val="24"/>
          <w:szCs w:val="24"/>
        </w:rPr>
        <w:footnoteReference w:id="276"/>
      </w:r>
      <w:r w:rsidRPr="00BD2AB4">
        <w:rPr>
          <w:rFonts w:ascii="Times New Roman" w:hAnsi="Times New Roman" w:cs="Times New Roman"/>
          <w:sz w:val="24"/>
          <w:szCs w:val="24"/>
        </w:rPr>
        <w:t xml:space="preserve"> with both Kennedy 1925 and Browning 1989 having done some novel work of categorizing the crowsteps further.</w:t>
      </w:r>
      <w:r w:rsidRPr="00BD2AB4">
        <w:rPr>
          <w:rStyle w:val="Funotenzeichen"/>
          <w:rFonts w:ascii="Times New Roman" w:hAnsi="Times New Roman" w:cs="Times New Roman"/>
          <w:sz w:val="24"/>
          <w:szCs w:val="24"/>
        </w:rPr>
        <w:footnoteReference w:id="277"/>
      </w:r>
      <w:r w:rsidRPr="00BD2AB4">
        <w:rPr>
          <w:rFonts w:ascii="Times New Roman" w:hAnsi="Times New Roman" w:cs="Times New Roman"/>
          <w:sz w:val="24"/>
          <w:szCs w:val="24"/>
        </w:rPr>
        <w:t xml:space="preserve">  As this architectural feature is so widely discussed, multiple origin theories have been proposed. </w:t>
      </w:r>
    </w:p>
    <w:p w14:paraId="434B341F" w14:textId="74425FB8" w:rsidR="007E2FAD" w:rsidRPr="00BD2AB4" w:rsidRDefault="007E2FAD"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According to </w:t>
      </w:r>
      <w:proofErr w:type="spellStart"/>
      <w:r w:rsidRPr="00BD2AB4">
        <w:rPr>
          <w:rFonts w:ascii="Times New Roman" w:hAnsi="Times New Roman" w:cs="Times New Roman"/>
          <w:sz w:val="24"/>
          <w:szCs w:val="24"/>
        </w:rPr>
        <w:t>Brünnow</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Domaszewski</w:t>
      </w:r>
      <w:proofErr w:type="spellEnd"/>
      <w:r w:rsidRPr="00BD2AB4">
        <w:rPr>
          <w:rFonts w:ascii="Times New Roman" w:hAnsi="Times New Roman" w:cs="Times New Roman"/>
          <w:sz w:val="24"/>
          <w:szCs w:val="24"/>
        </w:rPr>
        <w:t xml:space="preserve"> 1904, the earliest crowstep origins are traced back to Mesopotamia, where the ziggurat shape, conceivably inspired by the Egyptian step- pyramid,</w:t>
      </w:r>
      <w:r w:rsidRPr="00BD2AB4">
        <w:rPr>
          <w:rStyle w:val="Funotenzeichen"/>
          <w:rFonts w:ascii="Times New Roman" w:hAnsi="Times New Roman" w:cs="Times New Roman"/>
          <w:sz w:val="24"/>
          <w:szCs w:val="24"/>
        </w:rPr>
        <w:footnoteReference w:id="278"/>
      </w:r>
      <w:r w:rsidRPr="00BD2AB4">
        <w:rPr>
          <w:rFonts w:ascii="Times New Roman" w:hAnsi="Times New Roman" w:cs="Times New Roman"/>
          <w:sz w:val="24"/>
          <w:szCs w:val="24"/>
        </w:rPr>
        <w:t xml:space="preserve"> displays crowstep- like features.</w:t>
      </w:r>
      <w:r w:rsidRPr="00BD2AB4">
        <w:rPr>
          <w:rStyle w:val="Funotenzeichen"/>
          <w:rFonts w:ascii="Times New Roman" w:hAnsi="Times New Roman" w:cs="Times New Roman"/>
          <w:sz w:val="24"/>
          <w:szCs w:val="24"/>
        </w:rPr>
        <w:footnoteReference w:id="279"/>
      </w:r>
      <w:r w:rsidRPr="00BD2AB4">
        <w:rPr>
          <w:rFonts w:ascii="Times New Roman" w:hAnsi="Times New Roman" w:cs="Times New Roman"/>
          <w:sz w:val="24"/>
          <w:szCs w:val="24"/>
        </w:rPr>
        <w:t xml:space="preserve"> Importantly, the Neo-Sumerians and later the Assyrians employed the ziggurat shape respectively, with the latter borrowing the concept for their own interpretation of an Egyptian obelisk, as seen under Ashurbanipal I at Nineveh.</w:t>
      </w:r>
      <w:r w:rsidRPr="00BD2AB4">
        <w:rPr>
          <w:rStyle w:val="Funotenzeichen"/>
          <w:rFonts w:ascii="Times New Roman" w:hAnsi="Times New Roman" w:cs="Times New Roman"/>
          <w:sz w:val="24"/>
          <w:szCs w:val="24"/>
        </w:rPr>
        <w:footnoteReference w:id="280"/>
      </w:r>
      <w:r w:rsidRPr="00BD2AB4">
        <w:rPr>
          <w:rFonts w:ascii="Times New Roman" w:hAnsi="Times New Roman" w:cs="Times New Roman"/>
          <w:sz w:val="24"/>
          <w:szCs w:val="24"/>
        </w:rPr>
        <w:t xml:space="preserve"> Further, ancient Babylon utilized the crowstep motif during the seventh and sixth centuries B.C., especially evident with the Ishtar Gate.</w:t>
      </w:r>
      <w:r w:rsidRPr="00BD2AB4">
        <w:rPr>
          <w:rStyle w:val="Funotenzeichen"/>
          <w:rFonts w:ascii="Times New Roman" w:hAnsi="Times New Roman" w:cs="Times New Roman"/>
          <w:sz w:val="24"/>
          <w:szCs w:val="24"/>
        </w:rPr>
        <w:footnoteReference w:id="281"/>
      </w:r>
      <w:r w:rsidRPr="00BD2AB4">
        <w:rPr>
          <w:rFonts w:ascii="Times New Roman" w:hAnsi="Times New Roman" w:cs="Times New Roman"/>
          <w:sz w:val="24"/>
          <w:szCs w:val="24"/>
        </w:rPr>
        <w:t xml:space="preserve"> Crowsteps are also evident on the façade of the throne hall of Babylonian king Nebuchadnezzar II, where they follow a repetitive pattern.</w:t>
      </w:r>
      <w:r w:rsidRPr="00BD2AB4">
        <w:rPr>
          <w:rStyle w:val="Funotenzeichen"/>
          <w:rFonts w:ascii="Times New Roman" w:hAnsi="Times New Roman" w:cs="Times New Roman"/>
          <w:sz w:val="24"/>
          <w:szCs w:val="24"/>
        </w:rPr>
        <w:footnoteReference w:id="282"/>
      </w:r>
      <w:r w:rsidRPr="00BD2AB4">
        <w:rPr>
          <w:rFonts w:ascii="Times New Roman" w:hAnsi="Times New Roman" w:cs="Times New Roman"/>
          <w:sz w:val="24"/>
          <w:szCs w:val="24"/>
        </w:rPr>
        <w:t xml:space="preserve"> Especially the pylon tomb type crowsteps display an architectural decrease in size while rising in height, with terraces forming along the process.</w:t>
      </w:r>
      <w:r w:rsidRPr="00BD2AB4">
        <w:rPr>
          <w:rStyle w:val="Funotenzeichen"/>
          <w:rFonts w:ascii="Times New Roman" w:hAnsi="Times New Roman" w:cs="Times New Roman"/>
          <w:sz w:val="24"/>
          <w:szCs w:val="24"/>
        </w:rPr>
        <w:footnoteReference w:id="283"/>
      </w:r>
      <w:r w:rsidRPr="00BD2AB4">
        <w:rPr>
          <w:rFonts w:ascii="Times New Roman" w:hAnsi="Times New Roman" w:cs="Times New Roman"/>
          <w:sz w:val="24"/>
          <w:szCs w:val="24"/>
        </w:rPr>
        <w:t xml:space="preserve"> The merlon </w:t>
      </w:r>
      <w:r w:rsidR="00020014" w:rsidRPr="00BD2AB4">
        <w:rPr>
          <w:rFonts w:ascii="Times New Roman" w:hAnsi="Times New Roman" w:cs="Times New Roman"/>
          <w:sz w:val="24"/>
          <w:szCs w:val="24"/>
        </w:rPr>
        <w:t xml:space="preserve">motif, </w:t>
      </w:r>
      <w:r w:rsidRPr="00BD2AB4">
        <w:rPr>
          <w:rFonts w:ascii="Times New Roman" w:hAnsi="Times New Roman" w:cs="Times New Roman"/>
          <w:sz w:val="24"/>
          <w:szCs w:val="24"/>
        </w:rPr>
        <w:t>as it is also called, not only served military purposes, but also became the symbol of protection by the gods, possibly applied to Assyrian temple architecture.</w:t>
      </w:r>
      <w:r w:rsidRPr="00BD2AB4">
        <w:rPr>
          <w:rStyle w:val="Funotenzeichen"/>
          <w:rFonts w:ascii="Times New Roman" w:hAnsi="Times New Roman" w:cs="Times New Roman"/>
          <w:sz w:val="24"/>
          <w:szCs w:val="24"/>
        </w:rPr>
        <w:footnoteReference w:id="284"/>
      </w:r>
      <w:r w:rsidRPr="00BD2AB4">
        <w:rPr>
          <w:rFonts w:ascii="Times New Roman" w:hAnsi="Times New Roman" w:cs="Times New Roman"/>
          <w:sz w:val="24"/>
          <w:szCs w:val="24"/>
        </w:rPr>
        <w:t xml:space="preserve"> as seen by Assyrian seals from Assur, the merlot also functioned as an shape for altars, possibly representing the sacred mountain</w:t>
      </w:r>
      <w:r w:rsidRPr="00BD2AB4">
        <w:rPr>
          <w:rStyle w:val="Funotenzeichen"/>
          <w:rFonts w:ascii="Times New Roman" w:hAnsi="Times New Roman" w:cs="Times New Roman"/>
          <w:sz w:val="24"/>
          <w:szCs w:val="24"/>
        </w:rPr>
        <w:footnoteReference w:id="285"/>
      </w:r>
      <w:r w:rsidRPr="00BD2AB4">
        <w:rPr>
          <w:rFonts w:ascii="Times New Roman" w:hAnsi="Times New Roman" w:cs="Times New Roman"/>
          <w:sz w:val="24"/>
          <w:szCs w:val="24"/>
        </w:rPr>
        <w:t xml:space="preserve"> in association with the </w:t>
      </w:r>
      <w:r w:rsidRPr="00BD2AB4">
        <w:rPr>
          <w:rFonts w:ascii="Times New Roman" w:hAnsi="Times New Roman" w:cs="Times New Roman"/>
          <w:i/>
          <w:sz w:val="24"/>
          <w:szCs w:val="24"/>
        </w:rPr>
        <w:t xml:space="preserve">high place </w:t>
      </w:r>
      <w:r w:rsidRPr="00BD2AB4">
        <w:rPr>
          <w:rFonts w:ascii="Times New Roman" w:hAnsi="Times New Roman" w:cs="Times New Roman"/>
          <w:sz w:val="24"/>
          <w:szCs w:val="24"/>
        </w:rPr>
        <w:t>of the Nabataean belief system.</w:t>
      </w:r>
      <w:r w:rsidRPr="00BD2AB4">
        <w:rPr>
          <w:rStyle w:val="Funotenzeichen"/>
          <w:rFonts w:ascii="Times New Roman" w:hAnsi="Times New Roman" w:cs="Times New Roman"/>
          <w:sz w:val="24"/>
          <w:szCs w:val="24"/>
        </w:rPr>
        <w:footnoteReference w:id="286"/>
      </w:r>
    </w:p>
    <w:p w14:paraId="2DCF1DA9" w14:textId="2D2CDB02" w:rsidR="00020014"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Debating a possible connection, Nabataean ancestors, coming into contact with the Edomites, could have inherited the crowstep motif due to generations of exposure to eastern architecture.</w:t>
      </w:r>
      <w:r w:rsidRPr="00BD2AB4">
        <w:rPr>
          <w:rStyle w:val="Funotenzeichen"/>
          <w:rFonts w:ascii="Times New Roman" w:hAnsi="Times New Roman" w:cs="Times New Roman"/>
          <w:sz w:val="24"/>
          <w:szCs w:val="24"/>
        </w:rPr>
        <w:footnoteReference w:id="287"/>
      </w:r>
      <w:r w:rsidRPr="00BD2AB4">
        <w:rPr>
          <w:rFonts w:ascii="Times New Roman" w:hAnsi="Times New Roman" w:cs="Times New Roman"/>
          <w:sz w:val="24"/>
          <w:szCs w:val="24"/>
        </w:rPr>
        <w:t xml:space="preserve"> </w:t>
      </w:r>
    </w:p>
    <w:p w14:paraId="2F0A3F0D" w14:textId="528CC1FC" w:rsidR="00020014"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Further, it is important to note, that prior to the Hellenistic period, sites such as Petra had not seen much monumental architecture, as the earliest inscriptions at Petra date back to 96 B.C</w:t>
      </w:r>
      <w:r w:rsidRPr="00BD2AB4">
        <w:rPr>
          <w:rStyle w:val="Funotenzeichen"/>
          <w:rFonts w:ascii="Times New Roman" w:hAnsi="Times New Roman" w:cs="Times New Roman"/>
          <w:sz w:val="24"/>
          <w:szCs w:val="24"/>
        </w:rPr>
        <w:footnoteReference w:id="288"/>
      </w:r>
      <w:r w:rsidRPr="00BD2AB4">
        <w:rPr>
          <w:rFonts w:ascii="Times New Roman" w:hAnsi="Times New Roman" w:cs="Times New Roman"/>
          <w:sz w:val="24"/>
          <w:szCs w:val="24"/>
        </w:rPr>
        <w:t xml:space="preserve"> standing in stark contrast to kingdoms such as Egypt, that underwent centuries of prior urban developments.</w:t>
      </w:r>
      <w:r w:rsidRPr="00BD2AB4">
        <w:rPr>
          <w:rStyle w:val="Funotenzeichen"/>
          <w:rFonts w:ascii="Times New Roman" w:hAnsi="Times New Roman" w:cs="Times New Roman"/>
          <w:sz w:val="24"/>
          <w:szCs w:val="24"/>
        </w:rPr>
        <w:footnoteReference w:id="289"/>
      </w:r>
      <w:r w:rsidRPr="00BD2AB4">
        <w:rPr>
          <w:rFonts w:ascii="Times New Roman" w:hAnsi="Times New Roman" w:cs="Times New Roman"/>
          <w:sz w:val="24"/>
          <w:szCs w:val="24"/>
        </w:rPr>
        <w:t xml:space="preserve"> Thus it was suggested that Petra was only inhabited from the late Hellenistic period onwards.</w:t>
      </w:r>
      <w:r w:rsidRPr="00BD2AB4">
        <w:rPr>
          <w:rStyle w:val="Funotenzeichen"/>
          <w:rFonts w:ascii="Times New Roman" w:hAnsi="Times New Roman" w:cs="Times New Roman"/>
          <w:sz w:val="24"/>
          <w:szCs w:val="24"/>
        </w:rPr>
        <w:footnoteReference w:id="290"/>
      </w:r>
      <w:r w:rsidRPr="00BD2AB4">
        <w:rPr>
          <w:rFonts w:ascii="Times New Roman" w:hAnsi="Times New Roman" w:cs="Times New Roman"/>
          <w:sz w:val="24"/>
          <w:szCs w:val="24"/>
        </w:rPr>
        <w:t xml:space="preserve"> Henceforward, it might seem logical that the Nabataeans would have borrowed architectural concepts. This theory could consequentially explain, why the use of the crowstep motif within Nabataean territory does not occur earlier than the first century B.C.</w:t>
      </w:r>
      <w:r w:rsidRPr="00BD2AB4">
        <w:rPr>
          <w:rStyle w:val="Funotenzeichen"/>
          <w:rFonts w:ascii="Times New Roman" w:hAnsi="Times New Roman" w:cs="Times New Roman"/>
          <w:sz w:val="24"/>
          <w:szCs w:val="24"/>
        </w:rPr>
        <w:footnoteReference w:id="291"/>
      </w:r>
      <w:r w:rsidRPr="00BD2AB4">
        <w:rPr>
          <w:rFonts w:ascii="Times New Roman" w:hAnsi="Times New Roman" w:cs="Times New Roman"/>
          <w:sz w:val="24"/>
          <w:szCs w:val="24"/>
        </w:rPr>
        <w:t xml:space="preserve">  The most recent profound influence near and onto future Nabataean territory, which could explain the popularity of the crowstep motif, was due to the influence of the Achaemenid Empire.</w:t>
      </w:r>
      <w:r w:rsidRPr="00BD2AB4">
        <w:rPr>
          <w:rStyle w:val="Funotenzeichen"/>
          <w:rFonts w:ascii="Times New Roman" w:hAnsi="Times New Roman" w:cs="Times New Roman"/>
          <w:sz w:val="24"/>
          <w:szCs w:val="24"/>
        </w:rPr>
        <w:footnoteReference w:id="292"/>
      </w:r>
      <w:r w:rsidRPr="00BD2AB4">
        <w:rPr>
          <w:rFonts w:ascii="Times New Roman" w:hAnsi="Times New Roman" w:cs="Times New Roman"/>
          <w:sz w:val="24"/>
          <w:szCs w:val="24"/>
        </w:rPr>
        <w:t xml:space="preserve"> Additionally, influences may have also resulted through contacts with the Parthians,  which were seen, during the Hellenistic period,  as the heirs of Persian culture.</w:t>
      </w:r>
      <w:r w:rsidRPr="00BD2AB4">
        <w:rPr>
          <w:rStyle w:val="Funotenzeichen"/>
          <w:rFonts w:ascii="Times New Roman" w:hAnsi="Times New Roman" w:cs="Times New Roman"/>
          <w:sz w:val="24"/>
          <w:szCs w:val="24"/>
        </w:rPr>
        <w:footnoteReference w:id="293"/>
      </w:r>
      <w:r w:rsidRPr="00BD2AB4">
        <w:rPr>
          <w:rFonts w:ascii="Times New Roman" w:hAnsi="Times New Roman" w:cs="Times New Roman"/>
          <w:sz w:val="24"/>
          <w:szCs w:val="24"/>
        </w:rPr>
        <w:t xml:space="preserve"> </w:t>
      </w:r>
    </w:p>
    <w:p w14:paraId="7DD0684D" w14:textId="5C4385E5" w:rsidR="00020014"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Studying Achaemenid influence, leads to the comparison of architectural features, present at the ancient capital Persepolis, with Nabataean tomb facades at Petra and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294"/>
      </w:r>
      <w:r w:rsidRPr="00BD2AB4">
        <w:rPr>
          <w:rFonts w:ascii="Times New Roman" w:hAnsi="Times New Roman" w:cs="Times New Roman"/>
          <w:sz w:val="24"/>
          <w:szCs w:val="24"/>
        </w:rPr>
        <w:t xml:space="preserve"> </w:t>
      </w:r>
    </w:p>
    <w:p w14:paraId="3F3E4B95" w14:textId="54845841" w:rsidR="00020014"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palace façade concept applied to Achaemenid tombs such as the one of Darius I at Mount </w:t>
      </w:r>
      <w:proofErr w:type="spellStart"/>
      <w:r w:rsidRPr="00BD2AB4">
        <w:rPr>
          <w:rFonts w:ascii="Times New Roman" w:hAnsi="Times New Roman" w:cs="Times New Roman"/>
          <w:sz w:val="24"/>
          <w:szCs w:val="24"/>
        </w:rPr>
        <w:t>Rahmat</w:t>
      </w:r>
      <w:proofErr w:type="spellEnd"/>
      <w:r w:rsidRPr="00BD2AB4">
        <w:rPr>
          <w:rFonts w:ascii="Times New Roman" w:hAnsi="Times New Roman" w:cs="Times New Roman"/>
          <w:sz w:val="24"/>
          <w:szCs w:val="24"/>
        </w:rPr>
        <w:t xml:space="preserve"> and </w:t>
      </w:r>
      <w:proofErr w:type="spellStart"/>
      <w:r w:rsidRPr="00BD2AB4">
        <w:rPr>
          <w:rFonts w:ascii="Times New Roman" w:hAnsi="Times New Roman" w:cs="Times New Roman"/>
          <w:sz w:val="24"/>
          <w:szCs w:val="24"/>
        </w:rPr>
        <w:t>Naqshi</w:t>
      </w:r>
      <w:proofErr w:type="spellEnd"/>
      <w:r w:rsidRPr="00BD2AB4">
        <w:rPr>
          <w:rFonts w:ascii="Times New Roman" w:hAnsi="Times New Roman" w:cs="Times New Roman"/>
          <w:sz w:val="24"/>
          <w:szCs w:val="24"/>
        </w:rPr>
        <w:t>-I Rustam may have been starkly influences by facades such as the Apadana at Persepolis,</w:t>
      </w:r>
      <w:r w:rsidRPr="00BD2AB4">
        <w:rPr>
          <w:rStyle w:val="Funotenzeichen"/>
          <w:rFonts w:ascii="Times New Roman" w:hAnsi="Times New Roman" w:cs="Times New Roman"/>
          <w:sz w:val="24"/>
          <w:szCs w:val="24"/>
        </w:rPr>
        <w:footnoteReference w:id="295"/>
      </w:r>
      <w:r w:rsidRPr="00BD2AB4">
        <w:rPr>
          <w:rFonts w:ascii="Times New Roman" w:hAnsi="Times New Roman" w:cs="Times New Roman"/>
          <w:sz w:val="24"/>
          <w:szCs w:val="24"/>
        </w:rPr>
        <w:t xml:space="preserve"> and in turn influenced Nabataean tomb facades of the single and </w:t>
      </w:r>
      <w:r w:rsidRPr="00BD2AB4">
        <w:rPr>
          <w:rFonts w:ascii="Times New Roman" w:hAnsi="Times New Roman" w:cs="Times New Roman"/>
          <w:sz w:val="24"/>
          <w:szCs w:val="24"/>
        </w:rPr>
        <w:lastRenderedPageBreak/>
        <w:t>double pylon type.</w:t>
      </w:r>
      <w:r w:rsidRPr="00BD2AB4">
        <w:rPr>
          <w:rStyle w:val="Funotenzeichen"/>
          <w:rFonts w:ascii="Times New Roman" w:hAnsi="Times New Roman" w:cs="Times New Roman"/>
          <w:sz w:val="24"/>
          <w:szCs w:val="24"/>
        </w:rPr>
        <w:footnoteReference w:id="296"/>
      </w:r>
      <w:r w:rsidRPr="00BD2AB4">
        <w:rPr>
          <w:rFonts w:ascii="Times New Roman" w:hAnsi="Times New Roman" w:cs="Times New Roman"/>
          <w:sz w:val="24"/>
          <w:szCs w:val="24"/>
        </w:rPr>
        <w:t xml:space="preserve"> </w:t>
      </w:r>
      <w:r w:rsidR="00A42A16" w:rsidRPr="00BD2AB4">
        <w:rPr>
          <w:rFonts w:ascii="Times New Roman" w:hAnsi="Times New Roman" w:cs="Times New Roman"/>
          <w:sz w:val="24"/>
          <w:szCs w:val="24"/>
        </w:rPr>
        <w:t>In addition, it was suggested that the deliberate use of Achaemenid symbolic architecture, was deployed as a silent protest against growing Roman influence.</w:t>
      </w:r>
      <w:r w:rsidR="00A42A16" w:rsidRPr="00BD2AB4">
        <w:rPr>
          <w:rStyle w:val="Funotenzeichen"/>
          <w:rFonts w:ascii="Times New Roman" w:hAnsi="Times New Roman" w:cs="Times New Roman"/>
          <w:sz w:val="24"/>
          <w:szCs w:val="24"/>
        </w:rPr>
        <w:footnoteReference w:id="297"/>
      </w:r>
      <w:r w:rsidR="00A42A16" w:rsidRPr="00BD2AB4">
        <w:rPr>
          <w:rFonts w:ascii="Times New Roman" w:hAnsi="Times New Roman" w:cs="Times New Roman"/>
          <w:sz w:val="24"/>
          <w:szCs w:val="24"/>
        </w:rPr>
        <w:t xml:space="preserve"> </w:t>
      </w:r>
    </w:p>
    <w:p w14:paraId="5A6B1862" w14:textId="59933D18" w:rsidR="000732ED" w:rsidRPr="00BD2AB4" w:rsidRDefault="000732ED" w:rsidP="00BD2AB4">
      <w:pPr>
        <w:spacing w:line="480" w:lineRule="auto"/>
        <w:rPr>
          <w:rFonts w:ascii="Times New Roman" w:hAnsi="Times New Roman" w:cs="Times New Roman"/>
          <w:b/>
          <w:sz w:val="24"/>
          <w:szCs w:val="24"/>
        </w:rPr>
      </w:pPr>
    </w:p>
    <w:p w14:paraId="14593A59" w14:textId="001930F7" w:rsidR="000732ED" w:rsidRPr="00BD2AB4" w:rsidRDefault="000732ED" w:rsidP="00BD2AB4">
      <w:pPr>
        <w:spacing w:line="480" w:lineRule="auto"/>
        <w:rPr>
          <w:rFonts w:ascii="Times New Roman" w:hAnsi="Times New Roman" w:cs="Times New Roman"/>
          <w:sz w:val="24"/>
          <w:szCs w:val="24"/>
          <w:u w:val="single"/>
        </w:rPr>
      </w:pPr>
      <w:r w:rsidRPr="00BD2AB4">
        <w:rPr>
          <w:rFonts w:ascii="Times New Roman" w:hAnsi="Times New Roman" w:cs="Times New Roman"/>
          <w:sz w:val="24"/>
          <w:szCs w:val="24"/>
          <w:u w:val="single"/>
        </w:rPr>
        <w:t xml:space="preserve">Columns and capitals </w:t>
      </w:r>
    </w:p>
    <w:p w14:paraId="0BE6C174" w14:textId="6E642E83" w:rsidR="00350951" w:rsidRPr="00BD2AB4" w:rsidRDefault="00350951"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columns and capitals, clearly show a Hellenistic descent, as they have often been called  “</w:t>
      </w:r>
      <w:proofErr w:type="spellStart"/>
      <w:r w:rsidRPr="00BD2AB4">
        <w:rPr>
          <w:rFonts w:ascii="Times New Roman" w:hAnsi="Times New Roman" w:cs="Times New Roman"/>
          <w:sz w:val="24"/>
          <w:szCs w:val="24"/>
        </w:rPr>
        <w:t>corinthianized</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298"/>
      </w:r>
      <w:r w:rsidRPr="00BD2AB4">
        <w:rPr>
          <w:rFonts w:ascii="Times New Roman" w:hAnsi="Times New Roman" w:cs="Times New Roman"/>
          <w:sz w:val="24"/>
          <w:szCs w:val="24"/>
        </w:rPr>
        <w:t xml:space="preserve"> or Hellenized, as the Corinthian capital had its predominance and origins in the Greek world.</w:t>
      </w:r>
      <w:r w:rsidRPr="00BD2AB4">
        <w:rPr>
          <w:rStyle w:val="Funotenzeichen"/>
          <w:rFonts w:ascii="Times New Roman" w:hAnsi="Times New Roman" w:cs="Times New Roman"/>
          <w:sz w:val="24"/>
          <w:szCs w:val="24"/>
        </w:rPr>
        <w:footnoteReference w:id="299"/>
      </w:r>
      <w:r w:rsidRPr="00BD2AB4">
        <w:rPr>
          <w:rFonts w:ascii="Times New Roman" w:hAnsi="Times New Roman" w:cs="Times New Roman"/>
          <w:sz w:val="24"/>
          <w:szCs w:val="24"/>
        </w:rPr>
        <w:t xml:space="preserve"> Especially the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xml:space="preserve"> prototype</w:t>
      </w:r>
      <w:r w:rsidRPr="00BD2AB4">
        <w:rPr>
          <w:rFonts w:ascii="Times New Roman" w:hAnsi="Times New Roman" w:cs="Times New Roman"/>
          <w:i/>
          <w:sz w:val="24"/>
          <w:szCs w:val="24"/>
        </w:rPr>
        <w:t xml:space="preserve"> ,</w:t>
      </w:r>
      <w:r w:rsidRPr="00BD2AB4">
        <w:rPr>
          <w:rFonts w:ascii="Times New Roman" w:hAnsi="Times New Roman" w:cs="Times New Roman"/>
          <w:sz w:val="24"/>
          <w:szCs w:val="24"/>
        </w:rPr>
        <w:t xml:space="preserve"> most famously represented at the </w:t>
      </w:r>
      <w:proofErr w:type="spellStart"/>
      <w:r w:rsidRPr="00BD2AB4">
        <w:rPr>
          <w:rFonts w:ascii="Times New Roman" w:hAnsi="Times New Roman" w:cs="Times New Roman"/>
          <w:sz w:val="24"/>
          <w:szCs w:val="24"/>
        </w:rPr>
        <w:t>Khazneh</w:t>
      </w:r>
      <w:proofErr w:type="spellEnd"/>
      <w:r w:rsidRPr="00BD2AB4">
        <w:rPr>
          <w:rFonts w:ascii="Times New Roman" w:hAnsi="Times New Roman" w:cs="Times New Roman"/>
          <w:sz w:val="24"/>
          <w:szCs w:val="24"/>
        </w:rPr>
        <w:t>,</w:t>
      </w:r>
      <w:r w:rsidRPr="00BD2AB4">
        <w:rPr>
          <w:rFonts w:ascii="Times New Roman" w:hAnsi="Times New Roman" w:cs="Times New Roman"/>
          <w:i/>
          <w:sz w:val="24"/>
          <w:szCs w:val="24"/>
        </w:rPr>
        <w:t xml:space="preserve"> </w:t>
      </w:r>
      <w:r w:rsidRPr="00BD2AB4">
        <w:rPr>
          <w:rFonts w:ascii="Times New Roman" w:hAnsi="Times New Roman" w:cs="Times New Roman"/>
          <w:sz w:val="24"/>
          <w:szCs w:val="24"/>
        </w:rPr>
        <w:t>seems derivative of the Corinthian model.</w:t>
      </w:r>
      <w:r w:rsidRPr="00BD2AB4">
        <w:rPr>
          <w:rStyle w:val="Funotenzeichen"/>
          <w:rFonts w:ascii="Times New Roman" w:hAnsi="Times New Roman" w:cs="Times New Roman"/>
          <w:sz w:val="24"/>
          <w:szCs w:val="24"/>
        </w:rPr>
        <w:footnoteReference w:id="300"/>
      </w:r>
      <w:r w:rsidRPr="00BD2AB4">
        <w:rPr>
          <w:rFonts w:ascii="Times New Roman" w:hAnsi="Times New Roman" w:cs="Times New Roman"/>
          <w:sz w:val="24"/>
          <w:szCs w:val="24"/>
        </w:rPr>
        <w:t xml:space="preserve"> However, the Corinthian-like lower capitals of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xml:space="preserve">, although usually attributed to Alexandrian architecture, have recently shown to have more similarities with the </w:t>
      </w:r>
      <w:proofErr w:type="spellStart"/>
      <w:r w:rsidRPr="00BD2AB4">
        <w:rPr>
          <w:rFonts w:ascii="Times New Roman" w:hAnsi="Times New Roman" w:cs="Times New Roman"/>
          <w:sz w:val="24"/>
          <w:szCs w:val="24"/>
        </w:rPr>
        <w:t>Palmyran</w:t>
      </w:r>
      <w:proofErr w:type="spellEnd"/>
      <w:r w:rsidRPr="00BD2AB4">
        <w:rPr>
          <w:rFonts w:ascii="Times New Roman" w:hAnsi="Times New Roman" w:cs="Times New Roman"/>
          <w:sz w:val="24"/>
          <w:szCs w:val="24"/>
        </w:rPr>
        <w:t xml:space="preserve"> temple of Bel, which also shows the decorative employment of leaves and flowers.</w:t>
      </w:r>
      <w:r w:rsidRPr="00BD2AB4">
        <w:rPr>
          <w:rStyle w:val="Funotenzeichen"/>
          <w:rFonts w:ascii="Times New Roman" w:hAnsi="Times New Roman" w:cs="Times New Roman"/>
          <w:sz w:val="24"/>
          <w:szCs w:val="24"/>
        </w:rPr>
        <w:footnoteReference w:id="301"/>
      </w:r>
      <w:r w:rsidRPr="00BD2AB4">
        <w:rPr>
          <w:rFonts w:ascii="Times New Roman" w:hAnsi="Times New Roman" w:cs="Times New Roman"/>
          <w:sz w:val="24"/>
          <w:szCs w:val="24"/>
        </w:rPr>
        <w:t xml:space="preserve"> If that would be true, it would confirm a process of secondary diffusion, where elements of the Hellenistic world, would be transmitted through intermediate actors like Palmyra.</w:t>
      </w:r>
      <w:r w:rsidRPr="00BD2AB4">
        <w:rPr>
          <w:rStyle w:val="Funotenzeichen"/>
          <w:rFonts w:ascii="Times New Roman" w:hAnsi="Times New Roman" w:cs="Times New Roman"/>
          <w:sz w:val="24"/>
          <w:szCs w:val="24"/>
        </w:rPr>
        <w:footnoteReference w:id="302"/>
      </w:r>
      <w:r w:rsidRPr="00BD2AB4">
        <w:rPr>
          <w:rFonts w:ascii="Times New Roman" w:hAnsi="Times New Roman" w:cs="Times New Roman"/>
          <w:sz w:val="24"/>
          <w:szCs w:val="24"/>
        </w:rPr>
        <w:t xml:space="preserve"> Further, Persian tombs at Persepolis also displayed Greek style columns, thus, the concept might have reached the Nabataeans after some detour, reaching other cultures such as the Persians first.</w:t>
      </w:r>
      <w:r w:rsidRPr="00BD2AB4">
        <w:rPr>
          <w:rStyle w:val="Funotenzeichen"/>
          <w:rFonts w:ascii="Times New Roman" w:hAnsi="Times New Roman" w:cs="Times New Roman"/>
          <w:sz w:val="24"/>
          <w:szCs w:val="24"/>
        </w:rPr>
        <w:footnoteReference w:id="303"/>
      </w:r>
      <w:r w:rsidRPr="00BD2AB4">
        <w:rPr>
          <w:rFonts w:ascii="Times New Roman" w:hAnsi="Times New Roman" w:cs="Times New Roman"/>
          <w:sz w:val="24"/>
          <w:szCs w:val="24"/>
        </w:rPr>
        <w:t xml:space="preserve"> Especially when considering the information given in chapter five, one can see how the concept of Greek columns and capitals might have not been directly acculturated from the Hellenistic kingdoms. </w:t>
      </w:r>
    </w:p>
    <w:p w14:paraId="2E983BD5" w14:textId="5308BC1A" w:rsidR="00350951" w:rsidRPr="00BD2AB4" w:rsidRDefault="00350951"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plainer, “Nabataean order”</w:t>
      </w:r>
      <w:r w:rsidRPr="00BD2AB4">
        <w:rPr>
          <w:rStyle w:val="Funotenzeichen"/>
          <w:rFonts w:ascii="Times New Roman" w:hAnsi="Times New Roman" w:cs="Times New Roman"/>
          <w:sz w:val="24"/>
          <w:szCs w:val="24"/>
        </w:rPr>
        <w:footnoteReference w:id="304"/>
      </w:r>
      <w:r w:rsidRPr="00BD2AB4">
        <w:rPr>
          <w:rFonts w:ascii="Times New Roman" w:hAnsi="Times New Roman" w:cs="Times New Roman"/>
          <w:sz w:val="24"/>
          <w:szCs w:val="24"/>
        </w:rPr>
        <w:t xml:space="preserve">, </w:t>
      </w:r>
      <w:r w:rsidR="00BA37FB" w:rsidRPr="00BD2AB4">
        <w:rPr>
          <w:rFonts w:ascii="Times New Roman" w:hAnsi="Times New Roman" w:cs="Times New Roman"/>
          <w:sz w:val="24"/>
          <w:szCs w:val="24"/>
        </w:rPr>
        <w:t xml:space="preserve">has been dated later than the </w:t>
      </w:r>
      <w:proofErr w:type="spellStart"/>
      <w:r w:rsidR="00BA37FB" w:rsidRPr="00BD2AB4">
        <w:rPr>
          <w:rFonts w:ascii="Times New Roman" w:hAnsi="Times New Roman" w:cs="Times New Roman"/>
          <w:sz w:val="24"/>
          <w:szCs w:val="24"/>
        </w:rPr>
        <w:t>Khazne</w:t>
      </w:r>
      <w:proofErr w:type="spellEnd"/>
      <w:r w:rsidR="00BA37FB" w:rsidRPr="00BD2AB4">
        <w:rPr>
          <w:rFonts w:ascii="Times New Roman" w:hAnsi="Times New Roman" w:cs="Times New Roman"/>
          <w:sz w:val="24"/>
          <w:szCs w:val="24"/>
        </w:rPr>
        <w:t xml:space="preserve"> type</w:t>
      </w:r>
      <w:r w:rsidRPr="00BD2AB4">
        <w:rPr>
          <w:rFonts w:ascii="Times New Roman" w:hAnsi="Times New Roman" w:cs="Times New Roman"/>
          <w:sz w:val="24"/>
          <w:szCs w:val="24"/>
        </w:rPr>
        <w:t>, and represen</w:t>
      </w:r>
      <w:r w:rsidR="00BA37FB" w:rsidRPr="00BD2AB4">
        <w:rPr>
          <w:rFonts w:ascii="Times New Roman" w:hAnsi="Times New Roman" w:cs="Times New Roman"/>
          <w:sz w:val="24"/>
          <w:szCs w:val="24"/>
        </w:rPr>
        <w:t>ts</w:t>
      </w:r>
      <w:r w:rsidRPr="00BD2AB4">
        <w:rPr>
          <w:rFonts w:ascii="Times New Roman" w:hAnsi="Times New Roman" w:cs="Times New Roman"/>
          <w:sz w:val="24"/>
          <w:szCs w:val="24"/>
        </w:rPr>
        <w:t xml:space="preserve"> </w:t>
      </w:r>
      <w:r w:rsidR="00BA37FB" w:rsidRPr="00BD2AB4">
        <w:rPr>
          <w:rFonts w:ascii="Times New Roman" w:hAnsi="Times New Roman" w:cs="Times New Roman"/>
          <w:sz w:val="24"/>
          <w:szCs w:val="24"/>
        </w:rPr>
        <w:t xml:space="preserve">the most </w:t>
      </w:r>
      <w:r w:rsidRPr="00BD2AB4">
        <w:rPr>
          <w:rFonts w:ascii="Times New Roman" w:hAnsi="Times New Roman" w:cs="Times New Roman"/>
          <w:sz w:val="24"/>
          <w:szCs w:val="24"/>
        </w:rPr>
        <w:t xml:space="preserve">common Nabataean </w:t>
      </w:r>
      <w:r w:rsidR="00BA37FB" w:rsidRPr="00BD2AB4">
        <w:rPr>
          <w:rFonts w:ascii="Times New Roman" w:hAnsi="Times New Roman" w:cs="Times New Roman"/>
          <w:sz w:val="24"/>
          <w:szCs w:val="24"/>
        </w:rPr>
        <w:t xml:space="preserve">capital </w:t>
      </w:r>
      <w:r w:rsidRPr="00BD2AB4">
        <w:rPr>
          <w:rFonts w:ascii="Times New Roman" w:hAnsi="Times New Roman" w:cs="Times New Roman"/>
          <w:sz w:val="24"/>
          <w:szCs w:val="24"/>
        </w:rPr>
        <w:t>type.</w:t>
      </w:r>
      <w:r w:rsidRPr="00BD2AB4">
        <w:rPr>
          <w:rStyle w:val="Funotenzeichen"/>
          <w:rFonts w:ascii="Times New Roman" w:hAnsi="Times New Roman" w:cs="Times New Roman"/>
          <w:sz w:val="24"/>
          <w:szCs w:val="24"/>
        </w:rPr>
        <w:footnoteReference w:id="305"/>
      </w:r>
      <w:r w:rsidRPr="00BD2AB4">
        <w:rPr>
          <w:rFonts w:ascii="Times New Roman" w:hAnsi="Times New Roman" w:cs="Times New Roman"/>
          <w:sz w:val="24"/>
          <w:szCs w:val="24"/>
        </w:rPr>
        <w:t xml:space="preserve"> </w:t>
      </w:r>
      <w:r w:rsidR="00BA37FB" w:rsidRPr="00BD2AB4">
        <w:rPr>
          <w:rFonts w:ascii="Times New Roman" w:hAnsi="Times New Roman" w:cs="Times New Roman"/>
          <w:sz w:val="24"/>
          <w:szCs w:val="24"/>
        </w:rPr>
        <w:t>It</w:t>
      </w:r>
      <w:r w:rsidRPr="00BD2AB4">
        <w:rPr>
          <w:rFonts w:ascii="Times New Roman" w:hAnsi="Times New Roman" w:cs="Times New Roman"/>
          <w:sz w:val="24"/>
          <w:szCs w:val="24"/>
        </w:rPr>
        <w:t xml:space="preserve"> was </w:t>
      </w:r>
      <w:r w:rsidR="00BA37FB" w:rsidRPr="00BD2AB4">
        <w:rPr>
          <w:rFonts w:ascii="Times New Roman" w:hAnsi="Times New Roman" w:cs="Times New Roman"/>
          <w:sz w:val="24"/>
          <w:szCs w:val="24"/>
        </w:rPr>
        <w:t>very plain</w:t>
      </w:r>
      <w:r w:rsidRPr="00BD2AB4">
        <w:rPr>
          <w:rFonts w:ascii="Times New Roman" w:hAnsi="Times New Roman" w:cs="Times New Roman"/>
          <w:sz w:val="24"/>
          <w:szCs w:val="24"/>
        </w:rPr>
        <w:t xml:space="preserve"> and only possessed four lugs in </w:t>
      </w:r>
      <w:r w:rsidRPr="00BD2AB4">
        <w:rPr>
          <w:rFonts w:ascii="Times New Roman" w:hAnsi="Times New Roman" w:cs="Times New Roman"/>
          <w:sz w:val="24"/>
          <w:szCs w:val="24"/>
        </w:rPr>
        <w:lastRenderedPageBreak/>
        <w:t>its capital, as seen at the Ed Deir tomb façade.</w:t>
      </w:r>
      <w:r w:rsidRPr="00BD2AB4">
        <w:rPr>
          <w:rStyle w:val="Funotenzeichen"/>
          <w:rFonts w:ascii="Times New Roman" w:hAnsi="Times New Roman" w:cs="Times New Roman"/>
          <w:sz w:val="24"/>
          <w:szCs w:val="24"/>
        </w:rPr>
        <w:footnoteReference w:id="306"/>
      </w:r>
      <w:r w:rsidRPr="00BD2AB4">
        <w:rPr>
          <w:rFonts w:ascii="Times New Roman" w:hAnsi="Times New Roman" w:cs="Times New Roman"/>
          <w:sz w:val="24"/>
          <w:szCs w:val="24"/>
        </w:rPr>
        <w:t xml:space="preserve">  The Nabataean capital could be</w:t>
      </w:r>
      <w:r w:rsidR="00BA37FB" w:rsidRPr="00BD2AB4">
        <w:rPr>
          <w:rFonts w:ascii="Times New Roman" w:hAnsi="Times New Roman" w:cs="Times New Roman"/>
          <w:sz w:val="24"/>
          <w:szCs w:val="24"/>
        </w:rPr>
        <w:t xml:space="preserve"> situated</w:t>
      </w:r>
      <w:r w:rsidRPr="00BD2AB4">
        <w:rPr>
          <w:rFonts w:ascii="Times New Roman" w:hAnsi="Times New Roman" w:cs="Times New Roman"/>
          <w:sz w:val="24"/>
          <w:szCs w:val="24"/>
        </w:rPr>
        <w:t xml:space="preserve"> on top of an initial row of columns, creating a second row, as seen in some tombs at </w:t>
      </w:r>
      <w:proofErr w:type="spellStart"/>
      <w:r w:rsidRPr="00BD2AB4">
        <w:rPr>
          <w:rFonts w:ascii="Times New Roman" w:hAnsi="Times New Roman" w:cs="Times New Roman"/>
          <w:sz w:val="24"/>
          <w:szCs w:val="24"/>
        </w:rPr>
        <w:t>Mada`in</w:t>
      </w:r>
      <w:proofErr w:type="spellEnd"/>
      <w:r w:rsidRPr="00BD2AB4">
        <w:rPr>
          <w:rFonts w:ascii="Times New Roman" w:hAnsi="Times New Roman" w:cs="Times New Roman"/>
          <w:sz w:val="24"/>
          <w:szCs w:val="24"/>
        </w:rPr>
        <w:t xml:space="preserve"> Saleh</w:t>
      </w:r>
      <w:r w:rsidR="00BA37FB" w:rsidRPr="00BD2AB4">
        <w:rPr>
          <w:rFonts w:ascii="Times New Roman" w:hAnsi="Times New Roman" w:cs="Times New Roman"/>
          <w:sz w:val="24"/>
          <w:szCs w:val="24"/>
        </w:rPr>
        <w:t xml:space="preserve"> </w:t>
      </w:r>
      <w:proofErr w:type="spellStart"/>
      <w:r w:rsidR="00BA37FB"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07"/>
      </w:r>
      <w:r w:rsidRPr="00BD2AB4">
        <w:rPr>
          <w:rFonts w:ascii="Times New Roman" w:hAnsi="Times New Roman" w:cs="Times New Roman"/>
          <w:sz w:val="24"/>
          <w:szCs w:val="24"/>
        </w:rPr>
        <w:t xml:space="preserve"> where there appears to have been hybrid tomb types between Proto-</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and step type.</w:t>
      </w:r>
      <w:r w:rsidRPr="00BD2AB4">
        <w:rPr>
          <w:rStyle w:val="Funotenzeichen"/>
          <w:rFonts w:ascii="Times New Roman" w:hAnsi="Times New Roman" w:cs="Times New Roman"/>
          <w:sz w:val="24"/>
          <w:szCs w:val="24"/>
        </w:rPr>
        <w:footnoteReference w:id="308"/>
      </w:r>
      <w:r w:rsidRPr="00BD2AB4">
        <w:rPr>
          <w:rFonts w:ascii="Times New Roman" w:hAnsi="Times New Roman" w:cs="Times New Roman"/>
          <w:sz w:val="24"/>
          <w:szCs w:val="24"/>
        </w:rPr>
        <w:t xml:space="preserve"> Additionally, the pseudo-Ionic or pseudo-Doric capital type has been identified.</w:t>
      </w:r>
      <w:r w:rsidRPr="00BD2AB4">
        <w:rPr>
          <w:rStyle w:val="Funotenzeichen"/>
          <w:rFonts w:ascii="Times New Roman" w:hAnsi="Times New Roman" w:cs="Times New Roman"/>
          <w:sz w:val="24"/>
          <w:szCs w:val="24"/>
        </w:rPr>
        <w:footnoteReference w:id="309"/>
      </w:r>
      <w:r w:rsidRPr="00BD2AB4">
        <w:rPr>
          <w:rFonts w:ascii="Times New Roman" w:hAnsi="Times New Roman" w:cs="Times New Roman"/>
          <w:sz w:val="24"/>
          <w:szCs w:val="24"/>
        </w:rPr>
        <w:t xml:space="preserve"> </w:t>
      </w:r>
    </w:p>
    <w:p w14:paraId="213C392A" w14:textId="66F679F4" w:rsidR="00350951" w:rsidRPr="00BD2AB4" w:rsidRDefault="00350951"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Those columns seem</w:t>
      </w:r>
      <w:r w:rsidR="00BA37FB" w:rsidRPr="00BD2AB4">
        <w:rPr>
          <w:rFonts w:ascii="Times New Roman" w:hAnsi="Times New Roman" w:cs="Times New Roman"/>
          <w:sz w:val="24"/>
          <w:szCs w:val="24"/>
        </w:rPr>
        <w:t>ingly did not serve</w:t>
      </w:r>
      <w:r w:rsidRPr="00BD2AB4">
        <w:rPr>
          <w:rFonts w:ascii="Times New Roman" w:hAnsi="Times New Roman" w:cs="Times New Roman"/>
          <w:sz w:val="24"/>
          <w:szCs w:val="24"/>
        </w:rPr>
        <w:t xml:space="preserve"> a clear structural purpose, but rather appear </w:t>
      </w:r>
      <w:r w:rsidR="00BA37FB" w:rsidRPr="00BD2AB4">
        <w:rPr>
          <w:rFonts w:ascii="Times New Roman" w:hAnsi="Times New Roman" w:cs="Times New Roman"/>
          <w:sz w:val="24"/>
          <w:szCs w:val="24"/>
        </w:rPr>
        <w:t>mostly</w:t>
      </w:r>
      <w:r w:rsidRPr="00BD2AB4">
        <w:rPr>
          <w:rFonts w:ascii="Times New Roman" w:hAnsi="Times New Roman" w:cs="Times New Roman"/>
          <w:sz w:val="24"/>
          <w:szCs w:val="24"/>
        </w:rPr>
        <w:t xml:space="preserve"> decorative in nature</w:t>
      </w:r>
      <w:r w:rsidR="00BA37FB" w:rsidRPr="00BD2AB4">
        <w:rPr>
          <w:rFonts w:ascii="Times New Roman" w:hAnsi="Times New Roman" w:cs="Times New Roman"/>
          <w:sz w:val="24"/>
          <w:szCs w:val="24"/>
        </w:rPr>
        <w:t>, as most, did not have to support the overall structure</w:t>
      </w:r>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10"/>
      </w:r>
      <w:r w:rsidRPr="00BD2AB4">
        <w:rPr>
          <w:rFonts w:ascii="Times New Roman" w:hAnsi="Times New Roman" w:cs="Times New Roman"/>
          <w:sz w:val="24"/>
          <w:szCs w:val="24"/>
        </w:rPr>
        <w:t xml:space="preserve"> </w:t>
      </w:r>
    </w:p>
    <w:p w14:paraId="1E69D17C" w14:textId="4F319C33" w:rsidR="00350951" w:rsidRPr="00BD2AB4" w:rsidRDefault="00350951"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Comparing the tomb of judgement, a Macedonian tomb from the late fourth century B.C.,</w:t>
      </w:r>
      <w:r w:rsidRPr="00BD2AB4">
        <w:rPr>
          <w:rStyle w:val="Funotenzeichen"/>
          <w:rFonts w:ascii="Times New Roman" w:hAnsi="Times New Roman" w:cs="Times New Roman"/>
          <w:sz w:val="24"/>
          <w:szCs w:val="24"/>
        </w:rPr>
        <w:footnoteReference w:id="311"/>
      </w:r>
      <w:r w:rsidRPr="00BD2AB4">
        <w:rPr>
          <w:rFonts w:ascii="Times New Roman" w:hAnsi="Times New Roman" w:cs="Times New Roman"/>
          <w:sz w:val="24"/>
          <w:szCs w:val="24"/>
        </w:rPr>
        <w:t xml:space="preserve"> with the complex Classical Nabataean tomb type</w:t>
      </w:r>
      <w:r w:rsidRPr="00BD2AB4">
        <w:rPr>
          <w:rStyle w:val="Funotenzeichen"/>
          <w:rFonts w:ascii="Times New Roman" w:hAnsi="Times New Roman" w:cs="Times New Roman"/>
          <w:sz w:val="24"/>
          <w:szCs w:val="24"/>
        </w:rPr>
        <w:footnoteReference w:id="312"/>
      </w:r>
      <w:r w:rsidRPr="00BD2AB4">
        <w:rPr>
          <w:rFonts w:ascii="Times New Roman" w:hAnsi="Times New Roman" w:cs="Times New Roman"/>
          <w:sz w:val="24"/>
          <w:szCs w:val="24"/>
        </w:rPr>
        <w:t xml:space="preserve"> reveals that the Macedonian tomb often featured Doric columns in the first</w:t>
      </w:r>
      <w:r w:rsidRPr="00BD2AB4">
        <w:rPr>
          <w:rStyle w:val="Funotenzeichen"/>
          <w:rFonts w:ascii="Times New Roman" w:hAnsi="Times New Roman" w:cs="Times New Roman"/>
          <w:sz w:val="24"/>
          <w:szCs w:val="24"/>
        </w:rPr>
        <w:footnoteReference w:id="313"/>
      </w:r>
      <w:r w:rsidRPr="00BD2AB4">
        <w:rPr>
          <w:rFonts w:ascii="Times New Roman" w:hAnsi="Times New Roman" w:cs="Times New Roman"/>
          <w:sz w:val="24"/>
          <w:szCs w:val="24"/>
        </w:rPr>
        <w:t xml:space="preserve"> and some form of Corinthian in the upper row,</w:t>
      </w:r>
      <w:r w:rsidRPr="00BD2AB4">
        <w:rPr>
          <w:rStyle w:val="Funotenzeichen"/>
          <w:rFonts w:ascii="Times New Roman" w:hAnsi="Times New Roman" w:cs="Times New Roman"/>
          <w:sz w:val="24"/>
          <w:szCs w:val="24"/>
        </w:rPr>
        <w:footnoteReference w:id="314"/>
      </w:r>
      <w:r w:rsidRPr="00BD2AB4">
        <w:rPr>
          <w:rFonts w:ascii="Times New Roman" w:hAnsi="Times New Roman" w:cs="Times New Roman"/>
          <w:sz w:val="24"/>
          <w:szCs w:val="24"/>
        </w:rPr>
        <w:t xml:space="preserve"> While the Nabataean columns appeared to have mostly been unfluted, as well as displaying two different types of capitals in the lower and upper rows of the complex classical type.</w:t>
      </w:r>
      <w:r w:rsidRPr="00BD2AB4">
        <w:rPr>
          <w:rStyle w:val="Funotenzeichen"/>
          <w:rFonts w:ascii="Times New Roman" w:hAnsi="Times New Roman" w:cs="Times New Roman"/>
          <w:sz w:val="24"/>
          <w:szCs w:val="24"/>
        </w:rPr>
        <w:footnoteReference w:id="315"/>
      </w:r>
      <w:r w:rsidRPr="00BD2AB4">
        <w:rPr>
          <w:rFonts w:ascii="Times New Roman" w:hAnsi="Times New Roman" w:cs="Times New Roman"/>
          <w:sz w:val="24"/>
          <w:szCs w:val="24"/>
        </w:rPr>
        <w:t xml:space="preserve"> More recent research into the different cultural influences that affected the tomb complexes in Wadi </w:t>
      </w:r>
      <w:proofErr w:type="spellStart"/>
      <w:r w:rsidRPr="00BD2AB4">
        <w:rPr>
          <w:rFonts w:ascii="Times New Roman" w:hAnsi="Times New Roman" w:cs="Times New Roman"/>
          <w:sz w:val="24"/>
          <w:szCs w:val="24"/>
        </w:rPr>
        <w:t>Farasa</w:t>
      </w:r>
      <w:proofErr w:type="spellEnd"/>
      <w:r w:rsidRPr="00BD2AB4">
        <w:rPr>
          <w:rFonts w:ascii="Times New Roman" w:hAnsi="Times New Roman" w:cs="Times New Roman"/>
          <w:sz w:val="24"/>
          <w:szCs w:val="24"/>
        </w:rPr>
        <w:t xml:space="preserve"> at Petra, has brought forth a new type of Hellenistic inspired Nabataean capital.</w:t>
      </w:r>
      <w:r w:rsidRPr="00BD2AB4">
        <w:rPr>
          <w:rStyle w:val="Funotenzeichen"/>
          <w:rFonts w:ascii="Times New Roman" w:hAnsi="Times New Roman" w:cs="Times New Roman"/>
          <w:sz w:val="24"/>
          <w:szCs w:val="24"/>
        </w:rPr>
        <w:footnoteReference w:id="316"/>
      </w:r>
      <w:r w:rsidRPr="00BD2AB4">
        <w:rPr>
          <w:rFonts w:ascii="Times New Roman" w:hAnsi="Times New Roman" w:cs="Times New Roman"/>
          <w:sz w:val="24"/>
          <w:szCs w:val="24"/>
        </w:rPr>
        <w:t xml:space="preserve"> Given</w:t>
      </w:r>
      <w:r w:rsidR="00BA37FB" w:rsidRPr="00BD2AB4">
        <w:rPr>
          <w:rFonts w:ascii="Times New Roman" w:hAnsi="Times New Roman" w:cs="Times New Roman"/>
          <w:sz w:val="24"/>
          <w:szCs w:val="24"/>
        </w:rPr>
        <w:t>,</w:t>
      </w:r>
      <w:r w:rsidRPr="00BD2AB4">
        <w:rPr>
          <w:rFonts w:ascii="Times New Roman" w:hAnsi="Times New Roman" w:cs="Times New Roman"/>
          <w:sz w:val="24"/>
          <w:szCs w:val="24"/>
        </w:rPr>
        <w:t xml:space="preserve"> that the entire complex was well planned, it is presumable that Nabataean stone masons deliberately created something new.</w:t>
      </w:r>
      <w:r w:rsidRPr="00BD2AB4">
        <w:rPr>
          <w:rStyle w:val="Funotenzeichen"/>
          <w:rFonts w:ascii="Times New Roman" w:hAnsi="Times New Roman" w:cs="Times New Roman"/>
          <w:sz w:val="24"/>
          <w:szCs w:val="24"/>
        </w:rPr>
        <w:footnoteReference w:id="317"/>
      </w:r>
    </w:p>
    <w:p w14:paraId="64524921" w14:textId="23917C03" w:rsidR="007E273F" w:rsidRPr="00BD2AB4" w:rsidRDefault="007E273F" w:rsidP="00BD2AB4">
      <w:pPr>
        <w:spacing w:line="480" w:lineRule="auto"/>
        <w:rPr>
          <w:rFonts w:ascii="Times New Roman" w:hAnsi="Times New Roman" w:cs="Times New Roman"/>
          <w:sz w:val="24"/>
          <w:szCs w:val="24"/>
        </w:rPr>
      </w:pPr>
    </w:p>
    <w:p w14:paraId="7A039857" w14:textId="77777777" w:rsidR="00020014" w:rsidRPr="00BD2AB4" w:rsidRDefault="00020014" w:rsidP="00BD2AB4">
      <w:pPr>
        <w:pStyle w:val="berschrift2"/>
        <w:spacing w:line="480" w:lineRule="auto"/>
        <w:rPr>
          <w:rFonts w:ascii="Times New Roman" w:hAnsi="Times New Roman" w:cs="Times New Roman"/>
          <w:color w:val="auto"/>
          <w:sz w:val="24"/>
          <w:szCs w:val="24"/>
          <w:u w:val="single"/>
        </w:rPr>
      </w:pPr>
      <w:r w:rsidRPr="00BD2AB4">
        <w:rPr>
          <w:rFonts w:ascii="Times New Roman" w:hAnsi="Times New Roman" w:cs="Times New Roman"/>
          <w:color w:val="auto"/>
          <w:sz w:val="24"/>
          <w:szCs w:val="24"/>
          <w:u w:val="single"/>
        </w:rPr>
        <w:lastRenderedPageBreak/>
        <w:t>Cornices</w:t>
      </w:r>
    </w:p>
    <w:p w14:paraId="76F84A7F" w14:textId="77777777" w:rsidR="00020014" w:rsidRPr="00BD2AB4" w:rsidRDefault="00020014" w:rsidP="00BD2AB4">
      <w:pPr>
        <w:spacing w:line="480" w:lineRule="auto"/>
        <w:rPr>
          <w:rFonts w:ascii="Times New Roman" w:hAnsi="Times New Roman" w:cs="Times New Roman"/>
          <w:sz w:val="24"/>
          <w:szCs w:val="24"/>
        </w:rPr>
      </w:pPr>
    </w:p>
    <w:p w14:paraId="2E4EE4F2" w14:textId="68788095" w:rsidR="00020014"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cavetto cornice, frequently observed </w:t>
      </w:r>
      <w:r w:rsidR="005E6DAB" w:rsidRPr="00BD2AB4">
        <w:rPr>
          <w:rFonts w:ascii="Times New Roman" w:hAnsi="Times New Roman" w:cs="Times New Roman"/>
          <w:sz w:val="24"/>
          <w:szCs w:val="24"/>
        </w:rPr>
        <w:t>on Nabataean tomb facades,</w:t>
      </w:r>
      <w:r w:rsidR="005E6DAB" w:rsidRPr="00BD2AB4">
        <w:rPr>
          <w:rStyle w:val="Funotenzeichen"/>
          <w:rFonts w:ascii="Times New Roman" w:hAnsi="Times New Roman" w:cs="Times New Roman"/>
          <w:sz w:val="24"/>
          <w:szCs w:val="24"/>
        </w:rPr>
        <w:t xml:space="preserve"> </w:t>
      </w:r>
      <w:r w:rsidR="005E6DAB" w:rsidRPr="00BD2AB4">
        <w:rPr>
          <w:rStyle w:val="Funotenzeichen"/>
          <w:rFonts w:ascii="Times New Roman" w:hAnsi="Times New Roman" w:cs="Times New Roman"/>
          <w:sz w:val="24"/>
          <w:szCs w:val="24"/>
        </w:rPr>
        <w:footnoteReference w:id="318"/>
      </w:r>
      <w:r w:rsidR="005E6DAB" w:rsidRPr="00BD2AB4">
        <w:rPr>
          <w:rFonts w:ascii="Times New Roman" w:hAnsi="Times New Roman" w:cs="Times New Roman"/>
          <w:sz w:val="24"/>
          <w:szCs w:val="24"/>
        </w:rPr>
        <w:t xml:space="preserve">  finds its origins in </w:t>
      </w:r>
      <w:r w:rsidRPr="00BD2AB4">
        <w:rPr>
          <w:rFonts w:ascii="Times New Roman" w:hAnsi="Times New Roman" w:cs="Times New Roman"/>
          <w:sz w:val="24"/>
          <w:szCs w:val="24"/>
        </w:rPr>
        <w:t xml:space="preserve"> such as the originally Egyptian</w:t>
      </w:r>
      <w:r w:rsidR="005E6DAB"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19"/>
      </w:r>
      <w:r w:rsidRPr="00BD2AB4">
        <w:rPr>
          <w:rFonts w:ascii="Times New Roman" w:hAnsi="Times New Roman" w:cs="Times New Roman"/>
          <w:sz w:val="24"/>
          <w:szCs w:val="24"/>
        </w:rPr>
        <w:t xml:space="preserve"> </w:t>
      </w:r>
      <w:r w:rsidR="005E6DAB" w:rsidRPr="00BD2AB4">
        <w:rPr>
          <w:rFonts w:ascii="Times New Roman" w:hAnsi="Times New Roman" w:cs="Times New Roman"/>
          <w:sz w:val="24"/>
          <w:szCs w:val="24"/>
        </w:rPr>
        <w:t>They were often fashioned</w:t>
      </w:r>
      <w:r w:rsidRPr="00BD2AB4">
        <w:rPr>
          <w:rFonts w:ascii="Times New Roman" w:hAnsi="Times New Roman" w:cs="Times New Roman"/>
          <w:sz w:val="24"/>
          <w:szCs w:val="24"/>
        </w:rPr>
        <w:t xml:space="preserve"> on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tombs,</w:t>
      </w:r>
      <w:r w:rsidRPr="00BD2AB4">
        <w:rPr>
          <w:rStyle w:val="Funotenzeichen"/>
          <w:rFonts w:ascii="Times New Roman" w:hAnsi="Times New Roman" w:cs="Times New Roman"/>
          <w:sz w:val="24"/>
          <w:szCs w:val="24"/>
        </w:rPr>
        <w:footnoteReference w:id="320"/>
      </w:r>
      <w:r w:rsidRPr="00BD2AB4">
        <w:rPr>
          <w:rFonts w:ascii="Times New Roman" w:hAnsi="Times New Roman" w:cs="Times New Roman"/>
          <w:sz w:val="24"/>
          <w:szCs w:val="24"/>
        </w:rPr>
        <w:t xml:space="preserve"> </w:t>
      </w:r>
      <w:r w:rsidR="005E6DAB" w:rsidRPr="00BD2AB4">
        <w:rPr>
          <w:rFonts w:ascii="Times New Roman" w:hAnsi="Times New Roman" w:cs="Times New Roman"/>
          <w:sz w:val="24"/>
          <w:szCs w:val="24"/>
        </w:rPr>
        <w:t>as well as</w:t>
      </w:r>
      <w:r w:rsidRPr="00BD2AB4">
        <w:rPr>
          <w:rFonts w:ascii="Times New Roman" w:hAnsi="Times New Roman" w:cs="Times New Roman"/>
          <w:sz w:val="24"/>
          <w:szCs w:val="24"/>
        </w:rPr>
        <w:t xml:space="preserve"> on the step and proto-</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type.</w:t>
      </w:r>
      <w:r w:rsidRPr="00BD2AB4">
        <w:rPr>
          <w:rStyle w:val="Funotenzeichen"/>
          <w:rFonts w:ascii="Times New Roman" w:hAnsi="Times New Roman" w:cs="Times New Roman"/>
          <w:sz w:val="24"/>
          <w:szCs w:val="24"/>
        </w:rPr>
        <w:footnoteReference w:id="321"/>
      </w:r>
      <w:r w:rsidRPr="00BD2AB4">
        <w:rPr>
          <w:rFonts w:ascii="Times New Roman" w:hAnsi="Times New Roman" w:cs="Times New Roman"/>
          <w:sz w:val="24"/>
          <w:szCs w:val="24"/>
        </w:rPr>
        <w:t xml:space="preserve"> Further, the cavetto cornice also found employment in Achaemenid architecture, as seen in the ruins of the Takht at Persepolis.</w:t>
      </w:r>
      <w:r w:rsidRPr="00BD2AB4">
        <w:rPr>
          <w:rStyle w:val="Funotenzeichen"/>
          <w:rFonts w:ascii="Times New Roman" w:hAnsi="Times New Roman" w:cs="Times New Roman"/>
          <w:sz w:val="24"/>
          <w:szCs w:val="24"/>
        </w:rPr>
        <w:footnoteReference w:id="322"/>
      </w:r>
    </w:p>
    <w:p w14:paraId="5B26B92D" w14:textId="74AB1C2C" w:rsidR="005E6DAB"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Both simple and complex classical tomb facades show cornices that are less of the c</w:t>
      </w:r>
      <w:r w:rsidR="005E6DAB" w:rsidRPr="00BD2AB4">
        <w:rPr>
          <w:rFonts w:ascii="Times New Roman" w:hAnsi="Times New Roman" w:cs="Times New Roman"/>
          <w:sz w:val="24"/>
          <w:szCs w:val="24"/>
        </w:rPr>
        <w:t>a</w:t>
      </w:r>
      <w:r w:rsidRPr="00BD2AB4">
        <w:rPr>
          <w:rFonts w:ascii="Times New Roman" w:hAnsi="Times New Roman" w:cs="Times New Roman"/>
          <w:sz w:val="24"/>
          <w:szCs w:val="24"/>
        </w:rPr>
        <w:t>vetto type, but remind of the cornices used in Greek architecture</w:t>
      </w:r>
      <w:r w:rsidR="005E6DAB" w:rsidRPr="00BD2AB4">
        <w:rPr>
          <w:rFonts w:ascii="Times New Roman" w:hAnsi="Times New Roman" w:cs="Times New Roman"/>
          <w:sz w:val="24"/>
          <w:szCs w:val="24"/>
        </w:rPr>
        <w:t>,</w:t>
      </w:r>
      <w:r w:rsidRPr="00BD2AB4">
        <w:rPr>
          <w:rFonts w:ascii="Times New Roman" w:hAnsi="Times New Roman" w:cs="Times New Roman"/>
          <w:sz w:val="24"/>
          <w:szCs w:val="24"/>
        </w:rPr>
        <w:t xml:space="preserve"> more angled rather than round</w:t>
      </w:r>
      <w:r w:rsidR="005E6DAB" w:rsidRPr="00BD2AB4">
        <w:rPr>
          <w:rFonts w:ascii="Times New Roman" w:hAnsi="Times New Roman" w:cs="Times New Roman"/>
          <w:sz w:val="24"/>
          <w:szCs w:val="24"/>
        </w:rPr>
        <w:t>ly shaped</w:t>
      </w:r>
      <w:r w:rsidRPr="00BD2AB4">
        <w:rPr>
          <w:rFonts w:ascii="Times New Roman" w:hAnsi="Times New Roman" w:cs="Times New Roman"/>
          <w:sz w:val="24"/>
          <w:szCs w:val="24"/>
        </w:rPr>
        <w:t>, as seen with the temple of Zeus at Athens.</w:t>
      </w:r>
      <w:r w:rsidRPr="00BD2AB4">
        <w:rPr>
          <w:rStyle w:val="Funotenzeichen"/>
          <w:rFonts w:ascii="Times New Roman" w:hAnsi="Times New Roman" w:cs="Times New Roman"/>
          <w:sz w:val="24"/>
          <w:szCs w:val="24"/>
        </w:rPr>
        <w:footnoteReference w:id="323"/>
      </w:r>
      <w:r w:rsidRPr="00BD2AB4">
        <w:rPr>
          <w:rFonts w:ascii="Times New Roman" w:hAnsi="Times New Roman" w:cs="Times New Roman"/>
          <w:sz w:val="24"/>
          <w:szCs w:val="24"/>
        </w:rPr>
        <w:t xml:space="preserve">  </w:t>
      </w:r>
      <w:r w:rsidR="005E6DAB" w:rsidRPr="00BD2AB4">
        <w:rPr>
          <w:rFonts w:ascii="Times New Roman" w:hAnsi="Times New Roman" w:cs="Times New Roman"/>
          <w:sz w:val="24"/>
          <w:szCs w:val="24"/>
        </w:rPr>
        <w:t xml:space="preserve">Additionally, such </w:t>
      </w:r>
      <w:r w:rsidRPr="00BD2AB4">
        <w:rPr>
          <w:rFonts w:ascii="Times New Roman" w:hAnsi="Times New Roman" w:cs="Times New Roman"/>
          <w:sz w:val="24"/>
          <w:szCs w:val="24"/>
        </w:rPr>
        <w:t xml:space="preserve">cornices </w:t>
      </w:r>
      <w:r w:rsidR="005E6DAB" w:rsidRPr="00BD2AB4">
        <w:rPr>
          <w:rFonts w:ascii="Times New Roman" w:hAnsi="Times New Roman" w:cs="Times New Roman"/>
          <w:sz w:val="24"/>
          <w:szCs w:val="24"/>
        </w:rPr>
        <w:t xml:space="preserve">are </w:t>
      </w:r>
      <w:r w:rsidRPr="00BD2AB4">
        <w:rPr>
          <w:rFonts w:ascii="Times New Roman" w:hAnsi="Times New Roman" w:cs="Times New Roman"/>
          <w:sz w:val="24"/>
          <w:szCs w:val="24"/>
        </w:rPr>
        <w:t xml:space="preserve">also evident in Macedonian tomb facades. </w:t>
      </w:r>
      <w:r w:rsidRPr="00BD2AB4">
        <w:rPr>
          <w:rStyle w:val="Funotenzeichen"/>
          <w:rFonts w:ascii="Times New Roman" w:hAnsi="Times New Roman" w:cs="Times New Roman"/>
          <w:sz w:val="24"/>
          <w:szCs w:val="24"/>
        </w:rPr>
        <w:footnoteReference w:id="324"/>
      </w:r>
      <w:r w:rsidRPr="00BD2AB4">
        <w:rPr>
          <w:rFonts w:ascii="Times New Roman" w:hAnsi="Times New Roman" w:cs="Times New Roman"/>
          <w:sz w:val="24"/>
          <w:szCs w:val="24"/>
        </w:rPr>
        <w:t xml:space="preserve"> </w:t>
      </w:r>
      <w:r w:rsidR="005E6DAB" w:rsidRPr="00BD2AB4">
        <w:rPr>
          <w:rFonts w:ascii="Times New Roman" w:hAnsi="Times New Roman" w:cs="Times New Roman"/>
          <w:sz w:val="24"/>
          <w:szCs w:val="24"/>
        </w:rPr>
        <w:t>Therefore</w:t>
      </w:r>
      <w:r w:rsidRPr="00BD2AB4">
        <w:rPr>
          <w:rFonts w:ascii="Times New Roman" w:hAnsi="Times New Roman" w:cs="Times New Roman"/>
          <w:sz w:val="24"/>
          <w:szCs w:val="24"/>
        </w:rPr>
        <w:t>, the introduction of the Macedonian tomb type</w:t>
      </w:r>
      <w:r w:rsidR="005E6DAB" w:rsidRPr="00BD2AB4">
        <w:rPr>
          <w:rFonts w:ascii="Times New Roman" w:hAnsi="Times New Roman" w:cs="Times New Roman"/>
          <w:sz w:val="24"/>
          <w:szCs w:val="24"/>
        </w:rPr>
        <w:t xml:space="preserve">, </w:t>
      </w:r>
      <w:r w:rsidRPr="00BD2AB4">
        <w:rPr>
          <w:rFonts w:ascii="Times New Roman" w:hAnsi="Times New Roman" w:cs="Times New Roman"/>
          <w:sz w:val="24"/>
          <w:szCs w:val="24"/>
        </w:rPr>
        <w:t>accords with the great territorial expansions under Phillip II and Alexander the Great,</w:t>
      </w:r>
      <w:r w:rsidRPr="00BD2AB4">
        <w:rPr>
          <w:rStyle w:val="Funotenzeichen"/>
          <w:rFonts w:ascii="Times New Roman" w:hAnsi="Times New Roman" w:cs="Times New Roman"/>
          <w:sz w:val="24"/>
          <w:szCs w:val="24"/>
        </w:rPr>
        <w:footnoteReference w:id="325"/>
      </w:r>
      <w:r w:rsidRPr="00BD2AB4">
        <w:rPr>
          <w:rFonts w:ascii="Times New Roman" w:hAnsi="Times New Roman" w:cs="Times New Roman"/>
          <w:sz w:val="24"/>
          <w:szCs w:val="24"/>
        </w:rPr>
        <w:t xml:space="preserve"> which might have facilitated the spread of Hellenistic architectural features into the Near East consequentially.  </w:t>
      </w:r>
    </w:p>
    <w:p w14:paraId="7516E2C7" w14:textId="03493EBD" w:rsidR="005E6DAB" w:rsidRPr="00BD2AB4" w:rsidRDefault="0002001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Some Nabataean tomb facades even display both the Egyptian and Greek type of cornice, with the first on top of the facade and the latter below, as seen on the unfinished façade of the Qasr el-</w:t>
      </w:r>
      <w:proofErr w:type="spellStart"/>
      <w:r w:rsidRPr="00BD2AB4">
        <w:rPr>
          <w:rFonts w:ascii="Times New Roman" w:hAnsi="Times New Roman" w:cs="Times New Roman"/>
          <w:sz w:val="24"/>
          <w:szCs w:val="24"/>
        </w:rPr>
        <w:t>Ferid</w:t>
      </w:r>
      <w:proofErr w:type="spellEnd"/>
      <w:r w:rsidRPr="00BD2AB4">
        <w:rPr>
          <w:rFonts w:ascii="Times New Roman" w:hAnsi="Times New Roman" w:cs="Times New Roman"/>
          <w:sz w:val="24"/>
          <w:szCs w:val="24"/>
        </w:rPr>
        <w:t xml:space="preserve"> tomb, </w:t>
      </w:r>
      <w:r w:rsidRPr="00BD2AB4">
        <w:rPr>
          <w:rStyle w:val="Funotenzeichen"/>
          <w:rFonts w:ascii="Times New Roman" w:hAnsi="Times New Roman" w:cs="Times New Roman"/>
          <w:sz w:val="24"/>
          <w:szCs w:val="24"/>
        </w:rPr>
        <w:footnoteReference w:id="326"/>
      </w:r>
      <w:r w:rsidRPr="00BD2AB4">
        <w:rPr>
          <w:rFonts w:ascii="Times New Roman" w:hAnsi="Times New Roman" w:cs="Times New Roman"/>
          <w:sz w:val="24"/>
          <w:szCs w:val="24"/>
        </w:rPr>
        <w:t xml:space="preserve"> as well as on tomb BD 270 in Wadi </w:t>
      </w:r>
      <w:proofErr w:type="spellStart"/>
      <w:r w:rsidRPr="00BD2AB4">
        <w:rPr>
          <w:rFonts w:ascii="Times New Roman" w:hAnsi="Times New Roman" w:cs="Times New Roman"/>
          <w:sz w:val="24"/>
          <w:szCs w:val="24"/>
        </w:rPr>
        <w:t>Farasah</w:t>
      </w:r>
      <w:proofErr w:type="spellEnd"/>
      <w:r w:rsidRPr="00BD2AB4">
        <w:rPr>
          <w:rFonts w:ascii="Times New Roman" w:hAnsi="Times New Roman" w:cs="Times New Roman"/>
          <w:sz w:val="24"/>
          <w:szCs w:val="24"/>
        </w:rPr>
        <w:t>, Petra.</w:t>
      </w:r>
      <w:r w:rsidRPr="00BD2AB4">
        <w:rPr>
          <w:rStyle w:val="Funotenzeichen"/>
          <w:rFonts w:ascii="Times New Roman" w:hAnsi="Times New Roman" w:cs="Times New Roman"/>
          <w:sz w:val="24"/>
          <w:szCs w:val="24"/>
        </w:rPr>
        <w:footnoteReference w:id="327"/>
      </w:r>
      <w:r w:rsidRPr="00BD2AB4">
        <w:rPr>
          <w:rFonts w:ascii="Times New Roman" w:hAnsi="Times New Roman" w:cs="Times New Roman"/>
          <w:sz w:val="24"/>
          <w:szCs w:val="24"/>
        </w:rPr>
        <w:t xml:space="preserve"> Accordingly, such a combination has been noted as typical for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tombs.</w:t>
      </w:r>
      <w:r w:rsidRPr="00BD2AB4">
        <w:rPr>
          <w:rStyle w:val="Funotenzeichen"/>
          <w:rFonts w:ascii="Times New Roman" w:hAnsi="Times New Roman" w:cs="Times New Roman"/>
          <w:sz w:val="24"/>
          <w:szCs w:val="24"/>
        </w:rPr>
        <w:footnoteReference w:id="328"/>
      </w:r>
      <w:r w:rsidRPr="00BD2AB4">
        <w:rPr>
          <w:rFonts w:ascii="Times New Roman" w:hAnsi="Times New Roman" w:cs="Times New Roman"/>
          <w:sz w:val="24"/>
          <w:szCs w:val="24"/>
        </w:rPr>
        <w:t xml:space="preserve"> Curiously, both types were simply applied separately and did not hybridise into a new type of cornice.</w:t>
      </w:r>
      <w:r w:rsidRPr="00BD2AB4">
        <w:rPr>
          <w:rStyle w:val="Funotenzeichen"/>
          <w:rFonts w:ascii="Times New Roman" w:hAnsi="Times New Roman" w:cs="Times New Roman"/>
          <w:sz w:val="24"/>
          <w:szCs w:val="24"/>
        </w:rPr>
        <w:footnoteReference w:id="329"/>
      </w:r>
    </w:p>
    <w:p w14:paraId="62FE61DC" w14:textId="77777777" w:rsidR="00512826" w:rsidRPr="00BD2AB4" w:rsidRDefault="00512826" w:rsidP="00BD2AB4">
      <w:pPr>
        <w:pStyle w:val="berschrift2"/>
        <w:spacing w:line="480" w:lineRule="auto"/>
        <w:rPr>
          <w:rFonts w:ascii="Times New Roman" w:hAnsi="Times New Roman" w:cs="Times New Roman"/>
          <w:color w:val="auto"/>
          <w:sz w:val="24"/>
          <w:szCs w:val="24"/>
          <w:u w:val="single"/>
        </w:rPr>
      </w:pPr>
      <w:r w:rsidRPr="00BD2AB4">
        <w:rPr>
          <w:rFonts w:ascii="Times New Roman" w:hAnsi="Times New Roman" w:cs="Times New Roman"/>
          <w:color w:val="auto"/>
          <w:sz w:val="24"/>
          <w:szCs w:val="24"/>
          <w:u w:val="single"/>
        </w:rPr>
        <w:lastRenderedPageBreak/>
        <w:t>Figures, objects and beasts</w:t>
      </w:r>
    </w:p>
    <w:p w14:paraId="53FD137B" w14:textId="77777777" w:rsidR="00512826" w:rsidRPr="00BD2AB4" w:rsidRDefault="00512826" w:rsidP="00BD2AB4">
      <w:pPr>
        <w:spacing w:line="480" w:lineRule="auto"/>
        <w:rPr>
          <w:rFonts w:ascii="Times New Roman" w:hAnsi="Times New Roman" w:cs="Times New Roman"/>
          <w:sz w:val="24"/>
          <w:szCs w:val="24"/>
        </w:rPr>
      </w:pPr>
    </w:p>
    <w:p w14:paraId="2EE1385E" w14:textId="0A018931"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Anthropomorphic and zoomorphic imagery was especially employed at the tomb facades in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where they might have fulfilled an apotropaic function, warding off evil, as suggested by </w:t>
      </w:r>
      <w:proofErr w:type="spellStart"/>
      <w:r w:rsidRPr="00BD2AB4">
        <w:rPr>
          <w:rFonts w:ascii="Times New Roman" w:hAnsi="Times New Roman" w:cs="Times New Roman"/>
          <w:sz w:val="24"/>
          <w:szCs w:val="24"/>
        </w:rPr>
        <w:t>Wadeson</w:t>
      </w:r>
      <w:proofErr w:type="spellEnd"/>
      <w:r w:rsidRPr="00BD2AB4">
        <w:rPr>
          <w:rFonts w:ascii="Times New Roman" w:hAnsi="Times New Roman" w:cs="Times New Roman"/>
          <w:sz w:val="24"/>
          <w:szCs w:val="24"/>
        </w:rPr>
        <w:t xml:space="preserve"> 2010.</w:t>
      </w:r>
      <w:r w:rsidRPr="00BD2AB4">
        <w:rPr>
          <w:rStyle w:val="Funotenzeichen"/>
          <w:rFonts w:ascii="Times New Roman" w:hAnsi="Times New Roman" w:cs="Times New Roman"/>
          <w:sz w:val="24"/>
          <w:szCs w:val="24"/>
        </w:rPr>
        <w:footnoteReference w:id="330"/>
      </w:r>
      <w:r w:rsidRPr="00BD2AB4">
        <w:rPr>
          <w:rFonts w:ascii="Times New Roman" w:hAnsi="Times New Roman" w:cs="Times New Roman"/>
          <w:sz w:val="24"/>
          <w:szCs w:val="24"/>
        </w:rPr>
        <w:t xml:space="preserve"> Such depictions included: Sphinxes, Griffins, snakes and eagles, especially employed on single and double pylon tombs.</w:t>
      </w:r>
      <w:r w:rsidRPr="00BD2AB4">
        <w:rPr>
          <w:rStyle w:val="Funotenzeichen"/>
          <w:rFonts w:ascii="Times New Roman" w:hAnsi="Times New Roman" w:cs="Times New Roman"/>
          <w:sz w:val="24"/>
          <w:szCs w:val="24"/>
        </w:rPr>
        <w:footnoteReference w:id="331"/>
      </w:r>
    </w:p>
    <w:p w14:paraId="02105503" w14:textId="5BE78C39"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Additionally, griffins have also been depicted in the freeze, topping the lower column rows on the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with parallels found in domestic wall paintings and depictions at Pompeii and Herculaneum.</w:t>
      </w:r>
      <w:r w:rsidRPr="00BD2AB4">
        <w:rPr>
          <w:rStyle w:val="Funotenzeichen"/>
          <w:rFonts w:ascii="Times New Roman" w:hAnsi="Times New Roman" w:cs="Times New Roman"/>
          <w:sz w:val="24"/>
          <w:szCs w:val="24"/>
        </w:rPr>
        <w:footnoteReference w:id="332"/>
      </w:r>
    </w:p>
    <w:p w14:paraId="20215C8B" w14:textId="19EC8AA4"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However, the most important animal motif, present most frequently on the facades in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is the eagle.</w:t>
      </w:r>
      <w:r w:rsidRPr="00BD2AB4">
        <w:rPr>
          <w:rStyle w:val="Funotenzeichen"/>
          <w:rFonts w:ascii="Times New Roman" w:hAnsi="Times New Roman" w:cs="Times New Roman"/>
          <w:sz w:val="24"/>
          <w:szCs w:val="24"/>
        </w:rPr>
        <w:t xml:space="preserve"> </w:t>
      </w:r>
      <w:r w:rsidRPr="00BD2AB4">
        <w:rPr>
          <w:rStyle w:val="Funotenzeichen"/>
          <w:rFonts w:ascii="Times New Roman" w:hAnsi="Times New Roman" w:cs="Times New Roman"/>
          <w:sz w:val="24"/>
          <w:szCs w:val="24"/>
        </w:rPr>
        <w:footnoteReference w:id="333"/>
      </w:r>
      <w:r w:rsidRPr="00BD2AB4">
        <w:rPr>
          <w:rFonts w:ascii="Times New Roman" w:hAnsi="Times New Roman" w:cs="Times New Roman"/>
          <w:sz w:val="24"/>
          <w:szCs w:val="24"/>
        </w:rPr>
        <w:t xml:space="preserve"> </w:t>
      </w:r>
    </w:p>
    <w:p w14:paraId="0878F9EA" w14:textId="1896B042"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eagle was commonly placed above doorways, though rarely seen at Petra.</w:t>
      </w:r>
      <w:r w:rsidRPr="00BD2AB4">
        <w:rPr>
          <w:rStyle w:val="Funotenzeichen"/>
          <w:rFonts w:ascii="Times New Roman" w:hAnsi="Times New Roman" w:cs="Times New Roman"/>
          <w:sz w:val="24"/>
          <w:szCs w:val="24"/>
        </w:rPr>
        <w:footnoteReference w:id="334"/>
      </w:r>
      <w:r w:rsidRPr="00BD2AB4">
        <w:rPr>
          <w:rFonts w:ascii="Times New Roman" w:hAnsi="Times New Roman" w:cs="Times New Roman"/>
          <w:sz w:val="24"/>
          <w:szCs w:val="24"/>
        </w:rPr>
        <w:t xml:space="preserve"> In contrast,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around</w:t>
      </w:r>
      <w:r w:rsidR="00686920" w:rsidRPr="00BD2AB4">
        <w:rPr>
          <w:rFonts w:ascii="Times New Roman" w:hAnsi="Times New Roman" w:cs="Times New Roman"/>
          <w:sz w:val="24"/>
          <w:szCs w:val="24"/>
        </w:rPr>
        <w:t xml:space="preserve"> 28</w:t>
      </w:r>
      <w:r w:rsidRPr="00BD2AB4">
        <w:rPr>
          <w:rFonts w:ascii="Times New Roman" w:hAnsi="Times New Roman" w:cs="Times New Roman"/>
          <w:sz w:val="24"/>
          <w:szCs w:val="24"/>
        </w:rPr>
        <w:t xml:space="preserve"> eagle motifs have been counted in total.</w:t>
      </w:r>
      <w:r w:rsidRPr="00BD2AB4">
        <w:rPr>
          <w:rStyle w:val="Funotenzeichen"/>
          <w:rFonts w:ascii="Times New Roman" w:hAnsi="Times New Roman" w:cs="Times New Roman"/>
          <w:sz w:val="24"/>
          <w:szCs w:val="24"/>
        </w:rPr>
        <w:t xml:space="preserve"> </w:t>
      </w:r>
      <w:r w:rsidRPr="00BD2AB4">
        <w:rPr>
          <w:rStyle w:val="Funotenzeichen"/>
          <w:rFonts w:ascii="Times New Roman" w:hAnsi="Times New Roman" w:cs="Times New Roman"/>
          <w:sz w:val="24"/>
          <w:szCs w:val="24"/>
        </w:rPr>
        <w:footnoteReference w:id="335"/>
      </w:r>
      <w:r w:rsidRPr="00BD2AB4">
        <w:rPr>
          <w:rFonts w:ascii="Times New Roman" w:hAnsi="Times New Roman" w:cs="Times New Roman"/>
          <w:sz w:val="24"/>
          <w:szCs w:val="24"/>
        </w:rPr>
        <w:t xml:space="preserve"> More so than any other motif, the eagle was associated with royalty in  Achaemenid Persepolis, and is consequentially frequently found the</w:t>
      </w:r>
      <w:r w:rsidR="007D5008" w:rsidRPr="00BD2AB4">
        <w:rPr>
          <w:rFonts w:ascii="Times New Roman" w:hAnsi="Times New Roman" w:cs="Times New Roman"/>
          <w:sz w:val="24"/>
          <w:szCs w:val="24"/>
        </w:rPr>
        <w:t>re in architecture</w:t>
      </w:r>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36"/>
      </w:r>
      <w:r w:rsidRPr="00BD2AB4">
        <w:rPr>
          <w:rFonts w:ascii="Times New Roman" w:hAnsi="Times New Roman" w:cs="Times New Roman"/>
          <w:sz w:val="24"/>
          <w:szCs w:val="24"/>
        </w:rPr>
        <w:t xml:space="preserve"> Allegedly, the Achaemenid standard represented a golden eagle, while the Palace facades of the council Hall at Persepolis</w:t>
      </w:r>
      <w:r w:rsidR="007D5008" w:rsidRPr="00BD2AB4">
        <w:rPr>
          <w:rFonts w:ascii="Times New Roman" w:hAnsi="Times New Roman" w:cs="Times New Roman"/>
          <w:sz w:val="24"/>
          <w:szCs w:val="24"/>
        </w:rPr>
        <w:t xml:space="preserve"> also featured the eagle motif</w:t>
      </w:r>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37"/>
      </w:r>
      <w:r w:rsidRPr="00BD2AB4">
        <w:rPr>
          <w:rFonts w:ascii="Times New Roman" w:hAnsi="Times New Roman" w:cs="Times New Roman"/>
          <w:sz w:val="24"/>
          <w:szCs w:val="24"/>
        </w:rPr>
        <w:t xml:space="preserve"> The Romans famously depicted the eagle, as representing Jupiter, in association with the Imperial cult, even found on the cuirass of Augustus.</w:t>
      </w:r>
      <w:r w:rsidRPr="00BD2AB4">
        <w:rPr>
          <w:rStyle w:val="Funotenzeichen"/>
          <w:rFonts w:ascii="Times New Roman" w:hAnsi="Times New Roman" w:cs="Times New Roman"/>
          <w:sz w:val="24"/>
          <w:szCs w:val="24"/>
        </w:rPr>
        <w:footnoteReference w:id="338"/>
      </w:r>
      <w:r w:rsidRPr="00BD2AB4">
        <w:rPr>
          <w:rFonts w:ascii="Times New Roman" w:hAnsi="Times New Roman" w:cs="Times New Roman"/>
          <w:sz w:val="24"/>
          <w:szCs w:val="24"/>
        </w:rPr>
        <w:t xml:space="preserve"> </w:t>
      </w:r>
      <w:r w:rsidR="007D5008" w:rsidRPr="00BD2AB4">
        <w:rPr>
          <w:rFonts w:ascii="Times New Roman" w:hAnsi="Times New Roman" w:cs="Times New Roman"/>
          <w:sz w:val="24"/>
          <w:szCs w:val="24"/>
        </w:rPr>
        <w:t xml:space="preserve">In a Nabataean context, it </w:t>
      </w:r>
      <w:r w:rsidRPr="00BD2AB4">
        <w:rPr>
          <w:rFonts w:ascii="Times New Roman" w:hAnsi="Times New Roman" w:cs="Times New Roman"/>
          <w:sz w:val="24"/>
          <w:szCs w:val="24"/>
        </w:rPr>
        <w:t xml:space="preserve">has been </w:t>
      </w:r>
      <w:r w:rsidR="007D5008" w:rsidRPr="00BD2AB4">
        <w:rPr>
          <w:rFonts w:ascii="Times New Roman" w:hAnsi="Times New Roman" w:cs="Times New Roman"/>
          <w:sz w:val="24"/>
          <w:szCs w:val="24"/>
        </w:rPr>
        <w:t xml:space="preserve">suggested too, to have had a connotation with </w:t>
      </w:r>
      <w:proofErr w:type="spellStart"/>
      <w:r w:rsidR="007D5008" w:rsidRPr="00BD2AB4">
        <w:rPr>
          <w:rFonts w:ascii="Times New Roman" w:hAnsi="Times New Roman" w:cs="Times New Roman"/>
          <w:sz w:val="24"/>
          <w:szCs w:val="24"/>
        </w:rPr>
        <w:t>Dushara</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39"/>
      </w:r>
      <w:r w:rsidRPr="00BD2AB4">
        <w:rPr>
          <w:rFonts w:ascii="Times New Roman" w:hAnsi="Times New Roman" w:cs="Times New Roman"/>
          <w:sz w:val="24"/>
          <w:szCs w:val="24"/>
        </w:rPr>
        <w:t xml:space="preserve">  </w:t>
      </w:r>
    </w:p>
    <w:p w14:paraId="113C2A18" w14:textId="4F1400C9"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Human figures only appear on Patras` tomb facades</w:t>
      </w:r>
      <w:r w:rsidR="00686920" w:rsidRPr="00BD2AB4">
        <w:rPr>
          <w:rFonts w:ascii="Times New Roman" w:hAnsi="Times New Roman" w:cs="Times New Roman"/>
          <w:sz w:val="24"/>
          <w:szCs w:val="24"/>
        </w:rPr>
        <w:t xml:space="preserve">, </w:t>
      </w:r>
      <w:r w:rsidRPr="00BD2AB4">
        <w:rPr>
          <w:rFonts w:ascii="Times New Roman" w:hAnsi="Times New Roman" w:cs="Times New Roman"/>
          <w:sz w:val="24"/>
          <w:szCs w:val="24"/>
        </w:rPr>
        <w:t xml:space="preserve">and are not found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40"/>
      </w:r>
      <w:r w:rsidRPr="00BD2AB4">
        <w:rPr>
          <w:rFonts w:ascii="Times New Roman" w:hAnsi="Times New Roman" w:cs="Times New Roman"/>
          <w:sz w:val="24"/>
          <w:szCs w:val="24"/>
        </w:rPr>
        <w:t xml:space="preserve"> Usually, only the face is depicted.</w:t>
      </w:r>
      <w:r w:rsidRPr="00BD2AB4">
        <w:rPr>
          <w:rStyle w:val="Funotenzeichen"/>
          <w:rFonts w:ascii="Times New Roman" w:hAnsi="Times New Roman" w:cs="Times New Roman"/>
          <w:sz w:val="24"/>
          <w:szCs w:val="24"/>
        </w:rPr>
        <w:footnoteReference w:id="341"/>
      </w:r>
      <w:r w:rsidRPr="00BD2AB4">
        <w:rPr>
          <w:rFonts w:ascii="Times New Roman" w:hAnsi="Times New Roman" w:cs="Times New Roman"/>
          <w:sz w:val="24"/>
          <w:szCs w:val="24"/>
        </w:rPr>
        <w:t xml:space="preserve"> However, reconstructions of the Soldiers tomb at Wadi </w:t>
      </w:r>
      <w:proofErr w:type="spellStart"/>
      <w:r w:rsidRPr="00BD2AB4">
        <w:rPr>
          <w:rFonts w:ascii="Times New Roman" w:hAnsi="Times New Roman" w:cs="Times New Roman"/>
          <w:sz w:val="24"/>
          <w:szCs w:val="24"/>
        </w:rPr>
        <w:t>Farasa</w:t>
      </w:r>
      <w:proofErr w:type="spellEnd"/>
      <w:r w:rsidRPr="00BD2AB4">
        <w:rPr>
          <w:rFonts w:ascii="Times New Roman" w:hAnsi="Times New Roman" w:cs="Times New Roman"/>
          <w:sz w:val="24"/>
          <w:szCs w:val="24"/>
        </w:rPr>
        <w:t xml:space="preserve"> in Petra s</w:t>
      </w:r>
      <w:r w:rsidR="00686920" w:rsidRPr="00BD2AB4">
        <w:rPr>
          <w:rFonts w:ascii="Times New Roman" w:hAnsi="Times New Roman" w:cs="Times New Roman"/>
          <w:sz w:val="24"/>
          <w:szCs w:val="24"/>
        </w:rPr>
        <w:t>hows</w:t>
      </w:r>
      <w:r w:rsidRPr="00BD2AB4">
        <w:rPr>
          <w:rFonts w:ascii="Times New Roman" w:hAnsi="Times New Roman" w:cs="Times New Roman"/>
          <w:sz w:val="24"/>
          <w:szCs w:val="24"/>
        </w:rPr>
        <w:t xml:space="preserve"> the depiction of complete human figures, possibly traced back to its creation during the Roman period during the first century A.D.</w:t>
      </w:r>
      <w:r w:rsidRPr="00BD2AB4">
        <w:rPr>
          <w:rStyle w:val="Funotenzeichen"/>
          <w:rFonts w:ascii="Times New Roman" w:hAnsi="Times New Roman" w:cs="Times New Roman"/>
          <w:sz w:val="24"/>
          <w:szCs w:val="24"/>
        </w:rPr>
        <w:footnoteReference w:id="342"/>
      </w:r>
      <w:r w:rsidRPr="00BD2AB4">
        <w:rPr>
          <w:rFonts w:ascii="Times New Roman" w:hAnsi="Times New Roman" w:cs="Times New Roman"/>
          <w:sz w:val="24"/>
          <w:szCs w:val="24"/>
        </w:rPr>
        <w:t xml:space="preserve"> </w:t>
      </w:r>
    </w:p>
    <w:p w14:paraId="4C279A2F" w14:textId="2CB0EE45"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Some </w:t>
      </w:r>
      <w:r w:rsidR="00686920" w:rsidRPr="00BD2AB4">
        <w:rPr>
          <w:rFonts w:ascii="Times New Roman" w:hAnsi="Times New Roman" w:cs="Times New Roman"/>
          <w:sz w:val="24"/>
          <w:szCs w:val="24"/>
        </w:rPr>
        <w:t xml:space="preserve">anthropomorphic figures have </w:t>
      </w:r>
      <w:r w:rsidRPr="00BD2AB4">
        <w:rPr>
          <w:rFonts w:ascii="Times New Roman" w:hAnsi="Times New Roman" w:cs="Times New Roman"/>
          <w:sz w:val="24"/>
          <w:szCs w:val="24"/>
        </w:rPr>
        <w:t xml:space="preserve">been traced back to Greek myth, such as the face of Humbaba and Medusa at </w:t>
      </w:r>
      <w:proofErr w:type="spellStart"/>
      <w:r w:rsidRPr="00BD2AB4">
        <w:rPr>
          <w:rFonts w:ascii="Times New Roman" w:hAnsi="Times New Roman" w:cs="Times New Roman"/>
          <w:sz w:val="24"/>
          <w:szCs w:val="24"/>
        </w:rPr>
        <w:t>Meda</w:t>
      </w:r>
      <w:r w:rsidR="00686920" w:rsidRPr="00BD2AB4">
        <w:rPr>
          <w:rFonts w:ascii="Times New Roman" w:hAnsi="Times New Roman" w:cs="Times New Roman"/>
          <w:sz w:val="24"/>
          <w:szCs w:val="24"/>
        </w:rPr>
        <w:t>`</w:t>
      </w:r>
      <w:r w:rsidRPr="00BD2AB4">
        <w:rPr>
          <w:rFonts w:ascii="Times New Roman" w:hAnsi="Times New Roman" w:cs="Times New Roman"/>
          <w:sz w:val="24"/>
          <w:szCs w:val="24"/>
        </w:rPr>
        <w:t>in</w:t>
      </w:r>
      <w:proofErr w:type="spellEnd"/>
      <w:r w:rsidRPr="00BD2AB4">
        <w:rPr>
          <w:rFonts w:ascii="Times New Roman" w:hAnsi="Times New Roman" w:cs="Times New Roman"/>
          <w:sz w:val="24"/>
          <w:szCs w:val="24"/>
        </w:rPr>
        <w:t xml:space="preserve"> Saleh.</w:t>
      </w:r>
      <w:r w:rsidRPr="00BD2AB4">
        <w:rPr>
          <w:rStyle w:val="Funotenzeichen"/>
          <w:rFonts w:ascii="Times New Roman" w:hAnsi="Times New Roman" w:cs="Times New Roman"/>
          <w:sz w:val="24"/>
          <w:szCs w:val="24"/>
        </w:rPr>
        <w:footnoteReference w:id="343"/>
      </w:r>
    </w:p>
    <w:p w14:paraId="2652D125" w14:textId="7A47C066"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Royal tombs such as the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the Corinthian tomb and generally the complex classical type, are most likely to feature anthropomorphic representations.</w:t>
      </w:r>
      <w:r w:rsidRPr="00BD2AB4">
        <w:rPr>
          <w:rStyle w:val="Funotenzeichen"/>
          <w:rFonts w:ascii="Times New Roman" w:hAnsi="Times New Roman" w:cs="Times New Roman"/>
          <w:sz w:val="24"/>
          <w:szCs w:val="24"/>
        </w:rPr>
        <w:footnoteReference w:id="344"/>
      </w:r>
      <w:r w:rsidRPr="00BD2AB4">
        <w:rPr>
          <w:rFonts w:ascii="Times New Roman" w:hAnsi="Times New Roman" w:cs="Times New Roman"/>
          <w:sz w:val="24"/>
          <w:szCs w:val="24"/>
        </w:rPr>
        <w:t xml:space="preserve"> In the case of the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the Greek myth of the Dioscuri has been detected in the lower segment, while the top segments depict</w:t>
      </w:r>
      <w:r w:rsidR="00686920" w:rsidRPr="00BD2AB4">
        <w:rPr>
          <w:rFonts w:ascii="Times New Roman" w:hAnsi="Times New Roman" w:cs="Times New Roman"/>
          <w:sz w:val="24"/>
          <w:szCs w:val="24"/>
        </w:rPr>
        <w:t>s</w:t>
      </w:r>
      <w:r w:rsidRPr="00BD2AB4">
        <w:rPr>
          <w:rFonts w:ascii="Times New Roman" w:hAnsi="Times New Roman" w:cs="Times New Roman"/>
          <w:sz w:val="24"/>
          <w:szCs w:val="24"/>
        </w:rPr>
        <w:t xml:space="preserve"> “dancing Amazons”.</w:t>
      </w:r>
      <w:r w:rsidRPr="00BD2AB4">
        <w:rPr>
          <w:rStyle w:val="Funotenzeichen"/>
          <w:rFonts w:ascii="Times New Roman" w:hAnsi="Times New Roman" w:cs="Times New Roman"/>
          <w:sz w:val="24"/>
          <w:szCs w:val="24"/>
        </w:rPr>
        <w:footnoteReference w:id="345"/>
      </w:r>
      <w:r w:rsidRPr="00BD2AB4">
        <w:rPr>
          <w:rFonts w:ascii="Times New Roman" w:hAnsi="Times New Roman" w:cs="Times New Roman"/>
          <w:sz w:val="24"/>
          <w:szCs w:val="24"/>
        </w:rPr>
        <w:t xml:space="preserve">  The centre piece, framed by the tholos, has been identified by Lindner 1970 as Isis-Tyche.</w:t>
      </w:r>
      <w:r w:rsidRPr="00BD2AB4">
        <w:rPr>
          <w:rStyle w:val="Funotenzeichen"/>
          <w:rFonts w:ascii="Times New Roman" w:hAnsi="Times New Roman" w:cs="Times New Roman"/>
          <w:sz w:val="24"/>
          <w:szCs w:val="24"/>
        </w:rPr>
        <w:footnoteReference w:id="346"/>
      </w:r>
      <w:r w:rsidRPr="00BD2AB4">
        <w:rPr>
          <w:rFonts w:ascii="Times New Roman" w:hAnsi="Times New Roman" w:cs="Times New Roman"/>
          <w:sz w:val="24"/>
          <w:szCs w:val="24"/>
        </w:rPr>
        <w:t xml:space="preserve"> Those overall three female figures, supposedly compare to the three graves inside the main chamber.</w:t>
      </w:r>
      <w:r w:rsidRPr="00BD2AB4">
        <w:rPr>
          <w:rStyle w:val="Funotenzeichen"/>
          <w:rFonts w:ascii="Times New Roman" w:hAnsi="Times New Roman" w:cs="Times New Roman"/>
          <w:sz w:val="24"/>
          <w:szCs w:val="24"/>
        </w:rPr>
        <w:footnoteReference w:id="347"/>
      </w:r>
      <w:r w:rsidRPr="00BD2AB4">
        <w:rPr>
          <w:rFonts w:ascii="Times New Roman" w:hAnsi="Times New Roman" w:cs="Times New Roman"/>
          <w:sz w:val="24"/>
          <w:szCs w:val="24"/>
        </w:rPr>
        <w:t xml:space="preserve"> </w:t>
      </w:r>
      <w:r w:rsidR="00686920" w:rsidRPr="00BD2AB4">
        <w:rPr>
          <w:rFonts w:ascii="Times New Roman" w:hAnsi="Times New Roman" w:cs="Times New Roman"/>
          <w:sz w:val="24"/>
          <w:szCs w:val="24"/>
        </w:rPr>
        <w:t xml:space="preserve">Two </w:t>
      </w:r>
      <w:r w:rsidRPr="00BD2AB4">
        <w:rPr>
          <w:rFonts w:ascii="Times New Roman" w:hAnsi="Times New Roman" w:cs="Times New Roman"/>
          <w:sz w:val="24"/>
          <w:szCs w:val="24"/>
        </w:rPr>
        <w:t>additional</w:t>
      </w:r>
      <w:r w:rsidR="00686920" w:rsidRPr="00BD2AB4">
        <w:rPr>
          <w:rFonts w:ascii="Times New Roman" w:hAnsi="Times New Roman" w:cs="Times New Roman"/>
          <w:sz w:val="24"/>
          <w:szCs w:val="24"/>
        </w:rPr>
        <w:t xml:space="preserve"> </w:t>
      </w:r>
      <w:r w:rsidRPr="00BD2AB4">
        <w:rPr>
          <w:rFonts w:ascii="Times New Roman" w:hAnsi="Times New Roman" w:cs="Times New Roman"/>
          <w:sz w:val="24"/>
          <w:szCs w:val="24"/>
        </w:rPr>
        <w:t>female figures, interpreted each as the goddess Nike, decorate the upper segment.</w:t>
      </w:r>
      <w:r w:rsidRPr="00BD2AB4">
        <w:rPr>
          <w:rStyle w:val="Funotenzeichen"/>
          <w:rFonts w:ascii="Times New Roman" w:hAnsi="Times New Roman" w:cs="Times New Roman"/>
          <w:sz w:val="24"/>
          <w:szCs w:val="24"/>
        </w:rPr>
        <w:footnoteReference w:id="348"/>
      </w:r>
    </w:p>
    <w:p w14:paraId="522E4AA3" w14:textId="358DDB6D"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Although</w:t>
      </w:r>
      <w:r w:rsidR="00686920" w:rsidRPr="00BD2AB4">
        <w:rPr>
          <w:rFonts w:ascii="Times New Roman" w:hAnsi="Times New Roman" w:cs="Times New Roman"/>
          <w:sz w:val="24"/>
          <w:szCs w:val="24"/>
        </w:rPr>
        <w:t>, often</w:t>
      </w:r>
      <w:r w:rsidRPr="00BD2AB4">
        <w:rPr>
          <w:rFonts w:ascii="Times New Roman" w:hAnsi="Times New Roman" w:cs="Times New Roman"/>
          <w:sz w:val="24"/>
          <w:szCs w:val="24"/>
        </w:rPr>
        <w:t xml:space="preserve"> compared to art at Pompeii, it has been thus far concluded that </w:t>
      </w:r>
      <w:r w:rsidR="00686920" w:rsidRPr="00BD2AB4">
        <w:rPr>
          <w:rFonts w:ascii="Times New Roman" w:hAnsi="Times New Roman" w:cs="Times New Roman"/>
          <w:sz w:val="24"/>
          <w:szCs w:val="24"/>
        </w:rPr>
        <w:t xml:space="preserve">it was rather both </w:t>
      </w:r>
      <w:r w:rsidRPr="00BD2AB4">
        <w:rPr>
          <w:rFonts w:ascii="Times New Roman" w:hAnsi="Times New Roman" w:cs="Times New Roman"/>
          <w:sz w:val="24"/>
          <w:szCs w:val="24"/>
        </w:rPr>
        <w:t>Petra and Pompeii</w:t>
      </w:r>
      <w:r w:rsidR="00686920" w:rsidRPr="00BD2AB4">
        <w:rPr>
          <w:rFonts w:ascii="Times New Roman" w:hAnsi="Times New Roman" w:cs="Times New Roman"/>
          <w:sz w:val="24"/>
          <w:szCs w:val="24"/>
        </w:rPr>
        <w:t xml:space="preserve">, that </w:t>
      </w:r>
      <w:r w:rsidRPr="00BD2AB4">
        <w:rPr>
          <w:rFonts w:ascii="Times New Roman" w:hAnsi="Times New Roman" w:cs="Times New Roman"/>
          <w:sz w:val="24"/>
          <w:szCs w:val="24"/>
        </w:rPr>
        <w:t>were influenced by Alexandrian architecture and art</w:t>
      </w:r>
      <w:r w:rsidR="00686920" w:rsidRPr="00BD2AB4">
        <w:rPr>
          <w:rFonts w:ascii="Times New Roman" w:hAnsi="Times New Roman" w:cs="Times New Roman"/>
          <w:sz w:val="24"/>
          <w:szCs w:val="24"/>
        </w:rPr>
        <w:t xml:space="preserve"> simultaneously, </w:t>
      </w:r>
      <w:r w:rsidRPr="00BD2AB4">
        <w:rPr>
          <w:rStyle w:val="Funotenzeichen"/>
          <w:rFonts w:ascii="Times New Roman" w:hAnsi="Times New Roman" w:cs="Times New Roman"/>
          <w:sz w:val="24"/>
          <w:szCs w:val="24"/>
        </w:rPr>
        <w:footnoteReference w:id="349"/>
      </w:r>
      <w:r w:rsidRPr="00BD2AB4">
        <w:rPr>
          <w:rFonts w:ascii="Times New Roman" w:hAnsi="Times New Roman" w:cs="Times New Roman"/>
          <w:sz w:val="24"/>
          <w:szCs w:val="24"/>
        </w:rPr>
        <w:t xml:space="preserve"> </w:t>
      </w:r>
      <w:r w:rsidR="00686920" w:rsidRPr="00BD2AB4">
        <w:rPr>
          <w:rFonts w:ascii="Times New Roman" w:hAnsi="Times New Roman" w:cs="Times New Roman"/>
          <w:sz w:val="24"/>
          <w:szCs w:val="24"/>
        </w:rPr>
        <w:t>which would support the Artisan exodus theory around 31 A.D.</w:t>
      </w:r>
      <w:r w:rsidR="00686920" w:rsidRPr="00BD2AB4">
        <w:rPr>
          <w:rStyle w:val="Funotenzeichen"/>
          <w:rFonts w:ascii="Times New Roman" w:hAnsi="Times New Roman" w:cs="Times New Roman"/>
          <w:sz w:val="24"/>
          <w:szCs w:val="24"/>
        </w:rPr>
        <w:footnoteReference w:id="350"/>
      </w:r>
      <w:r w:rsidR="00686920" w:rsidRPr="00BD2AB4">
        <w:rPr>
          <w:rFonts w:ascii="Times New Roman" w:hAnsi="Times New Roman" w:cs="Times New Roman"/>
          <w:sz w:val="24"/>
          <w:szCs w:val="24"/>
        </w:rPr>
        <w:t xml:space="preserve"> </w:t>
      </w:r>
      <w:r w:rsidRPr="00BD2AB4">
        <w:rPr>
          <w:rFonts w:ascii="Times New Roman" w:hAnsi="Times New Roman" w:cs="Times New Roman"/>
          <w:sz w:val="24"/>
          <w:szCs w:val="24"/>
        </w:rPr>
        <w:t>Unfortunately there is not much</w:t>
      </w:r>
      <w:r w:rsidR="00686920" w:rsidRPr="00BD2AB4">
        <w:rPr>
          <w:rFonts w:ascii="Times New Roman" w:hAnsi="Times New Roman" w:cs="Times New Roman"/>
          <w:sz w:val="24"/>
          <w:szCs w:val="24"/>
        </w:rPr>
        <w:t xml:space="preserve"> architecture</w:t>
      </w:r>
      <w:r w:rsidRPr="00BD2AB4">
        <w:rPr>
          <w:rFonts w:ascii="Times New Roman" w:hAnsi="Times New Roman" w:cs="Times New Roman"/>
          <w:sz w:val="24"/>
          <w:szCs w:val="24"/>
        </w:rPr>
        <w:t xml:space="preserve"> left in modern Alexandria to compare it </w:t>
      </w:r>
      <w:r w:rsidR="00686920" w:rsidRPr="00BD2AB4">
        <w:rPr>
          <w:rFonts w:ascii="Times New Roman" w:hAnsi="Times New Roman" w:cs="Times New Roman"/>
          <w:sz w:val="24"/>
          <w:szCs w:val="24"/>
        </w:rPr>
        <w:t>with</w:t>
      </w:r>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51"/>
      </w:r>
      <w:r w:rsidRPr="00BD2AB4">
        <w:rPr>
          <w:rFonts w:ascii="Times New Roman" w:hAnsi="Times New Roman" w:cs="Times New Roman"/>
          <w:sz w:val="24"/>
          <w:szCs w:val="24"/>
        </w:rPr>
        <w:t xml:space="preserve"> </w:t>
      </w:r>
    </w:p>
    <w:p w14:paraId="6A9C1E8E" w14:textId="13414C9D" w:rsidR="00512826" w:rsidRPr="00BD2AB4" w:rsidRDefault="00686920"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lastRenderedPageBreak/>
        <w:t xml:space="preserve">Another feature is the urn motif, commonly carved above doorways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w:t>
      </w:r>
      <w:r w:rsidR="00512826" w:rsidRPr="00BD2AB4">
        <w:rPr>
          <w:rFonts w:ascii="Times New Roman" w:hAnsi="Times New Roman" w:cs="Times New Roman"/>
          <w:sz w:val="24"/>
          <w:szCs w:val="24"/>
        </w:rPr>
        <w:t>while at Petra this was not always the case.</w:t>
      </w:r>
      <w:r w:rsidR="00512826" w:rsidRPr="00BD2AB4">
        <w:rPr>
          <w:rStyle w:val="Funotenzeichen"/>
          <w:rFonts w:ascii="Times New Roman" w:hAnsi="Times New Roman" w:cs="Times New Roman"/>
          <w:sz w:val="24"/>
          <w:szCs w:val="24"/>
        </w:rPr>
        <w:footnoteReference w:id="352"/>
      </w:r>
      <w:r w:rsidR="00512826" w:rsidRPr="00BD2AB4">
        <w:rPr>
          <w:rFonts w:ascii="Times New Roman" w:hAnsi="Times New Roman" w:cs="Times New Roman"/>
          <w:sz w:val="24"/>
          <w:szCs w:val="24"/>
        </w:rPr>
        <w:t xml:space="preserve"> The urn, displayed on top of the </w:t>
      </w:r>
      <w:proofErr w:type="spellStart"/>
      <w:r w:rsidR="00512826" w:rsidRPr="00BD2AB4">
        <w:rPr>
          <w:rFonts w:ascii="Times New Roman" w:hAnsi="Times New Roman" w:cs="Times New Roman"/>
          <w:sz w:val="24"/>
          <w:szCs w:val="24"/>
        </w:rPr>
        <w:t>Khazne</w:t>
      </w:r>
      <w:proofErr w:type="spellEnd"/>
      <w:r w:rsidR="00071721" w:rsidRPr="00BD2AB4">
        <w:rPr>
          <w:rFonts w:ascii="Times New Roman" w:hAnsi="Times New Roman" w:cs="Times New Roman"/>
          <w:sz w:val="24"/>
          <w:szCs w:val="24"/>
        </w:rPr>
        <w:t xml:space="preserve"> is</w:t>
      </w:r>
      <w:r w:rsidR="00512826" w:rsidRPr="00BD2AB4">
        <w:rPr>
          <w:rFonts w:ascii="Times New Roman" w:hAnsi="Times New Roman" w:cs="Times New Roman"/>
          <w:sz w:val="24"/>
          <w:szCs w:val="24"/>
        </w:rPr>
        <w:t xml:space="preserve"> still recognizab</w:t>
      </w:r>
      <w:r w:rsidR="00071721" w:rsidRPr="00BD2AB4">
        <w:rPr>
          <w:rFonts w:ascii="Times New Roman" w:hAnsi="Times New Roman" w:cs="Times New Roman"/>
          <w:sz w:val="24"/>
          <w:szCs w:val="24"/>
        </w:rPr>
        <w:t xml:space="preserve">le, and has found connotations with urn motifs </w:t>
      </w:r>
      <w:r w:rsidR="00512826" w:rsidRPr="00BD2AB4">
        <w:rPr>
          <w:rFonts w:ascii="Times New Roman" w:hAnsi="Times New Roman" w:cs="Times New Roman"/>
          <w:sz w:val="24"/>
          <w:szCs w:val="24"/>
        </w:rPr>
        <w:t>depicted at Pompeii.</w:t>
      </w:r>
      <w:r w:rsidR="00512826" w:rsidRPr="00BD2AB4">
        <w:rPr>
          <w:rStyle w:val="Funotenzeichen"/>
          <w:rFonts w:ascii="Times New Roman" w:hAnsi="Times New Roman" w:cs="Times New Roman"/>
          <w:sz w:val="24"/>
          <w:szCs w:val="24"/>
        </w:rPr>
        <w:footnoteReference w:id="353"/>
      </w:r>
      <w:r w:rsidR="00512826" w:rsidRPr="00BD2AB4">
        <w:rPr>
          <w:rFonts w:ascii="Times New Roman" w:hAnsi="Times New Roman" w:cs="Times New Roman"/>
          <w:sz w:val="24"/>
          <w:szCs w:val="24"/>
        </w:rPr>
        <w:t xml:space="preserve"> </w:t>
      </w:r>
    </w:p>
    <w:p w14:paraId="419FF797" w14:textId="63FA4626" w:rsidR="00512826" w:rsidRPr="00BD2AB4" w:rsidRDefault="00512826"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symbol of the rosette </w:t>
      </w:r>
      <w:r w:rsidR="00071721" w:rsidRPr="00BD2AB4">
        <w:rPr>
          <w:rFonts w:ascii="Times New Roman" w:hAnsi="Times New Roman" w:cs="Times New Roman"/>
          <w:sz w:val="24"/>
          <w:szCs w:val="24"/>
        </w:rPr>
        <w:t xml:space="preserve">was already utilized by </w:t>
      </w:r>
      <w:r w:rsidRPr="00BD2AB4">
        <w:rPr>
          <w:rFonts w:ascii="Times New Roman" w:hAnsi="Times New Roman" w:cs="Times New Roman"/>
          <w:sz w:val="24"/>
          <w:szCs w:val="24"/>
        </w:rPr>
        <w:t xml:space="preserve">the Assyrians, but can be most spectacularly observed on the façade of tomb VI on Mount </w:t>
      </w:r>
      <w:proofErr w:type="spellStart"/>
      <w:r w:rsidRPr="00BD2AB4">
        <w:rPr>
          <w:rFonts w:ascii="Times New Roman" w:hAnsi="Times New Roman" w:cs="Times New Roman"/>
          <w:sz w:val="24"/>
          <w:szCs w:val="24"/>
        </w:rPr>
        <w:t>Rahmat</w:t>
      </w:r>
      <w:proofErr w:type="spellEnd"/>
      <w:r w:rsidRPr="00BD2AB4">
        <w:rPr>
          <w:rFonts w:ascii="Times New Roman" w:hAnsi="Times New Roman" w:cs="Times New Roman"/>
          <w:sz w:val="24"/>
          <w:szCs w:val="24"/>
        </w:rPr>
        <w:t xml:space="preserve"> at Persepolis, thus illustrating the most frequent use of the symbol by the Achaemenids.</w:t>
      </w:r>
      <w:r w:rsidRPr="00BD2AB4">
        <w:rPr>
          <w:rStyle w:val="Funotenzeichen"/>
          <w:rFonts w:ascii="Times New Roman" w:hAnsi="Times New Roman" w:cs="Times New Roman"/>
          <w:sz w:val="24"/>
          <w:szCs w:val="24"/>
        </w:rPr>
        <w:footnoteReference w:id="354"/>
      </w:r>
      <w:r w:rsidRPr="00BD2AB4">
        <w:rPr>
          <w:rFonts w:ascii="Times New Roman" w:hAnsi="Times New Roman" w:cs="Times New Roman"/>
          <w:sz w:val="24"/>
          <w:szCs w:val="24"/>
        </w:rPr>
        <w:t xml:space="preserve"> The Nabataeans on the other hand, most often carved it onto tombs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55"/>
      </w:r>
      <w:r w:rsidRPr="00BD2AB4">
        <w:rPr>
          <w:rFonts w:ascii="Times New Roman" w:hAnsi="Times New Roman" w:cs="Times New Roman"/>
          <w:sz w:val="24"/>
          <w:szCs w:val="24"/>
        </w:rPr>
        <w:t xml:space="preserve"> It has been suggested that the rosette motif might have been introduced into Nabataea by means of Roman contact, however, it may have well been that the Romans would have previously acquired the symbol from contact with the east.</w:t>
      </w:r>
      <w:r w:rsidRPr="00BD2AB4">
        <w:rPr>
          <w:rStyle w:val="Funotenzeichen"/>
          <w:rFonts w:ascii="Times New Roman" w:hAnsi="Times New Roman" w:cs="Times New Roman"/>
          <w:sz w:val="24"/>
          <w:szCs w:val="24"/>
        </w:rPr>
        <w:footnoteReference w:id="356"/>
      </w:r>
      <w:r w:rsidRPr="00BD2AB4">
        <w:rPr>
          <w:rFonts w:ascii="Times New Roman" w:hAnsi="Times New Roman" w:cs="Times New Roman"/>
          <w:sz w:val="24"/>
          <w:szCs w:val="24"/>
        </w:rPr>
        <w:t xml:space="preserve"> As for the Achaemenids, the rosette may have symbolized a connection to royalty and kingship.</w:t>
      </w:r>
      <w:r w:rsidRPr="00BD2AB4">
        <w:rPr>
          <w:rStyle w:val="Funotenzeichen"/>
          <w:rFonts w:ascii="Times New Roman" w:hAnsi="Times New Roman" w:cs="Times New Roman"/>
          <w:sz w:val="24"/>
          <w:szCs w:val="24"/>
        </w:rPr>
        <w:footnoteReference w:id="357"/>
      </w:r>
    </w:p>
    <w:p w14:paraId="136212AC" w14:textId="201F6C3B" w:rsidR="00000494" w:rsidRPr="00BD2AB4" w:rsidRDefault="00000494" w:rsidP="00BD2AB4">
      <w:pPr>
        <w:spacing w:line="480" w:lineRule="auto"/>
        <w:rPr>
          <w:rFonts w:ascii="Times New Roman" w:hAnsi="Times New Roman" w:cs="Times New Roman"/>
          <w:sz w:val="24"/>
          <w:szCs w:val="24"/>
        </w:rPr>
      </w:pPr>
    </w:p>
    <w:p w14:paraId="7087D704" w14:textId="2650AE83" w:rsidR="00000494" w:rsidRPr="00BD2AB4" w:rsidRDefault="00000494" w:rsidP="00BD2AB4">
      <w:pPr>
        <w:spacing w:line="480" w:lineRule="auto"/>
        <w:rPr>
          <w:rFonts w:ascii="Times New Roman" w:hAnsi="Times New Roman" w:cs="Times New Roman"/>
          <w:sz w:val="24"/>
          <w:szCs w:val="24"/>
        </w:rPr>
      </w:pPr>
    </w:p>
    <w:p w14:paraId="0043AD63" w14:textId="3F5F619E" w:rsidR="00000494" w:rsidRPr="00BD2AB4" w:rsidRDefault="00000494" w:rsidP="00BD2AB4">
      <w:pPr>
        <w:spacing w:line="480" w:lineRule="auto"/>
        <w:rPr>
          <w:rFonts w:ascii="Times New Roman" w:hAnsi="Times New Roman" w:cs="Times New Roman"/>
          <w:sz w:val="24"/>
          <w:szCs w:val="24"/>
        </w:rPr>
      </w:pPr>
    </w:p>
    <w:p w14:paraId="4930BC25" w14:textId="6DAEC62F" w:rsidR="00000494" w:rsidRPr="00BD2AB4" w:rsidRDefault="00000494" w:rsidP="00BD2AB4">
      <w:pPr>
        <w:spacing w:line="480" w:lineRule="auto"/>
        <w:rPr>
          <w:rFonts w:ascii="Times New Roman" w:hAnsi="Times New Roman" w:cs="Times New Roman"/>
          <w:sz w:val="24"/>
          <w:szCs w:val="24"/>
        </w:rPr>
      </w:pPr>
    </w:p>
    <w:p w14:paraId="64F5E4BF" w14:textId="48554DFA" w:rsidR="00000494" w:rsidRPr="00BD2AB4" w:rsidRDefault="00000494" w:rsidP="00BD2AB4">
      <w:pPr>
        <w:spacing w:line="480" w:lineRule="auto"/>
        <w:rPr>
          <w:rFonts w:ascii="Times New Roman" w:hAnsi="Times New Roman" w:cs="Times New Roman"/>
          <w:sz w:val="24"/>
          <w:szCs w:val="24"/>
        </w:rPr>
      </w:pPr>
    </w:p>
    <w:p w14:paraId="0B9D3A74" w14:textId="29D82452" w:rsidR="00000494" w:rsidRPr="00BD2AB4" w:rsidRDefault="00000494" w:rsidP="00BD2AB4">
      <w:pPr>
        <w:spacing w:line="480" w:lineRule="auto"/>
        <w:rPr>
          <w:rFonts w:ascii="Times New Roman" w:hAnsi="Times New Roman" w:cs="Times New Roman"/>
          <w:sz w:val="24"/>
          <w:szCs w:val="24"/>
        </w:rPr>
      </w:pPr>
    </w:p>
    <w:p w14:paraId="63F62FC2" w14:textId="76931ABD" w:rsidR="00000494" w:rsidRPr="00BD2AB4" w:rsidRDefault="00000494" w:rsidP="00BD2AB4">
      <w:pPr>
        <w:spacing w:line="480" w:lineRule="auto"/>
        <w:rPr>
          <w:rFonts w:ascii="Times New Roman" w:hAnsi="Times New Roman" w:cs="Times New Roman"/>
          <w:sz w:val="24"/>
          <w:szCs w:val="24"/>
        </w:rPr>
      </w:pPr>
    </w:p>
    <w:p w14:paraId="0475A8C5" w14:textId="30D83475" w:rsidR="00000494" w:rsidRPr="00BD2AB4" w:rsidRDefault="00000494" w:rsidP="00BD2AB4">
      <w:pPr>
        <w:spacing w:line="480" w:lineRule="auto"/>
        <w:rPr>
          <w:rFonts w:ascii="Times New Roman" w:hAnsi="Times New Roman" w:cs="Times New Roman"/>
          <w:sz w:val="24"/>
          <w:szCs w:val="24"/>
        </w:rPr>
      </w:pPr>
    </w:p>
    <w:p w14:paraId="71612A64" w14:textId="37A43FE1" w:rsidR="00000494" w:rsidRPr="00BD2AB4" w:rsidRDefault="00000494" w:rsidP="00BD2AB4">
      <w:pPr>
        <w:spacing w:line="480" w:lineRule="auto"/>
        <w:rPr>
          <w:rFonts w:ascii="Times New Roman" w:hAnsi="Times New Roman" w:cs="Times New Roman"/>
          <w:sz w:val="24"/>
          <w:szCs w:val="24"/>
        </w:rPr>
      </w:pPr>
    </w:p>
    <w:p w14:paraId="333376D4" w14:textId="58625F8E" w:rsidR="00000494" w:rsidRPr="00BD2AB4" w:rsidRDefault="00000494" w:rsidP="00BD2AB4">
      <w:pPr>
        <w:spacing w:line="480" w:lineRule="auto"/>
        <w:rPr>
          <w:rFonts w:ascii="Times New Roman" w:hAnsi="Times New Roman" w:cs="Times New Roman"/>
          <w:sz w:val="24"/>
          <w:szCs w:val="24"/>
        </w:rPr>
      </w:pPr>
    </w:p>
    <w:p w14:paraId="722F8892" w14:textId="77777777" w:rsidR="00000494" w:rsidRPr="00BD2AB4" w:rsidRDefault="00000494" w:rsidP="00BD2AB4">
      <w:pPr>
        <w:pStyle w:val="berschrift2"/>
        <w:spacing w:line="480" w:lineRule="auto"/>
        <w:rPr>
          <w:rFonts w:ascii="Times New Roman" w:hAnsi="Times New Roman" w:cs="Times New Roman"/>
          <w:color w:val="auto"/>
          <w:sz w:val="24"/>
          <w:szCs w:val="24"/>
          <w:u w:val="single"/>
        </w:rPr>
      </w:pPr>
      <w:r w:rsidRPr="00BD2AB4">
        <w:rPr>
          <w:rFonts w:ascii="Times New Roman" w:hAnsi="Times New Roman" w:cs="Times New Roman"/>
          <w:color w:val="auto"/>
          <w:sz w:val="24"/>
          <w:szCs w:val="24"/>
          <w:u w:val="single"/>
        </w:rPr>
        <w:t>Additional Hellenising features</w:t>
      </w:r>
    </w:p>
    <w:p w14:paraId="24974499" w14:textId="77777777" w:rsidR="00000494" w:rsidRPr="00BD2AB4" w:rsidRDefault="00000494" w:rsidP="00BD2AB4">
      <w:pPr>
        <w:spacing w:line="480" w:lineRule="auto"/>
        <w:rPr>
          <w:rFonts w:ascii="Times New Roman" w:hAnsi="Times New Roman" w:cs="Times New Roman"/>
          <w:sz w:val="24"/>
          <w:szCs w:val="24"/>
        </w:rPr>
      </w:pPr>
    </w:p>
    <w:p w14:paraId="67E70F33" w14:textId="5461A13D" w:rsidR="00000494" w:rsidRPr="00BD2AB4" w:rsidRDefault="00000494" w:rsidP="00BD2AB4">
      <w:pPr>
        <w:spacing w:line="480" w:lineRule="auto"/>
        <w:rPr>
          <w:rFonts w:ascii="Times New Roman" w:hAnsi="Times New Roman" w:cs="Times New Roman"/>
          <w:color w:val="2F5496" w:themeColor="accent1" w:themeShade="BF"/>
          <w:sz w:val="24"/>
          <w:szCs w:val="24"/>
        </w:rPr>
      </w:pPr>
      <w:r w:rsidRPr="00BD2AB4">
        <w:rPr>
          <w:rFonts w:ascii="Times New Roman" w:hAnsi="Times New Roman" w:cs="Times New Roman"/>
          <w:sz w:val="24"/>
          <w:szCs w:val="24"/>
        </w:rPr>
        <w:t xml:space="preserve">Among further architectural features employed on the Nabataean tomb facades, were </w:t>
      </w:r>
      <w:proofErr w:type="spellStart"/>
      <w:r w:rsidRPr="00BD2AB4">
        <w:rPr>
          <w:rFonts w:ascii="Times New Roman" w:hAnsi="Times New Roman" w:cs="Times New Roman"/>
          <w:sz w:val="24"/>
          <w:szCs w:val="24"/>
        </w:rPr>
        <w:t>doric</w:t>
      </w:r>
      <w:proofErr w:type="spellEnd"/>
      <w:r w:rsidRPr="00BD2AB4">
        <w:rPr>
          <w:rFonts w:ascii="Times New Roman" w:hAnsi="Times New Roman" w:cs="Times New Roman"/>
          <w:sz w:val="24"/>
          <w:szCs w:val="24"/>
        </w:rPr>
        <w:t xml:space="preserve"> freezes. </w:t>
      </w:r>
      <w:r w:rsidRPr="00BD2AB4">
        <w:rPr>
          <w:rStyle w:val="Funotenzeichen"/>
          <w:rFonts w:ascii="Times New Roman" w:hAnsi="Times New Roman" w:cs="Times New Roman"/>
          <w:sz w:val="24"/>
          <w:szCs w:val="24"/>
        </w:rPr>
        <w:footnoteReference w:id="358"/>
      </w:r>
      <w:r w:rsidRPr="00BD2AB4">
        <w:rPr>
          <w:rFonts w:ascii="Times New Roman" w:hAnsi="Times New Roman" w:cs="Times New Roman"/>
          <w:sz w:val="24"/>
          <w:szCs w:val="24"/>
        </w:rPr>
        <w:t xml:space="preserve"> An example, depicting weapons and shields, has been discovered on the façade of tomb 649 at </w:t>
      </w:r>
      <w:proofErr w:type="spellStart"/>
      <w:r w:rsidRPr="00BD2AB4">
        <w:rPr>
          <w:rFonts w:ascii="Times New Roman" w:hAnsi="Times New Roman" w:cs="Times New Roman"/>
          <w:sz w:val="24"/>
          <w:szCs w:val="24"/>
        </w:rPr>
        <w:t>En-Nasara</w:t>
      </w:r>
      <w:proofErr w:type="spellEnd"/>
      <w:r w:rsidRPr="00BD2AB4">
        <w:rPr>
          <w:rFonts w:ascii="Times New Roman" w:hAnsi="Times New Roman" w:cs="Times New Roman"/>
          <w:sz w:val="24"/>
          <w:szCs w:val="24"/>
        </w:rPr>
        <w:t>, where it is situated above the entrance.</w:t>
      </w:r>
      <w:r w:rsidRPr="00BD2AB4">
        <w:rPr>
          <w:rStyle w:val="Funotenzeichen"/>
          <w:rFonts w:ascii="Times New Roman" w:hAnsi="Times New Roman" w:cs="Times New Roman"/>
          <w:sz w:val="24"/>
          <w:szCs w:val="24"/>
        </w:rPr>
        <w:footnoteReference w:id="359"/>
      </w:r>
      <w:r w:rsidRPr="00BD2AB4">
        <w:rPr>
          <w:rFonts w:ascii="Times New Roman" w:hAnsi="Times New Roman" w:cs="Times New Roman"/>
          <w:sz w:val="24"/>
          <w:szCs w:val="24"/>
        </w:rPr>
        <w:t xml:space="preserve"> A possible connotation can be seen to the temple of Athena at Pergamon, dating back to the second century B.C., which depicted a balustrade depicting shields and weapons.</w:t>
      </w:r>
      <w:r w:rsidRPr="00BD2AB4">
        <w:rPr>
          <w:rStyle w:val="Funotenzeichen"/>
          <w:rFonts w:ascii="Times New Roman" w:hAnsi="Times New Roman" w:cs="Times New Roman"/>
          <w:sz w:val="24"/>
          <w:szCs w:val="24"/>
        </w:rPr>
        <w:footnoteReference w:id="360"/>
      </w:r>
      <w:r w:rsidRPr="00BD2AB4">
        <w:rPr>
          <w:rFonts w:ascii="Times New Roman" w:hAnsi="Times New Roman" w:cs="Times New Roman"/>
          <w:sz w:val="24"/>
          <w:szCs w:val="24"/>
        </w:rPr>
        <w:t xml:space="preserve"> </w:t>
      </w:r>
    </w:p>
    <w:p w14:paraId="263F1722" w14:textId="6517B6D5" w:rsidR="00000494" w:rsidRPr="00BD2AB4" w:rsidRDefault="00000494" w:rsidP="00BD2AB4">
      <w:pPr>
        <w:spacing w:line="480" w:lineRule="auto"/>
        <w:rPr>
          <w:rFonts w:ascii="Times New Roman" w:hAnsi="Times New Roman" w:cs="Times New Roman"/>
          <w:color w:val="2F5496" w:themeColor="accent1" w:themeShade="BF"/>
          <w:sz w:val="24"/>
          <w:szCs w:val="24"/>
        </w:rPr>
      </w:pPr>
      <w:r w:rsidRPr="00BD2AB4">
        <w:rPr>
          <w:rFonts w:ascii="Times New Roman" w:hAnsi="Times New Roman" w:cs="Times New Roman"/>
          <w:sz w:val="24"/>
          <w:szCs w:val="24"/>
        </w:rPr>
        <w:t xml:space="preserve"> Another feature, possibly implemented and adapted, has been the peristyle house type.</w:t>
      </w:r>
      <w:r w:rsidRPr="00BD2AB4">
        <w:rPr>
          <w:rStyle w:val="Funotenzeichen"/>
          <w:rFonts w:ascii="Times New Roman" w:hAnsi="Times New Roman" w:cs="Times New Roman"/>
          <w:sz w:val="24"/>
          <w:szCs w:val="24"/>
        </w:rPr>
        <w:footnoteReference w:id="361"/>
      </w:r>
      <w:r w:rsidRPr="00BD2AB4">
        <w:rPr>
          <w:rFonts w:ascii="Times New Roman" w:hAnsi="Times New Roman" w:cs="Times New Roman"/>
          <w:sz w:val="24"/>
          <w:szCs w:val="24"/>
        </w:rPr>
        <w:t xml:space="preserve"> As it is understood to date, the tomb complex of the soldiers</w:t>
      </w:r>
      <w:r w:rsidR="00E331A3" w:rsidRPr="00BD2AB4">
        <w:rPr>
          <w:rFonts w:ascii="Times New Roman" w:hAnsi="Times New Roman" w:cs="Times New Roman"/>
          <w:sz w:val="24"/>
          <w:szCs w:val="24"/>
        </w:rPr>
        <w:t>`</w:t>
      </w:r>
      <w:r w:rsidRPr="00BD2AB4">
        <w:rPr>
          <w:rFonts w:ascii="Times New Roman" w:hAnsi="Times New Roman" w:cs="Times New Roman"/>
          <w:sz w:val="24"/>
          <w:szCs w:val="24"/>
        </w:rPr>
        <w:t xml:space="preserve"> tomb might have included a living area, standing out through its adaptive use of a rock-cut version of the peristyle house.</w:t>
      </w:r>
      <w:r w:rsidRPr="00BD2AB4">
        <w:rPr>
          <w:rStyle w:val="Funotenzeichen"/>
          <w:rFonts w:ascii="Times New Roman" w:hAnsi="Times New Roman" w:cs="Times New Roman"/>
          <w:sz w:val="24"/>
          <w:szCs w:val="24"/>
        </w:rPr>
        <w:footnoteReference w:id="362"/>
      </w:r>
      <w:r w:rsidRPr="00BD2AB4">
        <w:rPr>
          <w:rFonts w:ascii="Times New Roman" w:hAnsi="Times New Roman" w:cs="Times New Roman"/>
          <w:sz w:val="24"/>
          <w:szCs w:val="24"/>
        </w:rPr>
        <w:t xml:space="preserve"> </w:t>
      </w:r>
    </w:p>
    <w:p w14:paraId="5D6733A3" w14:textId="49B840F6" w:rsidR="00000494" w:rsidRPr="00BD2AB4" w:rsidRDefault="0000049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Triglyphs were also frequently employed on tomb facades of the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type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 xml:space="preserve">, where they were carved on top of the entrance, </w:t>
      </w:r>
      <w:r w:rsidR="00E331A3" w:rsidRPr="00BD2AB4">
        <w:rPr>
          <w:rFonts w:ascii="Times New Roman" w:hAnsi="Times New Roman" w:cs="Times New Roman"/>
          <w:sz w:val="24"/>
          <w:szCs w:val="24"/>
        </w:rPr>
        <w:t xml:space="preserve">often </w:t>
      </w:r>
      <w:r w:rsidRPr="00BD2AB4">
        <w:rPr>
          <w:rFonts w:ascii="Times New Roman" w:hAnsi="Times New Roman" w:cs="Times New Roman"/>
          <w:sz w:val="24"/>
          <w:szCs w:val="24"/>
        </w:rPr>
        <w:t>topped by</w:t>
      </w:r>
      <w:r w:rsidR="00E331A3" w:rsidRPr="00BD2AB4">
        <w:rPr>
          <w:rFonts w:ascii="Times New Roman" w:hAnsi="Times New Roman" w:cs="Times New Roman"/>
          <w:sz w:val="24"/>
          <w:szCs w:val="24"/>
        </w:rPr>
        <w:t xml:space="preserve"> a</w:t>
      </w:r>
      <w:r w:rsidRPr="00BD2AB4">
        <w:rPr>
          <w:rFonts w:ascii="Times New Roman" w:hAnsi="Times New Roman" w:cs="Times New Roman"/>
          <w:sz w:val="24"/>
          <w:szCs w:val="24"/>
        </w:rPr>
        <w:t xml:space="preserve"> pediment.</w:t>
      </w:r>
      <w:r w:rsidRPr="00BD2AB4">
        <w:rPr>
          <w:rStyle w:val="Funotenzeichen"/>
          <w:rFonts w:ascii="Times New Roman" w:hAnsi="Times New Roman" w:cs="Times New Roman"/>
          <w:sz w:val="24"/>
          <w:szCs w:val="24"/>
        </w:rPr>
        <w:footnoteReference w:id="363"/>
      </w:r>
      <w:r w:rsidRPr="00BD2AB4">
        <w:rPr>
          <w:rFonts w:ascii="Times New Roman" w:hAnsi="Times New Roman" w:cs="Times New Roman"/>
          <w:sz w:val="24"/>
          <w:szCs w:val="24"/>
        </w:rPr>
        <w:t xml:space="preserve"> Such triglyphs are also seen on Roman architecture, such as on the Porta </w:t>
      </w:r>
      <w:proofErr w:type="spellStart"/>
      <w:r w:rsidRPr="00BD2AB4">
        <w:rPr>
          <w:rFonts w:ascii="Times New Roman" w:hAnsi="Times New Roman" w:cs="Times New Roman"/>
          <w:sz w:val="24"/>
          <w:szCs w:val="24"/>
        </w:rPr>
        <w:t>Marzia</w:t>
      </w:r>
      <w:proofErr w:type="spellEnd"/>
      <w:r w:rsidRPr="00BD2AB4">
        <w:rPr>
          <w:rFonts w:ascii="Times New Roman" w:hAnsi="Times New Roman" w:cs="Times New Roman"/>
          <w:sz w:val="24"/>
          <w:szCs w:val="24"/>
        </w:rPr>
        <w:t xml:space="preserve"> in Perugia, dating to the third century B.C.</w:t>
      </w:r>
      <w:r w:rsidRPr="00BD2AB4">
        <w:rPr>
          <w:rStyle w:val="Funotenzeichen"/>
          <w:rFonts w:ascii="Times New Roman" w:hAnsi="Times New Roman" w:cs="Times New Roman"/>
          <w:sz w:val="24"/>
          <w:szCs w:val="24"/>
        </w:rPr>
        <w:footnoteReference w:id="364"/>
      </w:r>
      <w:r w:rsidRPr="00BD2AB4">
        <w:rPr>
          <w:rFonts w:ascii="Times New Roman" w:hAnsi="Times New Roman" w:cs="Times New Roman"/>
          <w:sz w:val="24"/>
          <w:szCs w:val="24"/>
        </w:rPr>
        <w:t xml:space="preserve"> </w:t>
      </w:r>
    </w:p>
    <w:p w14:paraId="5B34EE92" w14:textId="10E7B0AF" w:rsidR="00000494" w:rsidRPr="00BD2AB4" w:rsidRDefault="0000049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Pediments were distinctively often carved on facades at </w:t>
      </w:r>
      <w:proofErr w:type="spellStart"/>
      <w:r w:rsidRPr="00BD2AB4">
        <w:rPr>
          <w:rFonts w:ascii="Times New Roman" w:hAnsi="Times New Roman" w:cs="Times New Roman"/>
          <w:sz w:val="24"/>
          <w:szCs w:val="24"/>
        </w:rPr>
        <w:t>Hegra</w:t>
      </w:r>
      <w:proofErr w:type="spellEnd"/>
      <w:r w:rsidR="00E331A3" w:rsidRPr="00BD2AB4">
        <w:rPr>
          <w:rFonts w:ascii="Times New Roman" w:hAnsi="Times New Roman" w:cs="Times New Roman"/>
          <w:sz w:val="24"/>
          <w:szCs w:val="24"/>
        </w:rPr>
        <w:t>,</w:t>
      </w:r>
      <w:r w:rsidRPr="00BD2AB4">
        <w:rPr>
          <w:rFonts w:ascii="Times New Roman" w:hAnsi="Times New Roman" w:cs="Times New Roman"/>
          <w:sz w:val="24"/>
          <w:szCs w:val="24"/>
        </w:rPr>
        <w:t xml:space="preserve"> of the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type, usually only seen on simple and complex types at Petra.</w:t>
      </w:r>
      <w:r w:rsidRPr="00BD2AB4">
        <w:rPr>
          <w:rStyle w:val="Funotenzeichen"/>
          <w:rFonts w:ascii="Times New Roman" w:hAnsi="Times New Roman" w:cs="Times New Roman"/>
          <w:sz w:val="24"/>
          <w:szCs w:val="24"/>
        </w:rPr>
        <w:footnoteReference w:id="365"/>
      </w:r>
      <w:r w:rsidRPr="00BD2AB4">
        <w:rPr>
          <w:rFonts w:ascii="Times New Roman" w:hAnsi="Times New Roman" w:cs="Times New Roman"/>
          <w:sz w:val="24"/>
          <w:szCs w:val="24"/>
        </w:rPr>
        <w:t xml:space="preserve"> These pediments</w:t>
      </w:r>
      <w:r w:rsidR="00E331A3" w:rsidRPr="00BD2AB4">
        <w:rPr>
          <w:rFonts w:ascii="Times New Roman" w:hAnsi="Times New Roman" w:cs="Times New Roman"/>
          <w:sz w:val="24"/>
          <w:szCs w:val="24"/>
        </w:rPr>
        <w:t xml:space="preserve">, </w:t>
      </w:r>
      <w:r w:rsidRPr="00BD2AB4">
        <w:rPr>
          <w:rFonts w:ascii="Times New Roman" w:hAnsi="Times New Roman" w:cs="Times New Roman"/>
          <w:sz w:val="24"/>
          <w:szCs w:val="24"/>
        </w:rPr>
        <w:t xml:space="preserve"> usually topped the entrance, but could also be creatively utilized in a new fashion, with the example of the famous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xml:space="preserve">, where one pediment is marking the entrance, while a second pediment is seen at the very top </w:t>
      </w:r>
      <w:r w:rsidRPr="00BD2AB4">
        <w:rPr>
          <w:rFonts w:ascii="Times New Roman" w:hAnsi="Times New Roman" w:cs="Times New Roman"/>
          <w:sz w:val="24"/>
          <w:szCs w:val="24"/>
        </w:rPr>
        <w:lastRenderedPageBreak/>
        <w:t>of the monument,  parted into two segments.</w:t>
      </w:r>
      <w:r w:rsidRPr="00BD2AB4">
        <w:rPr>
          <w:rStyle w:val="Funotenzeichen"/>
          <w:rFonts w:ascii="Times New Roman" w:hAnsi="Times New Roman" w:cs="Times New Roman"/>
          <w:sz w:val="24"/>
          <w:szCs w:val="24"/>
        </w:rPr>
        <w:footnoteReference w:id="366"/>
      </w:r>
      <w:r w:rsidRPr="00BD2AB4">
        <w:rPr>
          <w:rFonts w:ascii="Times New Roman" w:hAnsi="Times New Roman" w:cs="Times New Roman"/>
          <w:sz w:val="24"/>
          <w:szCs w:val="24"/>
        </w:rPr>
        <w:t xml:space="preserve">  The lower pediment</w:t>
      </w:r>
      <w:r w:rsidR="00E331A3" w:rsidRPr="00BD2AB4">
        <w:rPr>
          <w:rFonts w:ascii="Times New Roman" w:hAnsi="Times New Roman" w:cs="Times New Roman"/>
          <w:sz w:val="24"/>
          <w:szCs w:val="24"/>
        </w:rPr>
        <w:t>,</w:t>
      </w:r>
      <w:r w:rsidRPr="00BD2AB4">
        <w:rPr>
          <w:rFonts w:ascii="Times New Roman" w:hAnsi="Times New Roman" w:cs="Times New Roman"/>
          <w:sz w:val="24"/>
          <w:szCs w:val="24"/>
        </w:rPr>
        <w:t xml:space="preserve"> was fashioned in a typically Alexandrian manner, adorned with leave and flower carvings, as well as vases.</w:t>
      </w:r>
      <w:r w:rsidRPr="00BD2AB4">
        <w:rPr>
          <w:rStyle w:val="Funotenzeichen"/>
          <w:rFonts w:ascii="Times New Roman" w:hAnsi="Times New Roman" w:cs="Times New Roman"/>
          <w:sz w:val="24"/>
          <w:szCs w:val="24"/>
        </w:rPr>
        <w:footnoteReference w:id="367"/>
      </w:r>
    </w:p>
    <w:p w14:paraId="18B148A2" w14:textId="443AA5F0" w:rsidR="00000494" w:rsidRPr="00BD2AB4" w:rsidRDefault="0000049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The </w:t>
      </w:r>
      <w:r w:rsidR="00E331A3" w:rsidRPr="00BD2AB4">
        <w:rPr>
          <w:rFonts w:ascii="Times New Roman" w:hAnsi="Times New Roman" w:cs="Times New Roman"/>
          <w:sz w:val="24"/>
          <w:szCs w:val="24"/>
        </w:rPr>
        <w:t xml:space="preserve">attic </w:t>
      </w:r>
      <w:r w:rsidRPr="00BD2AB4">
        <w:rPr>
          <w:rFonts w:ascii="Times New Roman" w:hAnsi="Times New Roman" w:cs="Times New Roman"/>
          <w:sz w:val="24"/>
          <w:szCs w:val="24"/>
        </w:rPr>
        <w:t xml:space="preserve">has </w:t>
      </w:r>
      <w:r w:rsidR="00E331A3" w:rsidRPr="00BD2AB4">
        <w:rPr>
          <w:rFonts w:ascii="Times New Roman" w:hAnsi="Times New Roman" w:cs="Times New Roman"/>
          <w:sz w:val="24"/>
          <w:szCs w:val="24"/>
        </w:rPr>
        <w:t xml:space="preserve">also </w:t>
      </w:r>
      <w:r w:rsidRPr="00BD2AB4">
        <w:rPr>
          <w:rFonts w:ascii="Times New Roman" w:hAnsi="Times New Roman" w:cs="Times New Roman"/>
          <w:sz w:val="24"/>
          <w:szCs w:val="24"/>
        </w:rPr>
        <w:t>been employed</w:t>
      </w:r>
      <w:r w:rsidR="00E331A3" w:rsidRPr="00BD2AB4">
        <w:rPr>
          <w:rFonts w:ascii="Times New Roman" w:hAnsi="Times New Roman" w:cs="Times New Roman"/>
          <w:sz w:val="24"/>
          <w:szCs w:val="24"/>
        </w:rPr>
        <w:t>,</w:t>
      </w:r>
      <w:r w:rsidRPr="00BD2AB4">
        <w:rPr>
          <w:rFonts w:ascii="Times New Roman" w:hAnsi="Times New Roman" w:cs="Times New Roman"/>
          <w:sz w:val="24"/>
          <w:szCs w:val="24"/>
        </w:rPr>
        <w:t xml:space="preserve"> as a Greek architectural feature, such as seen at the entrances of </w:t>
      </w:r>
      <w:proofErr w:type="spellStart"/>
      <w:r w:rsidRPr="00BD2AB4">
        <w:rPr>
          <w:rFonts w:ascii="Times New Roman" w:hAnsi="Times New Roman" w:cs="Times New Roman"/>
          <w:sz w:val="24"/>
          <w:szCs w:val="24"/>
        </w:rPr>
        <w:t>Hegr</w:t>
      </w:r>
      <w:proofErr w:type="spellEnd"/>
      <w:r w:rsidRPr="00BD2AB4">
        <w:rPr>
          <w:rFonts w:ascii="Times New Roman" w:hAnsi="Times New Roman" w:cs="Times New Roman"/>
          <w:sz w:val="24"/>
          <w:szCs w:val="24"/>
        </w:rPr>
        <w:t xml:space="preserve"> tomb types at </w:t>
      </w:r>
      <w:proofErr w:type="spellStart"/>
      <w:r w:rsidRPr="00BD2AB4">
        <w:rPr>
          <w:rFonts w:ascii="Times New Roman" w:hAnsi="Times New Roman" w:cs="Times New Roman"/>
          <w:sz w:val="24"/>
          <w:szCs w:val="24"/>
        </w:rPr>
        <w:t>Hegra</w:t>
      </w:r>
      <w:proofErr w:type="spellEnd"/>
      <w:r w:rsidRPr="00BD2AB4">
        <w:rPr>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68"/>
      </w:r>
    </w:p>
    <w:p w14:paraId="643C3069" w14:textId="44054F27" w:rsidR="00000494" w:rsidRPr="00BD2AB4" w:rsidRDefault="0000049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At </w:t>
      </w:r>
      <w:proofErr w:type="spellStart"/>
      <w:r w:rsidRPr="00BD2AB4">
        <w:rPr>
          <w:rFonts w:ascii="Times New Roman" w:hAnsi="Times New Roman" w:cs="Times New Roman"/>
          <w:sz w:val="24"/>
          <w:szCs w:val="24"/>
        </w:rPr>
        <w:t>Mada`in</w:t>
      </w:r>
      <w:proofErr w:type="spellEnd"/>
      <w:r w:rsidRPr="00BD2AB4">
        <w:rPr>
          <w:rFonts w:ascii="Times New Roman" w:hAnsi="Times New Roman" w:cs="Times New Roman"/>
          <w:sz w:val="24"/>
          <w:szCs w:val="24"/>
        </w:rPr>
        <w:t xml:space="preserve"> Saleh, a larger amount of Hellenistic architectural features is observed on the single and double pylon tombs, in comparison to the same tomb types at Petra, </w:t>
      </w:r>
      <w:r w:rsidRPr="00BD2AB4">
        <w:rPr>
          <w:rStyle w:val="Funotenzeichen"/>
          <w:rFonts w:ascii="Times New Roman" w:hAnsi="Times New Roman" w:cs="Times New Roman"/>
          <w:sz w:val="24"/>
          <w:szCs w:val="24"/>
        </w:rPr>
        <w:footnoteReference w:id="369"/>
      </w:r>
      <w:r w:rsidRPr="00BD2AB4">
        <w:rPr>
          <w:rFonts w:ascii="Times New Roman" w:hAnsi="Times New Roman" w:cs="Times New Roman"/>
          <w:sz w:val="24"/>
          <w:szCs w:val="24"/>
        </w:rPr>
        <w:t xml:space="preserve"> further evidence for regional differences. </w:t>
      </w:r>
    </w:p>
    <w:p w14:paraId="741A29DF" w14:textId="742C634B" w:rsidR="00000494" w:rsidRPr="00BD2AB4" w:rsidRDefault="0000049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tholos</w:t>
      </w:r>
      <w:r w:rsidR="00E331A3" w:rsidRPr="00BD2AB4">
        <w:rPr>
          <w:rFonts w:ascii="Times New Roman" w:hAnsi="Times New Roman" w:cs="Times New Roman"/>
          <w:sz w:val="24"/>
          <w:szCs w:val="24"/>
        </w:rPr>
        <w:t xml:space="preserve"> on the other hand,</w:t>
      </w:r>
      <w:r w:rsidRPr="00BD2AB4">
        <w:rPr>
          <w:rFonts w:ascii="Times New Roman" w:hAnsi="Times New Roman" w:cs="Times New Roman"/>
          <w:sz w:val="24"/>
          <w:szCs w:val="24"/>
        </w:rPr>
        <w:t xml:space="preserve"> as famously seen with </w:t>
      </w:r>
      <w:proofErr w:type="spellStart"/>
      <w:r w:rsidRPr="00BD2AB4">
        <w:rPr>
          <w:rFonts w:ascii="Times New Roman" w:hAnsi="Times New Roman" w:cs="Times New Roman"/>
          <w:sz w:val="24"/>
          <w:szCs w:val="24"/>
        </w:rPr>
        <w:t>Khazne</w:t>
      </w:r>
      <w:proofErr w:type="spellEnd"/>
      <w:r w:rsidRPr="00BD2AB4">
        <w:rPr>
          <w:rFonts w:ascii="Times New Roman" w:hAnsi="Times New Roman" w:cs="Times New Roman"/>
          <w:sz w:val="24"/>
          <w:szCs w:val="24"/>
        </w:rPr>
        <w:t xml:space="preserve"> and the Corinthian tomb,</w:t>
      </w:r>
      <w:r w:rsidRPr="00BD2AB4">
        <w:rPr>
          <w:rStyle w:val="Funotenzeichen"/>
          <w:rFonts w:ascii="Times New Roman" w:hAnsi="Times New Roman" w:cs="Times New Roman"/>
          <w:sz w:val="24"/>
          <w:szCs w:val="24"/>
        </w:rPr>
        <w:footnoteReference w:id="370"/>
      </w:r>
      <w:r w:rsidRPr="00BD2AB4">
        <w:rPr>
          <w:rFonts w:ascii="Times New Roman" w:hAnsi="Times New Roman" w:cs="Times New Roman"/>
          <w:sz w:val="24"/>
          <w:szCs w:val="24"/>
        </w:rPr>
        <w:t xml:space="preserve"> was sometimes adorned with a freeze, as seen with the Corinthian tomb at Petra.</w:t>
      </w:r>
      <w:r w:rsidRPr="00BD2AB4">
        <w:rPr>
          <w:rStyle w:val="Funotenzeichen"/>
          <w:rFonts w:ascii="Times New Roman" w:hAnsi="Times New Roman" w:cs="Times New Roman"/>
          <w:sz w:val="24"/>
          <w:szCs w:val="24"/>
        </w:rPr>
        <w:footnoteReference w:id="371"/>
      </w:r>
      <w:r w:rsidRPr="00BD2AB4">
        <w:rPr>
          <w:rFonts w:ascii="Times New Roman" w:hAnsi="Times New Roman" w:cs="Times New Roman"/>
          <w:sz w:val="24"/>
          <w:szCs w:val="24"/>
        </w:rPr>
        <w:t xml:space="preserve"> This architectural feature was also used I Ptolemaic Egypt, for example on the upper segment of the </w:t>
      </w:r>
      <w:proofErr w:type="spellStart"/>
      <w:r w:rsidRPr="00BD2AB4">
        <w:rPr>
          <w:rFonts w:ascii="Times New Roman" w:hAnsi="Times New Roman" w:cs="Times New Roman"/>
          <w:sz w:val="24"/>
          <w:szCs w:val="24"/>
        </w:rPr>
        <w:t>Thalamegos</w:t>
      </w:r>
      <w:proofErr w:type="spellEnd"/>
      <w:r w:rsidRPr="00BD2AB4">
        <w:rPr>
          <w:rFonts w:ascii="Times New Roman" w:hAnsi="Times New Roman" w:cs="Times New Roman"/>
          <w:sz w:val="24"/>
          <w:szCs w:val="24"/>
        </w:rPr>
        <w:t xml:space="preserve"> of Ptolemais IV, and thus evoked a connection to rulership.</w:t>
      </w:r>
      <w:r w:rsidRPr="00BD2AB4">
        <w:rPr>
          <w:rStyle w:val="Funotenzeichen"/>
          <w:rFonts w:ascii="Times New Roman" w:hAnsi="Times New Roman" w:cs="Times New Roman"/>
          <w:sz w:val="24"/>
          <w:szCs w:val="24"/>
        </w:rPr>
        <w:footnoteReference w:id="372"/>
      </w:r>
      <w:r w:rsidRPr="00BD2AB4">
        <w:rPr>
          <w:rFonts w:ascii="Times New Roman" w:hAnsi="Times New Roman" w:cs="Times New Roman"/>
          <w:sz w:val="24"/>
          <w:szCs w:val="24"/>
        </w:rPr>
        <w:t xml:space="preserve"> </w:t>
      </w:r>
    </w:p>
    <w:p w14:paraId="50F8C1CC" w14:textId="2BBC8D92" w:rsidR="00000494" w:rsidRPr="00BD2AB4" w:rsidRDefault="00E331A3"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 xml:space="preserve">Although given these clearly Hellenistic architectural features, some scholars such as Healey 2001 would refer to this as barely Hellenistic, compared to the degree of Hellenistic architecture found at Palmyra, </w:t>
      </w:r>
      <w:proofErr w:type="spellStart"/>
      <w:r w:rsidRPr="00BD2AB4">
        <w:rPr>
          <w:rFonts w:ascii="Times New Roman" w:hAnsi="Times New Roman" w:cs="Times New Roman"/>
          <w:sz w:val="24"/>
          <w:szCs w:val="24"/>
        </w:rPr>
        <w:t>Hatra</w:t>
      </w:r>
      <w:proofErr w:type="spellEnd"/>
      <w:r w:rsidRPr="00BD2AB4">
        <w:rPr>
          <w:rFonts w:ascii="Times New Roman" w:hAnsi="Times New Roman" w:cs="Times New Roman"/>
          <w:sz w:val="24"/>
          <w:szCs w:val="24"/>
        </w:rPr>
        <w:t xml:space="preserve"> and Baalbek.</w:t>
      </w:r>
      <w:r w:rsidRPr="00BD2AB4">
        <w:rPr>
          <w:rStyle w:val="Funotenzeichen"/>
          <w:rFonts w:ascii="Times New Roman" w:hAnsi="Times New Roman" w:cs="Times New Roman"/>
          <w:sz w:val="24"/>
          <w:szCs w:val="24"/>
        </w:rPr>
        <w:footnoteReference w:id="373"/>
      </w:r>
    </w:p>
    <w:p w14:paraId="1F50A298" w14:textId="5CD71633" w:rsidR="00020014" w:rsidRPr="00BD2AB4" w:rsidRDefault="00071721" w:rsidP="00BD2AB4">
      <w:pPr>
        <w:spacing w:line="480" w:lineRule="auto"/>
        <w:rPr>
          <w:rFonts w:ascii="Times New Roman" w:hAnsi="Times New Roman" w:cs="Times New Roman"/>
          <w:sz w:val="24"/>
          <w:szCs w:val="24"/>
          <w:highlight w:val="yellow"/>
        </w:rPr>
      </w:pPr>
      <w:r w:rsidRPr="00BD2AB4">
        <w:rPr>
          <w:rFonts w:ascii="Times New Roman" w:hAnsi="Times New Roman" w:cs="Times New Roman"/>
          <w:sz w:val="24"/>
          <w:szCs w:val="24"/>
        </w:rPr>
        <w:t>Overall, there have been many different architectural features utilized on Nabataean tomb facades, often showing local preferences</w:t>
      </w:r>
      <w:r w:rsidRPr="00BD2AB4">
        <w:rPr>
          <w:rStyle w:val="Funotenzeichen"/>
          <w:rFonts w:ascii="Times New Roman" w:hAnsi="Times New Roman" w:cs="Times New Roman"/>
          <w:sz w:val="24"/>
          <w:szCs w:val="24"/>
        </w:rPr>
        <w:footnoteReference w:id="374"/>
      </w:r>
      <w:r w:rsidRPr="00BD2AB4">
        <w:rPr>
          <w:rFonts w:ascii="Times New Roman" w:hAnsi="Times New Roman" w:cs="Times New Roman"/>
          <w:sz w:val="24"/>
          <w:szCs w:val="24"/>
        </w:rPr>
        <w:t xml:space="preserve"> for one type of motif and not the other, while some features were constantly deployed, regardless of location.</w:t>
      </w:r>
      <w:r w:rsidR="00FD5883" w:rsidRPr="00BD2AB4">
        <w:rPr>
          <w:rStyle w:val="Funotenzeichen"/>
          <w:rFonts w:ascii="Times New Roman" w:hAnsi="Times New Roman" w:cs="Times New Roman"/>
          <w:sz w:val="24"/>
          <w:szCs w:val="24"/>
        </w:rPr>
        <w:footnoteReference w:id="375"/>
      </w:r>
      <w:r w:rsidRPr="00BD2AB4">
        <w:rPr>
          <w:rFonts w:ascii="Times New Roman" w:hAnsi="Times New Roman" w:cs="Times New Roman"/>
          <w:sz w:val="24"/>
          <w:szCs w:val="24"/>
        </w:rPr>
        <w:t xml:space="preserve"> Many original connotations to royalty, the gods and defence</w:t>
      </w:r>
      <w:r w:rsidR="00FD5883" w:rsidRPr="00BD2AB4">
        <w:rPr>
          <w:rStyle w:val="Funotenzeichen"/>
          <w:rFonts w:ascii="Times New Roman" w:hAnsi="Times New Roman" w:cs="Times New Roman"/>
          <w:sz w:val="24"/>
          <w:szCs w:val="24"/>
        </w:rPr>
        <w:footnoteReference w:id="376"/>
      </w:r>
      <w:r w:rsidRPr="00BD2AB4">
        <w:rPr>
          <w:rFonts w:ascii="Times New Roman" w:hAnsi="Times New Roman" w:cs="Times New Roman"/>
          <w:sz w:val="24"/>
          <w:szCs w:val="24"/>
        </w:rPr>
        <w:t xml:space="preserve"> have led to the suggestion, that the Nabataeans might have utilized them in a similar way, to protect the deceased. Different origin theories have led to </w:t>
      </w:r>
      <w:r w:rsidRPr="00BD2AB4">
        <w:rPr>
          <w:rFonts w:ascii="Times New Roman" w:hAnsi="Times New Roman" w:cs="Times New Roman"/>
          <w:sz w:val="24"/>
          <w:szCs w:val="24"/>
        </w:rPr>
        <w:lastRenderedPageBreak/>
        <w:t>the impression, that not necessarily the specific point of origin of a feature, but its employment in a location standing in direct contact to the Nabataeans, might have led to its assimilation.</w:t>
      </w:r>
      <w:r w:rsidR="00FD5883" w:rsidRPr="00BD2AB4">
        <w:rPr>
          <w:rStyle w:val="Funotenzeichen"/>
          <w:rFonts w:ascii="Times New Roman" w:hAnsi="Times New Roman" w:cs="Times New Roman"/>
          <w:sz w:val="24"/>
          <w:szCs w:val="24"/>
        </w:rPr>
        <w:footnoteReference w:id="377"/>
      </w:r>
    </w:p>
    <w:p w14:paraId="737A5E6F" w14:textId="77777777" w:rsidR="00020014" w:rsidRPr="00BD2AB4" w:rsidRDefault="00020014" w:rsidP="00BD2AB4">
      <w:pPr>
        <w:spacing w:line="480" w:lineRule="auto"/>
        <w:rPr>
          <w:rFonts w:ascii="Times New Roman" w:hAnsi="Times New Roman" w:cs="Times New Roman"/>
          <w:sz w:val="24"/>
          <w:szCs w:val="24"/>
          <w:highlight w:val="yellow"/>
        </w:rPr>
      </w:pPr>
    </w:p>
    <w:p w14:paraId="4A579A85" w14:textId="3592C1B4" w:rsidR="000732ED" w:rsidRPr="00BD2AB4" w:rsidRDefault="000732ED" w:rsidP="00BD2AB4">
      <w:pPr>
        <w:spacing w:line="480" w:lineRule="auto"/>
        <w:rPr>
          <w:rFonts w:ascii="Times New Roman" w:hAnsi="Times New Roman" w:cs="Times New Roman"/>
          <w:sz w:val="24"/>
          <w:szCs w:val="24"/>
          <w:u w:val="single"/>
        </w:rPr>
      </w:pPr>
    </w:p>
    <w:p w14:paraId="5A1DE18B" w14:textId="47627274" w:rsidR="00E331A3" w:rsidRPr="00BD2AB4" w:rsidRDefault="00E331A3" w:rsidP="00BD2AB4">
      <w:pPr>
        <w:spacing w:line="480" w:lineRule="auto"/>
        <w:rPr>
          <w:rFonts w:ascii="Times New Roman" w:hAnsi="Times New Roman" w:cs="Times New Roman"/>
          <w:sz w:val="24"/>
          <w:szCs w:val="24"/>
          <w:u w:val="single"/>
        </w:rPr>
      </w:pPr>
    </w:p>
    <w:p w14:paraId="26CDA7A1" w14:textId="3AA49D03" w:rsidR="00E331A3" w:rsidRPr="00BD2AB4" w:rsidRDefault="00E331A3" w:rsidP="00BD2AB4">
      <w:pPr>
        <w:spacing w:line="480" w:lineRule="auto"/>
        <w:rPr>
          <w:rFonts w:ascii="Times New Roman" w:hAnsi="Times New Roman" w:cs="Times New Roman"/>
          <w:sz w:val="24"/>
          <w:szCs w:val="24"/>
          <w:u w:val="single"/>
        </w:rPr>
      </w:pPr>
    </w:p>
    <w:p w14:paraId="5828478B" w14:textId="1C4D75F7" w:rsidR="00E331A3" w:rsidRPr="00BD2AB4" w:rsidRDefault="00E331A3" w:rsidP="00BD2AB4">
      <w:pPr>
        <w:spacing w:line="480" w:lineRule="auto"/>
        <w:rPr>
          <w:rFonts w:ascii="Times New Roman" w:hAnsi="Times New Roman" w:cs="Times New Roman"/>
          <w:sz w:val="24"/>
          <w:szCs w:val="24"/>
          <w:u w:val="single"/>
        </w:rPr>
      </w:pPr>
    </w:p>
    <w:p w14:paraId="62B34FBB" w14:textId="1406B252" w:rsidR="00E331A3" w:rsidRPr="00BD2AB4" w:rsidRDefault="00E331A3" w:rsidP="00BD2AB4">
      <w:pPr>
        <w:spacing w:line="480" w:lineRule="auto"/>
        <w:rPr>
          <w:rFonts w:ascii="Times New Roman" w:hAnsi="Times New Roman" w:cs="Times New Roman"/>
          <w:sz w:val="24"/>
          <w:szCs w:val="24"/>
          <w:u w:val="single"/>
        </w:rPr>
      </w:pPr>
    </w:p>
    <w:p w14:paraId="5FF3B127" w14:textId="22E01C4E" w:rsidR="00E331A3" w:rsidRPr="00BD2AB4" w:rsidRDefault="00E331A3" w:rsidP="00BD2AB4">
      <w:pPr>
        <w:spacing w:line="480" w:lineRule="auto"/>
        <w:rPr>
          <w:rFonts w:ascii="Times New Roman" w:hAnsi="Times New Roman" w:cs="Times New Roman"/>
          <w:sz w:val="24"/>
          <w:szCs w:val="24"/>
          <w:u w:val="single"/>
        </w:rPr>
      </w:pPr>
    </w:p>
    <w:p w14:paraId="0AAAAED6" w14:textId="5101FAB1" w:rsidR="00E331A3" w:rsidRPr="00BD2AB4" w:rsidRDefault="00E331A3" w:rsidP="00BD2AB4">
      <w:pPr>
        <w:spacing w:line="480" w:lineRule="auto"/>
        <w:rPr>
          <w:rFonts w:ascii="Times New Roman" w:hAnsi="Times New Roman" w:cs="Times New Roman"/>
          <w:sz w:val="24"/>
          <w:szCs w:val="24"/>
          <w:u w:val="single"/>
        </w:rPr>
      </w:pPr>
    </w:p>
    <w:p w14:paraId="53FB45EC" w14:textId="69B63E9B" w:rsidR="00E331A3" w:rsidRPr="00BD2AB4" w:rsidRDefault="00E331A3" w:rsidP="00BD2AB4">
      <w:pPr>
        <w:spacing w:line="480" w:lineRule="auto"/>
        <w:rPr>
          <w:rFonts w:ascii="Times New Roman" w:hAnsi="Times New Roman" w:cs="Times New Roman"/>
          <w:sz w:val="24"/>
          <w:szCs w:val="24"/>
          <w:u w:val="single"/>
        </w:rPr>
      </w:pPr>
    </w:p>
    <w:p w14:paraId="0F8CB247" w14:textId="23A00BD6" w:rsidR="00E331A3" w:rsidRPr="00BD2AB4" w:rsidRDefault="00E331A3" w:rsidP="00BD2AB4">
      <w:pPr>
        <w:spacing w:line="480" w:lineRule="auto"/>
        <w:rPr>
          <w:rFonts w:ascii="Times New Roman" w:hAnsi="Times New Roman" w:cs="Times New Roman"/>
          <w:sz w:val="24"/>
          <w:szCs w:val="24"/>
          <w:u w:val="single"/>
        </w:rPr>
      </w:pPr>
    </w:p>
    <w:p w14:paraId="4DF2D381" w14:textId="77A8CFA1" w:rsidR="00E331A3" w:rsidRPr="00BD2AB4" w:rsidRDefault="00E331A3" w:rsidP="00BD2AB4">
      <w:pPr>
        <w:spacing w:line="480" w:lineRule="auto"/>
        <w:rPr>
          <w:rFonts w:ascii="Times New Roman" w:hAnsi="Times New Roman" w:cs="Times New Roman"/>
          <w:sz w:val="24"/>
          <w:szCs w:val="24"/>
          <w:u w:val="single"/>
        </w:rPr>
      </w:pPr>
    </w:p>
    <w:p w14:paraId="2232568A" w14:textId="002EBA23" w:rsidR="00E331A3" w:rsidRPr="00BD2AB4" w:rsidRDefault="00E331A3" w:rsidP="00BD2AB4">
      <w:pPr>
        <w:spacing w:line="480" w:lineRule="auto"/>
        <w:rPr>
          <w:rFonts w:ascii="Times New Roman" w:hAnsi="Times New Roman" w:cs="Times New Roman"/>
          <w:sz w:val="24"/>
          <w:szCs w:val="24"/>
          <w:u w:val="single"/>
        </w:rPr>
      </w:pPr>
    </w:p>
    <w:p w14:paraId="1BA78791" w14:textId="050877A9" w:rsidR="00E331A3" w:rsidRPr="00BD2AB4" w:rsidRDefault="00E331A3" w:rsidP="00BD2AB4">
      <w:pPr>
        <w:spacing w:line="480" w:lineRule="auto"/>
        <w:rPr>
          <w:rFonts w:ascii="Times New Roman" w:hAnsi="Times New Roman" w:cs="Times New Roman"/>
          <w:sz w:val="24"/>
          <w:szCs w:val="24"/>
          <w:u w:val="single"/>
        </w:rPr>
      </w:pPr>
    </w:p>
    <w:p w14:paraId="30E32FD0" w14:textId="16AE18DB" w:rsidR="00E331A3" w:rsidRPr="00BD2AB4" w:rsidRDefault="00E331A3" w:rsidP="00BD2AB4">
      <w:pPr>
        <w:spacing w:line="480" w:lineRule="auto"/>
        <w:rPr>
          <w:rFonts w:ascii="Times New Roman" w:hAnsi="Times New Roman" w:cs="Times New Roman"/>
          <w:sz w:val="24"/>
          <w:szCs w:val="24"/>
          <w:u w:val="single"/>
        </w:rPr>
      </w:pPr>
    </w:p>
    <w:p w14:paraId="503DB7B5" w14:textId="6ABD884C" w:rsidR="00E331A3" w:rsidRPr="00BD2AB4" w:rsidRDefault="00E331A3" w:rsidP="00BD2AB4">
      <w:pPr>
        <w:spacing w:line="480" w:lineRule="auto"/>
        <w:rPr>
          <w:rFonts w:ascii="Times New Roman" w:hAnsi="Times New Roman" w:cs="Times New Roman"/>
          <w:sz w:val="24"/>
          <w:szCs w:val="24"/>
          <w:u w:val="single"/>
        </w:rPr>
      </w:pPr>
    </w:p>
    <w:p w14:paraId="0422BAE2" w14:textId="43681976" w:rsidR="00E331A3" w:rsidRPr="00BD2AB4" w:rsidRDefault="00E331A3" w:rsidP="00BD2AB4">
      <w:pPr>
        <w:spacing w:line="480" w:lineRule="auto"/>
        <w:rPr>
          <w:rFonts w:ascii="Times New Roman" w:hAnsi="Times New Roman" w:cs="Times New Roman"/>
          <w:sz w:val="24"/>
          <w:szCs w:val="24"/>
          <w:u w:val="single"/>
        </w:rPr>
      </w:pPr>
    </w:p>
    <w:p w14:paraId="0BA5A7E6" w14:textId="2C389A95" w:rsidR="00E331A3" w:rsidRPr="00BD2AB4" w:rsidRDefault="00E331A3" w:rsidP="00BD2AB4">
      <w:pPr>
        <w:spacing w:line="480" w:lineRule="auto"/>
        <w:rPr>
          <w:rFonts w:ascii="Times New Roman" w:hAnsi="Times New Roman" w:cs="Times New Roman"/>
          <w:b/>
          <w:sz w:val="24"/>
          <w:szCs w:val="24"/>
          <w:u w:val="single"/>
        </w:rPr>
      </w:pPr>
      <w:r w:rsidRPr="00BD2AB4">
        <w:rPr>
          <w:rFonts w:ascii="Times New Roman" w:hAnsi="Times New Roman" w:cs="Times New Roman"/>
          <w:sz w:val="24"/>
          <w:szCs w:val="24"/>
          <w:u w:val="single"/>
        </w:rPr>
        <w:lastRenderedPageBreak/>
        <w:t xml:space="preserve">                                                              </w:t>
      </w:r>
      <w:r w:rsidRPr="00BD2AB4">
        <w:rPr>
          <w:rFonts w:ascii="Times New Roman" w:hAnsi="Times New Roman" w:cs="Times New Roman"/>
          <w:b/>
          <w:sz w:val="24"/>
          <w:szCs w:val="24"/>
          <w:u w:val="single"/>
        </w:rPr>
        <w:t>Conclusion</w:t>
      </w:r>
    </w:p>
    <w:p w14:paraId="128F1063" w14:textId="157459AB" w:rsidR="003A22E1" w:rsidRPr="00BD2AB4" w:rsidRDefault="003A22E1" w:rsidP="00BD2AB4">
      <w:pPr>
        <w:spacing w:line="480" w:lineRule="auto"/>
        <w:rPr>
          <w:rFonts w:ascii="Times New Roman" w:hAnsi="Times New Roman" w:cs="Times New Roman"/>
          <w:b/>
          <w:sz w:val="24"/>
          <w:szCs w:val="24"/>
          <w:u w:val="single"/>
        </w:rPr>
      </w:pPr>
    </w:p>
    <w:p w14:paraId="1C90B1A9" w14:textId="77777777" w:rsidR="00BD2AB4" w:rsidRPr="00BD2AB4" w:rsidRDefault="00BD2AB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In conclusion, it can be said that the Nabataean people, have had an outstanding ability to adopt and adapt material culture, altering it to suit their needs and geographical requirements.</w:t>
      </w:r>
      <w:r w:rsidRPr="00BD2AB4">
        <w:rPr>
          <w:rStyle w:val="FuzeileZchn"/>
          <w:rFonts w:ascii="Times New Roman" w:hAnsi="Times New Roman" w:cs="Times New Roman"/>
          <w:sz w:val="24"/>
          <w:szCs w:val="24"/>
        </w:rPr>
        <w:t xml:space="preserve"> </w:t>
      </w:r>
      <w:r w:rsidRPr="00BD2AB4">
        <w:rPr>
          <w:rStyle w:val="Funotenzeichen"/>
          <w:rFonts w:ascii="Times New Roman" w:hAnsi="Times New Roman" w:cs="Times New Roman"/>
          <w:sz w:val="24"/>
          <w:szCs w:val="24"/>
        </w:rPr>
        <w:footnoteReference w:id="378"/>
      </w:r>
    </w:p>
    <w:p w14:paraId="75FC646D" w14:textId="77777777" w:rsidR="00BD2AB4" w:rsidRPr="00BD2AB4" w:rsidRDefault="00BD2AB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foundation of their kingdom itself is evidence of this ability, as their adaption to a partially sedentary lifestyle and adoption of monumental structures, took place in a very short space of time.</w:t>
      </w:r>
      <w:r w:rsidRPr="00BD2AB4">
        <w:rPr>
          <w:rStyle w:val="Funotenzeichen"/>
          <w:rFonts w:ascii="Times New Roman" w:hAnsi="Times New Roman" w:cs="Times New Roman"/>
          <w:sz w:val="24"/>
          <w:szCs w:val="24"/>
        </w:rPr>
        <w:footnoteReference w:id="379"/>
      </w:r>
      <w:r w:rsidRPr="00BD2AB4">
        <w:rPr>
          <w:rFonts w:ascii="Times New Roman" w:hAnsi="Times New Roman" w:cs="Times New Roman"/>
          <w:sz w:val="24"/>
          <w:szCs w:val="24"/>
        </w:rPr>
        <w:t xml:space="preserve"> </w:t>
      </w:r>
    </w:p>
    <w:p w14:paraId="6EA5A71A" w14:textId="77777777" w:rsidR="00BD2AB4" w:rsidRPr="00BD2AB4" w:rsidRDefault="00BD2AB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The Nabataeans benefitted from the geographic location of their kingdom, controlling some of the most important trade routes,</w:t>
      </w:r>
      <w:r w:rsidRPr="00BD2AB4">
        <w:rPr>
          <w:rStyle w:val="Funotenzeichen"/>
          <w:rFonts w:ascii="Times New Roman" w:hAnsi="Times New Roman" w:cs="Times New Roman"/>
          <w:sz w:val="24"/>
          <w:szCs w:val="24"/>
        </w:rPr>
        <w:footnoteReference w:id="380"/>
      </w:r>
      <w:r w:rsidRPr="00BD2AB4">
        <w:rPr>
          <w:rFonts w:ascii="Times New Roman" w:hAnsi="Times New Roman" w:cs="Times New Roman"/>
          <w:sz w:val="24"/>
          <w:szCs w:val="24"/>
        </w:rPr>
        <w:t xml:space="preserve"> while also working towards improving their situation, by finding urban centres to control trade, and extract tariffs from anyone passing the territory.</w:t>
      </w:r>
      <w:r w:rsidRPr="00BD2AB4">
        <w:rPr>
          <w:rStyle w:val="Funotenzeichen"/>
          <w:rFonts w:ascii="Times New Roman" w:hAnsi="Times New Roman" w:cs="Times New Roman"/>
          <w:sz w:val="24"/>
          <w:szCs w:val="24"/>
        </w:rPr>
        <w:footnoteReference w:id="381"/>
      </w:r>
      <w:r w:rsidRPr="00BD2AB4">
        <w:rPr>
          <w:rFonts w:ascii="Times New Roman" w:hAnsi="Times New Roman" w:cs="Times New Roman"/>
          <w:sz w:val="24"/>
          <w:szCs w:val="24"/>
        </w:rPr>
        <w:t xml:space="preserve"> Thus, increasing their cross-cultural contact situations. </w:t>
      </w:r>
    </w:p>
    <w:p w14:paraId="640873E0" w14:textId="77777777" w:rsidR="00BD2AB4" w:rsidRPr="00BD2AB4" w:rsidRDefault="00BD2AB4" w:rsidP="00BD2AB4">
      <w:pPr>
        <w:spacing w:line="480" w:lineRule="auto"/>
        <w:rPr>
          <w:rStyle w:val="FuzeileZchn"/>
          <w:rFonts w:ascii="Times New Roman" w:hAnsi="Times New Roman" w:cs="Times New Roman"/>
          <w:sz w:val="24"/>
          <w:szCs w:val="24"/>
        </w:rPr>
      </w:pPr>
      <w:r w:rsidRPr="00BD2AB4">
        <w:rPr>
          <w:rFonts w:ascii="Times New Roman" w:hAnsi="Times New Roman" w:cs="Times New Roman"/>
          <w:sz w:val="24"/>
          <w:szCs w:val="24"/>
        </w:rPr>
        <w:t>By trading, many Nabataeans would have been exposed a lot to cross-cultural interaction, basically experiencing what would have otherwise only experienced in the border zone.</w:t>
      </w:r>
      <w:r w:rsidRPr="00BD2AB4">
        <w:rPr>
          <w:rStyle w:val="FuzeileZchn"/>
          <w:rFonts w:ascii="Times New Roman" w:hAnsi="Times New Roman" w:cs="Times New Roman"/>
          <w:sz w:val="24"/>
          <w:szCs w:val="24"/>
        </w:rPr>
        <w:t xml:space="preserve"> </w:t>
      </w:r>
      <w:r w:rsidRPr="00BD2AB4">
        <w:rPr>
          <w:rStyle w:val="Funotenzeichen"/>
          <w:rFonts w:ascii="Times New Roman" w:hAnsi="Times New Roman" w:cs="Times New Roman"/>
          <w:sz w:val="24"/>
          <w:szCs w:val="24"/>
        </w:rPr>
        <w:footnoteReference w:id="382"/>
      </w:r>
    </w:p>
    <w:p w14:paraId="335233B7" w14:textId="77777777" w:rsidR="00BD2AB4" w:rsidRPr="00BD2AB4" w:rsidRDefault="00BD2AB4" w:rsidP="00BD2AB4">
      <w:pPr>
        <w:spacing w:line="480" w:lineRule="auto"/>
        <w:rPr>
          <w:rFonts w:ascii="Times New Roman" w:hAnsi="Times New Roman" w:cs="Times New Roman"/>
          <w:sz w:val="24"/>
          <w:szCs w:val="24"/>
        </w:rPr>
      </w:pPr>
      <w:r w:rsidRPr="00BD2AB4">
        <w:rPr>
          <w:rFonts w:ascii="Times New Roman" w:hAnsi="Times New Roman" w:cs="Times New Roman"/>
          <w:sz w:val="24"/>
          <w:szCs w:val="24"/>
        </w:rPr>
        <w:t>Competition from neighbouring tribes, and historical fortune such as the decline of the Saba and weakening of the Seleucid Empire, positively contributed to Nabataean efforts in staying competition worthy and expanding their influences.</w:t>
      </w:r>
      <w:r w:rsidRPr="00BD2AB4">
        <w:rPr>
          <w:rStyle w:val="Funotenzeichen"/>
          <w:rFonts w:ascii="Times New Roman" w:hAnsi="Times New Roman" w:cs="Times New Roman"/>
          <w:sz w:val="24"/>
          <w:szCs w:val="24"/>
        </w:rPr>
        <w:footnoteReference w:id="383"/>
      </w:r>
      <w:r w:rsidRPr="00BD2AB4">
        <w:rPr>
          <w:rFonts w:ascii="Times New Roman" w:hAnsi="Times New Roman" w:cs="Times New Roman"/>
          <w:sz w:val="24"/>
          <w:szCs w:val="24"/>
        </w:rPr>
        <w:t xml:space="preserve"> </w:t>
      </w:r>
    </w:p>
    <w:p w14:paraId="7396B710" w14:textId="77777777" w:rsidR="00BD2AB4" w:rsidRPr="00BD2AB4" w:rsidRDefault="00BD2AB4" w:rsidP="00BD2AB4">
      <w:pPr>
        <w:spacing w:line="480" w:lineRule="auto"/>
        <w:rPr>
          <w:rStyle w:val="FuzeileZchn"/>
          <w:rFonts w:ascii="Times New Roman" w:hAnsi="Times New Roman" w:cs="Times New Roman"/>
          <w:sz w:val="24"/>
          <w:szCs w:val="24"/>
        </w:rPr>
      </w:pPr>
      <w:r w:rsidRPr="00BD2AB4">
        <w:rPr>
          <w:rStyle w:val="FuzeileZchn"/>
          <w:rFonts w:ascii="Times New Roman" w:hAnsi="Times New Roman" w:cs="Times New Roman"/>
          <w:sz w:val="24"/>
          <w:szCs w:val="24"/>
        </w:rPr>
        <w:lastRenderedPageBreak/>
        <w:t>Nabataean urban centres must have been extensively connected to the Hellenistic cities, such as Alexandria, as Alexandrian architecture commenced around the time of the Artisans exodus.</w:t>
      </w:r>
      <w:r w:rsidRPr="00BD2AB4">
        <w:rPr>
          <w:rStyle w:val="Funotenzeichen"/>
          <w:rFonts w:ascii="Times New Roman" w:hAnsi="Times New Roman" w:cs="Times New Roman"/>
          <w:sz w:val="24"/>
          <w:szCs w:val="24"/>
        </w:rPr>
        <w:footnoteReference w:id="384"/>
      </w:r>
    </w:p>
    <w:p w14:paraId="77F9DADE" w14:textId="77777777" w:rsidR="00BD2AB4" w:rsidRPr="00BD2AB4" w:rsidRDefault="00BD2AB4" w:rsidP="00BD2AB4">
      <w:pPr>
        <w:spacing w:line="480" w:lineRule="auto"/>
        <w:rPr>
          <w:rStyle w:val="FuzeileZchn"/>
          <w:rFonts w:ascii="Times New Roman" w:hAnsi="Times New Roman" w:cs="Times New Roman"/>
          <w:sz w:val="24"/>
          <w:szCs w:val="24"/>
        </w:rPr>
      </w:pPr>
      <w:r w:rsidRPr="00BD2AB4">
        <w:rPr>
          <w:rStyle w:val="FuzeileZchn"/>
          <w:rFonts w:ascii="Times New Roman" w:hAnsi="Times New Roman" w:cs="Times New Roman"/>
          <w:sz w:val="24"/>
          <w:szCs w:val="24"/>
        </w:rPr>
        <w:t xml:space="preserve">The Hellenistic period was also a great time for Greek Artisans to travel and find work by local elites that sought to strengthen their ties with powerful Hellenistic allies, possibly resulting in the simple and complex classical tomb types, with the example of </w:t>
      </w:r>
      <w:proofErr w:type="spellStart"/>
      <w:r w:rsidRPr="00BD2AB4">
        <w:rPr>
          <w:rStyle w:val="FuzeileZchn"/>
          <w:rFonts w:ascii="Times New Roman" w:hAnsi="Times New Roman" w:cs="Times New Roman"/>
          <w:sz w:val="24"/>
          <w:szCs w:val="24"/>
        </w:rPr>
        <w:t>Khazne</w:t>
      </w:r>
      <w:proofErr w:type="spellEnd"/>
      <w:r w:rsidRPr="00BD2AB4">
        <w:rPr>
          <w:rStyle w:val="FuzeileZchn"/>
          <w:rFonts w:ascii="Times New Roman" w:hAnsi="Times New Roman" w:cs="Times New Roman"/>
          <w:sz w:val="24"/>
          <w:szCs w:val="24"/>
        </w:rPr>
        <w:t>.</w:t>
      </w:r>
      <w:r w:rsidRPr="00BD2AB4">
        <w:rPr>
          <w:rStyle w:val="Funotenzeichen"/>
          <w:rFonts w:ascii="Times New Roman" w:hAnsi="Times New Roman" w:cs="Times New Roman"/>
          <w:sz w:val="24"/>
          <w:szCs w:val="24"/>
        </w:rPr>
        <w:footnoteReference w:id="385"/>
      </w:r>
    </w:p>
    <w:p w14:paraId="474E72CE" w14:textId="77777777" w:rsidR="00BD2AB4" w:rsidRPr="00BD2AB4" w:rsidRDefault="00BD2AB4" w:rsidP="00BD2AB4">
      <w:pPr>
        <w:spacing w:line="480" w:lineRule="auto"/>
        <w:rPr>
          <w:rStyle w:val="FuzeileZchn"/>
          <w:rFonts w:ascii="Times New Roman" w:hAnsi="Times New Roman" w:cs="Times New Roman"/>
          <w:sz w:val="24"/>
          <w:szCs w:val="24"/>
        </w:rPr>
      </w:pPr>
      <w:r w:rsidRPr="00BD2AB4">
        <w:rPr>
          <w:rStyle w:val="FuzeileZchn"/>
          <w:rFonts w:ascii="Times New Roman" w:hAnsi="Times New Roman" w:cs="Times New Roman"/>
          <w:sz w:val="24"/>
          <w:szCs w:val="24"/>
        </w:rPr>
        <w:t>The remaining Nabataean rock-cut tomb facades were possibly a reminder, that although Hellenistic influence commenced in the fourth century B.C, eastern influences, starting with the Egyptian and Sumerian architectural expansions, up until the Achaemenid Empire, must have exposed Nabataean and Edomite ancestors for longer, more intensely.</w:t>
      </w:r>
      <w:r w:rsidRPr="00BD2AB4">
        <w:rPr>
          <w:rStyle w:val="Funotenzeichen"/>
          <w:rFonts w:ascii="Times New Roman" w:hAnsi="Times New Roman" w:cs="Times New Roman"/>
          <w:sz w:val="24"/>
          <w:szCs w:val="24"/>
        </w:rPr>
        <w:footnoteReference w:id="386"/>
      </w:r>
      <w:r w:rsidRPr="00BD2AB4">
        <w:rPr>
          <w:rStyle w:val="FuzeileZchn"/>
          <w:rFonts w:ascii="Times New Roman" w:hAnsi="Times New Roman" w:cs="Times New Roman"/>
          <w:sz w:val="24"/>
          <w:szCs w:val="24"/>
        </w:rPr>
        <w:t xml:space="preserve"> Such a claim is supported by comparing how difficult it was for Hellenistic and Roman influences to penetrate the superficial layer of Nabataean religion and belief, while neighbouring influences such as </w:t>
      </w:r>
      <w:proofErr w:type="spellStart"/>
      <w:r w:rsidRPr="00BD2AB4">
        <w:rPr>
          <w:rStyle w:val="FuzeileZchn"/>
          <w:rFonts w:ascii="Times New Roman" w:hAnsi="Times New Roman" w:cs="Times New Roman"/>
          <w:sz w:val="24"/>
          <w:szCs w:val="24"/>
        </w:rPr>
        <w:t>Palmyran</w:t>
      </w:r>
      <w:proofErr w:type="spellEnd"/>
      <w:r w:rsidRPr="00BD2AB4">
        <w:rPr>
          <w:rStyle w:val="FuzeileZchn"/>
          <w:rFonts w:ascii="Times New Roman" w:hAnsi="Times New Roman" w:cs="Times New Roman"/>
          <w:sz w:val="24"/>
          <w:szCs w:val="24"/>
        </w:rPr>
        <w:t>, were more readily adopted.</w:t>
      </w:r>
      <w:r w:rsidRPr="00BD2AB4">
        <w:rPr>
          <w:rStyle w:val="Funotenzeichen"/>
          <w:rFonts w:ascii="Times New Roman" w:hAnsi="Times New Roman" w:cs="Times New Roman"/>
          <w:sz w:val="24"/>
          <w:szCs w:val="24"/>
        </w:rPr>
        <w:footnoteReference w:id="387"/>
      </w:r>
      <w:r w:rsidRPr="00BD2AB4">
        <w:rPr>
          <w:rStyle w:val="FuzeileZchn"/>
          <w:rFonts w:ascii="Times New Roman" w:hAnsi="Times New Roman" w:cs="Times New Roman"/>
          <w:sz w:val="24"/>
          <w:szCs w:val="24"/>
        </w:rPr>
        <w:t xml:space="preserve"> However, architecturally and visually, the Nabataeans partially assimilated the anthropomorphic means of representing their deities,</w:t>
      </w:r>
      <w:r w:rsidRPr="00BD2AB4">
        <w:rPr>
          <w:rStyle w:val="Funotenzeichen"/>
          <w:rFonts w:ascii="Times New Roman" w:hAnsi="Times New Roman" w:cs="Times New Roman"/>
          <w:sz w:val="24"/>
          <w:szCs w:val="24"/>
        </w:rPr>
        <w:footnoteReference w:id="388"/>
      </w:r>
      <w:r w:rsidRPr="00BD2AB4">
        <w:rPr>
          <w:rStyle w:val="FuzeileZchn"/>
          <w:rFonts w:ascii="Times New Roman" w:hAnsi="Times New Roman" w:cs="Times New Roman"/>
          <w:sz w:val="24"/>
          <w:szCs w:val="24"/>
        </w:rPr>
        <w:t xml:space="preserve"> which could be explained by additionally noting that </w:t>
      </w:r>
      <w:proofErr w:type="spellStart"/>
      <w:r w:rsidRPr="00BD2AB4">
        <w:rPr>
          <w:rStyle w:val="FuzeileZchn"/>
          <w:rFonts w:ascii="Times New Roman" w:hAnsi="Times New Roman" w:cs="Times New Roman"/>
          <w:sz w:val="24"/>
          <w:szCs w:val="24"/>
        </w:rPr>
        <w:t>tis</w:t>
      </w:r>
      <w:proofErr w:type="spellEnd"/>
      <w:r w:rsidRPr="00BD2AB4">
        <w:rPr>
          <w:rStyle w:val="FuzeileZchn"/>
          <w:rFonts w:ascii="Times New Roman" w:hAnsi="Times New Roman" w:cs="Times New Roman"/>
          <w:sz w:val="24"/>
          <w:szCs w:val="24"/>
        </w:rPr>
        <w:t xml:space="preserve"> was mainly the case with royal tombs, and that, referring to </w:t>
      </w:r>
      <w:proofErr w:type="spellStart"/>
      <w:r w:rsidRPr="00BD2AB4">
        <w:rPr>
          <w:rStyle w:val="FuzeileZchn"/>
          <w:rFonts w:ascii="Times New Roman" w:hAnsi="Times New Roman" w:cs="Times New Roman"/>
          <w:sz w:val="24"/>
          <w:szCs w:val="24"/>
        </w:rPr>
        <w:t>betyls</w:t>
      </w:r>
      <w:proofErr w:type="spellEnd"/>
      <w:r w:rsidRPr="00BD2AB4">
        <w:rPr>
          <w:rStyle w:val="FuzeileZchn"/>
          <w:rFonts w:ascii="Times New Roman" w:hAnsi="Times New Roman" w:cs="Times New Roman"/>
          <w:sz w:val="24"/>
          <w:szCs w:val="24"/>
        </w:rPr>
        <w:t>, very few eye-</w:t>
      </w:r>
      <w:proofErr w:type="spellStart"/>
      <w:r w:rsidRPr="00BD2AB4">
        <w:rPr>
          <w:rStyle w:val="FuzeileZchn"/>
          <w:rFonts w:ascii="Times New Roman" w:hAnsi="Times New Roman" w:cs="Times New Roman"/>
          <w:sz w:val="24"/>
          <w:szCs w:val="24"/>
        </w:rPr>
        <w:t>betyls</w:t>
      </w:r>
      <w:proofErr w:type="spellEnd"/>
      <w:r w:rsidRPr="00BD2AB4">
        <w:rPr>
          <w:rStyle w:val="FuzeileZchn"/>
          <w:rFonts w:ascii="Times New Roman" w:hAnsi="Times New Roman" w:cs="Times New Roman"/>
          <w:sz w:val="24"/>
          <w:szCs w:val="24"/>
        </w:rPr>
        <w:t xml:space="preserve"> existed. </w:t>
      </w:r>
      <w:r w:rsidRPr="00BD2AB4">
        <w:rPr>
          <w:rStyle w:val="Funotenzeichen"/>
          <w:rFonts w:ascii="Times New Roman" w:hAnsi="Times New Roman" w:cs="Times New Roman"/>
          <w:sz w:val="24"/>
          <w:szCs w:val="24"/>
        </w:rPr>
        <w:footnoteReference w:id="389"/>
      </w:r>
      <w:r w:rsidRPr="00BD2AB4">
        <w:rPr>
          <w:rStyle w:val="FuzeileZchn"/>
          <w:rFonts w:ascii="Times New Roman" w:hAnsi="Times New Roman" w:cs="Times New Roman"/>
          <w:sz w:val="24"/>
          <w:szCs w:val="24"/>
        </w:rPr>
        <w:t xml:space="preserve"> This would reflect a principle in which the older influences are more apparent, with the inherent Nabataean and Arab core belief system, and the Arab notion of family burial and monumental burial sites.</w:t>
      </w:r>
      <w:r w:rsidRPr="00BD2AB4">
        <w:rPr>
          <w:rStyle w:val="Funotenzeichen"/>
          <w:rFonts w:ascii="Times New Roman" w:hAnsi="Times New Roman" w:cs="Times New Roman"/>
          <w:sz w:val="24"/>
          <w:szCs w:val="24"/>
        </w:rPr>
        <w:footnoteReference w:id="390"/>
      </w:r>
      <w:r w:rsidRPr="00BD2AB4">
        <w:rPr>
          <w:rStyle w:val="FuzeileZchn"/>
          <w:rFonts w:ascii="Times New Roman" w:hAnsi="Times New Roman" w:cs="Times New Roman"/>
          <w:sz w:val="24"/>
          <w:szCs w:val="24"/>
        </w:rPr>
        <w:t xml:space="preserve"> However, paired with an innovative spirit and the presence of the right sand stone, led to tomb facades which possibly reflect more the Persian models at Persepolis, rather than a solely </w:t>
      </w:r>
      <w:r w:rsidRPr="00BD2AB4">
        <w:rPr>
          <w:rStyle w:val="FuzeileZchn"/>
          <w:rFonts w:ascii="Times New Roman" w:hAnsi="Times New Roman" w:cs="Times New Roman"/>
          <w:sz w:val="24"/>
          <w:szCs w:val="24"/>
        </w:rPr>
        <w:lastRenderedPageBreak/>
        <w:t>Hellenistic idea.</w:t>
      </w:r>
      <w:r w:rsidRPr="00BD2AB4">
        <w:rPr>
          <w:rStyle w:val="Funotenzeichen"/>
          <w:rFonts w:ascii="Times New Roman" w:hAnsi="Times New Roman" w:cs="Times New Roman"/>
          <w:sz w:val="24"/>
          <w:szCs w:val="24"/>
        </w:rPr>
        <w:footnoteReference w:id="391"/>
      </w:r>
      <w:r w:rsidRPr="00BD2AB4">
        <w:rPr>
          <w:rStyle w:val="FuzeileZchn"/>
          <w:rFonts w:ascii="Times New Roman" w:hAnsi="Times New Roman" w:cs="Times New Roman"/>
          <w:sz w:val="24"/>
          <w:szCs w:val="24"/>
        </w:rPr>
        <w:t xml:space="preserve"> Here, Hellenistic influence would have not directly influenced Nabataean architecture, but was facilitated through Persian culture. However, strikingly typical Alexandrian architectural features have been detected on royal tomb facades, finding parallels at Pompeii, which would have suggested a particularly strong connection of the Nabataean royal elite to Alexandria.</w:t>
      </w:r>
      <w:r w:rsidRPr="00BD2AB4">
        <w:rPr>
          <w:rStyle w:val="Funotenzeichen"/>
          <w:rFonts w:ascii="Times New Roman" w:hAnsi="Times New Roman" w:cs="Times New Roman"/>
          <w:sz w:val="24"/>
          <w:szCs w:val="24"/>
        </w:rPr>
        <w:footnoteReference w:id="392"/>
      </w:r>
      <w:r w:rsidRPr="00BD2AB4">
        <w:rPr>
          <w:rStyle w:val="FuzeileZchn"/>
          <w:rFonts w:ascii="Times New Roman" w:hAnsi="Times New Roman" w:cs="Times New Roman"/>
          <w:sz w:val="24"/>
          <w:szCs w:val="24"/>
        </w:rPr>
        <w:t xml:space="preserve"> Whilst the rest of the elite continued using mainly Achaemenid and Egyptian architectural features, paired with a few Hellenistic elements.</w:t>
      </w:r>
      <w:r w:rsidRPr="00BD2AB4">
        <w:rPr>
          <w:rStyle w:val="Funotenzeichen"/>
          <w:rFonts w:ascii="Times New Roman" w:hAnsi="Times New Roman" w:cs="Times New Roman"/>
          <w:sz w:val="24"/>
          <w:szCs w:val="24"/>
        </w:rPr>
        <w:footnoteReference w:id="393"/>
      </w:r>
      <w:r w:rsidRPr="00BD2AB4">
        <w:rPr>
          <w:rStyle w:val="FuzeileZchn"/>
          <w:rFonts w:ascii="Times New Roman" w:hAnsi="Times New Roman" w:cs="Times New Roman"/>
          <w:sz w:val="24"/>
          <w:szCs w:val="24"/>
        </w:rPr>
        <w:t xml:space="preserve"> Even resisting increasing Roman influence as it was suggested.</w:t>
      </w:r>
      <w:r w:rsidRPr="00BD2AB4">
        <w:rPr>
          <w:rStyle w:val="Funotenzeichen"/>
          <w:rFonts w:ascii="Times New Roman" w:hAnsi="Times New Roman" w:cs="Times New Roman"/>
          <w:sz w:val="24"/>
          <w:szCs w:val="24"/>
        </w:rPr>
        <w:footnoteReference w:id="394"/>
      </w:r>
      <w:r w:rsidRPr="00BD2AB4">
        <w:rPr>
          <w:rStyle w:val="FuzeileZchn"/>
          <w:rFonts w:ascii="Times New Roman" w:hAnsi="Times New Roman" w:cs="Times New Roman"/>
          <w:sz w:val="24"/>
          <w:szCs w:val="24"/>
        </w:rPr>
        <w:t xml:space="preserve"> Given that it was again the royal family that adopted a Greek system of power control, by promoting </w:t>
      </w:r>
      <w:proofErr w:type="spellStart"/>
      <w:r w:rsidRPr="00BD2AB4">
        <w:rPr>
          <w:rStyle w:val="FuzeileZchn"/>
          <w:rFonts w:ascii="Times New Roman" w:hAnsi="Times New Roman" w:cs="Times New Roman"/>
          <w:sz w:val="24"/>
          <w:szCs w:val="24"/>
        </w:rPr>
        <w:t>Dushara</w:t>
      </w:r>
      <w:proofErr w:type="spellEnd"/>
      <w:r w:rsidRPr="00BD2AB4">
        <w:rPr>
          <w:rStyle w:val="FuzeileZchn"/>
          <w:rFonts w:ascii="Times New Roman" w:hAnsi="Times New Roman" w:cs="Times New Roman"/>
          <w:sz w:val="24"/>
          <w:szCs w:val="24"/>
        </w:rPr>
        <w:t xml:space="preserve"> as a principle deity, while the rest of Nabataean elite preferred family own deities and rituals, it would be possible to state that it was mainly the royal family that was affected by Hellenistic and Roman influences before 106. A.D.</w:t>
      </w:r>
      <w:r w:rsidRPr="00BD2AB4">
        <w:rPr>
          <w:rStyle w:val="Funotenzeichen"/>
          <w:rFonts w:ascii="Times New Roman" w:hAnsi="Times New Roman" w:cs="Times New Roman"/>
          <w:sz w:val="24"/>
          <w:szCs w:val="24"/>
        </w:rPr>
        <w:footnoteReference w:id="395"/>
      </w:r>
      <w:r w:rsidRPr="00BD2AB4">
        <w:rPr>
          <w:rStyle w:val="FuzeileZchn"/>
          <w:rFonts w:ascii="Times New Roman" w:hAnsi="Times New Roman" w:cs="Times New Roman"/>
          <w:sz w:val="24"/>
          <w:szCs w:val="24"/>
        </w:rPr>
        <w:t xml:space="preserve"> </w:t>
      </w:r>
    </w:p>
    <w:p w14:paraId="279721ED" w14:textId="77777777" w:rsidR="00BD2AB4" w:rsidRPr="00BD2AB4" w:rsidRDefault="00BD2AB4" w:rsidP="00BD2AB4">
      <w:pPr>
        <w:spacing w:line="480" w:lineRule="auto"/>
        <w:rPr>
          <w:rFonts w:ascii="Times New Roman" w:hAnsi="Times New Roman" w:cs="Times New Roman"/>
          <w:sz w:val="24"/>
          <w:szCs w:val="24"/>
        </w:rPr>
      </w:pPr>
    </w:p>
    <w:p w14:paraId="2BA0B556" w14:textId="4F597145" w:rsidR="003A22E1" w:rsidRPr="006C1B19" w:rsidRDefault="003A22E1">
      <w:pPr>
        <w:rPr>
          <w:rFonts w:ascii="Times New Roman" w:hAnsi="Times New Roman" w:cs="Times New Roman"/>
          <w:sz w:val="24"/>
          <w:szCs w:val="24"/>
        </w:rPr>
      </w:pPr>
    </w:p>
    <w:p w14:paraId="355B336B" w14:textId="06D05110" w:rsidR="003A22E1" w:rsidRDefault="003A22E1">
      <w:pPr>
        <w:rPr>
          <w:rFonts w:ascii="Times New Roman" w:hAnsi="Times New Roman" w:cs="Times New Roman"/>
          <w:b/>
          <w:sz w:val="24"/>
          <w:szCs w:val="24"/>
          <w:u w:val="single"/>
        </w:rPr>
      </w:pPr>
    </w:p>
    <w:p w14:paraId="00C28757" w14:textId="41CED4BF" w:rsidR="003A22E1" w:rsidRDefault="003A22E1">
      <w:pPr>
        <w:rPr>
          <w:rFonts w:ascii="Times New Roman" w:hAnsi="Times New Roman" w:cs="Times New Roman"/>
          <w:b/>
          <w:sz w:val="24"/>
          <w:szCs w:val="24"/>
          <w:u w:val="single"/>
        </w:rPr>
      </w:pPr>
    </w:p>
    <w:p w14:paraId="36C46972" w14:textId="280E195A" w:rsidR="003A22E1" w:rsidRDefault="003A22E1">
      <w:pPr>
        <w:rPr>
          <w:rFonts w:ascii="Times New Roman" w:hAnsi="Times New Roman" w:cs="Times New Roman"/>
          <w:b/>
          <w:sz w:val="24"/>
          <w:szCs w:val="24"/>
          <w:u w:val="single"/>
        </w:rPr>
      </w:pPr>
    </w:p>
    <w:p w14:paraId="3FEF4A7E" w14:textId="5A099179" w:rsidR="003A22E1" w:rsidRDefault="003A22E1">
      <w:pPr>
        <w:rPr>
          <w:rFonts w:ascii="Times New Roman" w:hAnsi="Times New Roman" w:cs="Times New Roman"/>
          <w:b/>
          <w:sz w:val="24"/>
          <w:szCs w:val="24"/>
          <w:u w:val="single"/>
        </w:rPr>
      </w:pPr>
    </w:p>
    <w:p w14:paraId="3C1EB6A9" w14:textId="015233DC" w:rsidR="003A22E1" w:rsidRDefault="003A22E1">
      <w:pPr>
        <w:rPr>
          <w:rFonts w:ascii="Times New Roman" w:hAnsi="Times New Roman" w:cs="Times New Roman"/>
          <w:b/>
          <w:sz w:val="24"/>
          <w:szCs w:val="24"/>
          <w:u w:val="single"/>
        </w:rPr>
      </w:pPr>
    </w:p>
    <w:p w14:paraId="499C36D1" w14:textId="08EFDD1A" w:rsidR="003A22E1" w:rsidRDefault="003A22E1">
      <w:pPr>
        <w:rPr>
          <w:rFonts w:ascii="Times New Roman" w:hAnsi="Times New Roman" w:cs="Times New Roman"/>
          <w:b/>
          <w:sz w:val="24"/>
          <w:szCs w:val="24"/>
          <w:u w:val="single"/>
        </w:rPr>
      </w:pPr>
    </w:p>
    <w:p w14:paraId="1D9C8FFC" w14:textId="0D6BCFF2" w:rsidR="003A22E1" w:rsidRDefault="003A22E1">
      <w:pPr>
        <w:rPr>
          <w:rFonts w:ascii="Times New Roman" w:hAnsi="Times New Roman" w:cs="Times New Roman"/>
          <w:b/>
          <w:sz w:val="24"/>
          <w:szCs w:val="24"/>
          <w:u w:val="single"/>
        </w:rPr>
      </w:pPr>
    </w:p>
    <w:p w14:paraId="7C152300" w14:textId="77777777" w:rsidR="005305C2" w:rsidRDefault="005305C2">
      <w:pPr>
        <w:rPr>
          <w:rFonts w:ascii="Times New Roman" w:hAnsi="Times New Roman" w:cs="Times New Roman"/>
          <w:b/>
          <w:sz w:val="24"/>
          <w:szCs w:val="24"/>
          <w:u w:val="single"/>
        </w:rPr>
      </w:pPr>
    </w:p>
    <w:p w14:paraId="02A8A18B" w14:textId="1A49FD08" w:rsidR="003A22E1" w:rsidRDefault="003A22E1">
      <w:pPr>
        <w:rPr>
          <w:rFonts w:ascii="Times New Roman" w:hAnsi="Times New Roman" w:cs="Times New Roman"/>
          <w:b/>
          <w:sz w:val="24"/>
          <w:szCs w:val="24"/>
          <w:u w:val="single"/>
        </w:rPr>
      </w:pPr>
    </w:p>
    <w:p w14:paraId="237CE3D8" w14:textId="093D87F9" w:rsidR="003A22E1" w:rsidRDefault="003A22E1">
      <w:pPr>
        <w:rPr>
          <w:rFonts w:ascii="Times New Roman" w:hAnsi="Times New Roman" w:cs="Times New Roman"/>
          <w:b/>
          <w:sz w:val="24"/>
          <w:szCs w:val="24"/>
          <w:u w:val="single"/>
        </w:rPr>
      </w:pPr>
    </w:p>
    <w:p w14:paraId="18961F45" w14:textId="3F98629B" w:rsidR="003A22E1" w:rsidRDefault="00177A16" w:rsidP="00784249">
      <w:pPr>
        <w:jc w:val="center"/>
        <w:rPr>
          <w:rFonts w:ascii="Times New Roman" w:hAnsi="Times New Roman" w:cs="Times New Roman"/>
          <w:b/>
          <w:sz w:val="24"/>
          <w:szCs w:val="24"/>
          <w:u w:val="single"/>
        </w:rPr>
      </w:pPr>
      <w:r>
        <w:rPr>
          <w:rFonts w:ascii="Times New Roman" w:hAnsi="Times New Roman" w:cs="Times New Roman"/>
          <w:b/>
          <w:sz w:val="24"/>
          <w:szCs w:val="24"/>
          <w:u w:val="single"/>
        </w:rPr>
        <w:lastRenderedPageBreak/>
        <w:t>Bibliography</w:t>
      </w:r>
    </w:p>
    <w:p w14:paraId="03D200EB" w14:textId="2A79E3E1" w:rsidR="00784249" w:rsidRDefault="00784249" w:rsidP="00784249">
      <w:pPr>
        <w:jc w:val="center"/>
        <w:rPr>
          <w:rFonts w:ascii="Times New Roman" w:hAnsi="Times New Roman" w:cs="Times New Roman"/>
          <w:b/>
          <w:sz w:val="24"/>
          <w:szCs w:val="24"/>
          <w:u w:val="single"/>
        </w:rPr>
      </w:pPr>
    </w:p>
    <w:p w14:paraId="21280489" w14:textId="5B83AE1C" w:rsidR="00784249" w:rsidRDefault="00177A16" w:rsidP="00784249">
      <w:pPr>
        <w:rPr>
          <w:rFonts w:ascii="Times New Roman" w:hAnsi="Times New Roman" w:cs="Times New Roman"/>
          <w:sz w:val="24"/>
          <w:szCs w:val="24"/>
          <w:u w:val="single"/>
        </w:rPr>
      </w:pPr>
      <w:r>
        <w:rPr>
          <w:rFonts w:ascii="Times New Roman" w:hAnsi="Times New Roman" w:cs="Times New Roman"/>
          <w:sz w:val="24"/>
          <w:szCs w:val="24"/>
          <w:u w:val="single"/>
        </w:rPr>
        <w:t xml:space="preserve">Ancient sources </w:t>
      </w:r>
    </w:p>
    <w:p w14:paraId="65BB424F" w14:textId="50962D68" w:rsidR="00177A16" w:rsidRDefault="00177A16" w:rsidP="00784249">
      <w:pPr>
        <w:rPr>
          <w:rFonts w:ascii="Times New Roman" w:hAnsi="Times New Roman" w:cs="Times New Roman"/>
          <w:sz w:val="24"/>
          <w:szCs w:val="24"/>
        </w:rPr>
      </w:pPr>
    </w:p>
    <w:p w14:paraId="2C58DBBA" w14:textId="40DC23B4" w:rsidR="000F378B" w:rsidRDefault="000F378B" w:rsidP="00784249">
      <w:pPr>
        <w:rPr>
          <w:rFonts w:ascii="Times New Roman" w:hAnsi="Times New Roman" w:cs="Times New Roman"/>
          <w:sz w:val="24"/>
          <w:szCs w:val="24"/>
        </w:rPr>
      </w:pPr>
      <w:proofErr w:type="spellStart"/>
      <w:r>
        <w:rPr>
          <w:rFonts w:ascii="Times New Roman" w:hAnsi="Times New Roman" w:cs="Times New Roman"/>
          <w:sz w:val="24"/>
          <w:szCs w:val="24"/>
        </w:rPr>
        <w:t>Diodorus</w:t>
      </w:r>
      <w:proofErr w:type="spellEnd"/>
      <w:r>
        <w:rPr>
          <w:rFonts w:ascii="Times New Roman" w:hAnsi="Times New Roman" w:cs="Times New Roman"/>
          <w:sz w:val="24"/>
          <w:szCs w:val="24"/>
        </w:rPr>
        <w:t xml:space="preserve"> Siculus, </w:t>
      </w:r>
      <w:r>
        <w:rPr>
          <w:rFonts w:ascii="Times New Roman" w:hAnsi="Times New Roman" w:cs="Times New Roman"/>
          <w:i/>
          <w:sz w:val="24"/>
          <w:szCs w:val="24"/>
        </w:rPr>
        <w:t xml:space="preserve">Book XIX. </w:t>
      </w:r>
      <w:r w:rsidR="00090B7B">
        <w:rPr>
          <w:rFonts w:ascii="Times New Roman" w:hAnsi="Times New Roman" w:cs="Times New Roman"/>
          <w:sz w:val="24"/>
          <w:szCs w:val="24"/>
        </w:rPr>
        <w:t>R.M. Geer. 1947. Cambridge, Harvard University Press.</w:t>
      </w:r>
    </w:p>
    <w:p w14:paraId="585287FB" w14:textId="54B9E6F2" w:rsidR="00626B29" w:rsidRPr="00626B29" w:rsidRDefault="00626B29" w:rsidP="00784249">
      <w:pPr>
        <w:rPr>
          <w:rFonts w:ascii="Times New Roman" w:hAnsi="Times New Roman" w:cs="Times New Roman"/>
          <w:sz w:val="24"/>
          <w:szCs w:val="24"/>
        </w:rPr>
      </w:pPr>
      <w:r>
        <w:rPr>
          <w:rFonts w:ascii="Times New Roman" w:hAnsi="Times New Roman" w:cs="Times New Roman"/>
          <w:sz w:val="24"/>
          <w:szCs w:val="24"/>
        </w:rPr>
        <w:t>Herodotus,</w:t>
      </w:r>
      <w:r>
        <w:rPr>
          <w:rFonts w:ascii="Times New Roman" w:hAnsi="Times New Roman" w:cs="Times New Roman"/>
          <w:i/>
          <w:sz w:val="24"/>
          <w:szCs w:val="24"/>
        </w:rPr>
        <w:t xml:space="preserve"> Histories III. </w:t>
      </w:r>
      <w:r>
        <w:rPr>
          <w:rFonts w:ascii="Times New Roman" w:hAnsi="Times New Roman" w:cs="Times New Roman"/>
          <w:sz w:val="24"/>
          <w:szCs w:val="24"/>
        </w:rPr>
        <w:t>A.D. Godley. 1922. Cambridge, Harvard University Press.</w:t>
      </w:r>
    </w:p>
    <w:p w14:paraId="4BED9520" w14:textId="78115A4B" w:rsidR="00656F7A" w:rsidRPr="00656F7A" w:rsidRDefault="00656F7A" w:rsidP="00784249">
      <w:pPr>
        <w:rPr>
          <w:rFonts w:ascii="Times New Roman" w:hAnsi="Times New Roman" w:cs="Times New Roman"/>
          <w:sz w:val="24"/>
          <w:szCs w:val="24"/>
        </w:rPr>
      </w:pPr>
      <w:r w:rsidRPr="00656F7A">
        <w:rPr>
          <w:rFonts w:ascii="Times New Roman" w:hAnsi="Times New Roman" w:cs="Times New Roman"/>
          <w:sz w:val="24"/>
          <w:szCs w:val="24"/>
        </w:rPr>
        <w:t xml:space="preserve">Josephus, </w:t>
      </w:r>
      <w:proofErr w:type="spellStart"/>
      <w:r w:rsidRPr="00656F7A">
        <w:rPr>
          <w:rFonts w:ascii="Times New Roman" w:hAnsi="Times New Roman" w:cs="Times New Roman"/>
          <w:i/>
          <w:sz w:val="24"/>
          <w:szCs w:val="24"/>
        </w:rPr>
        <w:t>Antiquitates</w:t>
      </w:r>
      <w:proofErr w:type="spellEnd"/>
      <w:r w:rsidRPr="00656F7A">
        <w:rPr>
          <w:rFonts w:ascii="Times New Roman" w:hAnsi="Times New Roman" w:cs="Times New Roman"/>
          <w:i/>
          <w:sz w:val="24"/>
          <w:szCs w:val="24"/>
        </w:rPr>
        <w:t xml:space="preserve"> </w:t>
      </w:r>
      <w:proofErr w:type="spellStart"/>
      <w:r w:rsidRPr="00656F7A">
        <w:rPr>
          <w:rFonts w:ascii="Times New Roman" w:hAnsi="Times New Roman" w:cs="Times New Roman"/>
          <w:i/>
          <w:sz w:val="24"/>
          <w:szCs w:val="24"/>
        </w:rPr>
        <w:t>Judaicae</w:t>
      </w:r>
      <w:proofErr w:type="spellEnd"/>
      <w:r w:rsidRPr="00656F7A">
        <w:rPr>
          <w:rFonts w:ascii="Times New Roman" w:hAnsi="Times New Roman" w:cs="Times New Roman"/>
          <w:i/>
          <w:sz w:val="24"/>
          <w:szCs w:val="24"/>
        </w:rPr>
        <w:t xml:space="preserve"> XIX.</w:t>
      </w:r>
      <w:r>
        <w:rPr>
          <w:rFonts w:ascii="Times New Roman" w:hAnsi="Times New Roman" w:cs="Times New Roman"/>
          <w:i/>
          <w:sz w:val="24"/>
          <w:szCs w:val="24"/>
        </w:rPr>
        <w:t xml:space="preserve"> </w:t>
      </w:r>
      <w:r w:rsidRPr="00656F7A">
        <w:rPr>
          <w:rFonts w:ascii="Times New Roman" w:hAnsi="Times New Roman" w:cs="Times New Roman"/>
          <w:sz w:val="24"/>
          <w:szCs w:val="24"/>
        </w:rPr>
        <w:t>H.</w:t>
      </w:r>
      <w:r>
        <w:rPr>
          <w:rFonts w:ascii="Times New Roman" w:hAnsi="Times New Roman" w:cs="Times New Roman"/>
          <w:sz w:val="24"/>
          <w:szCs w:val="24"/>
        </w:rPr>
        <w:t xml:space="preserve"> </w:t>
      </w:r>
      <w:r w:rsidRPr="00656F7A">
        <w:rPr>
          <w:rFonts w:ascii="Times New Roman" w:hAnsi="Times New Roman" w:cs="Times New Roman"/>
          <w:sz w:val="24"/>
          <w:szCs w:val="24"/>
        </w:rPr>
        <w:t>St.</w:t>
      </w:r>
      <w:r>
        <w:rPr>
          <w:rFonts w:ascii="Times New Roman" w:hAnsi="Times New Roman" w:cs="Times New Roman"/>
          <w:sz w:val="24"/>
          <w:szCs w:val="24"/>
        </w:rPr>
        <w:t xml:space="preserve"> </w:t>
      </w:r>
      <w:r w:rsidRPr="00656F7A">
        <w:rPr>
          <w:rFonts w:ascii="Times New Roman" w:hAnsi="Times New Roman" w:cs="Times New Roman"/>
          <w:sz w:val="24"/>
          <w:szCs w:val="24"/>
        </w:rPr>
        <w:t>J.</w:t>
      </w:r>
      <w:r>
        <w:rPr>
          <w:rFonts w:ascii="Times New Roman" w:hAnsi="Times New Roman" w:cs="Times New Roman"/>
          <w:sz w:val="24"/>
          <w:szCs w:val="24"/>
        </w:rPr>
        <w:t xml:space="preserve"> </w:t>
      </w:r>
      <w:r w:rsidRPr="00656F7A">
        <w:rPr>
          <w:rFonts w:ascii="Times New Roman" w:hAnsi="Times New Roman" w:cs="Times New Roman"/>
          <w:sz w:val="24"/>
          <w:szCs w:val="24"/>
        </w:rPr>
        <w:t>Thacke</w:t>
      </w:r>
      <w:r>
        <w:rPr>
          <w:rFonts w:ascii="Times New Roman" w:hAnsi="Times New Roman" w:cs="Times New Roman"/>
          <w:sz w:val="24"/>
          <w:szCs w:val="24"/>
        </w:rPr>
        <w:t>ray.1930. Cambridge, Harvard University Press.</w:t>
      </w:r>
    </w:p>
    <w:p w14:paraId="0B8A6F9A" w14:textId="24F601B4" w:rsidR="000F378B" w:rsidRDefault="009378F5" w:rsidP="00784249">
      <w:pPr>
        <w:rPr>
          <w:rFonts w:ascii="Times New Roman" w:hAnsi="Times New Roman" w:cs="Times New Roman"/>
          <w:sz w:val="24"/>
          <w:szCs w:val="24"/>
        </w:rPr>
      </w:pPr>
      <w:r>
        <w:rPr>
          <w:rFonts w:ascii="Times New Roman" w:hAnsi="Times New Roman" w:cs="Times New Roman"/>
          <w:sz w:val="24"/>
          <w:szCs w:val="24"/>
        </w:rPr>
        <w:t xml:space="preserve">Pliny the Elder, </w:t>
      </w:r>
      <w:r>
        <w:rPr>
          <w:rFonts w:ascii="Times New Roman" w:hAnsi="Times New Roman" w:cs="Times New Roman"/>
          <w:i/>
          <w:sz w:val="24"/>
          <w:szCs w:val="24"/>
        </w:rPr>
        <w:t xml:space="preserve">Historia </w:t>
      </w:r>
      <w:r w:rsidRPr="009378F5">
        <w:rPr>
          <w:rFonts w:ascii="Times New Roman" w:hAnsi="Times New Roman" w:cs="Times New Roman"/>
          <w:i/>
          <w:sz w:val="24"/>
          <w:szCs w:val="24"/>
        </w:rPr>
        <w:t xml:space="preserve">Naturalis </w:t>
      </w:r>
      <w:r w:rsidRPr="009378F5">
        <w:rPr>
          <w:rFonts w:ascii="Times New Roman" w:hAnsi="Times New Roman" w:cs="Times New Roman"/>
          <w:i/>
        </w:rPr>
        <w:t>6.2.824.</w:t>
      </w:r>
      <w:r>
        <w:rPr>
          <w:rFonts w:ascii="Times New Roman" w:hAnsi="Times New Roman" w:cs="Times New Roman"/>
          <w:i/>
          <w:sz w:val="24"/>
          <w:szCs w:val="24"/>
        </w:rPr>
        <w:t xml:space="preserve"> </w:t>
      </w:r>
      <w:r>
        <w:rPr>
          <w:rFonts w:ascii="Times New Roman" w:hAnsi="Times New Roman" w:cs="Times New Roman"/>
          <w:sz w:val="24"/>
          <w:szCs w:val="24"/>
        </w:rPr>
        <w:t>H. Rackham. 1938. Cambridge, Harvard University Press.</w:t>
      </w:r>
    </w:p>
    <w:p w14:paraId="0CAC2C43" w14:textId="4994F874" w:rsidR="00090B7B" w:rsidRDefault="00090B7B" w:rsidP="00784249">
      <w:pPr>
        <w:rPr>
          <w:rFonts w:ascii="Times New Roman" w:hAnsi="Times New Roman" w:cs="Times New Roman"/>
          <w:sz w:val="24"/>
          <w:szCs w:val="24"/>
        </w:rPr>
      </w:pPr>
    </w:p>
    <w:p w14:paraId="730C5819" w14:textId="31481C6F" w:rsidR="00A6608D" w:rsidRPr="00140183" w:rsidRDefault="00A6608D" w:rsidP="00784249">
      <w:pPr>
        <w:rPr>
          <w:rFonts w:ascii="Times New Roman" w:hAnsi="Times New Roman" w:cs="Times New Roman"/>
          <w:sz w:val="24"/>
          <w:szCs w:val="24"/>
          <w:u w:val="single"/>
        </w:rPr>
      </w:pPr>
      <w:r w:rsidRPr="00140183">
        <w:rPr>
          <w:rFonts w:ascii="Times New Roman" w:hAnsi="Times New Roman" w:cs="Times New Roman"/>
          <w:sz w:val="24"/>
          <w:szCs w:val="24"/>
          <w:u w:val="single"/>
        </w:rPr>
        <w:t xml:space="preserve">Modern scholarship </w:t>
      </w:r>
    </w:p>
    <w:p w14:paraId="3677AA69" w14:textId="77777777" w:rsidR="006D5691" w:rsidRPr="00140183" w:rsidRDefault="006D5691" w:rsidP="00784249">
      <w:pPr>
        <w:rPr>
          <w:rFonts w:ascii="Times New Roman" w:hAnsi="Times New Roman" w:cs="Times New Roman"/>
          <w:sz w:val="24"/>
          <w:szCs w:val="24"/>
          <w:u w:val="single"/>
        </w:rPr>
      </w:pPr>
    </w:p>
    <w:p w14:paraId="7411D891" w14:textId="77777777" w:rsidR="00A53EB0" w:rsidRPr="00140183" w:rsidRDefault="00A53EB0" w:rsidP="00A53EB0">
      <w:pPr>
        <w:rPr>
          <w:rFonts w:ascii="Times New Roman" w:hAnsi="Times New Roman" w:cs="Times New Roman"/>
          <w:sz w:val="24"/>
          <w:szCs w:val="24"/>
        </w:rPr>
      </w:pPr>
      <w:r w:rsidRPr="00140183">
        <w:rPr>
          <w:rFonts w:ascii="Times New Roman" w:hAnsi="Times New Roman" w:cs="Times New Roman"/>
          <w:i/>
          <w:iCs/>
          <w:sz w:val="24"/>
          <w:szCs w:val="24"/>
        </w:rPr>
        <w:t>Alexandria, Silk Roads.</w:t>
      </w:r>
      <w:r w:rsidRPr="00140183">
        <w:rPr>
          <w:rFonts w:ascii="Times New Roman" w:hAnsi="Times New Roman" w:cs="Times New Roman"/>
          <w:iCs/>
          <w:sz w:val="24"/>
          <w:szCs w:val="24"/>
        </w:rPr>
        <w:t xml:space="preserve"> 2019. UNESCO. Available at </w:t>
      </w:r>
      <w:hyperlink r:id="rId8" w:history="1">
        <w:r w:rsidRPr="00140183">
          <w:rPr>
            <w:rStyle w:val="Hyperlink"/>
            <w:rFonts w:ascii="Times New Roman" w:hAnsi="Times New Roman" w:cs="Times New Roman"/>
            <w:iCs/>
            <w:color w:val="auto"/>
            <w:sz w:val="24"/>
            <w:szCs w:val="24"/>
            <w:u w:val="none"/>
          </w:rPr>
          <w:t>https://en.unesco.org/silkroad/content/alexandria</w:t>
        </w:r>
      </w:hyperlink>
      <w:r w:rsidRPr="00140183">
        <w:rPr>
          <w:rFonts w:ascii="Times New Roman" w:hAnsi="Times New Roman" w:cs="Times New Roman"/>
          <w:iCs/>
          <w:sz w:val="24"/>
          <w:szCs w:val="24"/>
        </w:rPr>
        <w:t xml:space="preserve"> (Accessed:3 May 2019).</w:t>
      </w:r>
    </w:p>
    <w:p w14:paraId="6888D0E3" w14:textId="361B96BA" w:rsidR="00A07959" w:rsidRPr="00140183" w:rsidRDefault="00A07959" w:rsidP="00784249">
      <w:pPr>
        <w:rPr>
          <w:rFonts w:ascii="Times New Roman" w:hAnsi="Times New Roman" w:cs="Times New Roman"/>
          <w:sz w:val="24"/>
          <w:szCs w:val="24"/>
        </w:rPr>
      </w:pPr>
      <w:proofErr w:type="spellStart"/>
      <w:r w:rsidRPr="00140183">
        <w:rPr>
          <w:rFonts w:ascii="Times New Roman" w:hAnsi="Times New Roman" w:cs="Times New Roman"/>
          <w:sz w:val="24"/>
          <w:szCs w:val="24"/>
        </w:rPr>
        <w:t>Alpass</w:t>
      </w:r>
      <w:proofErr w:type="spellEnd"/>
      <w:r w:rsidRPr="00140183">
        <w:rPr>
          <w:rFonts w:ascii="Times New Roman" w:hAnsi="Times New Roman" w:cs="Times New Roman"/>
          <w:sz w:val="24"/>
          <w:szCs w:val="24"/>
        </w:rPr>
        <w:t xml:space="preserve">, P. (2013) </w:t>
      </w:r>
      <w:r w:rsidRPr="00140183">
        <w:rPr>
          <w:rFonts w:ascii="Times New Roman" w:hAnsi="Times New Roman" w:cs="Times New Roman"/>
          <w:i/>
          <w:iCs/>
          <w:sz w:val="24"/>
          <w:szCs w:val="24"/>
        </w:rPr>
        <w:t>The Religious Life of Nabataea</w:t>
      </w:r>
      <w:r w:rsidRPr="00140183">
        <w:rPr>
          <w:rFonts w:ascii="Times New Roman" w:hAnsi="Times New Roman" w:cs="Times New Roman"/>
          <w:sz w:val="24"/>
          <w:szCs w:val="24"/>
        </w:rPr>
        <w:t xml:space="preserve">, </w:t>
      </w:r>
      <w:r w:rsidRPr="00140183">
        <w:rPr>
          <w:rFonts w:ascii="Times New Roman" w:hAnsi="Times New Roman" w:cs="Times New Roman"/>
          <w:i/>
          <w:iCs/>
          <w:sz w:val="24"/>
          <w:szCs w:val="24"/>
        </w:rPr>
        <w:t>Brill Leiden</w:t>
      </w:r>
      <w:r w:rsidRPr="00140183">
        <w:rPr>
          <w:rFonts w:ascii="Times New Roman" w:hAnsi="Times New Roman" w:cs="Times New Roman"/>
          <w:sz w:val="24"/>
          <w:szCs w:val="24"/>
        </w:rPr>
        <w:t>. Boston.</w:t>
      </w:r>
    </w:p>
    <w:p w14:paraId="59FFD9A3" w14:textId="77777777" w:rsidR="00A53EB0" w:rsidRPr="00140183" w:rsidRDefault="00A53EB0" w:rsidP="00A53EB0">
      <w:pPr>
        <w:rPr>
          <w:rFonts w:ascii="Times New Roman" w:hAnsi="Times New Roman" w:cs="Times New Roman"/>
          <w:sz w:val="24"/>
          <w:szCs w:val="24"/>
        </w:rPr>
      </w:pPr>
      <w:proofErr w:type="spellStart"/>
      <w:r w:rsidRPr="00140183">
        <w:rPr>
          <w:rFonts w:ascii="Times New Roman" w:hAnsi="Times New Roman" w:cs="Times New Roman"/>
          <w:sz w:val="24"/>
          <w:szCs w:val="24"/>
        </w:rPr>
        <w:t>Altaweel</w:t>
      </w:r>
      <w:proofErr w:type="spellEnd"/>
      <w:r w:rsidRPr="00140183">
        <w:rPr>
          <w:rFonts w:ascii="Times New Roman" w:hAnsi="Times New Roman" w:cs="Times New Roman"/>
          <w:sz w:val="24"/>
          <w:szCs w:val="24"/>
        </w:rPr>
        <w:t xml:space="preserve">, M. and </w:t>
      </w:r>
      <w:proofErr w:type="spellStart"/>
      <w:r w:rsidRPr="00140183">
        <w:rPr>
          <w:rFonts w:ascii="Times New Roman" w:hAnsi="Times New Roman" w:cs="Times New Roman"/>
          <w:sz w:val="24"/>
          <w:szCs w:val="24"/>
        </w:rPr>
        <w:t>Squitieri</w:t>
      </w:r>
      <w:proofErr w:type="spellEnd"/>
      <w:r w:rsidRPr="00140183">
        <w:rPr>
          <w:rFonts w:ascii="Times New Roman" w:hAnsi="Times New Roman" w:cs="Times New Roman"/>
          <w:sz w:val="24"/>
          <w:szCs w:val="24"/>
        </w:rPr>
        <w:t xml:space="preserve">, A. 2018. ‘Material culture hybridization’, in </w:t>
      </w:r>
      <w:r w:rsidRPr="00140183">
        <w:rPr>
          <w:rFonts w:ascii="Times New Roman" w:hAnsi="Times New Roman" w:cs="Times New Roman"/>
          <w:i/>
          <w:iCs/>
          <w:sz w:val="24"/>
          <w:szCs w:val="24"/>
        </w:rPr>
        <w:t>Revolutionizing a World</w:t>
      </w:r>
      <w:r w:rsidRPr="00140183">
        <w:rPr>
          <w:rFonts w:ascii="Times New Roman" w:hAnsi="Times New Roman" w:cs="Times New Roman"/>
          <w:sz w:val="24"/>
          <w:szCs w:val="24"/>
        </w:rPr>
        <w:t>. UCL Press.</w:t>
      </w:r>
    </w:p>
    <w:p w14:paraId="7B598F28" w14:textId="083E52EC" w:rsidR="00A53EB0" w:rsidRPr="00140183" w:rsidRDefault="00A53EB0" w:rsidP="00A53EB0">
      <w:pPr>
        <w:rPr>
          <w:rFonts w:ascii="Times New Roman" w:hAnsi="Times New Roman" w:cs="Times New Roman"/>
          <w:sz w:val="24"/>
          <w:szCs w:val="24"/>
        </w:rPr>
      </w:pPr>
      <w:r w:rsidRPr="00140183">
        <w:rPr>
          <w:rFonts w:ascii="Times New Roman" w:hAnsi="Times New Roman" w:cs="Times New Roman"/>
          <w:sz w:val="24"/>
          <w:szCs w:val="24"/>
        </w:rPr>
        <w:t>Anderson, B. 2002. ‘</w:t>
      </w:r>
      <w:r w:rsidRPr="00140183">
        <w:rPr>
          <w:rFonts w:ascii="Times New Roman" w:hAnsi="Times New Roman" w:cs="Times New Roman"/>
          <w:i/>
          <w:sz w:val="24"/>
          <w:szCs w:val="24"/>
        </w:rPr>
        <w:t>Imperial Legacies, Local Identities: References to Achaemenid Persian Iconography on Crenelated Nabataean Tombs’</w:t>
      </w:r>
      <w:r w:rsidRPr="00140183">
        <w:rPr>
          <w:rFonts w:ascii="Times New Roman" w:hAnsi="Times New Roman" w:cs="Times New Roman"/>
          <w:sz w:val="24"/>
          <w:szCs w:val="24"/>
        </w:rPr>
        <w:t xml:space="preserve">, </w:t>
      </w:r>
      <w:r w:rsidRPr="00140183">
        <w:rPr>
          <w:rFonts w:ascii="Times New Roman" w:hAnsi="Times New Roman" w:cs="Times New Roman"/>
          <w:iCs/>
          <w:sz w:val="24"/>
          <w:szCs w:val="24"/>
        </w:rPr>
        <w:t xml:space="preserve">Ars </w:t>
      </w:r>
      <w:proofErr w:type="spellStart"/>
      <w:r w:rsidRPr="00140183">
        <w:rPr>
          <w:rFonts w:ascii="Times New Roman" w:hAnsi="Times New Roman" w:cs="Times New Roman"/>
          <w:iCs/>
          <w:sz w:val="24"/>
          <w:szCs w:val="24"/>
        </w:rPr>
        <w:t>Orientalis</w:t>
      </w:r>
      <w:proofErr w:type="spellEnd"/>
      <w:r w:rsidRPr="00140183">
        <w:rPr>
          <w:rFonts w:ascii="Times New Roman" w:hAnsi="Times New Roman" w:cs="Times New Roman"/>
          <w:sz w:val="24"/>
          <w:szCs w:val="24"/>
        </w:rPr>
        <w:t>, 32(2002), pp. 163–207</w:t>
      </w:r>
    </w:p>
    <w:p w14:paraId="2FDB7BA7" w14:textId="390EE1EE" w:rsidR="00A53EB0" w:rsidRPr="00140183" w:rsidRDefault="00A53EB0" w:rsidP="00A53EB0">
      <w:pPr>
        <w:rPr>
          <w:rFonts w:ascii="Times New Roman" w:hAnsi="Times New Roman" w:cs="Times New Roman"/>
          <w:sz w:val="24"/>
          <w:szCs w:val="24"/>
        </w:rPr>
      </w:pPr>
      <w:r w:rsidRPr="00140183">
        <w:rPr>
          <w:rFonts w:ascii="Times New Roman" w:hAnsi="Times New Roman" w:cs="Times New Roman"/>
          <w:sz w:val="24"/>
          <w:szCs w:val="24"/>
        </w:rPr>
        <w:t>Angelo, B. D. 2009. ‘The evolution of the Macedonian Tomb: Hellenistic Funerary Architecture Revisited’, 821(38), pp. 57–68.</w:t>
      </w:r>
    </w:p>
    <w:p w14:paraId="5347C4BE"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 xml:space="preserve">Boys-Stones, G., </w:t>
      </w:r>
      <w:proofErr w:type="spellStart"/>
      <w:r w:rsidRPr="00140183">
        <w:rPr>
          <w:rFonts w:ascii="Times New Roman" w:hAnsi="Times New Roman" w:cs="Times New Roman"/>
          <w:sz w:val="24"/>
          <w:szCs w:val="24"/>
        </w:rPr>
        <w:t>Graziosi</w:t>
      </w:r>
      <w:proofErr w:type="spellEnd"/>
      <w:r w:rsidRPr="00140183">
        <w:rPr>
          <w:rFonts w:ascii="Times New Roman" w:hAnsi="Times New Roman" w:cs="Times New Roman"/>
          <w:sz w:val="24"/>
          <w:szCs w:val="24"/>
        </w:rPr>
        <w:t xml:space="preserve">, B. and </w:t>
      </w:r>
      <w:proofErr w:type="spellStart"/>
      <w:r w:rsidRPr="00140183">
        <w:rPr>
          <w:rFonts w:ascii="Times New Roman" w:hAnsi="Times New Roman" w:cs="Times New Roman"/>
          <w:sz w:val="24"/>
          <w:szCs w:val="24"/>
        </w:rPr>
        <w:t>Vasunia</w:t>
      </w:r>
      <w:proofErr w:type="spellEnd"/>
      <w:r w:rsidRPr="00140183">
        <w:rPr>
          <w:rFonts w:ascii="Times New Roman" w:hAnsi="Times New Roman" w:cs="Times New Roman"/>
          <w:sz w:val="24"/>
          <w:szCs w:val="24"/>
        </w:rPr>
        <w:t xml:space="preserve">, P. (eds) .2009. </w:t>
      </w:r>
      <w:r w:rsidRPr="00140183">
        <w:rPr>
          <w:rFonts w:ascii="Times New Roman" w:hAnsi="Times New Roman" w:cs="Times New Roman"/>
          <w:i/>
          <w:iCs/>
          <w:sz w:val="24"/>
          <w:szCs w:val="24"/>
        </w:rPr>
        <w:t>The Oxford Handbook of Hellenic Studies</w:t>
      </w:r>
      <w:r w:rsidRPr="00140183">
        <w:rPr>
          <w:rFonts w:ascii="Times New Roman" w:hAnsi="Times New Roman" w:cs="Times New Roman"/>
          <w:sz w:val="24"/>
          <w:szCs w:val="24"/>
        </w:rPr>
        <w:t>. Oxford: Oxford University Press.</w:t>
      </w:r>
    </w:p>
    <w:p w14:paraId="7B063988" w14:textId="77777777" w:rsidR="007B4316" w:rsidRPr="00140183" w:rsidRDefault="007B4316" w:rsidP="007B4316">
      <w:pPr>
        <w:rPr>
          <w:rFonts w:ascii="Times New Roman" w:hAnsi="Times New Roman" w:cs="Times New Roman"/>
          <w:sz w:val="24"/>
          <w:szCs w:val="24"/>
        </w:rPr>
      </w:pPr>
      <w:r w:rsidRPr="00140183">
        <w:rPr>
          <w:rFonts w:ascii="Times New Roman" w:hAnsi="Times New Roman" w:cs="Times New Roman"/>
          <w:sz w:val="24"/>
          <w:szCs w:val="24"/>
        </w:rPr>
        <w:t xml:space="preserve">Brass, M. 2003. </w:t>
      </w:r>
      <w:r w:rsidRPr="00140183">
        <w:rPr>
          <w:rFonts w:ascii="Times New Roman" w:hAnsi="Times New Roman" w:cs="Times New Roman"/>
          <w:i/>
          <w:iCs/>
          <w:sz w:val="24"/>
          <w:szCs w:val="24"/>
        </w:rPr>
        <w:t>The nature of urbanism in Ancient Egypt</w:t>
      </w:r>
      <w:r w:rsidRPr="00140183">
        <w:rPr>
          <w:rFonts w:ascii="Times New Roman" w:hAnsi="Times New Roman" w:cs="Times New Roman"/>
          <w:sz w:val="24"/>
          <w:szCs w:val="24"/>
        </w:rPr>
        <w:t xml:space="preserve">, </w:t>
      </w:r>
      <w:r w:rsidRPr="00140183">
        <w:rPr>
          <w:rFonts w:ascii="Times New Roman" w:hAnsi="Times New Roman" w:cs="Times New Roman"/>
          <w:i/>
          <w:iCs/>
          <w:sz w:val="24"/>
          <w:szCs w:val="24"/>
        </w:rPr>
        <w:t>University College of London</w:t>
      </w:r>
      <w:r w:rsidRPr="00140183">
        <w:rPr>
          <w:rFonts w:ascii="Times New Roman" w:hAnsi="Times New Roman" w:cs="Times New Roman"/>
          <w:sz w:val="24"/>
          <w:szCs w:val="24"/>
        </w:rPr>
        <w:t>.</w:t>
      </w:r>
    </w:p>
    <w:p w14:paraId="39F8D4F6" w14:textId="7B8E7299"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i/>
          <w:iCs/>
          <w:sz w:val="24"/>
          <w:szCs w:val="24"/>
        </w:rPr>
        <w:t>Byblos</w:t>
      </w:r>
      <w:r w:rsidRPr="00140183">
        <w:rPr>
          <w:rFonts w:ascii="Times New Roman" w:hAnsi="Times New Roman" w:cs="Times New Roman"/>
          <w:sz w:val="24"/>
          <w:szCs w:val="24"/>
        </w:rPr>
        <w:t>.2019. Livius.org. Available at: https://www.livius.org/articles/place/byblos/ (Accessed: 27 April 2019).</w:t>
      </w:r>
    </w:p>
    <w:p w14:paraId="05314553"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i/>
          <w:iCs/>
          <w:sz w:val="24"/>
          <w:szCs w:val="24"/>
        </w:rPr>
        <w:t>Colonization</w:t>
      </w:r>
      <w:r w:rsidRPr="00140183">
        <w:rPr>
          <w:rFonts w:ascii="Times New Roman" w:hAnsi="Times New Roman" w:cs="Times New Roman"/>
          <w:sz w:val="24"/>
          <w:szCs w:val="24"/>
        </w:rPr>
        <w:t xml:space="preserve">. </w:t>
      </w:r>
      <w:r w:rsidRPr="00140183">
        <w:rPr>
          <w:rFonts w:ascii="Times New Roman" w:hAnsi="Times New Roman" w:cs="Times New Roman"/>
          <w:i/>
          <w:iCs/>
          <w:sz w:val="24"/>
          <w:szCs w:val="24"/>
        </w:rPr>
        <w:t>2019</w:t>
      </w:r>
      <w:r w:rsidRPr="00140183">
        <w:rPr>
          <w:rFonts w:ascii="Times New Roman" w:hAnsi="Times New Roman" w:cs="Times New Roman"/>
          <w:sz w:val="24"/>
          <w:szCs w:val="24"/>
        </w:rPr>
        <w:t>. The English Oxford Living Dictionary (Available at: https://en.oxforddictionaries.com/definition/colonization (Accessed: 9 April 2019).</w:t>
      </w:r>
    </w:p>
    <w:p w14:paraId="7501F160"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i/>
          <w:iCs/>
          <w:sz w:val="24"/>
          <w:szCs w:val="24"/>
        </w:rPr>
        <w:t>Competition.</w:t>
      </w:r>
      <w:r w:rsidRPr="00140183">
        <w:rPr>
          <w:rFonts w:ascii="Times New Roman" w:hAnsi="Times New Roman" w:cs="Times New Roman"/>
          <w:iCs/>
          <w:sz w:val="24"/>
          <w:szCs w:val="24"/>
        </w:rPr>
        <w:t xml:space="preserve"> 2019. Encyclopedia.com</w:t>
      </w:r>
      <w:r w:rsidRPr="00140183">
        <w:rPr>
          <w:rFonts w:ascii="Times New Roman" w:hAnsi="Times New Roman" w:cs="Times New Roman"/>
          <w:sz w:val="24"/>
          <w:szCs w:val="24"/>
        </w:rPr>
        <w:t>. Available at: https://www.encyclopedia.com/science-and-technology/biology-and-genetics/biology-general/competition (Accessed: 9 May 2019).</w:t>
      </w:r>
    </w:p>
    <w:p w14:paraId="65F60841" w14:textId="73AD49E5"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Glassman, G., Julien, O. and Scott, T. 2015. ‘</w:t>
      </w:r>
      <w:r w:rsidRPr="00140183">
        <w:rPr>
          <w:rFonts w:ascii="Times New Roman" w:hAnsi="Times New Roman" w:cs="Times New Roman"/>
          <w:i/>
          <w:sz w:val="24"/>
          <w:szCs w:val="24"/>
        </w:rPr>
        <w:t>Petra Documentary: Lost City of Stone’</w:t>
      </w:r>
      <w:r w:rsidRPr="00140183">
        <w:rPr>
          <w:rFonts w:ascii="Times New Roman" w:hAnsi="Times New Roman" w:cs="Times New Roman"/>
          <w:sz w:val="24"/>
          <w:szCs w:val="24"/>
        </w:rPr>
        <w:t>. A Nova production by providence pictures, Co-produced with ZED and ARTE France. Available at: https://www.youtube.com/watch?v=6xQaEZbVras (Accessed: 15 April 2019).</w:t>
      </w:r>
    </w:p>
    <w:p w14:paraId="39BE9871" w14:textId="661F1EF5"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 xml:space="preserve">Glenn, M. 2003. </w:t>
      </w:r>
      <w:r w:rsidRPr="00140183">
        <w:rPr>
          <w:rFonts w:ascii="Times New Roman" w:hAnsi="Times New Roman" w:cs="Times New Roman"/>
          <w:i/>
          <w:iCs/>
          <w:sz w:val="24"/>
          <w:szCs w:val="24"/>
        </w:rPr>
        <w:t>Architecture Demonstrates Power</w:t>
      </w:r>
      <w:r w:rsidRPr="00140183">
        <w:rPr>
          <w:rFonts w:ascii="Times New Roman" w:hAnsi="Times New Roman" w:cs="Times New Roman"/>
          <w:sz w:val="24"/>
          <w:szCs w:val="24"/>
        </w:rPr>
        <w:t>. Haverford College.</w:t>
      </w:r>
    </w:p>
    <w:p w14:paraId="52F37E56" w14:textId="166353B1" w:rsidR="00354CC2" w:rsidRPr="00FB289D" w:rsidRDefault="00354CC2" w:rsidP="00947782">
      <w:pPr>
        <w:rPr>
          <w:rFonts w:ascii="Times New Roman" w:hAnsi="Times New Roman" w:cs="Times New Roman"/>
          <w:sz w:val="24"/>
          <w:szCs w:val="24"/>
        </w:rPr>
      </w:pPr>
      <w:r w:rsidRPr="00140183">
        <w:rPr>
          <w:rFonts w:ascii="Times New Roman" w:hAnsi="Times New Roman" w:cs="Times New Roman"/>
          <w:sz w:val="24"/>
          <w:szCs w:val="24"/>
        </w:rPr>
        <w:lastRenderedPageBreak/>
        <w:t xml:space="preserve">Green, U.M and </w:t>
      </w:r>
      <w:proofErr w:type="spellStart"/>
      <w:r w:rsidRPr="00140183">
        <w:rPr>
          <w:rFonts w:ascii="Times New Roman" w:hAnsi="Times New Roman" w:cs="Times New Roman"/>
          <w:sz w:val="24"/>
          <w:szCs w:val="24"/>
        </w:rPr>
        <w:t>Costion</w:t>
      </w:r>
      <w:proofErr w:type="spellEnd"/>
      <w:r w:rsidRPr="00140183">
        <w:rPr>
          <w:rFonts w:ascii="Times New Roman" w:hAnsi="Times New Roman" w:cs="Times New Roman"/>
          <w:sz w:val="24"/>
          <w:szCs w:val="24"/>
        </w:rPr>
        <w:t xml:space="preserve">, K.E. 2018. </w:t>
      </w:r>
      <w:proofErr w:type="spellStart"/>
      <w:r w:rsidRPr="00140183">
        <w:rPr>
          <w:rFonts w:ascii="Times New Roman" w:hAnsi="Times New Roman" w:cs="Times New Roman"/>
          <w:sz w:val="24"/>
          <w:szCs w:val="24"/>
        </w:rPr>
        <w:t>Modeling</w:t>
      </w:r>
      <w:proofErr w:type="spellEnd"/>
      <w:r w:rsidRPr="00140183">
        <w:rPr>
          <w:rFonts w:ascii="Times New Roman" w:hAnsi="Times New Roman" w:cs="Times New Roman"/>
          <w:sz w:val="24"/>
          <w:szCs w:val="24"/>
        </w:rPr>
        <w:t xml:space="preserve"> Cross-Cultural Interaction in Ancient Borderlands. </w:t>
      </w:r>
      <w:r w:rsidRPr="00FB289D">
        <w:rPr>
          <w:rFonts w:ascii="Times New Roman" w:hAnsi="Times New Roman" w:cs="Times New Roman"/>
          <w:sz w:val="24"/>
          <w:szCs w:val="24"/>
        </w:rPr>
        <w:t>University Press of Florida.</w:t>
      </w:r>
    </w:p>
    <w:p w14:paraId="3F73FBC3" w14:textId="3F5A7BB2" w:rsidR="00947782" w:rsidRPr="00140183" w:rsidRDefault="00947782" w:rsidP="00947782">
      <w:pPr>
        <w:rPr>
          <w:rFonts w:ascii="Times New Roman" w:hAnsi="Times New Roman" w:cs="Times New Roman"/>
          <w:sz w:val="24"/>
          <w:szCs w:val="24"/>
          <w:lang w:val="de-CH"/>
        </w:rPr>
      </w:pPr>
      <w:r w:rsidRPr="00140183">
        <w:rPr>
          <w:rFonts w:ascii="Times New Roman" w:hAnsi="Times New Roman" w:cs="Times New Roman"/>
          <w:sz w:val="24"/>
          <w:szCs w:val="24"/>
          <w:lang w:val="de-CH"/>
        </w:rPr>
        <w:t xml:space="preserve">Goldschmidt, C. </w:t>
      </w:r>
      <w:proofErr w:type="spellStart"/>
      <w:r w:rsidRPr="00140183">
        <w:rPr>
          <w:rFonts w:ascii="Times New Roman" w:hAnsi="Times New Roman" w:cs="Times New Roman"/>
          <w:sz w:val="24"/>
          <w:szCs w:val="24"/>
          <w:lang w:val="de-CH"/>
        </w:rPr>
        <w:t>n.d</w:t>
      </w:r>
      <w:proofErr w:type="spellEnd"/>
      <w:r w:rsidRPr="00140183">
        <w:rPr>
          <w:rFonts w:ascii="Times New Roman" w:hAnsi="Times New Roman" w:cs="Times New Roman"/>
          <w:sz w:val="24"/>
          <w:szCs w:val="24"/>
          <w:lang w:val="de-CH"/>
        </w:rPr>
        <w:t>. ‘</w:t>
      </w:r>
      <w:r w:rsidRPr="00140183">
        <w:rPr>
          <w:rFonts w:ascii="Times New Roman" w:hAnsi="Times New Roman" w:cs="Times New Roman"/>
          <w:i/>
          <w:sz w:val="24"/>
          <w:szCs w:val="24"/>
          <w:lang w:val="de-CH"/>
        </w:rPr>
        <w:t>Die Felsmonumente von Petra: ein kunstgeschichtliches Phänomen’</w:t>
      </w:r>
      <w:r w:rsidRPr="00140183">
        <w:rPr>
          <w:rFonts w:ascii="Times New Roman" w:hAnsi="Times New Roman" w:cs="Times New Roman"/>
          <w:sz w:val="24"/>
          <w:szCs w:val="24"/>
          <w:lang w:val="de-CH"/>
        </w:rPr>
        <w:t xml:space="preserve">, </w:t>
      </w:r>
      <w:r w:rsidRPr="00140183">
        <w:rPr>
          <w:rFonts w:ascii="Times New Roman" w:hAnsi="Times New Roman" w:cs="Times New Roman"/>
          <w:iCs/>
          <w:sz w:val="24"/>
          <w:szCs w:val="24"/>
          <w:lang w:val="de-CH"/>
        </w:rPr>
        <w:t>Naturhistorische Gesellschaft Nürnberg</w:t>
      </w:r>
      <w:r w:rsidRPr="00140183">
        <w:rPr>
          <w:rFonts w:ascii="Times New Roman" w:hAnsi="Times New Roman" w:cs="Times New Roman"/>
          <w:sz w:val="24"/>
          <w:szCs w:val="24"/>
          <w:lang w:val="de-CH"/>
        </w:rPr>
        <w:t>.</w:t>
      </w:r>
    </w:p>
    <w:p w14:paraId="28614EB5" w14:textId="77777777" w:rsidR="009D0B34" w:rsidRPr="00140183" w:rsidRDefault="009D0B34" w:rsidP="009D0B34">
      <w:pPr>
        <w:rPr>
          <w:rFonts w:ascii="Times New Roman" w:hAnsi="Times New Roman" w:cs="Times New Roman"/>
          <w:sz w:val="24"/>
          <w:szCs w:val="24"/>
        </w:rPr>
      </w:pPr>
      <w:r w:rsidRPr="00140183">
        <w:rPr>
          <w:rFonts w:ascii="Times New Roman" w:hAnsi="Times New Roman" w:cs="Times New Roman"/>
          <w:sz w:val="24"/>
          <w:szCs w:val="24"/>
          <w:lang w:val="de-CH"/>
        </w:rPr>
        <w:t xml:space="preserve">Hackl, U. </w:t>
      </w:r>
      <w:r w:rsidRPr="00140183">
        <w:rPr>
          <w:rFonts w:ascii="Times New Roman" w:hAnsi="Times New Roman" w:cs="Times New Roman"/>
          <w:i/>
          <w:iCs/>
          <w:sz w:val="24"/>
          <w:szCs w:val="24"/>
          <w:lang w:val="de-CH"/>
        </w:rPr>
        <w:t>et al.</w:t>
      </w:r>
      <w:r w:rsidRPr="00140183">
        <w:rPr>
          <w:rFonts w:ascii="Times New Roman" w:hAnsi="Times New Roman" w:cs="Times New Roman"/>
          <w:sz w:val="24"/>
          <w:szCs w:val="24"/>
          <w:lang w:val="de-CH"/>
        </w:rPr>
        <w:t xml:space="preserve"> 2003. </w:t>
      </w:r>
      <w:r w:rsidRPr="00140183">
        <w:rPr>
          <w:rFonts w:ascii="Times New Roman" w:hAnsi="Times New Roman" w:cs="Times New Roman"/>
          <w:i/>
          <w:iCs/>
          <w:sz w:val="24"/>
          <w:szCs w:val="24"/>
          <w:lang w:val="de-CH"/>
        </w:rPr>
        <w:t>Quellen zur Geschichte der Nabatäer: Textsammlung mit Übersetzung und Kommentar</w:t>
      </w:r>
      <w:r w:rsidRPr="00140183">
        <w:rPr>
          <w:rFonts w:ascii="Times New Roman" w:hAnsi="Times New Roman" w:cs="Times New Roman"/>
          <w:sz w:val="24"/>
          <w:szCs w:val="24"/>
          <w:lang w:val="de-CH"/>
        </w:rPr>
        <w:t xml:space="preserve">. </w:t>
      </w:r>
      <w:r w:rsidRPr="00140183">
        <w:rPr>
          <w:rFonts w:ascii="Times New Roman" w:hAnsi="Times New Roman" w:cs="Times New Roman"/>
          <w:sz w:val="24"/>
          <w:szCs w:val="24"/>
        </w:rPr>
        <w:t>Academic Press Fribourg.</w:t>
      </w:r>
    </w:p>
    <w:p w14:paraId="4184DBA4" w14:textId="2A5F02E9"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Haddad, N. A. 2015 ‘Notes on Nabataean construction techniques: A critical review and investigation of el-</w:t>
      </w:r>
      <w:proofErr w:type="spellStart"/>
      <w:r w:rsidRPr="00140183">
        <w:rPr>
          <w:rFonts w:ascii="Times New Roman" w:hAnsi="Times New Roman" w:cs="Times New Roman"/>
          <w:sz w:val="24"/>
          <w:szCs w:val="24"/>
        </w:rPr>
        <w:t>Khazneh</w:t>
      </w:r>
      <w:proofErr w:type="spellEnd"/>
      <w:r w:rsidRPr="00140183">
        <w:rPr>
          <w:rFonts w:ascii="Times New Roman" w:hAnsi="Times New Roman" w:cs="Times New Roman"/>
          <w:sz w:val="24"/>
          <w:szCs w:val="24"/>
        </w:rPr>
        <w:t xml:space="preserve"> slots function’, </w:t>
      </w:r>
      <w:r w:rsidRPr="00140183">
        <w:rPr>
          <w:rFonts w:ascii="Times New Roman" w:hAnsi="Times New Roman" w:cs="Times New Roman"/>
          <w:i/>
          <w:iCs/>
          <w:sz w:val="24"/>
          <w:szCs w:val="24"/>
        </w:rPr>
        <w:t>Mediterranean Archaeology and Archaeometry</w:t>
      </w:r>
      <w:r w:rsidRPr="00140183">
        <w:rPr>
          <w:rFonts w:ascii="Times New Roman" w:hAnsi="Times New Roman" w:cs="Times New Roman"/>
          <w:sz w:val="24"/>
          <w:szCs w:val="24"/>
        </w:rPr>
        <w:t xml:space="preserve">, 15(3), pp. 17–30. </w:t>
      </w:r>
      <w:proofErr w:type="spellStart"/>
      <w:r w:rsidRPr="00140183">
        <w:rPr>
          <w:rFonts w:ascii="Times New Roman" w:hAnsi="Times New Roman" w:cs="Times New Roman"/>
          <w:sz w:val="24"/>
          <w:szCs w:val="24"/>
        </w:rPr>
        <w:t>doi</w:t>
      </w:r>
      <w:proofErr w:type="spellEnd"/>
      <w:r w:rsidRPr="00140183">
        <w:rPr>
          <w:rFonts w:ascii="Times New Roman" w:hAnsi="Times New Roman" w:cs="Times New Roman"/>
          <w:sz w:val="24"/>
          <w:szCs w:val="24"/>
        </w:rPr>
        <w:t>: 10.5281/zenodo.18355.</w:t>
      </w:r>
    </w:p>
    <w:p w14:paraId="19FF6ADB" w14:textId="03720E38" w:rsidR="008F01D6" w:rsidRPr="00140183" w:rsidRDefault="008F01D6" w:rsidP="00947782">
      <w:pPr>
        <w:rPr>
          <w:rFonts w:ascii="Times New Roman" w:hAnsi="Times New Roman" w:cs="Times New Roman"/>
          <w:sz w:val="24"/>
          <w:szCs w:val="24"/>
        </w:rPr>
      </w:pPr>
      <w:r w:rsidRPr="00140183">
        <w:rPr>
          <w:rFonts w:ascii="Times New Roman" w:hAnsi="Times New Roman" w:cs="Times New Roman"/>
          <w:sz w:val="24"/>
          <w:szCs w:val="24"/>
        </w:rPr>
        <w:t xml:space="preserve">Hammond, P.C. 1973. </w:t>
      </w:r>
      <w:r w:rsidRPr="00140183">
        <w:rPr>
          <w:rFonts w:ascii="Times New Roman" w:hAnsi="Times New Roman" w:cs="Times New Roman"/>
          <w:i/>
          <w:sz w:val="24"/>
          <w:szCs w:val="24"/>
        </w:rPr>
        <w:t>The Nabataeans: their History, Culture and Archaeology.</w:t>
      </w:r>
      <w:r w:rsidRPr="00140183">
        <w:rPr>
          <w:rFonts w:ascii="Times New Roman" w:hAnsi="Times New Roman" w:cs="Times New Roman"/>
          <w:sz w:val="24"/>
          <w:szCs w:val="24"/>
        </w:rPr>
        <w:t xml:space="preserve"> Gothenburg: Karl </w:t>
      </w:r>
      <w:proofErr w:type="spellStart"/>
      <w:r w:rsidRPr="00140183">
        <w:rPr>
          <w:rFonts w:ascii="Times New Roman" w:hAnsi="Times New Roman" w:cs="Times New Roman"/>
          <w:sz w:val="24"/>
          <w:szCs w:val="24"/>
        </w:rPr>
        <w:t>Aströms</w:t>
      </w:r>
      <w:proofErr w:type="spellEnd"/>
      <w:r w:rsidRPr="00140183">
        <w:rPr>
          <w:rFonts w:ascii="Times New Roman" w:hAnsi="Times New Roman" w:cs="Times New Roman"/>
          <w:sz w:val="24"/>
          <w:szCs w:val="24"/>
        </w:rPr>
        <w:t xml:space="preserve"> </w:t>
      </w:r>
      <w:proofErr w:type="spellStart"/>
      <w:r w:rsidRPr="00140183">
        <w:rPr>
          <w:rFonts w:ascii="Times New Roman" w:hAnsi="Times New Roman" w:cs="Times New Roman"/>
          <w:sz w:val="24"/>
          <w:szCs w:val="24"/>
        </w:rPr>
        <w:t>Förlag</w:t>
      </w:r>
      <w:proofErr w:type="spellEnd"/>
      <w:r w:rsidRPr="00140183">
        <w:rPr>
          <w:rFonts w:ascii="Times New Roman" w:hAnsi="Times New Roman" w:cs="Times New Roman"/>
          <w:sz w:val="24"/>
          <w:szCs w:val="24"/>
        </w:rPr>
        <w:t>.</w:t>
      </w:r>
    </w:p>
    <w:p w14:paraId="20F2360E" w14:textId="5BC973EE" w:rsidR="009D0B34" w:rsidRPr="00140183" w:rsidRDefault="009D0B34" w:rsidP="00947782">
      <w:pPr>
        <w:rPr>
          <w:rFonts w:ascii="Times New Roman" w:hAnsi="Times New Roman" w:cs="Times New Roman"/>
          <w:sz w:val="24"/>
          <w:szCs w:val="24"/>
        </w:rPr>
      </w:pPr>
      <w:r w:rsidRPr="00140183">
        <w:rPr>
          <w:rFonts w:ascii="Times New Roman" w:hAnsi="Times New Roman" w:cs="Times New Roman"/>
          <w:sz w:val="24"/>
          <w:szCs w:val="24"/>
        </w:rPr>
        <w:t xml:space="preserve">Havelock, C.M.  1971. </w:t>
      </w:r>
      <w:r w:rsidRPr="00140183">
        <w:rPr>
          <w:rFonts w:ascii="Times New Roman" w:hAnsi="Times New Roman" w:cs="Times New Roman"/>
          <w:i/>
          <w:sz w:val="24"/>
          <w:szCs w:val="24"/>
        </w:rPr>
        <w:t xml:space="preserve">Hellenistic Art. </w:t>
      </w:r>
      <w:r w:rsidRPr="00140183">
        <w:rPr>
          <w:rFonts w:ascii="Times New Roman" w:hAnsi="Times New Roman" w:cs="Times New Roman"/>
          <w:sz w:val="24"/>
          <w:szCs w:val="24"/>
        </w:rPr>
        <w:t xml:space="preserve">London: </w:t>
      </w:r>
      <w:proofErr w:type="spellStart"/>
      <w:r w:rsidRPr="00140183">
        <w:rPr>
          <w:rFonts w:ascii="Times New Roman" w:hAnsi="Times New Roman" w:cs="Times New Roman"/>
          <w:sz w:val="24"/>
          <w:szCs w:val="24"/>
        </w:rPr>
        <w:t>Phaidon</w:t>
      </w:r>
      <w:proofErr w:type="spellEnd"/>
      <w:r w:rsidRPr="00140183">
        <w:rPr>
          <w:rFonts w:ascii="Times New Roman" w:hAnsi="Times New Roman" w:cs="Times New Roman"/>
          <w:sz w:val="24"/>
          <w:szCs w:val="24"/>
        </w:rPr>
        <w:t>.</w:t>
      </w:r>
    </w:p>
    <w:p w14:paraId="1FF73FA3"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 xml:space="preserve">Healey, J. F. .2001. </w:t>
      </w:r>
      <w:r w:rsidRPr="00140183">
        <w:rPr>
          <w:rFonts w:ascii="Times New Roman" w:hAnsi="Times New Roman" w:cs="Times New Roman"/>
          <w:i/>
          <w:iCs/>
          <w:sz w:val="24"/>
          <w:szCs w:val="24"/>
        </w:rPr>
        <w:t>The Religion of the Nabataeans</w:t>
      </w:r>
      <w:r w:rsidRPr="00140183">
        <w:rPr>
          <w:rFonts w:ascii="Times New Roman" w:hAnsi="Times New Roman" w:cs="Times New Roman"/>
          <w:sz w:val="24"/>
          <w:szCs w:val="24"/>
        </w:rPr>
        <w:t xml:space="preserve">, </w:t>
      </w:r>
      <w:r w:rsidRPr="00140183">
        <w:rPr>
          <w:rFonts w:ascii="Times New Roman" w:hAnsi="Times New Roman" w:cs="Times New Roman"/>
          <w:i/>
          <w:iCs/>
          <w:sz w:val="24"/>
          <w:szCs w:val="24"/>
        </w:rPr>
        <w:t>Brill</w:t>
      </w:r>
      <w:r w:rsidRPr="00140183">
        <w:rPr>
          <w:rFonts w:ascii="Times New Roman" w:hAnsi="Times New Roman" w:cs="Times New Roman"/>
          <w:sz w:val="24"/>
          <w:szCs w:val="24"/>
        </w:rPr>
        <w:t>. Leiden.</w:t>
      </w:r>
    </w:p>
    <w:p w14:paraId="373A2BBE" w14:textId="77777777" w:rsidR="00947782" w:rsidRPr="00140183" w:rsidRDefault="00947782" w:rsidP="00947782">
      <w:pPr>
        <w:rPr>
          <w:rFonts w:ascii="Times New Roman" w:hAnsi="Times New Roman" w:cs="Times New Roman"/>
          <w:sz w:val="24"/>
          <w:szCs w:val="24"/>
        </w:rPr>
      </w:pPr>
      <w:proofErr w:type="spellStart"/>
      <w:r w:rsidRPr="00140183">
        <w:rPr>
          <w:rFonts w:ascii="Times New Roman" w:hAnsi="Times New Roman" w:cs="Times New Roman"/>
          <w:sz w:val="24"/>
          <w:szCs w:val="24"/>
        </w:rPr>
        <w:t>Hengel</w:t>
      </w:r>
      <w:proofErr w:type="spellEnd"/>
      <w:r w:rsidRPr="00140183">
        <w:rPr>
          <w:rFonts w:ascii="Times New Roman" w:hAnsi="Times New Roman" w:cs="Times New Roman"/>
          <w:sz w:val="24"/>
          <w:szCs w:val="24"/>
        </w:rPr>
        <w:t xml:space="preserve">, M. 1981. </w:t>
      </w:r>
      <w:r w:rsidRPr="00140183">
        <w:rPr>
          <w:rFonts w:ascii="Times New Roman" w:hAnsi="Times New Roman" w:cs="Times New Roman"/>
          <w:i/>
          <w:iCs/>
          <w:sz w:val="24"/>
          <w:szCs w:val="24"/>
        </w:rPr>
        <w:t>Judaism and Hellenism</w:t>
      </w:r>
      <w:r w:rsidRPr="00140183">
        <w:rPr>
          <w:rFonts w:ascii="Times New Roman" w:hAnsi="Times New Roman" w:cs="Times New Roman"/>
          <w:sz w:val="24"/>
          <w:szCs w:val="24"/>
        </w:rPr>
        <w:t xml:space="preserve">. 1st </w:t>
      </w:r>
      <w:proofErr w:type="spellStart"/>
      <w:r w:rsidRPr="00140183">
        <w:rPr>
          <w:rFonts w:ascii="Times New Roman" w:hAnsi="Times New Roman" w:cs="Times New Roman"/>
          <w:sz w:val="24"/>
          <w:szCs w:val="24"/>
        </w:rPr>
        <w:t>edn</w:t>
      </w:r>
      <w:proofErr w:type="spellEnd"/>
      <w:r w:rsidRPr="00140183">
        <w:rPr>
          <w:rFonts w:ascii="Times New Roman" w:hAnsi="Times New Roman" w:cs="Times New Roman"/>
          <w:sz w:val="24"/>
          <w:szCs w:val="24"/>
        </w:rPr>
        <w:t>. Philadelphia: Fortress Press.</w:t>
      </w:r>
    </w:p>
    <w:p w14:paraId="0A66D4C5"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 xml:space="preserve">Ibrahim, A. 2018. </w:t>
      </w:r>
      <w:r w:rsidRPr="00140183">
        <w:rPr>
          <w:rFonts w:ascii="Times New Roman" w:hAnsi="Times New Roman" w:cs="Times New Roman"/>
          <w:i/>
          <w:iCs/>
          <w:sz w:val="24"/>
          <w:szCs w:val="24"/>
        </w:rPr>
        <w:t xml:space="preserve">The Arab </w:t>
      </w:r>
      <w:proofErr w:type="gramStart"/>
      <w:r w:rsidRPr="00140183">
        <w:rPr>
          <w:rFonts w:ascii="Times New Roman" w:hAnsi="Times New Roman" w:cs="Times New Roman"/>
          <w:i/>
          <w:iCs/>
          <w:sz w:val="24"/>
          <w:szCs w:val="24"/>
        </w:rPr>
        <w:t>states ’</w:t>
      </w:r>
      <w:proofErr w:type="gramEnd"/>
      <w:r w:rsidRPr="00140183">
        <w:rPr>
          <w:rFonts w:ascii="Times New Roman" w:hAnsi="Times New Roman" w:cs="Times New Roman"/>
          <w:i/>
          <w:iCs/>
          <w:sz w:val="24"/>
          <w:szCs w:val="24"/>
        </w:rPr>
        <w:t xml:space="preserve"> UNESCO World Heritage sites : the Saudi Arabia experience</w:t>
      </w:r>
      <w:r w:rsidRPr="00140183">
        <w:rPr>
          <w:rFonts w:ascii="Times New Roman" w:hAnsi="Times New Roman" w:cs="Times New Roman"/>
          <w:sz w:val="24"/>
          <w:szCs w:val="24"/>
        </w:rPr>
        <w:t>.</w:t>
      </w:r>
    </w:p>
    <w:p w14:paraId="5CC46612" w14:textId="77777777" w:rsidR="00947782" w:rsidRPr="00140183" w:rsidRDefault="00947782" w:rsidP="00947782">
      <w:pPr>
        <w:rPr>
          <w:rFonts w:ascii="Times New Roman" w:hAnsi="Times New Roman" w:cs="Times New Roman"/>
          <w:sz w:val="24"/>
          <w:szCs w:val="24"/>
          <w:lang w:val="de-CH"/>
        </w:rPr>
      </w:pPr>
      <w:r w:rsidRPr="00140183">
        <w:rPr>
          <w:rFonts w:ascii="Times New Roman" w:hAnsi="Times New Roman" w:cs="Times New Roman"/>
          <w:sz w:val="24"/>
          <w:szCs w:val="24"/>
        </w:rPr>
        <w:t xml:space="preserve">Koester, H. 1995. </w:t>
      </w:r>
      <w:r w:rsidRPr="00140183">
        <w:rPr>
          <w:rFonts w:ascii="Times New Roman" w:hAnsi="Times New Roman" w:cs="Times New Roman"/>
          <w:i/>
          <w:iCs/>
          <w:sz w:val="24"/>
          <w:szCs w:val="24"/>
        </w:rPr>
        <w:t>History, culture and religion of the Hellenistic age</w:t>
      </w:r>
      <w:r w:rsidRPr="00140183">
        <w:rPr>
          <w:rFonts w:ascii="Times New Roman" w:hAnsi="Times New Roman" w:cs="Times New Roman"/>
          <w:sz w:val="24"/>
          <w:szCs w:val="24"/>
        </w:rPr>
        <w:t xml:space="preserve">. 2nd </w:t>
      </w:r>
      <w:proofErr w:type="spellStart"/>
      <w:r w:rsidRPr="00140183">
        <w:rPr>
          <w:rFonts w:ascii="Times New Roman" w:hAnsi="Times New Roman" w:cs="Times New Roman"/>
          <w:sz w:val="24"/>
          <w:szCs w:val="24"/>
        </w:rPr>
        <w:t>edn</w:t>
      </w:r>
      <w:proofErr w:type="spellEnd"/>
      <w:r w:rsidRPr="00140183">
        <w:rPr>
          <w:rFonts w:ascii="Times New Roman" w:hAnsi="Times New Roman" w:cs="Times New Roman"/>
          <w:sz w:val="24"/>
          <w:szCs w:val="24"/>
        </w:rPr>
        <w:t xml:space="preserve">. </w:t>
      </w:r>
      <w:r w:rsidRPr="00140183">
        <w:rPr>
          <w:rFonts w:ascii="Times New Roman" w:hAnsi="Times New Roman" w:cs="Times New Roman"/>
          <w:sz w:val="24"/>
          <w:szCs w:val="24"/>
          <w:lang w:val="de-CH"/>
        </w:rPr>
        <w:t xml:space="preserve">New York: </w:t>
      </w:r>
    </w:p>
    <w:p w14:paraId="6D826782" w14:textId="27E1ADD5" w:rsidR="00947782" w:rsidRPr="00140183" w:rsidRDefault="00947782" w:rsidP="00947782">
      <w:pPr>
        <w:rPr>
          <w:rFonts w:ascii="Times New Roman" w:hAnsi="Times New Roman" w:cs="Times New Roman"/>
          <w:sz w:val="24"/>
          <w:szCs w:val="24"/>
        </w:rPr>
      </w:pPr>
      <w:bookmarkStart w:id="39" w:name="_Hlk8391682"/>
      <w:r w:rsidRPr="00140183">
        <w:rPr>
          <w:rFonts w:ascii="Times New Roman" w:hAnsi="Times New Roman" w:cs="Times New Roman"/>
          <w:sz w:val="24"/>
          <w:szCs w:val="24"/>
          <w:lang w:val="de-CH"/>
        </w:rPr>
        <w:t xml:space="preserve">Lindner, M. 1970. </w:t>
      </w:r>
      <w:r w:rsidRPr="00140183">
        <w:rPr>
          <w:rFonts w:ascii="Times New Roman" w:hAnsi="Times New Roman" w:cs="Times New Roman"/>
          <w:i/>
          <w:iCs/>
          <w:sz w:val="24"/>
          <w:szCs w:val="24"/>
          <w:lang w:val="de-CH"/>
        </w:rPr>
        <w:t>Petra und das Königreich der Nabatäer</w:t>
      </w:r>
      <w:r w:rsidRPr="00140183">
        <w:rPr>
          <w:rFonts w:ascii="Times New Roman" w:hAnsi="Times New Roman" w:cs="Times New Roman"/>
          <w:sz w:val="24"/>
          <w:szCs w:val="24"/>
          <w:lang w:val="de-CH"/>
        </w:rPr>
        <w:t xml:space="preserve">. </w:t>
      </w:r>
      <w:r w:rsidRPr="00140183">
        <w:rPr>
          <w:rFonts w:ascii="Times New Roman" w:hAnsi="Times New Roman" w:cs="Times New Roman"/>
          <w:sz w:val="24"/>
          <w:szCs w:val="24"/>
        </w:rPr>
        <w:t xml:space="preserve">6th </w:t>
      </w:r>
      <w:proofErr w:type="spellStart"/>
      <w:r w:rsidRPr="00140183">
        <w:rPr>
          <w:rFonts w:ascii="Times New Roman" w:hAnsi="Times New Roman" w:cs="Times New Roman"/>
          <w:sz w:val="24"/>
          <w:szCs w:val="24"/>
        </w:rPr>
        <w:t>edn</w:t>
      </w:r>
      <w:proofErr w:type="spellEnd"/>
      <w:r w:rsidRPr="00140183">
        <w:rPr>
          <w:rFonts w:ascii="Times New Roman" w:hAnsi="Times New Roman" w:cs="Times New Roman"/>
          <w:sz w:val="24"/>
          <w:szCs w:val="24"/>
        </w:rPr>
        <w:t xml:space="preserve">. München: </w:t>
      </w:r>
      <w:proofErr w:type="spellStart"/>
      <w:r w:rsidRPr="00140183">
        <w:rPr>
          <w:rFonts w:ascii="Times New Roman" w:hAnsi="Times New Roman" w:cs="Times New Roman"/>
          <w:sz w:val="24"/>
          <w:szCs w:val="24"/>
        </w:rPr>
        <w:t>Delp</w:t>
      </w:r>
      <w:proofErr w:type="spellEnd"/>
      <w:r w:rsidRPr="00140183">
        <w:rPr>
          <w:rFonts w:ascii="Times New Roman" w:hAnsi="Times New Roman" w:cs="Times New Roman"/>
          <w:sz w:val="24"/>
          <w:szCs w:val="24"/>
        </w:rPr>
        <w:t>.</w:t>
      </w:r>
    </w:p>
    <w:bookmarkEnd w:id="39"/>
    <w:p w14:paraId="1C4D77E1" w14:textId="77777777" w:rsidR="00947782" w:rsidRPr="00140183" w:rsidRDefault="00947782" w:rsidP="00947782">
      <w:pPr>
        <w:rPr>
          <w:rFonts w:ascii="Times New Roman" w:hAnsi="Times New Roman" w:cs="Times New Roman"/>
          <w:sz w:val="24"/>
          <w:szCs w:val="24"/>
        </w:rPr>
      </w:pPr>
      <w:proofErr w:type="spellStart"/>
      <w:r w:rsidRPr="00140183">
        <w:rPr>
          <w:rFonts w:ascii="Times New Roman" w:hAnsi="Times New Roman" w:cs="Times New Roman"/>
          <w:sz w:val="24"/>
          <w:szCs w:val="24"/>
        </w:rPr>
        <w:t>Mayet</w:t>
      </w:r>
      <w:proofErr w:type="spellEnd"/>
      <w:r w:rsidRPr="00140183">
        <w:rPr>
          <w:rFonts w:ascii="Times New Roman" w:hAnsi="Times New Roman" w:cs="Times New Roman"/>
          <w:sz w:val="24"/>
          <w:szCs w:val="24"/>
        </w:rPr>
        <w:t xml:space="preserve">, C. and Pine, K. 2010. </w:t>
      </w:r>
      <w:r w:rsidRPr="00140183">
        <w:rPr>
          <w:rFonts w:ascii="Times New Roman" w:hAnsi="Times New Roman" w:cs="Times New Roman"/>
          <w:i/>
          <w:iCs/>
          <w:sz w:val="24"/>
          <w:szCs w:val="24"/>
        </w:rPr>
        <w:t>The Psychology of Gift Exchange</w:t>
      </w:r>
      <w:r w:rsidRPr="00140183">
        <w:rPr>
          <w:rFonts w:ascii="Times New Roman" w:hAnsi="Times New Roman" w:cs="Times New Roman"/>
          <w:sz w:val="24"/>
          <w:szCs w:val="24"/>
        </w:rPr>
        <w:t>.</w:t>
      </w:r>
    </w:p>
    <w:p w14:paraId="44E65E73"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i/>
          <w:iCs/>
          <w:sz w:val="24"/>
          <w:szCs w:val="24"/>
        </w:rPr>
        <w:t xml:space="preserve">Midas City Ancient Village or </w:t>
      </w:r>
      <w:proofErr w:type="gramStart"/>
      <w:r w:rsidRPr="00140183">
        <w:rPr>
          <w:rFonts w:ascii="Times New Roman" w:hAnsi="Times New Roman" w:cs="Times New Roman"/>
          <w:i/>
          <w:iCs/>
          <w:sz w:val="24"/>
          <w:szCs w:val="24"/>
        </w:rPr>
        <w:t>Settlement :</w:t>
      </w:r>
      <w:proofErr w:type="gramEnd"/>
      <w:r w:rsidRPr="00140183">
        <w:rPr>
          <w:rFonts w:ascii="Times New Roman" w:hAnsi="Times New Roman" w:cs="Times New Roman"/>
          <w:i/>
          <w:iCs/>
          <w:sz w:val="24"/>
          <w:szCs w:val="24"/>
        </w:rPr>
        <w:t xml:space="preserve"> The Megalithic Portal and Megalith Map</w:t>
      </w:r>
      <w:r w:rsidRPr="00140183">
        <w:rPr>
          <w:rFonts w:ascii="Times New Roman" w:hAnsi="Times New Roman" w:cs="Times New Roman"/>
          <w:sz w:val="24"/>
          <w:szCs w:val="24"/>
        </w:rPr>
        <w:t>. 2019. Megalithic portal. Available at: https://www.megalithic.co.uk/article.php?sid=16024 (Accessed: 8 May 2019).</w:t>
      </w:r>
    </w:p>
    <w:p w14:paraId="0A5C51A7" w14:textId="77777777"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sz w:val="24"/>
          <w:szCs w:val="24"/>
        </w:rPr>
        <w:t xml:space="preserve">Murray, M. 1989. ‘Religion and the Nomadic </w:t>
      </w:r>
      <w:proofErr w:type="gramStart"/>
      <w:r w:rsidRPr="00140183">
        <w:rPr>
          <w:rFonts w:ascii="Times New Roman" w:hAnsi="Times New Roman" w:cs="Times New Roman"/>
          <w:sz w:val="24"/>
          <w:szCs w:val="24"/>
        </w:rPr>
        <w:t>Lifestyle :</w:t>
      </w:r>
      <w:proofErr w:type="gramEnd"/>
      <w:r w:rsidRPr="00140183">
        <w:rPr>
          <w:rFonts w:ascii="Times New Roman" w:hAnsi="Times New Roman" w:cs="Times New Roman"/>
          <w:sz w:val="24"/>
          <w:szCs w:val="24"/>
        </w:rPr>
        <w:t xml:space="preserve"> The Nabateans’, (75), pp. 215–234.</w:t>
      </w:r>
    </w:p>
    <w:p w14:paraId="265758CC" w14:textId="77777777" w:rsidR="00947782" w:rsidRPr="00140183" w:rsidRDefault="00947782" w:rsidP="00947782">
      <w:pPr>
        <w:rPr>
          <w:rFonts w:ascii="Times New Roman" w:hAnsi="Times New Roman" w:cs="Times New Roman"/>
          <w:sz w:val="24"/>
          <w:szCs w:val="24"/>
        </w:rPr>
      </w:pPr>
      <w:proofErr w:type="spellStart"/>
      <w:r w:rsidRPr="00140183">
        <w:rPr>
          <w:rFonts w:ascii="Times New Roman" w:hAnsi="Times New Roman" w:cs="Times New Roman"/>
          <w:sz w:val="24"/>
          <w:szCs w:val="24"/>
        </w:rPr>
        <w:t>Rababeh</w:t>
      </w:r>
      <w:proofErr w:type="spellEnd"/>
      <w:r w:rsidRPr="00140183">
        <w:rPr>
          <w:rFonts w:ascii="Times New Roman" w:hAnsi="Times New Roman" w:cs="Times New Roman"/>
          <w:sz w:val="24"/>
          <w:szCs w:val="24"/>
        </w:rPr>
        <w:t xml:space="preserve">, S. and </w:t>
      </w:r>
      <w:proofErr w:type="spellStart"/>
      <w:r w:rsidRPr="00140183">
        <w:rPr>
          <w:rFonts w:ascii="Times New Roman" w:hAnsi="Times New Roman" w:cs="Times New Roman"/>
          <w:sz w:val="24"/>
          <w:szCs w:val="24"/>
        </w:rPr>
        <w:t>Rabady</w:t>
      </w:r>
      <w:proofErr w:type="spellEnd"/>
      <w:r w:rsidRPr="00140183">
        <w:rPr>
          <w:rFonts w:ascii="Times New Roman" w:hAnsi="Times New Roman" w:cs="Times New Roman"/>
          <w:sz w:val="24"/>
          <w:szCs w:val="24"/>
        </w:rPr>
        <w:t xml:space="preserve">, R. Al .2014. ‘The crowsteps motif in Nabataean architecture: Insights into its meaning and use’, </w:t>
      </w:r>
      <w:r w:rsidRPr="00140183">
        <w:rPr>
          <w:rFonts w:ascii="Times New Roman" w:hAnsi="Times New Roman" w:cs="Times New Roman"/>
          <w:i/>
          <w:iCs/>
          <w:sz w:val="24"/>
          <w:szCs w:val="24"/>
        </w:rPr>
        <w:t>Arabian Archaeology and Epigraphy</w:t>
      </w:r>
      <w:r w:rsidRPr="00140183">
        <w:rPr>
          <w:rFonts w:ascii="Times New Roman" w:hAnsi="Times New Roman" w:cs="Times New Roman"/>
          <w:sz w:val="24"/>
          <w:szCs w:val="24"/>
        </w:rPr>
        <w:t xml:space="preserve">, 25(1), pp. 22–36. </w:t>
      </w:r>
      <w:proofErr w:type="spellStart"/>
      <w:r w:rsidRPr="00140183">
        <w:rPr>
          <w:rFonts w:ascii="Times New Roman" w:hAnsi="Times New Roman" w:cs="Times New Roman"/>
          <w:sz w:val="24"/>
          <w:szCs w:val="24"/>
        </w:rPr>
        <w:t>doi</w:t>
      </w:r>
      <w:proofErr w:type="spellEnd"/>
      <w:r w:rsidRPr="00140183">
        <w:rPr>
          <w:rFonts w:ascii="Times New Roman" w:hAnsi="Times New Roman" w:cs="Times New Roman"/>
          <w:sz w:val="24"/>
          <w:szCs w:val="24"/>
        </w:rPr>
        <w:t>: 10.1111/aae.12039.</w:t>
      </w:r>
    </w:p>
    <w:p w14:paraId="79FD8633" w14:textId="77777777" w:rsidR="00947782" w:rsidRPr="00140183" w:rsidRDefault="00947782" w:rsidP="00947782">
      <w:pPr>
        <w:rPr>
          <w:rFonts w:ascii="Times New Roman" w:hAnsi="Times New Roman" w:cs="Times New Roman"/>
          <w:sz w:val="24"/>
          <w:szCs w:val="24"/>
          <w:lang w:val="fr-CH"/>
        </w:rPr>
      </w:pPr>
      <w:r w:rsidRPr="00140183">
        <w:rPr>
          <w:rFonts w:ascii="Times New Roman" w:hAnsi="Times New Roman" w:cs="Times New Roman"/>
          <w:sz w:val="24"/>
          <w:szCs w:val="24"/>
        </w:rPr>
        <w:t xml:space="preserve">Schmid, S. </w:t>
      </w:r>
      <w:proofErr w:type="spellStart"/>
      <w:proofErr w:type="gramStart"/>
      <w:r w:rsidRPr="00140183">
        <w:rPr>
          <w:rFonts w:ascii="Times New Roman" w:hAnsi="Times New Roman" w:cs="Times New Roman"/>
          <w:sz w:val="24"/>
          <w:szCs w:val="24"/>
        </w:rPr>
        <w:t>n.d.‘</w:t>
      </w:r>
      <w:proofErr w:type="gramEnd"/>
      <w:r w:rsidRPr="00140183">
        <w:rPr>
          <w:rFonts w:ascii="Times New Roman" w:hAnsi="Times New Roman" w:cs="Times New Roman"/>
          <w:sz w:val="24"/>
          <w:szCs w:val="24"/>
        </w:rPr>
        <w:t>Nabataean</w:t>
      </w:r>
      <w:proofErr w:type="spellEnd"/>
      <w:r w:rsidRPr="00140183">
        <w:rPr>
          <w:rFonts w:ascii="Times New Roman" w:hAnsi="Times New Roman" w:cs="Times New Roman"/>
          <w:sz w:val="24"/>
          <w:szCs w:val="24"/>
        </w:rPr>
        <w:t xml:space="preserve"> Funerary Complexes: their Relation with the Luxury Architecture of the Hellenistic and Roman Mediterranean’, </w:t>
      </w:r>
      <w:proofErr w:type="spellStart"/>
      <w:r w:rsidRPr="00140183">
        <w:rPr>
          <w:rFonts w:ascii="Times New Roman" w:hAnsi="Times New Roman" w:cs="Times New Roman"/>
          <w:i/>
          <w:iCs/>
          <w:sz w:val="24"/>
          <w:szCs w:val="24"/>
        </w:rPr>
        <w:t>Universite</w:t>
      </w:r>
      <w:proofErr w:type="spellEnd"/>
      <w:r w:rsidRPr="00140183">
        <w:rPr>
          <w:rFonts w:ascii="Times New Roman" w:hAnsi="Times New Roman" w:cs="Times New Roman"/>
          <w:i/>
          <w:iCs/>
          <w:sz w:val="24"/>
          <w:szCs w:val="24"/>
        </w:rPr>
        <w:t xml:space="preserve"> de Montpellier III, Dept. </w:t>
      </w:r>
      <w:r w:rsidRPr="00140183">
        <w:rPr>
          <w:rFonts w:ascii="Times New Roman" w:hAnsi="Times New Roman" w:cs="Times New Roman"/>
          <w:i/>
          <w:iCs/>
          <w:sz w:val="24"/>
          <w:szCs w:val="24"/>
          <w:lang w:val="fr-CH"/>
        </w:rPr>
        <w:t xml:space="preserve">Histoire de l`art et </w:t>
      </w:r>
      <w:proofErr w:type="spellStart"/>
      <w:r w:rsidRPr="00140183">
        <w:rPr>
          <w:rFonts w:ascii="Times New Roman" w:hAnsi="Times New Roman" w:cs="Times New Roman"/>
          <w:i/>
          <w:iCs/>
          <w:sz w:val="24"/>
          <w:szCs w:val="24"/>
          <w:lang w:val="fr-CH"/>
        </w:rPr>
        <w:t>Archeologie</w:t>
      </w:r>
      <w:proofErr w:type="spellEnd"/>
      <w:r w:rsidRPr="00140183">
        <w:rPr>
          <w:rFonts w:ascii="Times New Roman" w:hAnsi="Times New Roman" w:cs="Times New Roman"/>
          <w:sz w:val="24"/>
          <w:szCs w:val="24"/>
          <w:lang w:val="fr-CH"/>
        </w:rPr>
        <w:t>, pp. 205–219.</w:t>
      </w:r>
    </w:p>
    <w:p w14:paraId="71F925A6" w14:textId="64A131D4" w:rsidR="00947782" w:rsidRPr="00140183" w:rsidRDefault="00947782" w:rsidP="00947782">
      <w:pPr>
        <w:rPr>
          <w:rFonts w:ascii="Times New Roman" w:hAnsi="Times New Roman" w:cs="Times New Roman"/>
          <w:sz w:val="24"/>
          <w:szCs w:val="24"/>
        </w:rPr>
      </w:pPr>
      <w:r w:rsidRPr="00FB289D">
        <w:rPr>
          <w:rFonts w:ascii="Times New Roman" w:hAnsi="Times New Roman" w:cs="Times New Roman"/>
          <w:sz w:val="24"/>
          <w:szCs w:val="24"/>
        </w:rPr>
        <w:t>Spencer-</w:t>
      </w:r>
      <w:proofErr w:type="spellStart"/>
      <w:r w:rsidRPr="00FB289D">
        <w:rPr>
          <w:rFonts w:ascii="Times New Roman" w:hAnsi="Times New Roman" w:cs="Times New Roman"/>
          <w:sz w:val="24"/>
          <w:szCs w:val="24"/>
        </w:rPr>
        <w:t>gardner</w:t>
      </w:r>
      <w:proofErr w:type="spellEnd"/>
      <w:r w:rsidRPr="00FB289D">
        <w:rPr>
          <w:rFonts w:ascii="Times New Roman" w:hAnsi="Times New Roman" w:cs="Times New Roman"/>
          <w:sz w:val="24"/>
          <w:szCs w:val="24"/>
        </w:rPr>
        <w:t xml:space="preserve">, A. 2017. </w:t>
      </w:r>
      <w:r w:rsidRPr="00140183">
        <w:rPr>
          <w:rFonts w:ascii="Times New Roman" w:hAnsi="Times New Roman" w:cs="Times New Roman"/>
          <w:i/>
          <w:iCs/>
          <w:sz w:val="24"/>
          <w:szCs w:val="24"/>
        </w:rPr>
        <w:t xml:space="preserve">Hellenistic Influences on the Architecture of Petra: how Hellenistic Alexandria and other Ptolemaic buildings changed our understanding of Petra and its Graeco-Roman style </w:t>
      </w:r>
      <w:proofErr w:type="gramStart"/>
      <w:r w:rsidRPr="00140183">
        <w:rPr>
          <w:rFonts w:ascii="Times New Roman" w:hAnsi="Times New Roman" w:cs="Times New Roman"/>
          <w:i/>
          <w:iCs/>
          <w:sz w:val="24"/>
          <w:szCs w:val="24"/>
        </w:rPr>
        <w:t>façades .</w:t>
      </w:r>
      <w:proofErr w:type="gramEnd"/>
      <w:r w:rsidRPr="00140183">
        <w:rPr>
          <w:rFonts w:ascii="Times New Roman" w:hAnsi="Times New Roman" w:cs="Times New Roman"/>
          <w:sz w:val="24"/>
          <w:szCs w:val="24"/>
        </w:rPr>
        <w:t xml:space="preserve"> La Trobe University. </w:t>
      </w:r>
      <w:proofErr w:type="spellStart"/>
      <w:r w:rsidRPr="00140183">
        <w:rPr>
          <w:rFonts w:ascii="Times New Roman" w:hAnsi="Times New Roman" w:cs="Times New Roman"/>
          <w:sz w:val="24"/>
          <w:szCs w:val="24"/>
        </w:rPr>
        <w:t>doi</w:t>
      </w:r>
      <w:proofErr w:type="spellEnd"/>
      <w:r w:rsidRPr="00140183">
        <w:rPr>
          <w:rFonts w:ascii="Times New Roman" w:hAnsi="Times New Roman" w:cs="Times New Roman"/>
          <w:sz w:val="24"/>
          <w:szCs w:val="24"/>
        </w:rPr>
        <w:t>: 10.13140/RG.2.2.25053.72165.</w:t>
      </w:r>
    </w:p>
    <w:p w14:paraId="17016C15" w14:textId="1AE3EE58" w:rsidR="009D0B34" w:rsidRPr="00140183" w:rsidRDefault="009D0B34" w:rsidP="00947782">
      <w:pPr>
        <w:rPr>
          <w:rFonts w:ascii="Times New Roman" w:hAnsi="Times New Roman" w:cs="Times New Roman"/>
          <w:sz w:val="24"/>
          <w:szCs w:val="24"/>
        </w:rPr>
      </w:pPr>
      <w:r w:rsidRPr="00140183">
        <w:rPr>
          <w:rFonts w:ascii="Times New Roman" w:hAnsi="Times New Roman" w:cs="Times New Roman"/>
          <w:sz w:val="24"/>
          <w:szCs w:val="24"/>
        </w:rPr>
        <w:t xml:space="preserve">Taylor, J.2002. </w:t>
      </w:r>
      <w:r w:rsidRPr="00140183">
        <w:rPr>
          <w:rFonts w:ascii="Times New Roman" w:hAnsi="Times New Roman" w:cs="Times New Roman"/>
          <w:i/>
          <w:sz w:val="24"/>
          <w:szCs w:val="24"/>
        </w:rPr>
        <w:t>Petra and the lost Kingdom of the Nabataeans.</w:t>
      </w:r>
      <w:r w:rsidRPr="00140183">
        <w:rPr>
          <w:rFonts w:ascii="Times New Roman" w:hAnsi="Times New Roman" w:cs="Times New Roman"/>
          <w:sz w:val="24"/>
          <w:szCs w:val="24"/>
        </w:rPr>
        <w:t xml:space="preserve"> Harvard University Press.</w:t>
      </w:r>
    </w:p>
    <w:p w14:paraId="3C9F85B4" w14:textId="77777777" w:rsidR="00947782" w:rsidRPr="00140183" w:rsidRDefault="00947782" w:rsidP="00947782">
      <w:pPr>
        <w:rPr>
          <w:rFonts w:ascii="Times New Roman" w:hAnsi="Times New Roman" w:cs="Times New Roman"/>
          <w:sz w:val="24"/>
          <w:szCs w:val="24"/>
        </w:rPr>
      </w:pPr>
      <w:proofErr w:type="spellStart"/>
      <w:r w:rsidRPr="00140183">
        <w:rPr>
          <w:rFonts w:ascii="Times New Roman" w:hAnsi="Times New Roman" w:cs="Times New Roman"/>
          <w:sz w:val="24"/>
          <w:szCs w:val="24"/>
        </w:rPr>
        <w:t>Tholbecq</w:t>
      </w:r>
      <w:proofErr w:type="spellEnd"/>
      <w:r w:rsidRPr="00140183">
        <w:rPr>
          <w:rFonts w:ascii="Times New Roman" w:hAnsi="Times New Roman" w:cs="Times New Roman"/>
          <w:sz w:val="24"/>
          <w:szCs w:val="24"/>
        </w:rPr>
        <w:t xml:space="preserve">, L. 1997. </w:t>
      </w:r>
      <w:r w:rsidRPr="00140183">
        <w:rPr>
          <w:rFonts w:ascii="Times New Roman" w:hAnsi="Times New Roman" w:cs="Times New Roman"/>
          <w:i/>
          <w:sz w:val="24"/>
          <w:szCs w:val="24"/>
        </w:rPr>
        <w:t>‘Nabataean Monumental Architecture’</w:t>
      </w:r>
      <w:r w:rsidRPr="00140183">
        <w:rPr>
          <w:rFonts w:ascii="Times New Roman" w:hAnsi="Times New Roman" w:cs="Times New Roman"/>
          <w:sz w:val="24"/>
          <w:szCs w:val="24"/>
        </w:rPr>
        <w:t>, pp. 14–25.</w:t>
      </w:r>
    </w:p>
    <w:p w14:paraId="3923EA0B" w14:textId="353B78FE" w:rsidR="00947782" w:rsidRPr="00140183" w:rsidRDefault="00947782" w:rsidP="00947782">
      <w:pPr>
        <w:rPr>
          <w:rFonts w:ascii="Times New Roman" w:hAnsi="Times New Roman" w:cs="Times New Roman"/>
          <w:sz w:val="24"/>
          <w:szCs w:val="24"/>
        </w:rPr>
      </w:pPr>
      <w:r w:rsidRPr="00140183">
        <w:rPr>
          <w:rFonts w:ascii="Times New Roman" w:hAnsi="Times New Roman" w:cs="Times New Roman"/>
          <w:i/>
          <w:iCs/>
          <w:sz w:val="24"/>
          <w:szCs w:val="24"/>
        </w:rPr>
        <w:lastRenderedPageBreak/>
        <w:t>Tomb of Midas</w:t>
      </w:r>
      <w:r w:rsidRPr="00140183">
        <w:rPr>
          <w:rFonts w:ascii="Times New Roman" w:hAnsi="Times New Roman" w:cs="Times New Roman"/>
          <w:sz w:val="24"/>
          <w:szCs w:val="24"/>
        </w:rPr>
        <w:t>.2019. Livius.org. Available at: https://www.livius.org/articles/place/gordium/gordium-tomb-of-midas/ (Accessed: 25 April 2019).</w:t>
      </w:r>
    </w:p>
    <w:p w14:paraId="459D65A4" w14:textId="105414B0" w:rsidR="009D0B34" w:rsidRDefault="009D0B34" w:rsidP="00947782">
      <w:pPr>
        <w:rPr>
          <w:rFonts w:ascii="Times New Roman" w:hAnsi="Times New Roman" w:cs="Times New Roman"/>
          <w:i/>
          <w:sz w:val="24"/>
          <w:szCs w:val="24"/>
        </w:rPr>
      </w:pPr>
      <w:r w:rsidRPr="00FB289D">
        <w:rPr>
          <w:rFonts w:ascii="Times New Roman" w:hAnsi="Times New Roman" w:cs="Times New Roman"/>
          <w:sz w:val="24"/>
          <w:szCs w:val="24"/>
        </w:rPr>
        <w:t xml:space="preserve">Wadeson, L. 2010. </w:t>
      </w:r>
      <w:r w:rsidRPr="00140183">
        <w:rPr>
          <w:rFonts w:ascii="Times New Roman" w:hAnsi="Times New Roman" w:cs="Times New Roman"/>
          <w:sz w:val="24"/>
          <w:szCs w:val="24"/>
        </w:rPr>
        <w:t xml:space="preserve">Nabataean Façade </w:t>
      </w:r>
      <w:proofErr w:type="gramStart"/>
      <w:r w:rsidRPr="00140183">
        <w:rPr>
          <w:rFonts w:ascii="Times New Roman" w:hAnsi="Times New Roman" w:cs="Times New Roman"/>
          <w:sz w:val="24"/>
          <w:szCs w:val="24"/>
        </w:rPr>
        <w:t>Tombs :</w:t>
      </w:r>
      <w:proofErr w:type="gramEnd"/>
      <w:r w:rsidRPr="00140183">
        <w:rPr>
          <w:rFonts w:ascii="Times New Roman" w:hAnsi="Times New Roman" w:cs="Times New Roman"/>
          <w:sz w:val="24"/>
          <w:szCs w:val="24"/>
        </w:rPr>
        <w:t xml:space="preserve"> A new chronology. </w:t>
      </w:r>
      <w:r w:rsidRPr="00140183">
        <w:rPr>
          <w:rFonts w:ascii="Times New Roman" w:hAnsi="Times New Roman" w:cs="Times New Roman"/>
          <w:i/>
          <w:sz w:val="24"/>
          <w:szCs w:val="24"/>
        </w:rPr>
        <w:t>Oriental Institute University of Oxford.</w:t>
      </w:r>
    </w:p>
    <w:p w14:paraId="04AA5E29" w14:textId="328D4898" w:rsidR="007D4B75" w:rsidRPr="007D4B75" w:rsidRDefault="007D4B75" w:rsidP="00947782">
      <w:pPr>
        <w:rPr>
          <w:rFonts w:ascii="Times New Roman" w:hAnsi="Times New Roman" w:cs="Times New Roman"/>
          <w:sz w:val="24"/>
          <w:szCs w:val="24"/>
        </w:rPr>
      </w:pPr>
      <w:r w:rsidRPr="007D4B75">
        <w:rPr>
          <w:rFonts w:ascii="Times New Roman" w:hAnsi="Times New Roman" w:cs="Times New Roman"/>
          <w:sz w:val="24"/>
          <w:szCs w:val="24"/>
        </w:rPr>
        <w:t xml:space="preserve">Webster, J. 2001. ‘Creolizing the Roman Provinces’, </w:t>
      </w:r>
      <w:r w:rsidRPr="007D4B75">
        <w:rPr>
          <w:rFonts w:ascii="Times New Roman" w:hAnsi="Times New Roman" w:cs="Times New Roman"/>
          <w:i/>
          <w:iCs/>
          <w:sz w:val="24"/>
          <w:szCs w:val="24"/>
        </w:rPr>
        <w:t>American Journal of Archaeology</w:t>
      </w:r>
      <w:r w:rsidRPr="007D4B75">
        <w:rPr>
          <w:rFonts w:ascii="Times New Roman" w:hAnsi="Times New Roman" w:cs="Times New Roman"/>
          <w:sz w:val="24"/>
          <w:szCs w:val="24"/>
        </w:rPr>
        <w:t xml:space="preserve">, 105(2), pp. 209–225. </w:t>
      </w:r>
      <w:proofErr w:type="spellStart"/>
      <w:r w:rsidRPr="007D4B75">
        <w:rPr>
          <w:rFonts w:ascii="Times New Roman" w:hAnsi="Times New Roman" w:cs="Times New Roman"/>
          <w:sz w:val="24"/>
          <w:szCs w:val="24"/>
        </w:rPr>
        <w:t>doi</w:t>
      </w:r>
      <w:proofErr w:type="spellEnd"/>
      <w:r w:rsidRPr="007D4B75">
        <w:rPr>
          <w:rFonts w:ascii="Times New Roman" w:hAnsi="Times New Roman" w:cs="Times New Roman"/>
          <w:sz w:val="24"/>
          <w:szCs w:val="24"/>
        </w:rPr>
        <w:t>: 10.2307/507271.</w:t>
      </w:r>
    </w:p>
    <w:p w14:paraId="5F4EFC4F" w14:textId="77777777" w:rsidR="009D6343" w:rsidRPr="00140183" w:rsidRDefault="009D6343" w:rsidP="009D6343">
      <w:pPr>
        <w:rPr>
          <w:rFonts w:ascii="Times New Roman" w:hAnsi="Times New Roman" w:cs="Times New Roman"/>
          <w:sz w:val="24"/>
          <w:szCs w:val="24"/>
          <w:lang w:val="de-CH"/>
        </w:rPr>
      </w:pPr>
      <w:r w:rsidRPr="00FB289D">
        <w:rPr>
          <w:rFonts w:ascii="Times New Roman" w:hAnsi="Times New Roman" w:cs="Times New Roman"/>
          <w:sz w:val="24"/>
          <w:szCs w:val="24"/>
          <w:lang w:val="de-CH"/>
        </w:rPr>
        <w:t xml:space="preserve">Wenning, R. 2003. </w:t>
      </w:r>
      <w:r w:rsidRPr="00140183">
        <w:rPr>
          <w:rFonts w:ascii="Times New Roman" w:hAnsi="Times New Roman" w:cs="Times New Roman"/>
          <w:sz w:val="24"/>
          <w:szCs w:val="24"/>
          <w:lang w:val="de-CH"/>
        </w:rPr>
        <w:t xml:space="preserve">‘Hellenistische </w:t>
      </w:r>
      <w:proofErr w:type="spellStart"/>
      <w:r w:rsidRPr="00140183">
        <w:rPr>
          <w:rFonts w:ascii="Times New Roman" w:hAnsi="Times New Roman" w:cs="Times New Roman"/>
          <w:sz w:val="24"/>
          <w:szCs w:val="24"/>
          <w:lang w:val="de-CH"/>
        </w:rPr>
        <w:t>Denkm</w:t>
      </w:r>
      <w:proofErr w:type="spellEnd"/>
      <w:r w:rsidRPr="00140183">
        <w:rPr>
          <w:rFonts w:ascii="Times New Roman" w:hAnsi="Times New Roman" w:cs="Times New Roman"/>
          <w:sz w:val="24"/>
          <w:szCs w:val="24"/>
          <w:lang w:val="de-CH"/>
        </w:rPr>
        <w:t xml:space="preserve"> </w:t>
      </w:r>
      <w:proofErr w:type="spellStart"/>
      <w:r w:rsidRPr="00140183">
        <w:rPr>
          <w:rFonts w:ascii="Times New Roman" w:hAnsi="Times New Roman" w:cs="Times New Roman"/>
          <w:sz w:val="24"/>
          <w:szCs w:val="24"/>
          <w:lang w:val="de-CH"/>
        </w:rPr>
        <w:t>äler</w:t>
      </w:r>
      <w:proofErr w:type="spellEnd"/>
      <w:r w:rsidRPr="00140183">
        <w:rPr>
          <w:rFonts w:ascii="Times New Roman" w:hAnsi="Times New Roman" w:cs="Times New Roman"/>
          <w:sz w:val="24"/>
          <w:szCs w:val="24"/>
          <w:lang w:val="de-CH"/>
        </w:rPr>
        <w:t xml:space="preserve"> aus Petra Überlegungen zum Hellenisierungsprozess der Nabatäer’, 119, pp. 141–164.</w:t>
      </w:r>
    </w:p>
    <w:p w14:paraId="07D19E48" w14:textId="1708B96A" w:rsidR="009D6343" w:rsidRPr="00140183" w:rsidRDefault="009D6343" w:rsidP="009D6343">
      <w:pPr>
        <w:rPr>
          <w:rFonts w:ascii="Times New Roman" w:hAnsi="Times New Roman" w:cs="Times New Roman"/>
          <w:sz w:val="24"/>
          <w:szCs w:val="24"/>
        </w:rPr>
      </w:pPr>
      <w:r w:rsidRPr="00140183">
        <w:rPr>
          <w:rFonts w:ascii="Times New Roman" w:hAnsi="Times New Roman" w:cs="Times New Roman"/>
          <w:sz w:val="24"/>
          <w:szCs w:val="24"/>
        </w:rPr>
        <w:t xml:space="preserve">Wilkinson, T. 2010. </w:t>
      </w:r>
      <w:r w:rsidRPr="00140183">
        <w:rPr>
          <w:rFonts w:ascii="Times New Roman" w:hAnsi="Times New Roman" w:cs="Times New Roman"/>
          <w:i/>
          <w:iCs/>
          <w:sz w:val="24"/>
          <w:szCs w:val="24"/>
        </w:rPr>
        <w:t>The Rise and Fall of Ancient Egypt</w:t>
      </w:r>
      <w:r w:rsidRPr="00140183">
        <w:rPr>
          <w:rFonts w:ascii="Times New Roman" w:hAnsi="Times New Roman" w:cs="Times New Roman"/>
          <w:sz w:val="24"/>
          <w:szCs w:val="24"/>
        </w:rPr>
        <w:t>. New York: Random House.</w:t>
      </w:r>
    </w:p>
    <w:p w14:paraId="71379EF6" w14:textId="77777777" w:rsidR="009D0B34" w:rsidRPr="00140183" w:rsidRDefault="009D0B34" w:rsidP="009D0B34">
      <w:pPr>
        <w:rPr>
          <w:rFonts w:ascii="Times New Roman" w:hAnsi="Times New Roman" w:cs="Times New Roman"/>
          <w:sz w:val="24"/>
          <w:szCs w:val="24"/>
        </w:rPr>
      </w:pPr>
      <w:proofErr w:type="spellStart"/>
      <w:r w:rsidRPr="00140183">
        <w:rPr>
          <w:rFonts w:ascii="Times New Roman" w:hAnsi="Times New Roman" w:cs="Times New Roman"/>
          <w:sz w:val="24"/>
          <w:szCs w:val="24"/>
        </w:rPr>
        <w:t>Yunusa</w:t>
      </w:r>
      <w:proofErr w:type="spellEnd"/>
      <w:r w:rsidRPr="00140183">
        <w:rPr>
          <w:rFonts w:ascii="Times New Roman" w:hAnsi="Times New Roman" w:cs="Times New Roman"/>
          <w:sz w:val="24"/>
          <w:szCs w:val="24"/>
        </w:rPr>
        <w:t xml:space="preserve">, M. 2015. </w:t>
      </w:r>
      <w:r w:rsidRPr="00140183">
        <w:rPr>
          <w:rFonts w:ascii="Times New Roman" w:hAnsi="Times New Roman" w:cs="Times New Roman"/>
          <w:i/>
          <w:iCs/>
          <w:sz w:val="24"/>
          <w:szCs w:val="24"/>
        </w:rPr>
        <w:t>Explain the meaning and the theories of intercultural communication and how it promotes peace among countries of the world</w:t>
      </w:r>
      <w:r w:rsidRPr="00140183">
        <w:rPr>
          <w:rFonts w:ascii="Times New Roman" w:hAnsi="Times New Roman" w:cs="Times New Roman"/>
          <w:sz w:val="24"/>
          <w:szCs w:val="24"/>
        </w:rPr>
        <w:t xml:space="preserve">. </w:t>
      </w:r>
      <w:proofErr w:type="spellStart"/>
      <w:r w:rsidRPr="00140183">
        <w:rPr>
          <w:rFonts w:ascii="Times New Roman" w:hAnsi="Times New Roman" w:cs="Times New Roman"/>
          <w:sz w:val="24"/>
          <w:szCs w:val="24"/>
        </w:rPr>
        <w:t>Bayero</w:t>
      </w:r>
      <w:proofErr w:type="spellEnd"/>
      <w:r w:rsidRPr="00140183">
        <w:rPr>
          <w:rFonts w:ascii="Times New Roman" w:hAnsi="Times New Roman" w:cs="Times New Roman"/>
          <w:sz w:val="24"/>
          <w:szCs w:val="24"/>
        </w:rPr>
        <w:t xml:space="preserve"> University, Kano.</w:t>
      </w:r>
    </w:p>
    <w:p w14:paraId="48BF98E0" w14:textId="26406871" w:rsidR="00A07959" w:rsidRDefault="00A07959" w:rsidP="00784249">
      <w:pPr>
        <w:rPr>
          <w:rFonts w:ascii="Times New Roman" w:hAnsi="Times New Roman" w:cs="Times New Roman"/>
          <w:sz w:val="24"/>
          <w:szCs w:val="24"/>
          <w:lang w:val="de-CH"/>
        </w:rPr>
      </w:pPr>
    </w:p>
    <w:p w14:paraId="0FF389C6" w14:textId="0CF938CA" w:rsidR="00776B2B" w:rsidRDefault="00776B2B" w:rsidP="00784249">
      <w:pPr>
        <w:rPr>
          <w:rFonts w:ascii="Times New Roman" w:hAnsi="Times New Roman" w:cs="Times New Roman"/>
          <w:sz w:val="24"/>
          <w:szCs w:val="24"/>
          <w:lang w:val="de-CH"/>
        </w:rPr>
      </w:pPr>
    </w:p>
    <w:p w14:paraId="50045847" w14:textId="51BB6CCA" w:rsidR="00776B2B" w:rsidRDefault="00776B2B" w:rsidP="00784249">
      <w:pPr>
        <w:rPr>
          <w:rFonts w:ascii="Times New Roman" w:hAnsi="Times New Roman" w:cs="Times New Roman"/>
          <w:sz w:val="24"/>
          <w:szCs w:val="24"/>
          <w:lang w:val="de-CH"/>
        </w:rPr>
      </w:pPr>
    </w:p>
    <w:p w14:paraId="1E4968C9" w14:textId="0145B3FA" w:rsidR="00776B2B" w:rsidRDefault="00776B2B" w:rsidP="00784249">
      <w:pPr>
        <w:rPr>
          <w:rFonts w:ascii="Times New Roman" w:hAnsi="Times New Roman" w:cs="Times New Roman"/>
          <w:sz w:val="24"/>
          <w:szCs w:val="24"/>
          <w:lang w:val="de-CH"/>
        </w:rPr>
      </w:pPr>
    </w:p>
    <w:p w14:paraId="6A161FD6" w14:textId="6DD0406A" w:rsidR="00776B2B" w:rsidRDefault="00776B2B" w:rsidP="00784249">
      <w:pPr>
        <w:rPr>
          <w:rFonts w:ascii="Times New Roman" w:hAnsi="Times New Roman" w:cs="Times New Roman"/>
          <w:sz w:val="24"/>
          <w:szCs w:val="24"/>
          <w:lang w:val="de-CH"/>
        </w:rPr>
      </w:pPr>
    </w:p>
    <w:p w14:paraId="6944087C" w14:textId="72065F20" w:rsidR="00776B2B" w:rsidRDefault="00776B2B" w:rsidP="00784249">
      <w:pPr>
        <w:rPr>
          <w:rFonts w:ascii="Times New Roman" w:hAnsi="Times New Roman" w:cs="Times New Roman"/>
          <w:sz w:val="24"/>
          <w:szCs w:val="24"/>
          <w:lang w:val="de-CH"/>
        </w:rPr>
      </w:pPr>
    </w:p>
    <w:p w14:paraId="797C45E8" w14:textId="2F92DC14" w:rsidR="00776B2B" w:rsidRDefault="00776B2B" w:rsidP="00784249">
      <w:pPr>
        <w:rPr>
          <w:rFonts w:ascii="Times New Roman" w:hAnsi="Times New Roman" w:cs="Times New Roman"/>
          <w:sz w:val="24"/>
          <w:szCs w:val="24"/>
          <w:lang w:val="de-CH"/>
        </w:rPr>
      </w:pPr>
    </w:p>
    <w:p w14:paraId="3011BC6A" w14:textId="3375FD7C" w:rsidR="00776B2B" w:rsidRDefault="00776B2B" w:rsidP="00784249">
      <w:pPr>
        <w:rPr>
          <w:rFonts w:ascii="Times New Roman" w:hAnsi="Times New Roman" w:cs="Times New Roman"/>
          <w:sz w:val="24"/>
          <w:szCs w:val="24"/>
          <w:lang w:val="de-CH"/>
        </w:rPr>
      </w:pPr>
    </w:p>
    <w:p w14:paraId="508A42C1" w14:textId="632FD59B" w:rsidR="00776B2B" w:rsidRDefault="00776B2B" w:rsidP="00784249">
      <w:pPr>
        <w:rPr>
          <w:rFonts w:ascii="Times New Roman" w:hAnsi="Times New Roman" w:cs="Times New Roman"/>
          <w:sz w:val="24"/>
          <w:szCs w:val="24"/>
          <w:lang w:val="de-CH"/>
        </w:rPr>
      </w:pPr>
    </w:p>
    <w:p w14:paraId="3D227FF0" w14:textId="6F92F1DA" w:rsidR="00776B2B" w:rsidRDefault="00776B2B" w:rsidP="00784249">
      <w:pPr>
        <w:rPr>
          <w:rFonts w:ascii="Times New Roman" w:hAnsi="Times New Roman" w:cs="Times New Roman"/>
          <w:sz w:val="24"/>
          <w:szCs w:val="24"/>
          <w:lang w:val="de-CH"/>
        </w:rPr>
      </w:pPr>
    </w:p>
    <w:p w14:paraId="735525F6" w14:textId="249E529E" w:rsidR="00776B2B" w:rsidRDefault="00776B2B" w:rsidP="00784249">
      <w:pPr>
        <w:rPr>
          <w:rFonts w:ascii="Times New Roman" w:hAnsi="Times New Roman" w:cs="Times New Roman"/>
          <w:sz w:val="24"/>
          <w:szCs w:val="24"/>
          <w:lang w:val="de-CH"/>
        </w:rPr>
      </w:pPr>
    </w:p>
    <w:p w14:paraId="68D441CD" w14:textId="31ED3D79" w:rsidR="00776B2B" w:rsidRDefault="00776B2B" w:rsidP="00784249">
      <w:pPr>
        <w:rPr>
          <w:rFonts w:ascii="Times New Roman" w:hAnsi="Times New Roman" w:cs="Times New Roman"/>
          <w:sz w:val="24"/>
          <w:szCs w:val="24"/>
          <w:lang w:val="de-CH"/>
        </w:rPr>
      </w:pPr>
    </w:p>
    <w:p w14:paraId="755C294A" w14:textId="6BA8F005" w:rsidR="00776B2B" w:rsidRDefault="00776B2B" w:rsidP="00784249">
      <w:pPr>
        <w:rPr>
          <w:rFonts w:ascii="Times New Roman" w:hAnsi="Times New Roman" w:cs="Times New Roman"/>
          <w:sz w:val="24"/>
          <w:szCs w:val="24"/>
          <w:lang w:val="de-CH"/>
        </w:rPr>
      </w:pPr>
    </w:p>
    <w:p w14:paraId="4B0CDEA3" w14:textId="47C5DF91" w:rsidR="00776B2B" w:rsidRDefault="00776B2B" w:rsidP="00784249">
      <w:pPr>
        <w:rPr>
          <w:rFonts w:ascii="Times New Roman" w:hAnsi="Times New Roman" w:cs="Times New Roman"/>
          <w:sz w:val="24"/>
          <w:szCs w:val="24"/>
          <w:lang w:val="de-CH"/>
        </w:rPr>
      </w:pPr>
    </w:p>
    <w:p w14:paraId="0D1E9B0A" w14:textId="6A2E8E8B" w:rsidR="00776B2B" w:rsidRDefault="00776B2B" w:rsidP="00784249">
      <w:pPr>
        <w:rPr>
          <w:rFonts w:ascii="Times New Roman" w:hAnsi="Times New Roman" w:cs="Times New Roman"/>
          <w:sz w:val="24"/>
          <w:szCs w:val="24"/>
          <w:lang w:val="de-CH"/>
        </w:rPr>
      </w:pPr>
    </w:p>
    <w:p w14:paraId="171F6861" w14:textId="2AF40AB6" w:rsidR="00776B2B" w:rsidRDefault="00776B2B" w:rsidP="00784249">
      <w:pPr>
        <w:rPr>
          <w:rFonts w:ascii="Times New Roman" w:hAnsi="Times New Roman" w:cs="Times New Roman"/>
          <w:sz w:val="24"/>
          <w:szCs w:val="24"/>
          <w:lang w:val="de-CH"/>
        </w:rPr>
      </w:pPr>
    </w:p>
    <w:p w14:paraId="6F4BA7CE" w14:textId="447172CF" w:rsidR="00776B2B" w:rsidRDefault="00776B2B" w:rsidP="00784249">
      <w:pPr>
        <w:rPr>
          <w:rFonts w:ascii="Times New Roman" w:hAnsi="Times New Roman" w:cs="Times New Roman"/>
          <w:sz w:val="24"/>
          <w:szCs w:val="24"/>
          <w:lang w:val="de-CH"/>
        </w:rPr>
      </w:pPr>
    </w:p>
    <w:p w14:paraId="4F4E5B78" w14:textId="0C17F67E" w:rsidR="00776B2B" w:rsidRDefault="00776B2B" w:rsidP="00784249">
      <w:pPr>
        <w:rPr>
          <w:rFonts w:ascii="Times New Roman" w:hAnsi="Times New Roman" w:cs="Times New Roman"/>
          <w:sz w:val="24"/>
          <w:szCs w:val="24"/>
          <w:lang w:val="de-CH"/>
        </w:rPr>
      </w:pPr>
    </w:p>
    <w:p w14:paraId="0E5808D5" w14:textId="62578AAD" w:rsidR="00776B2B" w:rsidRDefault="00776B2B" w:rsidP="00784249">
      <w:pPr>
        <w:rPr>
          <w:rFonts w:ascii="Times New Roman" w:hAnsi="Times New Roman" w:cs="Times New Roman"/>
          <w:sz w:val="24"/>
          <w:szCs w:val="24"/>
          <w:lang w:val="de-CH"/>
        </w:rPr>
      </w:pPr>
    </w:p>
    <w:p w14:paraId="536FEAA2" w14:textId="07893640" w:rsidR="00776B2B" w:rsidRDefault="00776B2B" w:rsidP="00784249">
      <w:pPr>
        <w:rPr>
          <w:rFonts w:ascii="Times New Roman" w:hAnsi="Times New Roman" w:cs="Times New Roman"/>
          <w:sz w:val="24"/>
          <w:szCs w:val="24"/>
          <w:lang w:val="de-CH"/>
        </w:rPr>
      </w:pPr>
    </w:p>
    <w:p w14:paraId="35F2F038" w14:textId="43F66C4F" w:rsidR="00776B2B" w:rsidRDefault="00776B2B" w:rsidP="00784249">
      <w:pPr>
        <w:rPr>
          <w:rFonts w:ascii="Times New Roman" w:hAnsi="Times New Roman" w:cs="Times New Roman"/>
          <w:sz w:val="24"/>
          <w:szCs w:val="24"/>
          <w:lang w:val="de-CH"/>
        </w:rPr>
      </w:pPr>
    </w:p>
    <w:p w14:paraId="5FA5F5FA" w14:textId="0B8B1208" w:rsidR="00776B2B" w:rsidRDefault="00776B2B" w:rsidP="00784249">
      <w:pPr>
        <w:rPr>
          <w:rFonts w:ascii="Times New Roman" w:hAnsi="Times New Roman" w:cs="Times New Roman"/>
          <w:sz w:val="24"/>
          <w:szCs w:val="24"/>
          <w:u w:val="single"/>
          <w:lang w:val="de-CH"/>
        </w:rPr>
      </w:pPr>
      <w:proofErr w:type="spellStart"/>
      <w:r>
        <w:rPr>
          <w:rFonts w:ascii="Times New Roman" w:hAnsi="Times New Roman" w:cs="Times New Roman"/>
          <w:sz w:val="24"/>
          <w:szCs w:val="24"/>
          <w:u w:val="single"/>
          <w:lang w:val="de-CH"/>
        </w:rPr>
        <w:lastRenderedPageBreak/>
        <w:t>Appendices</w:t>
      </w:r>
      <w:proofErr w:type="spellEnd"/>
      <w:r>
        <w:rPr>
          <w:rFonts w:ascii="Times New Roman" w:hAnsi="Times New Roman" w:cs="Times New Roman"/>
          <w:sz w:val="24"/>
          <w:szCs w:val="24"/>
          <w:u w:val="single"/>
          <w:lang w:val="de-CH"/>
        </w:rPr>
        <w:t xml:space="preserve"> </w:t>
      </w:r>
    </w:p>
    <w:p w14:paraId="713F7A45" w14:textId="2B42A034" w:rsidR="00776B2B" w:rsidRDefault="00776B2B" w:rsidP="00784249">
      <w:pPr>
        <w:rPr>
          <w:rFonts w:ascii="Times New Roman" w:hAnsi="Times New Roman" w:cs="Times New Roman"/>
          <w:sz w:val="24"/>
          <w:szCs w:val="24"/>
          <w:u w:val="single"/>
          <w:lang w:val="de-CH"/>
        </w:rPr>
      </w:pPr>
    </w:p>
    <w:p w14:paraId="3608BD8A" w14:textId="5D11B539" w:rsidR="00776B2B" w:rsidRDefault="00776B2B" w:rsidP="00784249">
      <w:pPr>
        <w:rPr>
          <w:rFonts w:ascii="Times New Roman" w:hAnsi="Times New Roman" w:cs="Times New Roman"/>
          <w:sz w:val="24"/>
          <w:szCs w:val="24"/>
          <w:u w:val="single"/>
          <w:lang w:val="de-CH"/>
        </w:rPr>
      </w:pPr>
      <w:r>
        <w:rPr>
          <w:rFonts w:ascii="Times New Roman" w:hAnsi="Times New Roman" w:cs="Times New Roman"/>
          <w:sz w:val="24"/>
          <w:szCs w:val="24"/>
          <w:u w:val="single"/>
          <w:lang w:val="de-CH"/>
        </w:rPr>
        <w:t>Appendix 1</w:t>
      </w:r>
    </w:p>
    <w:p w14:paraId="0B62385B" w14:textId="5218BD12" w:rsidR="00776B2B" w:rsidRDefault="00776B2B" w:rsidP="00784249">
      <w:pPr>
        <w:rPr>
          <w:rFonts w:ascii="Times New Roman" w:hAnsi="Times New Roman" w:cs="Times New Roman"/>
          <w:sz w:val="24"/>
          <w:szCs w:val="24"/>
          <w:u w:val="single"/>
          <w:lang w:val="de-CH"/>
        </w:rPr>
      </w:pPr>
    </w:p>
    <w:p w14:paraId="1A1A365B" w14:textId="2E69444E" w:rsidR="00776B2B" w:rsidRDefault="00776B2B" w:rsidP="00784249">
      <w:pPr>
        <w:rPr>
          <w:rFonts w:ascii="Times New Roman" w:hAnsi="Times New Roman" w:cs="Times New Roman"/>
          <w:sz w:val="24"/>
          <w:szCs w:val="24"/>
          <w:u w:val="single"/>
          <w:lang w:val="de-CH"/>
        </w:rPr>
      </w:pPr>
      <w:r>
        <w:rPr>
          <w:rFonts w:ascii="Times New Roman" w:hAnsi="Times New Roman" w:cs="Times New Roman"/>
          <w:noProof/>
          <w:sz w:val="24"/>
          <w:szCs w:val="24"/>
          <w:u w:val="single"/>
          <w:lang w:val="de-CH"/>
        </w:rPr>
        <w:drawing>
          <wp:inline distT="0" distB="0" distL="0" distR="0" wp14:anchorId="08372149" wp14:editId="4012DB06">
            <wp:extent cx="4375375" cy="3689540"/>
            <wp:effectExtent l="0" t="0" r="6350" b="6350"/>
            <wp:docPr id="2" name="Grafi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60, Lindner, 1970, map.PNG"/>
                    <pic:cNvPicPr/>
                  </pic:nvPicPr>
                  <pic:blipFill>
                    <a:blip r:embed="rId9">
                      <a:extLst>
                        <a:ext uri="{28A0092B-C50C-407E-A947-70E740481C1C}">
                          <a14:useLocalDpi xmlns:a14="http://schemas.microsoft.com/office/drawing/2010/main" val="0"/>
                        </a:ext>
                      </a:extLst>
                    </a:blip>
                    <a:stretch>
                      <a:fillRect/>
                    </a:stretch>
                  </pic:blipFill>
                  <pic:spPr>
                    <a:xfrm>
                      <a:off x="0" y="0"/>
                      <a:ext cx="4375375" cy="3689540"/>
                    </a:xfrm>
                    <a:prstGeom prst="rect">
                      <a:avLst/>
                    </a:prstGeom>
                  </pic:spPr>
                </pic:pic>
              </a:graphicData>
            </a:graphic>
          </wp:inline>
        </w:drawing>
      </w:r>
    </w:p>
    <w:p w14:paraId="176E36FC" w14:textId="5C74FE7C" w:rsidR="00776B2B" w:rsidRDefault="00776B2B" w:rsidP="00784249">
      <w:pPr>
        <w:rPr>
          <w:rFonts w:ascii="Times New Roman" w:hAnsi="Times New Roman" w:cs="Times New Roman"/>
          <w:sz w:val="24"/>
          <w:szCs w:val="24"/>
          <w:u w:val="single"/>
        </w:rPr>
      </w:pPr>
      <w:r w:rsidRPr="00776B2B">
        <w:rPr>
          <w:rFonts w:ascii="Times New Roman" w:hAnsi="Times New Roman" w:cs="Times New Roman"/>
          <w:sz w:val="24"/>
          <w:szCs w:val="24"/>
          <w:u w:val="single"/>
        </w:rPr>
        <w:t>Fig.1, illustrating the boundaries of t</w:t>
      </w:r>
      <w:r>
        <w:rPr>
          <w:rFonts w:ascii="Times New Roman" w:hAnsi="Times New Roman" w:cs="Times New Roman"/>
          <w:sz w:val="24"/>
          <w:szCs w:val="24"/>
          <w:u w:val="single"/>
        </w:rPr>
        <w:t>he Nabataean kingdom (Lindner 1970: 260).</w:t>
      </w:r>
    </w:p>
    <w:p w14:paraId="0F53C36D" w14:textId="1B7CE10D" w:rsidR="00776B2B" w:rsidRDefault="00776B2B" w:rsidP="00784249">
      <w:pPr>
        <w:rPr>
          <w:rFonts w:ascii="Times New Roman" w:hAnsi="Times New Roman" w:cs="Times New Roman"/>
          <w:sz w:val="24"/>
          <w:szCs w:val="24"/>
          <w:u w:val="single"/>
        </w:rPr>
      </w:pPr>
    </w:p>
    <w:p w14:paraId="20D268E5" w14:textId="2A394F2A" w:rsidR="00776B2B" w:rsidRDefault="00776B2B" w:rsidP="00784249">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739ECA4F" wp14:editId="525111F6">
            <wp:extent cx="1426348" cy="2037144"/>
            <wp:effectExtent l="0" t="0" r="2540" b="1270"/>
            <wp:docPr id="3" name="Grafik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65, Alpass 2013, eye betyl from the temple of the winged lion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31013" cy="2043807"/>
                    </a:xfrm>
                    <a:prstGeom prst="rect">
                      <a:avLst/>
                    </a:prstGeom>
                  </pic:spPr>
                </pic:pic>
              </a:graphicData>
            </a:graphic>
          </wp:inline>
        </w:drawing>
      </w:r>
    </w:p>
    <w:p w14:paraId="2D35869C" w14:textId="4AD65A54" w:rsidR="00776B2B" w:rsidRPr="00776B2B" w:rsidRDefault="00776B2B" w:rsidP="00784249">
      <w:pPr>
        <w:rPr>
          <w:rFonts w:ascii="Times New Roman" w:hAnsi="Times New Roman" w:cs="Times New Roman"/>
          <w:sz w:val="24"/>
          <w:szCs w:val="24"/>
          <w:u w:val="single"/>
          <w:lang w:val="da-DK"/>
        </w:rPr>
      </w:pPr>
      <w:r w:rsidRPr="00776B2B">
        <w:rPr>
          <w:rFonts w:ascii="Times New Roman" w:hAnsi="Times New Roman" w:cs="Times New Roman"/>
          <w:sz w:val="24"/>
          <w:szCs w:val="24"/>
          <w:u w:val="single"/>
          <w:lang w:val="da-DK"/>
        </w:rPr>
        <w:t>Fig.2, A Nabataean eye-betyl (Al</w:t>
      </w:r>
      <w:r>
        <w:rPr>
          <w:rFonts w:ascii="Times New Roman" w:hAnsi="Times New Roman" w:cs="Times New Roman"/>
          <w:sz w:val="24"/>
          <w:szCs w:val="24"/>
          <w:u w:val="single"/>
          <w:lang w:val="da-DK"/>
        </w:rPr>
        <w:t>pass 2013:265)</w:t>
      </w:r>
    </w:p>
    <w:p w14:paraId="51A0C061" w14:textId="1F011C30" w:rsidR="00776B2B" w:rsidRPr="00776B2B" w:rsidRDefault="00776B2B" w:rsidP="00784249">
      <w:pPr>
        <w:rPr>
          <w:rFonts w:ascii="Times New Roman" w:hAnsi="Times New Roman" w:cs="Times New Roman"/>
          <w:sz w:val="24"/>
          <w:szCs w:val="24"/>
          <w:u w:val="single"/>
          <w:lang w:val="da-DK"/>
        </w:rPr>
      </w:pPr>
    </w:p>
    <w:p w14:paraId="08A313D7" w14:textId="733CCDA2" w:rsidR="00776B2B" w:rsidRPr="00776B2B" w:rsidRDefault="00776B2B" w:rsidP="00784249">
      <w:pPr>
        <w:rPr>
          <w:rFonts w:ascii="Times New Roman" w:hAnsi="Times New Roman" w:cs="Times New Roman"/>
          <w:sz w:val="24"/>
          <w:szCs w:val="24"/>
          <w:u w:val="single"/>
          <w:lang w:val="da-DK"/>
        </w:rPr>
      </w:pPr>
    </w:p>
    <w:p w14:paraId="7EA9B855" w14:textId="7CC6BA32" w:rsidR="00776B2B" w:rsidRDefault="00776B2B" w:rsidP="00784249">
      <w:pPr>
        <w:rPr>
          <w:rFonts w:ascii="Times New Roman" w:hAnsi="Times New Roman" w:cs="Times New Roman"/>
          <w:sz w:val="24"/>
          <w:szCs w:val="24"/>
          <w:u w:val="single"/>
          <w:lang w:val="da-DK"/>
        </w:rPr>
      </w:pPr>
    </w:p>
    <w:p w14:paraId="6EE1F876" w14:textId="3C537720" w:rsidR="00776B2B" w:rsidRDefault="00776B2B" w:rsidP="00784249">
      <w:pPr>
        <w:rPr>
          <w:rFonts w:ascii="Times New Roman" w:hAnsi="Times New Roman" w:cs="Times New Roman"/>
          <w:sz w:val="24"/>
          <w:szCs w:val="24"/>
          <w:u w:val="single"/>
          <w:lang w:val="da-DK"/>
        </w:rPr>
      </w:pPr>
      <w:r>
        <w:rPr>
          <w:rFonts w:ascii="Times New Roman" w:hAnsi="Times New Roman" w:cs="Times New Roman"/>
          <w:noProof/>
          <w:sz w:val="24"/>
          <w:szCs w:val="24"/>
          <w:u w:val="single"/>
          <w:lang w:val="da-DK"/>
        </w:rPr>
        <w:lastRenderedPageBreak/>
        <w:drawing>
          <wp:inline distT="0" distB="0" distL="0" distR="0" wp14:anchorId="66C5ECB2" wp14:editId="2F61219E">
            <wp:extent cx="2660787" cy="2578233"/>
            <wp:effectExtent l="0" t="0" r="6350" b="0"/>
            <wp:docPr id="4" name="Grafik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tra tomb complex, 216, Schmid.PNG"/>
                    <pic:cNvPicPr/>
                  </pic:nvPicPr>
                  <pic:blipFill>
                    <a:blip r:embed="rId11">
                      <a:extLst>
                        <a:ext uri="{28A0092B-C50C-407E-A947-70E740481C1C}">
                          <a14:useLocalDpi xmlns:a14="http://schemas.microsoft.com/office/drawing/2010/main" val="0"/>
                        </a:ext>
                      </a:extLst>
                    </a:blip>
                    <a:stretch>
                      <a:fillRect/>
                    </a:stretch>
                  </pic:blipFill>
                  <pic:spPr>
                    <a:xfrm>
                      <a:off x="0" y="0"/>
                      <a:ext cx="2660787" cy="2578233"/>
                    </a:xfrm>
                    <a:prstGeom prst="rect">
                      <a:avLst/>
                    </a:prstGeom>
                  </pic:spPr>
                </pic:pic>
              </a:graphicData>
            </a:graphic>
          </wp:inline>
        </w:drawing>
      </w:r>
    </w:p>
    <w:p w14:paraId="690DE076" w14:textId="63FB74BD" w:rsidR="00776B2B" w:rsidRDefault="00776B2B" w:rsidP="00784249">
      <w:pPr>
        <w:rPr>
          <w:rFonts w:ascii="Times New Roman" w:hAnsi="Times New Roman" w:cs="Times New Roman"/>
          <w:sz w:val="24"/>
          <w:szCs w:val="24"/>
          <w:u w:val="single"/>
        </w:rPr>
      </w:pPr>
      <w:r w:rsidRPr="00776B2B">
        <w:rPr>
          <w:rFonts w:ascii="Times New Roman" w:hAnsi="Times New Roman" w:cs="Times New Roman"/>
          <w:sz w:val="24"/>
          <w:szCs w:val="24"/>
          <w:u w:val="single"/>
        </w:rPr>
        <w:t xml:space="preserve">Fig.3, </w:t>
      </w:r>
      <w:r>
        <w:rPr>
          <w:rFonts w:ascii="Times New Roman" w:hAnsi="Times New Roman" w:cs="Times New Roman"/>
          <w:sz w:val="24"/>
          <w:szCs w:val="24"/>
          <w:u w:val="single"/>
        </w:rPr>
        <w:t>One possibility of reconstructed tomb complexes (Schmid n.d. 260).</w:t>
      </w:r>
    </w:p>
    <w:p w14:paraId="40BA6B2D" w14:textId="77777777" w:rsidR="00776B2B" w:rsidRPr="00776B2B" w:rsidRDefault="00776B2B" w:rsidP="00784249">
      <w:pPr>
        <w:rPr>
          <w:rFonts w:ascii="Times New Roman" w:hAnsi="Times New Roman" w:cs="Times New Roman"/>
          <w:sz w:val="24"/>
          <w:szCs w:val="24"/>
          <w:u w:val="single"/>
        </w:rPr>
      </w:pPr>
    </w:p>
    <w:p w14:paraId="4E041334" w14:textId="5AC94302" w:rsidR="00776B2B" w:rsidRDefault="00A62BF1" w:rsidP="00784249">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02BFD333" wp14:editId="58B2B4A7">
            <wp:extent cx="4559534" cy="3194214"/>
            <wp:effectExtent l="0" t="0" r="0" b="6350"/>
            <wp:docPr id="5" name="Grafik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lace and Corinthian tombs, Petra.PNG"/>
                    <pic:cNvPicPr/>
                  </pic:nvPicPr>
                  <pic:blipFill>
                    <a:blip r:embed="rId12">
                      <a:extLst>
                        <a:ext uri="{28A0092B-C50C-407E-A947-70E740481C1C}">
                          <a14:useLocalDpi xmlns:a14="http://schemas.microsoft.com/office/drawing/2010/main" val="0"/>
                        </a:ext>
                      </a:extLst>
                    </a:blip>
                    <a:stretch>
                      <a:fillRect/>
                    </a:stretch>
                  </pic:blipFill>
                  <pic:spPr>
                    <a:xfrm>
                      <a:off x="0" y="0"/>
                      <a:ext cx="4559534" cy="3194214"/>
                    </a:xfrm>
                    <a:prstGeom prst="rect">
                      <a:avLst/>
                    </a:prstGeom>
                  </pic:spPr>
                </pic:pic>
              </a:graphicData>
            </a:graphic>
          </wp:inline>
        </w:drawing>
      </w:r>
    </w:p>
    <w:p w14:paraId="761C837B" w14:textId="140CC8F1" w:rsidR="00A62BF1" w:rsidRPr="00A62BF1" w:rsidRDefault="00A62BF1" w:rsidP="00784249">
      <w:pPr>
        <w:rPr>
          <w:rFonts w:ascii="Times New Roman" w:hAnsi="Times New Roman" w:cs="Times New Roman"/>
          <w:sz w:val="24"/>
          <w:szCs w:val="24"/>
          <w:u w:val="single"/>
        </w:rPr>
      </w:pPr>
      <w:r w:rsidRPr="00A62BF1">
        <w:rPr>
          <w:rFonts w:ascii="Times New Roman" w:hAnsi="Times New Roman" w:cs="Times New Roman"/>
          <w:sz w:val="24"/>
          <w:szCs w:val="24"/>
          <w:u w:val="single"/>
        </w:rPr>
        <w:t xml:space="preserve">Fig. 4, the Corinthian and urn tomb facades (Wikipedia, </w:t>
      </w:r>
      <w:r w:rsidRPr="00A62BF1">
        <w:rPr>
          <w:rFonts w:ascii="Times New Roman" w:hAnsi="Times New Roman" w:cs="Times New Roman"/>
          <w:iCs/>
          <w:sz w:val="24"/>
          <w:szCs w:val="24"/>
          <w:u w:val="single"/>
        </w:rPr>
        <w:t>Palace Tomb and Corinthian Tomb, Petra).</w:t>
      </w:r>
    </w:p>
    <w:p w14:paraId="717F7F02" w14:textId="65F96CB2" w:rsidR="00776B2B" w:rsidRPr="00776B2B" w:rsidRDefault="00A62BF1" w:rsidP="00784249">
      <w:pPr>
        <w:rPr>
          <w:rFonts w:ascii="Times New Roman" w:hAnsi="Times New Roman" w:cs="Times New Roman"/>
          <w:sz w:val="24"/>
          <w:szCs w:val="24"/>
          <w:u w:val="single"/>
        </w:rPr>
      </w:pPr>
      <w:r>
        <w:rPr>
          <w:rFonts w:ascii="Times New Roman" w:hAnsi="Times New Roman" w:cs="Times New Roman"/>
          <w:noProof/>
          <w:sz w:val="24"/>
          <w:szCs w:val="24"/>
          <w:u w:val="single"/>
        </w:rPr>
        <w:lastRenderedPageBreak/>
        <w:drawing>
          <wp:inline distT="0" distB="0" distL="0" distR="0" wp14:anchorId="2CCBE845" wp14:editId="40ADB650">
            <wp:extent cx="4673840" cy="3860998"/>
            <wp:effectExtent l="0" t="0" r="0" b="6350"/>
            <wp:docPr id="6" name="Grafik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deson 2010, 508, Nabataean tomb types.PNG"/>
                    <pic:cNvPicPr/>
                  </pic:nvPicPr>
                  <pic:blipFill>
                    <a:blip r:embed="rId13">
                      <a:extLst>
                        <a:ext uri="{28A0092B-C50C-407E-A947-70E740481C1C}">
                          <a14:useLocalDpi xmlns:a14="http://schemas.microsoft.com/office/drawing/2010/main" val="0"/>
                        </a:ext>
                      </a:extLst>
                    </a:blip>
                    <a:stretch>
                      <a:fillRect/>
                    </a:stretch>
                  </pic:blipFill>
                  <pic:spPr>
                    <a:xfrm>
                      <a:off x="0" y="0"/>
                      <a:ext cx="4673840" cy="3860998"/>
                    </a:xfrm>
                    <a:prstGeom prst="rect">
                      <a:avLst/>
                    </a:prstGeom>
                  </pic:spPr>
                </pic:pic>
              </a:graphicData>
            </a:graphic>
          </wp:inline>
        </w:drawing>
      </w:r>
    </w:p>
    <w:p w14:paraId="756AA834" w14:textId="26E272B0" w:rsidR="00776B2B" w:rsidRPr="00776B2B" w:rsidRDefault="00A62BF1" w:rsidP="00784249">
      <w:pPr>
        <w:rPr>
          <w:rFonts w:ascii="Times New Roman" w:hAnsi="Times New Roman" w:cs="Times New Roman"/>
          <w:sz w:val="24"/>
          <w:szCs w:val="24"/>
          <w:u w:val="single"/>
        </w:rPr>
      </w:pPr>
      <w:r>
        <w:rPr>
          <w:rFonts w:ascii="Times New Roman" w:hAnsi="Times New Roman" w:cs="Times New Roman"/>
          <w:sz w:val="24"/>
          <w:szCs w:val="24"/>
          <w:u w:val="single"/>
        </w:rPr>
        <w:t>Fig. 5, depicting the various tomb façade types (</w:t>
      </w:r>
      <w:proofErr w:type="spellStart"/>
      <w:r>
        <w:rPr>
          <w:rFonts w:ascii="Times New Roman" w:hAnsi="Times New Roman" w:cs="Times New Roman"/>
          <w:sz w:val="24"/>
          <w:szCs w:val="24"/>
          <w:u w:val="single"/>
        </w:rPr>
        <w:t>Wadeson</w:t>
      </w:r>
      <w:proofErr w:type="spellEnd"/>
      <w:r>
        <w:rPr>
          <w:rFonts w:ascii="Times New Roman" w:hAnsi="Times New Roman" w:cs="Times New Roman"/>
          <w:sz w:val="24"/>
          <w:szCs w:val="24"/>
          <w:u w:val="single"/>
        </w:rPr>
        <w:t xml:space="preserve"> 2010:508).</w:t>
      </w:r>
    </w:p>
    <w:p w14:paraId="4E9750B0" w14:textId="1F32A42F" w:rsidR="00776B2B" w:rsidRPr="00776B2B" w:rsidRDefault="00FC3E50" w:rsidP="00784249">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74D15AB7" wp14:editId="48518BEC">
            <wp:extent cx="5760720" cy="3804920"/>
            <wp:effectExtent l="0" t="0" r="0" b="5080"/>
            <wp:docPr id="7" name="Grafik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derson, 176, Babylon Gate.PNG"/>
                    <pic:cNvPicPr/>
                  </pic:nvPicPr>
                  <pic:blipFill>
                    <a:blip r:embed="rId14">
                      <a:extLst>
                        <a:ext uri="{28A0092B-C50C-407E-A947-70E740481C1C}">
                          <a14:useLocalDpi xmlns:a14="http://schemas.microsoft.com/office/drawing/2010/main" val="0"/>
                        </a:ext>
                      </a:extLst>
                    </a:blip>
                    <a:stretch>
                      <a:fillRect/>
                    </a:stretch>
                  </pic:blipFill>
                  <pic:spPr>
                    <a:xfrm>
                      <a:off x="0" y="0"/>
                      <a:ext cx="5760720" cy="3804920"/>
                    </a:xfrm>
                    <a:prstGeom prst="rect">
                      <a:avLst/>
                    </a:prstGeom>
                  </pic:spPr>
                </pic:pic>
              </a:graphicData>
            </a:graphic>
          </wp:inline>
        </w:drawing>
      </w:r>
    </w:p>
    <w:p w14:paraId="68C3662D" w14:textId="0F6FA909" w:rsidR="00776B2B" w:rsidRPr="00776B2B" w:rsidRDefault="00FC3E50" w:rsidP="00784249">
      <w:pPr>
        <w:rPr>
          <w:rFonts w:ascii="Times New Roman" w:hAnsi="Times New Roman" w:cs="Times New Roman"/>
          <w:sz w:val="24"/>
          <w:szCs w:val="24"/>
          <w:u w:val="single"/>
        </w:rPr>
      </w:pPr>
      <w:r>
        <w:rPr>
          <w:rFonts w:ascii="Times New Roman" w:hAnsi="Times New Roman" w:cs="Times New Roman"/>
          <w:sz w:val="24"/>
          <w:szCs w:val="24"/>
          <w:u w:val="single"/>
        </w:rPr>
        <w:t>Fig.6, illustration of the Ishtar Gate of Babylon (Anderson 2002:176).</w:t>
      </w:r>
    </w:p>
    <w:p w14:paraId="65565EBA" w14:textId="4EDC6509" w:rsidR="00776B2B" w:rsidRDefault="00776B2B" w:rsidP="00784249">
      <w:pPr>
        <w:rPr>
          <w:rFonts w:ascii="Times New Roman" w:hAnsi="Times New Roman" w:cs="Times New Roman"/>
          <w:sz w:val="24"/>
          <w:szCs w:val="24"/>
          <w:u w:val="single"/>
        </w:rPr>
      </w:pPr>
    </w:p>
    <w:p w14:paraId="781CF471" w14:textId="09DA7BA8" w:rsidR="00A62BF1" w:rsidRDefault="00A62BF1" w:rsidP="00784249">
      <w:pPr>
        <w:rPr>
          <w:rFonts w:ascii="Times New Roman" w:hAnsi="Times New Roman" w:cs="Times New Roman"/>
          <w:sz w:val="24"/>
          <w:szCs w:val="24"/>
          <w:u w:val="single"/>
        </w:rPr>
      </w:pPr>
    </w:p>
    <w:p w14:paraId="1DC67F06" w14:textId="77777777" w:rsidR="00A62BF1" w:rsidRPr="00776B2B" w:rsidRDefault="00A62BF1" w:rsidP="00784249">
      <w:pPr>
        <w:rPr>
          <w:rFonts w:ascii="Times New Roman" w:hAnsi="Times New Roman" w:cs="Times New Roman"/>
          <w:sz w:val="24"/>
          <w:szCs w:val="24"/>
          <w:u w:val="single"/>
        </w:rPr>
      </w:pPr>
    </w:p>
    <w:p w14:paraId="7E6D8474" w14:textId="26919B10" w:rsidR="00776B2B" w:rsidRDefault="00776B2B" w:rsidP="00784249">
      <w:pPr>
        <w:rPr>
          <w:rFonts w:ascii="Times New Roman" w:hAnsi="Times New Roman" w:cs="Times New Roman"/>
          <w:sz w:val="24"/>
          <w:szCs w:val="24"/>
          <w:u w:val="single"/>
        </w:rPr>
      </w:pPr>
      <w:r>
        <w:rPr>
          <w:rFonts w:ascii="Times New Roman" w:hAnsi="Times New Roman" w:cs="Times New Roman"/>
          <w:sz w:val="24"/>
          <w:szCs w:val="24"/>
          <w:u w:val="single"/>
        </w:rPr>
        <w:t>Appendices reference list</w:t>
      </w:r>
    </w:p>
    <w:p w14:paraId="3AF68117" w14:textId="77777777" w:rsidR="00C0530C" w:rsidRDefault="00C0530C" w:rsidP="00784249">
      <w:pPr>
        <w:rPr>
          <w:rFonts w:ascii="Times New Roman" w:hAnsi="Times New Roman" w:cs="Times New Roman"/>
          <w:sz w:val="24"/>
          <w:szCs w:val="24"/>
          <w:u w:val="single"/>
        </w:rPr>
      </w:pPr>
    </w:p>
    <w:p w14:paraId="660C8852" w14:textId="77777777" w:rsidR="00776B2B" w:rsidRPr="00C0530C" w:rsidRDefault="00776B2B" w:rsidP="00776B2B">
      <w:pPr>
        <w:rPr>
          <w:rFonts w:ascii="Times New Roman" w:hAnsi="Times New Roman" w:cs="Times New Roman"/>
          <w:sz w:val="24"/>
          <w:szCs w:val="24"/>
        </w:rPr>
      </w:pPr>
      <w:proofErr w:type="spellStart"/>
      <w:r w:rsidRPr="00C0530C">
        <w:rPr>
          <w:rFonts w:ascii="Times New Roman" w:hAnsi="Times New Roman" w:cs="Times New Roman"/>
          <w:sz w:val="24"/>
          <w:szCs w:val="24"/>
        </w:rPr>
        <w:t>Alpass</w:t>
      </w:r>
      <w:proofErr w:type="spellEnd"/>
      <w:r w:rsidRPr="00C0530C">
        <w:rPr>
          <w:rFonts w:ascii="Times New Roman" w:hAnsi="Times New Roman" w:cs="Times New Roman"/>
          <w:sz w:val="24"/>
          <w:szCs w:val="24"/>
        </w:rPr>
        <w:t xml:space="preserve">, P. (2013) </w:t>
      </w:r>
      <w:r w:rsidRPr="00C0530C">
        <w:rPr>
          <w:rFonts w:ascii="Times New Roman" w:hAnsi="Times New Roman" w:cs="Times New Roman"/>
          <w:i/>
          <w:iCs/>
          <w:sz w:val="24"/>
          <w:szCs w:val="24"/>
        </w:rPr>
        <w:t>The Religious Life of Nabataea</w:t>
      </w:r>
      <w:r w:rsidRPr="00C0530C">
        <w:rPr>
          <w:rFonts w:ascii="Times New Roman" w:hAnsi="Times New Roman" w:cs="Times New Roman"/>
          <w:sz w:val="24"/>
          <w:szCs w:val="24"/>
        </w:rPr>
        <w:t xml:space="preserve">, </w:t>
      </w:r>
      <w:r w:rsidRPr="00C0530C">
        <w:rPr>
          <w:rFonts w:ascii="Times New Roman" w:hAnsi="Times New Roman" w:cs="Times New Roman"/>
          <w:i/>
          <w:iCs/>
          <w:sz w:val="24"/>
          <w:szCs w:val="24"/>
        </w:rPr>
        <w:t>Brill Leiden</w:t>
      </w:r>
      <w:r w:rsidRPr="00C0530C">
        <w:rPr>
          <w:rFonts w:ascii="Times New Roman" w:hAnsi="Times New Roman" w:cs="Times New Roman"/>
          <w:sz w:val="24"/>
          <w:szCs w:val="24"/>
        </w:rPr>
        <w:t>. Boston.</w:t>
      </w:r>
    </w:p>
    <w:p w14:paraId="30955B8C" w14:textId="77777777" w:rsidR="00C0530C" w:rsidRPr="00C0530C" w:rsidRDefault="00C0530C" w:rsidP="00C0530C">
      <w:pPr>
        <w:rPr>
          <w:rFonts w:ascii="Times New Roman" w:hAnsi="Times New Roman" w:cs="Times New Roman"/>
          <w:sz w:val="24"/>
          <w:szCs w:val="24"/>
        </w:rPr>
      </w:pPr>
      <w:r w:rsidRPr="00C0530C">
        <w:rPr>
          <w:rFonts w:ascii="Times New Roman" w:hAnsi="Times New Roman" w:cs="Times New Roman"/>
          <w:sz w:val="24"/>
          <w:szCs w:val="24"/>
        </w:rPr>
        <w:t>Anderson, B. 2002. ‘</w:t>
      </w:r>
      <w:r w:rsidRPr="00C0530C">
        <w:rPr>
          <w:rFonts w:ascii="Times New Roman" w:hAnsi="Times New Roman" w:cs="Times New Roman"/>
          <w:i/>
          <w:sz w:val="24"/>
          <w:szCs w:val="24"/>
        </w:rPr>
        <w:t>Imperial Legacies, Local Identities: References to Achaemenid Persian Iconography on Crenelated Nabataean Tombs’</w:t>
      </w:r>
      <w:r w:rsidRPr="00C0530C">
        <w:rPr>
          <w:rFonts w:ascii="Times New Roman" w:hAnsi="Times New Roman" w:cs="Times New Roman"/>
          <w:sz w:val="24"/>
          <w:szCs w:val="24"/>
        </w:rPr>
        <w:t xml:space="preserve">, </w:t>
      </w:r>
      <w:r w:rsidRPr="00C0530C">
        <w:rPr>
          <w:rFonts w:ascii="Times New Roman" w:hAnsi="Times New Roman" w:cs="Times New Roman"/>
          <w:iCs/>
          <w:sz w:val="24"/>
          <w:szCs w:val="24"/>
        </w:rPr>
        <w:t xml:space="preserve">Ars </w:t>
      </w:r>
      <w:proofErr w:type="spellStart"/>
      <w:r w:rsidRPr="00C0530C">
        <w:rPr>
          <w:rFonts w:ascii="Times New Roman" w:hAnsi="Times New Roman" w:cs="Times New Roman"/>
          <w:iCs/>
          <w:sz w:val="24"/>
          <w:szCs w:val="24"/>
        </w:rPr>
        <w:t>Orientalis</w:t>
      </w:r>
      <w:proofErr w:type="spellEnd"/>
      <w:r w:rsidRPr="00C0530C">
        <w:rPr>
          <w:rFonts w:ascii="Times New Roman" w:hAnsi="Times New Roman" w:cs="Times New Roman"/>
          <w:sz w:val="24"/>
          <w:szCs w:val="24"/>
        </w:rPr>
        <w:t>, 32(2002), pp. 163–207</w:t>
      </w:r>
    </w:p>
    <w:p w14:paraId="17ABB041" w14:textId="77777777" w:rsidR="00C0530C" w:rsidRPr="00C0530C" w:rsidRDefault="00C0530C" w:rsidP="00776B2B">
      <w:pPr>
        <w:rPr>
          <w:rFonts w:ascii="Times New Roman" w:hAnsi="Times New Roman" w:cs="Times New Roman"/>
          <w:sz w:val="24"/>
          <w:szCs w:val="24"/>
          <w:u w:val="single"/>
        </w:rPr>
      </w:pPr>
    </w:p>
    <w:p w14:paraId="5C2C7D1F" w14:textId="2F20C82A" w:rsidR="00776B2B" w:rsidRPr="00C0530C" w:rsidRDefault="00776B2B" w:rsidP="00776B2B">
      <w:pPr>
        <w:rPr>
          <w:rFonts w:ascii="Times New Roman" w:hAnsi="Times New Roman" w:cs="Times New Roman"/>
          <w:sz w:val="24"/>
          <w:szCs w:val="24"/>
        </w:rPr>
      </w:pPr>
      <w:r w:rsidRPr="00C0530C">
        <w:rPr>
          <w:rFonts w:ascii="Times New Roman" w:hAnsi="Times New Roman" w:cs="Times New Roman"/>
          <w:sz w:val="24"/>
          <w:szCs w:val="24"/>
          <w:lang w:val="de-CH"/>
        </w:rPr>
        <w:t xml:space="preserve">Lindner, M. 1970. </w:t>
      </w:r>
      <w:r w:rsidRPr="00C0530C">
        <w:rPr>
          <w:rFonts w:ascii="Times New Roman" w:hAnsi="Times New Roman" w:cs="Times New Roman"/>
          <w:i/>
          <w:iCs/>
          <w:sz w:val="24"/>
          <w:szCs w:val="24"/>
          <w:lang w:val="de-CH"/>
        </w:rPr>
        <w:t>Petra und das Königreich der Nabatäer</w:t>
      </w:r>
      <w:r w:rsidRPr="00C0530C">
        <w:rPr>
          <w:rFonts w:ascii="Times New Roman" w:hAnsi="Times New Roman" w:cs="Times New Roman"/>
          <w:sz w:val="24"/>
          <w:szCs w:val="24"/>
          <w:lang w:val="de-CH"/>
        </w:rPr>
        <w:t xml:space="preserve">. </w:t>
      </w:r>
      <w:r w:rsidRPr="00C0530C">
        <w:rPr>
          <w:rFonts w:ascii="Times New Roman" w:hAnsi="Times New Roman" w:cs="Times New Roman"/>
          <w:sz w:val="24"/>
          <w:szCs w:val="24"/>
        </w:rPr>
        <w:t xml:space="preserve">6th </w:t>
      </w:r>
      <w:proofErr w:type="spellStart"/>
      <w:r w:rsidRPr="00C0530C">
        <w:rPr>
          <w:rFonts w:ascii="Times New Roman" w:hAnsi="Times New Roman" w:cs="Times New Roman"/>
          <w:sz w:val="24"/>
          <w:szCs w:val="24"/>
        </w:rPr>
        <w:t>edn</w:t>
      </w:r>
      <w:proofErr w:type="spellEnd"/>
      <w:r w:rsidRPr="00C0530C">
        <w:rPr>
          <w:rFonts w:ascii="Times New Roman" w:hAnsi="Times New Roman" w:cs="Times New Roman"/>
          <w:sz w:val="24"/>
          <w:szCs w:val="24"/>
        </w:rPr>
        <w:t xml:space="preserve">. München: </w:t>
      </w:r>
      <w:proofErr w:type="spellStart"/>
      <w:r w:rsidRPr="00C0530C">
        <w:rPr>
          <w:rFonts w:ascii="Times New Roman" w:hAnsi="Times New Roman" w:cs="Times New Roman"/>
          <w:sz w:val="24"/>
          <w:szCs w:val="24"/>
        </w:rPr>
        <w:t>Delp</w:t>
      </w:r>
      <w:proofErr w:type="spellEnd"/>
      <w:r w:rsidRPr="00C0530C">
        <w:rPr>
          <w:rFonts w:ascii="Times New Roman" w:hAnsi="Times New Roman" w:cs="Times New Roman"/>
          <w:sz w:val="24"/>
          <w:szCs w:val="24"/>
        </w:rPr>
        <w:t>.</w:t>
      </w:r>
    </w:p>
    <w:p w14:paraId="52F6ADC3" w14:textId="3E9843EB" w:rsidR="00776B2B" w:rsidRPr="00C0530C" w:rsidRDefault="00A62BF1" w:rsidP="00784249">
      <w:pPr>
        <w:rPr>
          <w:rFonts w:ascii="Times New Roman" w:hAnsi="Times New Roman" w:cs="Times New Roman"/>
          <w:sz w:val="24"/>
          <w:szCs w:val="24"/>
        </w:rPr>
      </w:pPr>
      <w:r w:rsidRPr="00C0530C">
        <w:rPr>
          <w:rFonts w:ascii="Times New Roman" w:hAnsi="Times New Roman" w:cs="Times New Roman"/>
          <w:i/>
          <w:iCs/>
          <w:sz w:val="24"/>
          <w:szCs w:val="24"/>
        </w:rPr>
        <w:t xml:space="preserve">Palace Tomb and Corinthian Tomb, Petra.jpg - Wikimedia </w:t>
      </w:r>
      <w:proofErr w:type="spellStart"/>
      <w:r w:rsidRPr="00C0530C">
        <w:rPr>
          <w:rFonts w:ascii="Times New Roman" w:hAnsi="Times New Roman" w:cs="Times New Roman"/>
          <w:i/>
          <w:iCs/>
          <w:sz w:val="24"/>
          <w:szCs w:val="24"/>
        </w:rPr>
        <w:t>Commons</w:t>
      </w:r>
      <w:r w:rsidRPr="00C0530C">
        <w:rPr>
          <w:rFonts w:ascii="Times New Roman" w:hAnsi="Times New Roman" w:cs="Times New Roman"/>
          <w:sz w:val="24"/>
          <w:szCs w:val="24"/>
        </w:rPr>
        <w:t>.n.d</w:t>
      </w:r>
      <w:proofErr w:type="spellEnd"/>
      <w:r w:rsidRPr="00C0530C">
        <w:rPr>
          <w:rFonts w:ascii="Times New Roman" w:hAnsi="Times New Roman" w:cs="Times New Roman"/>
          <w:sz w:val="24"/>
          <w:szCs w:val="24"/>
        </w:rPr>
        <w:t>. Available at: https://commons.wikimedia.org/wiki/File:Palace_Tomb_and_Corinthian_Tomb,_Petra.jpg (Accessed: 7 May 2019).</w:t>
      </w:r>
    </w:p>
    <w:p w14:paraId="527FE9D3" w14:textId="77777777" w:rsidR="00C0530C" w:rsidRPr="00C0530C" w:rsidRDefault="00C0530C" w:rsidP="00C0530C">
      <w:pPr>
        <w:rPr>
          <w:rFonts w:ascii="Times New Roman" w:hAnsi="Times New Roman" w:cs="Times New Roman"/>
          <w:sz w:val="24"/>
          <w:szCs w:val="24"/>
          <w:lang w:val="fr-CH"/>
        </w:rPr>
      </w:pPr>
      <w:r w:rsidRPr="00C0530C">
        <w:rPr>
          <w:rFonts w:ascii="Times New Roman" w:hAnsi="Times New Roman" w:cs="Times New Roman"/>
          <w:sz w:val="24"/>
          <w:szCs w:val="24"/>
        </w:rPr>
        <w:t xml:space="preserve">Schmid, S. </w:t>
      </w:r>
      <w:proofErr w:type="spellStart"/>
      <w:proofErr w:type="gramStart"/>
      <w:r w:rsidRPr="00C0530C">
        <w:rPr>
          <w:rFonts w:ascii="Times New Roman" w:hAnsi="Times New Roman" w:cs="Times New Roman"/>
          <w:sz w:val="24"/>
          <w:szCs w:val="24"/>
        </w:rPr>
        <w:t>n.d.‘</w:t>
      </w:r>
      <w:proofErr w:type="gramEnd"/>
      <w:r w:rsidRPr="00C0530C">
        <w:rPr>
          <w:rFonts w:ascii="Times New Roman" w:hAnsi="Times New Roman" w:cs="Times New Roman"/>
          <w:sz w:val="24"/>
          <w:szCs w:val="24"/>
        </w:rPr>
        <w:t>Nabataean</w:t>
      </w:r>
      <w:proofErr w:type="spellEnd"/>
      <w:r w:rsidRPr="00C0530C">
        <w:rPr>
          <w:rFonts w:ascii="Times New Roman" w:hAnsi="Times New Roman" w:cs="Times New Roman"/>
          <w:sz w:val="24"/>
          <w:szCs w:val="24"/>
        </w:rPr>
        <w:t xml:space="preserve"> Funerary Complexes: their Relation with the Luxury Architecture of the Hellenistic and Roman Mediterranean’, </w:t>
      </w:r>
      <w:proofErr w:type="spellStart"/>
      <w:r w:rsidRPr="00C0530C">
        <w:rPr>
          <w:rFonts w:ascii="Times New Roman" w:hAnsi="Times New Roman" w:cs="Times New Roman"/>
          <w:i/>
          <w:iCs/>
          <w:sz w:val="24"/>
          <w:szCs w:val="24"/>
        </w:rPr>
        <w:t>Universite</w:t>
      </w:r>
      <w:proofErr w:type="spellEnd"/>
      <w:r w:rsidRPr="00C0530C">
        <w:rPr>
          <w:rFonts w:ascii="Times New Roman" w:hAnsi="Times New Roman" w:cs="Times New Roman"/>
          <w:i/>
          <w:iCs/>
          <w:sz w:val="24"/>
          <w:szCs w:val="24"/>
        </w:rPr>
        <w:t xml:space="preserve"> de Montpellier III, Dept. </w:t>
      </w:r>
      <w:r w:rsidRPr="00C0530C">
        <w:rPr>
          <w:rFonts w:ascii="Times New Roman" w:hAnsi="Times New Roman" w:cs="Times New Roman"/>
          <w:i/>
          <w:iCs/>
          <w:sz w:val="24"/>
          <w:szCs w:val="24"/>
          <w:lang w:val="fr-CH"/>
        </w:rPr>
        <w:t xml:space="preserve">Histoire de l`art et </w:t>
      </w:r>
      <w:proofErr w:type="spellStart"/>
      <w:r w:rsidRPr="00C0530C">
        <w:rPr>
          <w:rFonts w:ascii="Times New Roman" w:hAnsi="Times New Roman" w:cs="Times New Roman"/>
          <w:i/>
          <w:iCs/>
          <w:sz w:val="24"/>
          <w:szCs w:val="24"/>
          <w:lang w:val="fr-CH"/>
        </w:rPr>
        <w:t>Archeologie</w:t>
      </w:r>
      <w:proofErr w:type="spellEnd"/>
      <w:r w:rsidRPr="00C0530C">
        <w:rPr>
          <w:rFonts w:ascii="Times New Roman" w:hAnsi="Times New Roman" w:cs="Times New Roman"/>
          <w:sz w:val="24"/>
          <w:szCs w:val="24"/>
          <w:lang w:val="fr-CH"/>
        </w:rPr>
        <w:t>, pp. 205–219.</w:t>
      </w:r>
    </w:p>
    <w:p w14:paraId="58D1DB1E" w14:textId="77777777" w:rsidR="00C0530C" w:rsidRPr="00C0530C" w:rsidRDefault="00C0530C" w:rsidP="00C0530C">
      <w:pPr>
        <w:rPr>
          <w:rFonts w:ascii="Times New Roman" w:hAnsi="Times New Roman" w:cs="Times New Roman"/>
          <w:i/>
          <w:sz w:val="24"/>
          <w:szCs w:val="24"/>
        </w:rPr>
      </w:pPr>
      <w:proofErr w:type="spellStart"/>
      <w:r w:rsidRPr="00C0530C">
        <w:rPr>
          <w:rFonts w:ascii="Times New Roman" w:hAnsi="Times New Roman" w:cs="Times New Roman"/>
          <w:sz w:val="24"/>
          <w:szCs w:val="24"/>
          <w:lang w:val="fr-CH"/>
        </w:rPr>
        <w:t>Wadeson</w:t>
      </w:r>
      <w:proofErr w:type="spellEnd"/>
      <w:r w:rsidRPr="00C0530C">
        <w:rPr>
          <w:rFonts w:ascii="Times New Roman" w:hAnsi="Times New Roman" w:cs="Times New Roman"/>
          <w:sz w:val="24"/>
          <w:szCs w:val="24"/>
          <w:lang w:val="fr-CH"/>
        </w:rPr>
        <w:t xml:space="preserve">, L. 2010. </w:t>
      </w:r>
      <w:proofErr w:type="spellStart"/>
      <w:r w:rsidRPr="00C0530C">
        <w:rPr>
          <w:rFonts w:ascii="Times New Roman" w:hAnsi="Times New Roman" w:cs="Times New Roman"/>
          <w:sz w:val="24"/>
          <w:szCs w:val="24"/>
          <w:lang w:val="fr-CH"/>
        </w:rPr>
        <w:t>Nabataean</w:t>
      </w:r>
      <w:proofErr w:type="spellEnd"/>
      <w:r w:rsidRPr="00C0530C">
        <w:rPr>
          <w:rFonts w:ascii="Times New Roman" w:hAnsi="Times New Roman" w:cs="Times New Roman"/>
          <w:sz w:val="24"/>
          <w:szCs w:val="24"/>
          <w:lang w:val="fr-CH"/>
        </w:rPr>
        <w:t xml:space="preserve"> Façade </w:t>
      </w:r>
      <w:proofErr w:type="spellStart"/>
      <w:r w:rsidRPr="00C0530C">
        <w:rPr>
          <w:rFonts w:ascii="Times New Roman" w:hAnsi="Times New Roman" w:cs="Times New Roman"/>
          <w:sz w:val="24"/>
          <w:szCs w:val="24"/>
          <w:lang w:val="fr-CH"/>
        </w:rPr>
        <w:t>Tombs</w:t>
      </w:r>
      <w:proofErr w:type="spellEnd"/>
      <w:r w:rsidRPr="00C0530C">
        <w:rPr>
          <w:rFonts w:ascii="Times New Roman" w:hAnsi="Times New Roman" w:cs="Times New Roman"/>
          <w:sz w:val="24"/>
          <w:szCs w:val="24"/>
          <w:lang w:val="fr-CH"/>
        </w:rPr>
        <w:t xml:space="preserve"> : A new </w:t>
      </w:r>
      <w:proofErr w:type="spellStart"/>
      <w:r w:rsidRPr="00C0530C">
        <w:rPr>
          <w:rFonts w:ascii="Times New Roman" w:hAnsi="Times New Roman" w:cs="Times New Roman"/>
          <w:sz w:val="24"/>
          <w:szCs w:val="24"/>
          <w:lang w:val="fr-CH"/>
        </w:rPr>
        <w:t>chronology</w:t>
      </w:r>
      <w:proofErr w:type="spellEnd"/>
      <w:r w:rsidRPr="00C0530C">
        <w:rPr>
          <w:rFonts w:ascii="Times New Roman" w:hAnsi="Times New Roman" w:cs="Times New Roman"/>
          <w:sz w:val="24"/>
          <w:szCs w:val="24"/>
          <w:lang w:val="fr-CH"/>
        </w:rPr>
        <w:t xml:space="preserve">. </w:t>
      </w:r>
      <w:r w:rsidRPr="00C0530C">
        <w:rPr>
          <w:rFonts w:ascii="Times New Roman" w:hAnsi="Times New Roman" w:cs="Times New Roman"/>
          <w:i/>
          <w:sz w:val="24"/>
          <w:szCs w:val="24"/>
        </w:rPr>
        <w:t>Oriental Institute University of Oxford.</w:t>
      </w:r>
    </w:p>
    <w:p w14:paraId="3861BC2F" w14:textId="19B4D04A" w:rsidR="00FC3E50" w:rsidRPr="00776B2B" w:rsidRDefault="00FC3E50" w:rsidP="00784249">
      <w:pPr>
        <w:rPr>
          <w:rFonts w:ascii="Times New Roman" w:hAnsi="Times New Roman" w:cs="Times New Roman"/>
          <w:sz w:val="24"/>
          <w:szCs w:val="24"/>
          <w:u w:val="single"/>
        </w:rPr>
      </w:pPr>
    </w:p>
    <w:sectPr w:rsidR="00FC3E50" w:rsidRPr="00776B2B">
      <w:footerReference w:type="default" r:id="rId15"/>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E8062" w14:textId="77777777" w:rsidR="00684423" w:rsidRDefault="00684423" w:rsidP="004E7553">
      <w:pPr>
        <w:spacing w:after="0" w:line="240" w:lineRule="auto"/>
      </w:pPr>
      <w:r>
        <w:separator/>
      </w:r>
    </w:p>
  </w:endnote>
  <w:endnote w:type="continuationSeparator" w:id="0">
    <w:p w14:paraId="27287075" w14:textId="77777777" w:rsidR="00684423" w:rsidRDefault="00684423" w:rsidP="004E7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638013"/>
      <w:docPartObj>
        <w:docPartGallery w:val="Page Numbers (Bottom of Page)"/>
        <w:docPartUnique/>
      </w:docPartObj>
    </w:sdtPr>
    <w:sdtEndPr/>
    <w:sdtContent>
      <w:p w14:paraId="46A81F49" w14:textId="77777777" w:rsidR="00A07959" w:rsidRDefault="00A07959">
        <w:pPr>
          <w:pStyle w:val="Fuzeile"/>
          <w:jc w:val="right"/>
        </w:pPr>
        <w:r>
          <w:fldChar w:fldCharType="begin"/>
        </w:r>
        <w:r>
          <w:instrText>PAGE   \* MERGEFORMAT</w:instrText>
        </w:r>
        <w:r>
          <w:fldChar w:fldCharType="separate"/>
        </w:r>
        <w:r>
          <w:rPr>
            <w:lang w:val="de-DE"/>
          </w:rPr>
          <w:t>2</w:t>
        </w:r>
        <w:r>
          <w:fldChar w:fldCharType="end"/>
        </w:r>
      </w:p>
    </w:sdtContent>
  </w:sdt>
  <w:p w14:paraId="3AC504D1" w14:textId="77777777" w:rsidR="00A07959" w:rsidRDefault="00A07959">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C8AAC" w14:textId="77777777" w:rsidR="00684423" w:rsidRDefault="00684423" w:rsidP="004E7553">
      <w:pPr>
        <w:spacing w:after="0" w:line="240" w:lineRule="auto"/>
      </w:pPr>
      <w:r>
        <w:separator/>
      </w:r>
    </w:p>
  </w:footnote>
  <w:footnote w:type="continuationSeparator" w:id="0">
    <w:p w14:paraId="38D3B9B3" w14:textId="77777777" w:rsidR="00684423" w:rsidRDefault="00684423" w:rsidP="004E7553">
      <w:pPr>
        <w:spacing w:after="0" w:line="240" w:lineRule="auto"/>
      </w:pPr>
      <w:r>
        <w:continuationSeparator/>
      </w:r>
    </w:p>
  </w:footnote>
  <w:footnote w:id="1">
    <w:p w14:paraId="494EA748" w14:textId="77777777" w:rsidR="00A07959" w:rsidRPr="00A07959"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r w:rsidRPr="00A07959">
        <w:rPr>
          <w:rFonts w:ascii="Times New Roman" w:hAnsi="Times New Roman" w:cs="Times New Roman"/>
        </w:rPr>
        <w:t>Healey 2001:53-54.</w:t>
      </w:r>
    </w:p>
  </w:footnote>
  <w:footnote w:id="2">
    <w:p w14:paraId="697452BD" w14:textId="77777777" w:rsidR="00A07959" w:rsidRPr="00A07959"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r w:rsidRPr="00A07959">
        <w:rPr>
          <w:rFonts w:ascii="Times New Roman" w:hAnsi="Times New Roman" w:cs="Times New Roman"/>
        </w:rPr>
        <w:t>Lindner 1970:9.</w:t>
      </w:r>
    </w:p>
  </w:footnote>
  <w:footnote w:id="3">
    <w:p w14:paraId="2E9717D8" w14:textId="77777777" w:rsidR="00A07959" w:rsidRPr="00A07959"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Ibrahim 2018:4,7.</w:t>
      </w:r>
    </w:p>
  </w:footnote>
  <w:footnote w:id="4">
    <w:p w14:paraId="757A849E" w14:textId="77777777" w:rsidR="00A07959" w:rsidRPr="006D481F"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Heritage: Oxford, heritage and conflict, University of Oxford, 2019.</w:t>
      </w:r>
    </w:p>
  </w:footnote>
  <w:footnote w:id="5">
    <w:p w14:paraId="783EA8B7" w14:textId="77777777" w:rsidR="00A07959" w:rsidRPr="00DF1621" w:rsidRDefault="00A07959">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Heritage: Oxford, heritage and conflict, University of Oxford, 2019.</w:t>
      </w:r>
    </w:p>
  </w:footnote>
  <w:footnote w:id="6">
    <w:p w14:paraId="16DB767C" w14:textId="77777777" w:rsidR="00A07959" w:rsidRPr="006D481F" w:rsidRDefault="00A07959" w:rsidP="003213C0">
      <w:pPr>
        <w:pStyle w:val="Funotentext"/>
        <w:rPr>
          <w:rFonts w:ascii="Times New Roman" w:hAnsi="Times New Roman" w:cs="Times New Roman"/>
        </w:rPr>
      </w:pPr>
      <w:r>
        <w:rPr>
          <w:rStyle w:val="Funotenzeichen"/>
        </w:rPr>
        <w:footnoteRef/>
      </w:r>
      <w:r>
        <w:t xml:space="preserve"> </w:t>
      </w:r>
      <w:r w:rsidRPr="006D481F">
        <w:rPr>
          <w:rFonts w:ascii="Times New Roman" w:hAnsi="Times New Roman" w:cs="Times New Roman"/>
        </w:rPr>
        <w:t xml:space="preserve">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2018:37-41.</w:t>
      </w:r>
    </w:p>
  </w:footnote>
  <w:footnote w:id="7">
    <w:p w14:paraId="7C5D2C37" w14:textId="77777777" w:rsidR="00A07959" w:rsidRPr="006D481F"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proofErr w:type="spellStart"/>
      <w:r w:rsidRPr="006D481F">
        <w:rPr>
          <w:rFonts w:ascii="Times New Roman" w:hAnsi="Times New Roman" w:cs="Times New Roman"/>
        </w:rPr>
        <w:t>Yunusa</w:t>
      </w:r>
      <w:proofErr w:type="spellEnd"/>
      <w:r w:rsidRPr="006D481F">
        <w:rPr>
          <w:rFonts w:ascii="Times New Roman" w:hAnsi="Times New Roman" w:cs="Times New Roman"/>
        </w:rPr>
        <w:t xml:space="preserve"> 2015:2-4.</w:t>
      </w:r>
    </w:p>
  </w:footnote>
  <w:footnote w:id="8">
    <w:p w14:paraId="1D762A86" w14:textId="77777777" w:rsidR="00A07959" w:rsidRPr="006D481F"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What is culture? </w:t>
      </w:r>
      <w:proofErr w:type="spellStart"/>
      <w:r w:rsidRPr="006D481F">
        <w:rPr>
          <w:rFonts w:ascii="Times New Roman" w:hAnsi="Times New Roman" w:cs="Times New Roman"/>
        </w:rPr>
        <w:t>Livescience</w:t>
      </w:r>
      <w:proofErr w:type="spellEnd"/>
      <w:r w:rsidRPr="006D481F">
        <w:rPr>
          <w:rFonts w:ascii="Times New Roman" w:hAnsi="Times New Roman" w:cs="Times New Roman"/>
        </w:rPr>
        <w:t>, 2017.</w:t>
      </w:r>
    </w:p>
  </w:footnote>
  <w:footnote w:id="9">
    <w:p w14:paraId="594A29EC" w14:textId="77777777" w:rsidR="00A07959" w:rsidRPr="00635BF6" w:rsidRDefault="00A07959" w:rsidP="003213C0">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2018:37.</w:t>
      </w:r>
    </w:p>
  </w:footnote>
  <w:footnote w:id="10">
    <w:p w14:paraId="0D373B5F"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Feuer 1983:32-38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2018:35,37-38.</w:t>
      </w:r>
    </w:p>
  </w:footnote>
  <w:footnote w:id="11">
    <w:p w14:paraId="1AED6FED"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proofErr w:type="spellStart"/>
      <w:r w:rsidRPr="006D481F">
        <w:rPr>
          <w:rFonts w:ascii="Times New Roman" w:hAnsi="Times New Roman" w:cs="Times New Roman"/>
        </w:rPr>
        <w:t>Mayet</w:t>
      </w:r>
      <w:proofErr w:type="spellEnd"/>
      <w:r w:rsidRPr="006D481F">
        <w:rPr>
          <w:rFonts w:ascii="Times New Roman" w:hAnsi="Times New Roman" w:cs="Times New Roman"/>
        </w:rPr>
        <w:t xml:space="preserve"> and Pine 2010:3.</w:t>
      </w:r>
    </w:p>
  </w:footnote>
  <w:footnote w:id="12">
    <w:p w14:paraId="21EB845B"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Webster and Webster 2001:210 and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13">
    <w:p w14:paraId="634165CE" w14:textId="77777777" w:rsidR="00A07959" w:rsidRPr="006D481F"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14">
    <w:p w14:paraId="5EEB8C5D"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15">
    <w:p w14:paraId="0D74C7A5"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w:t>
      </w:r>
    </w:p>
  </w:footnote>
  <w:footnote w:id="16">
    <w:p w14:paraId="541BC215"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Stein 2005:9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2018:37.</w:t>
      </w:r>
    </w:p>
  </w:footnote>
  <w:footnote w:id="17">
    <w:p w14:paraId="47F181DC"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w:t>
      </w:r>
    </w:p>
  </w:footnote>
  <w:footnote w:id="18">
    <w:p w14:paraId="170FB3C9" w14:textId="77777777" w:rsidR="00A07959" w:rsidRPr="003702D8" w:rsidRDefault="00A07959" w:rsidP="003213C0">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Feuer 2016:22-23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w:t>
      </w:r>
    </w:p>
  </w:footnote>
  <w:footnote w:id="19">
    <w:p w14:paraId="5070D7D9"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Feuer 1983:32-38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2018:35. </w:t>
      </w:r>
    </w:p>
  </w:footnote>
  <w:footnote w:id="20">
    <w:p w14:paraId="141571A8"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2018:3-4.</w:t>
      </w:r>
    </w:p>
  </w:footnote>
  <w:footnote w:id="21">
    <w:p w14:paraId="15B5FAFF"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2018:3-4.</w:t>
      </w:r>
    </w:p>
  </w:footnote>
  <w:footnote w:id="22">
    <w:p w14:paraId="016ACEA0"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w:t>
      </w:r>
    </w:p>
  </w:footnote>
  <w:footnote w:id="23">
    <w:p w14:paraId="79857643" w14:textId="77777777" w:rsidR="00A07959" w:rsidRPr="006D481F" w:rsidRDefault="00A07959" w:rsidP="007930D1">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2018:40.</w:t>
      </w:r>
    </w:p>
  </w:footnote>
  <w:footnote w:id="24">
    <w:p w14:paraId="1016D3A4" w14:textId="77777777" w:rsidR="00A07959" w:rsidRPr="006D481F" w:rsidRDefault="00A07959" w:rsidP="007930D1">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2018:39-40.</w:t>
      </w:r>
    </w:p>
  </w:footnote>
  <w:footnote w:id="25">
    <w:p w14:paraId="56C1FDCA" w14:textId="77777777" w:rsidR="00A07959" w:rsidRPr="006D481F" w:rsidRDefault="00A07959" w:rsidP="007930D1">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proofErr w:type="spellStart"/>
      <w:r w:rsidRPr="006D481F">
        <w:rPr>
          <w:rFonts w:ascii="Times New Roman" w:hAnsi="Times New Roman" w:cs="Times New Roman"/>
        </w:rPr>
        <w:t>Competiton</w:t>
      </w:r>
      <w:proofErr w:type="spellEnd"/>
      <w:r w:rsidRPr="006D481F">
        <w:rPr>
          <w:rFonts w:ascii="Times New Roman" w:hAnsi="Times New Roman" w:cs="Times New Roman"/>
        </w:rPr>
        <w:t xml:space="preserve">, </w:t>
      </w:r>
      <w:proofErr w:type="spellStart"/>
      <w:r w:rsidRPr="006D481F">
        <w:rPr>
          <w:rFonts w:ascii="Times New Roman" w:hAnsi="Times New Roman" w:cs="Times New Roman"/>
        </w:rPr>
        <w:t>Encyclopedia</w:t>
      </w:r>
      <w:proofErr w:type="spellEnd"/>
      <w:r w:rsidRPr="006D481F">
        <w:rPr>
          <w:rFonts w:ascii="Times New Roman" w:hAnsi="Times New Roman" w:cs="Times New Roman"/>
        </w:rPr>
        <w:t>, 2019.</w:t>
      </w:r>
    </w:p>
  </w:footnote>
  <w:footnote w:id="26">
    <w:p w14:paraId="6B320599" w14:textId="77777777" w:rsidR="00A07959" w:rsidRPr="006D481F" w:rsidRDefault="00A07959" w:rsidP="007930D1">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Van der Leeuw 1983:24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2018:40.</w:t>
      </w:r>
    </w:p>
  </w:footnote>
  <w:footnote w:id="27">
    <w:p w14:paraId="790DA8E7" w14:textId="29EFA98C" w:rsidR="00A07959" w:rsidRPr="006D481F" w:rsidRDefault="00A07959" w:rsidP="007930D1">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2018:41.</w:t>
      </w:r>
    </w:p>
  </w:footnote>
  <w:footnote w:id="28">
    <w:p w14:paraId="1C159C88" w14:textId="6A4824DE"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Pr>
          <w:rFonts w:ascii="Times New Roman" w:hAnsi="Times New Roman" w:cs="Times New Roman"/>
        </w:rPr>
        <w:t xml:space="preserve"> </w:t>
      </w:r>
      <w:r w:rsidRPr="006D481F">
        <w:rPr>
          <w:rFonts w:ascii="Times New Roman" w:hAnsi="Times New Roman" w:cs="Times New Roman"/>
        </w:rPr>
        <w:t xml:space="preserve">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2018:40.</w:t>
      </w:r>
    </w:p>
  </w:footnote>
  <w:footnote w:id="29">
    <w:p w14:paraId="0422D591" w14:textId="77777777" w:rsidR="00A07959" w:rsidRPr="00F62345" w:rsidRDefault="00A07959">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Colonization, the English Oxford living dictionaries, 2019.</w:t>
      </w:r>
    </w:p>
  </w:footnote>
  <w:footnote w:id="30">
    <w:p w14:paraId="4767CC14"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2018:40 and </w:t>
      </w:r>
      <w:proofErr w:type="spellStart"/>
      <w:r w:rsidRPr="006D481F">
        <w:rPr>
          <w:rFonts w:ascii="Times New Roman" w:hAnsi="Times New Roman" w:cs="Times New Roman"/>
        </w:rPr>
        <w:t>Altaweel</w:t>
      </w:r>
      <w:proofErr w:type="spellEnd"/>
      <w:r w:rsidRPr="006D481F">
        <w:rPr>
          <w:rFonts w:ascii="Times New Roman" w:hAnsi="Times New Roman" w:cs="Times New Roman"/>
        </w:rPr>
        <w:t xml:space="preserve"> and </w:t>
      </w:r>
      <w:proofErr w:type="spellStart"/>
      <w:r w:rsidRPr="006D481F">
        <w:rPr>
          <w:rFonts w:ascii="Times New Roman" w:hAnsi="Times New Roman" w:cs="Times New Roman"/>
        </w:rPr>
        <w:t>Squitieri</w:t>
      </w:r>
      <w:proofErr w:type="spellEnd"/>
      <w:r w:rsidRPr="006D481F">
        <w:rPr>
          <w:rFonts w:ascii="Times New Roman" w:hAnsi="Times New Roman" w:cs="Times New Roman"/>
        </w:rPr>
        <w:t xml:space="preserve"> 2018: 183.</w:t>
      </w:r>
    </w:p>
  </w:footnote>
  <w:footnote w:id="31">
    <w:p w14:paraId="740D0224"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proofErr w:type="spellStart"/>
      <w:r w:rsidRPr="006D481F">
        <w:rPr>
          <w:rFonts w:ascii="Times New Roman" w:hAnsi="Times New Roman" w:cs="Times New Roman"/>
        </w:rPr>
        <w:t>Altaweel</w:t>
      </w:r>
      <w:proofErr w:type="spellEnd"/>
      <w:r w:rsidRPr="006D481F">
        <w:rPr>
          <w:rFonts w:ascii="Times New Roman" w:hAnsi="Times New Roman" w:cs="Times New Roman"/>
        </w:rPr>
        <w:t xml:space="preserve"> and </w:t>
      </w:r>
      <w:proofErr w:type="spellStart"/>
      <w:r w:rsidRPr="006D481F">
        <w:rPr>
          <w:rFonts w:ascii="Times New Roman" w:hAnsi="Times New Roman" w:cs="Times New Roman"/>
        </w:rPr>
        <w:t>Squitieri</w:t>
      </w:r>
      <w:proofErr w:type="spellEnd"/>
      <w:r w:rsidRPr="006D481F">
        <w:rPr>
          <w:rFonts w:ascii="Times New Roman" w:hAnsi="Times New Roman" w:cs="Times New Roman"/>
        </w:rPr>
        <w:t xml:space="preserve"> 2018: 183.</w:t>
      </w:r>
    </w:p>
  </w:footnote>
  <w:footnote w:id="32">
    <w:p w14:paraId="321807FB"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2018:40.</w:t>
      </w:r>
    </w:p>
  </w:footnote>
  <w:footnote w:id="33">
    <w:p w14:paraId="5EF6E70C"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2001:211, 216.</w:t>
      </w:r>
    </w:p>
  </w:footnote>
  <w:footnote w:id="34">
    <w:p w14:paraId="410AA069"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2001:211-212.</w:t>
      </w:r>
    </w:p>
  </w:footnote>
  <w:footnote w:id="35">
    <w:p w14:paraId="4FB8A8F2" w14:textId="77777777" w:rsidR="00A07959" w:rsidRPr="00F2221F" w:rsidRDefault="00A07959" w:rsidP="003213C0">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2001:215-216.</w:t>
      </w:r>
    </w:p>
  </w:footnote>
  <w:footnote w:id="36">
    <w:p w14:paraId="7A362CB8" w14:textId="77777777" w:rsidR="00A07959" w:rsidRPr="006D481F" w:rsidRDefault="00A0795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2018:37-41.</w:t>
      </w:r>
    </w:p>
  </w:footnote>
  <w:footnote w:id="37">
    <w:p w14:paraId="0B5E82C3" w14:textId="77777777" w:rsidR="00A07959" w:rsidRPr="006D481F" w:rsidRDefault="00A07959" w:rsidP="00A70297">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w:t>
      </w:r>
    </w:p>
  </w:footnote>
  <w:footnote w:id="38">
    <w:p w14:paraId="43CB2651" w14:textId="77777777" w:rsidR="00A07959" w:rsidRPr="006D481F" w:rsidRDefault="00A07959" w:rsidP="00A70297">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bookmarkStart w:id="8" w:name="_Hlk8388801"/>
      <w:r w:rsidRPr="006D481F">
        <w:rPr>
          <w:rFonts w:ascii="Times New Roman" w:hAnsi="Times New Roman" w:cs="Times New Roman"/>
        </w:rPr>
        <w:t>Webster 2001:212.</w:t>
      </w:r>
      <w:bookmarkEnd w:id="8"/>
    </w:p>
  </w:footnote>
  <w:footnote w:id="39">
    <w:p w14:paraId="6389C319" w14:textId="77777777" w:rsidR="00A07959" w:rsidRPr="006D481F" w:rsidRDefault="00A07959" w:rsidP="00A70297">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2001:216.</w:t>
      </w:r>
    </w:p>
  </w:footnote>
  <w:footnote w:id="40">
    <w:p w14:paraId="370E6F79" w14:textId="77777777" w:rsidR="00A07959" w:rsidRPr="006D481F" w:rsidRDefault="00A07959" w:rsidP="00A70297">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41">
    <w:p w14:paraId="3FD7432F" w14:textId="77777777" w:rsidR="00A07959" w:rsidRPr="006D481F" w:rsidRDefault="00A07959" w:rsidP="00A70297">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42">
    <w:p w14:paraId="40392DD4" w14:textId="77777777" w:rsidR="00A07959" w:rsidRPr="006D481F" w:rsidRDefault="00A07959" w:rsidP="00A70297">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w:t>
      </w:r>
    </w:p>
  </w:footnote>
  <w:footnote w:id="43">
    <w:p w14:paraId="6C9FE9FE" w14:textId="77777777" w:rsidR="00A07959" w:rsidRPr="00DE3F28" w:rsidRDefault="00A07959" w:rsidP="00A70297">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2018:38-39.</w:t>
      </w:r>
    </w:p>
  </w:footnote>
  <w:footnote w:id="44">
    <w:p w14:paraId="4DE09628" w14:textId="77777777" w:rsidR="00A07959" w:rsidRPr="006D481F" w:rsidRDefault="00A07959" w:rsidP="004B4BEF">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45">
    <w:p w14:paraId="3BED5120" w14:textId="77777777" w:rsidR="00A07959" w:rsidRPr="006D481F" w:rsidRDefault="00A07959" w:rsidP="004B4BEF">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2018:39.</w:t>
      </w:r>
    </w:p>
  </w:footnote>
  <w:footnote w:id="46">
    <w:p w14:paraId="1A4E153D" w14:textId="77777777" w:rsidR="00A07959" w:rsidRPr="006D481F" w:rsidRDefault="00A07959" w:rsidP="000A36D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Smith 1998:258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2018:41.</w:t>
      </w:r>
    </w:p>
  </w:footnote>
  <w:footnote w:id="47">
    <w:p w14:paraId="40918C1E" w14:textId="77777777" w:rsidR="00A07959" w:rsidRPr="006D481F" w:rsidRDefault="00A07959" w:rsidP="000A36D9">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bookmarkStart w:id="10" w:name="_Hlk8284554"/>
      <w:proofErr w:type="spellStart"/>
      <w:r w:rsidRPr="006D481F">
        <w:rPr>
          <w:rFonts w:ascii="Times New Roman" w:hAnsi="Times New Roman" w:cs="Times New Roman"/>
        </w:rPr>
        <w:t>Altaweel</w:t>
      </w:r>
      <w:proofErr w:type="spellEnd"/>
      <w:r w:rsidRPr="006D481F">
        <w:rPr>
          <w:rFonts w:ascii="Times New Roman" w:hAnsi="Times New Roman" w:cs="Times New Roman"/>
        </w:rPr>
        <w:t xml:space="preserve"> and </w:t>
      </w:r>
      <w:proofErr w:type="spellStart"/>
      <w:r w:rsidRPr="006D481F">
        <w:rPr>
          <w:rFonts w:ascii="Times New Roman" w:hAnsi="Times New Roman" w:cs="Times New Roman"/>
        </w:rPr>
        <w:t>Squitieri</w:t>
      </w:r>
      <w:proofErr w:type="spellEnd"/>
      <w:r w:rsidRPr="006D481F">
        <w:rPr>
          <w:rFonts w:ascii="Times New Roman" w:hAnsi="Times New Roman" w:cs="Times New Roman"/>
        </w:rPr>
        <w:t xml:space="preserve"> 2018: 183.</w:t>
      </w:r>
      <w:bookmarkEnd w:id="10"/>
    </w:p>
  </w:footnote>
  <w:footnote w:id="48">
    <w:p w14:paraId="2AB93543" w14:textId="77777777" w:rsidR="00A07959" w:rsidRPr="006D481F" w:rsidRDefault="00A07959" w:rsidP="00824CE3">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2001:219.</w:t>
      </w:r>
    </w:p>
  </w:footnote>
  <w:footnote w:id="49">
    <w:p w14:paraId="1E3D276E" w14:textId="77777777" w:rsidR="00A07959" w:rsidRPr="006D481F" w:rsidRDefault="00A07959" w:rsidP="00824CE3">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2001:219.</w:t>
      </w:r>
    </w:p>
  </w:footnote>
  <w:footnote w:id="50">
    <w:p w14:paraId="2B1E6381" w14:textId="77777777" w:rsidR="00A07959" w:rsidRPr="00AB464F" w:rsidRDefault="00A07959" w:rsidP="00C1245C">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Healey 2001:15.</w:t>
      </w:r>
    </w:p>
  </w:footnote>
  <w:footnote w:id="51">
    <w:p w14:paraId="47DC1CB6" w14:textId="77777777" w:rsidR="00A07959" w:rsidRPr="006D481F" w:rsidRDefault="00A07959" w:rsidP="00C1245C">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Glenn 2003:3.</w:t>
      </w:r>
    </w:p>
  </w:footnote>
  <w:footnote w:id="52">
    <w:p w14:paraId="62464B94"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proofErr w:type="spellStart"/>
      <w:r w:rsidRPr="006D481F">
        <w:rPr>
          <w:rFonts w:ascii="Times New Roman" w:hAnsi="Times New Roman" w:cs="Times New Roman"/>
        </w:rPr>
        <w:t>Drijvers</w:t>
      </w:r>
      <w:proofErr w:type="spellEnd"/>
      <w:r w:rsidRPr="006D481F">
        <w:rPr>
          <w:rFonts w:ascii="Times New Roman" w:hAnsi="Times New Roman" w:cs="Times New Roman"/>
        </w:rPr>
        <w:t xml:space="preserve"> 1980:17-18 in Healey 2001:15.</w:t>
      </w:r>
    </w:p>
  </w:footnote>
  <w:footnote w:id="53">
    <w:p w14:paraId="3DCE6853" w14:textId="77777777" w:rsidR="00A07959" w:rsidRPr="006D481F" w:rsidRDefault="00A07959" w:rsidP="003213C0">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w:t>
      </w:r>
      <w:proofErr w:type="spellStart"/>
      <w:r w:rsidRPr="006D481F">
        <w:rPr>
          <w:rFonts w:ascii="Times New Roman" w:hAnsi="Times New Roman" w:cs="Times New Roman"/>
        </w:rPr>
        <w:t>Drijvers</w:t>
      </w:r>
      <w:proofErr w:type="spellEnd"/>
      <w:r w:rsidRPr="006D481F">
        <w:rPr>
          <w:rFonts w:ascii="Times New Roman" w:hAnsi="Times New Roman" w:cs="Times New Roman"/>
        </w:rPr>
        <w:t xml:space="preserve"> 1980:17-18 in Healey 2001:15.</w:t>
      </w:r>
    </w:p>
  </w:footnote>
  <w:footnote w:id="54">
    <w:p w14:paraId="3284FFC9" w14:textId="77777777" w:rsidR="00A07959" w:rsidRPr="006D481F" w:rsidRDefault="00A07959" w:rsidP="00824CE3">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Hellenization, Dictionary.com, 2019.</w:t>
      </w:r>
    </w:p>
  </w:footnote>
  <w:footnote w:id="55">
    <w:p w14:paraId="33558E5F" w14:textId="77777777" w:rsidR="00A07959" w:rsidRPr="006D481F" w:rsidRDefault="00A07959" w:rsidP="00083553">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Hellenization, Dictionary.com, 2019.</w:t>
      </w:r>
    </w:p>
  </w:footnote>
  <w:footnote w:id="56">
    <w:p w14:paraId="7443AFDF" w14:textId="77777777" w:rsidR="00A07959" w:rsidRPr="006D481F" w:rsidRDefault="00A07959" w:rsidP="00083553">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Hellenization, Dictionary.com, 2019.</w:t>
      </w:r>
    </w:p>
  </w:footnote>
  <w:footnote w:id="57">
    <w:p w14:paraId="63BEE449" w14:textId="77777777" w:rsidR="00A07959" w:rsidRPr="00A07959" w:rsidRDefault="00A07959" w:rsidP="00824CE3">
      <w:pPr>
        <w:pStyle w:val="Funotentext"/>
        <w:rPr>
          <w:rFonts w:ascii="Times New Roman" w:hAnsi="Times New Roman" w:cs="Times New Roman"/>
          <w:lang w:val="de-CH"/>
        </w:rPr>
      </w:pPr>
      <w:r w:rsidRPr="006D481F">
        <w:rPr>
          <w:rStyle w:val="Funotenzeichen"/>
          <w:rFonts w:ascii="Times New Roman" w:hAnsi="Times New Roman" w:cs="Times New Roman"/>
        </w:rPr>
        <w:footnoteRef/>
      </w:r>
      <w:r w:rsidRPr="00A07959">
        <w:rPr>
          <w:rFonts w:ascii="Times New Roman" w:hAnsi="Times New Roman" w:cs="Times New Roman"/>
          <w:lang w:val="de-CH"/>
        </w:rPr>
        <w:t xml:space="preserve"> </w:t>
      </w:r>
      <w:proofErr w:type="spellStart"/>
      <w:r w:rsidRPr="00A07959">
        <w:rPr>
          <w:rFonts w:ascii="Times New Roman" w:hAnsi="Times New Roman" w:cs="Times New Roman"/>
          <w:lang w:val="de-CH"/>
        </w:rPr>
        <w:t>Hellenization</w:t>
      </w:r>
      <w:proofErr w:type="spellEnd"/>
      <w:r w:rsidRPr="00A07959">
        <w:rPr>
          <w:rFonts w:ascii="Times New Roman" w:hAnsi="Times New Roman" w:cs="Times New Roman"/>
          <w:lang w:val="de-CH"/>
        </w:rPr>
        <w:t>, Dictionary.com, 2019.</w:t>
      </w:r>
    </w:p>
  </w:footnote>
  <w:footnote w:id="58">
    <w:p w14:paraId="2D48C27A" w14:textId="77777777" w:rsidR="00A07959" w:rsidRPr="007B7C79" w:rsidRDefault="00A07959" w:rsidP="00C1245C">
      <w:pPr>
        <w:pStyle w:val="Funotentext"/>
        <w:rPr>
          <w:lang w:val="de-CH"/>
        </w:rPr>
      </w:pPr>
      <w:r w:rsidRPr="006D481F">
        <w:rPr>
          <w:rStyle w:val="Funotenzeichen"/>
          <w:rFonts w:ascii="Times New Roman" w:hAnsi="Times New Roman" w:cs="Times New Roman"/>
        </w:rPr>
        <w:footnoteRef/>
      </w:r>
      <w:r w:rsidRPr="006D481F">
        <w:rPr>
          <w:rFonts w:ascii="Times New Roman" w:hAnsi="Times New Roman" w:cs="Times New Roman"/>
          <w:lang w:val="de-CH"/>
        </w:rPr>
        <w:t xml:space="preserve"> Hengel 1981:2-3.</w:t>
      </w:r>
    </w:p>
  </w:footnote>
  <w:footnote w:id="59">
    <w:p w14:paraId="5B5982C2" w14:textId="77777777" w:rsidR="00A07959" w:rsidRPr="00A07959" w:rsidRDefault="00A07959" w:rsidP="00824CE3">
      <w:pPr>
        <w:pStyle w:val="Funotentext"/>
        <w:rPr>
          <w:rFonts w:ascii="Times New Roman" w:hAnsi="Times New Roman" w:cs="Times New Roman"/>
          <w:lang w:val="de-CH"/>
        </w:rPr>
      </w:pPr>
      <w:r w:rsidRPr="006D481F">
        <w:rPr>
          <w:rStyle w:val="Funotenzeichen"/>
          <w:rFonts w:ascii="Times New Roman" w:hAnsi="Times New Roman" w:cs="Times New Roman"/>
        </w:rPr>
        <w:footnoteRef/>
      </w:r>
      <w:r w:rsidRPr="00A07959">
        <w:rPr>
          <w:rFonts w:ascii="Times New Roman" w:hAnsi="Times New Roman" w:cs="Times New Roman"/>
          <w:lang w:val="de-CH"/>
        </w:rPr>
        <w:t xml:space="preserve"> Hengel 1981:12.</w:t>
      </w:r>
    </w:p>
  </w:footnote>
  <w:footnote w:id="60">
    <w:p w14:paraId="13FA2E69" w14:textId="77777777" w:rsidR="00A07959" w:rsidRPr="006D481F" w:rsidRDefault="00A07959" w:rsidP="00824CE3">
      <w:pPr>
        <w:pStyle w:val="Funotentext"/>
        <w:rPr>
          <w:rFonts w:ascii="Times New Roman" w:hAnsi="Times New Roman" w:cs="Times New Roman"/>
          <w:lang w:val="de-CH"/>
        </w:rPr>
      </w:pPr>
      <w:r w:rsidRPr="006D481F">
        <w:rPr>
          <w:rStyle w:val="Funotenzeichen"/>
          <w:rFonts w:ascii="Times New Roman" w:hAnsi="Times New Roman" w:cs="Times New Roman"/>
        </w:rPr>
        <w:footnoteRef/>
      </w:r>
      <w:r w:rsidRPr="006D481F">
        <w:rPr>
          <w:rFonts w:ascii="Times New Roman" w:hAnsi="Times New Roman" w:cs="Times New Roman"/>
          <w:lang w:val="de-CH"/>
        </w:rPr>
        <w:t xml:space="preserve"> Webster 2001:209.</w:t>
      </w:r>
    </w:p>
  </w:footnote>
  <w:footnote w:id="61">
    <w:p w14:paraId="7FD33520" w14:textId="77777777" w:rsidR="00A07959" w:rsidRPr="006D481F" w:rsidRDefault="00A07959" w:rsidP="00824CE3">
      <w:pPr>
        <w:pStyle w:val="Funotentext"/>
        <w:rPr>
          <w:rFonts w:ascii="Times New Roman" w:hAnsi="Times New Roman" w:cs="Times New Roman"/>
          <w:lang w:val="de-CH"/>
        </w:rPr>
      </w:pPr>
      <w:r w:rsidRPr="006D481F">
        <w:rPr>
          <w:rStyle w:val="Funotenzeichen"/>
          <w:rFonts w:ascii="Times New Roman" w:hAnsi="Times New Roman" w:cs="Times New Roman"/>
        </w:rPr>
        <w:footnoteRef/>
      </w:r>
      <w:r w:rsidRPr="006D481F">
        <w:rPr>
          <w:rFonts w:ascii="Times New Roman" w:hAnsi="Times New Roman" w:cs="Times New Roman"/>
          <w:lang w:val="de-CH"/>
        </w:rPr>
        <w:t xml:space="preserve"> Webster 2001:209.</w:t>
      </w:r>
    </w:p>
  </w:footnote>
  <w:footnote w:id="62">
    <w:p w14:paraId="64AA1BA9" w14:textId="77777777" w:rsidR="00A07959" w:rsidRPr="006D481F" w:rsidRDefault="00A07959" w:rsidP="00824CE3">
      <w:pPr>
        <w:pStyle w:val="Funotentext"/>
        <w:rPr>
          <w:rFonts w:ascii="Times New Roman" w:hAnsi="Times New Roman" w:cs="Times New Roman"/>
          <w:lang w:val="de-CH"/>
        </w:rPr>
      </w:pPr>
      <w:r w:rsidRPr="006D481F">
        <w:rPr>
          <w:rStyle w:val="Funotenzeichen"/>
          <w:rFonts w:ascii="Times New Roman" w:hAnsi="Times New Roman" w:cs="Times New Roman"/>
        </w:rPr>
        <w:footnoteRef/>
      </w:r>
      <w:r w:rsidRPr="006D481F">
        <w:rPr>
          <w:rFonts w:ascii="Times New Roman" w:hAnsi="Times New Roman" w:cs="Times New Roman"/>
          <w:lang w:val="de-CH"/>
        </w:rPr>
        <w:t xml:space="preserve"> Webster 2001:209.</w:t>
      </w:r>
    </w:p>
  </w:footnote>
  <w:footnote w:id="63">
    <w:p w14:paraId="6CF41927" w14:textId="77777777" w:rsidR="00A07959" w:rsidRPr="00A07959" w:rsidRDefault="00A07959" w:rsidP="00824CE3">
      <w:pPr>
        <w:pStyle w:val="Funotentext"/>
        <w:rPr>
          <w:rFonts w:ascii="Times New Roman" w:hAnsi="Times New Roman" w:cs="Times New Roman"/>
          <w:lang w:val="de-CH"/>
        </w:rPr>
      </w:pPr>
      <w:r w:rsidRPr="006D481F">
        <w:rPr>
          <w:rStyle w:val="Funotenzeichen"/>
          <w:rFonts w:ascii="Times New Roman" w:hAnsi="Times New Roman" w:cs="Times New Roman"/>
        </w:rPr>
        <w:footnoteRef/>
      </w:r>
      <w:r w:rsidRPr="00A07959">
        <w:rPr>
          <w:rFonts w:ascii="Times New Roman" w:hAnsi="Times New Roman" w:cs="Times New Roman"/>
          <w:lang w:val="de-CH"/>
        </w:rPr>
        <w:t xml:space="preserve"> Webster 2001:210.</w:t>
      </w:r>
    </w:p>
  </w:footnote>
  <w:footnote w:id="64">
    <w:p w14:paraId="6B75E98C" w14:textId="77777777" w:rsidR="00A07959" w:rsidRPr="00244884" w:rsidRDefault="00A07959" w:rsidP="00824CE3">
      <w:pPr>
        <w:pStyle w:val="Funotentext"/>
      </w:pPr>
      <w:r w:rsidRPr="006D481F">
        <w:rPr>
          <w:rStyle w:val="Funotenzeichen"/>
          <w:rFonts w:ascii="Times New Roman" w:hAnsi="Times New Roman" w:cs="Times New Roman"/>
        </w:rPr>
        <w:footnoteRef/>
      </w:r>
      <w:r w:rsidRPr="006D481F">
        <w:rPr>
          <w:rFonts w:ascii="Times New Roman" w:hAnsi="Times New Roman" w:cs="Times New Roman"/>
        </w:rPr>
        <w:t xml:space="preserve"> Webster 2001:210.</w:t>
      </w:r>
    </w:p>
  </w:footnote>
  <w:footnote w:id="65">
    <w:p w14:paraId="258D8DC8" w14:textId="77777777" w:rsidR="00A07959" w:rsidRPr="00A07959" w:rsidRDefault="00A07959">
      <w:pPr>
        <w:pStyle w:val="Funotentext"/>
        <w:rPr>
          <w:rFonts w:ascii="Times New Roman" w:hAnsi="Times New Roman" w:cs="Times New Roman"/>
        </w:rPr>
      </w:pPr>
      <w:r>
        <w:rPr>
          <w:rStyle w:val="Funotenzeichen"/>
        </w:rPr>
        <w:footnoteRef/>
      </w:r>
      <w:r>
        <w:t xml:space="preserve"> </w:t>
      </w:r>
      <w:r>
        <w:rPr>
          <w:rFonts w:ascii="Times New Roman" w:hAnsi="Times New Roman" w:cs="Times New Roman"/>
        </w:rPr>
        <w:t>Webster 2001:209.</w:t>
      </w:r>
    </w:p>
  </w:footnote>
  <w:footnote w:id="66">
    <w:p w14:paraId="0208FBFD" w14:textId="01DBF73F" w:rsidR="00A07959" w:rsidRPr="00AC0057" w:rsidRDefault="00A07959" w:rsidP="00CD5B5F">
      <w:pPr>
        <w:pStyle w:val="Funotentext"/>
        <w:rPr>
          <w:rFonts w:ascii="Times New Roman" w:hAnsi="Times New Roman" w:cs="Times New Roman"/>
        </w:rPr>
      </w:pPr>
      <w:r w:rsidRPr="00AC0057">
        <w:rPr>
          <w:rStyle w:val="Funotenzeichen"/>
          <w:rFonts w:ascii="Times New Roman" w:hAnsi="Times New Roman" w:cs="Times New Roman"/>
        </w:rPr>
        <w:footnoteRef/>
      </w:r>
      <w:r>
        <w:rPr>
          <w:rFonts w:ascii="Times New Roman" w:hAnsi="Times New Roman" w:cs="Times New Roman"/>
        </w:rPr>
        <w:t xml:space="preserve"> </w:t>
      </w:r>
      <w:r w:rsidRPr="00AC0057">
        <w:rPr>
          <w:rFonts w:ascii="Times New Roman" w:hAnsi="Times New Roman" w:cs="Times New Roman"/>
        </w:rPr>
        <w:t>Harland 2011:216.</w:t>
      </w:r>
    </w:p>
  </w:footnote>
  <w:footnote w:id="67">
    <w:p w14:paraId="2DB7D454" w14:textId="77777777" w:rsidR="00A07959" w:rsidRPr="00AC0057" w:rsidRDefault="00A07959" w:rsidP="00CD5B5F">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1973:11,15.</w:t>
      </w:r>
    </w:p>
  </w:footnote>
  <w:footnote w:id="68">
    <w:p w14:paraId="005975EF" w14:textId="77777777" w:rsidR="00A07959" w:rsidRPr="00AC0057" w:rsidRDefault="00A07959" w:rsidP="00EC4DB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Healey 2001:11.</w:t>
      </w:r>
    </w:p>
  </w:footnote>
  <w:footnote w:id="69">
    <w:p w14:paraId="030E0D06" w14:textId="2A89E25C" w:rsidR="00A07959" w:rsidRPr="00AC0057" w:rsidRDefault="00A07959" w:rsidP="00CD5B5F">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2002:14, </w:t>
      </w:r>
      <w:r w:rsidRPr="00776B2B">
        <w:rPr>
          <w:rFonts w:ascii="Times New Roman" w:hAnsi="Times New Roman" w:cs="Times New Roman"/>
        </w:rPr>
        <w:t>see Fig.1 in Appendix 1.</w:t>
      </w:r>
    </w:p>
  </w:footnote>
  <w:footnote w:id="70">
    <w:p w14:paraId="4D163F53" w14:textId="77777777" w:rsidR="00A07959" w:rsidRPr="00AC0057" w:rsidRDefault="00A07959" w:rsidP="00CD5B5F">
      <w:pPr>
        <w:pStyle w:val="Funotentext"/>
        <w:rPr>
          <w:rFonts w:ascii="Times New Roman" w:hAnsi="Times New Roman" w:cs="Times New Roman"/>
          <w:lang w:val="da-DK"/>
        </w:rPr>
      </w:pPr>
      <w:r w:rsidRPr="00AC0057">
        <w:rPr>
          <w:rStyle w:val="Funotenzeichen"/>
          <w:rFonts w:ascii="Times New Roman" w:hAnsi="Times New Roman" w:cs="Times New Roman"/>
        </w:rPr>
        <w:footnoteRef/>
      </w:r>
      <w:r w:rsidRPr="00AC0057">
        <w:rPr>
          <w:rFonts w:ascii="Times New Roman" w:hAnsi="Times New Roman" w:cs="Times New Roman"/>
          <w:lang w:val="da-DK"/>
        </w:rPr>
        <w:t xml:space="preserve"> Taylor 2002:8.</w:t>
      </w:r>
    </w:p>
  </w:footnote>
  <w:footnote w:id="71">
    <w:p w14:paraId="69883871" w14:textId="77777777" w:rsidR="00A07959" w:rsidRPr="008509FB" w:rsidRDefault="00A07959" w:rsidP="00AC0057">
      <w:pPr>
        <w:pStyle w:val="Funotentext"/>
        <w:rPr>
          <w:rFonts w:ascii="Times New Roman" w:hAnsi="Times New Roman" w:cs="Times New Roman"/>
          <w:lang w:val="da-DK"/>
        </w:rPr>
      </w:pPr>
      <w:r w:rsidRPr="00AC0057">
        <w:rPr>
          <w:rStyle w:val="Funotenzeichen"/>
          <w:rFonts w:ascii="Times New Roman" w:hAnsi="Times New Roman" w:cs="Times New Roman"/>
        </w:rPr>
        <w:footnoteRef/>
      </w:r>
      <w:r w:rsidRPr="008509FB">
        <w:rPr>
          <w:rFonts w:ascii="Times New Roman" w:hAnsi="Times New Roman" w:cs="Times New Roman"/>
          <w:lang w:val="da-DK"/>
        </w:rPr>
        <w:t xml:space="preserve"> Alpass 2013:2</w:t>
      </w:r>
    </w:p>
  </w:footnote>
  <w:footnote w:id="72">
    <w:p w14:paraId="29EA3725" w14:textId="77777777" w:rsidR="00A07959" w:rsidRPr="00AC0057" w:rsidRDefault="00A07959" w:rsidP="00CD5B5F">
      <w:pPr>
        <w:pStyle w:val="Funotentext"/>
        <w:rPr>
          <w:rFonts w:ascii="Times New Roman" w:hAnsi="Times New Roman" w:cs="Times New Roman"/>
          <w:lang w:val="da-DK"/>
        </w:rPr>
      </w:pPr>
      <w:r w:rsidRPr="00AC0057">
        <w:rPr>
          <w:rStyle w:val="Funotenzeichen"/>
          <w:rFonts w:ascii="Times New Roman" w:hAnsi="Times New Roman" w:cs="Times New Roman"/>
        </w:rPr>
        <w:footnoteRef/>
      </w:r>
      <w:r w:rsidRPr="00AC0057">
        <w:rPr>
          <w:rFonts w:ascii="Times New Roman" w:hAnsi="Times New Roman" w:cs="Times New Roman"/>
          <w:lang w:val="da-DK"/>
        </w:rPr>
        <w:t xml:space="preserve"> Hackl et al 2003:20.</w:t>
      </w:r>
    </w:p>
  </w:footnote>
  <w:footnote w:id="73">
    <w:p w14:paraId="19525618" w14:textId="77777777" w:rsidR="00A07959" w:rsidRPr="00A07959" w:rsidRDefault="00A07959" w:rsidP="00CD5B5F">
      <w:pPr>
        <w:pStyle w:val="Funotentext"/>
        <w:rPr>
          <w:rFonts w:ascii="Times New Roman" w:hAnsi="Times New Roman" w:cs="Times New Roman"/>
        </w:rPr>
      </w:pPr>
      <w:r w:rsidRPr="00AC0057">
        <w:rPr>
          <w:rStyle w:val="Funotenzeichen"/>
          <w:rFonts w:ascii="Times New Roman" w:hAnsi="Times New Roman" w:cs="Times New Roman"/>
        </w:rPr>
        <w:footnoteRef/>
      </w:r>
      <w:r w:rsidRPr="00A07959">
        <w:rPr>
          <w:rFonts w:ascii="Times New Roman" w:hAnsi="Times New Roman" w:cs="Times New Roman"/>
        </w:rPr>
        <w:t xml:space="preserve"> Healey 2001:9.</w:t>
      </w:r>
    </w:p>
  </w:footnote>
  <w:footnote w:id="74">
    <w:p w14:paraId="06BD8D6C" w14:textId="77777777" w:rsidR="00A07959" w:rsidRPr="00AC0057" w:rsidRDefault="00A07959" w:rsidP="00CD5B5F">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w:t>
      </w:r>
      <w:proofErr w:type="spellStart"/>
      <w:r w:rsidRPr="00AC0057">
        <w:rPr>
          <w:rFonts w:ascii="Times New Roman" w:hAnsi="Times New Roman" w:cs="Times New Roman"/>
        </w:rPr>
        <w:t>Alpass</w:t>
      </w:r>
      <w:proofErr w:type="spellEnd"/>
      <w:r w:rsidRPr="00AC0057">
        <w:rPr>
          <w:rFonts w:ascii="Times New Roman" w:hAnsi="Times New Roman" w:cs="Times New Roman"/>
        </w:rPr>
        <w:t xml:space="preserve"> 2013:13.</w:t>
      </w:r>
    </w:p>
  </w:footnote>
  <w:footnote w:id="75">
    <w:p w14:paraId="30E70C47" w14:textId="77777777" w:rsidR="00A07959" w:rsidRPr="00AC0057" w:rsidRDefault="00A07959" w:rsidP="001544E8">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1973:16.</w:t>
      </w:r>
    </w:p>
  </w:footnote>
  <w:footnote w:id="76">
    <w:p w14:paraId="2ACEC16F" w14:textId="77777777" w:rsidR="00A07959" w:rsidRPr="00AC0057" w:rsidRDefault="00A07959" w:rsidP="001544E8">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2002:16 and Hammond 1973:11.</w:t>
      </w:r>
    </w:p>
  </w:footnote>
  <w:footnote w:id="77">
    <w:p w14:paraId="58DF774B" w14:textId="0EC9E470" w:rsidR="00A07959" w:rsidRPr="00AC0057" w:rsidRDefault="00A07959" w:rsidP="001544E8">
      <w:pPr>
        <w:pStyle w:val="Funotentext"/>
        <w:rPr>
          <w:rFonts w:ascii="Times New Roman" w:hAnsi="Times New Roman" w:cs="Times New Roman"/>
          <w:i/>
        </w:rPr>
      </w:pPr>
      <w:r w:rsidRPr="00AC0057">
        <w:rPr>
          <w:rStyle w:val="Funotenzeichen"/>
          <w:rFonts w:ascii="Times New Roman" w:hAnsi="Times New Roman" w:cs="Times New Roman"/>
        </w:rPr>
        <w:footnoteRef/>
      </w:r>
      <w:r w:rsidRPr="00AC0057">
        <w:rPr>
          <w:rFonts w:ascii="Times New Roman" w:hAnsi="Times New Roman" w:cs="Times New Roman"/>
        </w:rPr>
        <w:t xml:space="preserve"> </w:t>
      </w:r>
      <w:bookmarkStart w:id="11" w:name="_Hlk8387599"/>
      <w:r w:rsidRPr="00AC0057">
        <w:rPr>
          <w:rFonts w:ascii="Times New Roman" w:hAnsi="Times New Roman" w:cs="Times New Roman"/>
        </w:rPr>
        <w:t xml:space="preserve">Hammond 1973:10 </w:t>
      </w:r>
      <w:r w:rsidRPr="00177A16">
        <w:rPr>
          <w:rFonts w:ascii="Times New Roman" w:hAnsi="Times New Roman" w:cs="Times New Roman"/>
        </w:rPr>
        <w:t xml:space="preserve">and </w:t>
      </w:r>
      <w:proofErr w:type="spellStart"/>
      <w:r w:rsidRPr="00177A16">
        <w:rPr>
          <w:rFonts w:ascii="Times New Roman" w:hAnsi="Times New Roman" w:cs="Times New Roman"/>
          <w:i/>
        </w:rPr>
        <w:t>Diod</w:t>
      </w:r>
      <w:proofErr w:type="spellEnd"/>
      <w:r w:rsidRPr="00177A16">
        <w:rPr>
          <w:rFonts w:ascii="Times New Roman" w:hAnsi="Times New Roman" w:cs="Times New Roman"/>
          <w:i/>
        </w:rPr>
        <w:t>. Sic. Book XIX, 96.</w:t>
      </w:r>
      <w:bookmarkEnd w:id="11"/>
    </w:p>
  </w:footnote>
  <w:footnote w:id="78">
    <w:p w14:paraId="25146DC6" w14:textId="4EF92C3F" w:rsidR="00A07959" w:rsidRPr="00AC0057" w:rsidRDefault="00A07959" w:rsidP="00EC4DB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1973:12 </w:t>
      </w:r>
      <w:r w:rsidRPr="00656F7A">
        <w:rPr>
          <w:rFonts w:ascii="Times New Roman" w:hAnsi="Times New Roman" w:cs="Times New Roman"/>
        </w:rPr>
        <w:t xml:space="preserve">and </w:t>
      </w:r>
      <w:proofErr w:type="spellStart"/>
      <w:r w:rsidRPr="00656F7A">
        <w:rPr>
          <w:rFonts w:ascii="Times New Roman" w:hAnsi="Times New Roman" w:cs="Times New Roman"/>
        </w:rPr>
        <w:t>Plin.Nat</w:t>
      </w:r>
      <w:proofErr w:type="spellEnd"/>
      <w:r w:rsidRPr="00656F7A">
        <w:rPr>
          <w:rFonts w:ascii="Times New Roman" w:hAnsi="Times New Roman" w:cs="Times New Roman"/>
        </w:rPr>
        <w:t>. 6.2.824.</w:t>
      </w:r>
    </w:p>
  </w:footnote>
  <w:footnote w:id="79">
    <w:p w14:paraId="1BC3FD34" w14:textId="77777777" w:rsidR="00A07959" w:rsidRPr="00AC0057" w:rsidRDefault="00A07959" w:rsidP="00EC4DB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1973:12.</w:t>
      </w:r>
    </w:p>
  </w:footnote>
  <w:footnote w:id="80">
    <w:p w14:paraId="48D5772D" w14:textId="3BD25B23" w:rsidR="00A07959" w:rsidRPr="00AC0057" w:rsidRDefault="00A07959" w:rsidP="00EC4DB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w:t>
      </w:r>
      <w:r w:rsidRPr="00656F7A">
        <w:rPr>
          <w:rFonts w:ascii="Times New Roman" w:hAnsi="Times New Roman" w:cs="Times New Roman"/>
        </w:rPr>
        <w:t>12. Joseph. AJ.XIX.</w:t>
      </w:r>
    </w:p>
  </w:footnote>
  <w:footnote w:id="81">
    <w:p w14:paraId="4049D788" w14:textId="77777777" w:rsidR="00A07959" w:rsidRPr="00AC0057" w:rsidRDefault="00A07959" w:rsidP="00EC4DB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1973:12.</w:t>
      </w:r>
    </w:p>
  </w:footnote>
  <w:footnote w:id="82">
    <w:p w14:paraId="5476075F" w14:textId="77777777" w:rsidR="00A07959" w:rsidRPr="00AC0057" w:rsidRDefault="00A07959" w:rsidP="005A681B">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Healey 2001:17-18.</w:t>
      </w:r>
    </w:p>
  </w:footnote>
  <w:footnote w:id="83">
    <w:p w14:paraId="4F05B428" w14:textId="77777777" w:rsidR="00A07959" w:rsidRPr="00AC0057" w:rsidRDefault="00A07959" w:rsidP="005A681B">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Healey 2001:35.</w:t>
      </w:r>
    </w:p>
  </w:footnote>
  <w:footnote w:id="84">
    <w:p w14:paraId="28DD4AE8" w14:textId="77777777" w:rsidR="00A07959" w:rsidRPr="00AC0057" w:rsidRDefault="00A07959" w:rsidP="005A681B">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Healey 2001:18.</w:t>
      </w:r>
    </w:p>
  </w:footnote>
  <w:footnote w:id="85">
    <w:p w14:paraId="4C8F8118" w14:textId="77777777" w:rsidR="00A07959" w:rsidRPr="00AC0057" w:rsidRDefault="00A07959" w:rsidP="005A681B">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Healey 2001:18.</w:t>
      </w:r>
    </w:p>
  </w:footnote>
  <w:footnote w:id="86">
    <w:p w14:paraId="298006D8" w14:textId="77777777" w:rsidR="00A07959" w:rsidRPr="00FB289D" w:rsidRDefault="00A07959" w:rsidP="00221B0C">
      <w:pPr>
        <w:pStyle w:val="Funotentext"/>
        <w:rPr>
          <w:rFonts w:ascii="Times New Roman" w:hAnsi="Times New Roman" w:cs="Times New Roman"/>
        </w:rPr>
      </w:pPr>
      <w:r w:rsidRPr="00AC0057">
        <w:rPr>
          <w:rStyle w:val="Funotenzeichen"/>
          <w:rFonts w:ascii="Times New Roman" w:hAnsi="Times New Roman" w:cs="Times New Roman"/>
        </w:rPr>
        <w:footnoteRef/>
      </w:r>
      <w:r w:rsidRPr="00FB289D">
        <w:rPr>
          <w:rFonts w:ascii="Times New Roman" w:hAnsi="Times New Roman" w:cs="Times New Roman"/>
        </w:rPr>
        <w:t xml:space="preserve"> Hackl et al 2003:19.</w:t>
      </w:r>
    </w:p>
  </w:footnote>
  <w:footnote w:id="87">
    <w:p w14:paraId="418FBB7D" w14:textId="77777777" w:rsidR="00A07959" w:rsidRPr="00AC0057" w:rsidRDefault="00A07959" w:rsidP="00221B0C">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w:t>
      </w:r>
      <w:proofErr w:type="spellStart"/>
      <w:r w:rsidRPr="00AC0057">
        <w:rPr>
          <w:rFonts w:ascii="Times New Roman" w:hAnsi="Times New Roman" w:cs="Times New Roman"/>
        </w:rPr>
        <w:t>Alpass</w:t>
      </w:r>
      <w:proofErr w:type="spellEnd"/>
      <w:r w:rsidRPr="00AC0057">
        <w:rPr>
          <w:rFonts w:ascii="Times New Roman" w:hAnsi="Times New Roman" w:cs="Times New Roman"/>
        </w:rPr>
        <w:t xml:space="preserve"> 2013:22.</w:t>
      </w:r>
    </w:p>
  </w:footnote>
  <w:footnote w:id="88">
    <w:p w14:paraId="408B08F3" w14:textId="77777777" w:rsidR="00A07959" w:rsidRPr="009557B3" w:rsidRDefault="00A07959" w:rsidP="00EC293E">
      <w:pPr>
        <w:pStyle w:val="Funotentext"/>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2002:14</w:t>
      </w:r>
    </w:p>
  </w:footnote>
  <w:footnote w:id="89">
    <w:p w14:paraId="1600ADFF" w14:textId="77777777" w:rsidR="00A07959" w:rsidRPr="00AC0057" w:rsidRDefault="00A07959" w:rsidP="00EC293E">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2002:14.</w:t>
      </w:r>
    </w:p>
  </w:footnote>
  <w:footnote w:id="90">
    <w:p w14:paraId="331FC9A2" w14:textId="77777777" w:rsidR="00A07959" w:rsidRPr="00AC0057" w:rsidRDefault="00A07959" w:rsidP="004C5C4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2002:14.</w:t>
      </w:r>
    </w:p>
  </w:footnote>
  <w:footnote w:id="91">
    <w:p w14:paraId="658715F4" w14:textId="77777777" w:rsidR="00A07959" w:rsidRPr="00AC0057" w:rsidRDefault="00A07959" w:rsidP="004C5C4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2002:30.</w:t>
      </w:r>
    </w:p>
  </w:footnote>
  <w:footnote w:id="92">
    <w:p w14:paraId="0A622422" w14:textId="228624B9" w:rsidR="00A07959" w:rsidRPr="00AC0057" w:rsidRDefault="00A07959" w:rsidP="004C5C4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2002:30</w:t>
      </w:r>
      <w:r>
        <w:rPr>
          <w:rFonts w:ascii="Times New Roman" w:hAnsi="Times New Roman" w:cs="Times New Roman"/>
        </w:rPr>
        <w:t>.</w:t>
      </w:r>
    </w:p>
  </w:footnote>
  <w:footnote w:id="93">
    <w:p w14:paraId="7210F4CE" w14:textId="77777777" w:rsidR="00A07959" w:rsidRPr="00AC0057" w:rsidRDefault="00A07959" w:rsidP="004C5C4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1973:13.</w:t>
      </w:r>
    </w:p>
  </w:footnote>
  <w:footnote w:id="94">
    <w:p w14:paraId="1A839FDD" w14:textId="77777777"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2002:17.</w:t>
      </w:r>
    </w:p>
  </w:footnote>
  <w:footnote w:id="95">
    <w:p w14:paraId="4698B342" w14:textId="77777777"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w:t>
      </w:r>
      <w:bookmarkStart w:id="12" w:name="_Hlk8387312"/>
      <w:r w:rsidRPr="00AC0057">
        <w:rPr>
          <w:rFonts w:ascii="Times New Roman" w:hAnsi="Times New Roman" w:cs="Times New Roman"/>
        </w:rPr>
        <w:t>Taylor 2002:17.</w:t>
      </w:r>
      <w:bookmarkEnd w:id="12"/>
    </w:p>
  </w:footnote>
  <w:footnote w:id="96">
    <w:p w14:paraId="6B21B9E0" w14:textId="77777777"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2002:17.</w:t>
      </w:r>
    </w:p>
  </w:footnote>
  <w:footnote w:id="97">
    <w:p w14:paraId="07E4AA7C" w14:textId="0471F30E"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2002:26</w:t>
      </w:r>
      <w:r>
        <w:rPr>
          <w:rFonts w:ascii="Times New Roman" w:hAnsi="Times New Roman" w:cs="Times New Roman"/>
        </w:rPr>
        <w:t>.</w:t>
      </w:r>
    </w:p>
  </w:footnote>
  <w:footnote w:id="98">
    <w:p w14:paraId="6A6CFDEF" w14:textId="77777777" w:rsidR="00A07959" w:rsidRPr="00AC0057" w:rsidRDefault="00A07959" w:rsidP="006110AB">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w:t>
      </w:r>
      <w:bookmarkStart w:id="13" w:name="_Hlk8387385"/>
      <w:r w:rsidRPr="00AC0057">
        <w:rPr>
          <w:rFonts w:ascii="Times New Roman" w:hAnsi="Times New Roman" w:cs="Times New Roman"/>
        </w:rPr>
        <w:t>Hammond 1973:12.</w:t>
      </w:r>
      <w:bookmarkEnd w:id="13"/>
    </w:p>
  </w:footnote>
  <w:footnote w:id="99">
    <w:p w14:paraId="72569E13" w14:textId="471607ED"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Harland 2011:218.</w:t>
      </w:r>
    </w:p>
  </w:footnote>
  <w:footnote w:id="100">
    <w:p w14:paraId="7FFB4073" w14:textId="77777777"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Hammond 1973:12.</w:t>
      </w:r>
    </w:p>
  </w:footnote>
  <w:footnote w:id="101">
    <w:p w14:paraId="64E47E3A" w14:textId="3C5ADA35"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2002:26</w:t>
      </w:r>
      <w:r>
        <w:rPr>
          <w:rFonts w:ascii="Times New Roman" w:hAnsi="Times New Roman" w:cs="Times New Roman"/>
        </w:rPr>
        <w:t>.</w:t>
      </w:r>
    </w:p>
  </w:footnote>
  <w:footnote w:id="102">
    <w:p w14:paraId="2CCB5A0D" w14:textId="705307B0" w:rsidR="00A07959" w:rsidRPr="00AC0057" w:rsidRDefault="00A07959" w:rsidP="002F093D">
      <w:pPr>
        <w:pStyle w:val="Funotentext"/>
        <w:rPr>
          <w:rFonts w:ascii="Times New Roman" w:hAnsi="Times New Roman" w:cs="Times New Roman"/>
        </w:rPr>
      </w:pPr>
      <w:r w:rsidRPr="00AC0057">
        <w:rPr>
          <w:rStyle w:val="Funotenzeichen"/>
          <w:rFonts w:ascii="Times New Roman" w:hAnsi="Times New Roman" w:cs="Times New Roman"/>
        </w:rPr>
        <w:footnoteRef/>
      </w:r>
      <w:r w:rsidRPr="00AC0057">
        <w:rPr>
          <w:rFonts w:ascii="Times New Roman" w:hAnsi="Times New Roman" w:cs="Times New Roman"/>
        </w:rPr>
        <w:t xml:space="preserve"> Taylor 2002:26</w:t>
      </w:r>
      <w:r>
        <w:rPr>
          <w:rFonts w:ascii="Times New Roman" w:hAnsi="Times New Roman" w:cs="Times New Roman"/>
        </w:rPr>
        <w:t>.</w:t>
      </w:r>
    </w:p>
  </w:footnote>
  <w:footnote w:id="103">
    <w:p w14:paraId="3BC510E4"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14" w:name="_Hlk8388252"/>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 184.</w:t>
      </w:r>
      <w:bookmarkEnd w:id="14"/>
    </w:p>
  </w:footnote>
  <w:footnote w:id="104">
    <w:p w14:paraId="1225BEF1"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2018:184.</w:t>
      </w:r>
    </w:p>
  </w:footnote>
  <w:footnote w:id="105">
    <w:p w14:paraId="65F1A072"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15" w:name="_Hlk8388233"/>
      <w:r w:rsidRPr="00792A1C">
        <w:rPr>
          <w:rFonts w:ascii="Times New Roman" w:hAnsi="Times New Roman" w:cs="Times New Roman"/>
        </w:rPr>
        <w:t>Wilkinson 2010:3.</w:t>
      </w:r>
      <w:bookmarkEnd w:id="15"/>
    </w:p>
  </w:footnote>
  <w:footnote w:id="106">
    <w:p w14:paraId="01A51028"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Wilkinson 2010:30.</w:t>
      </w:r>
    </w:p>
  </w:footnote>
  <w:footnote w:id="107">
    <w:p w14:paraId="346980BC"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Wilkinson 2010:48.</w:t>
      </w:r>
    </w:p>
  </w:footnote>
  <w:footnote w:id="108">
    <w:p w14:paraId="4E7C7A99"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Wilkinson 2010:48, 271,184.</w:t>
      </w:r>
    </w:p>
  </w:footnote>
  <w:footnote w:id="109">
    <w:p w14:paraId="531C3E4D"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proofErr w:type="spellStart"/>
      <w:r w:rsidRPr="00792A1C">
        <w:rPr>
          <w:rFonts w:ascii="Times New Roman" w:hAnsi="Times New Roman" w:cs="Times New Roman"/>
        </w:rPr>
        <w:t>Rababeh</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Rabady</w:t>
      </w:r>
      <w:proofErr w:type="spellEnd"/>
      <w:r w:rsidRPr="00792A1C">
        <w:rPr>
          <w:rFonts w:ascii="Times New Roman" w:hAnsi="Times New Roman" w:cs="Times New Roman"/>
        </w:rPr>
        <w:t xml:space="preserve"> 2014:24.</w:t>
      </w:r>
    </w:p>
  </w:footnote>
  <w:footnote w:id="110">
    <w:p w14:paraId="7D8F0156" w14:textId="3843F200"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The Akkadian Period, The Met, 2019.</w:t>
      </w:r>
    </w:p>
  </w:footnote>
  <w:footnote w:id="111">
    <w:p w14:paraId="723339A0" w14:textId="77777777" w:rsidR="00A07959" w:rsidRPr="00A07959"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A07959">
        <w:rPr>
          <w:rFonts w:ascii="Times New Roman" w:hAnsi="Times New Roman" w:cs="Times New Roman"/>
        </w:rPr>
        <w:t xml:space="preserve"> Taylor 2002 :34.</w:t>
      </w:r>
    </w:p>
  </w:footnote>
  <w:footnote w:id="112">
    <w:p w14:paraId="323692DB" w14:textId="77777777" w:rsidR="00A07959" w:rsidRPr="00A07959"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A07959">
        <w:rPr>
          <w:rFonts w:ascii="Times New Roman" w:hAnsi="Times New Roman" w:cs="Times New Roman"/>
        </w:rPr>
        <w:t xml:space="preserve"> Taylor 2002:35.</w:t>
      </w:r>
    </w:p>
  </w:footnote>
  <w:footnote w:id="113">
    <w:p w14:paraId="72ACAC67" w14:textId="77777777" w:rsidR="00A07959" w:rsidRPr="00A07959"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A07959">
        <w:rPr>
          <w:rFonts w:ascii="Times New Roman" w:hAnsi="Times New Roman" w:cs="Times New Roman"/>
        </w:rPr>
        <w:t xml:space="preserve"> Taylor 2002:36.</w:t>
      </w:r>
    </w:p>
  </w:footnote>
  <w:footnote w:id="114">
    <w:p w14:paraId="655EEB3E"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16" w:name="_Hlk8388274"/>
      <w:r w:rsidRPr="00792A1C">
        <w:rPr>
          <w:rFonts w:ascii="Times New Roman" w:hAnsi="Times New Roman" w:cs="Times New Roman"/>
        </w:rPr>
        <w:t>The Achaemenid Persian Empire, The Met, 2019.</w:t>
      </w:r>
      <w:bookmarkEnd w:id="16"/>
    </w:p>
  </w:footnote>
  <w:footnote w:id="115">
    <w:p w14:paraId="0573A53C" w14:textId="77777777" w:rsidR="00A07959" w:rsidRPr="00792A1C" w:rsidRDefault="00A07959" w:rsidP="00AC0057">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792A1C">
        <w:rPr>
          <w:rFonts w:ascii="Times New Roman" w:hAnsi="Times New Roman" w:cs="Times New Roman"/>
          <w:lang w:val="da-DK"/>
        </w:rPr>
        <w:t xml:space="preserve"> Hackl et al 2003:20.</w:t>
      </w:r>
    </w:p>
  </w:footnote>
  <w:footnote w:id="116">
    <w:p w14:paraId="40969E01" w14:textId="0BA31C67" w:rsidR="00A07959" w:rsidRPr="00792A1C" w:rsidRDefault="00A07959" w:rsidP="00AC0057">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792A1C">
        <w:rPr>
          <w:rFonts w:ascii="Times New Roman" w:hAnsi="Times New Roman" w:cs="Times New Roman"/>
          <w:lang w:val="da-DK"/>
        </w:rPr>
        <w:t xml:space="preserve"> </w:t>
      </w:r>
      <w:bookmarkStart w:id="17" w:name="_Hlk8388340"/>
      <w:r w:rsidRPr="00792A1C">
        <w:rPr>
          <w:rFonts w:ascii="Times New Roman" w:hAnsi="Times New Roman" w:cs="Times New Roman"/>
          <w:lang w:val="da-DK"/>
        </w:rPr>
        <w:t>Hegel</w:t>
      </w:r>
      <w:r>
        <w:rPr>
          <w:rFonts w:ascii="Times New Roman" w:hAnsi="Times New Roman" w:cs="Times New Roman"/>
          <w:lang w:val="da-DK"/>
        </w:rPr>
        <w:t xml:space="preserve"> </w:t>
      </w:r>
      <w:r w:rsidRPr="00792A1C">
        <w:rPr>
          <w:rFonts w:ascii="Times New Roman" w:hAnsi="Times New Roman" w:cs="Times New Roman"/>
          <w:lang w:val="da-DK"/>
        </w:rPr>
        <w:t>1981:3.</w:t>
      </w:r>
      <w:bookmarkEnd w:id="17"/>
    </w:p>
  </w:footnote>
  <w:footnote w:id="117">
    <w:p w14:paraId="6D385078" w14:textId="77777777" w:rsidR="00A07959" w:rsidRPr="00A07959" w:rsidRDefault="00A07959" w:rsidP="00AC0057">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A07959">
        <w:rPr>
          <w:rFonts w:ascii="Times New Roman" w:hAnsi="Times New Roman" w:cs="Times New Roman"/>
          <w:lang w:val="da-DK"/>
        </w:rPr>
        <w:t xml:space="preserve"> Koester 1995:41.</w:t>
      </w:r>
    </w:p>
  </w:footnote>
  <w:footnote w:id="118">
    <w:p w14:paraId="59368313" w14:textId="16B78763" w:rsidR="00A07959" w:rsidRPr="00792A1C" w:rsidRDefault="00A07959">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Hemingway and Hemingway 2007.</w:t>
      </w:r>
    </w:p>
  </w:footnote>
  <w:footnote w:id="119">
    <w:p w14:paraId="13993B6A" w14:textId="19D1933F"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Hemingway and Hemingway 2007.</w:t>
      </w:r>
    </w:p>
  </w:footnote>
  <w:footnote w:id="120">
    <w:p w14:paraId="7888FFCF" w14:textId="180A86CB"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2018:180.</w:t>
      </w:r>
    </w:p>
  </w:footnote>
  <w:footnote w:id="121">
    <w:p w14:paraId="3ACAB225"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18" w:name="_Hlk8387794"/>
      <w:r w:rsidRPr="00792A1C">
        <w:rPr>
          <w:rFonts w:ascii="Times New Roman" w:hAnsi="Times New Roman" w:cs="Times New Roman"/>
        </w:rPr>
        <w:t>Schmid n.d:217.</w:t>
      </w:r>
      <w:bookmarkEnd w:id="18"/>
    </w:p>
  </w:footnote>
  <w:footnote w:id="122">
    <w:p w14:paraId="0D20F85B" w14:textId="77777777" w:rsidR="00A07959" w:rsidRPr="00AC0057" w:rsidRDefault="00A07959" w:rsidP="00AC0057">
      <w:pPr>
        <w:pStyle w:val="Funotentext"/>
      </w:pPr>
      <w:r w:rsidRPr="00792A1C">
        <w:rPr>
          <w:rStyle w:val="Funotenzeichen"/>
          <w:rFonts w:ascii="Times New Roman" w:hAnsi="Times New Roman" w:cs="Times New Roman"/>
        </w:rPr>
        <w:footnoteRef/>
      </w:r>
      <w:r w:rsidRPr="00792A1C">
        <w:rPr>
          <w:rFonts w:ascii="Times New Roman" w:hAnsi="Times New Roman" w:cs="Times New Roman"/>
        </w:rPr>
        <w:t xml:space="preserve"> Schmid n.d:217.</w:t>
      </w:r>
    </w:p>
  </w:footnote>
  <w:footnote w:id="123">
    <w:p w14:paraId="44E47667"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1995:23, 41.</w:t>
      </w:r>
    </w:p>
  </w:footnote>
  <w:footnote w:id="124">
    <w:p w14:paraId="0B9F21DE"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1995:44.</w:t>
      </w:r>
    </w:p>
  </w:footnote>
  <w:footnote w:id="125">
    <w:p w14:paraId="06365192"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1995:3,10.</w:t>
      </w:r>
    </w:p>
  </w:footnote>
  <w:footnote w:id="126">
    <w:p w14:paraId="6CE4015D" w14:textId="220E6D09"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2018:180</w:t>
      </w:r>
      <w:r w:rsidR="00940412">
        <w:rPr>
          <w:rFonts w:ascii="Times New Roman" w:hAnsi="Times New Roman" w:cs="Times New Roman"/>
        </w:rPr>
        <w:t>.</w:t>
      </w:r>
    </w:p>
  </w:footnote>
  <w:footnote w:id="127">
    <w:p w14:paraId="021536E3" w14:textId="4CEFAEB6"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2018:180</w:t>
      </w:r>
      <w:r w:rsidR="00940412">
        <w:rPr>
          <w:rFonts w:ascii="Times New Roman" w:hAnsi="Times New Roman" w:cs="Times New Roman"/>
        </w:rPr>
        <w:t>.</w:t>
      </w:r>
    </w:p>
  </w:footnote>
  <w:footnote w:id="128">
    <w:p w14:paraId="02E75DBD" w14:textId="3C2AB1B1"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19" w:name="_Hlk8387933"/>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2018:180-181</w:t>
      </w:r>
      <w:bookmarkEnd w:id="19"/>
      <w:r w:rsidR="00940412">
        <w:rPr>
          <w:rFonts w:ascii="Times New Roman" w:hAnsi="Times New Roman" w:cs="Times New Roman"/>
        </w:rPr>
        <w:t>.</w:t>
      </w:r>
    </w:p>
  </w:footnote>
  <w:footnote w:id="129">
    <w:p w14:paraId="0103C2C7"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1995:43.</w:t>
      </w:r>
    </w:p>
  </w:footnote>
  <w:footnote w:id="130">
    <w:p w14:paraId="1BEC10B4"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Boys-Stones, </w:t>
      </w:r>
      <w:proofErr w:type="spellStart"/>
      <w:r w:rsidRPr="00792A1C">
        <w:rPr>
          <w:rFonts w:ascii="Times New Roman" w:hAnsi="Times New Roman" w:cs="Times New Roman"/>
        </w:rPr>
        <w:t>Graziosi</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Vasunia</w:t>
      </w:r>
      <w:proofErr w:type="spellEnd"/>
      <w:r w:rsidRPr="00792A1C">
        <w:rPr>
          <w:rFonts w:ascii="Times New Roman" w:hAnsi="Times New Roman" w:cs="Times New Roman"/>
        </w:rPr>
        <w:t xml:space="preserve"> 2009:87.</w:t>
      </w:r>
    </w:p>
  </w:footnote>
  <w:footnote w:id="131">
    <w:p w14:paraId="4A498F24"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Boys-Stones, </w:t>
      </w:r>
      <w:proofErr w:type="spellStart"/>
      <w:r w:rsidRPr="00792A1C">
        <w:rPr>
          <w:rFonts w:ascii="Times New Roman" w:hAnsi="Times New Roman" w:cs="Times New Roman"/>
        </w:rPr>
        <w:t>Graziosi</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Vasunia</w:t>
      </w:r>
      <w:proofErr w:type="spellEnd"/>
      <w:r w:rsidRPr="00792A1C">
        <w:rPr>
          <w:rFonts w:ascii="Times New Roman" w:hAnsi="Times New Roman" w:cs="Times New Roman"/>
        </w:rPr>
        <w:t xml:space="preserve"> 2009:87.</w:t>
      </w:r>
    </w:p>
  </w:footnote>
  <w:footnote w:id="132">
    <w:p w14:paraId="030526CB"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Boys-Stones, </w:t>
      </w:r>
      <w:proofErr w:type="spellStart"/>
      <w:r w:rsidRPr="00792A1C">
        <w:rPr>
          <w:rFonts w:ascii="Times New Roman" w:hAnsi="Times New Roman" w:cs="Times New Roman"/>
        </w:rPr>
        <w:t>Graziosi</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Vasunia</w:t>
      </w:r>
      <w:proofErr w:type="spellEnd"/>
      <w:r w:rsidRPr="00792A1C">
        <w:rPr>
          <w:rFonts w:ascii="Times New Roman" w:hAnsi="Times New Roman" w:cs="Times New Roman"/>
        </w:rPr>
        <w:t xml:space="preserve"> 2009:87.</w:t>
      </w:r>
    </w:p>
  </w:footnote>
  <w:footnote w:id="133">
    <w:p w14:paraId="77ADF948"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Boys-Stones, </w:t>
      </w:r>
      <w:proofErr w:type="spellStart"/>
      <w:r w:rsidRPr="00792A1C">
        <w:rPr>
          <w:rFonts w:ascii="Times New Roman" w:hAnsi="Times New Roman" w:cs="Times New Roman"/>
        </w:rPr>
        <w:t>Graziosi</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Vasunia</w:t>
      </w:r>
      <w:proofErr w:type="spellEnd"/>
      <w:r w:rsidRPr="00792A1C">
        <w:rPr>
          <w:rFonts w:ascii="Times New Roman" w:hAnsi="Times New Roman" w:cs="Times New Roman"/>
        </w:rPr>
        <w:t xml:space="preserve"> 2009:87.</w:t>
      </w:r>
    </w:p>
  </w:footnote>
  <w:footnote w:id="134">
    <w:p w14:paraId="7AE34462" w14:textId="329181FF" w:rsidR="00A07959" w:rsidRPr="00792A1C" w:rsidRDefault="00A07959">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Alexandria, Silk Roads UNESCO, 2019.</w:t>
      </w:r>
    </w:p>
  </w:footnote>
  <w:footnote w:id="135">
    <w:p w14:paraId="6841408F"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1995:43.</w:t>
      </w:r>
    </w:p>
  </w:footnote>
  <w:footnote w:id="136">
    <w:p w14:paraId="2A569307"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20" w:name="_Hlk8387883"/>
      <w:r w:rsidRPr="00792A1C">
        <w:rPr>
          <w:rFonts w:ascii="Times New Roman" w:hAnsi="Times New Roman" w:cs="Times New Roman"/>
        </w:rPr>
        <w:t>Koester 1995:23.</w:t>
      </w:r>
      <w:bookmarkEnd w:id="20"/>
    </w:p>
  </w:footnote>
  <w:footnote w:id="137">
    <w:p w14:paraId="56534EA8"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1995:23.</w:t>
      </w:r>
    </w:p>
  </w:footnote>
  <w:footnote w:id="138">
    <w:p w14:paraId="54FD5813"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Boys-Stoney, </w:t>
      </w:r>
      <w:proofErr w:type="spellStart"/>
      <w:r w:rsidRPr="00792A1C">
        <w:rPr>
          <w:rFonts w:ascii="Times New Roman" w:hAnsi="Times New Roman" w:cs="Times New Roman"/>
        </w:rPr>
        <w:t>Graziosi</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Vasunia</w:t>
      </w:r>
      <w:proofErr w:type="spellEnd"/>
      <w:r w:rsidRPr="00792A1C">
        <w:rPr>
          <w:rFonts w:ascii="Times New Roman" w:hAnsi="Times New Roman" w:cs="Times New Roman"/>
        </w:rPr>
        <w:t xml:space="preserve"> 2009:88.</w:t>
      </w:r>
    </w:p>
  </w:footnote>
  <w:footnote w:id="139">
    <w:p w14:paraId="1628B0F7" w14:textId="77777777" w:rsidR="00A07959" w:rsidRPr="00AC0057" w:rsidRDefault="00A07959" w:rsidP="00AC0057">
      <w:pPr>
        <w:pStyle w:val="Funotentext"/>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1995:43.</w:t>
      </w:r>
    </w:p>
  </w:footnote>
  <w:footnote w:id="140">
    <w:p w14:paraId="1C6736FB"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1995:44 and Boys-Stoney, </w:t>
      </w:r>
      <w:proofErr w:type="spellStart"/>
      <w:r w:rsidRPr="00792A1C">
        <w:rPr>
          <w:rFonts w:ascii="Times New Roman" w:hAnsi="Times New Roman" w:cs="Times New Roman"/>
        </w:rPr>
        <w:t>Graziosi</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Vasunia</w:t>
      </w:r>
      <w:proofErr w:type="spellEnd"/>
      <w:r w:rsidRPr="00792A1C">
        <w:rPr>
          <w:rFonts w:ascii="Times New Roman" w:hAnsi="Times New Roman" w:cs="Times New Roman"/>
        </w:rPr>
        <w:t xml:space="preserve"> 2009:89.</w:t>
      </w:r>
    </w:p>
  </w:footnote>
  <w:footnote w:id="141">
    <w:p w14:paraId="3EB50224"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1995:44.</w:t>
      </w:r>
    </w:p>
  </w:footnote>
  <w:footnote w:id="142">
    <w:p w14:paraId="411FF971"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Koester 1995:44.</w:t>
      </w:r>
    </w:p>
  </w:footnote>
  <w:footnote w:id="143">
    <w:p w14:paraId="02B14024" w14:textId="13A8E8ED"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Webster 2001:211-212.</w:t>
      </w:r>
    </w:p>
  </w:footnote>
  <w:footnote w:id="144">
    <w:p w14:paraId="64F6619E" w14:textId="5186753C"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Green and </w:t>
      </w:r>
      <w:proofErr w:type="spellStart"/>
      <w:r w:rsidRPr="00792A1C">
        <w:rPr>
          <w:rFonts w:ascii="Times New Roman" w:hAnsi="Times New Roman" w:cs="Times New Roman"/>
        </w:rPr>
        <w:t>Costion</w:t>
      </w:r>
      <w:proofErr w:type="spellEnd"/>
      <w:r w:rsidRPr="00792A1C">
        <w:rPr>
          <w:rFonts w:ascii="Times New Roman" w:hAnsi="Times New Roman" w:cs="Times New Roman"/>
        </w:rPr>
        <w:t xml:space="preserve"> 2018:41.</w:t>
      </w:r>
    </w:p>
  </w:footnote>
  <w:footnote w:id="145">
    <w:p w14:paraId="5B0BE19C" w14:textId="378CFD7C"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proofErr w:type="spellStart"/>
      <w:r w:rsidRPr="00792A1C">
        <w:rPr>
          <w:rFonts w:ascii="Times New Roman" w:hAnsi="Times New Roman" w:cs="Times New Roman"/>
        </w:rPr>
        <w:t>Rababeh</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Rabady</w:t>
      </w:r>
      <w:proofErr w:type="spellEnd"/>
      <w:r w:rsidRPr="00792A1C">
        <w:rPr>
          <w:rFonts w:ascii="Times New Roman" w:hAnsi="Times New Roman" w:cs="Times New Roman"/>
        </w:rPr>
        <w:t xml:space="preserve"> 2014:24.</w:t>
      </w:r>
    </w:p>
  </w:footnote>
  <w:footnote w:id="146">
    <w:p w14:paraId="53403315" w14:textId="77777777" w:rsidR="00A07959" w:rsidRPr="00792A1C" w:rsidRDefault="00A07959" w:rsidP="008509FB">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Architecture in Ancient Greece, The Met, 2019.</w:t>
      </w:r>
    </w:p>
  </w:footnote>
  <w:footnote w:id="147">
    <w:p w14:paraId="7BBA4734" w14:textId="77777777" w:rsidR="00A07959" w:rsidRPr="00A07959" w:rsidRDefault="00A07959" w:rsidP="00AC0057">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A07959">
        <w:rPr>
          <w:rFonts w:ascii="Times New Roman" w:hAnsi="Times New Roman" w:cs="Times New Roman"/>
          <w:lang w:val="da-DK"/>
        </w:rPr>
        <w:t xml:space="preserve"> Koester 1995:27.</w:t>
      </w:r>
    </w:p>
  </w:footnote>
  <w:footnote w:id="148">
    <w:p w14:paraId="01DDA07C" w14:textId="3F826A19" w:rsidR="00A07959" w:rsidRPr="00792A1C" w:rsidRDefault="00A07959">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792A1C">
        <w:rPr>
          <w:rFonts w:ascii="Times New Roman" w:hAnsi="Times New Roman" w:cs="Times New Roman"/>
          <w:lang w:val="da-DK"/>
        </w:rPr>
        <w:t xml:space="preserve"> Koester 1995:23.</w:t>
      </w:r>
    </w:p>
  </w:footnote>
  <w:footnote w:id="149">
    <w:p w14:paraId="2A5ED434" w14:textId="1A5DC728" w:rsidR="00A07959" w:rsidRPr="00792A1C" w:rsidRDefault="00A07959">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792A1C">
        <w:rPr>
          <w:rFonts w:ascii="Times New Roman" w:hAnsi="Times New Roman" w:cs="Times New Roman"/>
          <w:lang w:val="da-DK"/>
        </w:rPr>
        <w:t xml:space="preserve"> Healey 2001:9.</w:t>
      </w:r>
    </w:p>
  </w:footnote>
  <w:footnote w:id="150">
    <w:p w14:paraId="290AF25B" w14:textId="190D125B" w:rsidR="00A07959" w:rsidRPr="008509FB" w:rsidRDefault="00A07959">
      <w:pPr>
        <w:pStyle w:val="Funotentext"/>
        <w:rPr>
          <w:lang w:val="da-DK"/>
        </w:rPr>
      </w:pPr>
      <w:r w:rsidRPr="00792A1C">
        <w:rPr>
          <w:rStyle w:val="Funotenzeichen"/>
          <w:rFonts w:ascii="Times New Roman" w:hAnsi="Times New Roman" w:cs="Times New Roman"/>
        </w:rPr>
        <w:footnoteRef/>
      </w:r>
      <w:r w:rsidRPr="00792A1C">
        <w:rPr>
          <w:rFonts w:ascii="Times New Roman" w:hAnsi="Times New Roman" w:cs="Times New Roman"/>
          <w:lang w:val="da-DK"/>
        </w:rPr>
        <w:t xml:space="preserve"> Lindner 1970:64.</w:t>
      </w:r>
    </w:p>
  </w:footnote>
  <w:footnote w:id="151">
    <w:p w14:paraId="344A84B6" w14:textId="77777777" w:rsidR="00A07959" w:rsidRPr="00792A1C" w:rsidRDefault="00A07959" w:rsidP="00AC0057">
      <w:pPr>
        <w:pStyle w:val="Funotentext"/>
        <w:rPr>
          <w:rFonts w:ascii="Times New Roman" w:hAnsi="Times New Roman" w:cs="Times New Roman"/>
          <w:lang w:val="da-DK"/>
        </w:rPr>
      </w:pPr>
      <w:r w:rsidRPr="00792A1C">
        <w:rPr>
          <w:rStyle w:val="Funotenzeichen"/>
          <w:rFonts w:ascii="Times New Roman" w:hAnsi="Times New Roman" w:cs="Times New Roman"/>
        </w:rPr>
        <w:footnoteRef/>
      </w:r>
      <w:r w:rsidRPr="00792A1C">
        <w:rPr>
          <w:rFonts w:ascii="Times New Roman" w:hAnsi="Times New Roman" w:cs="Times New Roman"/>
          <w:lang w:val="da-DK"/>
        </w:rPr>
        <w:t xml:space="preserve"> Taylor 2002:17.</w:t>
      </w:r>
    </w:p>
  </w:footnote>
  <w:footnote w:id="152">
    <w:p w14:paraId="29D20679"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Taylor 2002:17.</w:t>
      </w:r>
    </w:p>
  </w:footnote>
  <w:footnote w:id="153">
    <w:p w14:paraId="794F06F4"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Taylor 2002:17.</w:t>
      </w:r>
    </w:p>
  </w:footnote>
  <w:footnote w:id="154">
    <w:p w14:paraId="67CAA4EA"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Taylor 2002:22.</w:t>
      </w:r>
    </w:p>
  </w:footnote>
  <w:footnote w:id="155">
    <w:p w14:paraId="6425A2F6" w14:textId="777777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Taylor 2002:22.</w:t>
      </w:r>
    </w:p>
  </w:footnote>
  <w:footnote w:id="156">
    <w:p w14:paraId="12E99E2C" w14:textId="60CC6894"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w:t>
      </w:r>
      <w:bookmarkStart w:id="21" w:name="_Hlk8387686"/>
      <w:r w:rsidRPr="00792A1C">
        <w:rPr>
          <w:rFonts w:ascii="Times New Roman" w:hAnsi="Times New Roman" w:cs="Times New Roman"/>
        </w:rPr>
        <w:t>Taylor 2002:27.</w:t>
      </w:r>
      <w:bookmarkEnd w:id="21"/>
    </w:p>
  </w:footnote>
  <w:footnote w:id="157">
    <w:p w14:paraId="048C3F93" w14:textId="1CD4E077" w:rsidR="00A07959" w:rsidRPr="00792A1C" w:rsidRDefault="00A07959" w:rsidP="00AC0057">
      <w:pPr>
        <w:pStyle w:val="Funotentext"/>
        <w:rPr>
          <w:rFonts w:ascii="Times New Roman" w:hAnsi="Times New Roman" w:cs="Times New Roman"/>
        </w:rPr>
      </w:pPr>
      <w:r w:rsidRPr="00792A1C">
        <w:rPr>
          <w:rStyle w:val="Funotenzeichen"/>
          <w:rFonts w:ascii="Times New Roman" w:hAnsi="Times New Roman" w:cs="Times New Roman"/>
        </w:rPr>
        <w:footnoteRef/>
      </w:r>
      <w:r w:rsidRPr="00792A1C">
        <w:rPr>
          <w:rFonts w:ascii="Times New Roman" w:hAnsi="Times New Roman" w:cs="Times New Roman"/>
        </w:rPr>
        <w:t xml:space="preserve"> Taylor 2002:17.</w:t>
      </w:r>
    </w:p>
  </w:footnote>
  <w:footnote w:id="158">
    <w:p w14:paraId="4BD0DEEF" w14:textId="6E2DE4BC" w:rsidR="00A07959" w:rsidRPr="00A07959" w:rsidRDefault="00A07959">
      <w:pPr>
        <w:pStyle w:val="Funotentext"/>
      </w:pPr>
      <w:r w:rsidRPr="00792A1C">
        <w:rPr>
          <w:rStyle w:val="Funotenzeichen"/>
          <w:rFonts w:ascii="Times New Roman" w:hAnsi="Times New Roman" w:cs="Times New Roman"/>
        </w:rPr>
        <w:footnoteRef/>
      </w:r>
      <w:r w:rsidRPr="00792A1C">
        <w:rPr>
          <w:rFonts w:ascii="Times New Roman" w:hAnsi="Times New Roman" w:cs="Times New Roman"/>
        </w:rPr>
        <w:t xml:space="preserve"> Taylor 2002:17.</w:t>
      </w:r>
    </w:p>
  </w:footnote>
  <w:footnote w:id="159">
    <w:p w14:paraId="6A36429C" w14:textId="77777777" w:rsidR="00A07959" w:rsidRPr="00D120EF" w:rsidRDefault="00A07959" w:rsidP="00792A1C">
      <w:pPr>
        <w:pStyle w:val="Funotentext"/>
        <w:rPr>
          <w:rFonts w:ascii="Times New Roman" w:hAnsi="Times New Roman" w:cs="Times New Roman"/>
        </w:rPr>
      </w:pPr>
      <w:r w:rsidRPr="00D120EF">
        <w:rPr>
          <w:rStyle w:val="Funotenzeichen"/>
          <w:rFonts w:ascii="Times New Roman" w:hAnsi="Times New Roman" w:cs="Times New Roman"/>
        </w:rPr>
        <w:footnoteRef/>
      </w:r>
      <w:r w:rsidRPr="00D120EF">
        <w:rPr>
          <w:rFonts w:ascii="Times New Roman" w:hAnsi="Times New Roman" w:cs="Times New Roman"/>
        </w:rPr>
        <w:t xml:space="preserve"> Murray 1989:221-222.</w:t>
      </w:r>
    </w:p>
  </w:footnote>
  <w:footnote w:id="160">
    <w:p w14:paraId="3EA63BDB" w14:textId="77777777" w:rsidR="00A07959" w:rsidRPr="00D120EF" w:rsidRDefault="00A07959" w:rsidP="00792A1C">
      <w:pPr>
        <w:pStyle w:val="Funotentext"/>
        <w:rPr>
          <w:rFonts w:ascii="Times New Roman" w:hAnsi="Times New Roman" w:cs="Times New Roman"/>
        </w:rPr>
      </w:pPr>
      <w:r w:rsidRPr="00D120EF">
        <w:rPr>
          <w:rStyle w:val="Funotenzeichen"/>
          <w:rFonts w:ascii="Times New Roman" w:hAnsi="Times New Roman" w:cs="Times New Roman"/>
        </w:rPr>
        <w:footnoteRef/>
      </w:r>
      <w:r w:rsidRPr="00D120EF">
        <w:rPr>
          <w:rFonts w:ascii="Times New Roman" w:hAnsi="Times New Roman" w:cs="Times New Roman"/>
        </w:rPr>
        <w:t xml:space="preserve"> </w:t>
      </w:r>
      <w:bookmarkStart w:id="22" w:name="_Hlk8388487"/>
      <w:r w:rsidRPr="00D120EF">
        <w:rPr>
          <w:rFonts w:ascii="Times New Roman" w:hAnsi="Times New Roman" w:cs="Times New Roman"/>
        </w:rPr>
        <w:t>Murray 1989:224-227.</w:t>
      </w:r>
      <w:bookmarkEnd w:id="22"/>
    </w:p>
  </w:footnote>
  <w:footnote w:id="161">
    <w:p w14:paraId="0A530A97" w14:textId="77777777" w:rsidR="00A07959" w:rsidRPr="00D120EF" w:rsidRDefault="00A07959" w:rsidP="00792A1C">
      <w:pPr>
        <w:pStyle w:val="Funotentext"/>
        <w:rPr>
          <w:rFonts w:ascii="Times New Roman" w:hAnsi="Times New Roman" w:cs="Times New Roman"/>
        </w:rPr>
      </w:pPr>
      <w:r w:rsidRPr="00D120EF">
        <w:rPr>
          <w:rStyle w:val="Funotenzeichen"/>
          <w:rFonts w:ascii="Times New Roman" w:hAnsi="Times New Roman" w:cs="Times New Roman"/>
        </w:rPr>
        <w:footnoteRef/>
      </w:r>
      <w:r w:rsidRPr="00D120EF">
        <w:rPr>
          <w:rFonts w:ascii="Times New Roman" w:hAnsi="Times New Roman" w:cs="Times New Roman"/>
        </w:rPr>
        <w:t xml:space="preserve"> </w:t>
      </w:r>
      <w:bookmarkStart w:id="23" w:name="_Hlk8389431"/>
      <w:r w:rsidRPr="00D120EF">
        <w:rPr>
          <w:rFonts w:ascii="Times New Roman" w:hAnsi="Times New Roman" w:cs="Times New Roman"/>
        </w:rPr>
        <w:t>Murray 1989:227-228.</w:t>
      </w:r>
      <w:bookmarkEnd w:id="23"/>
    </w:p>
  </w:footnote>
  <w:footnote w:id="162">
    <w:p w14:paraId="2ECA0804" w14:textId="77777777" w:rsidR="00A07959" w:rsidRPr="00A07959" w:rsidRDefault="00A07959" w:rsidP="00792A1C">
      <w:pPr>
        <w:pStyle w:val="Funotentext"/>
        <w:rPr>
          <w:rFonts w:ascii="Times New Roman" w:hAnsi="Times New Roman" w:cs="Times New Roman"/>
          <w:lang w:val="da-DK"/>
        </w:rPr>
      </w:pPr>
      <w:r w:rsidRPr="00D120EF">
        <w:rPr>
          <w:rStyle w:val="Funotenzeichen"/>
          <w:rFonts w:ascii="Times New Roman" w:hAnsi="Times New Roman" w:cs="Times New Roman"/>
        </w:rPr>
        <w:footnoteRef/>
      </w:r>
      <w:r w:rsidRPr="00A07959">
        <w:rPr>
          <w:rFonts w:ascii="Times New Roman" w:hAnsi="Times New Roman" w:cs="Times New Roman"/>
          <w:lang w:val="da-DK"/>
        </w:rPr>
        <w:t xml:space="preserve"> </w:t>
      </w:r>
      <w:bookmarkStart w:id="24" w:name="_Hlk8388504"/>
      <w:r w:rsidRPr="00A07959">
        <w:rPr>
          <w:rFonts w:ascii="Times New Roman" w:hAnsi="Times New Roman" w:cs="Times New Roman"/>
          <w:lang w:val="da-DK"/>
        </w:rPr>
        <w:t>Hackl et al 2003:84.</w:t>
      </w:r>
      <w:bookmarkEnd w:id="24"/>
    </w:p>
  </w:footnote>
  <w:footnote w:id="163">
    <w:p w14:paraId="17A24E08" w14:textId="77777777" w:rsidR="00A07959" w:rsidRPr="00A07959" w:rsidRDefault="00A07959" w:rsidP="00792A1C">
      <w:pPr>
        <w:pStyle w:val="Funotentext"/>
        <w:rPr>
          <w:rFonts w:ascii="Times New Roman" w:hAnsi="Times New Roman" w:cs="Times New Roman"/>
          <w:lang w:val="da-DK"/>
        </w:rPr>
      </w:pPr>
      <w:r w:rsidRPr="00D120EF">
        <w:rPr>
          <w:rStyle w:val="Funotenzeichen"/>
          <w:rFonts w:ascii="Times New Roman" w:hAnsi="Times New Roman" w:cs="Times New Roman"/>
        </w:rPr>
        <w:footnoteRef/>
      </w:r>
      <w:r w:rsidRPr="00A07959">
        <w:rPr>
          <w:rFonts w:ascii="Times New Roman" w:hAnsi="Times New Roman" w:cs="Times New Roman"/>
          <w:lang w:val="da-DK"/>
        </w:rPr>
        <w:t xml:space="preserve"> Alpass 2013:239.</w:t>
      </w:r>
    </w:p>
  </w:footnote>
  <w:footnote w:id="164">
    <w:p w14:paraId="489854CF" w14:textId="77777777" w:rsidR="00A07959" w:rsidRPr="00A07959" w:rsidRDefault="00A07959" w:rsidP="00792A1C">
      <w:pPr>
        <w:pStyle w:val="Funotentext"/>
        <w:rPr>
          <w:rFonts w:ascii="Times New Roman" w:hAnsi="Times New Roman" w:cs="Times New Roman"/>
          <w:lang w:val="da-DK"/>
        </w:rPr>
      </w:pPr>
      <w:r w:rsidRPr="00D120EF">
        <w:rPr>
          <w:rStyle w:val="Funotenzeichen"/>
          <w:rFonts w:ascii="Times New Roman" w:hAnsi="Times New Roman" w:cs="Times New Roman"/>
        </w:rPr>
        <w:footnoteRef/>
      </w:r>
      <w:r w:rsidRPr="00A07959">
        <w:rPr>
          <w:rFonts w:ascii="Times New Roman" w:hAnsi="Times New Roman" w:cs="Times New Roman"/>
          <w:lang w:val="da-DK"/>
        </w:rPr>
        <w:t xml:space="preserve"> </w:t>
      </w:r>
      <w:bookmarkStart w:id="25" w:name="_Hlk8390395"/>
      <w:bookmarkStart w:id="26" w:name="_Hlk8389496"/>
      <w:r w:rsidRPr="00A07959">
        <w:rPr>
          <w:rFonts w:ascii="Times New Roman" w:hAnsi="Times New Roman" w:cs="Times New Roman"/>
          <w:lang w:val="da-DK"/>
        </w:rPr>
        <w:t>Alpass 2013:228.</w:t>
      </w:r>
      <w:bookmarkEnd w:id="25"/>
    </w:p>
    <w:bookmarkEnd w:id="26"/>
  </w:footnote>
  <w:footnote w:id="165">
    <w:p w14:paraId="16FA631E" w14:textId="15B1A789" w:rsidR="00A07959" w:rsidRPr="00D120EF" w:rsidRDefault="00A07959" w:rsidP="00792A1C">
      <w:pPr>
        <w:pStyle w:val="Funotentext"/>
        <w:rPr>
          <w:rFonts w:ascii="Times New Roman" w:hAnsi="Times New Roman" w:cs="Times New Roman"/>
          <w:lang w:val="da-DK"/>
        </w:rPr>
      </w:pPr>
      <w:r w:rsidRPr="00D120EF">
        <w:rPr>
          <w:rStyle w:val="Funotenzeichen"/>
          <w:rFonts w:ascii="Times New Roman" w:hAnsi="Times New Roman" w:cs="Times New Roman"/>
        </w:rPr>
        <w:footnoteRef/>
      </w:r>
      <w:r w:rsidRPr="00D120EF">
        <w:rPr>
          <w:rFonts w:ascii="Times New Roman" w:hAnsi="Times New Roman" w:cs="Times New Roman"/>
          <w:lang w:val="da-DK"/>
        </w:rPr>
        <w:t xml:space="preserve"> </w:t>
      </w:r>
      <w:bookmarkStart w:id="27" w:name="_Hlk8389480"/>
      <w:r w:rsidRPr="00D120EF">
        <w:rPr>
          <w:rFonts w:ascii="Times New Roman" w:hAnsi="Times New Roman" w:cs="Times New Roman"/>
          <w:lang w:val="da-DK"/>
        </w:rPr>
        <w:t>Hackl et al 2003:97-98.</w:t>
      </w:r>
      <w:bookmarkEnd w:id="27"/>
    </w:p>
  </w:footnote>
  <w:footnote w:id="166">
    <w:p w14:paraId="1EB9282D" w14:textId="321BA93F" w:rsidR="00A07959" w:rsidRPr="00D120EF" w:rsidRDefault="00A07959" w:rsidP="00792A1C">
      <w:pPr>
        <w:pStyle w:val="Funotentext"/>
        <w:rPr>
          <w:rFonts w:ascii="Times New Roman" w:hAnsi="Times New Roman" w:cs="Times New Roman"/>
          <w:lang w:val="da-DK"/>
        </w:rPr>
      </w:pPr>
      <w:r w:rsidRPr="00D120EF">
        <w:rPr>
          <w:rStyle w:val="Funotenzeichen"/>
          <w:rFonts w:ascii="Times New Roman" w:hAnsi="Times New Roman" w:cs="Times New Roman"/>
        </w:rPr>
        <w:footnoteRef/>
      </w:r>
      <w:r w:rsidRPr="00D120EF">
        <w:rPr>
          <w:rFonts w:ascii="Times New Roman" w:hAnsi="Times New Roman" w:cs="Times New Roman"/>
          <w:lang w:val="da-DK"/>
        </w:rPr>
        <w:t xml:space="preserve"> Hackl et al 2003:77.</w:t>
      </w:r>
    </w:p>
  </w:footnote>
  <w:footnote w:id="167">
    <w:p w14:paraId="40471B9E" w14:textId="17E33079" w:rsidR="00A07959" w:rsidRPr="00FB289D" w:rsidRDefault="00A07959" w:rsidP="00792A1C">
      <w:pPr>
        <w:pStyle w:val="Funotentext"/>
        <w:rPr>
          <w:rFonts w:ascii="Times New Roman" w:hAnsi="Times New Roman" w:cs="Times New Roman"/>
        </w:rPr>
      </w:pPr>
      <w:r w:rsidRPr="00D120EF">
        <w:rPr>
          <w:rStyle w:val="Funotenzeichen"/>
          <w:rFonts w:ascii="Times New Roman" w:hAnsi="Times New Roman" w:cs="Times New Roman"/>
        </w:rPr>
        <w:footnoteRef/>
      </w:r>
      <w:r w:rsidRPr="00FB289D">
        <w:rPr>
          <w:rFonts w:ascii="Times New Roman" w:hAnsi="Times New Roman" w:cs="Times New Roman"/>
        </w:rPr>
        <w:t xml:space="preserve"> Hackl et al 2003:77.</w:t>
      </w:r>
    </w:p>
  </w:footnote>
  <w:footnote w:id="168">
    <w:p w14:paraId="02FB4B01" w14:textId="77777777" w:rsidR="00A07959" w:rsidRPr="00FB289D" w:rsidRDefault="00A07959" w:rsidP="00792A1C">
      <w:pPr>
        <w:pStyle w:val="Funotentext"/>
        <w:rPr>
          <w:rFonts w:ascii="Times New Roman" w:hAnsi="Times New Roman" w:cs="Times New Roman"/>
        </w:rPr>
      </w:pPr>
      <w:r w:rsidRPr="00D120EF">
        <w:rPr>
          <w:rStyle w:val="Funotenzeichen"/>
          <w:rFonts w:ascii="Times New Roman" w:hAnsi="Times New Roman" w:cs="Times New Roman"/>
        </w:rPr>
        <w:footnoteRef/>
      </w:r>
      <w:r w:rsidRPr="00FB289D">
        <w:rPr>
          <w:rFonts w:ascii="Times New Roman" w:hAnsi="Times New Roman" w:cs="Times New Roman"/>
        </w:rPr>
        <w:t xml:space="preserve"> Alpass 2013:90,234,236.</w:t>
      </w:r>
    </w:p>
  </w:footnote>
  <w:footnote w:id="169">
    <w:p w14:paraId="205B5FF2" w14:textId="77777777" w:rsidR="00A07959" w:rsidRPr="003D001A" w:rsidRDefault="00A07959" w:rsidP="00792A1C">
      <w:pPr>
        <w:pStyle w:val="Funotentext"/>
        <w:rPr>
          <w:rFonts w:ascii="Times New Roman" w:hAnsi="Times New Roman" w:cs="Times New Roman"/>
        </w:rPr>
      </w:pPr>
      <w:r w:rsidRPr="00D120EF">
        <w:rPr>
          <w:rStyle w:val="Funotenzeichen"/>
          <w:rFonts w:ascii="Times New Roman" w:hAnsi="Times New Roman" w:cs="Times New Roman"/>
        </w:rPr>
        <w:footnoteRef/>
      </w:r>
      <w:r w:rsidRPr="00D120EF">
        <w:rPr>
          <w:rFonts w:ascii="Times New Roman" w:hAnsi="Times New Roman" w:cs="Times New Roman"/>
        </w:rPr>
        <w:t xml:space="preserve"> Boys-Stoney, </w:t>
      </w:r>
      <w:proofErr w:type="spellStart"/>
      <w:r w:rsidRPr="00D120EF">
        <w:rPr>
          <w:rFonts w:ascii="Times New Roman" w:hAnsi="Times New Roman" w:cs="Times New Roman"/>
        </w:rPr>
        <w:t>Graziosi</w:t>
      </w:r>
      <w:proofErr w:type="spellEnd"/>
      <w:r w:rsidRPr="00D120EF">
        <w:rPr>
          <w:rFonts w:ascii="Times New Roman" w:hAnsi="Times New Roman" w:cs="Times New Roman"/>
        </w:rPr>
        <w:t xml:space="preserve"> and </w:t>
      </w:r>
      <w:proofErr w:type="spellStart"/>
      <w:r w:rsidRPr="00D120EF">
        <w:rPr>
          <w:rFonts w:ascii="Times New Roman" w:hAnsi="Times New Roman" w:cs="Times New Roman"/>
        </w:rPr>
        <w:t>Vasunia</w:t>
      </w:r>
      <w:proofErr w:type="spellEnd"/>
      <w:r w:rsidRPr="00D120EF">
        <w:rPr>
          <w:rFonts w:ascii="Times New Roman" w:hAnsi="Times New Roman" w:cs="Times New Roman"/>
        </w:rPr>
        <w:t xml:space="preserve"> 2009:88.</w:t>
      </w:r>
    </w:p>
  </w:footnote>
  <w:footnote w:id="170">
    <w:p w14:paraId="6C7C9B5B"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Boys-Stoney, </w:t>
      </w:r>
      <w:proofErr w:type="spellStart"/>
      <w:r w:rsidRPr="003D001A">
        <w:rPr>
          <w:rFonts w:ascii="Times New Roman" w:hAnsi="Times New Roman" w:cs="Times New Roman"/>
        </w:rPr>
        <w:t>Graziosi</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Vasunia</w:t>
      </w:r>
      <w:proofErr w:type="spellEnd"/>
      <w:r w:rsidRPr="003D001A">
        <w:rPr>
          <w:rFonts w:ascii="Times New Roman" w:hAnsi="Times New Roman" w:cs="Times New Roman"/>
        </w:rPr>
        <w:t xml:space="preserve"> 2009:88.</w:t>
      </w:r>
    </w:p>
  </w:footnote>
  <w:footnote w:id="171">
    <w:p w14:paraId="0360E71A"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Boys-Stoney, </w:t>
      </w:r>
      <w:proofErr w:type="spellStart"/>
      <w:r w:rsidRPr="003D001A">
        <w:rPr>
          <w:rFonts w:ascii="Times New Roman" w:hAnsi="Times New Roman" w:cs="Times New Roman"/>
        </w:rPr>
        <w:t>Graziosi</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Vasunia</w:t>
      </w:r>
      <w:proofErr w:type="spellEnd"/>
      <w:r w:rsidRPr="003D001A">
        <w:rPr>
          <w:rFonts w:ascii="Times New Roman" w:hAnsi="Times New Roman" w:cs="Times New Roman"/>
        </w:rPr>
        <w:t xml:space="preserve"> 2009:88.</w:t>
      </w:r>
    </w:p>
  </w:footnote>
  <w:footnote w:id="172">
    <w:p w14:paraId="378E796F"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bookmarkStart w:id="28" w:name="_Hlk8390350"/>
      <w:r w:rsidRPr="003D001A">
        <w:rPr>
          <w:rFonts w:ascii="Times New Roman" w:hAnsi="Times New Roman" w:cs="Times New Roman"/>
        </w:rPr>
        <w:t xml:space="preserve">Boys-Stoney, </w:t>
      </w:r>
      <w:proofErr w:type="spellStart"/>
      <w:r w:rsidRPr="003D001A">
        <w:rPr>
          <w:rFonts w:ascii="Times New Roman" w:hAnsi="Times New Roman" w:cs="Times New Roman"/>
        </w:rPr>
        <w:t>Graziosi</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Vasunia</w:t>
      </w:r>
      <w:proofErr w:type="spellEnd"/>
      <w:r w:rsidRPr="003D001A">
        <w:rPr>
          <w:rFonts w:ascii="Times New Roman" w:hAnsi="Times New Roman" w:cs="Times New Roman"/>
        </w:rPr>
        <w:t xml:space="preserve"> 2009:88.</w:t>
      </w:r>
      <w:bookmarkEnd w:id="28"/>
    </w:p>
  </w:footnote>
  <w:footnote w:id="173">
    <w:p w14:paraId="6FD55882"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2003:85.</w:t>
      </w:r>
    </w:p>
  </w:footnote>
  <w:footnote w:id="174">
    <w:p w14:paraId="66B1747A"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2003:81-85.</w:t>
      </w:r>
    </w:p>
  </w:footnote>
  <w:footnote w:id="175">
    <w:p w14:paraId="40CE52E6"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Alpass 2013:33.</w:t>
      </w:r>
    </w:p>
  </w:footnote>
  <w:footnote w:id="176">
    <w:p w14:paraId="464F0E95"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2003:76.</w:t>
      </w:r>
    </w:p>
  </w:footnote>
  <w:footnote w:id="177">
    <w:p w14:paraId="61EF397A"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Alpass 2013:33.</w:t>
      </w:r>
    </w:p>
  </w:footnote>
  <w:footnote w:id="178">
    <w:p w14:paraId="317CE4DF" w14:textId="77777777" w:rsidR="00A07959" w:rsidRPr="00A07959"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A07959">
        <w:rPr>
          <w:rFonts w:ascii="Times New Roman" w:hAnsi="Times New Roman" w:cs="Times New Roman"/>
          <w:lang w:val="da-DK"/>
        </w:rPr>
        <w:t xml:space="preserve"> Alpass 2013:157.</w:t>
      </w:r>
    </w:p>
  </w:footnote>
  <w:footnote w:id="179">
    <w:p w14:paraId="740DCC81"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2003:76</w:t>
      </w:r>
    </w:p>
  </w:footnote>
  <w:footnote w:id="180">
    <w:p w14:paraId="506B6AB2" w14:textId="2C95791F" w:rsidR="00A07959" w:rsidRPr="00FB289D"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FB289D">
        <w:rPr>
          <w:rFonts w:ascii="Times New Roman" w:hAnsi="Times New Roman" w:cs="Times New Roman"/>
          <w:lang w:val="da-DK"/>
        </w:rPr>
        <w:t xml:space="preserve"> Hackl et al 2003:76, Healey 2001:116 and Fig.</w:t>
      </w:r>
      <w:r w:rsidR="00776B2B" w:rsidRPr="00FB289D">
        <w:rPr>
          <w:rFonts w:ascii="Times New Roman" w:hAnsi="Times New Roman" w:cs="Times New Roman"/>
          <w:lang w:val="da-DK"/>
        </w:rPr>
        <w:t>2 in Appendix 1.</w:t>
      </w:r>
    </w:p>
  </w:footnote>
  <w:footnote w:id="181">
    <w:p w14:paraId="43E915FE"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2003:90.</w:t>
      </w:r>
    </w:p>
  </w:footnote>
  <w:footnote w:id="182">
    <w:p w14:paraId="5FFD7741"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2003:90</w:t>
      </w:r>
    </w:p>
  </w:footnote>
  <w:footnote w:id="183">
    <w:p w14:paraId="19D4EB7B" w14:textId="77777777" w:rsidR="00A07959" w:rsidRPr="005F34B9" w:rsidRDefault="00A07959" w:rsidP="00792A1C">
      <w:pPr>
        <w:pStyle w:val="Funotentext"/>
        <w:rPr>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2003:91</w:t>
      </w:r>
    </w:p>
  </w:footnote>
  <w:footnote w:id="184">
    <w:p w14:paraId="185A929F"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2013:229-230.</w:t>
      </w:r>
    </w:p>
  </w:footnote>
  <w:footnote w:id="185">
    <w:p w14:paraId="65B7956E" w14:textId="650F3A46"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2013:231 and </w:t>
      </w:r>
      <w:proofErr w:type="spellStart"/>
      <w:r w:rsidRPr="00DB1A4E">
        <w:rPr>
          <w:rFonts w:ascii="Times New Roman" w:hAnsi="Times New Roman" w:cs="Times New Roman"/>
        </w:rPr>
        <w:t>Hdt.III</w:t>
      </w:r>
      <w:proofErr w:type="spellEnd"/>
      <w:r w:rsidRPr="00DB1A4E">
        <w:rPr>
          <w:rFonts w:ascii="Times New Roman" w:hAnsi="Times New Roman" w:cs="Times New Roman"/>
        </w:rPr>
        <w:t xml:space="preserve"> </w:t>
      </w:r>
    </w:p>
  </w:footnote>
  <w:footnote w:id="186">
    <w:p w14:paraId="4EEC9B97" w14:textId="77777777" w:rsidR="00A07959" w:rsidRPr="00A07959"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A07959">
        <w:rPr>
          <w:rFonts w:ascii="Times New Roman" w:hAnsi="Times New Roman" w:cs="Times New Roman"/>
        </w:rPr>
        <w:t xml:space="preserve"> Healey 2001:51.</w:t>
      </w:r>
    </w:p>
  </w:footnote>
  <w:footnote w:id="187">
    <w:p w14:paraId="6619C8A5" w14:textId="77777777"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Hackl et al 2003:92</w:t>
      </w:r>
    </w:p>
  </w:footnote>
  <w:footnote w:id="188">
    <w:p w14:paraId="06334526" w14:textId="77777777" w:rsidR="00A07959" w:rsidRPr="00BD2AB4"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w:t>
      </w:r>
      <w:r w:rsidRPr="00BD2AB4">
        <w:rPr>
          <w:rFonts w:ascii="Times New Roman" w:hAnsi="Times New Roman" w:cs="Times New Roman"/>
          <w:lang w:val="da-DK"/>
        </w:rPr>
        <w:t>Murray 1989:221.</w:t>
      </w:r>
    </w:p>
  </w:footnote>
  <w:footnote w:id="189">
    <w:p w14:paraId="2CB6C603" w14:textId="444BE90C" w:rsidR="00153175" w:rsidRPr="00FB289D" w:rsidRDefault="00153175">
      <w:pPr>
        <w:pStyle w:val="Funotentext"/>
        <w:rPr>
          <w:lang w:val="da-DK"/>
        </w:rPr>
      </w:pPr>
      <w:r w:rsidRPr="00BD2AB4">
        <w:rPr>
          <w:rStyle w:val="Funotenzeichen"/>
          <w:rFonts w:ascii="Times New Roman" w:hAnsi="Times New Roman" w:cs="Times New Roman"/>
        </w:rPr>
        <w:footnoteRef/>
      </w:r>
      <w:r w:rsidRPr="00FB289D">
        <w:rPr>
          <w:rFonts w:ascii="Times New Roman" w:hAnsi="Times New Roman" w:cs="Times New Roman"/>
          <w:lang w:val="da-DK"/>
        </w:rPr>
        <w:t xml:space="preserve"> </w:t>
      </w:r>
      <w:r w:rsidR="00BD2AB4" w:rsidRPr="00FB289D">
        <w:rPr>
          <w:rFonts w:ascii="Times New Roman" w:hAnsi="Times New Roman" w:cs="Times New Roman"/>
          <w:lang w:val="da-DK"/>
        </w:rPr>
        <w:t>Alpass 2013:265</w:t>
      </w:r>
    </w:p>
  </w:footnote>
  <w:footnote w:id="190">
    <w:p w14:paraId="61CAD93C" w14:textId="77777777" w:rsidR="00A07959" w:rsidRPr="00FB289D"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FB289D">
        <w:rPr>
          <w:rFonts w:ascii="Times New Roman" w:hAnsi="Times New Roman" w:cs="Times New Roman"/>
        </w:rPr>
        <w:t xml:space="preserve"> Healey 2001:8.</w:t>
      </w:r>
    </w:p>
  </w:footnote>
  <w:footnote w:id="191">
    <w:p w14:paraId="3DFCD001"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2013:22.</w:t>
      </w:r>
    </w:p>
  </w:footnote>
  <w:footnote w:id="192">
    <w:p w14:paraId="26C47DD9"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2013:22.</w:t>
      </w:r>
    </w:p>
  </w:footnote>
  <w:footnote w:id="193">
    <w:p w14:paraId="5B1CAC3F"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Rababeh</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Rabady</w:t>
      </w:r>
      <w:proofErr w:type="spellEnd"/>
      <w:r w:rsidRPr="003D001A">
        <w:rPr>
          <w:rFonts w:ascii="Times New Roman" w:hAnsi="Times New Roman" w:cs="Times New Roman"/>
        </w:rPr>
        <w:t xml:space="preserve"> 2014:27.</w:t>
      </w:r>
    </w:p>
  </w:footnote>
  <w:footnote w:id="194">
    <w:p w14:paraId="7608D27D"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Rababeh</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Rabady</w:t>
      </w:r>
      <w:proofErr w:type="spellEnd"/>
      <w:r w:rsidRPr="003D001A">
        <w:rPr>
          <w:rFonts w:ascii="Times New Roman" w:hAnsi="Times New Roman" w:cs="Times New Roman"/>
        </w:rPr>
        <w:t xml:space="preserve"> 2014:27.</w:t>
      </w:r>
    </w:p>
  </w:footnote>
  <w:footnote w:id="195">
    <w:p w14:paraId="4B7FEAF0" w14:textId="748E5DFE"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w:t>
      </w:r>
      <w:r>
        <w:rPr>
          <w:rFonts w:ascii="Times New Roman" w:hAnsi="Times New Roman" w:cs="Times New Roman"/>
        </w:rPr>
        <w:t>a</w:t>
      </w:r>
      <w:r w:rsidRPr="003D001A">
        <w:rPr>
          <w:rFonts w:ascii="Times New Roman" w:hAnsi="Times New Roman" w:cs="Times New Roman"/>
        </w:rPr>
        <w:t>ckl et al 2003:97.</w:t>
      </w:r>
    </w:p>
  </w:footnote>
  <w:footnote w:id="196">
    <w:p w14:paraId="0564D7D3"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2001:51.</w:t>
      </w:r>
    </w:p>
  </w:footnote>
  <w:footnote w:id="197">
    <w:p w14:paraId="08B87CF1"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2001:51.</w:t>
      </w:r>
    </w:p>
  </w:footnote>
  <w:footnote w:id="198">
    <w:p w14:paraId="289DE160"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2001:51.</w:t>
      </w:r>
    </w:p>
  </w:footnote>
  <w:footnote w:id="199">
    <w:p w14:paraId="4BDBDFB7" w14:textId="77777777" w:rsidR="00A07959" w:rsidRPr="00BF79DD" w:rsidRDefault="00A07959" w:rsidP="00792A1C">
      <w:pPr>
        <w:pStyle w:val="Funotentext"/>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2013:232.</w:t>
      </w:r>
    </w:p>
  </w:footnote>
  <w:footnote w:id="200">
    <w:p w14:paraId="4D224007"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2001:170.</w:t>
      </w:r>
    </w:p>
  </w:footnote>
  <w:footnote w:id="201">
    <w:p w14:paraId="35FF3080"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Rababeh</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Rabady</w:t>
      </w:r>
      <w:proofErr w:type="spellEnd"/>
      <w:r w:rsidRPr="003D001A">
        <w:rPr>
          <w:rFonts w:ascii="Times New Roman" w:hAnsi="Times New Roman" w:cs="Times New Roman"/>
        </w:rPr>
        <w:t xml:space="preserve"> 2014:27.</w:t>
      </w:r>
    </w:p>
  </w:footnote>
  <w:footnote w:id="202">
    <w:p w14:paraId="19F45DD1" w14:textId="2A078003"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Schmid n.d:216 </w:t>
      </w:r>
      <w:r w:rsidRPr="00776B2B">
        <w:rPr>
          <w:rFonts w:ascii="Times New Roman" w:hAnsi="Times New Roman" w:cs="Times New Roman"/>
        </w:rPr>
        <w:t>see Fig.</w:t>
      </w:r>
      <w:r w:rsidR="00776B2B" w:rsidRPr="00776B2B">
        <w:rPr>
          <w:rFonts w:ascii="Times New Roman" w:hAnsi="Times New Roman" w:cs="Times New Roman"/>
        </w:rPr>
        <w:t>3 in Appendix 1.</w:t>
      </w:r>
    </w:p>
  </w:footnote>
  <w:footnote w:id="203">
    <w:p w14:paraId="4EBFE10F"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2001:72.</w:t>
      </w:r>
    </w:p>
  </w:footnote>
  <w:footnote w:id="204">
    <w:p w14:paraId="3229D6E4"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2001:72.</w:t>
      </w:r>
    </w:p>
  </w:footnote>
  <w:footnote w:id="205">
    <w:p w14:paraId="0A25A586"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2013:68.</w:t>
      </w:r>
    </w:p>
  </w:footnote>
  <w:footnote w:id="206">
    <w:p w14:paraId="614BBE19"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2013:67.</w:t>
      </w:r>
    </w:p>
  </w:footnote>
  <w:footnote w:id="207">
    <w:p w14:paraId="31C8BCAB"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w:t>
      </w:r>
      <w:proofErr w:type="spellStart"/>
      <w:r w:rsidRPr="003D001A">
        <w:rPr>
          <w:rFonts w:ascii="Times New Roman" w:hAnsi="Times New Roman" w:cs="Times New Roman"/>
        </w:rPr>
        <w:t>Alpass</w:t>
      </w:r>
      <w:proofErr w:type="spellEnd"/>
      <w:r w:rsidRPr="003D001A">
        <w:rPr>
          <w:rFonts w:ascii="Times New Roman" w:hAnsi="Times New Roman" w:cs="Times New Roman"/>
        </w:rPr>
        <w:t xml:space="preserve"> 2013:68.</w:t>
      </w:r>
    </w:p>
  </w:footnote>
  <w:footnote w:id="208">
    <w:p w14:paraId="7CFAC20F"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2001:73.</w:t>
      </w:r>
    </w:p>
  </w:footnote>
  <w:footnote w:id="209">
    <w:p w14:paraId="3AF3C6C4" w14:textId="77777777"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Healey 2001:72-73.</w:t>
      </w:r>
    </w:p>
  </w:footnote>
  <w:footnote w:id="210">
    <w:p w14:paraId="351D16DC" w14:textId="0FB68CE3" w:rsidR="00A07959" w:rsidRPr="003D001A"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3D001A">
        <w:rPr>
          <w:rFonts w:ascii="Times New Roman" w:hAnsi="Times New Roman" w:cs="Times New Roman"/>
        </w:rPr>
        <w:t xml:space="preserve"> Ball 2000:300-302 in Healey 2001:72-73.</w:t>
      </w:r>
    </w:p>
  </w:footnote>
  <w:footnote w:id="211">
    <w:p w14:paraId="3802BE9A" w14:textId="5469E157" w:rsidR="00A07959" w:rsidRPr="00A07959"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A07959">
        <w:rPr>
          <w:rFonts w:ascii="Times New Roman" w:hAnsi="Times New Roman" w:cs="Times New Roman"/>
          <w:lang w:val="da-DK"/>
        </w:rPr>
        <w:t xml:space="preserve"> Healey 2001:18.</w:t>
      </w:r>
    </w:p>
  </w:footnote>
  <w:footnote w:id="212">
    <w:p w14:paraId="0FECEB05" w14:textId="0F2ED518" w:rsidR="00A07959" w:rsidRPr="00D120EF"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D120EF">
        <w:rPr>
          <w:rFonts w:ascii="Times New Roman" w:hAnsi="Times New Roman" w:cs="Times New Roman"/>
          <w:lang w:val="da-DK"/>
        </w:rPr>
        <w:t xml:space="preserve"> Hackl et al 2003:97.</w:t>
      </w:r>
    </w:p>
  </w:footnote>
  <w:footnote w:id="213">
    <w:p w14:paraId="0F00E3FB" w14:textId="43E11943"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w:t>
      </w:r>
      <w:r>
        <w:rPr>
          <w:rFonts w:ascii="Times New Roman" w:hAnsi="Times New Roman" w:cs="Times New Roman"/>
          <w:lang w:val="da-DK"/>
        </w:rPr>
        <w:t>a</w:t>
      </w:r>
      <w:r w:rsidRPr="003D001A">
        <w:rPr>
          <w:rFonts w:ascii="Times New Roman" w:hAnsi="Times New Roman" w:cs="Times New Roman"/>
          <w:lang w:val="da-DK"/>
        </w:rPr>
        <w:t>ckl et al 2003:97-98.</w:t>
      </w:r>
    </w:p>
  </w:footnote>
  <w:footnote w:id="214">
    <w:p w14:paraId="3036BA66" w14:textId="784EE3D2" w:rsidR="00A07959" w:rsidRPr="003D001A" w:rsidRDefault="00A07959" w:rsidP="00792A1C">
      <w:pPr>
        <w:pStyle w:val="Funotentext"/>
        <w:rPr>
          <w:rFonts w:ascii="Times New Roman" w:hAnsi="Times New Roman" w:cs="Times New Roman"/>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w:t>
      </w:r>
      <w:r>
        <w:rPr>
          <w:rFonts w:ascii="Times New Roman" w:hAnsi="Times New Roman" w:cs="Times New Roman"/>
          <w:lang w:val="da-DK"/>
        </w:rPr>
        <w:t>a</w:t>
      </w:r>
      <w:r w:rsidRPr="003D001A">
        <w:rPr>
          <w:rFonts w:ascii="Times New Roman" w:hAnsi="Times New Roman" w:cs="Times New Roman"/>
          <w:lang w:val="da-DK"/>
        </w:rPr>
        <w:t>ckl et al 2003:97.</w:t>
      </w:r>
    </w:p>
  </w:footnote>
  <w:footnote w:id="215">
    <w:p w14:paraId="3E99A6F5" w14:textId="264AD32D" w:rsidR="00A07959" w:rsidRPr="00BF79DD" w:rsidRDefault="00A07959" w:rsidP="00792A1C">
      <w:pPr>
        <w:pStyle w:val="Funotentext"/>
        <w:rPr>
          <w:lang w:val="da-DK"/>
        </w:rPr>
      </w:pPr>
      <w:r w:rsidRPr="003D001A">
        <w:rPr>
          <w:rStyle w:val="Funotenzeichen"/>
          <w:rFonts w:ascii="Times New Roman" w:hAnsi="Times New Roman" w:cs="Times New Roman"/>
        </w:rPr>
        <w:footnoteRef/>
      </w:r>
      <w:r w:rsidRPr="003D001A">
        <w:rPr>
          <w:rFonts w:ascii="Times New Roman" w:hAnsi="Times New Roman" w:cs="Times New Roman"/>
          <w:lang w:val="da-DK"/>
        </w:rPr>
        <w:t xml:space="preserve"> H</w:t>
      </w:r>
      <w:r>
        <w:rPr>
          <w:rFonts w:ascii="Times New Roman" w:hAnsi="Times New Roman" w:cs="Times New Roman"/>
          <w:lang w:val="da-DK"/>
        </w:rPr>
        <w:t>a</w:t>
      </w:r>
      <w:r w:rsidRPr="003D001A">
        <w:rPr>
          <w:rFonts w:ascii="Times New Roman" w:hAnsi="Times New Roman" w:cs="Times New Roman"/>
          <w:lang w:val="da-DK"/>
        </w:rPr>
        <w:t>ckl et al 2003:97.</w:t>
      </w:r>
    </w:p>
  </w:footnote>
  <w:footnote w:id="216">
    <w:p w14:paraId="27A6DEEB" w14:textId="152F0747" w:rsidR="00A07959" w:rsidRPr="00FB289D" w:rsidRDefault="00A07959" w:rsidP="00792A1C">
      <w:pPr>
        <w:pStyle w:val="Funotentext"/>
        <w:rPr>
          <w:rFonts w:ascii="Times New Roman" w:hAnsi="Times New Roman" w:cs="Times New Roman"/>
        </w:rPr>
      </w:pPr>
      <w:r w:rsidRPr="003D001A">
        <w:rPr>
          <w:rStyle w:val="Funotenzeichen"/>
          <w:rFonts w:ascii="Times New Roman" w:hAnsi="Times New Roman" w:cs="Times New Roman"/>
        </w:rPr>
        <w:footnoteRef/>
      </w:r>
      <w:r w:rsidRPr="00FB289D">
        <w:rPr>
          <w:rFonts w:ascii="Times New Roman" w:hAnsi="Times New Roman" w:cs="Times New Roman"/>
        </w:rPr>
        <w:t xml:space="preserve"> Hackl et al 2003:97.</w:t>
      </w:r>
    </w:p>
  </w:footnote>
  <w:footnote w:id="217">
    <w:p w14:paraId="47C2B603" w14:textId="77777777" w:rsidR="00A07959" w:rsidRPr="00DE5FE3" w:rsidRDefault="00A07959" w:rsidP="00792A1C">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2001:170 and </w:t>
      </w:r>
      <w:proofErr w:type="spellStart"/>
      <w:r w:rsidRPr="00DE5FE3">
        <w:rPr>
          <w:rFonts w:ascii="Times New Roman" w:hAnsi="Times New Roman" w:cs="Times New Roman"/>
        </w:rPr>
        <w:t>Alpass</w:t>
      </w:r>
      <w:proofErr w:type="spellEnd"/>
      <w:r w:rsidRPr="00DE5FE3">
        <w:rPr>
          <w:rFonts w:ascii="Times New Roman" w:hAnsi="Times New Roman" w:cs="Times New Roman"/>
        </w:rPr>
        <w:t xml:space="preserve"> 2013:69.</w:t>
      </w:r>
    </w:p>
  </w:footnote>
  <w:footnote w:id="218">
    <w:p w14:paraId="13CD665C" w14:textId="77777777" w:rsidR="00A07959" w:rsidRPr="00DE5FE3" w:rsidRDefault="00A07959" w:rsidP="00792A1C">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1993:247-248.</w:t>
      </w:r>
    </w:p>
  </w:footnote>
  <w:footnote w:id="219">
    <w:p w14:paraId="49DCA605" w14:textId="3AD156FD" w:rsidR="00A07959" w:rsidRPr="00DE5FE3" w:rsidRDefault="00A07959" w:rsidP="00792A1C">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2001:11.</w:t>
      </w:r>
    </w:p>
  </w:footnote>
  <w:footnote w:id="220">
    <w:p w14:paraId="30D9FC69" w14:textId="77777777" w:rsidR="00A07959" w:rsidRPr="00BF79DD" w:rsidRDefault="00A07959" w:rsidP="00792A1C">
      <w:pPr>
        <w:pStyle w:val="Funotentext"/>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 :15.</w:t>
      </w:r>
    </w:p>
  </w:footnote>
  <w:footnote w:id="221">
    <w:p w14:paraId="0A38A9E8"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Francis et al 2010:164.</w:t>
      </w:r>
    </w:p>
  </w:footnote>
  <w:footnote w:id="222">
    <w:p w14:paraId="3ADAE30D"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Tomb of Midas, Livius.org 2019.</w:t>
      </w:r>
    </w:p>
  </w:footnote>
  <w:footnote w:id="223">
    <w:p w14:paraId="7A454548" w14:textId="6C59D5DC"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Midas City, megalithic portal 2019</w:t>
      </w:r>
      <w:r w:rsidR="00BD2AB4">
        <w:rPr>
          <w:rFonts w:ascii="Times New Roman" w:hAnsi="Times New Roman" w:cs="Times New Roman"/>
        </w:rPr>
        <w:t>.</w:t>
      </w:r>
    </w:p>
  </w:footnote>
  <w:footnote w:id="224">
    <w:p w14:paraId="4E7FDA02"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Francis et al 2010 :164.</w:t>
      </w:r>
    </w:p>
  </w:footnote>
  <w:footnote w:id="225">
    <w:p w14:paraId="19DB6C80"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Midas City, megalithic portal 2019.</w:t>
      </w:r>
    </w:p>
  </w:footnote>
  <w:footnote w:id="226">
    <w:p w14:paraId="11DE21F3"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Francis et al 2010:164.</w:t>
      </w:r>
    </w:p>
  </w:footnote>
  <w:footnote w:id="227">
    <w:p w14:paraId="11C92AA4"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bookmarkStart w:id="29" w:name="_Hlk8389607"/>
      <w:r w:rsidRPr="00DE5FE3">
        <w:rPr>
          <w:rFonts w:ascii="Times New Roman" w:hAnsi="Times New Roman" w:cs="Times New Roman"/>
        </w:rPr>
        <w:t>Tomb of Darius the Great, livius.org 2019.</w:t>
      </w:r>
    </w:p>
    <w:bookmarkEnd w:id="29"/>
  </w:footnote>
  <w:footnote w:id="228">
    <w:p w14:paraId="6D75945E" w14:textId="77777777" w:rsidR="00A07959" w:rsidRPr="00FB289D" w:rsidRDefault="00A07959" w:rsidP="003826E0">
      <w:pPr>
        <w:pStyle w:val="Funotentext"/>
        <w:rPr>
          <w:rFonts w:ascii="Times New Roman" w:hAnsi="Times New Roman" w:cs="Times New Roman"/>
          <w:lang w:val="da-DK"/>
        </w:rPr>
      </w:pPr>
      <w:r w:rsidRPr="00DE5FE3">
        <w:rPr>
          <w:rStyle w:val="Funotenzeichen"/>
          <w:rFonts w:ascii="Times New Roman" w:hAnsi="Times New Roman" w:cs="Times New Roman"/>
        </w:rPr>
        <w:footnoteRef/>
      </w:r>
      <w:r w:rsidRPr="00FB289D">
        <w:rPr>
          <w:rFonts w:ascii="Times New Roman" w:hAnsi="Times New Roman" w:cs="Times New Roman"/>
          <w:lang w:val="da-DK"/>
        </w:rPr>
        <w:t xml:space="preserve"> Francis et al 2010:164.</w:t>
      </w:r>
    </w:p>
  </w:footnote>
  <w:footnote w:id="229">
    <w:p w14:paraId="52C9BC3B" w14:textId="6CF73D13" w:rsidR="00A07959" w:rsidRPr="00FB289D" w:rsidRDefault="00A07959" w:rsidP="003826E0">
      <w:pPr>
        <w:pStyle w:val="Funotentext"/>
        <w:rPr>
          <w:rFonts w:ascii="Times New Roman" w:hAnsi="Times New Roman" w:cs="Times New Roman"/>
          <w:lang w:val="da-DK"/>
        </w:rPr>
      </w:pPr>
      <w:r w:rsidRPr="00DE5FE3">
        <w:rPr>
          <w:rStyle w:val="Funotenzeichen"/>
          <w:rFonts w:ascii="Times New Roman" w:hAnsi="Times New Roman" w:cs="Times New Roman"/>
        </w:rPr>
        <w:footnoteRef/>
      </w:r>
      <w:r w:rsidRPr="00FB289D">
        <w:rPr>
          <w:rFonts w:ascii="Times New Roman" w:hAnsi="Times New Roman" w:cs="Times New Roman"/>
          <w:lang w:val="da-DK"/>
        </w:rPr>
        <w:t xml:space="preserve"> Anderson 2002:173</w:t>
      </w:r>
      <w:r w:rsidR="00BD2AB4" w:rsidRPr="00FB289D">
        <w:rPr>
          <w:rFonts w:ascii="Times New Roman" w:hAnsi="Times New Roman" w:cs="Times New Roman"/>
          <w:lang w:val="da-DK"/>
        </w:rPr>
        <w:t>.</w:t>
      </w:r>
    </w:p>
  </w:footnote>
  <w:footnote w:id="230">
    <w:p w14:paraId="2046F46F" w14:textId="43A4D941" w:rsidR="00A07959" w:rsidRPr="00FB289D" w:rsidRDefault="00A07959" w:rsidP="003826E0">
      <w:pPr>
        <w:pStyle w:val="Funotentext"/>
        <w:rPr>
          <w:rFonts w:ascii="Times New Roman" w:hAnsi="Times New Roman" w:cs="Times New Roman"/>
          <w:lang w:val="da-DK"/>
        </w:rPr>
      </w:pPr>
      <w:r w:rsidRPr="00DE5FE3">
        <w:rPr>
          <w:rStyle w:val="Funotenzeichen"/>
          <w:rFonts w:ascii="Times New Roman" w:hAnsi="Times New Roman" w:cs="Times New Roman"/>
        </w:rPr>
        <w:footnoteRef/>
      </w:r>
      <w:r w:rsidRPr="00FB289D">
        <w:rPr>
          <w:rFonts w:ascii="Times New Roman" w:hAnsi="Times New Roman" w:cs="Times New Roman"/>
          <w:lang w:val="da-DK"/>
        </w:rPr>
        <w:t xml:space="preserve"> Anderson 2002:169.</w:t>
      </w:r>
    </w:p>
  </w:footnote>
  <w:footnote w:id="231">
    <w:p w14:paraId="5D1C075C" w14:textId="77777777" w:rsidR="00A07959" w:rsidRPr="00A07959"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A07959">
        <w:rPr>
          <w:rFonts w:ascii="Times New Roman" w:hAnsi="Times New Roman" w:cs="Times New Roman"/>
        </w:rPr>
        <w:t xml:space="preserve"> Francis et al 2010:164.</w:t>
      </w:r>
    </w:p>
  </w:footnote>
  <w:footnote w:id="232">
    <w:p w14:paraId="175347BD"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bookmarkStart w:id="30" w:name="_Hlk8389575"/>
      <w:bookmarkStart w:id="31" w:name="_Hlk8390476"/>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2014:26.</w:t>
      </w:r>
      <w:bookmarkEnd w:id="30"/>
    </w:p>
    <w:bookmarkEnd w:id="31"/>
  </w:footnote>
  <w:footnote w:id="233">
    <w:p w14:paraId="70F3E60A"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2014:26.</w:t>
      </w:r>
    </w:p>
  </w:footnote>
  <w:footnote w:id="234">
    <w:p w14:paraId="57CCF94E"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2014:26.</w:t>
      </w:r>
    </w:p>
  </w:footnote>
  <w:footnote w:id="235">
    <w:p w14:paraId="6D84FFEC" w14:textId="77777777" w:rsidR="00A07959" w:rsidRPr="007D68FF" w:rsidRDefault="00A07959" w:rsidP="003826E0">
      <w:pPr>
        <w:pStyle w:val="Funotentext"/>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2001:50.</w:t>
      </w:r>
    </w:p>
  </w:footnote>
  <w:footnote w:id="236">
    <w:p w14:paraId="225AF1BA"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2001:50.</w:t>
      </w:r>
    </w:p>
  </w:footnote>
  <w:footnote w:id="237">
    <w:p w14:paraId="70338181"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bookmarkStart w:id="32" w:name="_Hlk8275895"/>
      <w:r w:rsidRPr="00DE5FE3">
        <w:rPr>
          <w:rFonts w:ascii="Times New Roman" w:hAnsi="Times New Roman" w:cs="Times New Roman"/>
        </w:rPr>
        <w:t>Healey 2001:53-54.</w:t>
      </w:r>
      <w:bookmarkEnd w:id="32"/>
    </w:p>
  </w:footnote>
  <w:footnote w:id="238">
    <w:p w14:paraId="02FC2721"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Ibrahim 2018:7.</w:t>
      </w:r>
    </w:p>
  </w:footnote>
  <w:footnote w:id="239">
    <w:p w14:paraId="1E75DACE"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2001:53-54.</w:t>
      </w:r>
    </w:p>
  </w:footnote>
  <w:footnote w:id="240">
    <w:p w14:paraId="2A57E50F"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2001:51.</w:t>
      </w:r>
    </w:p>
  </w:footnote>
  <w:footnote w:id="241">
    <w:p w14:paraId="08FB413A"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2001:53.</w:t>
      </w:r>
    </w:p>
  </w:footnote>
  <w:footnote w:id="242">
    <w:p w14:paraId="2A01FA34"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2014:26.</w:t>
      </w:r>
    </w:p>
  </w:footnote>
  <w:footnote w:id="243">
    <w:p w14:paraId="28E87635" w14:textId="77777777" w:rsidR="00A07959" w:rsidRPr="00DE5FE3" w:rsidRDefault="00A07959" w:rsidP="003826E0">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w:t>
      </w:r>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2014:27.</w:t>
      </w:r>
    </w:p>
  </w:footnote>
  <w:footnote w:id="244">
    <w:p w14:paraId="790B9682" w14:textId="17CB0895" w:rsidR="00A07959" w:rsidRPr="003D3326" w:rsidRDefault="00A07959" w:rsidP="003826E0">
      <w:pPr>
        <w:pStyle w:val="Funotentext"/>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2001:50 and see </w:t>
      </w:r>
      <w:r w:rsidRPr="00A62BF1">
        <w:rPr>
          <w:rFonts w:ascii="Times New Roman" w:hAnsi="Times New Roman" w:cs="Times New Roman"/>
        </w:rPr>
        <w:t>Fig.</w:t>
      </w:r>
      <w:r w:rsidR="00A62BF1" w:rsidRPr="00A62BF1">
        <w:rPr>
          <w:rFonts w:ascii="Times New Roman" w:hAnsi="Times New Roman" w:cs="Times New Roman"/>
        </w:rPr>
        <w:t>4 in Appendix 1.</w:t>
      </w:r>
    </w:p>
  </w:footnote>
  <w:footnote w:id="245">
    <w:p w14:paraId="79A7F5C3" w14:textId="43588150" w:rsidR="00A07959" w:rsidRPr="00FD5883" w:rsidRDefault="00A07959">
      <w:pPr>
        <w:pStyle w:val="Funotentext"/>
      </w:pPr>
      <w:r>
        <w:rPr>
          <w:rStyle w:val="Funotenzeichen"/>
        </w:rPr>
        <w:footnoteRef/>
      </w:r>
      <w:r>
        <w:t xml:space="preserve"> </w:t>
      </w:r>
      <w:r w:rsidRPr="00DE5FE3">
        <w:rPr>
          <w:rFonts w:ascii="Times New Roman" w:hAnsi="Times New Roman" w:cs="Times New Roman"/>
        </w:rPr>
        <w:t>Tomb of Darius the Great, livius.org 2019.</w:t>
      </w:r>
    </w:p>
  </w:footnote>
  <w:footnote w:id="246">
    <w:p w14:paraId="46067D6A" w14:textId="77777777" w:rsidR="00A07959" w:rsidRPr="00DE5FE3" w:rsidRDefault="00A07959" w:rsidP="00A308F8">
      <w:pPr>
        <w:pStyle w:val="Funotentext"/>
        <w:rPr>
          <w:rFonts w:ascii="Times New Roman" w:hAnsi="Times New Roman" w:cs="Times New Roman"/>
        </w:rPr>
      </w:pPr>
      <w:r w:rsidRPr="00DE5FE3">
        <w:rPr>
          <w:rStyle w:val="Funotenzeichen"/>
          <w:rFonts w:ascii="Times New Roman" w:hAnsi="Times New Roman" w:cs="Times New Roman"/>
        </w:rPr>
        <w:footnoteRef/>
      </w:r>
      <w:r w:rsidRPr="00DE5FE3">
        <w:rPr>
          <w:rFonts w:ascii="Times New Roman" w:hAnsi="Times New Roman" w:cs="Times New Roman"/>
        </w:rPr>
        <w:t xml:space="preserve"> Healey 2001:53-54.</w:t>
      </w:r>
    </w:p>
  </w:footnote>
  <w:footnote w:id="247">
    <w:p w14:paraId="4C5BCACE" w14:textId="5E830146" w:rsidR="00A07959" w:rsidRPr="00957EBC" w:rsidRDefault="00A07959" w:rsidP="0022006F">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Rababeh</w:t>
      </w:r>
      <w:proofErr w:type="spellEnd"/>
      <w:r w:rsidRPr="00957EBC">
        <w:rPr>
          <w:rFonts w:ascii="Times New Roman" w:hAnsi="Times New Roman" w:cs="Times New Roman"/>
        </w:rPr>
        <w:t xml:space="preserve"> and </w:t>
      </w:r>
      <w:proofErr w:type="spellStart"/>
      <w:r w:rsidRPr="00957EBC">
        <w:rPr>
          <w:rFonts w:ascii="Times New Roman" w:hAnsi="Times New Roman" w:cs="Times New Roman"/>
        </w:rPr>
        <w:t>Rabady</w:t>
      </w:r>
      <w:proofErr w:type="spellEnd"/>
      <w:r w:rsidRPr="00957EBC">
        <w:rPr>
          <w:rFonts w:ascii="Times New Roman" w:hAnsi="Times New Roman" w:cs="Times New Roman"/>
        </w:rPr>
        <w:t xml:space="preserve"> 2014:28</w:t>
      </w:r>
      <w:r w:rsidR="00A62BF1">
        <w:rPr>
          <w:rFonts w:ascii="Times New Roman" w:hAnsi="Times New Roman" w:cs="Times New Roman"/>
        </w:rPr>
        <w:t>.</w:t>
      </w:r>
    </w:p>
  </w:footnote>
  <w:footnote w:id="248">
    <w:p w14:paraId="78802AC8" w14:textId="77777777" w:rsidR="00A07959" w:rsidRPr="00957EBC" w:rsidRDefault="00A07959" w:rsidP="0022006F">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Rababeh</w:t>
      </w:r>
      <w:proofErr w:type="spellEnd"/>
      <w:r w:rsidRPr="00957EBC">
        <w:rPr>
          <w:rFonts w:ascii="Times New Roman" w:hAnsi="Times New Roman" w:cs="Times New Roman"/>
        </w:rPr>
        <w:t xml:space="preserve"> and </w:t>
      </w:r>
      <w:proofErr w:type="spellStart"/>
      <w:r w:rsidRPr="00957EBC">
        <w:rPr>
          <w:rFonts w:ascii="Times New Roman" w:hAnsi="Times New Roman" w:cs="Times New Roman"/>
        </w:rPr>
        <w:t>Rabady</w:t>
      </w:r>
      <w:proofErr w:type="spellEnd"/>
      <w:r w:rsidRPr="00957EBC">
        <w:rPr>
          <w:rFonts w:ascii="Times New Roman" w:hAnsi="Times New Roman" w:cs="Times New Roman"/>
        </w:rPr>
        <w:t xml:space="preserve"> 2014:28.</w:t>
      </w:r>
    </w:p>
  </w:footnote>
  <w:footnote w:id="249">
    <w:p w14:paraId="67F634B6" w14:textId="77777777" w:rsidR="00A07959" w:rsidRPr="00957EBC" w:rsidRDefault="00A07959" w:rsidP="0022006F">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Rababeh</w:t>
      </w:r>
      <w:proofErr w:type="spellEnd"/>
      <w:r w:rsidRPr="00957EBC">
        <w:rPr>
          <w:rFonts w:ascii="Times New Roman" w:hAnsi="Times New Roman" w:cs="Times New Roman"/>
        </w:rPr>
        <w:t xml:space="preserve"> and </w:t>
      </w:r>
      <w:proofErr w:type="spellStart"/>
      <w:r w:rsidRPr="00957EBC">
        <w:rPr>
          <w:rFonts w:ascii="Times New Roman" w:hAnsi="Times New Roman" w:cs="Times New Roman"/>
        </w:rPr>
        <w:t>Rabady</w:t>
      </w:r>
      <w:proofErr w:type="spellEnd"/>
      <w:r w:rsidRPr="00957EBC">
        <w:rPr>
          <w:rFonts w:ascii="Times New Roman" w:hAnsi="Times New Roman" w:cs="Times New Roman"/>
        </w:rPr>
        <w:t xml:space="preserve"> 2014:28.</w:t>
      </w:r>
    </w:p>
  </w:footnote>
  <w:footnote w:id="250">
    <w:p w14:paraId="23362472" w14:textId="77777777" w:rsidR="00A07959" w:rsidRPr="00957EBC" w:rsidRDefault="00A07959" w:rsidP="0022006F">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Healey 2001:53.</w:t>
      </w:r>
    </w:p>
  </w:footnote>
  <w:footnote w:id="251">
    <w:p w14:paraId="5F503440" w14:textId="77777777" w:rsidR="00A07959" w:rsidRPr="00957EBC" w:rsidRDefault="00A07959" w:rsidP="0022006F">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bookmarkStart w:id="33" w:name="_Hlk7278138"/>
      <w:r w:rsidRPr="00957EBC">
        <w:rPr>
          <w:rFonts w:ascii="Times New Roman" w:hAnsi="Times New Roman" w:cs="Times New Roman"/>
        </w:rPr>
        <w:t>Petra: lost city of stone 2015</w:t>
      </w:r>
      <w:bookmarkEnd w:id="33"/>
      <w:r w:rsidRPr="00957EBC">
        <w:rPr>
          <w:rFonts w:ascii="Times New Roman" w:hAnsi="Times New Roman" w:cs="Times New Roman"/>
        </w:rPr>
        <w:t>: 12:22-15.56, 21:09-23:02, 23:25-36:00, 45:00-45:25 and 47:52-49:34.</w:t>
      </w:r>
    </w:p>
  </w:footnote>
  <w:footnote w:id="252">
    <w:p w14:paraId="22C3FDB7" w14:textId="77777777" w:rsidR="00A07959" w:rsidRPr="00957EBC" w:rsidRDefault="00A07959" w:rsidP="0022006F">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Rababeh</w:t>
      </w:r>
      <w:proofErr w:type="spellEnd"/>
      <w:r w:rsidRPr="00957EBC">
        <w:rPr>
          <w:rFonts w:ascii="Times New Roman" w:hAnsi="Times New Roman" w:cs="Times New Roman"/>
        </w:rPr>
        <w:t xml:space="preserve"> and </w:t>
      </w:r>
      <w:proofErr w:type="spellStart"/>
      <w:r w:rsidRPr="00957EBC">
        <w:rPr>
          <w:rFonts w:ascii="Times New Roman" w:hAnsi="Times New Roman" w:cs="Times New Roman"/>
        </w:rPr>
        <w:t>Rababy</w:t>
      </w:r>
      <w:proofErr w:type="spellEnd"/>
      <w:r w:rsidRPr="00957EBC">
        <w:rPr>
          <w:rFonts w:ascii="Times New Roman" w:hAnsi="Times New Roman" w:cs="Times New Roman"/>
        </w:rPr>
        <w:t xml:space="preserve"> 2014:22.</w:t>
      </w:r>
    </w:p>
  </w:footnote>
  <w:footnote w:id="253">
    <w:p w14:paraId="53E915B1" w14:textId="77777777" w:rsidR="00A07959" w:rsidRPr="00BF79DD" w:rsidRDefault="00A07959" w:rsidP="0022006F">
      <w:pPr>
        <w:pStyle w:val="Funotentext"/>
      </w:pPr>
      <w:r w:rsidRPr="00957EBC">
        <w:rPr>
          <w:rStyle w:val="Funotenzeichen"/>
          <w:rFonts w:ascii="Times New Roman" w:hAnsi="Times New Roman" w:cs="Times New Roman"/>
        </w:rPr>
        <w:footnoteRef/>
      </w:r>
      <w:r w:rsidRPr="00957EBC">
        <w:rPr>
          <w:rFonts w:ascii="Times New Roman" w:hAnsi="Times New Roman" w:cs="Times New Roman"/>
        </w:rPr>
        <w:t xml:space="preserve"> Healey 2001:53.</w:t>
      </w:r>
    </w:p>
  </w:footnote>
  <w:footnote w:id="254">
    <w:p w14:paraId="2D74A660" w14:textId="30956EB3"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bookmarkStart w:id="34" w:name="_Hlk8387967"/>
      <w:proofErr w:type="spellStart"/>
      <w:r w:rsidRPr="00FD0BDC">
        <w:rPr>
          <w:rFonts w:ascii="Times New Roman" w:hAnsi="Times New Roman" w:cs="Times New Roman"/>
        </w:rPr>
        <w:t>Wadeson</w:t>
      </w:r>
      <w:proofErr w:type="spellEnd"/>
      <w:r w:rsidRPr="00FD0BDC">
        <w:rPr>
          <w:rFonts w:ascii="Times New Roman" w:hAnsi="Times New Roman" w:cs="Times New Roman"/>
        </w:rPr>
        <w:t xml:space="preserve"> 2010: 508. </w:t>
      </w:r>
      <w:bookmarkEnd w:id="34"/>
      <w:r w:rsidRPr="00FD0BDC">
        <w:rPr>
          <w:rFonts w:ascii="Times New Roman" w:hAnsi="Times New Roman" w:cs="Times New Roman"/>
        </w:rPr>
        <w:t>See Fig.</w:t>
      </w:r>
      <w:r w:rsidR="00A62BF1">
        <w:rPr>
          <w:rFonts w:ascii="Times New Roman" w:hAnsi="Times New Roman" w:cs="Times New Roman"/>
        </w:rPr>
        <w:t>5</w:t>
      </w:r>
      <w:r w:rsidRPr="00FD0BDC">
        <w:rPr>
          <w:rFonts w:ascii="Times New Roman" w:hAnsi="Times New Roman" w:cs="Times New Roman"/>
        </w:rPr>
        <w:t xml:space="preserve"> in Appendix </w:t>
      </w:r>
      <w:r w:rsidR="00A62BF1">
        <w:rPr>
          <w:rFonts w:ascii="Times New Roman" w:hAnsi="Times New Roman" w:cs="Times New Roman"/>
        </w:rPr>
        <w:t>1</w:t>
      </w:r>
      <w:r w:rsidRPr="00FD0BDC">
        <w:rPr>
          <w:rFonts w:ascii="Times New Roman" w:hAnsi="Times New Roman" w:cs="Times New Roman"/>
        </w:rPr>
        <w:t>.</w:t>
      </w:r>
    </w:p>
  </w:footnote>
  <w:footnote w:id="255">
    <w:p w14:paraId="6F1F7249"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56">
    <w:p w14:paraId="697F25C0" w14:textId="77777777" w:rsidR="00A07959" w:rsidRPr="00FD0BDC" w:rsidRDefault="00A07959" w:rsidP="00FD0BDC">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bookmarkStart w:id="35" w:name="_Hlk8390066"/>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2014:25.</w:t>
      </w:r>
      <w:bookmarkEnd w:id="35"/>
    </w:p>
  </w:footnote>
  <w:footnote w:id="257">
    <w:p w14:paraId="24704A51"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2014:22.</w:t>
      </w:r>
    </w:p>
  </w:footnote>
  <w:footnote w:id="258">
    <w:p w14:paraId="02DFB935"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59">
    <w:p w14:paraId="5BD0C712"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60">
    <w:p w14:paraId="7371ECCF"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Hammond 1973:76.</w:t>
      </w:r>
    </w:p>
  </w:footnote>
  <w:footnote w:id="261">
    <w:p w14:paraId="7496A7EC"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Hammond 1973:76 and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62">
    <w:p w14:paraId="3705F6BB" w14:textId="6E05CDF6" w:rsidR="00A07959" w:rsidRPr="00A07959" w:rsidRDefault="00A07959">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r w:rsidRPr="00A07959">
        <w:rPr>
          <w:rFonts w:ascii="Times New Roman" w:hAnsi="Times New Roman" w:cs="Times New Roman"/>
        </w:rPr>
        <w:t>Lindner 1970:64.</w:t>
      </w:r>
    </w:p>
  </w:footnote>
  <w:footnote w:id="263">
    <w:p w14:paraId="52B50A22"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64">
    <w:p w14:paraId="0652AEDE"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Hammond 1973:76.</w:t>
      </w:r>
    </w:p>
  </w:footnote>
  <w:footnote w:id="265">
    <w:p w14:paraId="2D0B3F6F" w14:textId="77777777" w:rsidR="00A07959" w:rsidRPr="00FD0BDC" w:rsidRDefault="00A07959" w:rsidP="00B93BF4">
      <w:pPr>
        <w:pStyle w:val="Funotentext"/>
        <w:rPr>
          <w:rFonts w:ascii="Times New Roman" w:hAnsi="Times New Roman" w:cs="Times New Roman"/>
        </w:rPr>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66">
    <w:p w14:paraId="78E54F5F" w14:textId="5AE50359" w:rsidR="00A07959" w:rsidRPr="00FD0BDC" w:rsidRDefault="00A07959">
      <w:pPr>
        <w:pStyle w:val="Funotentext"/>
      </w:pPr>
      <w:r w:rsidRPr="00FD0BDC">
        <w:rPr>
          <w:rStyle w:val="Funotenzeichen"/>
          <w:rFonts w:ascii="Times New Roman" w:hAnsi="Times New Roman" w:cs="Times New Roman"/>
        </w:rPr>
        <w:footnoteRef/>
      </w:r>
      <w:r w:rsidRPr="00FD0BDC">
        <w:rPr>
          <w:rFonts w:ascii="Times New Roman" w:hAnsi="Times New Roman" w:cs="Times New Roman"/>
        </w:rP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2014:23.</w:t>
      </w:r>
    </w:p>
  </w:footnote>
  <w:footnote w:id="267">
    <w:p w14:paraId="149B95CF" w14:textId="77777777" w:rsidR="00A07959" w:rsidRPr="00482548" w:rsidRDefault="00A07959" w:rsidP="00B93BF4">
      <w:pPr>
        <w:pStyle w:val="Funotentext"/>
      </w:pPr>
      <w:r>
        <w:rPr>
          <w:rStyle w:val="Funotenzeichen"/>
        </w:rPr>
        <w:footnoteRef/>
      </w:r>
      <w:r>
        <w:t xml:space="preserve"> </w:t>
      </w:r>
      <w:proofErr w:type="spellStart"/>
      <w:r>
        <w:t>Rababeh</w:t>
      </w:r>
      <w:proofErr w:type="spellEnd"/>
      <w:r>
        <w:t xml:space="preserve"> and </w:t>
      </w:r>
      <w:proofErr w:type="spellStart"/>
      <w:r>
        <w:t>Rabady</w:t>
      </w:r>
      <w:proofErr w:type="spellEnd"/>
      <w:r>
        <w:t xml:space="preserve"> 2014:23.</w:t>
      </w:r>
    </w:p>
  </w:footnote>
  <w:footnote w:id="268">
    <w:p w14:paraId="79A000BE" w14:textId="4C9F73A0" w:rsidR="00A07959" w:rsidRPr="00FD0BDC" w:rsidRDefault="00A07959">
      <w:pPr>
        <w:pStyle w:val="Funotentext"/>
      </w:pPr>
      <w:r>
        <w:rPr>
          <w:rStyle w:val="Funotenzeichen"/>
        </w:rPr>
        <w:footnoteRef/>
      </w:r>
      <w:r>
        <w:t xml:space="preserve"> </w:t>
      </w:r>
      <w:proofErr w:type="spellStart"/>
      <w:r>
        <w:t>Rababeh</w:t>
      </w:r>
      <w:proofErr w:type="spellEnd"/>
      <w:r>
        <w:t xml:space="preserve"> and </w:t>
      </w:r>
      <w:proofErr w:type="spellStart"/>
      <w:r>
        <w:t>Rabady</w:t>
      </w:r>
      <w:proofErr w:type="spellEnd"/>
      <w:r>
        <w:t xml:space="preserve"> 2014:23.</w:t>
      </w:r>
    </w:p>
  </w:footnote>
  <w:footnote w:id="269">
    <w:p w14:paraId="2FCED541" w14:textId="77777777" w:rsidR="00A07959" w:rsidRPr="006B352D" w:rsidRDefault="00A07959" w:rsidP="00B93BF4">
      <w:pPr>
        <w:pStyle w:val="Funotentext"/>
        <w:rPr>
          <w:rFonts w:ascii="Times New Roman" w:hAnsi="Times New Roman" w:cs="Times New Roman"/>
        </w:rPr>
      </w:pPr>
      <w:r w:rsidRPr="006B352D">
        <w:rPr>
          <w:rStyle w:val="Funotenzeichen"/>
          <w:rFonts w:ascii="Times New Roman" w:hAnsi="Times New Roman" w:cs="Times New Roman"/>
        </w:rPr>
        <w:footnoteRef/>
      </w:r>
      <w:r w:rsidRPr="006B352D">
        <w:rPr>
          <w:rFonts w:ascii="Times New Roman" w:hAnsi="Times New Roman" w:cs="Times New Roman"/>
        </w:rPr>
        <w:t xml:space="preserve"> Lindner 1970:157.</w:t>
      </w:r>
    </w:p>
  </w:footnote>
  <w:footnote w:id="270">
    <w:p w14:paraId="1BB2D4D6"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2014:22.</w:t>
      </w:r>
    </w:p>
  </w:footnote>
  <w:footnote w:id="271">
    <w:p w14:paraId="369BCFF6"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2014:23.</w:t>
      </w:r>
    </w:p>
  </w:footnote>
  <w:footnote w:id="272">
    <w:p w14:paraId="1285EF61"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2014:24.</w:t>
      </w:r>
    </w:p>
  </w:footnote>
  <w:footnote w:id="273">
    <w:p w14:paraId="373D1C01" w14:textId="5CAF96EC"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Wadeson</w:t>
      </w:r>
      <w:proofErr w:type="spellEnd"/>
      <w:r w:rsidRPr="00020014">
        <w:rPr>
          <w:rFonts w:ascii="Times New Roman" w:hAnsi="Times New Roman" w:cs="Times New Roman"/>
        </w:rPr>
        <w:t xml:space="preserve"> 2010:508, see fig.</w:t>
      </w:r>
      <w:r w:rsidR="00FC3E50">
        <w:rPr>
          <w:rFonts w:ascii="Times New Roman" w:hAnsi="Times New Roman" w:cs="Times New Roman"/>
        </w:rPr>
        <w:t>5</w:t>
      </w:r>
      <w:r w:rsidRPr="00020014">
        <w:rPr>
          <w:rFonts w:ascii="Times New Roman" w:hAnsi="Times New Roman" w:cs="Times New Roman"/>
        </w:rPr>
        <w:t xml:space="preserve"> in Appendix </w:t>
      </w:r>
      <w:r w:rsidR="00FC3E50">
        <w:rPr>
          <w:rFonts w:ascii="Times New Roman" w:hAnsi="Times New Roman" w:cs="Times New Roman"/>
        </w:rPr>
        <w:t>1</w:t>
      </w:r>
      <w:r w:rsidRPr="00020014">
        <w:rPr>
          <w:rFonts w:ascii="Times New Roman" w:hAnsi="Times New Roman" w:cs="Times New Roman"/>
        </w:rPr>
        <w:t xml:space="preserve">. </w:t>
      </w:r>
    </w:p>
  </w:footnote>
  <w:footnote w:id="274">
    <w:p w14:paraId="3E681BF1"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Wadeson</w:t>
      </w:r>
      <w:proofErr w:type="spellEnd"/>
      <w:r w:rsidRPr="00020014">
        <w:rPr>
          <w:rFonts w:ascii="Times New Roman" w:hAnsi="Times New Roman" w:cs="Times New Roman"/>
        </w:rPr>
        <w:t xml:space="preserve"> 2010:508.</w:t>
      </w:r>
    </w:p>
  </w:footnote>
  <w:footnote w:id="275">
    <w:p w14:paraId="3B04D4A0"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Wadeson</w:t>
      </w:r>
      <w:proofErr w:type="spellEnd"/>
      <w:r w:rsidRPr="00020014">
        <w:rPr>
          <w:rFonts w:ascii="Times New Roman" w:hAnsi="Times New Roman" w:cs="Times New Roman"/>
        </w:rPr>
        <w:t xml:space="preserve"> 2010:508.</w:t>
      </w:r>
    </w:p>
  </w:footnote>
  <w:footnote w:id="276">
    <w:p w14:paraId="435DE36E"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2014:23.</w:t>
      </w:r>
    </w:p>
  </w:footnote>
  <w:footnote w:id="277">
    <w:p w14:paraId="03EABC9F" w14:textId="77777777" w:rsidR="00A07959" w:rsidRPr="00020014" w:rsidRDefault="00A07959" w:rsidP="000732E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2014:23.</w:t>
      </w:r>
    </w:p>
  </w:footnote>
  <w:footnote w:id="278">
    <w:p w14:paraId="371B59CF" w14:textId="77777777" w:rsidR="00A07959" w:rsidRPr="00020014" w:rsidRDefault="00A07959" w:rsidP="007E2FA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2014:24.</w:t>
      </w:r>
    </w:p>
  </w:footnote>
  <w:footnote w:id="279">
    <w:p w14:paraId="2F513E28" w14:textId="77777777" w:rsidR="00A07959" w:rsidRPr="00020014" w:rsidRDefault="00A07959" w:rsidP="007E2FA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2014:24.</w:t>
      </w:r>
    </w:p>
  </w:footnote>
  <w:footnote w:id="280">
    <w:p w14:paraId="5ACA43D8" w14:textId="498E4E96" w:rsidR="00A07959" w:rsidRPr="00D90651" w:rsidRDefault="00A07959" w:rsidP="007E2FAD">
      <w:pPr>
        <w:pStyle w:val="Funotentext"/>
        <w:rPr>
          <w:rFonts w:ascii="Times New Roman" w:hAnsi="Times New Roman" w:cs="Times New Roman"/>
          <w:highlight w:val="red"/>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2014:24</w:t>
      </w:r>
      <w:r w:rsidR="00FC3E50">
        <w:rPr>
          <w:rFonts w:ascii="Times New Roman" w:hAnsi="Times New Roman" w:cs="Times New Roman"/>
        </w:rPr>
        <w:t>.</w:t>
      </w:r>
    </w:p>
  </w:footnote>
  <w:footnote w:id="281">
    <w:p w14:paraId="1C99A1F8" w14:textId="6E60DCDD" w:rsidR="00A07959" w:rsidRPr="00020014" w:rsidRDefault="00A07959" w:rsidP="007E2FAD">
      <w:pPr>
        <w:pStyle w:val="Funotentext"/>
        <w:rPr>
          <w:rFonts w:ascii="Times New Roman" w:hAnsi="Times New Roman" w:cs="Times New Roman"/>
        </w:rPr>
      </w:pPr>
      <w:r w:rsidRPr="00FC3E50">
        <w:rPr>
          <w:rStyle w:val="Funotenzeichen"/>
          <w:rFonts w:ascii="Times New Roman" w:hAnsi="Times New Roman" w:cs="Times New Roman"/>
        </w:rPr>
        <w:footnoteRef/>
      </w:r>
      <w:r w:rsidRPr="00FC3E50">
        <w:rPr>
          <w:rFonts w:ascii="Times New Roman" w:hAnsi="Times New Roman" w:cs="Times New Roman"/>
        </w:rPr>
        <w:t xml:space="preserve"> </w:t>
      </w:r>
      <w:proofErr w:type="spellStart"/>
      <w:r w:rsidRPr="00FC3E50">
        <w:rPr>
          <w:rFonts w:ascii="Times New Roman" w:hAnsi="Times New Roman" w:cs="Times New Roman"/>
        </w:rPr>
        <w:t>Rababeh</w:t>
      </w:r>
      <w:proofErr w:type="spellEnd"/>
      <w:r w:rsidRPr="00FC3E50">
        <w:rPr>
          <w:rFonts w:ascii="Times New Roman" w:hAnsi="Times New Roman" w:cs="Times New Roman"/>
        </w:rPr>
        <w:t xml:space="preserve"> and </w:t>
      </w:r>
      <w:proofErr w:type="spellStart"/>
      <w:r w:rsidRPr="00FC3E50">
        <w:rPr>
          <w:rFonts w:ascii="Times New Roman" w:hAnsi="Times New Roman" w:cs="Times New Roman"/>
        </w:rPr>
        <w:t>Rabady</w:t>
      </w:r>
      <w:proofErr w:type="spellEnd"/>
      <w:r w:rsidRPr="00FC3E50">
        <w:rPr>
          <w:rFonts w:ascii="Times New Roman" w:hAnsi="Times New Roman" w:cs="Times New Roman"/>
        </w:rPr>
        <w:t xml:space="preserve"> </w:t>
      </w:r>
      <w:proofErr w:type="gramStart"/>
      <w:r w:rsidRPr="00FC3E50">
        <w:rPr>
          <w:rFonts w:ascii="Times New Roman" w:hAnsi="Times New Roman" w:cs="Times New Roman"/>
        </w:rPr>
        <w:t>2014:24  see</w:t>
      </w:r>
      <w:proofErr w:type="gramEnd"/>
      <w:r w:rsidRPr="00FC3E50">
        <w:rPr>
          <w:rFonts w:ascii="Times New Roman" w:hAnsi="Times New Roman" w:cs="Times New Roman"/>
        </w:rPr>
        <w:t xml:space="preserve"> Fig. </w:t>
      </w:r>
      <w:r w:rsidR="00FC3E50" w:rsidRPr="00FC3E50">
        <w:rPr>
          <w:rFonts w:ascii="Times New Roman" w:hAnsi="Times New Roman" w:cs="Times New Roman"/>
        </w:rPr>
        <w:t>6</w:t>
      </w:r>
      <w:r w:rsidRPr="00FC3E50">
        <w:rPr>
          <w:rFonts w:ascii="Times New Roman" w:hAnsi="Times New Roman" w:cs="Times New Roman"/>
        </w:rPr>
        <w:t xml:space="preserve"> in Appendix </w:t>
      </w:r>
      <w:r w:rsidR="00FC3E50" w:rsidRPr="00FC3E50">
        <w:rPr>
          <w:rFonts w:ascii="Times New Roman" w:hAnsi="Times New Roman" w:cs="Times New Roman"/>
        </w:rPr>
        <w:t>1</w:t>
      </w:r>
      <w:r w:rsidRPr="00FC3E50">
        <w:rPr>
          <w:rFonts w:ascii="Times New Roman" w:hAnsi="Times New Roman" w:cs="Times New Roman"/>
        </w:rPr>
        <w:t>.</w:t>
      </w:r>
    </w:p>
  </w:footnote>
  <w:footnote w:id="282">
    <w:p w14:paraId="4CE75B2B" w14:textId="77777777" w:rsidR="00A07959" w:rsidRPr="00C4165A" w:rsidRDefault="00A07959" w:rsidP="007E2FAD">
      <w:pPr>
        <w:pStyle w:val="Funotentext"/>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2014:24.</w:t>
      </w:r>
    </w:p>
  </w:footnote>
  <w:footnote w:id="283">
    <w:p w14:paraId="62A163AD" w14:textId="77777777" w:rsidR="00A07959" w:rsidRPr="00020014" w:rsidRDefault="00A07959" w:rsidP="007E2FA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2014:24.</w:t>
      </w:r>
    </w:p>
  </w:footnote>
  <w:footnote w:id="284">
    <w:p w14:paraId="6479C2A1" w14:textId="77777777" w:rsidR="00A07959" w:rsidRPr="00020014" w:rsidRDefault="00A07959" w:rsidP="007E2FA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Anderson 2002:176.</w:t>
      </w:r>
    </w:p>
  </w:footnote>
  <w:footnote w:id="285">
    <w:p w14:paraId="2E2C9213" w14:textId="77777777" w:rsidR="00A07959" w:rsidRPr="00020014" w:rsidRDefault="00A07959" w:rsidP="007E2FA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Anderson 2002:175.</w:t>
      </w:r>
    </w:p>
  </w:footnote>
  <w:footnote w:id="286">
    <w:p w14:paraId="7EECB8D7" w14:textId="77777777" w:rsidR="00A07959" w:rsidRPr="00020014" w:rsidRDefault="00A07959" w:rsidP="007E2FAD">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2014:26.</w:t>
      </w:r>
    </w:p>
  </w:footnote>
  <w:footnote w:id="287">
    <w:p w14:paraId="20E9098A" w14:textId="77777777" w:rsidR="00A07959" w:rsidRPr="00A07959"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A07959">
        <w:rPr>
          <w:rFonts w:ascii="Times New Roman" w:hAnsi="Times New Roman" w:cs="Times New Roman"/>
        </w:rPr>
        <w:t xml:space="preserve"> Taylor 2002:14.</w:t>
      </w:r>
    </w:p>
  </w:footnote>
  <w:footnote w:id="288">
    <w:p w14:paraId="271FC2EF" w14:textId="77777777" w:rsidR="00A07959" w:rsidRPr="00A07959"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A07959">
        <w:rPr>
          <w:rFonts w:ascii="Times New Roman" w:hAnsi="Times New Roman" w:cs="Times New Roman"/>
        </w:rPr>
        <w:t xml:space="preserve"> </w:t>
      </w:r>
      <w:proofErr w:type="spellStart"/>
      <w:r w:rsidRPr="00A07959">
        <w:rPr>
          <w:rFonts w:ascii="Times New Roman" w:hAnsi="Times New Roman" w:cs="Times New Roman"/>
        </w:rPr>
        <w:t>Wenning</w:t>
      </w:r>
      <w:proofErr w:type="spellEnd"/>
      <w:r w:rsidRPr="00A07959">
        <w:rPr>
          <w:rFonts w:ascii="Times New Roman" w:hAnsi="Times New Roman" w:cs="Times New Roman"/>
        </w:rPr>
        <w:t xml:space="preserve"> 2003:143.</w:t>
      </w:r>
    </w:p>
  </w:footnote>
  <w:footnote w:id="289">
    <w:p w14:paraId="08860F76" w14:textId="77777777" w:rsidR="00A07959" w:rsidRPr="00020014"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Brass 2016:2-3.</w:t>
      </w:r>
    </w:p>
  </w:footnote>
  <w:footnote w:id="290">
    <w:p w14:paraId="1A0BE408" w14:textId="77777777" w:rsidR="00A07959" w:rsidRPr="00020014"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Wenning</w:t>
      </w:r>
      <w:proofErr w:type="spellEnd"/>
      <w:r w:rsidRPr="00020014">
        <w:rPr>
          <w:rFonts w:ascii="Times New Roman" w:hAnsi="Times New Roman" w:cs="Times New Roman"/>
        </w:rPr>
        <w:t xml:space="preserve"> 2003:143.</w:t>
      </w:r>
    </w:p>
  </w:footnote>
  <w:footnote w:id="291">
    <w:p w14:paraId="5537C94B" w14:textId="77777777" w:rsidR="00A07959" w:rsidRPr="00020014"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2014:25.</w:t>
      </w:r>
    </w:p>
  </w:footnote>
  <w:footnote w:id="292">
    <w:p w14:paraId="1C89892D" w14:textId="102615A7" w:rsidR="00A07959" w:rsidRPr="00020014" w:rsidRDefault="00A07959">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2014:25.</w:t>
      </w:r>
    </w:p>
  </w:footnote>
  <w:footnote w:id="293">
    <w:p w14:paraId="58321989" w14:textId="77777777" w:rsidR="00A07959" w:rsidRPr="00020014"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2014:25.</w:t>
      </w:r>
    </w:p>
  </w:footnote>
  <w:footnote w:id="294">
    <w:p w14:paraId="53E66579" w14:textId="77777777" w:rsidR="00A07959" w:rsidRPr="00020014"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Anderson 2002:163.</w:t>
      </w:r>
    </w:p>
  </w:footnote>
  <w:footnote w:id="295">
    <w:p w14:paraId="48CFC4B3" w14:textId="77777777" w:rsidR="00A07959" w:rsidRPr="00020014" w:rsidRDefault="00A07959" w:rsidP="00020014">
      <w:pPr>
        <w:pStyle w:val="Funotentext"/>
        <w:rPr>
          <w:rFonts w:ascii="Times New Roman" w:hAnsi="Times New Roman" w:cs="Times New Roman"/>
        </w:rPr>
      </w:pPr>
      <w:r w:rsidRPr="00020014">
        <w:rPr>
          <w:rStyle w:val="Funotenzeichen"/>
          <w:rFonts w:ascii="Times New Roman" w:hAnsi="Times New Roman" w:cs="Times New Roman"/>
        </w:rPr>
        <w:footnoteRef/>
      </w:r>
      <w:r w:rsidRPr="00020014">
        <w:rPr>
          <w:rFonts w:ascii="Times New Roman" w:hAnsi="Times New Roman" w:cs="Times New Roman"/>
        </w:rPr>
        <w:t xml:space="preserve"> Anderson 2002:177.</w:t>
      </w:r>
    </w:p>
  </w:footnote>
  <w:footnote w:id="296">
    <w:p w14:paraId="65B9D686" w14:textId="77777777" w:rsidR="00A07959" w:rsidRPr="00B55C51" w:rsidRDefault="00A07959" w:rsidP="00020014">
      <w:pPr>
        <w:pStyle w:val="Funotentext"/>
      </w:pPr>
      <w:r w:rsidRPr="00020014">
        <w:rPr>
          <w:rStyle w:val="Funotenzeichen"/>
          <w:rFonts w:ascii="Times New Roman" w:hAnsi="Times New Roman" w:cs="Times New Roman"/>
        </w:rPr>
        <w:footnoteRef/>
      </w:r>
      <w:r w:rsidRPr="00020014">
        <w:rPr>
          <w:rFonts w:ascii="Times New Roman" w:hAnsi="Times New Roman" w:cs="Times New Roman"/>
        </w:rPr>
        <w:t xml:space="preserve"> Anderson 2002:174 and </w:t>
      </w:r>
      <w:proofErr w:type="spellStart"/>
      <w:r w:rsidRPr="00020014">
        <w:rPr>
          <w:rFonts w:ascii="Times New Roman" w:hAnsi="Times New Roman" w:cs="Times New Roman"/>
        </w:rPr>
        <w:t>Wadeson</w:t>
      </w:r>
      <w:proofErr w:type="spellEnd"/>
      <w:r w:rsidRPr="00020014">
        <w:rPr>
          <w:rFonts w:ascii="Times New Roman" w:hAnsi="Times New Roman" w:cs="Times New Roman"/>
        </w:rPr>
        <w:t xml:space="preserve"> 2010:508, see Fig. x in </w:t>
      </w:r>
      <w:proofErr w:type="spellStart"/>
      <w:r w:rsidRPr="00020014">
        <w:rPr>
          <w:rFonts w:ascii="Times New Roman" w:hAnsi="Times New Roman" w:cs="Times New Roman"/>
        </w:rPr>
        <w:t>Appenix</w:t>
      </w:r>
      <w:proofErr w:type="spellEnd"/>
      <w:r w:rsidRPr="00020014">
        <w:rPr>
          <w:rFonts w:ascii="Times New Roman" w:hAnsi="Times New Roman" w:cs="Times New Roman"/>
        </w:rPr>
        <w:t xml:space="preserve"> x and Fig. x in Appendix x.</w:t>
      </w:r>
    </w:p>
  </w:footnote>
  <w:footnote w:id="297">
    <w:p w14:paraId="75402C82" w14:textId="605E1353" w:rsidR="00A42A16" w:rsidRPr="00FB289D" w:rsidRDefault="00A42A16">
      <w:pPr>
        <w:pStyle w:val="Funotentext"/>
        <w:rPr>
          <w:rFonts w:ascii="Times New Roman" w:hAnsi="Times New Roman" w:cs="Times New Roman"/>
        </w:rPr>
      </w:pPr>
      <w:r w:rsidRPr="00A42A16">
        <w:rPr>
          <w:rStyle w:val="Funotenzeichen"/>
          <w:rFonts w:ascii="Times New Roman" w:hAnsi="Times New Roman" w:cs="Times New Roman"/>
        </w:rPr>
        <w:footnoteRef/>
      </w:r>
      <w:r w:rsidRPr="00A42A16">
        <w:rPr>
          <w:rFonts w:ascii="Times New Roman" w:hAnsi="Times New Roman" w:cs="Times New Roman"/>
        </w:rPr>
        <w:t xml:space="preserve"> </w:t>
      </w:r>
      <w:bookmarkStart w:id="36" w:name="_Hlk8390090"/>
      <w:r w:rsidRPr="00FB289D">
        <w:rPr>
          <w:rFonts w:ascii="Times New Roman" w:hAnsi="Times New Roman" w:cs="Times New Roman"/>
        </w:rPr>
        <w:t>Anderson 2002:165.</w:t>
      </w:r>
      <w:bookmarkEnd w:id="36"/>
    </w:p>
  </w:footnote>
  <w:footnote w:id="298">
    <w:p w14:paraId="60BDEA38"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Hammond 1973:76.</w:t>
      </w:r>
    </w:p>
  </w:footnote>
  <w:footnote w:id="299">
    <w:p w14:paraId="70CF6319"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Hammond 1973:76.</w:t>
      </w:r>
    </w:p>
  </w:footnote>
  <w:footnote w:id="300">
    <w:p w14:paraId="5F19A07B"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Hammond 1973:76.</w:t>
      </w:r>
    </w:p>
  </w:footnote>
  <w:footnote w:id="301">
    <w:p w14:paraId="752E65D3"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Lindner 1970:155.</w:t>
      </w:r>
    </w:p>
  </w:footnote>
  <w:footnote w:id="302">
    <w:p w14:paraId="10053303" w14:textId="77777777" w:rsidR="00A07959" w:rsidRPr="00957EBC" w:rsidRDefault="00A07959">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Green and </w:t>
      </w:r>
      <w:proofErr w:type="spellStart"/>
      <w:r w:rsidRPr="00957EBC">
        <w:rPr>
          <w:rFonts w:ascii="Times New Roman" w:hAnsi="Times New Roman" w:cs="Times New Roman"/>
        </w:rPr>
        <w:t>Costion</w:t>
      </w:r>
      <w:proofErr w:type="spellEnd"/>
      <w:r w:rsidRPr="00957EBC">
        <w:rPr>
          <w:rFonts w:ascii="Times New Roman" w:hAnsi="Times New Roman" w:cs="Times New Roman"/>
        </w:rPr>
        <w:t xml:space="preserve"> 2018:38-39.</w:t>
      </w:r>
    </w:p>
  </w:footnote>
  <w:footnote w:id="303">
    <w:p w14:paraId="3282A82C" w14:textId="77777777" w:rsidR="00A07959" w:rsidRPr="00957EBC" w:rsidRDefault="00A07959">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Anderson 2002:174. See fig. x in Appendix x.</w:t>
      </w:r>
    </w:p>
  </w:footnote>
  <w:footnote w:id="304">
    <w:p w14:paraId="597A6EA8"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Hammond 1973:76.</w:t>
      </w:r>
    </w:p>
  </w:footnote>
  <w:footnote w:id="305">
    <w:p w14:paraId="48F41898"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Hammond 1973:76 and see fig. x. </w:t>
      </w:r>
    </w:p>
  </w:footnote>
  <w:footnote w:id="306">
    <w:p w14:paraId="576058D5"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Hammond 1973:76.</w:t>
      </w:r>
    </w:p>
  </w:footnote>
  <w:footnote w:id="307">
    <w:p w14:paraId="263CC683" w14:textId="2590CC2E"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Pr>
          <w:rFonts w:ascii="Times New Roman" w:hAnsi="Times New Roman" w:cs="Times New Roman"/>
        </w:rPr>
        <w:t>Tholbecq</w:t>
      </w:r>
      <w:proofErr w:type="spellEnd"/>
      <w:r>
        <w:rPr>
          <w:rFonts w:ascii="Times New Roman" w:hAnsi="Times New Roman" w:cs="Times New Roman"/>
        </w:rPr>
        <w:t xml:space="preserve"> 1997:132.</w:t>
      </w:r>
    </w:p>
  </w:footnote>
  <w:footnote w:id="308">
    <w:p w14:paraId="04984EFC"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Wadeson</w:t>
      </w:r>
      <w:proofErr w:type="spellEnd"/>
      <w:r w:rsidRPr="00957EBC">
        <w:rPr>
          <w:rFonts w:ascii="Times New Roman" w:hAnsi="Times New Roman" w:cs="Times New Roman"/>
        </w:rPr>
        <w:t xml:space="preserve"> 2010:508 and see </w:t>
      </w:r>
      <w:proofErr w:type="spellStart"/>
      <w:r w:rsidRPr="00957EBC">
        <w:rPr>
          <w:rFonts w:ascii="Times New Roman" w:hAnsi="Times New Roman" w:cs="Times New Roman"/>
        </w:rPr>
        <w:t>Fig.x</w:t>
      </w:r>
      <w:proofErr w:type="spellEnd"/>
      <w:r w:rsidRPr="00957EBC">
        <w:rPr>
          <w:rFonts w:ascii="Times New Roman" w:hAnsi="Times New Roman" w:cs="Times New Roman"/>
        </w:rPr>
        <w:t xml:space="preserve"> in Appendix x.</w:t>
      </w:r>
    </w:p>
  </w:footnote>
  <w:footnote w:id="309">
    <w:p w14:paraId="621AC048"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Schmid n.d:210. </w:t>
      </w:r>
    </w:p>
  </w:footnote>
  <w:footnote w:id="310">
    <w:p w14:paraId="374F86D6"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Spencer-Gardner 2017:3.</w:t>
      </w:r>
    </w:p>
  </w:footnote>
  <w:footnote w:id="311">
    <w:p w14:paraId="0CCB5293"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Angelo 2009:61.</w:t>
      </w:r>
    </w:p>
  </w:footnote>
  <w:footnote w:id="312">
    <w:p w14:paraId="6F2B9416"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Wadeson</w:t>
      </w:r>
      <w:proofErr w:type="spellEnd"/>
      <w:r w:rsidRPr="00957EBC">
        <w:rPr>
          <w:rFonts w:ascii="Times New Roman" w:hAnsi="Times New Roman" w:cs="Times New Roman"/>
        </w:rPr>
        <w:t xml:space="preserve"> 2010:508.</w:t>
      </w:r>
    </w:p>
  </w:footnote>
  <w:footnote w:id="313">
    <w:p w14:paraId="75DD0327"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Angelo 2009:64.</w:t>
      </w:r>
    </w:p>
  </w:footnote>
  <w:footnote w:id="314">
    <w:p w14:paraId="3ACEF66A" w14:textId="77777777" w:rsidR="00A07959" w:rsidRPr="00957EBC" w:rsidRDefault="00A07959" w:rsidP="00350951">
      <w:pPr>
        <w:pStyle w:val="Funotentext"/>
        <w:rPr>
          <w:rFonts w:ascii="Times New Roman" w:hAnsi="Times New Roman" w:cs="Times New Roman"/>
        </w:rPr>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Wadeson</w:t>
      </w:r>
      <w:proofErr w:type="spellEnd"/>
      <w:r w:rsidRPr="00957EBC">
        <w:rPr>
          <w:rFonts w:ascii="Times New Roman" w:hAnsi="Times New Roman" w:cs="Times New Roman"/>
        </w:rPr>
        <w:t xml:space="preserve"> 2010:508.</w:t>
      </w:r>
    </w:p>
  </w:footnote>
  <w:footnote w:id="315">
    <w:p w14:paraId="30D0151A" w14:textId="77777777" w:rsidR="00A07959" w:rsidRPr="00BF79DD" w:rsidRDefault="00A07959" w:rsidP="00350951">
      <w:pPr>
        <w:pStyle w:val="Funotentext"/>
      </w:pPr>
      <w:r w:rsidRPr="00957EBC">
        <w:rPr>
          <w:rStyle w:val="Funotenzeichen"/>
          <w:rFonts w:ascii="Times New Roman" w:hAnsi="Times New Roman" w:cs="Times New Roman"/>
        </w:rPr>
        <w:footnoteRef/>
      </w:r>
      <w:r w:rsidRPr="00957EBC">
        <w:rPr>
          <w:rFonts w:ascii="Times New Roman" w:hAnsi="Times New Roman" w:cs="Times New Roman"/>
        </w:rPr>
        <w:t xml:space="preserve"> </w:t>
      </w:r>
      <w:proofErr w:type="spellStart"/>
      <w:r w:rsidRPr="00957EBC">
        <w:rPr>
          <w:rFonts w:ascii="Times New Roman" w:hAnsi="Times New Roman" w:cs="Times New Roman"/>
        </w:rPr>
        <w:t>Tholbecq</w:t>
      </w:r>
      <w:proofErr w:type="spellEnd"/>
      <w:r w:rsidRPr="00957EBC">
        <w:rPr>
          <w:rFonts w:ascii="Times New Roman" w:hAnsi="Times New Roman" w:cs="Times New Roman"/>
        </w:rPr>
        <w:t xml:space="preserve"> 1997:132 and </w:t>
      </w:r>
      <w:proofErr w:type="spellStart"/>
      <w:r w:rsidRPr="00957EBC">
        <w:rPr>
          <w:rFonts w:ascii="Times New Roman" w:hAnsi="Times New Roman" w:cs="Times New Roman"/>
        </w:rPr>
        <w:t>Wadeson</w:t>
      </w:r>
      <w:proofErr w:type="spellEnd"/>
      <w:r w:rsidRPr="00957EBC">
        <w:rPr>
          <w:rFonts w:ascii="Times New Roman" w:hAnsi="Times New Roman" w:cs="Times New Roman"/>
        </w:rPr>
        <w:t xml:space="preserve"> 2010:508.</w:t>
      </w:r>
    </w:p>
  </w:footnote>
  <w:footnote w:id="316">
    <w:p w14:paraId="39C6630F" w14:textId="124518A8" w:rsidR="00A07959" w:rsidRPr="005E6DAB" w:rsidRDefault="00A07959" w:rsidP="00350951">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Schmid n.d:209, and see </w:t>
      </w:r>
      <w:proofErr w:type="spellStart"/>
      <w:r w:rsidRPr="005E6DAB">
        <w:rPr>
          <w:rFonts w:ascii="Times New Roman" w:hAnsi="Times New Roman" w:cs="Times New Roman"/>
        </w:rPr>
        <w:t>fig.x</w:t>
      </w:r>
      <w:proofErr w:type="spellEnd"/>
      <w:r w:rsidRPr="005E6DAB">
        <w:rPr>
          <w:rFonts w:ascii="Times New Roman" w:hAnsi="Times New Roman" w:cs="Times New Roman"/>
        </w:rPr>
        <w:t xml:space="preserve"> in Appendix x. </w:t>
      </w:r>
    </w:p>
  </w:footnote>
  <w:footnote w:id="317">
    <w:p w14:paraId="0AD2FD69" w14:textId="77777777" w:rsidR="00A07959" w:rsidRPr="00A07959" w:rsidRDefault="00A07959" w:rsidP="00350951">
      <w:pPr>
        <w:pStyle w:val="Funotentext"/>
        <w:rPr>
          <w:rFonts w:ascii="Times New Roman" w:hAnsi="Times New Roman" w:cs="Times New Roman"/>
        </w:rPr>
      </w:pPr>
      <w:r w:rsidRPr="005E6DAB">
        <w:rPr>
          <w:rStyle w:val="Funotenzeichen"/>
          <w:rFonts w:ascii="Times New Roman" w:hAnsi="Times New Roman" w:cs="Times New Roman"/>
        </w:rPr>
        <w:footnoteRef/>
      </w:r>
      <w:r w:rsidRPr="00A07959">
        <w:rPr>
          <w:rFonts w:ascii="Times New Roman" w:hAnsi="Times New Roman" w:cs="Times New Roman"/>
        </w:rPr>
        <w:t xml:space="preserve"> Schmid n.d:210.</w:t>
      </w:r>
    </w:p>
  </w:footnote>
  <w:footnote w:id="318">
    <w:p w14:paraId="540F0543" w14:textId="77777777" w:rsidR="00A07959" w:rsidRPr="005E6DAB" w:rsidRDefault="00A07959" w:rsidP="005E6DAB">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5E6DAB">
        <w:rPr>
          <w:rFonts w:ascii="Times New Roman" w:hAnsi="Times New Roman" w:cs="Times New Roman"/>
        </w:rPr>
        <w:t>Rababeh</w:t>
      </w:r>
      <w:proofErr w:type="spellEnd"/>
      <w:r w:rsidRPr="005E6DAB">
        <w:rPr>
          <w:rFonts w:ascii="Times New Roman" w:hAnsi="Times New Roman" w:cs="Times New Roman"/>
        </w:rPr>
        <w:t xml:space="preserve"> and </w:t>
      </w:r>
      <w:proofErr w:type="spellStart"/>
      <w:r w:rsidRPr="005E6DAB">
        <w:rPr>
          <w:rFonts w:ascii="Times New Roman" w:hAnsi="Times New Roman" w:cs="Times New Roman"/>
        </w:rPr>
        <w:t>Rabady</w:t>
      </w:r>
      <w:proofErr w:type="spellEnd"/>
      <w:r w:rsidRPr="005E6DAB">
        <w:rPr>
          <w:rFonts w:ascii="Times New Roman" w:hAnsi="Times New Roman" w:cs="Times New Roman"/>
        </w:rPr>
        <w:t xml:space="preserve"> 2014:24.</w:t>
      </w:r>
    </w:p>
  </w:footnote>
  <w:footnote w:id="319">
    <w:p w14:paraId="3885B186" w14:textId="7E0C047C"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r>
        <w:rPr>
          <w:rFonts w:ascii="Times New Roman" w:hAnsi="Times New Roman" w:cs="Times New Roman"/>
        </w:rPr>
        <w:t>Anderson 2002:166.</w:t>
      </w:r>
    </w:p>
  </w:footnote>
  <w:footnote w:id="320">
    <w:p w14:paraId="7BF83C6A"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5E6DAB">
        <w:rPr>
          <w:rFonts w:ascii="Times New Roman" w:hAnsi="Times New Roman" w:cs="Times New Roman"/>
        </w:rPr>
        <w:t>Rababeh</w:t>
      </w:r>
      <w:proofErr w:type="spellEnd"/>
      <w:r w:rsidRPr="005E6DAB">
        <w:rPr>
          <w:rFonts w:ascii="Times New Roman" w:hAnsi="Times New Roman" w:cs="Times New Roman"/>
        </w:rPr>
        <w:t xml:space="preserve"> and </w:t>
      </w:r>
      <w:proofErr w:type="spellStart"/>
      <w:r w:rsidRPr="005E6DAB">
        <w:rPr>
          <w:rFonts w:ascii="Times New Roman" w:hAnsi="Times New Roman" w:cs="Times New Roman"/>
        </w:rPr>
        <w:t>Rabady</w:t>
      </w:r>
      <w:proofErr w:type="spellEnd"/>
      <w:r w:rsidRPr="005E6DAB">
        <w:rPr>
          <w:rFonts w:ascii="Times New Roman" w:hAnsi="Times New Roman" w:cs="Times New Roman"/>
        </w:rPr>
        <w:t xml:space="preserve"> 2014:24.</w:t>
      </w:r>
    </w:p>
  </w:footnote>
  <w:footnote w:id="321">
    <w:p w14:paraId="7D32AD6F"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5E6DAB">
        <w:rPr>
          <w:rFonts w:ascii="Times New Roman" w:hAnsi="Times New Roman" w:cs="Times New Roman"/>
        </w:rPr>
        <w:t>Wadeson</w:t>
      </w:r>
      <w:proofErr w:type="spellEnd"/>
      <w:r w:rsidRPr="005E6DAB">
        <w:rPr>
          <w:rFonts w:ascii="Times New Roman" w:hAnsi="Times New Roman" w:cs="Times New Roman"/>
        </w:rPr>
        <w:t xml:space="preserve"> 2010:508.</w:t>
      </w:r>
    </w:p>
  </w:footnote>
  <w:footnote w:id="322">
    <w:p w14:paraId="1C347024"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Anderson 2002:175, 183 and see </w:t>
      </w:r>
      <w:proofErr w:type="spellStart"/>
      <w:r w:rsidRPr="005E6DAB">
        <w:rPr>
          <w:rFonts w:ascii="Times New Roman" w:hAnsi="Times New Roman" w:cs="Times New Roman"/>
        </w:rPr>
        <w:t>fig.x</w:t>
      </w:r>
      <w:proofErr w:type="spellEnd"/>
      <w:r w:rsidRPr="005E6DAB">
        <w:rPr>
          <w:rFonts w:ascii="Times New Roman" w:hAnsi="Times New Roman" w:cs="Times New Roman"/>
        </w:rPr>
        <w:t xml:space="preserve"> in Appendix x.</w:t>
      </w:r>
    </w:p>
  </w:footnote>
  <w:footnote w:id="323">
    <w:p w14:paraId="22BECF73"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Havelock 1971:106.</w:t>
      </w:r>
    </w:p>
  </w:footnote>
  <w:footnote w:id="324">
    <w:p w14:paraId="0D29355D"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Angelo 2009:61.</w:t>
      </w:r>
    </w:p>
  </w:footnote>
  <w:footnote w:id="325">
    <w:p w14:paraId="69CE9662"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Angelo 2009:57.</w:t>
      </w:r>
    </w:p>
  </w:footnote>
  <w:footnote w:id="326">
    <w:p w14:paraId="350CE907"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5E6DAB">
        <w:rPr>
          <w:rFonts w:ascii="Times New Roman" w:hAnsi="Times New Roman" w:cs="Times New Roman"/>
        </w:rPr>
        <w:t>Wadeson</w:t>
      </w:r>
      <w:proofErr w:type="spellEnd"/>
      <w:r w:rsidRPr="005E6DAB">
        <w:rPr>
          <w:rFonts w:ascii="Times New Roman" w:hAnsi="Times New Roman" w:cs="Times New Roman"/>
        </w:rPr>
        <w:t xml:space="preserve"> 2010:519, see </w:t>
      </w:r>
      <w:proofErr w:type="spellStart"/>
      <w:r w:rsidRPr="005E6DAB">
        <w:rPr>
          <w:rFonts w:ascii="Times New Roman" w:hAnsi="Times New Roman" w:cs="Times New Roman"/>
        </w:rPr>
        <w:t>Fig.x</w:t>
      </w:r>
      <w:proofErr w:type="spellEnd"/>
      <w:r w:rsidRPr="005E6DAB">
        <w:rPr>
          <w:rFonts w:ascii="Times New Roman" w:hAnsi="Times New Roman" w:cs="Times New Roman"/>
        </w:rPr>
        <w:t xml:space="preserve"> in </w:t>
      </w:r>
      <w:proofErr w:type="spellStart"/>
      <w:r w:rsidRPr="005E6DAB">
        <w:rPr>
          <w:rFonts w:ascii="Times New Roman" w:hAnsi="Times New Roman" w:cs="Times New Roman"/>
        </w:rPr>
        <w:t>Appenix</w:t>
      </w:r>
      <w:proofErr w:type="spellEnd"/>
      <w:r w:rsidRPr="005E6DAB">
        <w:rPr>
          <w:rFonts w:ascii="Times New Roman" w:hAnsi="Times New Roman" w:cs="Times New Roman"/>
        </w:rPr>
        <w:t xml:space="preserve"> x.</w:t>
      </w:r>
    </w:p>
  </w:footnote>
  <w:footnote w:id="327">
    <w:p w14:paraId="4B549293"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5E6DAB">
        <w:rPr>
          <w:rFonts w:ascii="Times New Roman" w:hAnsi="Times New Roman" w:cs="Times New Roman"/>
        </w:rPr>
        <w:t>Tholbeq</w:t>
      </w:r>
      <w:proofErr w:type="spellEnd"/>
      <w:r w:rsidRPr="005E6DAB">
        <w:rPr>
          <w:rFonts w:ascii="Times New Roman" w:hAnsi="Times New Roman" w:cs="Times New Roman"/>
        </w:rPr>
        <w:t xml:space="preserve"> 1997:109, see </w:t>
      </w:r>
      <w:proofErr w:type="spellStart"/>
      <w:r w:rsidRPr="005E6DAB">
        <w:rPr>
          <w:rFonts w:ascii="Times New Roman" w:hAnsi="Times New Roman" w:cs="Times New Roman"/>
        </w:rPr>
        <w:t>Fig.x</w:t>
      </w:r>
      <w:proofErr w:type="spellEnd"/>
      <w:r w:rsidRPr="005E6DAB">
        <w:rPr>
          <w:rFonts w:ascii="Times New Roman" w:hAnsi="Times New Roman" w:cs="Times New Roman"/>
        </w:rPr>
        <w:t xml:space="preserve"> in Appendix x.</w:t>
      </w:r>
    </w:p>
  </w:footnote>
  <w:footnote w:id="328">
    <w:p w14:paraId="0687FF5D" w14:textId="77777777" w:rsidR="00A07959" w:rsidRPr="005E6DAB" w:rsidRDefault="00A07959" w:rsidP="00020014">
      <w:pPr>
        <w:pStyle w:val="Funotentext"/>
        <w:rPr>
          <w:rFonts w:ascii="Times New Roman" w:hAnsi="Times New Roman" w:cs="Times New Roman"/>
        </w:rPr>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5E6DAB">
        <w:rPr>
          <w:rFonts w:ascii="Times New Roman" w:hAnsi="Times New Roman" w:cs="Times New Roman"/>
        </w:rPr>
        <w:t>Rababeh</w:t>
      </w:r>
      <w:proofErr w:type="spellEnd"/>
      <w:r w:rsidRPr="005E6DAB">
        <w:rPr>
          <w:rFonts w:ascii="Times New Roman" w:hAnsi="Times New Roman" w:cs="Times New Roman"/>
        </w:rPr>
        <w:t xml:space="preserve"> and </w:t>
      </w:r>
      <w:proofErr w:type="spellStart"/>
      <w:r w:rsidRPr="005E6DAB">
        <w:rPr>
          <w:rFonts w:ascii="Times New Roman" w:hAnsi="Times New Roman" w:cs="Times New Roman"/>
        </w:rPr>
        <w:t>Rabady</w:t>
      </w:r>
      <w:proofErr w:type="spellEnd"/>
      <w:r w:rsidRPr="005E6DAB">
        <w:rPr>
          <w:rFonts w:ascii="Times New Roman" w:hAnsi="Times New Roman" w:cs="Times New Roman"/>
        </w:rPr>
        <w:t xml:space="preserve"> 2014:23.</w:t>
      </w:r>
    </w:p>
  </w:footnote>
  <w:footnote w:id="329">
    <w:p w14:paraId="2A5C486F" w14:textId="77777777" w:rsidR="00A07959" w:rsidRPr="00A07959" w:rsidRDefault="00A07959" w:rsidP="00020014">
      <w:pPr>
        <w:pStyle w:val="Funotentext"/>
      </w:pPr>
      <w:r w:rsidRPr="005E6DAB">
        <w:rPr>
          <w:rStyle w:val="Funotenzeichen"/>
          <w:rFonts w:ascii="Times New Roman" w:hAnsi="Times New Roman" w:cs="Times New Roman"/>
        </w:rPr>
        <w:footnoteRef/>
      </w:r>
      <w:r w:rsidRPr="005E6DAB">
        <w:rPr>
          <w:rFonts w:ascii="Times New Roman" w:hAnsi="Times New Roman" w:cs="Times New Roman"/>
        </w:rPr>
        <w:t xml:space="preserve"> </w:t>
      </w:r>
      <w:proofErr w:type="spellStart"/>
      <w:r w:rsidRPr="00A07959">
        <w:rPr>
          <w:rFonts w:ascii="Times New Roman" w:hAnsi="Times New Roman" w:cs="Times New Roman"/>
        </w:rPr>
        <w:t>Wadeson</w:t>
      </w:r>
      <w:proofErr w:type="spellEnd"/>
      <w:r w:rsidRPr="00A07959">
        <w:rPr>
          <w:rFonts w:ascii="Times New Roman" w:hAnsi="Times New Roman" w:cs="Times New Roman"/>
        </w:rPr>
        <w:t xml:space="preserve"> 2010:508.</w:t>
      </w:r>
    </w:p>
  </w:footnote>
  <w:footnote w:id="330">
    <w:p w14:paraId="30EA3206"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w:t>
      </w:r>
      <w:proofErr w:type="spellStart"/>
      <w:r w:rsidRPr="00071721">
        <w:rPr>
          <w:rFonts w:ascii="Times New Roman" w:hAnsi="Times New Roman" w:cs="Times New Roman"/>
        </w:rPr>
        <w:t>Wadeson</w:t>
      </w:r>
      <w:proofErr w:type="spellEnd"/>
      <w:r w:rsidRPr="00071721">
        <w:rPr>
          <w:rFonts w:ascii="Times New Roman" w:hAnsi="Times New Roman" w:cs="Times New Roman"/>
        </w:rPr>
        <w:t xml:space="preserve"> 2010:518.</w:t>
      </w:r>
    </w:p>
  </w:footnote>
  <w:footnote w:id="331">
    <w:p w14:paraId="238DE5AD"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w:t>
      </w:r>
      <w:proofErr w:type="spellStart"/>
      <w:r w:rsidRPr="00071721">
        <w:rPr>
          <w:rFonts w:ascii="Times New Roman" w:hAnsi="Times New Roman" w:cs="Times New Roman"/>
        </w:rPr>
        <w:t>Wadeson</w:t>
      </w:r>
      <w:proofErr w:type="spellEnd"/>
      <w:r w:rsidRPr="00071721">
        <w:rPr>
          <w:rFonts w:ascii="Times New Roman" w:hAnsi="Times New Roman" w:cs="Times New Roman"/>
        </w:rPr>
        <w:t xml:space="preserve"> 2010:518.</w:t>
      </w:r>
    </w:p>
  </w:footnote>
  <w:footnote w:id="332">
    <w:p w14:paraId="479A0804"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w:t>
      </w:r>
      <w:bookmarkStart w:id="37" w:name="_Hlk8390012"/>
      <w:r w:rsidRPr="00071721">
        <w:rPr>
          <w:rFonts w:ascii="Times New Roman" w:hAnsi="Times New Roman" w:cs="Times New Roman"/>
        </w:rPr>
        <w:t>Lindner 1970:155.</w:t>
      </w:r>
      <w:bookmarkEnd w:id="37"/>
    </w:p>
  </w:footnote>
  <w:footnote w:id="333">
    <w:p w14:paraId="70FC4B95"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Healey 2001:53.</w:t>
      </w:r>
    </w:p>
  </w:footnote>
  <w:footnote w:id="334">
    <w:p w14:paraId="24182C39"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Healey 2001:53.</w:t>
      </w:r>
    </w:p>
  </w:footnote>
  <w:footnote w:id="335">
    <w:p w14:paraId="0010DB99"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2002:185 and see </w:t>
      </w:r>
      <w:proofErr w:type="spellStart"/>
      <w:r w:rsidRPr="00071721">
        <w:rPr>
          <w:rFonts w:ascii="Times New Roman" w:hAnsi="Times New Roman" w:cs="Times New Roman"/>
        </w:rPr>
        <w:t>Fig.x</w:t>
      </w:r>
      <w:proofErr w:type="spellEnd"/>
      <w:r w:rsidRPr="00071721">
        <w:rPr>
          <w:rFonts w:ascii="Times New Roman" w:hAnsi="Times New Roman" w:cs="Times New Roman"/>
        </w:rPr>
        <w:t xml:space="preserve"> and x in Appendix x.</w:t>
      </w:r>
    </w:p>
  </w:footnote>
  <w:footnote w:id="336">
    <w:p w14:paraId="60FFC721"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2002:175.</w:t>
      </w:r>
    </w:p>
  </w:footnote>
  <w:footnote w:id="337">
    <w:p w14:paraId="4F87389F"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2002:186-187.</w:t>
      </w:r>
    </w:p>
  </w:footnote>
  <w:footnote w:id="338">
    <w:p w14:paraId="1193FA5D"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2002:186.</w:t>
      </w:r>
    </w:p>
  </w:footnote>
  <w:footnote w:id="339">
    <w:p w14:paraId="4A853ED1"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2002:185.</w:t>
      </w:r>
    </w:p>
  </w:footnote>
  <w:footnote w:id="340">
    <w:p w14:paraId="15B0DAFE"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Healey 2001:53.</w:t>
      </w:r>
    </w:p>
  </w:footnote>
  <w:footnote w:id="341">
    <w:p w14:paraId="3CCDFE24" w14:textId="5C056472"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Healey 2001:53 see Fig. 10 in Appendix 4. </w:t>
      </w:r>
    </w:p>
  </w:footnote>
  <w:footnote w:id="342">
    <w:p w14:paraId="459B89F0"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Schmid n.d:212.</w:t>
      </w:r>
    </w:p>
  </w:footnote>
  <w:footnote w:id="343">
    <w:p w14:paraId="7B079460"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Spencer-Gardener 2017:3.</w:t>
      </w:r>
    </w:p>
  </w:footnote>
  <w:footnote w:id="344">
    <w:p w14:paraId="6CD41F0F" w14:textId="72DE702E"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Lindner 1970:155</w:t>
      </w:r>
      <w:r>
        <w:rPr>
          <w:rFonts w:ascii="Times New Roman" w:hAnsi="Times New Roman" w:cs="Times New Roman"/>
        </w:rPr>
        <w:t>.</w:t>
      </w:r>
      <w:r w:rsidRPr="00071721">
        <w:rPr>
          <w:rFonts w:ascii="Times New Roman" w:hAnsi="Times New Roman" w:cs="Times New Roman"/>
        </w:rPr>
        <w:t xml:space="preserve"> </w:t>
      </w:r>
    </w:p>
  </w:footnote>
  <w:footnote w:id="345">
    <w:p w14:paraId="20B869C7"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Lindner 1970:155-156 and see </w:t>
      </w:r>
      <w:proofErr w:type="spellStart"/>
      <w:r w:rsidRPr="00071721">
        <w:rPr>
          <w:rFonts w:ascii="Times New Roman" w:hAnsi="Times New Roman" w:cs="Times New Roman"/>
        </w:rPr>
        <w:t>fig.x</w:t>
      </w:r>
      <w:proofErr w:type="spellEnd"/>
      <w:r w:rsidRPr="00071721">
        <w:rPr>
          <w:rFonts w:ascii="Times New Roman" w:hAnsi="Times New Roman" w:cs="Times New Roman"/>
        </w:rPr>
        <w:t xml:space="preserve"> in Appendix x.</w:t>
      </w:r>
    </w:p>
  </w:footnote>
  <w:footnote w:id="346">
    <w:p w14:paraId="5DBEBD59"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Lindner 1970:156 and see </w:t>
      </w:r>
      <w:proofErr w:type="spellStart"/>
      <w:r w:rsidRPr="00071721">
        <w:rPr>
          <w:rFonts w:ascii="Times New Roman" w:hAnsi="Times New Roman" w:cs="Times New Roman"/>
        </w:rPr>
        <w:t>fig.x</w:t>
      </w:r>
      <w:proofErr w:type="spellEnd"/>
      <w:r w:rsidRPr="00071721">
        <w:rPr>
          <w:rFonts w:ascii="Times New Roman" w:hAnsi="Times New Roman" w:cs="Times New Roman"/>
        </w:rPr>
        <w:t xml:space="preserve"> in Appendix x.</w:t>
      </w:r>
    </w:p>
  </w:footnote>
  <w:footnote w:id="347">
    <w:p w14:paraId="7972F92A"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Lindner 1970:156.</w:t>
      </w:r>
    </w:p>
  </w:footnote>
  <w:footnote w:id="348">
    <w:p w14:paraId="4ACDA76F"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w:t>
      </w:r>
      <w:bookmarkStart w:id="38" w:name="_Hlk8389176"/>
      <w:proofErr w:type="spellStart"/>
      <w:r w:rsidRPr="00071721">
        <w:rPr>
          <w:rFonts w:ascii="Times New Roman" w:hAnsi="Times New Roman" w:cs="Times New Roman"/>
        </w:rPr>
        <w:t>Wenning</w:t>
      </w:r>
      <w:proofErr w:type="spellEnd"/>
      <w:r w:rsidRPr="00071721">
        <w:rPr>
          <w:rFonts w:ascii="Times New Roman" w:hAnsi="Times New Roman" w:cs="Times New Roman"/>
        </w:rPr>
        <w:t xml:space="preserve"> 2003:155 </w:t>
      </w:r>
      <w:bookmarkEnd w:id="38"/>
      <w:r w:rsidRPr="00071721">
        <w:rPr>
          <w:rFonts w:ascii="Times New Roman" w:hAnsi="Times New Roman" w:cs="Times New Roman"/>
        </w:rPr>
        <w:t xml:space="preserve">and see </w:t>
      </w:r>
      <w:proofErr w:type="spellStart"/>
      <w:r w:rsidRPr="00071721">
        <w:rPr>
          <w:rFonts w:ascii="Times New Roman" w:hAnsi="Times New Roman" w:cs="Times New Roman"/>
        </w:rPr>
        <w:t>fig.x</w:t>
      </w:r>
      <w:proofErr w:type="spellEnd"/>
      <w:r w:rsidRPr="00071721">
        <w:rPr>
          <w:rFonts w:ascii="Times New Roman" w:hAnsi="Times New Roman" w:cs="Times New Roman"/>
        </w:rPr>
        <w:t xml:space="preserve"> in Appendix x.</w:t>
      </w:r>
    </w:p>
  </w:footnote>
  <w:footnote w:id="349">
    <w:p w14:paraId="4E9D2BCF" w14:textId="77777777" w:rsidR="00A07959" w:rsidRPr="00A07959" w:rsidRDefault="00A07959" w:rsidP="00512826">
      <w:pPr>
        <w:pStyle w:val="Funotentext"/>
        <w:rPr>
          <w:rFonts w:ascii="Times New Roman" w:hAnsi="Times New Roman" w:cs="Times New Roman"/>
          <w:lang w:val="de-CH"/>
        </w:rPr>
      </w:pPr>
      <w:r w:rsidRPr="00071721">
        <w:rPr>
          <w:rStyle w:val="Funotenzeichen"/>
          <w:rFonts w:ascii="Times New Roman" w:hAnsi="Times New Roman" w:cs="Times New Roman"/>
        </w:rPr>
        <w:footnoteRef/>
      </w:r>
      <w:r w:rsidRPr="00A07959">
        <w:rPr>
          <w:rFonts w:ascii="Times New Roman" w:hAnsi="Times New Roman" w:cs="Times New Roman"/>
          <w:lang w:val="de-CH"/>
        </w:rPr>
        <w:t xml:space="preserve"> Lindner 1970:156.</w:t>
      </w:r>
    </w:p>
  </w:footnote>
  <w:footnote w:id="350">
    <w:p w14:paraId="73E0E65C" w14:textId="2CA63706" w:rsidR="00A07959" w:rsidRPr="00A07959" w:rsidRDefault="00A07959">
      <w:pPr>
        <w:pStyle w:val="Funotentext"/>
        <w:rPr>
          <w:rFonts w:ascii="Times New Roman" w:hAnsi="Times New Roman" w:cs="Times New Roman"/>
          <w:lang w:val="de-CH"/>
        </w:rPr>
      </w:pPr>
      <w:r w:rsidRPr="00071721">
        <w:rPr>
          <w:rStyle w:val="Funotenzeichen"/>
          <w:rFonts w:ascii="Times New Roman" w:hAnsi="Times New Roman" w:cs="Times New Roman"/>
        </w:rPr>
        <w:footnoteRef/>
      </w:r>
      <w:r w:rsidRPr="00A07959">
        <w:rPr>
          <w:rFonts w:ascii="Times New Roman" w:hAnsi="Times New Roman" w:cs="Times New Roman"/>
          <w:lang w:val="de-CH"/>
        </w:rPr>
        <w:t xml:space="preserve"> Schmid n.d:217.</w:t>
      </w:r>
    </w:p>
  </w:footnote>
  <w:footnote w:id="351">
    <w:p w14:paraId="7EA67FE8" w14:textId="77777777" w:rsidR="00A07959" w:rsidRPr="00A07959" w:rsidRDefault="00A07959" w:rsidP="00512826">
      <w:pPr>
        <w:pStyle w:val="Funotentext"/>
        <w:rPr>
          <w:lang w:val="de-CH"/>
        </w:rPr>
      </w:pPr>
      <w:r w:rsidRPr="00071721">
        <w:rPr>
          <w:rStyle w:val="Funotenzeichen"/>
          <w:rFonts w:ascii="Times New Roman" w:hAnsi="Times New Roman" w:cs="Times New Roman"/>
        </w:rPr>
        <w:footnoteRef/>
      </w:r>
      <w:r w:rsidRPr="00A07959">
        <w:rPr>
          <w:rFonts w:ascii="Times New Roman" w:hAnsi="Times New Roman" w:cs="Times New Roman"/>
          <w:lang w:val="de-CH"/>
        </w:rPr>
        <w:t xml:space="preserve"> Lindner 1970:156.</w:t>
      </w:r>
    </w:p>
  </w:footnote>
  <w:footnote w:id="352">
    <w:p w14:paraId="0E9A36BD"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Healey 2001:53.</w:t>
      </w:r>
    </w:p>
  </w:footnote>
  <w:footnote w:id="353">
    <w:p w14:paraId="2C22D521" w14:textId="4A5654A9"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Lindner 1970:155.</w:t>
      </w:r>
    </w:p>
  </w:footnote>
  <w:footnote w:id="354">
    <w:p w14:paraId="202FF0ED"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2002:184 and see </w:t>
      </w:r>
      <w:proofErr w:type="spellStart"/>
      <w:r w:rsidRPr="00071721">
        <w:rPr>
          <w:rFonts w:ascii="Times New Roman" w:hAnsi="Times New Roman" w:cs="Times New Roman"/>
        </w:rPr>
        <w:t>fig.x</w:t>
      </w:r>
      <w:proofErr w:type="spellEnd"/>
      <w:r w:rsidRPr="00071721">
        <w:rPr>
          <w:rFonts w:ascii="Times New Roman" w:hAnsi="Times New Roman" w:cs="Times New Roman"/>
        </w:rPr>
        <w:t xml:space="preserve"> in Appendix x.</w:t>
      </w:r>
    </w:p>
  </w:footnote>
  <w:footnote w:id="355">
    <w:p w14:paraId="6A3A677F" w14:textId="77777777" w:rsidR="00A07959" w:rsidRPr="00071721"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Anderson 2002:185 and see </w:t>
      </w:r>
      <w:proofErr w:type="spellStart"/>
      <w:r w:rsidRPr="00071721">
        <w:rPr>
          <w:rFonts w:ascii="Times New Roman" w:hAnsi="Times New Roman" w:cs="Times New Roman"/>
        </w:rPr>
        <w:t>fig.x</w:t>
      </w:r>
      <w:proofErr w:type="spellEnd"/>
      <w:r w:rsidRPr="00071721">
        <w:rPr>
          <w:rFonts w:ascii="Times New Roman" w:hAnsi="Times New Roman" w:cs="Times New Roman"/>
        </w:rPr>
        <w:t xml:space="preserve"> in Appendix x.</w:t>
      </w:r>
    </w:p>
  </w:footnote>
  <w:footnote w:id="356">
    <w:p w14:paraId="5DA16434" w14:textId="77777777" w:rsidR="00A07959" w:rsidRPr="00A07959" w:rsidRDefault="00A07959" w:rsidP="00512826">
      <w:pPr>
        <w:pStyle w:val="Funotentext"/>
        <w:rPr>
          <w:rFonts w:ascii="Times New Roman" w:hAnsi="Times New Roman" w:cs="Times New Roman"/>
        </w:rPr>
      </w:pPr>
      <w:r w:rsidRPr="00071721">
        <w:rPr>
          <w:rStyle w:val="Funotenzeichen"/>
          <w:rFonts w:ascii="Times New Roman" w:hAnsi="Times New Roman" w:cs="Times New Roman"/>
        </w:rPr>
        <w:footnoteRef/>
      </w:r>
      <w:r w:rsidRPr="00071721">
        <w:rPr>
          <w:rFonts w:ascii="Times New Roman" w:hAnsi="Times New Roman" w:cs="Times New Roman"/>
        </w:rPr>
        <w:t xml:space="preserve"> </w:t>
      </w:r>
      <w:r w:rsidRPr="00A07959">
        <w:rPr>
          <w:rFonts w:ascii="Times New Roman" w:hAnsi="Times New Roman" w:cs="Times New Roman"/>
        </w:rPr>
        <w:t>Anderson 2002:185.</w:t>
      </w:r>
    </w:p>
  </w:footnote>
  <w:footnote w:id="357">
    <w:p w14:paraId="138DFC67" w14:textId="77777777" w:rsidR="00A07959" w:rsidRPr="00A07959" w:rsidRDefault="00A07959" w:rsidP="00512826">
      <w:pPr>
        <w:pStyle w:val="Funotentext"/>
      </w:pPr>
      <w:r w:rsidRPr="00071721">
        <w:rPr>
          <w:rStyle w:val="Funotenzeichen"/>
          <w:rFonts w:ascii="Times New Roman" w:hAnsi="Times New Roman" w:cs="Times New Roman"/>
        </w:rPr>
        <w:footnoteRef/>
      </w:r>
      <w:r w:rsidRPr="00071721">
        <w:rPr>
          <w:rFonts w:ascii="Times New Roman" w:hAnsi="Times New Roman" w:cs="Times New Roman"/>
        </w:rPr>
        <w:t xml:space="preserve"> </w:t>
      </w:r>
      <w:r w:rsidRPr="00A07959">
        <w:rPr>
          <w:rFonts w:ascii="Times New Roman" w:hAnsi="Times New Roman" w:cs="Times New Roman"/>
        </w:rPr>
        <w:t>Anderson 2002:184.</w:t>
      </w:r>
    </w:p>
  </w:footnote>
  <w:footnote w:id="358">
    <w:p w14:paraId="6D726D6F" w14:textId="77777777" w:rsidR="00A07959" w:rsidRPr="00A07959"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A07959">
        <w:rPr>
          <w:rFonts w:ascii="Times New Roman" w:hAnsi="Times New Roman" w:cs="Times New Roman"/>
        </w:rPr>
        <w:t xml:space="preserve"> Spencer-Gardner 2017:2-3.</w:t>
      </w:r>
    </w:p>
  </w:footnote>
  <w:footnote w:id="359">
    <w:p w14:paraId="59DD2A84" w14:textId="0D1A463D"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Lindner 1970:141, see </w:t>
      </w:r>
      <w:proofErr w:type="spellStart"/>
      <w:r w:rsidRPr="00E331A3">
        <w:rPr>
          <w:rFonts w:ascii="Times New Roman" w:hAnsi="Times New Roman" w:cs="Times New Roman"/>
        </w:rPr>
        <w:t>fig.x</w:t>
      </w:r>
      <w:proofErr w:type="spellEnd"/>
      <w:r w:rsidRPr="00E331A3">
        <w:rPr>
          <w:rFonts w:ascii="Times New Roman" w:hAnsi="Times New Roman" w:cs="Times New Roman"/>
        </w:rPr>
        <w:t xml:space="preserve"> in Appendix x. </w:t>
      </w:r>
    </w:p>
  </w:footnote>
  <w:footnote w:id="360">
    <w:p w14:paraId="14B4F913" w14:textId="77777777" w:rsidR="00A07959" w:rsidRPr="00A07959"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A07959">
        <w:rPr>
          <w:rFonts w:ascii="Times New Roman" w:hAnsi="Times New Roman" w:cs="Times New Roman"/>
        </w:rPr>
        <w:t xml:space="preserve"> Lindner 1970:142.</w:t>
      </w:r>
    </w:p>
  </w:footnote>
  <w:footnote w:id="361">
    <w:p w14:paraId="7DC40FB0" w14:textId="77777777" w:rsidR="00A07959" w:rsidRPr="00A07959"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A07959">
        <w:rPr>
          <w:rFonts w:ascii="Times New Roman" w:hAnsi="Times New Roman" w:cs="Times New Roman"/>
        </w:rPr>
        <w:t xml:space="preserve"> Schmid n.d:205.</w:t>
      </w:r>
    </w:p>
  </w:footnote>
  <w:footnote w:id="362">
    <w:p w14:paraId="659ABF35" w14:textId="77777777" w:rsidR="00A07959" w:rsidRPr="00A07959"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A07959">
        <w:rPr>
          <w:rFonts w:ascii="Times New Roman" w:hAnsi="Times New Roman" w:cs="Times New Roman"/>
        </w:rPr>
        <w:t xml:space="preserve"> Schmid n.d:205.</w:t>
      </w:r>
    </w:p>
  </w:footnote>
  <w:footnote w:id="363">
    <w:p w14:paraId="10FAC119"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w:t>
      </w:r>
      <w:proofErr w:type="spellStart"/>
      <w:r w:rsidRPr="00E331A3">
        <w:rPr>
          <w:rFonts w:ascii="Times New Roman" w:hAnsi="Times New Roman" w:cs="Times New Roman"/>
        </w:rPr>
        <w:t>Wadeson</w:t>
      </w:r>
      <w:proofErr w:type="spellEnd"/>
      <w:r w:rsidRPr="00E331A3">
        <w:rPr>
          <w:rFonts w:ascii="Times New Roman" w:hAnsi="Times New Roman" w:cs="Times New Roman"/>
        </w:rPr>
        <w:t xml:space="preserve"> 2010:508.</w:t>
      </w:r>
    </w:p>
  </w:footnote>
  <w:footnote w:id="364">
    <w:p w14:paraId="7ECE8F41"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Lindner 1970:144 and see Fig. x in Appendix x.</w:t>
      </w:r>
    </w:p>
  </w:footnote>
  <w:footnote w:id="365">
    <w:p w14:paraId="555AB323"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w:t>
      </w:r>
      <w:proofErr w:type="spellStart"/>
      <w:r w:rsidRPr="00E331A3">
        <w:rPr>
          <w:rFonts w:ascii="Times New Roman" w:hAnsi="Times New Roman" w:cs="Times New Roman"/>
        </w:rPr>
        <w:t>Wadeson</w:t>
      </w:r>
      <w:proofErr w:type="spellEnd"/>
      <w:r w:rsidRPr="00E331A3">
        <w:rPr>
          <w:rFonts w:ascii="Times New Roman" w:hAnsi="Times New Roman" w:cs="Times New Roman"/>
        </w:rPr>
        <w:t xml:space="preserve"> 2010:508.</w:t>
      </w:r>
    </w:p>
  </w:footnote>
  <w:footnote w:id="366">
    <w:p w14:paraId="13972FBE" w14:textId="0C541649"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Anderson 2002:171.</w:t>
      </w:r>
    </w:p>
  </w:footnote>
  <w:footnote w:id="367">
    <w:p w14:paraId="2A0F4053"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Goldschmidt n.d:39 and see </w:t>
      </w:r>
      <w:proofErr w:type="spellStart"/>
      <w:r w:rsidRPr="00E331A3">
        <w:rPr>
          <w:rFonts w:ascii="Times New Roman" w:hAnsi="Times New Roman" w:cs="Times New Roman"/>
        </w:rPr>
        <w:t>fig.x</w:t>
      </w:r>
      <w:proofErr w:type="spellEnd"/>
      <w:r w:rsidRPr="00E331A3">
        <w:rPr>
          <w:rFonts w:ascii="Times New Roman" w:hAnsi="Times New Roman" w:cs="Times New Roman"/>
        </w:rPr>
        <w:t xml:space="preserve"> in Appendix x.</w:t>
      </w:r>
    </w:p>
  </w:footnote>
  <w:footnote w:id="368">
    <w:p w14:paraId="262381C0"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Lindner 1970:141 and see </w:t>
      </w:r>
      <w:proofErr w:type="spellStart"/>
      <w:r w:rsidRPr="00E331A3">
        <w:rPr>
          <w:rFonts w:ascii="Times New Roman" w:hAnsi="Times New Roman" w:cs="Times New Roman"/>
        </w:rPr>
        <w:t>fig.x</w:t>
      </w:r>
      <w:proofErr w:type="spellEnd"/>
      <w:r w:rsidRPr="00E331A3">
        <w:rPr>
          <w:rFonts w:ascii="Times New Roman" w:hAnsi="Times New Roman" w:cs="Times New Roman"/>
        </w:rPr>
        <w:t xml:space="preserve"> in Appendix x.</w:t>
      </w:r>
    </w:p>
  </w:footnote>
  <w:footnote w:id="369">
    <w:p w14:paraId="3B35752C"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w:t>
      </w:r>
      <w:proofErr w:type="spellStart"/>
      <w:r w:rsidRPr="00E331A3">
        <w:rPr>
          <w:rFonts w:ascii="Times New Roman" w:hAnsi="Times New Roman" w:cs="Times New Roman"/>
        </w:rPr>
        <w:t>Wadeson</w:t>
      </w:r>
      <w:proofErr w:type="spellEnd"/>
      <w:r w:rsidRPr="00E331A3">
        <w:rPr>
          <w:rFonts w:ascii="Times New Roman" w:hAnsi="Times New Roman" w:cs="Times New Roman"/>
        </w:rPr>
        <w:t xml:space="preserve"> 2010:518.</w:t>
      </w:r>
    </w:p>
  </w:footnote>
  <w:footnote w:id="370">
    <w:p w14:paraId="0CDCEB56"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Lindner 1970:155-157.</w:t>
      </w:r>
    </w:p>
  </w:footnote>
  <w:footnote w:id="371">
    <w:p w14:paraId="123CE743"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Lindner 1970:157.</w:t>
      </w:r>
    </w:p>
  </w:footnote>
  <w:footnote w:id="372">
    <w:p w14:paraId="45809E7A" w14:textId="77777777" w:rsidR="00A07959" w:rsidRPr="00E331A3" w:rsidRDefault="00A07959" w:rsidP="00000494">
      <w:pPr>
        <w:pStyle w:val="Funotentext"/>
        <w:rPr>
          <w:rFonts w:ascii="Times New Roman" w:hAnsi="Times New Roman" w:cs="Times New Roman"/>
        </w:rPr>
      </w:pPr>
      <w:r w:rsidRPr="00E331A3">
        <w:rPr>
          <w:rStyle w:val="Funotenzeichen"/>
          <w:rFonts w:ascii="Times New Roman" w:hAnsi="Times New Roman" w:cs="Times New Roman"/>
        </w:rPr>
        <w:footnoteRef/>
      </w:r>
      <w:r w:rsidRPr="00E331A3">
        <w:rPr>
          <w:rFonts w:ascii="Times New Roman" w:hAnsi="Times New Roman" w:cs="Times New Roman"/>
        </w:rPr>
        <w:t xml:space="preserve"> </w:t>
      </w:r>
      <w:proofErr w:type="spellStart"/>
      <w:r w:rsidRPr="00E331A3">
        <w:rPr>
          <w:rFonts w:ascii="Times New Roman" w:hAnsi="Times New Roman" w:cs="Times New Roman"/>
        </w:rPr>
        <w:t>Wenning</w:t>
      </w:r>
      <w:proofErr w:type="spellEnd"/>
      <w:r w:rsidRPr="00E331A3">
        <w:rPr>
          <w:rFonts w:ascii="Times New Roman" w:hAnsi="Times New Roman" w:cs="Times New Roman"/>
        </w:rPr>
        <w:t xml:space="preserve"> 2003:151.</w:t>
      </w:r>
    </w:p>
  </w:footnote>
  <w:footnote w:id="373">
    <w:p w14:paraId="7B8FE50A" w14:textId="77777777" w:rsidR="00A07959" w:rsidRPr="00BF79DD" w:rsidRDefault="00A07959" w:rsidP="00E331A3">
      <w:pPr>
        <w:pStyle w:val="Funotentext"/>
      </w:pPr>
      <w:r w:rsidRPr="00E331A3">
        <w:rPr>
          <w:rStyle w:val="Funotenzeichen"/>
          <w:rFonts w:ascii="Times New Roman" w:hAnsi="Times New Roman" w:cs="Times New Roman"/>
        </w:rPr>
        <w:footnoteRef/>
      </w:r>
      <w:r w:rsidRPr="00E331A3">
        <w:rPr>
          <w:rFonts w:ascii="Times New Roman" w:hAnsi="Times New Roman" w:cs="Times New Roman"/>
        </w:rPr>
        <w:t xml:space="preserve"> Healey 2001:71.</w:t>
      </w:r>
    </w:p>
  </w:footnote>
  <w:footnote w:id="374">
    <w:p w14:paraId="49C0E776" w14:textId="25B4F631" w:rsidR="00A07959" w:rsidRPr="00E331A3" w:rsidRDefault="00A07959">
      <w:pPr>
        <w:pStyle w:val="Funotentext"/>
      </w:pPr>
      <w:r>
        <w:rPr>
          <w:rStyle w:val="Funotenzeichen"/>
        </w:rPr>
        <w:footnoteRef/>
      </w:r>
      <w:r>
        <w:t xml:space="preserve"> </w:t>
      </w:r>
      <w:r w:rsidRPr="00071721">
        <w:rPr>
          <w:rFonts w:ascii="Times New Roman" w:hAnsi="Times New Roman" w:cs="Times New Roman"/>
        </w:rPr>
        <w:t>Healey 2001:53.</w:t>
      </w:r>
    </w:p>
  </w:footnote>
  <w:footnote w:id="375">
    <w:p w14:paraId="7945B997" w14:textId="517B373B" w:rsidR="00A07959" w:rsidRPr="00E331A3" w:rsidRDefault="00A07959">
      <w:pPr>
        <w:pStyle w:val="Funotentext"/>
      </w:pPr>
      <w:r>
        <w:rPr>
          <w:rStyle w:val="Funotenzeichen"/>
        </w:rPr>
        <w:footnoteRef/>
      </w:r>
      <w:r>
        <w:t xml:space="preserve"> </w:t>
      </w:r>
      <w:proofErr w:type="spellStart"/>
      <w:r w:rsidRPr="00020014">
        <w:rPr>
          <w:rFonts w:ascii="Times New Roman" w:hAnsi="Times New Roman" w:cs="Times New Roman"/>
        </w:rPr>
        <w:t>Rababeh</w:t>
      </w:r>
      <w:proofErr w:type="spellEnd"/>
      <w:r w:rsidRPr="00020014">
        <w:rPr>
          <w:rFonts w:ascii="Times New Roman" w:hAnsi="Times New Roman" w:cs="Times New Roman"/>
        </w:rPr>
        <w:t xml:space="preserve"> and </w:t>
      </w:r>
      <w:proofErr w:type="spellStart"/>
      <w:r w:rsidRPr="00020014">
        <w:rPr>
          <w:rFonts w:ascii="Times New Roman" w:hAnsi="Times New Roman" w:cs="Times New Roman"/>
        </w:rPr>
        <w:t>Rabady</w:t>
      </w:r>
      <w:proofErr w:type="spellEnd"/>
      <w:r w:rsidRPr="00020014">
        <w:rPr>
          <w:rFonts w:ascii="Times New Roman" w:hAnsi="Times New Roman" w:cs="Times New Roman"/>
        </w:rPr>
        <w:t xml:space="preserve"> 2014:22.</w:t>
      </w:r>
    </w:p>
  </w:footnote>
  <w:footnote w:id="376">
    <w:p w14:paraId="25D9BC9E" w14:textId="282F2673" w:rsidR="00A07959" w:rsidRPr="00A07959" w:rsidRDefault="00A07959">
      <w:pPr>
        <w:pStyle w:val="Funotentext"/>
      </w:pPr>
      <w:r>
        <w:rPr>
          <w:rStyle w:val="Funotenzeichen"/>
        </w:rPr>
        <w:footnoteRef/>
      </w:r>
      <w:r>
        <w:t xml:space="preserve"> </w:t>
      </w:r>
      <w:r w:rsidRPr="00071721">
        <w:rPr>
          <w:rFonts w:ascii="Times New Roman" w:hAnsi="Times New Roman" w:cs="Times New Roman"/>
        </w:rPr>
        <w:t>Anderson 2002:</w:t>
      </w:r>
      <w:r>
        <w:rPr>
          <w:rFonts w:ascii="Times New Roman" w:hAnsi="Times New Roman" w:cs="Times New Roman"/>
        </w:rPr>
        <w:t>176,</w:t>
      </w:r>
      <w:r w:rsidRPr="00071721">
        <w:rPr>
          <w:rFonts w:ascii="Times New Roman" w:hAnsi="Times New Roman" w:cs="Times New Roman"/>
        </w:rPr>
        <w:t>185</w:t>
      </w:r>
      <w:r>
        <w:rPr>
          <w:rFonts w:ascii="Times New Roman" w:hAnsi="Times New Roman" w:cs="Times New Roman"/>
        </w:rPr>
        <w:t xml:space="preserve">. </w:t>
      </w:r>
    </w:p>
  </w:footnote>
  <w:footnote w:id="377">
    <w:p w14:paraId="427B90AC" w14:textId="03030064" w:rsidR="00A07959" w:rsidRPr="00A07959" w:rsidRDefault="00A07959">
      <w:pPr>
        <w:pStyle w:val="Funotentext"/>
      </w:pPr>
      <w:r>
        <w:rPr>
          <w:rStyle w:val="Funotenzeichen"/>
        </w:rPr>
        <w:footnoteRef/>
      </w:r>
      <w:r>
        <w:t xml:space="preserve"> </w:t>
      </w:r>
      <w:r w:rsidRPr="00071721">
        <w:rPr>
          <w:rFonts w:ascii="Times New Roman" w:hAnsi="Times New Roman" w:cs="Times New Roman"/>
        </w:rPr>
        <w:t>Lindner 1970:155.</w:t>
      </w:r>
    </w:p>
  </w:footnote>
  <w:footnote w:id="378">
    <w:p w14:paraId="6BFD59CF" w14:textId="77777777" w:rsidR="00BD2AB4" w:rsidRPr="006D481F" w:rsidRDefault="00BD2AB4" w:rsidP="00BD2AB4">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Feuer 1983:32-38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2018:35,37-38.</w:t>
      </w:r>
    </w:p>
  </w:footnote>
  <w:footnote w:id="379">
    <w:p w14:paraId="716B5CCC" w14:textId="77777777" w:rsidR="00BD2AB4" w:rsidRPr="00336A73" w:rsidRDefault="00BD2AB4" w:rsidP="00BD2AB4">
      <w:pPr>
        <w:pStyle w:val="Funotentext"/>
        <w:rPr>
          <w:lang w:val="da-DK"/>
        </w:rPr>
      </w:pPr>
      <w:r>
        <w:rPr>
          <w:rStyle w:val="Funotenzeichen"/>
        </w:rPr>
        <w:footnoteRef/>
      </w:r>
      <w:r w:rsidRPr="00336A73">
        <w:rPr>
          <w:lang w:val="da-DK"/>
        </w:rPr>
        <w:t xml:space="preserve"> Hackl et al 2003:20 and L</w:t>
      </w:r>
      <w:r>
        <w:rPr>
          <w:lang w:val="da-DK"/>
        </w:rPr>
        <w:t>indner 1970:64.</w:t>
      </w:r>
    </w:p>
  </w:footnote>
  <w:footnote w:id="380">
    <w:p w14:paraId="3ED3EF07" w14:textId="77777777" w:rsidR="00BD2AB4" w:rsidRPr="00336A73" w:rsidRDefault="00BD2AB4" w:rsidP="00BD2AB4">
      <w:pPr>
        <w:pStyle w:val="Funotentext"/>
      </w:pPr>
      <w:r>
        <w:rPr>
          <w:rStyle w:val="Funotenzeichen"/>
        </w:rPr>
        <w:footnoteRef/>
      </w:r>
      <w:r>
        <w:t xml:space="preserve"> </w:t>
      </w:r>
      <w:r w:rsidRPr="00AC0057">
        <w:rPr>
          <w:rFonts w:ascii="Times New Roman" w:hAnsi="Times New Roman" w:cs="Times New Roman"/>
        </w:rPr>
        <w:t>Taylor 2002:17.</w:t>
      </w:r>
    </w:p>
  </w:footnote>
  <w:footnote w:id="381">
    <w:p w14:paraId="6385AF31" w14:textId="77777777" w:rsidR="00BD2AB4" w:rsidRPr="00F04093" w:rsidRDefault="00BD2AB4" w:rsidP="00BD2AB4">
      <w:pPr>
        <w:pStyle w:val="Funotentext"/>
      </w:pPr>
      <w:r>
        <w:rPr>
          <w:rStyle w:val="Funotenzeichen"/>
        </w:rPr>
        <w:footnoteRef/>
      </w:r>
      <w:r>
        <w:t xml:space="preserve"> </w:t>
      </w:r>
      <w:r w:rsidRPr="00AC0057">
        <w:rPr>
          <w:rFonts w:ascii="Times New Roman" w:hAnsi="Times New Roman" w:cs="Times New Roman"/>
        </w:rPr>
        <w:t>Hammond 1973:12</w:t>
      </w:r>
      <w:r>
        <w:rPr>
          <w:rFonts w:ascii="Times New Roman" w:hAnsi="Times New Roman" w:cs="Times New Roman"/>
        </w:rPr>
        <w:t>.</w:t>
      </w:r>
    </w:p>
  </w:footnote>
  <w:footnote w:id="382">
    <w:p w14:paraId="1A9EC7DD" w14:textId="77777777" w:rsidR="00BD2AB4" w:rsidRPr="006D481F" w:rsidRDefault="00BD2AB4" w:rsidP="00BD2AB4">
      <w:pPr>
        <w:pStyle w:val="Funotentext"/>
        <w:rPr>
          <w:rFonts w:ascii="Times New Roman" w:hAnsi="Times New Roman" w:cs="Times New Roman"/>
        </w:rPr>
      </w:pPr>
      <w:r w:rsidRPr="006D481F">
        <w:rPr>
          <w:rStyle w:val="Funotenzeichen"/>
          <w:rFonts w:ascii="Times New Roman" w:hAnsi="Times New Roman" w:cs="Times New Roman"/>
        </w:rPr>
        <w:footnoteRef/>
      </w:r>
      <w:r w:rsidRPr="006D481F">
        <w:rPr>
          <w:rFonts w:ascii="Times New Roman" w:hAnsi="Times New Roman" w:cs="Times New Roman"/>
        </w:rPr>
        <w:t xml:space="preserve"> Feuer 1983:32-38 in Green and </w:t>
      </w:r>
      <w:proofErr w:type="spellStart"/>
      <w:r w:rsidRPr="006D481F">
        <w:rPr>
          <w:rFonts w:ascii="Times New Roman" w:hAnsi="Times New Roman" w:cs="Times New Roman"/>
        </w:rPr>
        <w:t>Costion</w:t>
      </w:r>
      <w:proofErr w:type="spellEnd"/>
      <w:r w:rsidRPr="006D481F">
        <w:rPr>
          <w:rFonts w:ascii="Times New Roman" w:hAnsi="Times New Roman" w:cs="Times New Roman"/>
        </w:rPr>
        <w:t xml:space="preserve"> 2018:35. </w:t>
      </w:r>
    </w:p>
  </w:footnote>
  <w:footnote w:id="383">
    <w:p w14:paraId="586633B0" w14:textId="77777777" w:rsidR="00BD2AB4" w:rsidRPr="00F04093" w:rsidRDefault="00BD2AB4" w:rsidP="00BD2AB4">
      <w:pPr>
        <w:pStyle w:val="Funotentext"/>
      </w:pPr>
      <w:r>
        <w:rPr>
          <w:rStyle w:val="Funotenzeichen"/>
        </w:rPr>
        <w:footnoteRef/>
      </w:r>
      <w:r>
        <w:t xml:space="preserve"> </w:t>
      </w:r>
      <w:r w:rsidRPr="00AC0057">
        <w:rPr>
          <w:rFonts w:ascii="Times New Roman" w:hAnsi="Times New Roman" w:cs="Times New Roman"/>
        </w:rPr>
        <w:t>Hammond 1973:10</w:t>
      </w:r>
      <w:r>
        <w:rPr>
          <w:rFonts w:ascii="Times New Roman" w:hAnsi="Times New Roman" w:cs="Times New Roman"/>
        </w:rPr>
        <w:t>,</w:t>
      </w:r>
      <w:r w:rsidRPr="00177A16">
        <w:rPr>
          <w:rFonts w:ascii="Times New Roman" w:hAnsi="Times New Roman" w:cs="Times New Roman"/>
        </w:rPr>
        <w:t xml:space="preserve"> </w:t>
      </w:r>
      <w:proofErr w:type="spellStart"/>
      <w:r w:rsidRPr="00177A16">
        <w:rPr>
          <w:rFonts w:ascii="Times New Roman" w:hAnsi="Times New Roman" w:cs="Times New Roman"/>
          <w:i/>
        </w:rPr>
        <w:t>Diod</w:t>
      </w:r>
      <w:proofErr w:type="spellEnd"/>
      <w:r w:rsidRPr="00177A16">
        <w:rPr>
          <w:rFonts w:ascii="Times New Roman" w:hAnsi="Times New Roman" w:cs="Times New Roman"/>
          <w:i/>
        </w:rPr>
        <w:t>. Sic. Book XIX, 96</w:t>
      </w:r>
      <w:r>
        <w:rPr>
          <w:rFonts w:ascii="Times New Roman" w:hAnsi="Times New Roman" w:cs="Times New Roman"/>
          <w:i/>
        </w:rPr>
        <w:t xml:space="preserve"> </w:t>
      </w:r>
      <w:r>
        <w:rPr>
          <w:rFonts w:ascii="Times New Roman" w:hAnsi="Times New Roman" w:cs="Times New Roman"/>
        </w:rPr>
        <w:t xml:space="preserve">and </w:t>
      </w:r>
      <w:r w:rsidRPr="00792A1C">
        <w:rPr>
          <w:rFonts w:ascii="Times New Roman" w:hAnsi="Times New Roman" w:cs="Times New Roman"/>
        </w:rPr>
        <w:t>Taylor 2002:27.</w:t>
      </w:r>
    </w:p>
  </w:footnote>
  <w:footnote w:id="384">
    <w:p w14:paraId="63D9CEF0" w14:textId="77777777" w:rsidR="00BD2AB4" w:rsidRPr="00BD2AB4" w:rsidRDefault="00BD2AB4" w:rsidP="00BD2AB4">
      <w:pPr>
        <w:pStyle w:val="Funotentext"/>
      </w:pPr>
      <w:r>
        <w:rPr>
          <w:rStyle w:val="Funotenzeichen"/>
        </w:rPr>
        <w:footnoteRef/>
      </w:r>
      <w:r>
        <w:t xml:space="preserve"> </w:t>
      </w:r>
      <w:r w:rsidRPr="00792A1C">
        <w:rPr>
          <w:rFonts w:ascii="Times New Roman" w:hAnsi="Times New Roman" w:cs="Times New Roman"/>
        </w:rPr>
        <w:t>Schmid n.d:217.</w:t>
      </w:r>
    </w:p>
  </w:footnote>
  <w:footnote w:id="385">
    <w:p w14:paraId="35E4AB86" w14:textId="77777777" w:rsidR="00BD2AB4" w:rsidRPr="00A54DD6" w:rsidRDefault="00BD2AB4" w:rsidP="00BD2AB4">
      <w:pPr>
        <w:pStyle w:val="Funotentext"/>
      </w:pPr>
      <w:r>
        <w:rPr>
          <w:rStyle w:val="Funotenzeichen"/>
        </w:rPr>
        <w:footnoteRef/>
      </w:r>
      <w:r>
        <w:t xml:space="preserve"> </w:t>
      </w:r>
      <w:r w:rsidRPr="00792A1C">
        <w:rPr>
          <w:rFonts w:ascii="Times New Roman" w:hAnsi="Times New Roman" w:cs="Times New Roman"/>
        </w:rPr>
        <w:t>Koester 1995:23</w:t>
      </w:r>
      <w:r>
        <w:rPr>
          <w:rFonts w:ascii="Times New Roman" w:hAnsi="Times New Roman" w:cs="Times New Roman"/>
        </w:rPr>
        <w:t xml:space="preserve">, </w:t>
      </w:r>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2018:180-181</w:t>
      </w:r>
      <w:r>
        <w:rPr>
          <w:rFonts w:ascii="Times New Roman" w:hAnsi="Times New Roman" w:cs="Times New Roman"/>
        </w:rPr>
        <w:t xml:space="preserve"> and </w:t>
      </w:r>
      <w:proofErr w:type="spellStart"/>
      <w:r w:rsidRPr="00FD0BDC">
        <w:rPr>
          <w:rFonts w:ascii="Times New Roman" w:hAnsi="Times New Roman" w:cs="Times New Roman"/>
        </w:rPr>
        <w:t>Wadeson</w:t>
      </w:r>
      <w:proofErr w:type="spellEnd"/>
      <w:r w:rsidRPr="00FD0BDC">
        <w:rPr>
          <w:rFonts w:ascii="Times New Roman" w:hAnsi="Times New Roman" w:cs="Times New Roman"/>
        </w:rPr>
        <w:t xml:space="preserve"> 2010: 508.</w:t>
      </w:r>
    </w:p>
  </w:footnote>
  <w:footnote w:id="386">
    <w:p w14:paraId="20950175" w14:textId="77777777" w:rsidR="00BD2AB4" w:rsidRPr="00A54DD6" w:rsidRDefault="00BD2AB4" w:rsidP="00BD2AB4">
      <w:pPr>
        <w:pStyle w:val="Funotentext"/>
      </w:pPr>
      <w:r>
        <w:rPr>
          <w:rStyle w:val="Funotenzeichen"/>
        </w:rPr>
        <w:footnoteRef/>
      </w:r>
      <w:r>
        <w:t xml:space="preserve"> </w:t>
      </w:r>
      <w:r w:rsidRPr="00792A1C">
        <w:rPr>
          <w:rFonts w:ascii="Times New Roman" w:hAnsi="Times New Roman" w:cs="Times New Roman"/>
        </w:rPr>
        <w:t>Wilkinson 2010:3</w:t>
      </w:r>
      <w:r>
        <w:rPr>
          <w:rFonts w:ascii="Times New Roman" w:hAnsi="Times New Roman" w:cs="Times New Roman"/>
        </w:rPr>
        <w:t xml:space="preserve">, </w:t>
      </w:r>
      <w:proofErr w:type="spellStart"/>
      <w:r w:rsidRPr="00792A1C">
        <w:rPr>
          <w:rFonts w:ascii="Times New Roman" w:hAnsi="Times New Roman" w:cs="Times New Roman"/>
        </w:rPr>
        <w:t>Altaweel</w:t>
      </w:r>
      <w:proofErr w:type="spellEnd"/>
      <w:r w:rsidRPr="00792A1C">
        <w:rPr>
          <w:rFonts w:ascii="Times New Roman" w:hAnsi="Times New Roman" w:cs="Times New Roman"/>
        </w:rPr>
        <w:t xml:space="preserve"> and </w:t>
      </w:r>
      <w:proofErr w:type="spellStart"/>
      <w:r w:rsidRPr="00792A1C">
        <w:rPr>
          <w:rFonts w:ascii="Times New Roman" w:hAnsi="Times New Roman" w:cs="Times New Roman"/>
        </w:rPr>
        <w:t>Squitieri</w:t>
      </w:r>
      <w:proofErr w:type="spellEnd"/>
      <w:r w:rsidRPr="00792A1C">
        <w:rPr>
          <w:rFonts w:ascii="Times New Roman" w:hAnsi="Times New Roman" w:cs="Times New Roman"/>
        </w:rPr>
        <w:t xml:space="preserve"> 2018: 184</w:t>
      </w:r>
      <w:r>
        <w:rPr>
          <w:rFonts w:ascii="Times New Roman" w:hAnsi="Times New Roman" w:cs="Times New Roman"/>
        </w:rPr>
        <w:t xml:space="preserve">, </w:t>
      </w:r>
      <w:r w:rsidRPr="00792A1C">
        <w:rPr>
          <w:rFonts w:ascii="Times New Roman" w:hAnsi="Times New Roman" w:cs="Times New Roman"/>
        </w:rPr>
        <w:t>The Achaemenid Persian Empire, The Met, 2019</w:t>
      </w:r>
      <w:r>
        <w:rPr>
          <w:rFonts w:ascii="Times New Roman" w:hAnsi="Times New Roman" w:cs="Times New Roman"/>
        </w:rPr>
        <w:t xml:space="preserve"> and    </w:t>
      </w:r>
      <w:r w:rsidRPr="00A54DD6">
        <w:rPr>
          <w:rFonts w:ascii="Times New Roman" w:hAnsi="Times New Roman" w:cs="Times New Roman"/>
        </w:rPr>
        <w:t>Hegel 1981:3.</w:t>
      </w:r>
    </w:p>
  </w:footnote>
  <w:footnote w:id="387">
    <w:p w14:paraId="0F65ADD0" w14:textId="77777777" w:rsidR="00BD2AB4" w:rsidRPr="00BD2AB4" w:rsidRDefault="00BD2AB4" w:rsidP="00BD2AB4">
      <w:pPr>
        <w:pStyle w:val="Funotentext"/>
      </w:pPr>
      <w:r>
        <w:rPr>
          <w:rStyle w:val="Funotenzeichen"/>
        </w:rPr>
        <w:footnoteRef/>
      </w:r>
      <w:r>
        <w:t xml:space="preserve"> </w:t>
      </w:r>
      <w:r w:rsidRPr="00D120EF">
        <w:rPr>
          <w:rFonts w:ascii="Times New Roman" w:hAnsi="Times New Roman" w:cs="Times New Roman"/>
        </w:rPr>
        <w:t>Murray 1989:224-227</w:t>
      </w:r>
      <w:r>
        <w:rPr>
          <w:rFonts w:ascii="Times New Roman" w:hAnsi="Times New Roman" w:cs="Times New Roman"/>
        </w:rPr>
        <w:t xml:space="preserve"> and </w:t>
      </w:r>
      <w:r w:rsidRPr="00BD2AB4">
        <w:rPr>
          <w:rFonts w:ascii="Times New Roman" w:hAnsi="Times New Roman" w:cs="Times New Roman"/>
        </w:rPr>
        <w:t>Hackl et al 2003:84.</w:t>
      </w:r>
    </w:p>
  </w:footnote>
  <w:footnote w:id="388">
    <w:p w14:paraId="4AC9C2E7" w14:textId="77777777" w:rsidR="00BD2AB4" w:rsidRPr="00BD2AB4" w:rsidRDefault="00BD2AB4" w:rsidP="00BD2AB4">
      <w:pPr>
        <w:pStyle w:val="Funotentext"/>
      </w:pPr>
      <w:r>
        <w:rPr>
          <w:rStyle w:val="Funotenzeichen"/>
        </w:rPr>
        <w:footnoteRef/>
      </w:r>
      <w:r>
        <w:t xml:space="preserve"> </w:t>
      </w:r>
      <w:r w:rsidRPr="00D120EF">
        <w:rPr>
          <w:rFonts w:ascii="Times New Roman" w:hAnsi="Times New Roman" w:cs="Times New Roman"/>
        </w:rPr>
        <w:t>Murray 1989:224-227.</w:t>
      </w:r>
    </w:p>
  </w:footnote>
  <w:footnote w:id="389">
    <w:p w14:paraId="3946F68E" w14:textId="77777777" w:rsidR="00BD2AB4" w:rsidRPr="00BD2AB4" w:rsidRDefault="00BD2AB4" w:rsidP="00BD2AB4">
      <w:pPr>
        <w:pStyle w:val="Funotentext"/>
      </w:pPr>
      <w:r>
        <w:rPr>
          <w:rStyle w:val="Funotenzeichen"/>
        </w:rPr>
        <w:footnoteRef/>
      </w:r>
      <w:r>
        <w:t xml:space="preserve"> </w:t>
      </w:r>
      <w:proofErr w:type="spellStart"/>
      <w:r>
        <w:t>Alpass</w:t>
      </w:r>
      <w:proofErr w:type="spellEnd"/>
      <w:r>
        <w:t xml:space="preserve"> 2013:265 and </w:t>
      </w:r>
      <w:proofErr w:type="spellStart"/>
      <w:r w:rsidRPr="00071721">
        <w:rPr>
          <w:rFonts w:ascii="Times New Roman" w:hAnsi="Times New Roman" w:cs="Times New Roman"/>
        </w:rPr>
        <w:t>Wenning</w:t>
      </w:r>
      <w:proofErr w:type="spellEnd"/>
      <w:r w:rsidRPr="00071721">
        <w:rPr>
          <w:rFonts w:ascii="Times New Roman" w:hAnsi="Times New Roman" w:cs="Times New Roman"/>
        </w:rPr>
        <w:t xml:space="preserve"> 2003:155</w:t>
      </w:r>
      <w:r>
        <w:rPr>
          <w:rFonts w:ascii="Times New Roman" w:hAnsi="Times New Roman" w:cs="Times New Roman"/>
        </w:rPr>
        <w:t>.</w:t>
      </w:r>
    </w:p>
  </w:footnote>
  <w:footnote w:id="390">
    <w:p w14:paraId="726D68DE" w14:textId="77777777" w:rsidR="00BD2AB4" w:rsidRPr="00D53149" w:rsidRDefault="00BD2AB4" w:rsidP="00BD2AB4">
      <w:pPr>
        <w:pStyle w:val="Funotentext"/>
        <w:rPr>
          <w:rFonts w:ascii="Times New Roman" w:hAnsi="Times New Roman" w:cs="Times New Roman"/>
        </w:rPr>
      </w:pPr>
      <w:r>
        <w:rPr>
          <w:rStyle w:val="Funotenzeichen"/>
        </w:rPr>
        <w:footnoteRef/>
      </w:r>
      <w:r>
        <w:t xml:space="preserve"> </w:t>
      </w:r>
      <w:proofErr w:type="spellStart"/>
      <w:r w:rsidRPr="00D53149">
        <w:rPr>
          <w:rFonts w:ascii="Times New Roman" w:hAnsi="Times New Roman" w:cs="Times New Roman"/>
        </w:rPr>
        <w:t>Alpass</w:t>
      </w:r>
      <w:proofErr w:type="spellEnd"/>
      <w:r w:rsidRPr="00D53149">
        <w:rPr>
          <w:rFonts w:ascii="Times New Roman" w:hAnsi="Times New Roman" w:cs="Times New Roman"/>
        </w:rPr>
        <w:t xml:space="preserve"> 2013:228</w:t>
      </w:r>
      <w:r>
        <w:rPr>
          <w:rFonts w:ascii="Times New Roman" w:hAnsi="Times New Roman" w:cs="Times New Roman"/>
        </w:rPr>
        <w:t xml:space="preserve"> and </w:t>
      </w:r>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2014:26.</w:t>
      </w:r>
    </w:p>
  </w:footnote>
  <w:footnote w:id="391">
    <w:p w14:paraId="6A5D1132" w14:textId="77777777" w:rsidR="00BD2AB4" w:rsidRPr="00DE5FE3" w:rsidRDefault="00BD2AB4" w:rsidP="00BD2AB4">
      <w:pPr>
        <w:pStyle w:val="Funotentext"/>
        <w:rPr>
          <w:rFonts w:ascii="Times New Roman" w:hAnsi="Times New Roman" w:cs="Times New Roman"/>
        </w:rPr>
      </w:pPr>
      <w:r>
        <w:rPr>
          <w:rStyle w:val="Funotenzeichen"/>
        </w:rPr>
        <w:footnoteRef/>
      </w:r>
      <w:r w:rsidRPr="00D253E2">
        <w:t xml:space="preserve"> </w:t>
      </w:r>
      <w:r w:rsidRPr="00D253E2">
        <w:rPr>
          <w:rFonts w:ascii="Times New Roman" w:hAnsi="Times New Roman" w:cs="Times New Roman"/>
        </w:rPr>
        <w:t xml:space="preserve">Murray 1989:227-228, Hackl et al 2003:97-98, </w:t>
      </w:r>
      <w:proofErr w:type="spellStart"/>
      <w:r w:rsidRPr="00D253E2">
        <w:rPr>
          <w:rFonts w:ascii="Times New Roman" w:hAnsi="Times New Roman" w:cs="Times New Roman"/>
        </w:rPr>
        <w:t>Alpass</w:t>
      </w:r>
      <w:proofErr w:type="spellEnd"/>
      <w:r w:rsidRPr="00D253E2">
        <w:rPr>
          <w:rFonts w:ascii="Times New Roman" w:hAnsi="Times New Roman" w:cs="Times New Roman"/>
        </w:rPr>
        <w:t xml:space="preserve"> 2013:228</w:t>
      </w:r>
      <w:r>
        <w:rPr>
          <w:rFonts w:ascii="Times New Roman" w:hAnsi="Times New Roman" w:cs="Times New Roman"/>
        </w:rPr>
        <w:t xml:space="preserve">, </w:t>
      </w:r>
      <w:proofErr w:type="spellStart"/>
      <w:r w:rsidRPr="00DE5FE3">
        <w:rPr>
          <w:rFonts w:ascii="Times New Roman" w:hAnsi="Times New Roman" w:cs="Times New Roman"/>
        </w:rPr>
        <w:t>Rababeh</w:t>
      </w:r>
      <w:proofErr w:type="spellEnd"/>
      <w:r w:rsidRPr="00DE5FE3">
        <w:rPr>
          <w:rFonts w:ascii="Times New Roman" w:hAnsi="Times New Roman" w:cs="Times New Roman"/>
        </w:rPr>
        <w:t xml:space="preserve"> and </w:t>
      </w:r>
      <w:proofErr w:type="spellStart"/>
      <w:r w:rsidRPr="00DE5FE3">
        <w:rPr>
          <w:rFonts w:ascii="Times New Roman" w:hAnsi="Times New Roman" w:cs="Times New Roman"/>
        </w:rPr>
        <w:t>Rabady</w:t>
      </w:r>
      <w:proofErr w:type="spellEnd"/>
      <w:r w:rsidRPr="00DE5FE3">
        <w:rPr>
          <w:rFonts w:ascii="Times New Roman" w:hAnsi="Times New Roman" w:cs="Times New Roman"/>
        </w:rPr>
        <w:t xml:space="preserve"> 2014:26</w:t>
      </w:r>
      <w:r>
        <w:rPr>
          <w:rFonts w:ascii="Times New Roman" w:hAnsi="Times New Roman" w:cs="Times New Roman"/>
        </w:rPr>
        <w:t xml:space="preserve"> and </w:t>
      </w:r>
      <w:r w:rsidRPr="00DE5FE3">
        <w:rPr>
          <w:rFonts w:ascii="Times New Roman" w:hAnsi="Times New Roman" w:cs="Times New Roman"/>
        </w:rPr>
        <w:t>Tomb of Darius the Great, livius.org 2019.</w:t>
      </w:r>
    </w:p>
    <w:p w14:paraId="0F699172" w14:textId="77777777" w:rsidR="00BD2AB4" w:rsidRPr="00D253E2" w:rsidRDefault="00BD2AB4" w:rsidP="00BD2AB4">
      <w:pPr>
        <w:pStyle w:val="Funotentext"/>
      </w:pPr>
    </w:p>
  </w:footnote>
  <w:footnote w:id="392">
    <w:p w14:paraId="5FFD7391" w14:textId="77777777" w:rsidR="00BD2AB4" w:rsidRPr="00413BA3" w:rsidRDefault="00BD2AB4" w:rsidP="00BD2AB4">
      <w:pPr>
        <w:pStyle w:val="Funotentext"/>
      </w:pPr>
      <w:r>
        <w:rPr>
          <w:rStyle w:val="Funotenzeichen"/>
        </w:rPr>
        <w:footnoteRef/>
      </w:r>
      <w:r>
        <w:t xml:space="preserve"> </w:t>
      </w:r>
      <w:r w:rsidRPr="00071721">
        <w:rPr>
          <w:rFonts w:ascii="Times New Roman" w:hAnsi="Times New Roman" w:cs="Times New Roman"/>
        </w:rPr>
        <w:t>Lindner 1970:155.</w:t>
      </w:r>
    </w:p>
  </w:footnote>
  <w:footnote w:id="393">
    <w:p w14:paraId="19476183" w14:textId="77777777" w:rsidR="00BD2AB4" w:rsidRPr="00413BA3" w:rsidRDefault="00BD2AB4" w:rsidP="00BD2AB4">
      <w:pPr>
        <w:pStyle w:val="Funotentext"/>
      </w:pPr>
      <w:r>
        <w:rPr>
          <w:rStyle w:val="Funotenzeichen"/>
        </w:rPr>
        <w:footnoteRef/>
      </w:r>
      <w:r>
        <w:t xml:space="preserve"> </w:t>
      </w:r>
      <w:proofErr w:type="spellStart"/>
      <w:r w:rsidRPr="00FD0BDC">
        <w:rPr>
          <w:rFonts w:ascii="Times New Roman" w:hAnsi="Times New Roman" w:cs="Times New Roman"/>
        </w:rPr>
        <w:t>Rababeh</w:t>
      </w:r>
      <w:proofErr w:type="spellEnd"/>
      <w:r w:rsidRPr="00FD0BDC">
        <w:rPr>
          <w:rFonts w:ascii="Times New Roman" w:hAnsi="Times New Roman" w:cs="Times New Roman"/>
        </w:rPr>
        <w:t xml:space="preserve"> and </w:t>
      </w:r>
      <w:proofErr w:type="spellStart"/>
      <w:r w:rsidRPr="00FD0BDC">
        <w:rPr>
          <w:rFonts w:ascii="Times New Roman" w:hAnsi="Times New Roman" w:cs="Times New Roman"/>
        </w:rPr>
        <w:t>Rabady</w:t>
      </w:r>
      <w:proofErr w:type="spellEnd"/>
      <w:r w:rsidRPr="00FD0BDC">
        <w:rPr>
          <w:rFonts w:ascii="Times New Roman" w:hAnsi="Times New Roman" w:cs="Times New Roman"/>
        </w:rPr>
        <w:t xml:space="preserve"> 2014:25</w:t>
      </w:r>
      <w:r>
        <w:rPr>
          <w:rFonts w:ascii="Times New Roman" w:hAnsi="Times New Roman" w:cs="Times New Roman"/>
        </w:rPr>
        <w:t>.</w:t>
      </w:r>
    </w:p>
  </w:footnote>
  <w:footnote w:id="394">
    <w:p w14:paraId="62749E47" w14:textId="77777777" w:rsidR="00BD2AB4" w:rsidRPr="00413BA3" w:rsidRDefault="00BD2AB4" w:rsidP="00BD2AB4">
      <w:pPr>
        <w:pStyle w:val="Funotentext"/>
      </w:pPr>
      <w:r>
        <w:rPr>
          <w:rStyle w:val="Funotenzeichen"/>
        </w:rPr>
        <w:footnoteRef/>
      </w:r>
      <w:r>
        <w:t xml:space="preserve"> </w:t>
      </w:r>
      <w:r w:rsidRPr="00413BA3">
        <w:rPr>
          <w:rFonts w:ascii="Times New Roman" w:hAnsi="Times New Roman" w:cs="Times New Roman"/>
        </w:rPr>
        <w:t>Anderson 2002:165.</w:t>
      </w:r>
    </w:p>
  </w:footnote>
  <w:footnote w:id="395">
    <w:p w14:paraId="2EE8F2C5" w14:textId="77777777" w:rsidR="00BD2AB4" w:rsidRPr="00D53149" w:rsidRDefault="00BD2AB4" w:rsidP="00BD2AB4">
      <w:pPr>
        <w:pStyle w:val="Funotentext"/>
      </w:pPr>
      <w:r>
        <w:rPr>
          <w:rStyle w:val="Funotenzeichen"/>
        </w:rPr>
        <w:footnoteRef/>
      </w:r>
      <w:r>
        <w:t xml:space="preserve"> </w:t>
      </w:r>
      <w:r w:rsidRPr="003D001A">
        <w:rPr>
          <w:rFonts w:ascii="Times New Roman" w:hAnsi="Times New Roman" w:cs="Times New Roman"/>
        </w:rPr>
        <w:t xml:space="preserve">Boys-Stoney, </w:t>
      </w:r>
      <w:proofErr w:type="spellStart"/>
      <w:r w:rsidRPr="003D001A">
        <w:rPr>
          <w:rFonts w:ascii="Times New Roman" w:hAnsi="Times New Roman" w:cs="Times New Roman"/>
        </w:rPr>
        <w:t>Graziosi</w:t>
      </w:r>
      <w:proofErr w:type="spellEnd"/>
      <w:r w:rsidRPr="003D001A">
        <w:rPr>
          <w:rFonts w:ascii="Times New Roman" w:hAnsi="Times New Roman" w:cs="Times New Roman"/>
        </w:rPr>
        <w:t xml:space="preserve"> and </w:t>
      </w:r>
      <w:proofErr w:type="spellStart"/>
      <w:r w:rsidRPr="003D001A">
        <w:rPr>
          <w:rFonts w:ascii="Times New Roman" w:hAnsi="Times New Roman" w:cs="Times New Roman"/>
        </w:rPr>
        <w:t>Vasunia</w:t>
      </w:r>
      <w:proofErr w:type="spellEnd"/>
      <w:r w:rsidRPr="003D001A">
        <w:rPr>
          <w:rFonts w:ascii="Times New Roman" w:hAnsi="Times New Roman" w:cs="Times New Roman"/>
        </w:rPr>
        <w:t xml:space="preserve"> 2009:88</w:t>
      </w:r>
      <w:r>
        <w:rPr>
          <w:rFonts w:ascii="Times New Roman" w:hAnsi="Times New Roman" w:cs="Times New Roman"/>
        </w:rPr>
        <w:t xml:space="preserve"> and </w:t>
      </w:r>
      <w:proofErr w:type="spellStart"/>
      <w:r w:rsidRPr="00D53149">
        <w:rPr>
          <w:rFonts w:ascii="Times New Roman" w:hAnsi="Times New Roman" w:cs="Times New Roman"/>
        </w:rPr>
        <w:t>Alpass</w:t>
      </w:r>
      <w:proofErr w:type="spellEnd"/>
      <w:r w:rsidRPr="00D53149">
        <w:rPr>
          <w:rFonts w:ascii="Times New Roman" w:hAnsi="Times New Roman" w:cs="Times New Roman"/>
        </w:rPr>
        <w:t xml:space="preserve"> 2013:228.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0C2"/>
    <w:rsid w:val="00000494"/>
    <w:rsid w:val="0000181D"/>
    <w:rsid w:val="00020014"/>
    <w:rsid w:val="00022712"/>
    <w:rsid w:val="0002718B"/>
    <w:rsid w:val="00044950"/>
    <w:rsid w:val="00071721"/>
    <w:rsid w:val="000732ED"/>
    <w:rsid w:val="00083553"/>
    <w:rsid w:val="00090B7B"/>
    <w:rsid w:val="000933EF"/>
    <w:rsid w:val="000969A1"/>
    <w:rsid w:val="000A36D9"/>
    <w:rsid w:val="000C770E"/>
    <w:rsid w:val="000F2016"/>
    <w:rsid w:val="000F2272"/>
    <w:rsid w:val="000F378B"/>
    <w:rsid w:val="00122D58"/>
    <w:rsid w:val="00125542"/>
    <w:rsid w:val="00140183"/>
    <w:rsid w:val="00153175"/>
    <w:rsid w:val="001544E8"/>
    <w:rsid w:val="0016217F"/>
    <w:rsid w:val="00165CA3"/>
    <w:rsid w:val="00176D33"/>
    <w:rsid w:val="001775E9"/>
    <w:rsid w:val="00177A16"/>
    <w:rsid w:val="001A76D8"/>
    <w:rsid w:val="00210C65"/>
    <w:rsid w:val="0022006F"/>
    <w:rsid w:val="00221B0C"/>
    <w:rsid w:val="00233357"/>
    <w:rsid w:val="00241523"/>
    <w:rsid w:val="0028288F"/>
    <w:rsid w:val="002E06A4"/>
    <w:rsid w:val="002F093D"/>
    <w:rsid w:val="003147A0"/>
    <w:rsid w:val="003213C0"/>
    <w:rsid w:val="00342256"/>
    <w:rsid w:val="00350951"/>
    <w:rsid w:val="00354CC2"/>
    <w:rsid w:val="003603E4"/>
    <w:rsid w:val="00362777"/>
    <w:rsid w:val="00381B89"/>
    <w:rsid w:val="003826E0"/>
    <w:rsid w:val="00382886"/>
    <w:rsid w:val="00385CD4"/>
    <w:rsid w:val="00386CE5"/>
    <w:rsid w:val="00387569"/>
    <w:rsid w:val="003A22E1"/>
    <w:rsid w:val="003D001A"/>
    <w:rsid w:val="003D3918"/>
    <w:rsid w:val="00405D52"/>
    <w:rsid w:val="004220C2"/>
    <w:rsid w:val="004643FE"/>
    <w:rsid w:val="00474147"/>
    <w:rsid w:val="004A02B6"/>
    <w:rsid w:val="004B4BEF"/>
    <w:rsid w:val="004C5C4D"/>
    <w:rsid w:val="004D0649"/>
    <w:rsid w:val="004E7553"/>
    <w:rsid w:val="00512826"/>
    <w:rsid w:val="005305C2"/>
    <w:rsid w:val="00534FA0"/>
    <w:rsid w:val="0058450C"/>
    <w:rsid w:val="00595963"/>
    <w:rsid w:val="005A681B"/>
    <w:rsid w:val="005B11B9"/>
    <w:rsid w:val="005D7BD1"/>
    <w:rsid w:val="005E6DAB"/>
    <w:rsid w:val="005F1F87"/>
    <w:rsid w:val="00602CF1"/>
    <w:rsid w:val="006110AB"/>
    <w:rsid w:val="00626B29"/>
    <w:rsid w:val="00651E84"/>
    <w:rsid w:val="00656F7A"/>
    <w:rsid w:val="00684423"/>
    <w:rsid w:val="00686920"/>
    <w:rsid w:val="006A391B"/>
    <w:rsid w:val="006A4C82"/>
    <w:rsid w:val="006B352D"/>
    <w:rsid w:val="006B6F5E"/>
    <w:rsid w:val="006C1B19"/>
    <w:rsid w:val="006C2110"/>
    <w:rsid w:val="006C6CAB"/>
    <w:rsid w:val="006D481F"/>
    <w:rsid w:val="006D5691"/>
    <w:rsid w:val="006F6BBB"/>
    <w:rsid w:val="00735E98"/>
    <w:rsid w:val="00776B2B"/>
    <w:rsid w:val="00784249"/>
    <w:rsid w:val="00792A1C"/>
    <w:rsid w:val="007930D1"/>
    <w:rsid w:val="007B380C"/>
    <w:rsid w:val="007B4316"/>
    <w:rsid w:val="007B492F"/>
    <w:rsid w:val="007D292C"/>
    <w:rsid w:val="007D4B75"/>
    <w:rsid w:val="007D5008"/>
    <w:rsid w:val="007D69DD"/>
    <w:rsid w:val="007E273F"/>
    <w:rsid w:val="007E2FAD"/>
    <w:rsid w:val="007E4F78"/>
    <w:rsid w:val="007E6F9A"/>
    <w:rsid w:val="007F0571"/>
    <w:rsid w:val="00824CE3"/>
    <w:rsid w:val="008509FB"/>
    <w:rsid w:val="008644C1"/>
    <w:rsid w:val="008C3059"/>
    <w:rsid w:val="008C45C8"/>
    <w:rsid w:val="008F01D6"/>
    <w:rsid w:val="00920C07"/>
    <w:rsid w:val="009378F5"/>
    <w:rsid w:val="00940412"/>
    <w:rsid w:val="009407F1"/>
    <w:rsid w:val="00947782"/>
    <w:rsid w:val="00957EBC"/>
    <w:rsid w:val="009D0B34"/>
    <w:rsid w:val="009D41E9"/>
    <w:rsid w:val="009D5E71"/>
    <w:rsid w:val="009D6343"/>
    <w:rsid w:val="00A02A97"/>
    <w:rsid w:val="00A06D0F"/>
    <w:rsid w:val="00A07959"/>
    <w:rsid w:val="00A308F8"/>
    <w:rsid w:val="00A37288"/>
    <w:rsid w:val="00A3757F"/>
    <w:rsid w:val="00A42A16"/>
    <w:rsid w:val="00A47875"/>
    <w:rsid w:val="00A53EB0"/>
    <w:rsid w:val="00A62BF1"/>
    <w:rsid w:val="00A6608D"/>
    <w:rsid w:val="00A70297"/>
    <w:rsid w:val="00AC0057"/>
    <w:rsid w:val="00AC21A0"/>
    <w:rsid w:val="00AD731F"/>
    <w:rsid w:val="00AF36DD"/>
    <w:rsid w:val="00AF5D11"/>
    <w:rsid w:val="00B02EBC"/>
    <w:rsid w:val="00B26411"/>
    <w:rsid w:val="00B60029"/>
    <w:rsid w:val="00B76BA5"/>
    <w:rsid w:val="00B93BF4"/>
    <w:rsid w:val="00B95FE1"/>
    <w:rsid w:val="00BA17F6"/>
    <w:rsid w:val="00BA37FB"/>
    <w:rsid w:val="00BD2AB4"/>
    <w:rsid w:val="00BD76A4"/>
    <w:rsid w:val="00C03F53"/>
    <w:rsid w:val="00C0530C"/>
    <w:rsid w:val="00C1245C"/>
    <w:rsid w:val="00C33078"/>
    <w:rsid w:val="00CB1F98"/>
    <w:rsid w:val="00CD50DE"/>
    <w:rsid w:val="00CD5B5F"/>
    <w:rsid w:val="00CF358D"/>
    <w:rsid w:val="00D02071"/>
    <w:rsid w:val="00D068B7"/>
    <w:rsid w:val="00D120EF"/>
    <w:rsid w:val="00D55390"/>
    <w:rsid w:val="00D7560C"/>
    <w:rsid w:val="00D85535"/>
    <w:rsid w:val="00D90651"/>
    <w:rsid w:val="00DB1A4E"/>
    <w:rsid w:val="00DE5FE3"/>
    <w:rsid w:val="00DF0355"/>
    <w:rsid w:val="00DF1621"/>
    <w:rsid w:val="00DF2488"/>
    <w:rsid w:val="00E207E7"/>
    <w:rsid w:val="00E331A3"/>
    <w:rsid w:val="00E36A82"/>
    <w:rsid w:val="00E522A7"/>
    <w:rsid w:val="00E73BC9"/>
    <w:rsid w:val="00E94FBE"/>
    <w:rsid w:val="00EB7705"/>
    <w:rsid w:val="00EC0AA2"/>
    <w:rsid w:val="00EC293E"/>
    <w:rsid w:val="00EC4DBD"/>
    <w:rsid w:val="00ED5F12"/>
    <w:rsid w:val="00F5489F"/>
    <w:rsid w:val="00F62345"/>
    <w:rsid w:val="00F637C0"/>
    <w:rsid w:val="00F751EE"/>
    <w:rsid w:val="00F804EE"/>
    <w:rsid w:val="00F83818"/>
    <w:rsid w:val="00F92756"/>
    <w:rsid w:val="00FB289D"/>
    <w:rsid w:val="00FC3E50"/>
    <w:rsid w:val="00FD0BDC"/>
    <w:rsid w:val="00FD5883"/>
    <w:rsid w:val="00FF1318"/>
  </w:rsids>
  <m:mathPr>
    <m:mathFont m:val="Cambria Math"/>
    <m:brkBin m:val="before"/>
    <m:brkBinSub m:val="--"/>
    <m:smallFrac m:val="0"/>
    <m:dispDef/>
    <m:lMargin m:val="0"/>
    <m:rMargin m:val="0"/>
    <m:defJc m:val="centerGroup"/>
    <m:wrapIndent m:val="1440"/>
    <m:intLim m:val="subSup"/>
    <m:naryLim m:val="undOvr"/>
  </m:mathPr>
  <w:themeFontLang w:val="de-CH"/>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BE96E9"/>
  <w15:chartTrackingRefBased/>
  <w15:docId w15:val="{CB570A15-82EB-464D-B525-D18A4A516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C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Pr>
      <w:lang w:val="en-GB"/>
    </w:rPr>
  </w:style>
  <w:style w:type="paragraph" w:styleId="berschrift1">
    <w:name w:val="heading 1"/>
    <w:basedOn w:val="Standard"/>
    <w:next w:val="Standard"/>
    <w:link w:val="berschrift1Zchn"/>
    <w:uiPriority w:val="9"/>
    <w:qFormat/>
    <w:rsid w:val="005D7B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berschrift2">
    <w:name w:val="heading 2"/>
    <w:basedOn w:val="Standard"/>
    <w:next w:val="Standard"/>
    <w:link w:val="berschrift2Zchn"/>
    <w:uiPriority w:val="9"/>
    <w:unhideWhenUsed/>
    <w:qFormat/>
    <w:rsid w:val="00602C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berschrift3">
    <w:name w:val="heading 3"/>
    <w:basedOn w:val="Standard"/>
    <w:next w:val="Standard"/>
    <w:link w:val="berschrift3Zchn"/>
    <w:uiPriority w:val="9"/>
    <w:semiHidden/>
    <w:unhideWhenUsed/>
    <w:qFormat/>
    <w:rsid w:val="005D7B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link w:val="KopfzeileZchn"/>
    <w:uiPriority w:val="99"/>
    <w:unhideWhenUsed/>
    <w:rsid w:val="004E7553"/>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4E7553"/>
    <w:rPr>
      <w:lang w:val="en-GB"/>
    </w:rPr>
  </w:style>
  <w:style w:type="paragraph" w:styleId="Fuzeile">
    <w:name w:val="footer"/>
    <w:basedOn w:val="Standard"/>
    <w:link w:val="FuzeileZchn"/>
    <w:uiPriority w:val="99"/>
    <w:unhideWhenUsed/>
    <w:rsid w:val="004E7553"/>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4E7553"/>
    <w:rPr>
      <w:lang w:val="en-GB"/>
    </w:rPr>
  </w:style>
  <w:style w:type="paragraph" w:styleId="Funotentext">
    <w:name w:val="footnote text"/>
    <w:basedOn w:val="Standard"/>
    <w:link w:val="FunotentextZchn"/>
    <w:uiPriority w:val="99"/>
    <w:semiHidden/>
    <w:unhideWhenUsed/>
    <w:rsid w:val="0058450C"/>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58450C"/>
    <w:rPr>
      <w:sz w:val="20"/>
      <w:szCs w:val="20"/>
      <w:lang w:val="en-GB"/>
    </w:rPr>
  </w:style>
  <w:style w:type="character" w:styleId="Funotenzeichen">
    <w:name w:val="footnote reference"/>
    <w:basedOn w:val="Absatz-Standardschriftart"/>
    <w:uiPriority w:val="99"/>
    <w:semiHidden/>
    <w:unhideWhenUsed/>
    <w:rsid w:val="0058450C"/>
    <w:rPr>
      <w:vertAlign w:val="superscript"/>
    </w:rPr>
  </w:style>
  <w:style w:type="character" w:customStyle="1" w:styleId="berschrift2Zchn">
    <w:name w:val="Überschrift 2 Zchn"/>
    <w:basedOn w:val="Absatz-Standardschriftart"/>
    <w:link w:val="berschrift2"/>
    <w:uiPriority w:val="9"/>
    <w:rsid w:val="00602CF1"/>
    <w:rPr>
      <w:rFonts w:asciiTheme="majorHAnsi" w:eastAsiaTheme="majorEastAsia" w:hAnsiTheme="majorHAnsi" w:cstheme="majorBidi"/>
      <w:color w:val="2F5496" w:themeColor="accent1" w:themeShade="BF"/>
      <w:sz w:val="26"/>
      <w:szCs w:val="26"/>
      <w:lang w:val="en-GB"/>
    </w:rPr>
  </w:style>
  <w:style w:type="character" w:styleId="Kommentarzeichen">
    <w:name w:val="annotation reference"/>
    <w:basedOn w:val="Absatz-Standardschriftart"/>
    <w:uiPriority w:val="99"/>
    <w:semiHidden/>
    <w:unhideWhenUsed/>
    <w:rsid w:val="00AC0057"/>
    <w:rPr>
      <w:sz w:val="16"/>
      <w:szCs w:val="16"/>
    </w:rPr>
  </w:style>
  <w:style w:type="paragraph" w:styleId="Kommentartext">
    <w:name w:val="annotation text"/>
    <w:basedOn w:val="Standard"/>
    <w:link w:val="KommentartextZchn"/>
    <w:uiPriority w:val="99"/>
    <w:semiHidden/>
    <w:unhideWhenUsed/>
    <w:rsid w:val="00AC0057"/>
    <w:pPr>
      <w:spacing w:line="240" w:lineRule="auto"/>
    </w:pPr>
    <w:rPr>
      <w:sz w:val="20"/>
      <w:szCs w:val="20"/>
    </w:rPr>
  </w:style>
  <w:style w:type="character" w:customStyle="1" w:styleId="KommentartextZchn">
    <w:name w:val="Kommentartext Zchn"/>
    <w:basedOn w:val="Absatz-Standardschriftart"/>
    <w:link w:val="Kommentartext"/>
    <w:uiPriority w:val="99"/>
    <w:semiHidden/>
    <w:rsid w:val="00AC0057"/>
    <w:rPr>
      <w:sz w:val="20"/>
      <w:szCs w:val="20"/>
      <w:lang w:val="en-GB"/>
    </w:rPr>
  </w:style>
  <w:style w:type="paragraph" w:styleId="Sprechblasentext">
    <w:name w:val="Balloon Text"/>
    <w:basedOn w:val="Standard"/>
    <w:link w:val="SprechblasentextZchn"/>
    <w:uiPriority w:val="99"/>
    <w:semiHidden/>
    <w:unhideWhenUsed/>
    <w:rsid w:val="00AC0057"/>
    <w:pPr>
      <w:spacing w:after="0" w:line="240" w:lineRule="auto"/>
    </w:pPr>
    <w:rPr>
      <w:rFonts w:ascii="Segoe UI" w:hAnsi="Segoe UI" w:cs="Segoe UI"/>
      <w:sz w:val="18"/>
      <w:szCs w:val="18"/>
    </w:rPr>
  </w:style>
  <w:style w:type="character" w:customStyle="1" w:styleId="SprechblasentextZchn">
    <w:name w:val="Sprechblasentext Zchn"/>
    <w:basedOn w:val="Absatz-Standardschriftart"/>
    <w:link w:val="Sprechblasentext"/>
    <w:uiPriority w:val="99"/>
    <w:semiHidden/>
    <w:rsid w:val="00AC0057"/>
    <w:rPr>
      <w:rFonts w:ascii="Segoe UI" w:hAnsi="Segoe UI" w:cs="Segoe UI"/>
      <w:sz w:val="18"/>
      <w:szCs w:val="18"/>
      <w:lang w:val="en-GB"/>
    </w:rPr>
  </w:style>
  <w:style w:type="character" w:styleId="Hyperlink">
    <w:name w:val="Hyperlink"/>
    <w:basedOn w:val="Absatz-Standardschriftart"/>
    <w:uiPriority w:val="99"/>
    <w:unhideWhenUsed/>
    <w:rsid w:val="00A53EB0"/>
    <w:rPr>
      <w:color w:val="0563C1" w:themeColor="hyperlink"/>
      <w:u w:val="single"/>
    </w:rPr>
  </w:style>
  <w:style w:type="character" w:customStyle="1" w:styleId="berschrift1Zchn">
    <w:name w:val="Überschrift 1 Zchn"/>
    <w:basedOn w:val="Absatz-Standardschriftart"/>
    <w:link w:val="berschrift1"/>
    <w:uiPriority w:val="9"/>
    <w:rsid w:val="005D7BD1"/>
    <w:rPr>
      <w:rFonts w:asciiTheme="majorHAnsi" w:eastAsiaTheme="majorEastAsia" w:hAnsiTheme="majorHAnsi" w:cstheme="majorBidi"/>
      <w:color w:val="2F5496" w:themeColor="accent1" w:themeShade="BF"/>
      <w:sz w:val="32"/>
      <w:szCs w:val="32"/>
      <w:lang w:val="en-GB"/>
    </w:rPr>
  </w:style>
  <w:style w:type="character" w:customStyle="1" w:styleId="berschrift3Zchn">
    <w:name w:val="Überschrift 3 Zchn"/>
    <w:basedOn w:val="Absatz-Standardschriftart"/>
    <w:link w:val="berschrift3"/>
    <w:uiPriority w:val="9"/>
    <w:semiHidden/>
    <w:rsid w:val="005D7BD1"/>
    <w:rPr>
      <w:rFonts w:asciiTheme="majorHAnsi" w:eastAsiaTheme="majorEastAsia" w:hAnsiTheme="majorHAnsi" w:cstheme="majorBidi"/>
      <w:color w:val="1F3763" w:themeColor="accent1" w:themeShade="7F"/>
      <w:sz w:val="24"/>
      <w:szCs w:val="24"/>
      <w:lang w:val="en-GB"/>
    </w:rPr>
  </w:style>
  <w:style w:type="paragraph" w:styleId="StandardWeb">
    <w:name w:val="Normal (Web)"/>
    <w:basedOn w:val="Standard"/>
    <w:rsid w:val="005D7BD1"/>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unesco.org/silkroad/content/alexandria"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6AB40-B45B-414D-B197-F2365D4B4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10305</Words>
  <Characters>64927</Characters>
  <Application>Microsoft Office Word</Application>
  <DocSecurity>0</DocSecurity>
  <Lines>541</Lines>
  <Paragraphs>150</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75082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Mandiza Landsmeer</dc:creator>
  <cp:keywords/>
  <dc:description/>
  <cp:lastModifiedBy>Mandiza Landsmeer</cp:lastModifiedBy>
  <cp:revision>94</cp:revision>
  <dcterms:created xsi:type="dcterms:W3CDTF">2019-05-09T03:35:00Z</dcterms:created>
  <dcterms:modified xsi:type="dcterms:W3CDTF">2019-05-10T13:07:00Z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8679ba64-fa2d-3d53-80e7-8304aa61155c</vt:lpwstr>
  </property>
</Properties>
</file>