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1"/>
        <w:numPr>
          <w:ilvl w:val="0"/>
          <w:numId w:val="0"/>
        </w:numPr>
        <w:rPr/>
      </w:pPr>
    </w:p>
    <w:p>
      <w:pPr>
        <w:pStyle w:val="style0"/>
        <w:rPr>
          <w:lang w:eastAsia="en-US"/>
        </w:rPr>
      </w:pPr>
    </w:p>
    <w:p>
      <w:pPr>
        <w:pStyle w:val="style0"/>
        <w:rPr>
          <w:lang w:eastAsia="en-US"/>
        </w:rPr>
      </w:pPr>
    </w:p>
    <w:p>
      <w:pPr>
        <w:pStyle w:val="style0"/>
        <w:rPr>
          <w:lang w:eastAsia="en-US"/>
        </w:rPr>
      </w:pPr>
    </w:p>
    <w:p>
      <w:pPr>
        <w:pStyle w:val="style0"/>
        <w:rPr>
          <w:lang w:eastAsia="en-US"/>
        </w:rPr>
      </w:pPr>
    </w:p>
    <w:p>
      <w:pPr>
        <w:pStyle w:val="style0"/>
        <w:rPr>
          <w:lang w:eastAsia="en-US"/>
        </w:rPr>
      </w:pPr>
    </w:p>
    <w:p>
      <w:pPr>
        <w:pStyle w:val="style0"/>
        <w:jc w:val="center"/>
        <w:rPr>
          <w:b/>
          <w:sz w:val="36"/>
          <w:lang w:eastAsia="en-US"/>
        </w:rPr>
      </w:pPr>
      <w:r>
        <w:rPr>
          <w:b/>
          <w:sz w:val="36"/>
        </w:rPr>
        <w:t>Employability Skills Portfolio: Job Analysis, Self-Assessment, and Personal Development Planning</w:t>
      </w:r>
    </w:p>
    <w:p>
      <w:pPr>
        <w:pStyle w:val="style0"/>
        <w:spacing w:before="100" w:beforeAutospacing="true" w:after="100" w:afterAutospacing="true"/>
        <w:jc w:val="center"/>
        <w:rPr>
          <w:szCs w:val="24"/>
          <w:lang w:val="en-US" w:eastAsia="en-US"/>
        </w:rPr>
      </w:pPr>
      <w:r>
        <w:rPr>
          <w:b/>
          <w:bCs/>
          <w:szCs w:val="24"/>
          <w:lang w:val="en-US" w:eastAsia="en-US"/>
        </w:rPr>
        <w:t>Programme of Study:</w:t>
      </w:r>
      <w:r>
        <w:rPr>
          <w:szCs w:val="24"/>
          <w:lang w:val="en-US" w:eastAsia="en-US"/>
        </w:rPr>
        <w:br/>
      </w:r>
      <w:r>
        <w:rPr>
          <w:szCs w:val="24"/>
          <w:lang w:val="en-US" w:eastAsia="en-US"/>
        </w:rPr>
        <w:t>BA (Hons) Business and Management</w:t>
      </w:r>
    </w:p>
    <w:p>
      <w:pPr>
        <w:pStyle w:val="style0"/>
        <w:spacing w:before="100" w:beforeAutospacing="true" w:after="100" w:afterAutospacing="true"/>
        <w:jc w:val="center"/>
        <w:rPr>
          <w:szCs w:val="24"/>
          <w:lang w:val="en-US" w:eastAsia="en-US"/>
        </w:rPr>
      </w:pPr>
      <w:r>
        <w:rPr>
          <w:b/>
          <w:bCs/>
          <w:szCs w:val="24"/>
          <w:lang w:val="en-US" w:eastAsia="en-US"/>
        </w:rPr>
        <w:t>Module Title:</w:t>
      </w:r>
      <w:r>
        <w:rPr>
          <w:szCs w:val="24"/>
          <w:lang w:val="en-US" w:eastAsia="en-US"/>
        </w:rPr>
        <w:br/>
      </w:r>
      <w:r>
        <w:rPr>
          <w:szCs w:val="24"/>
          <w:lang w:val="en-US" w:eastAsia="en-US"/>
        </w:rPr>
        <w:t>Employability and Personal Development</w:t>
      </w:r>
    </w:p>
    <w:p>
      <w:pPr>
        <w:pStyle w:val="style0"/>
        <w:spacing w:before="100" w:beforeAutospacing="true" w:after="100" w:afterAutospacing="true"/>
        <w:jc w:val="center"/>
        <w:rPr>
          <w:szCs w:val="24"/>
          <w:lang w:val="en-US" w:eastAsia="en-US"/>
        </w:rPr>
      </w:pPr>
      <w:r>
        <w:rPr>
          <w:b/>
          <w:bCs/>
          <w:szCs w:val="24"/>
          <w:lang w:val="en-US" w:eastAsia="en-US"/>
        </w:rPr>
        <w:t>Assessment Title:</w:t>
      </w:r>
      <w:r>
        <w:rPr>
          <w:szCs w:val="24"/>
          <w:lang w:val="en-US" w:eastAsia="en-US"/>
        </w:rPr>
        <w:br/>
      </w:r>
      <w:r>
        <w:rPr>
          <w:szCs w:val="24"/>
          <w:lang w:val="en-US" w:eastAsia="en-US"/>
        </w:rPr>
        <w:t>Employability Skills Portfolio</w:t>
      </w:r>
      <w:r>
        <w:rPr>
          <w:szCs w:val="24"/>
          <w:lang w:val="en-US" w:eastAsia="en-US"/>
        </w:rPr>
        <w:br/>
      </w:r>
      <w:r>
        <w:rPr>
          <w:szCs w:val="24"/>
          <w:lang w:val="en-US" w:eastAsia="en-US"/>
        </w:rPr>
        <w:t>(Task 1, Task 2, Task 3)</w:t>
      </w:r>
    </w:p>
    <w:p>
      <w:pPr>
        <w:pStyle w:val="style0"/>
        <w:spacing w:before="100" w:beforeAutospacing="true" w:after="100" w:afterAutospacing="true"/>
        <w:jc w:val="center"/>
        <w:rPr>
          <w:b/>
          <w:szCs w:val="24"/>
          <w:lang w:val="en-US" w:eastAsia="en-US"/>
        </w:rPr>
      </w:pPr>
      <w:r>
        <w:rPr>
          <w:b/>
          <w:szCs w:val="24"/>
          <w:lang w:val="en-US" w:eastAsia="en-US"/>
        </w:rPr>
        <w:t>Student Name &amp; ID: Iosif-Daniel Chiriac (2419583)</w:t>
      </w:r>
    </w:p>
    <w:p>
      <w:pPr>
        <w:pStyle w:val="style0"/>
        <w:rPr>
          <w:lang w:eastAsia="en-US"/>
        </w:rPr>
      </w:pPr>
    </w:p>
    <w:p>
      <w:pPr>
        <w:pStyle w:val="style0"/>
        <w:rPr>
          <w:lang w:eastAsia="en-US"/>
        </w:rPr>
      </w:pPr>
    </w:p>
    <w:p>
      <w:pPr>
        <w:pStyle w:val="style0"/>
        <w:rPr>
          <w:lang w:eastAsia="en-US"/>
        </w:rPr>
      </w:pPr>
    </w:p>
    <w:p>
      <w:pPr>
        <w:pStyle w:val="style0"/>
        <w:rPr>
          <w:lang w:eastAsia="en-US"/>
        </w:rPr>
      </w:pPr>
    </w:p>
    <w:p>
      <w:pPr>
        <w:pStyle w:val="style0"/>
        <w:rPr>
          <w:lang w:eastAsia="en-US"/>
        </w:rPr>
      </w:pPr>
    </w:p>
    <w:p>
      <w:pPr>
        <w:pStyle w:val="style0"/>
        <w:rPr>
          <w:lang w:eastAsia="en-US"/>
        </w:rPr>
      </w:pPr>
    </w:p>
    <w:p>
      <w:pPr>
        <w:pStyle w:val="style0"/>
        <w:rPr>
          <w:lang w:eastAsia="en-US"/>
        </w:rPr>
      </w:pPr>
    </w:p>
    <w:p>
      <w:pPr>
        <w:pStyle w:val="style0"/>
        <w:rPr>
          <w:lang w:eastAsia="en-US"/>
        </w:rPr>
      </w:pPr>
    </w:p>
    <w:p>
      <w:pPr>
        <w:pStyle w:val="style0"/>
        <w:rPr>
          <w:lang w:eastAsia="en-US"/>
        </w:rPr>
      </w:pPr>
    </w:p>
    <w:p>
      <w:pPr>
        <w:pStyle w:val="style0"/>
        <w:rPr>
          <w:lang w:eastAsia="en-US"/>
        </w:rPr>
      </w:pPr>
    </w:p>
    <w:p>
      <w:pPr>
        <w:pStyle w:val="style1"/>
        <w:rPr/>
      </w:pPr>
      <w:r>
        <w:t>TASK 1: COMPARISON OF JOB ADVERTS</w:t>
      </w:r>
    </w:p>
    <w:p>
      <w:pPr>
        <w:pStyle w:val="style2"/>
        <w:rPr>
          <w:rStyle w:val="style87"/>
          <w:b/>
          <w:bCs w:val="false"/>
        </w:rPr>
      </w:pPr>
      <w:r>
        <w:rPr>
          <w:rStyle w:val="style87"/>
          <w:b/>
        </w:rPr>
        <w:t>Overview of Selected Profession</w:t>
      </w:r>
    </w:p>
    <w:p>
      <w:pPr>
        <w:pStyle w:val="style0"/>
        <w:rPr/>
      </w:pPr>
      <w:r>
        <w:t>The Car Sales Executive profession involves selling vehicles, advising customers, and meeting performance targets. This role aligns with my long-term goal of developing expertise in the automotive industry before establishing a future car-trading business.</w:t>
      </w:r>
    </w:p>
    <w:p>
      <w:pPr>
        <w:pStyle w:val="style2"/>
        <w:rPr>
          <w:rStyle w:val="style87"/>
          <w:b/>
        </w:rPr>
      </w:pPr>
      <w:r>
        <w:rPr>
          <w:rStyle w:val="style87"/>
          <w:b/>
        </w:rPr>
        <w:t>Summary of the Four Job Adverts</w:t>
      </w:r>
    </w:p>
    <w:tbl>
      <w:tblPr>
        <w:tblStyle w:val="style154"/>
        <w:tblW w:w="0" w:type="auto"/>
        <w:tblLook w:val="04A0" w:firstRow="1" w:lastRow="0" w:firstColumn="1" w:lastColumn="0" w:noHBand="0" w:noVBand="1"/>
      </w:tblPr>
      <w:tblGrid>
        <w:gridCol w:w="1255"/>
        <w:gridCol w:w="8095"/>
      </w:tblGrid>
      <w:tr>
        <w:trPr/>
        <w:tc>
          <w:tcPr>
            <w:tcW w:w="1255" w:type="dxa"/>
            <w:tcBorders/>
            <w:vAlign w:val="center"/>
          </w:tcPr>
          <w:p>
            <w:pPr>
              <w:pStyle w:val="style0"/>
              <w:jc w:val="center"/>
              <w:rPr>
                <w:b/>
              </w:rPr>
            </w:pPr>
            <w:r>
              <w:rPr>
                <w:b/>
              </w:rPr>
              <w:t>Advert 1</w:t>
            </w:r>
          </w:p>
        </w:tc>
        <w:tc>
          <w:tcPr>
            <w:tcW w:w="8095" w:type="dxa"/>
            <w:tcBorders/>
          </w:tcPr>
          <w:p>
            <w:pPr>
              <w:pStyle w:val="style0"/>
              <w:rPr/>
            </w:pPr>
            <w:r>
              <w:t>Franchised dealership role requiring customer greeting, vehicle presentation, and achievement of monthly sales targets; customer-service experience preferred.</w:t>
            </w:r>
          </w:p>
        </w:tc>
      </w:tr>
      <w:tr>
        <w:tblPrEx/>
        <w:trPr/>
        <w:tc>
          <w:tcPr>
            <w:tcW w:w="1255" w:type="dxa"/>
            <w:tcBorders/>
            <w:vAlign w:val="center"/>
          </w:tcPr>
          <w:p>
            <w:pPr>
              <w:pStyle w:val="style0"/>
              <w:jc w:val="center"/>
              <w:rPr>
                <w:b/>
              </w:rPr>
            </w:pPr>
            <w:r>
              <w:rPr>
                <w:b/>
              </w:rPr>
              <w:t>Advert 2</w:t>
            </w:r>
          </w:p>
        </w:tc>
        <w:tc>
          <w:tcPr>
            <w:tcW w:w="8095" w:type="dxa"/>
            <w:tcBorders/>
          </w:tcPr>
          <w:p>
            <w:pPr>
              <w:pStyle w:val="style0"/>
              <w:rPr/>
            </w:pPr>
            <w:r>
              <w:t>Used-car dealership emphasising negotiation, accurate valuations, and product knowledge; experience desirable but not essential</w:t>
            </w:r>
          </w:p>
        </w:tc>
      </w:tr>
      <w:tr>
        <w:tblPrEx/>
        <w:trPr/>
        <w:tc>
          <w:tcPr>
            <w:tcW w:w="1255" w:type="dxa"/>
            <w:tcBorders/>
            <w:vAlign w:val="center"/>
          </w:tcPr>
          <w:p>
            <w:pPr>
              <w:pStyle w:val="style0"/>
              <w:jc w:val="center"/>
              <w:rPr>
                <w:b/>
              </w:rPr>
            </w:pPr>
            <w:r>
              <w:rPr>
                <w:b/>
              </w:rPr>
              <w:t>Advert 3</w:t>
            </w:r>
          </w:p>
        </w:tc>
        <w:tc>
          <w:tcPr>
            <w:tcW w:w="8095" w:type="dxa"/>
            <w:tcBorders/>
          </w:tcPr>
          <w:p>
            <w:pPr>
              <w:pStyle w:val="style0"/>
              <w:rPr/>
            </w:pPr>
            <w:r>
              <w:t>Premium brand dealership focusing on professionalism, detailed brand understanding, and high-quality customer care.</w:t>
            </w:r>
          </w:p>
        </w:tc>
      </w:tr>
      <w:tr>
        <w:tblPrEx/>
        <w:trPr/>
        <w:tc>
          <w:tcPr>
            <w:tcW w:w="1255" w:type="dxa"/>
            <w:tcBorders/>
            <w:vAlign w:val="center"/>
          </w:tcPr>
          <w:p>
            <w:pPr>
              <w:pStyle w:val="style0"/>
              <w:jc w:val="center"/>
              <w:rPr>
                <w:b/>
              </w:rPr>
            </w:pPr>
            <w:r>
              <w:rPr>
                <w:b/>
              </w:rPr>
              <w:t>Advert 4</w:t>
            </w:r>
          </w:p>
        </w:tc>
        <w:tc>
          <w:tcPr>
            <w:tcW w:w="8095" w:type="dxa"/>
            <w:tcBorders/>
          </w:tcPr>
          <w:p>
            <w:pPr>
              <w:pStyle w:val="style94"/>
              <w:rPr/>
            </w:pPr>
            <w:r>
              <w:t>Multi-site dealership highlighting lead generation, test drives, digital enquiry handling, and meeting KPIs.</w:t>
            </w:r>
          </w:p>
        </w:tc>
      </w:tr>
    </w:tbl>
    <w:p>
      <w:pPr>
        <w:pStyle w:val="style0"/>
        <w:rPr/>
      </w:pPr>
    </w:p>
    <w:p>
      <w:pPr>
        <w:pStyle w:val="style2"/>
        <w:rPr>
          <w:rStyle w:val="style87"/>
          <w:b/>
        </w:rPr>
      </w:pPr>
      <w:r>
        <w:rPr>
          <w:rStyle w:val="style87"/>
          <w:b/>
        </w:rPr>
        <w:t>Key Skills and Knowledge Identified</w:t>
      </w:r>
    </w:p>
    <w:p>
      <w:pPr>
        <w:pStyle w:val="style0"/>
        <w:rPr>
          <w:lang w:val="en-US" w:eastAsia="en-US"/>
        </w:rPr>
      </w:pPr>
      <w:r>
        <w:rPr>
          <w:lang w:val="en-US" w:eastAsia="en-US"/>
        </w:rPr>
        <w:t xml:space="preserve">Among the most important ones are customer-service excellence that is required in the creation of positive buying experiences and brand reputation. Presentation of features of the vehicle and understanding customer needs are emphasized as communication skills, which is considered due to the results of the findings that a highly communicative background is one of the key elements of the service-sector employability </w:t>
      </w:r>
      <w:r>
        <w:rPr>
          <w:lang w:val="en-US" w:eastAsia="en-US"/>
        </w:rPr>
        <w:fldChar w:fldCharType="begin"/>
      </w:r>
      <w:r>
        <w:rPr>
          <w:lang w:val="en-US" w:eastAsia="en-US"/>
        </w:rPr>
        <w:instrText xml:space="preserve"> ADDIN EN.CITE &lt;EndNote&gt;&lt;Cite&gt;&lt;Author&gt;Kolade&lt;/Author&gt;&lt;Year&gt;2022&lt;/Year&gt;&lt;RecNum&gt;4686&lt;/RecNum&gt;&lt;DisplayText&gt;(Kolade et al., 2022)&lt;/DisplayText&gt;&lt;record&gt;&lt;rec-number&gt;4686&lt;/rec-number&gt;&lt;foreign-keys&gt;&lt;key app="EN" db-id="0avwfw92pdwdstesvs7v5er8zf5w2vdtr9r9" timestamp="1763428606"&gt;4686&lt;/key&gt;&lt;/foreign-keys&gt;&lt;ref-type name="Book"&gt;6&lt;/ref-type&gt;&lt;contributors&gt;&lt;authors&gt;&lt;author&gt;Kolade, Oluwaseun&lt;/author&gt;&lt;author&gt;Rae, David&lt;/author&gt;&lt;author&gt;Obembe, Demola&lt;/author&gt;&lt;author&gt;Woldesenbet, Kassa&lt;/author&gt;&lt;/authors&gt;&lt;/contributors&gt;&lt;titles&gt;&lt;title&gt;The Palgrave handbook of African entrepreneurship&lt;/title&gt;&lt;/titles&gt;&lt;dates&gt;&lt;year&gt;2022&lt;/year&gt;&lt;/dates&gt;&lt;publisher&gt;Springer&lt;/publisher&gt;&lt;isbn&gt;3030758931&lt;/isbn&gt;&lt;urls&gt;&lt;/urls&gt;&lt;/record&gt;&lt;/Cite&gt;&lt;/EndNote&gt;</w:instrText>
      </w:r>
      <w:r>
        <w:rPr>
          <w:lang w:val="en-US" w:eastAsia="en-US"/>
        </w:rPr>
        <w:fldChar w:fldCharType="separate"/>
      </w:r>
      <w:r>
        <w:rPr>
          <w:noProof/>
          <w:lang w:val="en-US" w:eastAsia="en-US"/>
        </w:rPr>
        <w:t>(Kolade et al., 2022)</w:t>
      </w:r>
      <w:r>
        <w:rPr>
          <w:lang w:val="en-US" w:eastAsia="en-US"/>
        </w:rPr>
        <w:fldChar w:fldCharType="end"/>
      </w:r>
      <w:r>
        <w:rPr>
          <w:lang w:val="en-US" w:eastAsia="en-US"/>
        </w:rPr>
        <w:t xml:space="preserve">. The skills in negotiation are the core of sales and gaining trust upon clients. Literature on the importance of </w:t>
      </w:r>
      <w:r>
        <w:rPr>
          <w:lang w:val="en-US" w:eastAsia="en-US"/>
        </w:rPr>
        <w:t>organizational</w:t>
      </w:r>
      <w:r>
        <w:rPr>
          <w:lang w:val="en-US" w:eastAsia="en-US"/>
        </w:rPr>
        <w:t xml:space="preserve"> skills as central employability competencies is relevant to time management to arrange appointments and test drives, and administrative duties </w:t>
      </w:r>
      <w:r>
        <w:rPr>
          <w:lang w:val="en-US" w:eastAsia="en-US"/>
        </w:rPr>
        <w:fldChar w:fldCharType="begin"/>
      </w:r>
      <w:r>
        <w:rPr>
          <w:lang w:val="en-US" w:eastAsia="en-US"/>
        </w:rPr>
        <w:instrText xml:space="preserve"> ADDIN EN.CITE &lt;EndNote&gt;&lt;Cite&gt;&lt;Author&gt;Hölttä&lt;/Author&gt;&lt;Year&gt;2022&lt;/Year&gt;&lt;RecNum&gt;4687&lt;/RecNum&gt;&lt;DisplayText&gt;(Hölttä, 2022)&lt;/DisplayText&gt;&lt;record&gt;&lt;rec-number&gt;4687&lt;/rec-number&gt;&lt;foreign-keys&gt;&lt;key app="EN" db-id="0avwfw92pdwdstesvs7v5er8zf5w2vdtr9r9" timestamp="1763428654"&gt;4687&lt;/key&gt;&lt;/foreign-keys&gt;&lt;ref-type name="Journal Article"&gt;17&lt;/ref-type&gt;&lt;contributors&gt;&lt;authors&gt;&lt;author&gt;Hölttä, Kaisa&lt;/author&gt;&lt;/authors&gt;&lt;/contributors&gt;&lt;titles&gt;&lt;title&gt;How to Enhance Graduate Employability in Higher Education?: Employability, Mentoring and Value&lt;/title&gt;&lt;/titles&gt;&lt;dates&gt;&lt;year&gt;2022&lt;/year&gt;&lt;/dates&gt;&lt;urls&gt;&lt;/urls&gt;&lt;/record&gt;&lt;/Cite&gt;&lt;/EndNote&gt;</w:instrText>
      </w:r>
      <w:r>
        <w:rPr>
          <w:lang w:val="en-US" w:eastAsia="en-US"/>
        </w:rPr>
        <w:fldChar w:fldCharType="separate"/>
      </w:r>
      <w:r>
        <w:rPr>
          <w:noProof/>
          <w:lang w:val="en-US" w:eastAsia="en-US"/>
        </w:rPr>
        <w:t>(Hölttä, 2022)</w:t>
      </w:r>
      <w:r>
        <w:rPr>
          <w:lang w:val="en-US" w:eastAsia="en-US"/>
        </w:rPr>
        <w:fldChar w:fldCharType="end"/>
      </w:r>
      <w:r>
        <w:rPr>
          <w:lang w:val="en-US" w:eastAsia="en-US"/>
        </w:rPr>
        <w:t xml:space="preserve">. This is a technical job as automotive product knowledge such as the features of the models and finance option are common. The knowledge of sales goals and KPIs is the indicator of commercial orientation of dealerships, which is in line with the research findings that the significance of performance indicators in the sales setting is rather high </w:t>
      </w:r>
      <w:r>
        <w:rPr>
          <w:lang w:val="en-US" w:eastAsia="en-US"/>
        </w:rPr>
        <w:fldChar w:fldCharType="begin"/>
      </w:r>
      <w:r>
        <w:rPr>
          <w:lang w:val="en-US" w:eastAsia="en-US"/>
        </w:rPr>
        <w:instrText xml:space="preserve"> ADDIN EN.CITE &lt;EndNote&gt;&lt;Cite&gt;&lt;Author&gt;Lu&lt;/Author&gt;&lt;Year&gt;2022&lt;/Year&gt;&lt;RecNum&gt;4688&lt;/RecNum&gt;&lt;DisplayText&gt;(Lu et al., 2022)&lt;/DisplayText&gt;&lt;record&gt;&lt;rec-number&gt;4688&lt;/rec-number&gt;&lt;foreign-keys&gt;&lt;key app="EN" db-id="0avwfw92pdwdstesvs7v5er8zf5w2vdtr9r9" timestamp="1763428677"&gt;4688&lt;/key&gt;&lt;/foreign-keys&gt;&lt;ref-type name="Book Section"&gt;5&lt;/ref-type&gt;&lt;contributors&gt;&lt;authors&gt;&lt;author&gt;Lu, Vinh N&lt;/author&gt;&lt;author&gt;Nghia, Tran Le Huu&lt;/author&gt;&lt;author&gt;Bui, Binh Chi&lt;/author&gt;&lt;author&gt;Singh, Jasvir Kaur Nachatar&lt;/author&gt;&lt;/authors&gt;&lt;/contributors&gt;&lt;titles&gt;&lt;title&gt;Reconceptualization of graduate employability for career advancement&lt;/title&gt;&lt;secondary-title&gt;Graduate Employability across contexts: Perspectives, initiatives and outcomes&lt;/secondary-title&gt;&lt;/titles&gt;&lt;pages&gt;367-393&lt;/pages&gt;&lt;dates&gt;&lt;year&gt;2022&lt;/year&gt;&lt;/dates&gt;&lt;publisher&gt;Springer&lt;/publisher&gt;&lt;urls&gt;&lt;/urls&gt;&lt;/record&gt;&lt;/Cite&gt;&lt;/EndNote&gt;</w:instrText>
      </w:r>
      <w:r>
        <w:rPr>
          <w:lang w:val="en-US" w:eastAsia="en-US"/>
        </w:rPr>
        <w:fldChar w:fldCharType="separate"/>
      </w:r>
      <w:r>
        <w:rPr>
          <w:noProof/>
          <w:lang w:val="en-US" w:eastAsia="en-US"/>
        </w:rPr>
        <w:t>(Lu et al., 2022)</w:t>
      </w:r>
      <w:r>
        <w:rPr>
          <w:lang w:val="en-US" w:eastAsia="en-US"/>
        </w:rPr>
        <w:fldChar w:fldCharType="end"/>
      </w:r>
      <w:r>
        <w:rPr>
          <w:lang w:val="en-US" w:eastAsia="en-US"/>
        </w:rPr>
        <w:t>.</w:t>
      </w:r>
    </w:p>
    <w:p>
      <w:pPr>
        <w:pStyle w:val="style2"/>
        <w:rPr>
          <w:rStyle w:val="style87"/>
          <w:b/>
        </w:rPr>
      </w:pPr>
      <w:r>
        <w:rPr>
          <w:rStyle w:val="style87"/>
          <w:b/>
        </w:rPr>
        <w:t>Common Skills Across Adverts</w:t>
      </w:r>
    </w:p>
    <w:p>
      <w:pPr>
        <w:pStyle w:val="style0"/>
        <w:rPr/>
      </w:pPr>
      <w:r>
        <w:t xml:space="preserve">All adverts consistently demand communication, customer service, negotiation, time management, and product knowledge, demonstrating their collective importance for achieving sales performance </w:t>
      </w:r>
      <w:r>
        <w:t>and maintaining customer satisfaction within competitive automotive markets.</w:t>
      </w:r>
      <w:r>
        <w:t xml:space="preserve"> </w:t>
      </w:r>
      <w:r>
        <w:t>My valeting experience and business studies provide transferable skills relevant to these expectations.</w:t>
      </w:r>
    </w:p>
    <w:p>
      <w:pPr>
        <w:pStyle w:val="style1"/>
        <w:rPr/>
      </w:pPr>
      <w:r>
        <w:t>TASK 2: SELF-ASSESSMENT AND EVIDENCE OF READINESS</w:t>
      </w:r>
    </w:p>
    <w:p>
      <w:pPr>
        <w:pStyle w:val="style2"/>
        <w:rPr>
          <w:lang w:val="en-US" w:eastAsia="en-US"/>
        </w:rPr>
      </w:pPr>
      <w:r>
        <w:rPr>
          <w:rFonts w:eastAsia="Times New Roman"/>
          <w:lang w:val="en-US" w:eastAsia="en-US"/>
        </w:rPr>
        <w:t xml:space="preserve">Introduction to Self-Assessment Tools </w:t>
      </w:r>
    </w:p>
    <w:p>
      <w:pPr>
        <w:pStyle w:val="style0"/>
        <w:rPr>
          <w:lang w:val="en-US" w:eastAsia="en-US"/>
        </w:rPr>
      </w:pPr>
      <w:r>
        <w:rPr>
          <w:lang w:val="en-US" w:eastAsia="en-US"/>
        </w:rPr>
        <w:t xml:space="preserve">SWOT analysis is a systematic diagnostic instrument that can be utilized to understand the internal strengths and weaknesses, external opportunities and threats that can be used to make evidence-based career planning. It has been found that systematic self-assessment is a proven way of improving employability by defining gaps in capabilities and providing focused developmental plans </w:t>
      </w:r>
      <w:r>
        <w:rPr>
          <w:lang w:val="en-US" w:eastAsia="en-US"/>
        </w:rPr>
        <w:fldChar w:fldCharType="begin"/>
      </w:r>
      <w:r>
        <w:rPr>
          <w:lang w:val="en-US" w:eastAsia="en-US"/>
        </w:rPr>
        <w:instrText xml:space="preserve"> ADDIN EN.CITE &lt;EndNote&gt;&lt;Cite&gt;&lt;Author&gt;Cruz&lt;/Author&gt;&lt;Year&gt;2023&lt;/Year&gt;&lt;RecNum&gt;4689&lt;/RecNum&gt;&lt;DisplayText&gt;(Cruz and Cruz, 2023)&lt;/DisplayText&gt;&lt;record&gt;&lt;rec-number&gt;4689&lt;/rec-number&gt;&lt;foreign-keys&gt;&lt;key app="EN" db-id="0avwfw92pdwdstesvs7v5er8zf5w2vdtr9r9" timestamp="1763428714"&gt;4689&lt;/key&gt;&lt;/foreign-keys&gt;&lt;ref-type name="Journal Article"&gt;17&lt;/ref-type&gt;&lt;contributors&gt;&lt;authors&gt;&lt;author&gt;Cruz, Jonathan L Dela&lt;/author&gt;&lt;author&gt;Cruz, Tessie L Dela&lt;/author&gt;&lt;/authors&gt;&lt;/contributors&gt;&lt;titles&gt;&lt;title&gt;Employment and employability skills of graduate school graduates in Tagudin Campus&lt;/title&gt;&lt;secondary-title&gt;International Journal of Multidisciplinary: Applied Business and Education Research&lt;/secondary-title&gt;&lt;/titles&gt;&lt;periodical&gt;&lt;full-title&gt;International Journal of Multidisciplinary: Applied Business and Education Research&lt;/full-title&gt;&lt;/periodical&gt;&lt;pages&gt;1129-1136&lt;/pages&gt;&lt;volume&gt;4&lt;/volume&gt;&lt;number&gt;4&lt;/number&gt;&lt;dates&gt;&lt;year&gt;2023&lt;/year&gt;&lt;/dates&gt;&lt;isbn&gt;2774-5368&lt;/isbn&gt;&lt;urls&gt;&lt;/urls&gt;&lt;/record&gt;&lt;/Cite&gt;&lt;/EndNote&gt;</w:instrText>
      </w:r>
      <w:r>
        <w:rPr>
          <w:lang w:val="en-US" w:eastAsia="en-US"/>
        </w:rPr>
        <w:fldChar w:fldCharType="separate"/>
      </w:r>
      <w:r>
        <w:rPr>
          <w:noProof/>
          <w:lang w:val="en-US" w:eastAsia="en-US"/>
        </w:rPr>
        <w:t>(Cruz and Cruz, 2023)</w:t>
      </w:r>
      <w:r>
        <w:rPr>
          <w:lang w:val="en-US" w:eastAsia="en-US"/>
        </w:rPr>
        <w:fldChar w:fldCharType="end"/>
      </w:r>
      <w:r>
        <w:rPr>
          <w:lang w:val="en-US" w:eastAsia="en-US"/>
        </w:rPr>
        <w:t>. It is relevant in that it fosters reflective decision-making and personal competencies in relation to labour-market expectations.</w:t>
      </w:r>
    </w:p>
    <w:p>
      <w:pPr>
        <w:pStyle w:val="style2"/>
        <w:rPr>
          <w:rFonts w:eastAsia="Times New Roman"/>
          <w:lang w:val="en-US" w:eastAsia="en-US"/>
        </w:rPr>
      </w:pPr>
      <w:r>
        <w:rPr>
          <w:rFonts w:eastAsia="Times New Roman"/>
          <w:lang w:val="en-US" w:eastAsia="en-US"/>
        </w:rPr>
        <w:t>SWOT Analysis</w:t>
      </w:r>
    </w:p>
    <w:tbl>
      <w:tblPr>
        <w:tblStyle w:val="style154"/>
        <w:tblW w:w="0" w:type="auto"/>
        <w:tblLook w:val="04A0" w:firstRow="1" w:lastRow="0" w:firstColumn="1" w:lastColumn="0" w:noHBand="0" w:noVBand="1"/>
      </w:tblPr>
      <w:tblGrid>
        <w:gridCol w:w="4675"/>
        <w:gridCol w:w="4675"/>
      </w:tblGrid>
      <w:tr>
        <w:trPr/>
        <w:tc>
          <w:tcPr>
            <w:tcW w:w="4675" w:type="dxa"/>
            <w:tcBorders/>
          </w:tcPr>
          <w:p>
            <w:pPr>
              <w:pStyle w:val="style0"/>
              <w:jc w:val="center"/>
              <w:rPr>
                <w:lang w:val="en-US" w:eastAsia="en-US"/>
              </w:rPr>
            </w:pPr>
            <w:r>
              <w:rPr>
                <w:b/>
                <w:bCs/>
                <w:szCs w:val="24"/>
                <w:lang w:val="en-US" w:eastAsia="en-US"/>
              </w:rPr>
              <w:t>Strengths</w:t>
            </w:r>
          </w:p>
        </w:tc>
        <w:tc>
          <w:tcPr>
            <w:tcW w:w="4675" w:type="dxa"/>
            <w:tcBorders/>
          </w:tcPr>
          <w:p>
            <w:pPr>
              <w:pStyle w:val="style0"/>
              <w:jc w:val="center"/>
              <w:rPr>
                <w:lang w:val="en-US" w:eastAsia="en-US"/>
              </w:rPr>
            </w:pPr>
            <w:r>
              <w:rPr>
                <w:b/>
                <w:bCs/>
                <w:szCs w:val="24"/>
                <w:lang w:val="en-US" w:eastAsia="en-US"/>
              </w:rPr>
              <w:t>Weaknesses</w:t>
            </w:r>
          </w:p>
        </w:tc>
      </w:tr>
      <w:tr>
        <w:tblPrEx/>
        <w:trPr/>
        <w:tc>
          <w:tcPr>
            <w:tcW w:w="4675" w:type="dxa"/>
            <w:tcBorders/>
          </w:tcPr>
          <w:p>
            <w:pPr>
              <w:pStyle w:val="style0"/>
              <w:rPr>
                <w:lang w:val="en-US" w:eastAsia="en-US"/>
              </w:rPr>
            </w:pPr>
            <w:r>
              <w:rPr>
                <w:lang w:val="en-US" w:eastAsia="en-US"/>
              </w:rPr>
              <w:t>My strong points are good cooperation in the performance of the valeting duties, good communication with other workers and managers, and regularity in my punctuality that made me meet the daily goals. I am very driven and ambitious and this motivates the constant improvement. Solution-finding was also evident in how to resolve unforeseen valeting problems, so that the customer was not disturbed. These advantages are a solid stepping stone towards an automotive sales-related position.</w:t>
            </w:r>
          </w:p>
        </w:tc>
        <w:tc>
          <w:tcPr>
            <w:tcW w:w="4675" w:type="dxa"/>
            <w:tcBorders/>
          </w:tcPr>
          <w:p>
            <w:pPr>
              <w:pStyle w:val="style0"/>
              <w:rPr>
                <w:lang w:val="en-US" w:eastAsia="en-US"/>
              </w:rPr>
            </w:pPr>
            <w:r>
              <w:rPr>
                <w:lang w:val="en-US" w:eastAsia="en-US"/>
              </w:rPr>
              <w:t>My weaknesses consist of the fact that I do not have direct experience in sales facing customers and this limits my confidence in using persuasive communication strategies. I am also yet to hone negotiation skills that would enable me to seal deals. My business ownership knowledge is still basic since I am still in my degree course and have not had any experience in entrepreneurship. These are weaknesses which explain why there should be a systematic development of skills.</w:t>
            </w:r>
          </w:p>
        </w:tc>
      </w:tr>
      <w:tr>
        <w:tblPrEx/>
        <w:trPr/>
        <w:tc>
          <w:tcPr>
            <w:tcW w:w="4675" w:type="dxa"/>
            <w:tcBorders/>
          </w:tcPr>
          <w:p>
            <w:pPr>
              <w:pStyle w:val="style0"/>
              <w:jc w:val="center"/>
              <w:rPr>
                <w:lang w:val="en-US" w:eastAsia="en-US"/>
              </w:rPr>
            </w:pPr>
            <w:r>
              <w:rPr>
                <w:b/>
                <w:bCs/>
                <w:szCs w:val="24"/>
                <w:lang w:val="en-US" w:eastAsia="en-US"/>
              </w:rPr>
              <w:t>Opportunities</w:t>
            </w:r>
          </w:p>
        </w:tc>
        <w:tc>
          <w:tcPr>
            <w:tcW w:w="4675" w:type="dxa"/>
            <w:tcBorders/>
          </w:tcPr>
          <w:p>
            <w:pPr>
              <w:pStyle w:val="style0"/>
              <w:jc w:val="center"/>
              <w:rPr>
                <w:lang w:val="en-US" w:eastAsia="en-US"/>
              </w:rPr>
            </w:pPr>
            <w:r>
              <w:rPr>
                <w:b/>
                <w:bCs/>
                <w:szCs w:val="24"/>
                <w:lang w:val="en-US" w:eastAsia="en-US"/>
              </w:rPr>
              <w:t>Threats</w:t>
            </w:r>
          </w:p>
        </w:tc>
      </w:tr>
      <w:tr>
        <w:tblPrEx/>
        <w:trPr/>
        <w:tc>
          <w:tcPr>
            <w:tcW w:w="4675" w:type="dxa"/>
            <w:tcBorders/>
          </w:tcPr>
          <w:p>
            <w:pPr>
              <w:pStyle w:val="style0"/>
              <w:rPr>
                <w:lang w:val="en-US" w:eastAsia="en-US"/>
              </w:rPr>
            </w:pPr>
            <w:r>
              <w:rPr>
                <w:lang w:val="en-US" w:eastAsia="en-US"/>
              </w:rPr>
              <w:t xml:space="preserve">Key opportunities include engaging with Business and Management modules that develop commercial awareness and </w:t>
            </w:r>
            <w:r>
              <w:rPr>
                <w:lang w:val="en-US" w:eastAsia="en-US"/>
              </w:rPr>
              <w:t>organizational</w:t>
            </w:r>
            <w:r>
              <w:rPr>
                <w:lang w:val="en-US" w:eastAsia="en-US"/>
              </w:rPr>
              <w:t xml:space="preserve"> understanding. </w:t>
            </w:r>
            <w:r>
              <w:rPr>
                <w:lang w:val="en-US" w:eastAsia="en-US"/>
              </w:rPr>
              <w:t xml:space="preserve">The chronicity </w:t>
            </w:r>
            <w:r>
              <w:rPr>
                <w:lang w:val="en-US" w:eastAsia="en-US"/>
              </w:rPr>
              <w:t>of exposure to the automotive environment gives an insight into how the dealership works. Potential placements may provide the customer facing experience that will facilitate the sales advancement. My long-term goal of building a car-trading business also opens additional prospects of entrepreneurial learning and strategic growth in an already known sector.</w:t>
            </w:r>
          </w:p>
        </w:tc>
        <w:tc>
          <w:tcPr>
            <w:tcW w:w="4675" w:type="dxa"/>
            <w:tcBorders/>
          </w:tcPr>
          <w:p>
            <w:pPr>
              <w:pStyle w:val="style0"/>
              <w:rPr>
                <w:lang w:val="en-US" w:eastAsia="en-US"/>
              </w:rPr>
            </w:pPr>
            <w:r>
              <w:rPr>
                <w:lang w:val="en-US" w:eastAsia="en-US"/>
              </w:rPr>
              <w:t xml:space="preserve">Significant threats arise from the competitive nature of automotive sales, where employers increasingly expect prior sales experience. </w:t>
            </w:r>
            <w:r>
              <w:rPr>
                <w:lang w:val="en-US" w:eastAsia="en-US"/>
              </w:rPr>
              <w:t xml:space="preserve">Negotiation and customer-handling skills </w:t>
            </w:r>
            <w:r>
              <w:rPr>
                <w:lang w:val="en-US" w:eastAsia="en-US"/>
              </w:rPr>
              <w:t>should be enhanced to be able to stay employed. The fluctuations in the economy may decrease the expenditure of consumers on vehicles, restricting the entry-level opportunities. Combining the university education and upskilling needs puts an extra burden, which may impede the career growth in case the time is not properly managed</w:t>
            </w:r>
            <w:r>
              <w:rPr>
                <w:lang w:val="en-US" w:eastAsia="en-US"/>
              </w:rPr>
              <w:t>.</w:t>
            </w:r>
          </w:p>
          <w:p>
            <w:pPr>
              <w:pStyle w:val="style0"/>
              <w:rPr>
                <w:lang w:val="en-US" w:eastAsia="en-US"/>
              </w:rPr>
            </w:pPr>
          </w:p>
        </w:tc>
      </w:tr>
    </w:tbl>
    <w:p>
      <w:pPr>
        <w:pStyle w:val="style0"/>
        <w:rPr>
          <w:lang w:val="en-US" w:eastAsia="en-US"/>
        </w:rPr>
      </w:pPr>
    </w:p>
    <w:p>
      <w:pPr>
        <w:pStyle w:val="style2"/>
        <w:rPr>
          <w:lang w:val="en-US" w:eastAsia="en-US"/>
        </w:rPr>
      </w:pPr>
      <w:r>
        <w:rPr>
          <w:rFonts w:eastAsia="Times New Roman"/>
          <w:bCs/>
          <w:lang w:val="en-US" w:eastAsia="en-US"/>
        </w:rPr>
        <w:t>Evidence of Employability Readiness</w:t>
      </w:r>
    </w:p>
    <w:p>
      <w:pPr>
        <w:pStyle w:val="style0"/>
        <w:rPr>
          <w:lang w:val="en-US" w:eastAsia="en-US"/>
        </w:rPr>
      </w:pPr>
      <w:r>
        <w:rPr>
          <w:lang w:val="en-US" w:eastAsia="en-US"/>
        </w:rPr>
        <w:t>My preparedness in employability is manifested in my practice and academic experiences that manifest identified dimensions of employability such as teamwork, problem-solving and self-management</w:t>
      </w:r>
      <w:r>
        <w:rPr>
          <w:b/>
          <w:lang w:val="en-US" w:eastAsia="en-US"/>
        </w:rPr>
        <w:t xml:space="preserve"> </w:t>
      </w:r>
      <w:r>
        <w:rPr>
          <w:lang w:val="en-US" w:eastAsia="en-US"/>
        </w:rPr>
        <w:fldChar w:fldCharType="begin"/>
      </w:r>
      <w:r>
        <w:rPr>
          <w:lang w:val="en-US" w:eastAsia="en-US"/>
        </w:rPr>
        <w:instrText xml:space="preserve"> ADDIN EN.CITE &lt;EndNote&gt;&lt;Cite&gt;&lt;Author&gt;Cheng&lt;/Author&gt;&lt;Year&gt;2022&lt;/Year&gt;&lt;RecNum&gt;4690&lt;/RecNum&gt;&lt;DisplayText&gt;(Cheng et al., 2022)&lt;/DisplayText&gt;&lt;record&gt;&lt;rec-number&gt;4690&lt;/rec-number&gt;&lt;foreign-keys&gt;&lt;key app="EN" db-id="0avwfw92pdwdstesvs7v5er8zf5w2vdtr9r9" timestamp="1763428766"&gt;4690&lt;/key&gt;&lt;/foreign-keys&gt;&lt;ref-type name="Journal Article"&gt;17&lt;/ref-type&gt;&lt;contributors&gt;&lt;authors&gt;&lt;author&gt;Cheng, Ming&lt;/author&gt;&lt;author&gt;Adekola, Olalekan&lt;/author&gt;&lt;author&gt;Albia, JoClarisse&lt;/author&gt;&lt;author&gt;Cai, Sanfa&lt;/author&gt;&lt;/authors&gt;&lt;/contributors&gt;&lt;titles&gt;&lt;title&gt;Employability in higher education: a review of key stakeholders&amp;apos; perspectives&lt;/title&gt;&lt;secondary-title&gt;Higher Education Evaluation and Development&lt;/secondary-title&gt;&lt;/titles&gt;&lt;periodical&gt;&lt;full-title&gt;Higher Education Evaluation and Development&lt;/full-title&gt;&lt;/periodical&gt;&lt;pages&gt;16-31&lt;/pages&gt;&lt;volume&gt;16&lt;/volume&gt;&lt;number&gt;1&lt;/number&gt;&lt;dates&gt;&lt;year&gt;2022&lt;/year&gt;&lt;/dates&gt;&lt;isbn&gt;2514-5789&lt;/isbn&gt;&lt;urls&gt;&lt;/urls&gt;&lt;/record&gt;&lt;/Cite&gt;&lt;/EndNote&gt;</w:instrText>
      </w:r>
      <w:r>
        <w:rPr>
          <w:lang w:val="en-US" w:eastAsia="en-US"/>
        </w:rPr>
        <w:fldChar w:fldCharType="separate"/>
      </w:r>
      <w:r>
        <w:rPr>
          <w:noProof/>
          <w:lang w:val="en-US" w:eastAsia="en-US"/>
        </w:rPr>
        <w:t>(Cheng et al., 2022)</w:t>
      </w:r>
      <w:r>
        <w:rPr>
          <w:lang w:val="en-US" w:eastAsia="en-US"/>
        </w:rPr>
        <w:fldChar w:fldCharType="end"/>
      </w:r>
      <w:r>
        <w:rPr>
          <w:lang w:val="en-US" w:eastAsia="en-US"/>
        </w:rPr>
        <w:t xml:space="preserve">. </w:t>
      </w:r>
      <w:r>
        <w:rPr>
          <w:lang w:val="en-US" w:eastAsia="en-US"/>
        </w:rPr>
        <w:t xml:space="preserve">As a valeting, I always worked with my colleagues on daily targets and was reliable and responsible, but was able to exercise quality. A time pressure of controlling several vehicles made me more </w:t>
      </w:r>
      <w:r>
        <w:rPr>
          <w:lang w:val="en-US" w:eastAsia="en-US"/>
        </w:rPr>
        <w:t>organizational</w:t>
      </w:r>
      <w:r>
        <w:rPr>
          <w:lang w:val="en-US" w:eastAsia="en-US"/>
        </w:rPr>
        <w:t xml:space="preserve"> and underlined the need to prioritize tasks. Limited interactions with customers facilitated consumer-based interactions, which led to the establishment of a clear workplace communication that would help in building confidence when interacting with different people. Business and Management modules</w:t>
      </w:r>
      <w:r>
        <w:rPr>
          <w:lang w:val="en-US" w:eastAsia="en-US"/>
        </w:rPr>
        <w:t>,</w:t>
      </w:r>
      <w:r>
        <w:rPr>
          <w:lang w:val="en-US" w:eastAsia="en-US"/>
        </w:rPr>
        <w:t xml:space="preserve"> </w:t>
      </w:r>
      <w:r>
        <w:rPr>
          <w:lang w:val="en-US" w:eastAsia="en-US"/>
        </w:rPr>
        <w:t>I have learned also contribute to my desire in commercial cognitions especially in marketing, organizational behaviour and operations processes. Evaluated group work has also helped me be a good contributor to the group objectives and reflect on performance to establish what I would do differently. My motivation to transition to automotive sales can be seen as a proactive focus in accordance with employability theory, which focuses on ongoing learning and flexibility as central sources of labour-market resilience</w:t>
      </w:r>
      <w:r>
        <w:rPr>
          <w:lang w:val="en-US" w:eastAsia="en-US"/>
        </w:rPr>
        <w:t>.</w:t>
      </w:r>
    </w:p>
    <w:p>
      <w:pPr>
        <w:pStyle w:val="style2"/>
        <w:rPr>
          <w:lang w:val="en-US" w:eastAsia="en-US"/>
        </w:rPr>
      </w:pPr>
      <w:r>
        <w:rPr>
          <w:rFonts w:eastAsia="Times New Roman"/>
          <w:lang w:val="en-US" w:eastAsia="en-US"/>
        </w:rPr>
        <w:t>Reflective Interpretation</w:t>
      </w:r>
    </w:p>
    <w:p>
      <w:pPr>
        <w:pStyle w:val="style0"/>
        <w:rPr>
          <w:lang w:val="en-US" w:eastAsia="en-US"/>
        </w:rPr>
      </w:pPr>
      <w:r>
        <w:rPr>
          <w:lang w:val="en-US" w:eastAsia="en-US"/>
        </w:rPr>
        <w:t>SWOT shows that my background skills are good, but I need specific training in negotiating, interacting with customers and gaining commercial confidence to achieve success in automotive sales. Sealing these gaps with organized education and experience in the industry will reinforce my preparedness to advance and sustain long-term goals of car-trading entrepreneurship</w:t>
      </w:r>
      <w:r>
        <w:rPr>
          <w:lang w:val="en-US" w:eastAsia="en-US"/>
        </w:rPr>
        <w:t>.</w:t>
      </w:r>
    </w:p>
    <w:p>
      <w:pPr>
        <w:pStyle w:val="style1"/>
        <w:rPr/>
      </w:pPr>
      <w:r>
        <w:t>TASK 3: GOALS AND PERSONAL DEVELOPMENT PLAN</w:t>
      </w:r>
    </w:p>
    <w:p>
      <w:pPr>
        <w:pStyle w:val="style2"/>
        <w:rPr>
          <w:lang w:val="en-US" w:eastAsia="en-US"/>
        </w:rPr>
      </w:pPr>
      <w:r>
        <w:rPr>
          <w:rFonts w:eastAsia="Times New Roman"/>
          <w:lang w:val="en-US" w:eastAsia="en-US"/>
        </w:rPr>
        <w:t>Linking SWOT Findings to Career Goals</w:t>
      </w:r>
    </w:p>
    <w:p>
      <w:pPr>
        <w:pStyle w:val="style0"/>
        <w:rPr>
          <w:lang w:val="en-US" w:eastAsia="en-US"/>
        </w:rPr>
      </w:pPr>
      <w:r>
        <w:rPr>
          <w:lang w:val="en-US" w:eastAsia="en-US"/>
        </w:rPr>
        <w:t xml:space="preserve">My SWOT highlights weaknesses in negotiation, customer engagement, and entrepreneurial knowledge, while opportunities arise from academic learning and industry exposure. These findings shape my immediate and future goals, ensuring they respond to identified development needs. Research shows development pathways are most effective when linked directly to diagnostic insights </w:t>
      </w:r>
      <w:r>
        <w:rPr>
          <w:lang w:val="en-US" w:eastAsia="en-US"/>
        </w:rPr>
        <w:fldChar w:fldCharType="begin"/>
      </w:r>
      <w:r>
        <w:rPr>
          <w:lang w:val="en-US" w:eastAsia="en-US"/>
        </w:rPr>
        <w:instrText xml:space="preserve"> ADDIN EN.CITE &lt;EndNote&gt;&lt;Cite&gt;&lt;Author&gt;Goh&lt;/Author&gt;&lt;Year&gt;2024&lt;/Year&gt;&lt;RecNum&gt;4691&lt;/RecNum&gt;&lt;DisplayText&gt;(Goh et al., 2024)&lt;/DisplayText&gt;&lt;record&gt;&lt;rec-number&gt;4691&lt;/rec-number&gt;&lt;foreign-keys&gt;&lt;key app="EN" db-id="0avwfw92pdwdstesvs7v5er8zf5w2vdtr9r9" timestamp="1763428810"&gt;4691&lt;/key&gt;&lt;/foreign-keys&gt;&lt;ref-type name="Journal Article"&gt;17&lt;/ref-type&gt;&lt;contributors&gt;&lt;authors&gt;&lt;author&gt;Goh, Ethan&lt;/author&gt;&lt;author&gt;Gallo, Robert&lt;/author&gt;&lt;author&gt;Hom, Jason&lt;/author&gt;&lt;author&gt;Strong, Eric&lt;/author&gt;&lt;author&gt;Weng, Yingjie&lt;/author&gt;&lt;author&gt;Kerman, Hannah&lt;/author&gt;&lt;author&gt;Cool, Joséphine A&lt;/author&gt;&lt;author&gt;Kanjee, Zahir&lt;/author&gt;&lt;author&gt;Parsons, Andrew S&lt;/author&gt;&lt;author&gt;Ahuja, Neera&lt;/author&gt;&lt;/authors&gt;&lt;/contributors&gt;&lt;titles&gt;&lt;title&gt;Large language model influence on diagnostic reasoning: a randomized clinical trial&lt;/title&gt;&lt;secondary-title&gt;JAMA network open&lt;/secondary-title&gt;&lt;/titles&gt;&lt;periodical&gt;&lt;full-title&gt;JAMA network open&lt;/full-title&gt;&lt;/periodical&gt;&lt;pages&gt;e2440969-e2440969&lt;/pages&gt;&lt;volume&gt;7&lt;/volume&gt;&lt;number&gt;10&lt;/number&gt;&lt;dates&gt;&lt;year&gt;2024&lt;/year&gt;&lt;/dates&gt;&lt;urls&gt;&lt;/urls&gt;&lt;/record&gt;&lt;/Cite&gt;&lt;/EndNote&gt;</w:instrText>
      </w:r>
      <w:r>
        <w:rPr>
          <w:lang w:val="en-US" w:eastAsia="en-US"/>
        </w:rPr>
        <w:fldChar w:fldCharType="separate"/>
      </w:r>
      <w:r>
        <w:rPr>
          <w:noProof/>
          <w:lang w:val="en-US" w:eastAsia="en-US"/>
        </w:rPr>
        <w:t>(Goh et al., 2024)</w:t>
      </w:r>
      <w:r>
        <w:rPr>
          <w:lang w:val="en-US" w:eastAsia="en-US"/>
        </w:rPr>
        <w:fldChar w:fldCharType="end"/>
      </w:r>
      <w:r>
        <w:rPr>
          <w:lang w:val="en-US" w:eastAsia="en-US"/>
        </w:rPr>
        <w:t>.</w:t>
      </w:r>
    </w:p>
    <w:tbl>
      <w:tblPr>
        <w:tblStyle w:val="style154"/>
        <w:tblW w:w="0" w:type="auto"/>
        <w:tblLook w:val="04A0" w:firstRow="1" w:lastRow="0" w:firstColumn="1" w:lastColumn="0" w:noHBand="0" w:noVBand="1"/>
      </w:tblPr>
      <w:tblGrid>
        <w:gridCol w:w="4675"/>
        <w:gridCol w:w="4675"/>
      </w:tblGrid>
      <w:tr>
        <w:trPr/>
        <w:tc>
          <w:tcPr>
            <w:tcW w:w="4675" w:type="dxa"/>
            <w:tcBorders/>
          </w:tcPr>
          <w:p>
            <w:pPr>
              <w:pStyle w:val="style0"/>
              <w:spacing w:before="100" w:beforeAutospacing="true" w:after="100" w:afterAutospacing="true"/>
              <w:jc w:val="center"/>
              <w:rPr>
                <w:b/>
                <w:bCs/>
                <w:szCs w:val="24"/>
                <w:lang w:val="en-US" w:eastAsia="en-US"/>
              </w:rPr>
            </w:pPr>
            <w:r>
              <w:rPr>
                <w:b/>
                <w:bCs/>
                <w:szCs w:val="24"/>
                <w:lang w:val="en-US" w:eastAsia="en-US"/>
              </w:rPr>
              <w:t>Short-Term Career Goals</w:t>
            </w:r>
          </w:p>
        </w:tc>
        <w:tc>
          <w:tcPr>
            <w:tcW w:w="4675" w:type="dxa"/>
            <w:tcBorders/>
          </w:tcPr>
          <w:p>
            <w:pPr>
              <w:pStyle w:val="style0"/>
              <w:jc w:val="center"/>
              <w:rPr>
                <w:lang w:val="en-US" w:eastAsia="en-US"/>
              </w:rPr>
            </w:pPr>
            <w:r>
              <w:rPr>
                <w:b/>
                <w:bCs/>
                <w:szCs w:val="24"/>
                <w:lang w:val="en-US" w:eastAsia="en-US"/>
              </w:rPr>
              <w:t>Long-Term Career Goals</w:t>
            </w:r>
          </w:p>
        </w:tc>
      </w:tr>
      <w:tr>
        <w:tblPrEx/>
        <w:trPr/>
        <w:tc>
          <w:tcPr>
            <w:tcW w:w="4675" w:type="dxa"/>
            <w:tcBorders/>
          </w:tcPr>
          <w:p>
            <w:pPr>
              <w:pStyle w:val="style0"/>
              <w:rPr>
                <w:lang w:val="en-US" w:eastAsia="en-US"/>
              </w:rPr>
            </w:pPr>
            <w:r>
              <w:rPr>
                <w:lang w:val="en-US" w:eastAsia="en-US"/>
              </w:rPr>
              <w:t xml:space="preserve">My short-term objectives are aimed at establishing the background sales. First, I will get organized customer-facing experience in the setting of my current dealership. Having experienced customers also improves adaptability and intensifies service competence that is essential in commercial performance in a sales environment </w:t>
            </w:r>
            <w:r>
              <w:rPr>
                <w:lang w:val="en-US" w:eastAsia="en-US"/>
              </w:rPr>
              <w:fldChar w:fldCharType="begin"/>
            </w:r>
            <w:r>
              <w:rPr>
                <w:lang w:val="en-US" w:eastAsia="en-US"/>
              </w:rPr>
              <w:instrText xml:space="preserve"> ADDIN EN.CITE &lt;EndNote&gt;&lt;Cite&gt;&lt;Author&gt;King&lt;/Author&gt;&lt;Year&gt;2021&lt;/Year&gt;&lt;RecNum&gt;4692&lt;/RecNum&gt;&lt;DisplayText&gt;(King et al., 2021)&lt;/DisplayText&gt;&lt;record&gt;&lt;rec-number&gt;4692&lt;/rec-number&gt;&lt;foreign-keys&gt;&lt;key app="EN" db-id="0avwfw92pdwdstesvs7v5er8zf5w2vdtr9r9" timestamp="1763428842"&gt;4692&lt;/key&gt;&lt;/foreign-keys&gt;&lt;ref-type name="Journal Article"&gt;17&lt;/ref-type&gt;&lt;contributors&gt;&lt;authors&gt;&lt;author&gt;King, Rachel&lt;/author&gt;&lt;author&gt;Taylor, Bethany&lt;/author&gt;&lt;author&gt;Talpur, Ashfaque&lt;/author&gt;&lt;author&gt;Jackson, Carolyn&lt;/author&gt;&lt;author&gt;Manley, Kim&lt;/author&gt;&lt;author&gt;Ashby, Nichola&lt;/author&gt;&lt;author&gt;Tod, Angela&lt;/author&gt;&lt;author&gt;Ryan, Tony&lt;/author&gt;&lt;author&gt;Wood, Emily&lt;/author&gt;&lt;author&gt;Senek, Michaela&lt;/author&gt;&lt;/authors&gt;&lt;/contributors&gt;&lt;titles&gt;&lt;title&gt;Factors that optimise the impact of continuing professional development in nursing: A rapid evidence review&lt;/title&gt;&lt;secondary-title&gt;Nurse education today&lt;/secondary-title&gt;&lt;/titles&gt;&lt;periodical&gt;&lt;full-title&gt;Nurse education today&lt;/full-title&gt;&lt;/periodical&gt;&lt;pages&gt;104652&lt;/pages&gt;&lt;volume&gt;98&lt;/volume&gt;&lt;dates&gt;&lt;year&gt;2021&lt;/year&gt;&lt;/dates&gt;&lt;isbn&gt;0260-6917&lt;/isbn&gt;&lt;urls&gt;&lt;/urls&gt;&lt;/record&gt;&lt;/Cite&gt;&lt;/EndNote&gt;</w:instrText>
            </w:r>
            <w:r>
              <w:rPr>
                <w:lang w:val="en-US" w:eastAsia="en-US"/>
              </w:rPr>
              <w:fldChar w:fldCharType="separate"/>
            </w:r>
            <w:r>
              <w:rPr>
                <w:noProof/>
                <w:lang w:val="en-US" w:eastAsia="en-US"/>
              </w:rPr>
              <w:t>(King et al., 2021)</w:t>
            </w:r>
            <w:r>
              <w:rPr>
                <w:lang w:val="en-US" w:eastAsia="en-US"/>
              </w:rPr>
              <w:fldChar w:fldCharType="end"/>
            </w:r>
            <w:r>
              <w:rPr>
                <w:lang w:val="en-US" w:eastAsia="en-US"/>
              </w:rPr>
              <w:t xml:space="preserve">. Second, I will undertake short sales-techniques and customer-service-practice courses. It is demonstrated that persuasive communication and pressure decision-making are supported by targeted micro-learning </w:t>
            </w:r>
            <w:r>
              <w:rPr>
                <w:lang w:val="en-US" w:eastAsia="en-US"/>
              </w:rPr>
              <w:fldChar w:fldCharType="begin"/>
            </w:r>
            <w:r>
              <w:rPr>
                <w:lang w:val="en-US" w:eastAsia="en-US"/>
              </w:rPr>
              <w:instrText xml:space="preserve"> ADDIN EN.CITE &lt;EndNote&gt;&lt;Cite&gt;&lt;Author&gt;Hamadneh&lt;/Author&gt;&lt;Year&gt;2024&lt;/Year&gt;&lt;RecNum&gt;4694&lt;/RecNum&gt;&lt;DisplayText&gt;(Hamadneh et al., 2024)&lt;/DisplayText&gt;&lt;record&gt;&lt;rec-number&gt;4694&lt;/rec-number&gt;&lt;foreign-keys&gt;&lt;key app="EN" db-id="0avwfw92pdwdstesvs7v5er8zf5w2vdtr9r9" timestamp="1763428901"&gt;4694&lt;/key&gt;&lt;/foreign-keys&gt;&lt;ref-type name="Journal Article"&gt;17&lt;/ref-type&gt;&lt;contributors&gt;&lt;authors&gt;&lt;author&gt;Hamadneh, Tareq&lt;/author&gt;&lt;author&gt;Batiha, Belal&lt;/author&gt;&lt;author&gt;Al-Baik, Osama&lt;/author&gt;&lt;author&gt;Bektemyssova, Gulnara&lt;/author&gt;&lt;author&gt;Montazeri, Zeinab&lt;/author&gt;&lt;author&gt;Werner, Frank&lt;/author&gt;&lt;author&gt;Dhiman, Gaurav&lt;/author&gt;&lt;author&gt;Dehghani, Mohammad&lt;/author&gt;&lt;/authors&gt;&lt;/contributors&gt;&lt;titles&gt;&lt;title&gt;Sales Training Based Optimization: A New Human-inspired Metaheuristic Approach for Supply Chain Management&lt;/title&gt;&lt;secondary-title&gt;International Journal of Intelligent Engineering &amp;amp; Systems&lt;/secondary-title&gt;&lt;/titles&gt;&lt;periodical&gt;&lt;full-title&gt;International Journal of Intelligent Engineering &amp;amp; Systems&lt;/full-title&gt;&lt;/periodical&gt;&lt;volume&gt;17&lt;/volume&gt;&lt;number&gt;6&lt;/number&gt;&lt;dates&gt;&lt;year&gt;2024&lt;/year&gt;&lt;/dates&gt;&lt;isbn&gt;2185-310X&lt;/isbn&gt;&lt;urls&gt;&lt;/urls&gt;&lt;/record&gt;&lt;/Cite&gt;&lt;/EndNote&gt;</w:instrText>
            </w:r>
            <w:r>
              <w:rPr>
                <w:lang w:val="en-US" w:eastAsia="en-US"/>
              </w:rPr>
              <w:fldChar w:fldCharType="separate"/>
            </w:r>
            <w:r>
              <w:rPr>
                <w:noProof/>
                <w:lang w:val="en-US" w:eastAsia="en-US"/>
              </w:rPr>
              <w:t>(Hamadneh et al., 2024)</w:t>
            </w:r>
            <w:r>
              <w:rPr>
                <w:lang w:val="en-US" w:eastAsia="en-US"/>
              </w:rPr>
              <w:fldChar w:fldCharType="end"/>
            </w:r>
            <w:r>
              <w:rPr>
                <w:lang w:val="en-US" w:eastAsia="en-US"/>
              </w:rPr>
              <w:t xml:space="preserve">. Third, I would like to improve the negotiation skills with the help of university-based real-life simulations, as experiential learning improves the confidence and </w:t>
            </w:r>
            <w:r>
              <w:rPr>
                <w:lang w:val="en-US" w:eastAsia="en-US"/>
              </w:rPr>
              <w:t>behavioral</w:t>
            </w:r>
            <w:r>
              <w:rPr>
                <w:lang w:val="en-US" w:eastAsia="en-US"/>
              </w:rPr>
              <w:t xml:space="preserve"> performance in role-play situations greatly </w:t>
            </w:r>
            <w:r>
              <w:rPr>
                <w:lang w:val="en-US" w:eastAsia="en-US"/>
              </w:rPr>
              <w:fldChar w:fldCharType="begin"/>
            </w:r>
            <w:r>
              <w:rPr>
                <w:lang w:val="en-US" w:eastAsia="en-US"/>
              </w:rPr>
              <w:instrText xml:space="preserve"> ADDIN EN.CITE &lt;EndNote&gt;&lt;Cite&gt;&lt;Author&gt;Taneja&lt;/Author&gt;&lt;Year&gt;2022&lt;/Year&gt;&lt;RecNum&gt;4695&lt;/RecNum&gt;&lt;DisplayText&gt;(Taneja et al., 2022)&lt;/DisplayText&gt;&lt;record&gt;&lt;rec-number&gt;4695&lt;/rec-number&gt;&lt;foreign-keys&gt;&lt;key app="EN" db-id="0avwfw92pdwdstesvs7v5er8zf5w2vdtr9r9" timestamp="1763428924"&gt;4695&lt;/key&gt;&lt;/foreign-keys&gt;&lt;ref-type name="Journal Article"&gt;17&lt;/ref-type&gt;&lt;contributors&gt;&lt;authors&gt;&lt;author&gt;Taneja, Mohit&lt;/author&gt;&lt;author&gt;Kiran, Ravi&lt;/author&gt;&lt;author&gt;Bose, SC&lt;/author&gt;&lt;/authors&gt;&lt;/contributors&gt;&lt;titles&gt;&lt;title&gt;Critical analysis of Kolb experiential learning process: Gender perspective&lt;/title&gt;&lt;secondary-title&gt;International journal of health sciences&lt;/secondary-title&gt;&lt;/titles&gt;&lt;periodical&gt;&lt;full-title&gt;International journal of health sciences&lt;/full-title&gt;&lt;/periodical&gt;&lt;pages&gt;8713-8723&lt;/pages&gt;&lt;number&gt;I&lt;/number&gt;&lt;dates&gt;&lt;year&gt;2022&lt;/year&gt;&lt;/dates&gt;&lt;isbn&gt;2550-696X&lt;/isbn&gt;&lt;urls&gt;&lt;/urls&gt;&lt;/record&gt;&lt;/Cite&gt;&lt;/EndNote&gt;</w:instrText>
            </w:r>
            <w:r>
              <w:rPr>
                <w:lang w:val="en-US" w:eastAsia="en-US"/>
              </w:rPr>
              <w:fldChar w:fldCharType="separate"/>
            </w:r>
            <w:r>
              <w:rPr>
                <w:noProof/>
                <w:lang w:val="en-US" w:eastAsia="en-US"/>
              </w:rPr>
              <w:t>(Taneja et al., 2022)</w:t>
            </w:r>
            <w:r>
              <w:rPr>
                <w:lang w:val="en-US" w:eastAsia="en-US"/>
              </w:rPr>
              <w:fldChar w:fldCharType="end"/>
            </w:r>
            <w:r>
              <w:rPr>
                <w:lang w:val="en-US" w:eastAsia="en-US"/>
              </w:rPr>
              <w:t xml:space="preserve">. Lastly, I will absorb other pertinent Business and Management modules material to broaden my commercial knowledge, especially in the area </w:t>
            </w:r>
            <w:r>
              <w:rPr>
                <w:lang w:val="en-US" w:eastAsia="en-US"/>
              </w:rPr>
              <w:t xml:space="preserve">of marketing, consumer decision making and operation processes. </w:t>
            </w:r>
            <w:r>
              <w:rPr>
                <w:lang w:val="en-US" w:eastAsia="en-US"/>
              </w:rPr>
              <w:t>This scholarly background supports discriminatory opinion when handling the customers and my ability to draw parallels among the product attributes and the customer needs. All these goals address the competency shortcomings in the short run and present the required basis to make a transition to a Car Sales Executive job.</w:t>
            </w:r>
          </w:p>
        </w:tc>
        <w:tc>
          <w:tcPr>
            <w:tcW w:w="4675" w:type="dxa"/>
            <w:tcBorders/>
          </w:tcPr>
          <w:p>
            <w:pPr>
              <w:pStyle w:val="style0"/>
              <w:rPr>
                <w:lang w:val="en-US" w:eastAsia="en-US"/>
              </w:rPr>
            </w:pPr>
            <w:r>
              <w:rPr>
                <w:lang w:val="en-US" w:eastAsia="en-US"/>
              </w:rPr>
              <w:t xml:space="preserve">My career objectives will be to achieve progressive growth and entrepreneurial preparedness. First, I will progress into a full car sales executive job, as professional sales jobs create high-end commercial cognizance and customer-relationship management, and these are at the core of the employability in dynamic markets </w:t>
            </w:r>
            <w:r>
              <w:rPr>
                <w:lang w:val="en-US" w:eastAsia="en-US"/>
              </w:rPr>
              <w:fldChar w:fldCharType="begin"/>
            </w:r>
            <w:r>
              <w:rPr>
                <w:lang w:val="en-US" w:eastAsia="en-US"/>
              </w:rPr>
              <w:instrText xml:space="preserve"> ADDIN EN.CITE &lt;EndNote&gt;&lt;Cite&gt;&lt;Author&gt;Glaveli&lt;/Author&gt;&lt;Year&gt;2023&lt;/Year&gt;&lt;RecNum&gt;4693&lt;/RecNum&gt;&lt;DisplayText&gt;(Glaveli et al., 2023)&lt;/DisplayText&gt;&lt;record&gt;&lt;rec-number&gt;4693&lt;/rec-number&gt;&lt;foreign-keys&gt;&lt;key app="EN" db-id="0avwfw92pdwdstesvs7v5er8zf5w2vdtr9r9" timestamp="1763428870"&gt;4693&lt;/key&gt;&lt;/foreign-keys&gt;&lt;ref-type name="Journal Article"&gt;17&lt;/ref-type&gt;&lt;contributors&gt;&lt;authors&gt;&lt;author&gt;Glaveli, Niki&lt;/author&gt;&lt;author&gt;Papadimitriou, Dimitra&lt;/author&gt;&lt;author&gt;Karagiorgos, Thomas&lt;/author&gt;&lt;author&gt;Alexandris, Kostas&lt;/author&gt;&lt;/authors&gt;&lt;/contributors&gt;&lt;titles&gt;&lt;title&gt;Exploring the role of fitness instructors’ interaction quality skills in building customer trust in the service provider and customer satisfaction&lt;/title&gt;&lt;secondary-title&gt;European Sport Management Quarterly&lt;/secondary-title&gt;&lt;/titles&gt;&lt;periodical&gt;&lt;full-title&gt;European sport management quarterly&lt;/full-title&gt;&lt;/periodical&gt;&lt;pages&gt;767-788&lt;/pages&gt;&lt;volume&gt;23&lt;/volume&gt;&lt;number&gt;3&lt;/number&gt;&lt;dates&gt;&lt;year&gt;2023&lt;/year&gt;&lt;/dates&gt;&lt;isbn&gt;1618-4742&lt;/isbn&gt;&lt;urls&gt;&lt;/urls&gt;&lt;/record&gt;&lt;/Cite&gt;&lt;/EndNote&gt;</w:instrText>
            </w:r>
            <w:r>
              <w:rPr>
                <w:lang w:val="en-US" w:eastAsia="en-US"/>
              </w:rPr>
              <w:fldChar w:fldCharType="separate"/>
            </w:r>
            <w:r>
              <w:rPr>
                <w:noProof/>
                <w:lang w:val="en-US" w:eastAsia="en-US"/>
              </w:rPr>
              <w:t>(Glaveli et al., 2023)</w:t>
            </w:r>
            <w:r>
              <w:rPr>
                <w:lang w:val="en-US" w:eastAsia="en-US"/>
              </w:rPr>
              <w:fldChar w:fldCharType="end"/>
            </w:r>
            <w:r>
              <w:rPr>
                <w:lang w:val="en-US" w:eastAsia="en-US"/>
              </w:rPr>
              <w:t xml:space="preserve">. Second, my goal is to ensure that I am an all-knowing product in terms of new technologies in the automotive market because the expertise of a specialist enhances customer loyalty and higher rates of sales. Third, I will seek an established degree in sales or automotive management. Studies show that formal certification increases credibility, improves labour-market positioning and makes the individual prepared to take up leadership and entrepreneurial positions </w:t>
            </w:r>
            <w:r>
              <w:rPr>
                <w:lang w:val="en-US" w:eastAsia="en-US"/>
              </w:rPr>
              <w:fldChar w:fldCharType="begin"/>
            </w:r>
            <w:r>
              <w:rPr>
                <w:lang w:val="en-US" w:eastAsia="en-US"/>
              </w:rPr>
              <w:instrText xml:space="preserve"> ADDIN EN.CITE &lt;EndNote&gt;&lt;Cite&gt;&lt;Author&gt;Andriamahery&lt;/Author&gt;&lt;Year&gt;2022&lt;/Year&gt;&lt;RecNum&gt;4696&lt;/RecNum&gt;&lt;DisplayText&gt;(Andriamahery and Qamruzzaman, 2022)&lt;/DisplayText&gt;&lt;record&gt;&lt;rec-number&gt;4696&lt;/rec-number&gt;&lt;foreign-keys&gt;&lt;key app="EN" db-id="0avwfw92pdwdstesvs7v5er8zf5w2vdtr9r9" timestamp="1763428948"&gt;4696&lt;/key&gt;&lt;/foreign-keys&gt;&lt;ref-type name="Journal Article"&gt;17&lt;/ref-type&gt;&lt;contributors&gt;&lt;authors&gt;&lt;author&gt;Andriamahery, Anselme&lt;/author&gt;&lt;author&gt;Qamruzzaman, Md&lt;/author&gt;&lt;/authors&gt;&lt;/contributors&gt;&lt;titles&gt;&lt;title&gt;Do access to finance, technical know-how, and financial literacy offer women empowerment through women’s entrepreneurial development?&lt;/title&gt;&lt;secondary-title&gt;Frontiers in psychology&lt;/secondary-title&gt;&lt;/titles&gt;&lt;periodical&gt;&lt;full-title&gt;Frontiers in Psychology&lt;/full-title&gt;&lt;/periodical&gt;&lt;pages&gt;776844&lt;/pages&gt;&lt;volume&gt;12&lt;/volume&gt;&lt;dates&gt;&lt;year&gt;2022&lt;/year&gt;&lt;/dates&gt;&lt;isbn&gt;1664-1078&lt;/isbn&gt;&lt;urls&gt;&lt;/urls&gt;&lt;/record&gt;&lt;/Cite&gt;&lt;/EndNote&gt;</w:instrText>
            </w:r>
            <w:r>
              <w:rPr>
                <w:lang w:val="en-US" w:eastAsia="en-US"/>
              </w:rPr>
              <w:fldChar w:fldCharType="separate"/>
            </w:r>
            <w:r>
              <w:rPr>
                <w:noProof/>
                <w:lang w:val="en-US" w:eastAsia="en-US"/>
              </w:rPr>
              <w:t>(Andriamahery and Qamruzzaman, 2022)</w:t>
            </w:r>
            <w:r>
              <w:rPr>
                <w:lang w:val="en-US" w:eastAsia="en-US"/>
              </w:rPr>
              <w:fldChar w:fldCharType="end"/>
            </w:r>
            <w:r>
              <w:rPr>
                <w:lang w:val="en-US" w:eastAsia="en-US"/>
              </w:rPr>
              <w:t xml:space="preserve">. Lastly, I will embark on developing a long-term business strategy of a future car-trading business based on supply </w:t>
            </w:r>
            <w:r>
              <w:rPr>
                <w:lang w:val="en-US" w:eastAsia="en-US"/>
              </w:rPr>
              <w:t xml:space="preserve">chain, regulatory frameworks, and competition pressures analysis. </w:t>
            </w:r>
            <w:r>
              <w:rPr>
                <w:lang w:val="en-US" w:eastAsia="en-US"/>
              </w:rPr>
              <w:t>This will be prepared upfront that will streamline my decision making and minimize start-up risk. Combined, these goals are indications of my wish to integrate the experience in the industry, as well as various business projects of mine</w:t>
            </w:r>
            <w:r>
              <w:rPr>
                <w:lang w:val="en-US" w:eastAsia="en-US"/>
              </w:rPr>
              <w:t>.</w:t>
            </w:r>
          </w:p>
        </w:tc>
      </w:tr>
    </w:tbl>
    <w:p>
      <w:pPr>
        <w:pStyle w:val="style0"/>
        <w:rPr>
          <w:rFonts w:eastAsia="宋体"/>
          <w:lang w:val="en-US" w:eastAsia="en-US"/>
        </w:rPr>
      </w:pPr>
    </w:p>
    <w:p>
      <w:pPr>
        <w:pStyle w:val="style2"/>
        <w:rPr>
          <w:lang w:val="en-US" w:eastAsia="en-US"/>
        </w:rPr>
      </w:pPr>
      <w:r>
        <w:rPr>
          <w:rFonts w:eastAsia="Times New Roman"/>
          <w:lang w:val="en-US" w:eastAsia="en-US"/>
        </w:rPr>
        <w:t>Detailed Personal Development Pla</w:t>
      </w:r>
      <w:r>
        <w:rPr>
          <w:rFonts w:eastAsia="Times New Roman"/>
          <w:lang w:val="en-US" w:eastAsia="en-US"/>
        </w:rPr>
        <w:t>n</w:t>
      </w:r>
    </w:p>
    <w:tbl>
      <w:tblPr>
        <w:tblStyle w:val="style154"/>
        <w:tblW w:w="0" w:type="auto"/>
        <w:tblLook w:val="04A0" w:firstRow="1" w:lastRow="0" w:firstColumn="1" w:lastColumn="0" w:noHBand="0" w:noVBand="1"/>
      </w:tblPr>
      <w:tblGrid>
        <w:gridCol w:w="2076"/>
        <w:gridCol w:w="2559"/>
        <w:gridCol w:w="1236"/>
        <w:gridCol w:w="1597"/>
        <w:gridCol w:w="1889"/>
      </w:tblGrid>
      <w:tr>
        <w:trPr/>
        <w:tc>
          <w:tcPr>
            <w:tcW w:w="0" w:type="auto"/>
            <w:tcBorders/>
            <w:hideMark/>
          </w:tcPr>
          <w:p>
            <w:pPr>
              <w:pStyle w:val="style0"/>
              <w:jc w:val="center"/>
              <w:rPr>
                <w:b/>
                <w:bCs/>
                <w:szCs w:val="24"/>
                <w:lang w:val="en-US" w:eastAsia="en-US"/>
              </w:rPr>
            </w:pPr>
            <w:r>
              <w:rPr>
                <w:b/>
                <w:bCs/>
                <w:szCs w:val="24"/>
                <w:lang w:val="en-US" w:eastAsia="en-US"/>
              </w:rPr>
              <w:t>Development Area</w:t>
            </w:r>
          </w:p>
        </w:tc>
        <w:tc>
          <w:tcPr>
            <w:tcW w:w="0" w:type="auto"/>
            <w:tcBorders/>
            <w:hideMark/>
          </w:tcPr>
          <w:p>
            <w:pPr>
              <w:pStyle w:val="style0"/>
              <w:jc w:val="center"/>
              <w:rPr>
                <w:b/>
                <w:bCs/>
                <w:szCs w:val="24"/>
                <w:lang w:val="en-US" w:eastAsia="en-US"/>
              </w:rPr>
            </w:pPr>
            <w:r>
              <w:rPr>
                <w:b/>
                <w:bCs/>
                <w:szCs w:val="24"/>
                <w:lang w:val="en-US" w:eastAsia="en-US"/>
              </w:rPr>
              <w:t>Actions</w:t>
            </w:r>
          </w:p>
        </w:tc>
        <w:tc>
          <w:tcPr>
            <w:tcW w:w="0" w:type="auto"/>
            <w:tcBorders/>
            <w:hideMark/>
          </w:tcPr>
          <w:p>
            <w:pPr>
              <w:pStyle w:val="style0"/>
              <w:jc w:val="center"/>
              <w:rPr>
                <w:b/>
                <w:bCs/>
                <w:szCs w:val="24"/>
                <w:lang w:val="en-US" w:eastAsia="en-US"/>
              </w:rPr>
            </w:pPr>
            <w:r>
              <w:rPr>
                <w:b/>
                <w:bCs/>
                <w:szCs w:val="24"/>
                <w:lang w:val="en-US" w:eastAsia="en-US"/>
              </w:rPr>
              <w:t>Timeline</w:t>
            </w:r>
          </w:p>
        </w:tc>
        <w:tc>
          <w:tcPr>
            <w:tcW w:w="0" w:type="auto"/>
            <w:tcBorders/>
            <w:hideMark/>
          </w:tcPr>
          <w:p>
            <w:pPr>
              <w:pStyle w:val="style0"/>
              <w:jc w:val="center"/>
              <w:rPr>
                <w:b/>
                <w:bCs/>
                <w:szCs w:val="24"/>
                <w:lang w:val="en-US" w:eastAsia="en-US"/>
              </w:rPr>
            </w:pPr>
            <w:r>
              <w:rPr>
                <w:b/>
                <w:bCs/>
                <w:szCs w:val="24"/>
                <w:lang w:val="en-US" w:eastAsia="en-US"/>
              </w:rPr>
              <w:t>Required Resources</w:t>
            </w:r>
          </w:p>
        </w:tc>
        <w:tc>
          <w:tcPr>
            <w:tcW w:w="0" w:type="auto"/>
            <w:tcBorders/>
            <w:hideMark/>
          </w:tcPr>
          <w:p>
            <w:pPr>
              <w:pStyle w:val="style0"/>
              <w:jc w:val="center"/>
              <w:rPr>
                <w:b/>
                <w:bCs/>
                <w:szCs w:val="24"/>
                <w:lang w:val="en-US" w:eastAsia="en-US"/>
              </w:rPr>
            </w:pPr>
            <w:r>
              <w:rPr>
                <w:b/>
                <w:bCs/>
                <w:szCs w:val="24"/>
                <w:lang w:val="en-US" w:eastAsia="en-US"/>
              </w:rPr>
              <w:t>Measurement of Progress</w:t>
            </w:r>
          </w:p>
        </w:tc>
      </w:tr>
      <w:tr>
        <w:tblPrEx/>
        <w:trPr/>
        <w:tc>
          <w:tcPr>
            <w:tcW w:w="0" w:type="auto"/>
            <w:tcBorders/>
            <w:hideMark/>
          </w:tcPr>
          <w:p>
            <w:pPr>
              <w:pStyle w:val="style0"/>
              <w:jc w:val="left"/>
              <w:rPr>
                <w:szCs w:val="24"/>
                <w:lang w:val="en-US" w:eastAsia="en-US"/>
              </w:rPr>
            </w:pPr>
            <w:r>
              <w:rPr>
                <w:szCs w:val="24"/>
                <w:lang w:val="en-US" w:eastAsia="en-US"/>
              </w:rPr>
              <w:t>Customer-facing experience</w:t>
            </w:r>
          </w:p>
        </w:tc>
        <w:tc>
          <w:tcPr>
            <w:tcW w:w="0" w:type="auto"/>
            <w:tcBorders/>
            <w:hideMark/>
          </w:tcPr>
          <w:p>
            <w:pPr>
              <w:pStyle w:val="style0"/>
              <w:jc w:val="left"/>
              <w:rPr>
                <w:szCs w:val="24"/>
                <w:lang w:val="en-US" w:eastAsia="en-US"/>
              </w:rPr>
            </w:pPr>
            <w:r>
              <w:rPr>
                <w:szCs w:val="24"/>
                <w:lang w:val="en-US" w:eastAsia="en-US"/>
              </w:rPr>
              <w:t>Assist sales staff, handle enquiries</w:t>
            </w:r>
          </w:p>
        </w:tc>
        <w:tc>
          <w:tcPr>
            <w:tcW w:w="0" w:type="auto"/>
            <w:tcBorders/>
            <w:hideMark/>
          </w:tcPr>
          <w:p>
            <w:pPr>
              <w:pStyle w:val="style0"/>
              <w:jc w:val="left"/>
              <w:rPr>
                <w:szCs w:val="24"/>
                <w:lang w:val="en-US" w:eastAsia="en-US"/>
              </w:rPr>
            </w:pPr>
            <w:r>
              <w:rPr>
                <w:szCs w:val="24"/>
                <w:lang w:val="en-US" w:eastAsia="en-US"/>
              </w:rPr>
              <w:t>Six months</w:t>
            </w:r>
          </w:p>
        </w:tc>
        <w:tc>
          <w:tcPr>
            <w:tcW w:w="0" w:type="auto"/>
            <w:tcBorders/>
            <w:hideMark/>
          </w:tcPr>
          <w:p>
            <w:pPr>
              <w:pStyle w:val="style0"/>
              <w:jc w:val="left"/>
              <w:rPr>
                <w:szCs w:val="24"/>
                <w:lang w:val="en-US" w:eastAsia="en-US"/>
              </w:rPr>
            </w:pPr>
            <w:r>
              <w:rPr>
                <w:szCs w:val="24"/>
                <w:lang w:val="en-US" w:eastAsia="en-US"/>
              </w:rPr>
              <w:t>Supervisor guidance</w:t>
            </w:r>
          </w:p>
        </w:tc>
        <w:tc>
          <w:tcPr>
            <w:tcW w:w="0" w:type="auto"/>
            <w:tcBorders/>
            <w:hideMark/>
          </w:tcPr>
          <w:p>
            <w:pPr>
              <w:pStyle w:val="style0"/>
              <w:jc w:val="left"/>
              <w:rPr>
                <w:szCs w:val="24"/>
                <w:lang w:val="en-US" w:eastAsia="en-US"/>
              </w:rPr>
            </w:pPr>
            <w:r>
              <w:rPr>
                <w:szCs w:val="24"/>
                <w:lang w:val="en-US" w:eastAsia="en-US"/>
              </w:rPr>
              <w:t>Customer-interaction logs</w:t>
            </w:r>
          </w:p>
        </w:tc>
      </w:tr>
      <w:tr>
        <w:tblPrEx/>
        <w:trPr/>
        <w:tc>
          <w:tcPr>
            <w:tcW w:w="0" w:type="auto"/>
            <w:tcBorders/>
            <w:hideMark/>
          </w:tcPr>
          <w:p>
            <w:pPr>
              <w:pStyle w:val="style0"/>
              <w:jc w:val="left"/>
              <w:rPr>
                <w:szCs w:val="24"/>
                <w:lang w:val="en-US" w:eastAsia="en-US"/>
              </w:rPr>
            </w:pPr>
            <w:r>
              <w:rPr>
                <w:szCs w:val="24"/>
                <w:lang w:val="en-US" w:eastAsia="en-US"/>
              </w:rPr>
              <w:t>Negotiation skills</w:t>
            </w:r>
          </w:p>
        </w:tc>
        <w:tc>
          <w:tcPr>
            <w:tcW w:w="0" w:type="auto"/>
            <w:tcBorders/>
            <w:hideMark/>
          </w:tcPr>
          <w:p>
            <w:pPr>
              <w:pStyle w:val="style0"/>
              <w:jc w:val="left"/>
              <w:rPr>
                <w:szCs w:val="24"/>
                <w:lang w:val="en-US" w:eastAsia="en-US"/>
              </w:rPr>
            </w:pPr>
            <w:r>
              <w:rPr>
                <w:szCs w:val="24"/>
                <w:lang w:val="en-US" w:eastAsia="en-US"/>
              </w:rPr>
              <w:t xml:space="preserve">Attend workshops, </w:t>
            </w:r>
            <w:r>
              <w:rPr>
                <w:szCs w:val="24"/>
                <w:lang w:val="en-US" w:eastAsia="en-US"/>
              </w:rPr>
              <w:t>practice</w:t>
            </w:r>
            <w:r>
              <w:rPr>
                <w:szCs w:val="24"/>
                <w:lang w:val="en-US" w:eastAsia="en-US"/>
              </w:rPr>
              <w:t xml:space="preserve"> weekly role-plays</w:t>
            </w:r>
          </w:p>
        </w:tc>
        <w:tc>
          <w:tcPr>
            <w:tcW w:w="0" w:type="auto"/>
            <w:tcBorders/>
            <w:hideMark/>
          </w:tcPr>
          <w:p>
            <w:pPr>
              <w:pStyle w:val="style0"/>
              <w:jc w:val="left"/>
              <w:rPr>
                <w:szCs w:val="24"/>
                <w:lang w:val="en-US" w:eastAsia="en-US"/>
              </w:rPr>
            </w:pPr>
            <w:r>
              <w:rPr>
                <w:szCs w:val="24"/>
                <w:lang w:val="en-US" w:eastAsia="en-US"/>
              </w:rPr>
              <w:t>Eight months</w:t>
            </w:r>
          </w:p>
        </w:tc>
        <w:tc>
          <w:tcPr>
            <w:tcW w:w="0" w:type="auto"/>
            <w:tcBorders/>
            <w:hideMark/>
          </w:tcPr>
          <w:p>
            <w:pPr>
              <w:pStyle w:val="style0"/>
              <w:jc w:val="left"/>
              <w:rPr>
                <w:szCs w:val="24"/>
                <w:lang w:val="en-US" w:eastAsia="en-US"/>
              </w:rPr>
            </w:pPr>
            <w:r>
              <w:rPr>
                <w:szCs w:val="24"/>
                <w:lang w:val="en-US" w:eastAsia="en-US"/>
              </w:rPr>
              <w:t>University simulations</w:t>
            </w:r>
          </w:p>
        </w:tc>
        <w:tc>
          <w:tcPr>
            <w:tcW w:w="0" w:type="auto"/>
            <w:tcBorders/>
            <w:hideMark/>
          </w:tcPr>
          <w:p>
            <w:pPr>
              <w:pStyle w:val="style0"/>
              <w:jc w:val="left"/>
              <w:rPr>
                <w:szCs w:val="24"/>
                <w:lang w:val="en-US" w:eastAsia="en-US"/>
              </w:rPr>
            </w:pPr>
            <w:r>
              <w:rPr>
                <w:szCs w:val="24"/>
                <w:lang w:val="en-US" w:eastAsia="en-US"/>
              </w:rPr>
              <w:t>Performance rubrics</w:t>
            </w:r>
          </w:p>
        </w:tc>
      </w:tr>
      <w:tr>
        <w:tblPrEx/>
        <w:trPr/>
        <w:tc>
          <w:tcPr>
            <w:tcW w:w="0" w:type="auto"/>
            <w:tcBorders/>
            <w:hideMark/>
          </w:tcPr>
          <w:p>
            <w:pPr>
              <w:pStyle w:val="style0"/>
              <w:jc w:val="left"/>
              <w:rPr>
                <w:szCs w:val="24"/>
                <w:lang w:val="en-US" w:eastAsia="en-US"/>
              </w:rPr>
            </w:pPr>
            <w:r>
              <w:rPr>
                <w:szCs w:val="24"/>
                <w:lang w:val="en-US" w:eastAsia="en-US"/>
              </w:rPr>
              <w:t>Business knowledge</w:t>
            </w:r>
          </w:p>
        </w:tc>
        <w:tc>
          <w:tcPr>
            <w:tcW w:w="0" w:type="auto"/>
            <w:tcBorders/>
            <w:hideMark/>
          </w:tcPr>
          <w:p>
            <w:pPr>
              <w:pStyle w:val="style0"/>
              <w:jc w:val="left"/>
              <w:rPr>
                <w:szCs w:val="24"/>
                <w:lang w:val="en-US" w:eastAsia="en-US"/>
              </w:rPr>
            </w:pPr>
            <w:r>
              <w:rPr>
                <w:szCs w:val="24"/>
                <w:lang w:val="en-US" w:eastAsia="en-US"/>
              </w:rPr>
              <w:t>Complete entrepreneurship module, research regulations</w:t>
            </w:r>
          </w:p>
        </w:tc>
        <w:tc>
          <w:tcPr>
            <w:tcW w:w="0" w:type="auto"/>
            <w:tcBorders/>
            <w:hideMark/>
          </w:tcPr>
          <w:p>
            <w:pPr>
              <w:pStyle w:val="style0"/>
              <w:jc w:val="left"/>
              <w:rPr>
                <w:szCs w:val="24"/>
                <w:lang w:val="en-US" w:eastAsia="en-US"/>
              </w:rPr>
            </w:pPr>
            <w:r>
              <w:rPr>
                <w:szCs w:val="24"/>
                <w:lang w:val="en-US" w:eastAsia="en-US"/>
              </w:rPr>
              <w:t>Twelve months</w:t>
            </w:r>
          </w:p>
        </w:tc>
        <w:tc>
          <w:tcPr>
            <w:tcW w:w="0" w:type="auto"/>
            <w:tcBorders/>
            <w:hideMark/>
          </w:tcPr>
          <w:p>
            <w:pPr>
              <w:pStyle w:val="style0"/>
              <w:jc w:val="left"/>
              <w:rPr>
                <w:szCs w:val="24"/>
                <w:lang w:val="en-US" w:eastAsia="en-US"/>
              </w:rPr>
            </w:pPr>
            <w:r>
              <w:rPr>
                <w:szCs w:val="24"/>
                <w:lang w:val="en-US" w:eastAsia="en-US"/>
              </w:rPr>
              <w:t>Academic materials</w:t>
            </w:r>
          </w:p>
        </w:tc>
        <w:tc>
          <w:tcPr>
            <w:tcW w:w="0" w:type="auto"/>
            <w:tcBorders/>
            <w:hideMark/>
          </w:tcPr>
          <w:p>
            <w:pPr>
              <w:pStyle w:val="style0"/>
              <w:jc w:val="left"/>
              <w:rPr>
                <w:szCs w:val="24"/>
                <w:lang w:val="en-US" w:eastAsia="en-US"/>
              </w:rPr>
            </w:pPr>
            <w:r>
              <w:rPr>
                <w:szCs w:val="24"/>
                <w:lang w:val="en-US" w:eastAsia="en-US"/>
              </w:rPr>
              <w:t>Assessment outcomes</w:t>
            </w:r>
          </w:p>
        </w:tc>
      </w:tr>
      <w:tr>
        <w:tblPrEx/>
        <w:trPr/>
        <w:tc>
          <w:tcPr>
            <w:tcW w:w="0" w:type="auto"/>
            <w:tcBorders/>
            <w:hideMark/>
          </w:tcPr>
          <w:p>
            <w:pPr>
              <w:pStyle w:val="style0"/>
              <w:jc w:val="left"/>
              <w:rPr>
                <w:szCs w:val="24"/>
                <w:lang w:val="en-US" w:eastAsia="en-US"/>
              </w:rPr>
            </w:pPr>
            <w:r>
              <w:rPr>
                <w:szCs w:val="24"/>
                <w:lang w:val="en-US" w:eastAsia="en-US"/>
              </w:rPr>
              <w:t>Communication confidence</w:t>
            </w:r>
          </w:p>
        </w:tc>
        <w:tc>
          <w:tcPr>
            <w:tcW w:w="0" w:type="auto"/>
            <w:tcBorders/>
            <w:hideMark/>
          </w:tcPr>
          <w:p>
            <w:pPr>
              <w:pStyle w:val="style0"/>
              <w:jc w:val="left"/>
              <w:rPr>
                <w:szCs w:val="24"/>
                <w:lang w:val="en-US" w:eastAsia="en-US"/>
              </w:rPr>
            </w:pPr>
            <w:r>
              <w:rPr>
                <w:szCs w:val="24"/>
                <w:lang w:val="en-US" w:eastAsia="en-US"/>
              </w:rPr>
              <w:t>Deliver presentations, seek feedback</w:t>
            </w:r>
          </w:p>
        </w:tc>
        <w:tc>
          <w:tcPr>
            <w:tcW w:w="0" w:type="auto"/>
            <w:tcBorders/>
            <w:hideMark/>
          </w:tcPr>
          <w:p>
            <w:pPr>
              <w:pStyle w:val="style0"/>
              <w:jc w:val="left"/>
              <w:rPr>
                <w:szCs w:val="24"/>
                <w:lang w:val="en-US" w:eastAsia="en-US"/>
              </w:rPr>
            </w:pPr>
            <w:r>
              <w:rPr>
                <w:szCs w:val="24"/>
                <w:lang w:val="en-US" w:eastAsia="en-US"/>
              </w:rPr>
              <w:t>Ten months</w:t>
            </w:r>
          </w:p>
        </w:tc>
        <w:tc>
          <w:tcPr>
            <w:tcW w:w="0" w:type="auto"/>
            <w:tcBorders/>
            <w:hideMark/>
          </w:tcPr>
          <w:p>
            <w:pPr>
              <w:pStyle w:val="style0"/>
              <w:jc w:val="left"/>
              <w:rPr>
                <w:szCs w:val="24"/>
                <w:lang w:val="en-US" w:eastAsia="en-US"/>
              </w:rPr>
            </w:pPr>
            <w:r>
              <w:rPr>
                <w:szCs w:val="24"/>
                <w:lang w:val="en-US" w:eastAsia="en-US"/>
              </w:rPr>
              <w:t>Peer review tools</w:t>
            </w:r>
          </w:p>
        </w:tc>
        <w:tc>
          <w:tcPr>
            <w:tcW w:w="0" w:type="auto"/>
            <w:tcBorders/>
            <w:hideMark/>
          </w:tcPr>
          <w:p>
            <w:pPr>
              <w:pStyle w:val="style0"/>
              <w:jc w:val="left"/>
              <w:rPr>
                <w:szCs w:val="24"/>
                <w:lang w:val="en-US" w:eastAsia="en-US"/>
              </w:rPr>
            </w:pPr>
            <w:r>
              <w:rPr>
                <w:szCs w:val="24"/>
                <w:lang w:val="en-US" w:eastAsia="en-US"/>
              </w:rPr>
              <w:t>Presentation scores</w:t>
            </w:r>
          </w:p>
        </w:tc>
      </w:tr>
    </w:tbl>
    <w:p>
      <w:pPr>
        <w:pStyle w:val="style0"/>
        <w:rPr>
          <w:lang w:eastAsia="en-US"/>
        </w:rPr>
      </w:pPr>
      <w:r>
        <w:rPr>
          <w:lang w:val="en-US" w:eastAsia="en-US"/>
        </w:rPr>
        <w:t>This PDP is based on the accepted developmental principles that focus on the particular objectives, repetitive introspection, and quantifiable results</w:t>
      </w:r>
      <w:r>
        <w:rPr>
          <w:lang w:val="en-US" w:eastAsia="en-US"/>
        </w:rPr>
        <w:t xml:space="preserve"> </w:t>
      </w:r>
      <w:r>
        <w:rPr>
          <w:lang w:val="en-US" w:eastAsia="en-US"/>
        </w:rPr>
        <w:fldChar w:fldCharType="begin"/>
      </w:r>
      <w:r>
        <w:rPr>
          <w:lang w:val="en-US" w:eastAsia="en-US"/>
        </w:rPr>
        <w:instrText xml:space="preserve"> ADDIN EN.CITE &lt;EndNote&gt;&lt;Cite&gt;&lt;Author&gt;King&lt;/Author&gt;&lt;Year&gt;2021&lt;/Year&gt;&lt;RecNum&gt;4697&lt;/RecNum&gt;&lt;DisplayText&gt;(King et al., 2021)&lt;/DisplayText&gt;&lt;record&gt;&lt;rec-number&gt;4697&lt;/rec-number&gt;&lt;foreign-keys&gt;&lt;key app="EN" db-id="0avwfw92pdwdstesvs7v5er8zf5w2vdtr9r9" timestamp="1763428983"&gt;4697&lt;/key&gt;&lt;/foreign-keys&gt;&lt;ref-type name="Journal Article"&gt;17&lt;/ref-type&gt;&lt;contributors&gt;&lt;authors&gt;&lt;author&gt;King, Rachel&lt;/author&gt;&lt;author&gt;Taylor, Bethany&lt;/author&gt;&lt;author&gt;Talpur, Ashfaque&lt;/author&gt;&lt;author&gt;Jackson, Carolyn&lt;/author&gt;&lt;author&gt;Manley, Kim&lt;/author&gt;&lt;author&gt;Ashby, Nichola&lt;/author&gt;&lt;author&gt;Tod, Angela&lt;/author&gt;&lt;author&gt;Ryan, Tony&lt;/author&gt;&lt;author&gt;Wood, Emily&lt;/author&gt;&lt;author&gt;Senek, Michaela&lt;/author&gt;&lt;/authors&gt;&lt;/contributors&gt;&lt;titles&gt;&lt;title&gt;Factors that optimise the impact of continuing professional development in nursing: A rapid evidence review&lt;/title&gt;&lt;secondary-title&gt;Nurse education today&lt;/secondary-title&gt;&lt;/titles&gt;&lt;periodical&gt;&lt;full-title&gt;Nurse education today&lt;/full-title&gt;&lt;/periodical&gt;&lt;pages&gt;104652&lt;/pages&gt;&lt;volume&gt;98&lt;/volume&gt;&lt;dates&gt;&lt;year&gt;2021&lt;/year&gt;&lt;/dates&gt;&lt;isbn&gt;0260-6917&lt;/isbn&gt;&lt;urls&gt;&lt;/urls&gt;&lt;/record&gt;&lt;/Cite&gt;&lt;/EndNote&gt;</w:instrText>
      </w:r>
      <w:r>
        <w:rPr>
          <w:lang w:val="en-US" w:eastAsia="en-US"/>
        </w:rPr>
        <w:fldChar w:fldCharType="separate"/>
      </w:r>
      <w:r>
        <w:rPr>
          <w:noProof/>
          <w:lang w:val="en-US" w:eastAsia="en-US"/>
        </w:rPr>
        <w:t>(King et al., 2021)</w:t>
      </w:r>
      <w:r>
        <w:rPr>
          <w:lang w:val="en-US" w:eastAsia="en-US"/>
        </w:rPr>
        <w:fldChar w:fldCharType="end"/>
      </w:r>
      <w:r>
        <w:rPr>
          <w:lang w:val="en-US" w:eastAsia="en-US"/>
        </w:rPr>
        <w:t xml:space="preserve">. </w:t>
      </w:r>
      <w:r>
        <w:rPr>
          <w:lang w:val="en-US" w:eastAsia="en-US"/>
        </w:rPr>
        <w:t>It directly addresses the areas of weakness noted in my SWOT and incorporates systematic academic and occupational learning to help me sustain growth into higher-level sales jobs and entrepreneurial practice in the future. Career progression is enhanced in the PDP through formal development, making learning and practice congruent, and facilitates continuous competency acquisition to future automotive and entrepreneurial achievement.</w:t>
      </w:r>
    </w:p>
    <w:bookmarkStart w:id="0" w:name="_GoBack"/>
    <w:bookmarkEnd w:id="0"/>
    <w:p>
      <w:pPr>
        <w:pStyle w:val="style1"/>
        <w:rPr/>
      </w:pPr>
      <w:r>
        <w:t xml:space="preserve">References </w:t>
      </w:r>
    </w:p>
    <w:p>
      <w:pPr>
        <w:pStyle w:val="style4106"/>
        <w:spacing w:lineRule="auto" w:line="360"/>
        <w:ind w:left="720" w:hanging="720"/>
        <w:rPr/>
      </w:pPr>
      <w:r>
        <w:rPr>
          <w:lang w:eastAsia="en-US"/>
        </w:rPr>
        <w:fldChar w:fldCharType="begin"/>
      </w:r>
      <w:r>
        <w:rPr>
          <w:lang w:eastAsia="en-US"/>
        </w:rPr>
        <w:instrText xml:space="preserve"> ADDIN EN.REFLIST </w:instrText>
      </w:r>
      <w:r>
        <w:rPr>
          <w:lang w:eastAsia="en-US"/>
        </w:rPr>
        <w:fldChar w:fldCharType="separate"/>
      </w:r>
      <w:r>
        <w:t xml:space="preserve">Andriamahery, A. &amp; Qamruzzaman, M. 2022. Do access to finance, technical know-how, and financial literacy offer women empowerment through women’s entrepreneurial development? </w:t>
      </w:r>
      <w:r>
        <w:rPr>
          <w:i/>
        </w:rPr>
        <w:t>Frontiers in psychology,</w:t>
      </w:r>
      <w:r>
        <w:t xml:space="preserve"> 12</w:t>
      </w:r>
      <w:r>
        <w:rPr>
          <w:b/>
        </w:rPr>
        <w:t>,</w:t>
      </w:r>
      <w:r>
        <w:t xml:space="preserve"> 776844.</w:t>
      </w:r>
    </w:p>
    <w:p>
      <w:pPr>
        <w:pStyle w:val="style4106"/>
        <w:spacing w:lineRule="auto" w:line="360"/>
        <w:ind w:left="720" w:hanging="720"/>
        <w:rPr/>
      </w:pPr>
      <w:r>
        <w:t xml:space="preserve">Cheng, M., Adekola, O., Albia, J. &amp; Cai, S. 2022. Employability in higher education: a review of key stakeholders' perspectives. </w:t>
      </w:r>
      <w:r>
        <w:rPr>
          <w:i/>
        </w:rPr>
        <w:t>Higher Education Evaluation and Development,</w:t>
      </w:r>
      <w:r>
        <w:t xml:space="preserve"> 16</w:t>
      </w:r>
      <w:r>
        <w:rPr>
          <w:b/>
        </w:rPr>
        <w:t>,</w:t>
      </w:r>
      <w:r>
        <w:t xml:space="preserve"> 16-31.</w:t>
      </w:r>
    </w:p>
    <w:p>
      <w:pPr>
        <w:pStyle w:val="style4106"/>
        <w:spacing w:lineRule="auto" w:line="360"/>
        <w:ind w:left="720" w:hanging="720"/>
        <w:rPr/>
      </w:pPr>
      <w:r>
        <w:t xml:space="preserve">Cruz, J. L. D. &amp; Cruz, T. L. D. 2023. Employment and employability skills of graduate school graduates in Tagudin Campus. </w:t>
      </w:r>
      <w:r>
        <w:rPr>
          <w:i/>
        </w:rPr>
        <w:t>International Journal of Multidisciplinary: Applied Business and Education Research,</w:t>
      </w:r>
      <w:r>
        <w:t xml:space="preserve"> 4</w:t>
      </w:r>
      <w:r>
        <w:rPr>
          <w:b/>
        </w:rPr>
        <w:t>,</w:t>
      </w:r>
      <w:r>
        <w:t xml:space="preserve"> 1129-1136.</w:t>
      </w:r>
    </w:p>
    <w:p>
      <w:pPr>
        <w:pStyle w:val="style4106"/>
        <w:spacing w:lineRule="auto" w:line="360"/>
        <w:ind w:left="720" w:hanging="720"/>
        <w:rPr/>
      </w:pPr>
      <w:r>
        <w:t xml:space="preserve">Glaveli, N., Papadimitriou, D., Karagiorgos, T. &amp; Alexandris, K. 2023. Exploring the role of fitness instructors’ interaction quality skills in building customer trust in the service provider and customer satisfaction. </w:t>
      </w:r>
      <w:r>
        <w:rPr>
          <w:i/>
        </w:rPr>
        <w:t>European Sport Management Quarterly,</w:t>
      </w:r>
      <w:r>
        <w:t xml:space="preserve"> 23</w:t>
      </w:r>
      <w:r>
        <w:rPr>
          <w:b/>
        </w:rPr>
        <w:t>,</w:t>
      </w:r>
      <w:r>
        <w:t xml:space="preserve"> 767-788.</w:t>
      </w:r>
    </w:p>
    <w:p>
      <w:pPr>
        <w:pStyle w:val="style4106"/>
        <w:spacing w:lineRule="auto" w:line="360"/>
        <w:ind w:left="720" w:hanging="720"/>
        <w:rPr/>
      </w:pPr>
      <w:r>
        <w:t xml:space="preserve">Goh, E., Gallo, R., Hom, J., Strong, E., Weng, Y., Kerman, H., Cool, J. A., Kanjee, Z., Parsons, A. S. &amp; Ahuja, N. 2024. Large language model influence on diagnostic reasoning: a randomized clinical trial. </w:t>
      </w:r>
      <w:r>
        <w:rPr>
          <w:i/>
        </w:rPr>
        <w:t>JAMA network open,</w:t>
      </w:r>
      <w:r>
        <w:t xml:space="preserve"> 7</w:t>
      </w:r>
      <w:r>
        <w:rPr>
          <w:b/>
        </w:rPr>
        <w:t>,</w:t>
      </w:r>
      <w:r>
        <w:t xml:space="preserve"> e2440969-e2440969.</w:t>
      </w:r>
    </w:p>
    <w:p>
      <w:pPr>
        <w:pStyle w:val="style4106"/>
        <w:spacing w:lineRule="auto" w:line="360"/>
        <w:ind w:left="720" w:hanging="720"/>
        <w:rPr/>
      </w:pPr>
      <w:r>
        <w:t xml:space="preserve">Hamadneh, T., Batiha, B., Al-Baik, O., Bektemyssova, G., Montazeri, Z., Werner, F., Dhiman, G. &amp; Dehghani, M. 2024. Sales Training Based Optimization: A New Human-inspired Metaheuristic Approach for Supply Chain Management. </w:t>
      </w:r>
      <w:r>
        <w:rPr>
          <w:i/>
        </w:rPr>
        <w:t>International Journal of Intelligent Engineering &amp; Systems,</w:t>
      </w:r>
      <w:r>
        <w:t xml:space="preserve"> 17.</w:t>
      </w:r>
    </w:p>
    <w:p>
      <w:pPr>
        <w:pStyle w:val="style4106"/>
        <w:spacing w:lineRule="auto" w:line="360"/>
        <w:ind w:left="720" w:hanging="720"/>
        <w:rPr/>
      </w:pPr>
      <w:r>
        <w:t>Hölttä, K. 2022. How to Enhance Graduate Employability in Higher Education?: Employability, Mentoring and Value.</w:t>
      </w:r>
    </w:p>
    <w:p>
      <w:pPr>
        <w:pStyle w:val="style4106"/>
        <w:spacing w:lineRule="auto" w:line="360"/>
        <w:ind w:left="720" w:hanging="720"/>
        <w:rPr/>
      </w:pPr>
      <w:r>
        <w:t xml:space="preserve">King, R., Taylor, B., Talpur, A., Jackson, C., Manley, K., Ashby, N., Tod, A., Ryan, T., Wood, E. &amp; Senek, M. 2021. Factors that optimise the impact of continuing professional development in nursing: A rapid evidence review. </w:t>
      </w:r>
      <w:r>
        <w:rPr>
          <w:i/>
        </w:rPr>
        <w:t>Nurse education today,</w:t>
      </w:r>
      <w:r>
        <w:t xml:space="preserve"> 98</w:t>
      </w:r>
      <w:r>
        <w:rPr>
          <w:b/>
        </w:rPr>
        <w:t>,</w:t>
      </w:r>
      <w:r>
        <w:t xml:space="preserve"> 104652.</w:t>
      </w:r>
    </w:p>
    <w:p>
      <w:pPr>
        <w:pStyle w:val="style4106"/>
        <w:spacing w:lineRule="auto" w:line="360"/>
        <w:ind w:left="720" w:hanging="720"/>
        <w:rPr/>
      </w:pPr>
      <w:r>
        <w:t xml:space="preserve">Kolade, O., Rae, D., Obembe, D. &amp; Woldesenbet, K. 2022. </w:t>
      </w:r>
      <w:r>
        <w:rPr>
          <w:i/>
        </w:rPr>
        <w:t>The Palgrave handbook of African entrepreneurship</w:t>
      </w:r>
      <w:r>
        <w:t>, Springer.</w:t>
      </w:r>
    </w:p>
    <w:p>
      <w:pPr>
        <w:pStyle w:val="style4106"/>
        <w:spacing w:lineRule="auto" w:line="360"/>
        <w:ind w:left="720" w:hanging="720"/>
        <w:rPr/>
      </w:pPr>
      <w:r>
        <w:t xml:space="preserve">Lu, V. N., Nghia, T. L. H., Bui, B. C. &amp; Singh, J. K. N. 2022. Reconceptualization of graduate employability for career advancement. </w:t>
      </w:r>
      <w:r>
        <w:rPr>
          <w:i/>
        </w:rPr>
        <w:t>Graduate Employability across contexts: Perspectives, initiatives and outcomes.</w:t>
      </w:r>
      <w:r>
        <w:t xml:space="preserve"> Springer.</w:t>
      </w:r>
    </w:p>
    <w:p>
      <w:pPr>
        <w:pStyle w:val="style4106"/>
        <w:spacing w:lineRule="auto" w:line="360"/>
        <w:ind w:left="720" w:hanging="720"/>
        <w:rPr/>
      </w:pPr>
      <w:r>
        <w:t xml:space="preserve">Taneja, M., Kiran, R. &amp; Bose, S. 2022. Critical analysis of Kolb experiential learning process: Gender perspective. </w:t>
      </w:r>
      <w:r>
        <w:rPr>
          <w:i/>
        </w:rPr>
        <w:t>International journal of health sciences</w:t>
      </w:r>
      <w:r>
        <w:rPr>
          <w:b/>
        </w:rPr>
        <w:t>,</w:t>
      </w:r>
      <w:r>
        <w:t xml:space="preserve"> 8713-8723.</w:t>
      </w:r>
    </w:p>
    <w:p>
      <w:pPr>
        <w:pStyle w:val="style0"/>
        <w:rPr>
          <w:lang w:eastAsia="en-US"/>
        </w:rPr>
      </w:pPr>
      <w:r>
        <w:rPr>
          <w:lang w:eastAsia="en-US"/>
        </w:rPr>
        <w:fldChar w:fldCharType="end"/>
      </w:r>
    </w:p>
    <w:sectPr>
      <w:headerReference w:type="default" r:id="rId2"/>
      <w:footerReference w:type="default" r:id="rId3"/>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AFF" w:usb1="C0007843" w:usb2="00000009" w:usb3="00000000" w:csb0="000001FF" w:csb1="00000000"/>
  </w:font>
  <w:font w:name="Calibri">
    <w:altName w:val="Calibri"/>
    <w:panose1 w:val="020f0502020002030204"/>
    <w:charset w:val="00"/>
    <w:family w:val="swiss"/>
    <w:pitch w:val="variable"/>
    <w:sig w:usb0="E0002AFF" w:usb1="4000ACFF" w:usb2="00000001" w:usb3="00000000" w:csb0="000001FF" w:csb1="00000000"/>
  </w:font>
  <w:font w:name="Aptos">
    <w:altName w:val="Calibri"/>
    <w:panose1 w:val="00000000000000000000"/>
    <w:charset w:val="00"/>
    <w:family w:val="swiss"/>
    <w:pitch w:val="variable"/>
    <w:sig w:usb0="20000287" w:usb1="00000003" w:usb2="00000000" w:usb3="00000000" w:csb0="0000019F" w:csb1="00000000"/>
  </w:font>
  <w:font w:name="Arial">
    <w:altName w:val="Arial"/>
    <w:panose1 w:val="020b0604020002020204"/>
    <w:charset w:val="00"/>
    <w:family w:val="swiss"/>
    <w:pitch w:val="variable"/>
    <w:sig w:usb0="E0002AFF" w:usb1="C0007843" w:usb2="00000009" w:usb3="00000000" w:csb0="000001FF" w:csb1="00000000"/>
  </w:font>
  <w:font w:name="Calibri Light">
    <w:altName w:val="Calibri Light"/>
    <w:panose1 w:val="020f0302020002030204"/>
    <w:charset w:val="00"/>
    <w:family w:val="swiss"/>
    <w:pitch w:val="variable"/>
    <w:sig w:usb0="A0002AEF" w:usb1="4000207B" w:usb2="00000000" w:usb3="00000000" w:csb0="000001F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rPr/>
    </w:pPr>
    <w:r>
      <w:rPr>
        <w:rFonts w:ascii="Arial" w:cs="Arial" w:hAnsi="Arial"/>
        <w:noProof/>
      </w:rPr>
      <w:drawing>
        <wp:anchor distT="0" distB="0" distL="114300" distR="114300" simplePos="false" relativeHeight="2" behindDoc="false" locked="false" layoutInCell="true" allowOverlap="true">
          <wp:simplePos x="0" y="0"/>
          <wp:positionH relativeFrom="column">
            <wp:posOffset>-679450</wp:posOffset>
          </wp:positionH>
          <wp:positionV relativeFrom="paragraph">
            <wp:posOffset>-270510</wp:posOffset>
          </wp:positionV>
          <wp:extent cx="1496060" cy="526415"/>
          <wp:effectExtent l="0" t="0" r="8890" b="6985"/>
          <wp:wrapSquare wrapText="bothSides"/>
          <wp:docPr id="4097" name="Picture 1" descr="Discover University of Wales Trinity Saint Davi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 cstate="print"/>
                  <a:srcRect l="0" t="0" r="0" b="0"/>
                  <a:stretch/>
                </pic:blipFill>
                <pic:spPr>
                  <a:xfrm rot="0">
                    <a:off x="0" y="0"/>
                    <a:ext cx="1496060" cy="526415"/>
                  </a:xfrm>
                  <a:prstGeom prst="rect"/>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35DA7474"/>
    <w:lvl w:ilvl="0">
      <w:start w:val="1"/>
      <w:numFmt w:val="decimal"/>
      <w:lvlText w:val="%1."/>
      <w:lvlJc w:val="left"/>
      <w:pPr>
        <w:ind w:left="36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00000001"/>
    <w:multiLevelType w:val="multilevel"/>
    <w:tmpl w:val="B9BCD5A6"/>
    <w:lvl w:ilvl="0">
      <w:start w:val="1"/>
      <w:numFmt w:val="decimal"/>
      <w:pStyle w:val="style1"/>
      <w:lvlText w:val="%1."/>
      <w:lvlJc w:val="left"/>
      <w:pPr>
        <w:ind w:left="720" w:hanging="360"/>
      </w:pPr>
    </w:lvl>
    <w:lvl w:ilvl="1">
      <w:start w:val="1"/>
      <w:numFmt w:val="decimal"/>
      <w:pStyle w:val="style2"/>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nsid w:val="00000002"/>
    <w:multiLevelType w:val="multilevel"/>
    <w:tmpl w:val="97C2894C"/>
    <w:lvl w:ilvl="0">
      <w:start w:val="1"/>
      <w:numFmt w:val="decimal"/>
      <w:lvlText w:val="%1."/>
      <w:lvlJc w:val="left"/>
      <w:pPr>
        <w:tabs>
          <w:tab w:val="left" w:leader="none" w:pos="720"/>
        </w:tabs>
        <w:ind w:left="720" w:hanging="720"/>
      </w:pPr>
    </w:lvl>
    <w:lvl w:ilvl="1">
      <w:start w:val="1"/>
      <w:numFmt w:val="decimal"/>
      <w:lvlText w:val="%2."/>
      <w:lvlJc w:val="left"/>
      <w:pPr>
        <w:tabs>
          <w:tab w:val="left" w:leader="none" w:pos="1440"/>
        </w:tabs>
        <w:ind w:left="1440" w:hanging="720"/>
      </w:pPr>
    </w:lvl>
    <w:lvl w:ilvl="2">
      <w:start w:val="1"/>
      <w:numFmt w:val="decimal"/>
      <w:lvlText w:val="%3."/>
      <w:lvlJc w:val="left"/>
      <w:pPr>
        <w:tabs>
          <w:tab w:val="left" w:leader="none" w:pos="2160"/>
        </w:tabs>
        <w:ind w:left="2160" w:hanging="720"/>
      </w:pPr>
    </w:lvl>
    <w:lvl w:ilvl="3">
      <w:start w:val="1"/>
      <w:numFmt w:val="decimal"/>
      <w:lvlText w:val="%4."/>
      <w:lvlJc w:val="left"/>
      <w:pPr>
        <w:tabs>
          <w:tab w:val="left" w:leader="none" w:pos="2880"/>
        </w:tabs>
        <w:ind w:left="2880" w:hanging="720"/>
      </w:pPr>
    </w:lvl>
    <w:lvl w:ilvl="4">
      <w:start w:val="1"/>
      <w:numFmt w:val="decimal"/>
      <w:lvlText w:val="%5."/>
      <w:lvlJc w:val="left"/>
      <w:pPr>
        <w:tabs>
          <w:tab w:val="left" w:leader="none" w:pos="3600"/>
        </w:tabs>
        <w:ind w:left="3600" w:hanging="720"/>
      </w:pPr>
    </w:lvl>
    <w:lvl w:ilvl="5">
      <w:start w:val="1"/>
      <w:numFmt w:val="decimal"/>
      <w:lvlText w:val="%6."/>
      <w:lvlJc w:val="left"/>
      <w:pPr>
        <w:tabs>
          <w:tab w:val="left" w:leader="none" w:pos="4320"/>
        </w:tabs>
        <w:ind w:left="4320" w:hanging="720"/>
      </w:pPr>
    </w:lvl>
    <w:lvl w:ilvl="6">
      <w:start w:val="1"/>
      <w:numFmt w:val="decimal"/>
      <w:lvlText w:val="%7."/>
      <w:lvlJc w:val="left"/>
      <w:pPr>
        <w:tabs>
          <w:tab w:val="left" w:leader="none" w:pos="5040"/>
        </w:tabs>
        <w:ind w:left="5040" w:hanging="720"/>
      </w:pPr>
    </w:lvl>
    <w:lvl w:ilvl="7">
      <w:start w:val="1"/>
      <w:numFmt w:val="decimal"/>
      <w:lvlText w:val="%8."/>
      <w:lvlJc w:val="left"/>
      <w:pPr>
        <w:tabs>
          <w:tab w:val="left" w:leader="none" w:pos="5760"/>
        </w:tabs>
        <w:ind w:left="5760" w:hanging="720"/>
      </w:pPr>
    </w:lvl>
    <w:lvl w:ilvl="8">
      <w:start w:val="1"/>
      <w:numFmt w:val="decimal"/>
      <w:lvlText w:val="%9."/>
      <w:lvlJc w:val="left"/>
      <w:pPr>
        <w:tabs>
          <w:tab w:val="left" w:leader="none" w:pos="6480"/>
        </w:tabs>
        <w:ind w:left="6480" w:hanging="720"/>
      </w:pPr>
    </w:lvl>
  </w:abstractNum>
  <w:abstractNum w:abstractNumId="3">
    <w:nsid w:val="00000003"/>
    <w:multiLevelType w:val="multilevel"/>
    <w:tmpl w:val="BF443804"/>
    <w:lvl w:ilvl="0">
      <w:start w:val="1"/>
      <w:numFmt w:val="decimal"/>
      <w:lvlText w:val="%1."/>
      <w:lvlJc w:val="left"/>
      <w:pPr>
        <w:tabs>
          <w:tab w:val="left" w:leader="none" w:pos="720"/>
        </w:tabs>
        <w:ind w:left="720" w:hanging="720"/>
      </w:pPr>
    </w:lvl>
    <w:lvl w:ilvl="1">
      <w:start w:val="1"/>
      <w:numFmt w:val="decimal"/>
      <w:lvlText w:val="%2."/>
      <w:lvlJc w:val="left"/>
      <w:pPr>
        <w:tabs>
          <w:tab w:val="left" w:leader="none" w:pos="1440"/>
        </w:tabs>
        <w:ind w:left="1440" w:hanging="720"/>
      </w:pPr>
    </w:lvl>
    <w:lvl w:ilvl="2">
      <w:start w:val="1"/>
      <w:numFmt w:val="decimal"/>
      <w:lvlText w:val="%3."/>
      <w:lvlJc w:val="left"/>
      <w:pPr>
        <w:tabs>
          <w:tab w:val="left" w:leader="none" w:pos="2160"/>
        </w:tabs>
        <w:ind w:left="2160" w:hanging="720"/>
      </w:pPr>
    </w:lvl>
    <w:lvl w:ilvl="3">
      <w:start w:val="1"/>
      <w:numFmt w:val="decimal"/>
      <w:lvlText w:val="%4."/>
      <w:lvlJc w:val="left"/>
      <w:pPr>
        <w:tabs>
          <w:tab w:val="left" w:leader="none" w:pos="2880"/>
        </w:tabs>
        <w:ind w:left="2880" w:hanging="720"/>
      </w:pPr>
    </w:lvl>
    <w:lvl w:ilvl="4">
      <w:start w:val="1"/>
      <w:numFmt w:val="decimal"/>
      <w:lvlText w:val="%5."/>
      <w:lvlJc w:val="left"/>
      <w:pPr>
        <w:tabs>
          <w:tab w:val="left" w:leader="none" w:pos="3600"/>
        </w:tabs>
        <w:ind w:left="3600" w:hanging="720"/>
      </w:pPr>
    </w:lvl>
    <w:lvl w:ilvl="5">
      <w:start w:val="1"/>
      <w:numFmt w:val="decimal"/>
      <w:lvlText w:val="%6."/>
      <w:lvlJc w:val="left"/>
      <w:pPr>
        <w:tabs>
          <w:tab w:val="left" w:leader="none" w:pos="4320"/>
        </w:tabs>
        <w:ind w:left="4320" w:hanging="720"/>
      </w:pPr>
    </w:lvl>
    <w:lvl w:ilvl="6">
      <w:start w:val="1"/>
      <w:numFmt w:val="decimal"/>
      <w:lvlText w:val="%7."/>
      <w:lvlJc w:val="left"/>
      <w:pPr>
        <w:tabs>
          <w:tab w:val="left" w:leader="none" w:pos="5040"/>
        </w:tabs>
        <w:ind w:left="5040" w:hanging="720"/>
      </w:pPr>
    </w:lvl>
    <w:lvl w:ilvl="7">
      <w:start w:val="1"/>
      <w:numFmt w:val="decimal"/>
      <w:lvlText w:val="%8."/>
      <w:lvlJc w:val="left"/>
      <w:pPr>
        <w:tabs>
          <w:tab w:val="left" w:leader="none" w:pos="5760"/>
        </w:tabs>
        <w:ind w:left="5760" w:hanging="720"/>
      </w:pPr>
    </w:lvl>
    <w:lvl w:ilvl="8">
      <w:start w:val="1"/>
      <w:numFmt w:val="decimal"/>
      <w:lvlText w:val="%9."/>
      <w:lvlJc w:val="left"/>
      <w:pPr>
        <w:tabs>
          <w:tab w:val="left" w:leader="none" w:pos="6480"/>
        </w:tabs>
        <w:ind w:left="6480" w:hanging="720"/>
      </w:pPr>
    </w:lvl>
  </w:abstractNum>
  <w:abstractNum w:abstractNumId="4">
    <w:nsid w:val="00000004"/>
    <w:multiLevelType w:val="multilevel"/>
    <w:tmpl w:val="B3B49F58"/>
    <w:lvl w:ilvl="0">
      <w:start w:val="1"/>
      <w:numFmt w:val="decimal"/>
      <w:lvlText w:val="%1."/>
      <w:lvlJc w:val="left"/>
      <w:pPr>
        <w:ind w:left="360" w:hanging="360"/>
      </w:pPr>
      <w:rPr>
        <w:sz w:val="28"/>
        <w:szCs w:val="28"/>
      </w:rPr>
    </w:lvl>
    <w:lvl w:ilvl="1">
      <w:start w:val="1"/>
      <w:numFmt w:val="decimal"/>
      <w:isLgl/>
      <w:lvlText w:val="%1.%2."/>
      <w:lvlJc w:val="left"/>
      <w:pPr>
        <w:ind w:left="720" w:hanging="360"/>
      </w:pPr>
      <w:rPr>
        <w:rFonts w:hint="default"/>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nsid w:val="00000005"/>
    <w:multiLevelType w:val="multilevel"/>
    <w:tmpl w:val="C32CF81E"/>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81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abstractNumId w:val="1"/>
  </w:num>
  <w:num w:numId="2">
    <w:abstractNumId w:val="5"/>
  </w:num>
  <w:num w:numId="3">
    <w:abstractNumId w:val="3"/>
  </w:num>
  <w:num w:numId="4">
    <w:abstractNumId w:val="5"/>
  </w:num>
  <w:num w:numId="5">
    <w:abstractNumId w:val="5"/>
  </w:num>
  <w:num w:numId="6">
    <w:abstractNumId w:val="4"/>
  </w:num>
  <w:num w:numId="7">
    <w:abstractNumId w:val="2"/>
  </w:num>
  <w:num w:numId="8">
    <w:abstractNumId w:val="0"/>
  </w:num>
  <w:num w:numId="9">
    <w:abstractNumId w:val="0"/>
  </w:num>
  <w:num w:numId="10">
    <w:abstractNumId w:val="1"/>
  </w:num>
  <w:num w:numId="11">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82"/>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pacing w:after="0" w:lineRule="auto" w:line="360"/>
      <w:jc w:val="both"/>
    </w:pPr>
    <w:rPr>
      <w:rFonts w:ascii="Times New Roman" w:cs="Times New Roman" w:eastAsia="Times New Roman" w:hAnsi="Times New Roman"/>
      <w:sz w:val="24"/>
      <w:szCs w:val="20"/>
      <w:lang w:val="en-GB" w:eastAsia="en-GB"/>
    </w:rPr>
  </w:style>
  <w:style w:type="paragraph" w:styleId="style1">
    <w:name w:val="heading 1"/>
    <w:basedOn w:val="style0"/>
    <w:next w:val="style0"/>
    <w:link w:val="style4097"/>
    <w:qFormat/>
    <w:uiPriority w:val="9"/>
    <w:pPr>
      <w:keepNext/>
      <w:keepLines/>
      <w:numPr>
        <w:ilvl w:val="0"/>
        <w:numId w:val="1"/>
      </w:numPr>
      <w:ind w:left="360"/>
      <w:outlineLvl w:val="0"/>
    </w:pPr>
    <w:rPr>
      <w:rFonts w:cs="宋体" w:eastAsia="Aptos"/>
      <w:b/>
      <w:color w:val="000000"/>
      <w:sz w:val="32"/>
      <w:szCs w:val="40"/>
      <w:lang w:eastAsia="en-US"/>
    </w:rPr>
  </w:style>
  <w:style w:type="paragraph" w:styleId="style2">
    <w:name w:val="heading 2"/>
    <w:basedOn w:val="style0"/>
    <w:next w:val="style0"/>
    <w:link w:val="style4098"/>
    <w:qFormat/>
    <w:uiPriority w:val="9"/>
    <w:pPr>
      <w:keepNext/>
      <w:keepLines/>
      <w:numPr>
        <w:ilvl w:val="1"/>
        <w:numId w:val="1"/>
      </w:numPr>
      <w:outlineLvl w:val="1"/>
    </w:pPr>
    <w:rPr>
      <w:rFonts w:cs="宋体" w:eastAsia="宋体"/>
      <w:b/>
      <w:color w:val="000000"/>
      <w:szCs w:val="32"/>
    </w:rPr>
  </w:style>
  <w:style w:type="paragraph" w:styleId="style3">
    <w:name w:val="heading 3"/>
    <w:basedOn w:val="style0"/>
    <w:next w:val="style0"/>
    <w:link w:val="style4099"/>
    <w:qFormat/>
    <w:uiPriority w:val="9"/>
    <w:pPr>
      <w:keepNext/>
      <w:keepLines/>
      <w:jc w:val="left"/>
      <w:outlineLvl w:val="2"/>
    </w:pPr>
    <w:rPr>
      <w:rFonts w:cs="宋体" w:eastAsia="宋体"/>
      <w:b/>
      <w:i/>
      <w:color w:val="2e74b5"/>
      <w:szCs w:val="24"/>
      <w:u w:val="single"/>
      <w:lang w:val="en-US"/>
    </w:rPr>
  </w:style>
  <w:style w:type="paragraph" w:styleId="style4">
    <w:name w:val="heading 4"/>
    <w:basedOn w:val="style0"/>
    <w:next w:val="style0"/>
    <w:link w:val="style4100"/>
    <w:qFormat/>
    <w:uiPriority w:val="9"/>
    <w:pPr>
      <w:keepNext/>
      <w:keepLines/>
      <w:jc w:val="center"/>
      <w:outlineLvl w:val="3"/>
    </w:pPr>
    <w:rPr>
      <w:rFonts w:ascii="Arial" w:eastAsia="Arial" w:hAnsi="Arial"/>
      <w:b/>
      <w:i/>
      <w:color w:val="385623"/>
      <w:sz w:val="22"/>
      <w:lang w:val="en-IN"/>
    </w:rPr>
  </w:style>
  <w:style w:type="paragraph" w:styleId="style5">
    <w:name w:val="heading 5"/>
    <w:basedOn w:val="style0"/>
    <w:next w:val="style0"/>
    <w:link w:val="style4101"/>
    <w:qFormat/>
    <w:uiPriority w:val="9"/>
    <w:pPr>
      <w:keepNext/>
      <w:keepLines/>
      <w:spacing w:lineRule="auto" w:line="240"/>
      <w:outlineLvl w:val="4"/>
    </w:pPr>
    <w:rPr>
      <w:rFonts w:cs="宋体" w:eastAsia="宋体"/>
      <w:i/>
      <w:color w:val="bf8f00"/>
      <w:sz w:val="1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ceb89381-6fcd-4b4f-ae4f-5bd09d106c0b"/>
    <w:basedOn w:val="style65"/>
    <w:next w:val="style4097"/>
    <w:link w:val="style1"/>
    <w:uiPriority w:val="9"/>
    <w:rPr>
      <w:rFonts w:ascii="Times New Roman" w:cs="宋体" w:eastAsia="Aptos" w:hAnsi="Times New Roman"/>
      <w:b/>
      <w:color w:val="000000"/>
      <w:sz w:val="32"/>
      <w:szCs w:val="40"/>
      <w:lang w:val="en-GB"/>
    </w:rPr>
  </w:style>
  <w:style w:type="character" w:customStyle="1" w:styleId="style4098">
    <w:name w:val="Heading 2 Char_cf70571a-2399-4659-8d48-2a7c07646b6d"/>
    <w:basedOn w:val="style65"/>
    <w:next w:val="style4098"/>
    <w:link w:val="style2"/>
    <w:uiPriority w:val="9"/>
    <w:rPr>
      <w:rFonts w:ascii="Times New Roman" w:cs="宋体" w:eastAsia="宋体" w:hAnsi="Times New Roman"/>
      <w:b/>
      <w:color w:val="000000"/>
      <w:sz w:val="24"/>
      <w:szCs w:val="32"/>
      <w:lang w:val="en-GB" w:eastAsia="en-GB"/>
    </w:rPr>
  </w:style>
  <w:style w:type="character" w:customStyle="1" w:styleId="style4099">
    <w:name w:val="Heading 3 Char_6eadfee4-fe6b-4035-a956-37e452279011"/>
    <w:basedOn w:val="style65"/>
    <w:next w:val="style4099"/>
    <w:link w:val="style3"/>
    <w:uiPriority w:val="9"/>
    <w:rPr>
      <w:rFonts w:ascii="Times New Roman" w:cs="宋体" w:eastAsia="宋体" w:hAnsi="Times New Roman"/>
      <w:b/>
      <w:i/>
      <w:color w:val="2e74b5"/>
      <w:sz w:val="24"/>
      <w:szCs w:val="24"/>
      <w:u w:val="single"/>
    </w:rPr>
  </w:style>
  <w:style w:type="character" w:customStyle="1" w:styleId="style4100">
    <w:name w:val="Heading 4 Char_a90c277b-1120-4a60-956f-4c10514af582"/>
    <w:basedOn w:val="style65"/>
    <w:next w:val="style4100"/>
    <w:link w:val="style4"/>
    <w:uiPriority w:val="9"/>
    <w:rPr>
      <w:rFonts w:ascii="Arial" w:eastAsia="Arial" w:hAnsi="Arial"/>
      <w:b/>
      <w:i/>
      <w:color w:val="385623"/>
      <w:lang w:val="en-IN"/>
    </w:rPr>
  </w:style>
  <w:style w:type="character" w:customStyle="1" w:styleId="style4101">
    <w:name w:val="Heading 5 Char_1e0994da-7df0-4eb7-a446-a8a874d18812"/>
    <w:basedOn w:val="style65"/>
    <w:next w:val="style4101"/>
    <w:link w:val="style5"/>
    <w:uiPriority w:val="9"/>
    <w:rPr>
      <w:rFonts w:ascii="Times New Roman" w:cs="宋体" w:eastAsia="宋体" w:hAnsi="Times New Roman"/>
      <w:i/>
      <w:color w:val="bf8f00"/>
      <w:kern w:val="2"/>
      <w:sz w:val="16"/>
      <w:szCs w:val="24"/>
      <w:lang w:val="en-AU"/>
      <w14:ligatures xmlns:w14="http://schemas.microsoft.com/office/word/2010/wordml" w14:val="standardContextual"/>
    </w:rPr>
  </w:style>
  <w:style w:type="paragraph" w:styleId="style19">
    <w:name w:val="toc 1"/>
    <w:basedOn w:val="style0"/>
    <w:next w:val="style0"/>
    <w:uiPriority w:val="39"/>
    <w:pPr/>
    <w:rPr>
      <w:rFonts w:eastAsia="宋体"/>
      <w:szCs w:val="22"/>
      <w:lang w:val="en-US"/>
    </w:rPr>
  </w:style>
  <w:style w:type="paragraph" w:styleId="style94">
    <w:name w:val="Normal (Web)"/>
    <w:basedOn w:val="style0"/>
    <w:next w:val="style94"/>
    <w:uiPriority w:val="99"/>
    <w:pPr>
      <w:spacing w:before="100" w:beforeAutospacing="true" w:after="100" w:afterAutospacing="true"/>
    </w:pPr>
    <w:rPr>
      <w:szCs w:val="24"/>
      <w:lang w:val="en-US" w:eastAsia="en-US"/>
    </w:rPr>
  </w:style>
  <w:style w:type="character" w:styleId="style87">
    <w:name w:val="Strong"/>
    <w:basedOn w:val="style65"/>
    <w:next w:val="style87"/>
    <w:qFormat/>
    <w:uiPriority w:val="22"/>
    <w:rPr>
      <w:b/>
      <w:bCs/>
    </w:rPr>
  </w:style>
  <w:style w:type="character" w:styleId="style88">
    <w:name w:val="Emphasis"/>
    <w:basedOn w:val="style65"/>
    <w:next w:val="style88"/>
    <w:qFormat/>
    <w:uiPriority w:val="20"/>
    <w:rPr>
      <w:i/>
      <w:iCs/>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31">
    <w:name w:val="header"/>
    <w:basedOn w:val="style0"/>
    <w:next w:val="style31"/>
    <w:link w:val="style4102"/>
    <w:uiPriority w:val="99"/>
    <w:pPr>
      <w:tabs>
        <w:tab w:val="center" w:leader="none" w:pos="4680"/>
        <w:tab w:val="right" w:leader="none" w:pos="9360"/>
      </w:tabs>
      <w:spacing w:lineRule="auto" w:line="240"/>
    </w:pPr>
    <w:rPr/>
  </w:style>
  <w:style w:type="character" w:customStyle="1" w:styleId="style4102">
    <w:name w:val="Header Char_fe0b441a-2d9f-42a3-a8d7-bd68735cbabe"/>
    <w:basedOn w:val="style65"/>
    <w:next w:val="style4102"/>
    <w:link w:val="style31"/>
    <w:uiPriority w:val="99"/>
    <w:rPr>
      <w:rFonts w:ascii="Times New Roman" w:cs="Times New Roman" w:eastAsia="Times New Roman" w:hAnsi="Times New Roman"/>
      <w:sz w:val="24"/>
      <w:szCs w:val="20"/>
      <w:lang w:val="en-GB" w:eastAsia="en-GB"/>
    </w:rPr>
  </w:style>
  <w:style w:type="paragraph" w:styleId="style32">
    <w:name w:val="footer"/>
    <w:basedOn w:val="style0"/>
    <w:next w:val="style32"/>
    <w:link w:val="style4103"/>
    <w:uiPriority w:val="99"/>
    <w:pPr>
      <w:tabs>
        <w:tab w:val="center" w:leader="none" w:pos="4680"/>
        <w:tab w:val="right" w:leader="none" w:pos="9360"/>
      </w:tabs>
      <w:spacing w:lineRule="auto" w:line="240"/>
    </w:pPr>
    <w:rPr/>
  </w:style>
  <w:style w:type="character" w:customStyle="1" w:styleId="style4103">
    <w:name w:val="Footer Char_60c78e20-9d5c-48a9-ba77-6c9224ed3dcf"/>
    <w:basedOn w:val="style65"/>
    <w:next w:val="style4103"/>
    <w:link w:val="style32"/>
    <w:uiPriority w:val="99"/>
    <w:rPr>
      <w:rFonts w:ascii="Times New Roman" w:cs="Times New Roman" w:eastAsia="Times New Roman" w:hAnsi="Times New Roman"/>
      <w:sz w:val="24"/>
      <w:szCs w:val="20"/>
      <w:lang w:val="en-GB" w:eastAsia="en-GB"/>
    </w:rPr>
  </w:style>
  <w:style w:type="paragraph" w:customStyle="1" w:styleId="style4104">
    <w:name w:val="EndNote Bibliography Title"/>
    <w:basedOn w:val="style0"/>
    <w:next w:val="style4104"/>
    <w:link w:val="style4105"/>
    <w:pPr>
      <w:jc w:val="center"/>
    </w:pPr>
    <w:rPr>
      <w:noProof/>
    </w:rPr>
  </w:style>
  <w:style w:type="character" w:customStyle="1" w:styleId="style4105">
    <w:name w:val="EndNote Bibliography Title Char"/>
    <w:basedOn w:val="style65"/>
    <w:next w:val="style4105"/>
    <w:link w:val="style4104"/>
    <w:rPr>
      <w:rFonts w:ascii="Times New Roman" w:cs="Times New Roman" w:eastAsia="Times New Roman" w:hAnsi="Times New Roman"/>
      <w:noProof/>
      <w:sz w:val="24"/>
      <w:szCs w:val="20"/>
      <w:lang w:val="en-GB" w:eastAsia="en-GB"/>
    </w:rPr>
  </w:style>
  <w:style w:type="paragraph" w:customStyle="1" w:styleId="style4106">
    <w:name w:val="EndNote Bibliography"/>
    <w:basedOn w:val="style0"/>
    <w:next w:val="style4106"/>
    <w:link w:val="style4107"/>
    <w:pPr>
      <w:spacing w:lineRule="auto" w:line="240"/>
    </w:pPr>
    <w:rPr>
      <w:noProof/>
    </w:rPr>
  </w:style>
  <w:style w:type="character" w:customStyle="1" w:styleId="style4107">
    <w:name w:val="EndNote Bibliography Char"/>
    <w:basedOn w:val="style65"/>
    <w:next w:val="style4107"/>
    <w:link w:val="style4106"/>
    <w:rPr>
      <w:rFonts w:ascii="Times New Roman" w:cs="Times New Roman" w:eastAsia="Times New Roman" w:hAnsi="Times New Roman"/>
      <w:noProof/>
      <w:sz w:val="24"/>
      <w:szCs w:val="20"/>
      <w:lang w:val="en-GB" w:eastAsia="en-GB"/>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footer" Target="footer2.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s>
</file>

<file path=word/_rels/header1.xml.rels><?xml version="1.0" encoding="UTF-8"?>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Words>1921</Words>
  <Pages>8</Pages>
  <Characters>11853</Characters>
  <Application>WPS Office</Application>
  <DocSecurity>0</DocSecurity>
  <Paragraphs>124</Paragraphs>
  <ScaleCrop>false</ScaleCrop>
  <LinksUpToDate>false</LinksUpToDate>
  <CharactersWithSpaces>13692</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2025-11-18T01:37:00Z</dcterms:created>
  <dc:creator>Ms Office</dc:creator>
  <lastModifiedBy>RMX3939</lastModifiedBy>
  <dcterms:modified xsi:type="dcterms:W3CDTF">2025-11-18T09:37:35Z</dcterms:modified>
  <revision>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546b79fa112d4db1aac227c019c48eb9</vt:lpwstr>
  </property>
</Properties>
</file>