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Peer Marking Grid – Communication Role Play</w:t>
      </w:r>
    </w:p>
    <w:p>
      <w:r>
        <w:t>Instructions for Students:</w:t>
        <w:br/>
        <w:t>While observing your peer’s role play, listen carefully and use the grid below to award marks for each criterion. Tick or circle the level that best describes what you observed, and then total the marks at the end.</w:t>
      </w:r>
    </w:p>
    <w:p>
      <w:pPr>
        <w:pStyle w:val="Heading2"/>
      </w:pPr>
      <w:r>
        <w:t>Criterion 1: Establishing Rapport and Trust (25 marks)</w:t>
      </w:r>
    </w:p>
    <w:tbl>
      <w:tblPr>
        <w:tblW w:type="auto" w:w="0"/>
        <w:tblLook w:firstColumn="1" w:firstRow="1" w:lastColumn="0" w:lastRow="0" w:noHBand="0" w:noVBand="1" w:val="04A0"/>
      </w:tblPr>
      <w:tblGrid>
        <w:gridCol w:w="2880"/>
        <w:gridCol w:w="2880"/>
        <w:gridCol w:w="2880"/>
      </w:tblGrid>
      <w:tr>
        <w:tc>
          <w:tcPr>
            <w:tcW w:type="dxa" w:w="2880"/>
          </w:tcPr>
          <w:p>
            <w:r>
              <w:t>Level</w:t>
            </w:r>
          </w:p>
        </w:tc>
        <w:tc>
          <w:tcPr>
            <w:tcW w:type="dxa" w:w="2880"/>
          </w:tcPr>
          <w:p>
            <w:r>
              <w:t>Descriptor</w:t>
            </w:r>
          </w:p>
        </w:tc>
        <w:tc>
          <w:tcPr>
            <w:tcW w:type="dxa" w:w="2880"/>
          </w:tcPr>
          <w:p>
            <w:r>
              <w:t>Marks</w:t>
            </w:r>
          </w:p>
        </w:tc>
      </w:tr>
      <w:tr>
        <w:tc>
          <w:tcPr>
            <w:tcW w:type="dxa" w:w="2880"/>
          </w:tcPr>
          <w:p>
            <w:r>
              <w:t>Excellent</w:t>
            </w:r>
          </w:p>
        </w:tc>
        <w:tc>
          <w:tcPr>
            <w:tcW w:type="dxa" w:w="2880"/>
          </w:tcPr>
          <w:p>
            <w:r>
              <w:t>Warm, professional introduction; establishes trust quickly; uses body language, eye contact, and tone effectively; puts the patient at ease.</w:t>
            </w:r>
          </w:p>
        </w:tc>
        <w:tc>
          <w:tcPr>
            <w:tcW w:type="dxa" w:w="2880"/>
          </w:tcPr>
          <w:p>
            <w:r>
              <w:t>21–25</w:t>
            </w:r>
          </w:p>
        </w:tc>
      </w:tr>
      <w:tr>
        <w:tc>
          <w:tcPr>
            <w:tcW w:type="dxa" w:w="2880"/>
          </w:tcPr>
          <w:p>
            <w:r>
              <w:t>Good</w:t>
            </w:r>
          </w:p>
        </w:tc>
        <w:tc>
          <w:tcPr>
            <w:tcW w:type="dxa" w:w="2880"/>
          </w:tcPr>
          <w:p>
            <w:r>
              <w:t>Introduces self clearly; generally builds rapport and comfort with patient; some warmth shown.</w:t>
            </w:r>
          </w:p>
        </w:tc>
        <w:tc>
          <w:tcPr>
            <w:tcW w:type="dxa" w:w="2880"/>
          </w:tcPr>
          <w:p>
            <w:r>
              <w:t>16–20</w:t>
            </w:r>
          </w:p>
        </w:tc>
      </w:tr>
      <w:tr>
        <w:tc>
          <w:tcPr>
            <w:tcW w:type="dxa" w:w="2880"/>
          </w:tcPr>
          <w:p>
            <w:r>
              <w:t>Satisfactory</w:t>
            </w:r>
          </w:p>
        </w:tc>
        <w:tc>
          <w:tcPr>
            <w:tcW w:type="dxa" w:w="2880"/>
          </w:tcPr>
          <w:p>
            <w:r>
              <w:t>Basic introduction; polite but lacks warmth or natural flow; limited personal connection.</w:t>
            </w:r>
          </w:p>
        </w:tc>
        <w:tc>
          <w:tcPr>
            <w:tcW w:type="dxa" w:w="2880"/>
          </w:tcPr>
          <w:p>
            <w:r>
              <w:t>11–15</w:t>
            </w:r>
          </w:p>
        </w:tc>
      </w:tr>
      <w:tr>
        <w:tc>
          <w:tcPr>
            <w:tcW w:type="dxa" w:w="2880"/>
          </w:tcPr>
          <w:p>
            <w:r>
              <w:t>Needs Improvement</w:t>
            </w:r>
          </w:p>
        </w:tc>
        <w:tc>
          <w:tcPr>
            <w:tcW w:type="dxa" w:w="2880"/>
          </w:tcPr>
          <w:p>
            <w:r>
              <w:t>No clear introduction or rapport; tone flat or distant; patient not put at ease.</w:t>
            </w:r>
          </w:p>
        </w:tc>
        <w:tc>
          <w:tcPr>
            <w:tcW w:type="dxa" w:w="2880"/>
          </w:tcPr>
          <w:p>
            <w:r>
              <w:t>0–10</w:t>
            </w:r>
          </w:p>
        </w:tc>
      </w:tr>
    </w:tbl>
    <w:p>
      <w:pPr>
        <w:pStyle w:val="Heading2"/>
      </w:pPr>
      <w:r>
        <w:t>Criterion 2: Active Listening and Reflective Skills (25 marks)</w:t>
      </w:r>
    </w:p>
    <w:tbl>
      <w:tblPr>
        <w:tblW w:type="auto" w:w="0"/>
        <w:tblLook w:firstColumn="1" w:firstRow="1" w:lastColumn="0" w:lastRow="0" w:noHBand="0" w:noVBand="1" w:val="04A0"/>
      </w:tblPr>
      <w:tblGrid>
        <w:gridCol w:w="2880"/>
        <w:gridCol w:w="2880"/>
        <w:gridCol w:w="2880"/>
      </w:tblGrid>
      <w:tr>
        <w:tc>
          <w:tcPr>
            <w:tcW w:type="dxa" w:w="2880"/>
          </w:tcPr>
          <w:p>
            <w:r>
              <w:t>Level</w:t>
            </w:r>
          </w:p>
        </w:tc>
        <w:tc>
          <w:tcPr>
            <w:tcW w:type="dxa" w:w="2880"/>
          </w:tcPr>
          <w:p>
            <w:r>
              <w:t>Descriptor</w:t>
            </w:r>
          </w:p>
        </w:tc>
        <w:tc>
          <w:tcPr>
            <w:tcW w:type="dxa" w:w="2880"/>
          </w:tcPr>
          <w:p>
            <w:r>
              <w:t>Marks</w:t>
            </w:r>
          </w:p>
        </w:tc>
      </w:tr>
      <w:tr>
        <w:tc>
          <w:tcPr>
            <w:tcW w:type="dxa" w:w="2880"/>
          </w:tcPr>
          <w:p>
            <w:r>
              <w:t>Excellent</w:t>
            </w:r>
          </w:p>
        </w:tc>
        <w:tc>
          <w:tcPr>
            <w:tcW w:type="dxa" w:w="2880"/>
          </w:tcPr>
          <w:p>
            <w:r>
              <w:t>Demonstrates focused listening; uses paraphrasing and reflection accurately; clarifies understanding throughout.</w:t>
            </w:r>
          </w:p>
        </w:tc>
        <w:tc>
          <w:tcPr>
            <w:tcW w:type="dxa" w:w="2880"/>
          </w:tcPr>
          <w:p>
            <w:r>
              <w:t>21–25</w:t>
            </w:r>
          </w:p>
        </w:tc>
      </w:tr>
      <w:tr>
        <w:tc>
          <w:tcPr>
            <w:tcW w:type="dxa" w:w="2880"/>
          </w:tcPr>
          <w:p>
            <w:r>
              <w:t>Good</w:t>
            </w:r>
          </w:p>
        </w:tc>
        <w:tc>
          <w:tcPr>
            <w:tcW w:type="dxa" w:w="2880"/>
          </w:tcPr>
          <w:p>
            <w:r>
              <w:t>Shows clear listening; occasional reflection; mostly responds appropriately.</w:t>
            </w:r>
          </w:p>
        </w:tc>
        <w:tc>
          <w:tcPr>
            <w:tcW w:type="dxa" w:w="2880"/>
          </w:tcPr>
          <w:p>
            <w:r>
              <w:t>16–20</w:t>
            </w:r>
          </w:p>
        </w:tc>
      </w:tr>
      <w:tr>
        <w:tc>
          <w:tcPr>
            <w:tcW w:type="dxa" w:w="2880"/>
          </w:tcPr>
          <w:p>
            <w:r>
              <w:t>Satisfactory</w:t>
            </w:r>
          </w:p>
        </w:tc>
        <w:tc>
          <w:tcPr>
            <w:tcW w:type="dxa" w:w="2880"/>
          </w:tcPr>
          <w:p>
            <w:r>
              <w:t>Appears to listen but offers limited reflection; responses sometimes mismatched.</w:t>
            </w:r>
          </w:p>
        </w:tc>
        <w:tc>
          <w:tcPr>
            <w:tcW w:type="dxa" w:w="2880"/>
          </w:tcPr>
          <w:p>
            <w:r>
              <w:t>11–15</w:t>
            </w:r>
          </w:p>
        </w:tc>
      </w:tr>
      <w:tr>
        <w:tc>
          <w:tcPr>
            <w:tcW w:type="dxa" w:w="2880"/>
          </w:tcPr>
          <w:p>
            <w:r>
              <w:t>Needs Improvement</w:t>
            </w:r>
          </w:p>
        </w:tc>
        <w:tc>
          <w:tcPr>
            <w:tcW w:type="dxa" w:w="2880"/>
          </w:tcPr>
          <w:p>
            <w:r>
              <w:t>Frequently interrupts, misses cues, or gives closed responses; limited evidence of listening.</w:t>
            </w:r>
          </w:p>
        </w:tc>
        <w:tc>
          <w:tcPr>
            <w:tcW w:type="dxa" w:w="2880"/>
          </w:tcPr>
          <w:p>
            <w:r>
              <w:t>0–10</w:t>
            </w:r>
          </w:p>
        </w:tc>
      </w:tr>
    </w:tbl>
    <w:p>
      <w:pPr>
        <w:pStyle w:val="Heading2"/>
      </w:pPr>
      <w:r>
        <w:t>Criterion 3: Empathy and Emotional Support (25 marks)</w:t>
      </w:r>
    </w:p>
    <w:tbl>
      <w:tblPr>
        <w:tblW w:type="auto" w:w="0"/>
        <w:tblLook w:firstColumn="1" w:firstRow="1" w:lastColumn="0" w:lastRow="0" w:noHBand="0" w:noVBand="1" w:val="04A0"/>
      </w:tblPr>
      <w:tblGrid>
        <w:gridCol w:w="2880"/>
        <w:gridCol w:w="2880"/>
        <w:gridCol w:w="2880"/>
      </w:tblGrid>
      <w:tr>
        <w:tc>
          <w:tcPr>
            <w:tcW w:type="dxa" w:w="2880"/>
          </w:tcPr>
          <w:p>
            <w:r>
              <w:t>Level</w:t>
            </w:r>
          </w:p>
        </w:tc>
        <w:tc>
          <w:tcPr>
            <w:tcW w:type="dxa" w:w="2880"/>
          </w:tcPr>
          <w:p>
            <w:r>
              <w:t>Descriptor</w:t>
            </w:r>
          </w:p>
        </w:tc>
        <w:tc>
          <w:tcPr>
            <w:tcW w:type="dxa" w:w="2880"/>
          </w:tcPr>
          <w:p>
            <w:r>
              <w:t>Marks</w:t>
            </w:r>
          </w:p>
        </w:tc>
      </w:tr>
      <w:tr>
        <w:tc>
          <w:tcPr>
            <w:tcW w:type="dxa" w:w="2880"/>
          </w:tcPr>
          <w:p>
            <w:r>
              <w:t>Excellent</w:t>
            </w:r>
          </w:p>
        </w:tc>
        <w:tc>
          <w:tcPr>
            <w:tcW w:type="dxa" w:w="2880"/>
          </w:tcPr>
          <w:p>
            <w:r>
              <w:t>Demonstrates genuine empathy and sensitivity; validates patient’s emotions; uses open-ended questions; non-judgmental approach.</w:t>
            </w:r>
          </w:p>
        </w:tc>
        <w:tc>
          <w:tcPr>
            <w:tcW w:type="dxa" w:w="2880"/>
          </w:tcPr>
          <w:p>
            <w:r>
              <w:t>21–25</w:t>
            </w:r>
          </w:p>
        </w:tc>
      </w:tr>
      <w:tr>
        <w:tc>
          <w:tcPr>
            <w:tcW w:type="dxa" w:w="2880"/>
          </w:tcPr>
          <w:p>
            <w:r>
              <w:t>Good</w:t>
            </w:r>
          </w:p>
        </w:tc>
        <w:tc>
          <w:tcPr>
            <w:tcW w:type="dxa" w:w="2880"/>
          </w:tcPr>
          <w:p>
            <w:r>
              <w:t>Shows empathy and concern; provides some emotional support; mostly uses open questions.</w:t>
            </w:r>
          </w:p>
        </w:tc>
        <w:tc>
          <w:tcPr>
            <w:tcW w:type="dxa" w:w="2880"/>
          </w:tcPr>
          <w:p>
            <w:r>
              <w:t>16–20</w:t>
            </w:r>
          </w:p>
        </w:tc>
      </w:tr>
      <w:tr>
        <w:tc>
          <w:tcPr>
            <w:tcW w:type="dxa" w:w="2880"/>
          </w:tcPr>
          <w:p>
            <w:r>
              <w:t>Satisfactory</w:t>
            </w:r>
          </w:p>
        </w:tc>
        <w:tc>
          <w:tcPr>
            <w:tcW w:type="dxa" w:w="2880"/>
          </w:tcPr>
          <w:p>
            <w:r>
              <w:t>Attempts empathy but inconsistently; reassurance sometimes generic.</w:t>
            </w:r>
          </w:p>
        </w:tc>
        <w:tc>
          <w:tcPr>
            <w:tcW w:type="dxa" w:w="2880"/>
          </w:tcPr>
          <w:p>
            <w:r>
              <w:t>11–15</w:t>
            </w:r>
          </w:p>
        </w:tc>
      </w:tr>
      <w:tr>
        <w:tc>
          <w:tcPr>
            <w:tcW w:type="dxa" w:w="2880"/>
          </w:tcPr>
          <w:p>
            <w:r>
              <w:t>Needs Improvement</w:t>
            </w:r>
          </w:p>
        </w:tc>
        <w:tc>
          <w:tcPr>
            <w:tcW w:type="dxa" w:w="2880"/>
          </w:tcPr>
          <w:p>
            <w:r>
              <w:t>Little or no empathy shown; focuses only on facts or solutions; patient feelings overlooked.</w:t>
            </w:r>
          </w:p>
        </w:tc>
        <w:tc>
          <w:tcPr>
            <w:tcW w:type="dxa" w:w="2880"/>
          </w:tcPr>
          <w:p>
            <w:r>
              <w:t>0–10</w:t>
            </w:r>
          </w:p>
        </w:tc>
      </w:tr>
    </w:tbl>
    <w:p>
      <w:pPr>
        <w:pStyle w:val="Heading2"/>
      </w:pPr>
      <w:r>
        <w:t>Criterion 4: Summarisation and Closure (25 marks)</w:t>
      </w:r>
    </w:p>
    <w:tbl>
      <w:tblPr>
        <w:tblW w:type="auto" w:w="0"/>
        <w:tblLook w:firstColumn="1" w:firstRow="1" w:lastColumn="0" w:lastRow="0" w:noHBand="0" w:noVBand="1" w:val="04A0"/>
      </w:tblPr>
      <w:tblGrid>
        <w:gridCol w:w="2880"/>
        <w:gridCol w:w="2880"/>
        <w:gridCol w:w="2880"/>
      </w:tblGrid>
      <w:tr>
        <w:tc>
          <w:tcPr>
            <w:tcW w:type="dxa" w:w="2880"/>
          </w:tcPr>
          <w:p>
            <w:r>
              <w:t>Level</w:t>
            </w:r>
          </w:p>
        </w:tc>
        <w:tc>
          <w:tcPr>
            <w:tcW w:type="dxa" w:w="2880"/>
          </w:tcPr>
          <w:p>
            <w:r>
              <w:t>Descriptor</w:t>
            </w:r>
          </w:p>
        </w:tc>
        <w:tc>
          <w:tcPr>
            <w:tcW w:type="dxa" w:w="2880"/>
          </w:tcPr>
          <w:p>
            <w:r>
              <w:t>Marks</w:t>
            </w:r>
          </w:p>
        </w:tc>
      </w:tr>
      <w:tr>
        <w:tc>
          <w:tcPr>
            <w:tcW w:type="dxa" w:w="2880"/>
          </w:tcPr>
          <w:p>
            <w:r>
              <w:t>Excellent</w:t>
            </w:r>
          </w:p>
        </w:tc>
        <w:tc>
          <w:tcPr>
            <w:tcW w:type="dxa" w:w="2880"/>
          </w:tcPr>
          <w:p>
            <w:r>
              <w:t>Summarises key points clearly; checks understanding; agrees on next steps or follow-up; ends interaction positively.</w:t>
            </w:r>
          </w:p>
        </w:tc>
        <w:tc>
          <w:tcPr>
            <w:tcW w:type="dxa" w:w="2880"/>
          </w:tcPr>
          <w:p>
            <w:r>
              <w:t>21–25</w:t>
            </w:r>
          </w:p>
        </w:tc>
      </w:tr>
      <w:tr>
        <w:tc>
          <w:tcPr>
            <w:tcW w:type="dxa" w:w="2880"/>
          </w:tcPr>
          <w:p>
            <w:r>
              <w:t>Good</w:t>
            </w:r>
          </w:p>
        </w:tc>
        <w:tc>
          <w:tcPr>
            <w:tcW w:type="dxa" w:w="2880"/>
          </w:tcPr>
          <w:p>
            <w:r>
              <w:t>Provides summary and some closure; generally confirms understanding.</w:t>
            </w:r>
          </w:p>
        </w:tc>
        <w:tc>
          <w:tcPr>
            <w:tcW w:type="dxa" w:w="2880"/>
          </w:tcPr>
          <w:p>
            <w:r>
              <w:t>16–20</w:t>
            </w:r>
          </w:p>
        </w:tc>
      </w:tr>
      <w:tr>
        <w:tc>
          <w:tcPr>
            <w:tcW w:type="dxa" w:w="2880"/>
          </w:tcPr>
          <w:p>
            <w:r>
              <w:t>Satisfactory</w:t>
            </w:r>
          </w:p>
        </w:tc>
        <w:tc>
          <w:tcPr>
            <w:tcW w:type="dxa" w:w="2880"/>
          </w:tcPr>
          <w:p>
            <w:r>
              <w:t>Brief or incomplete summary; limited agreement on next steps.</w:t>
            </w:r>
          </w:p>
        </w:tc>
        <w:tc>
          <w:tcPr>
            <w:tcW w:type="dxa" w:w="2880"/>
          </w:tcPr>
          <w:p>
            <w:r>
              <w:t>11–15</w:t>
            </w:r>
          </w:p>
        </w:tc>
      </w:tr>
      <w:tr>
        <w:tc>
          <w:tcPr>
            <w:tcW w:type="dxa" w:w="2880"/>
          </w:tcPr>
          <w:p>
            <w:r>
              <w:t>Needs Improvement</w:t>
            </w:r>
          </w:p>
        </w:tc>
        <w:tc>
          <w:tcPr>
            <w:tcW w:type="dxa" w:w="2880"/>
          </w:tcPr>
          <w:p>
            <w:r>
              <w:t>No summary or closure; conversation ends abruptly or without clarity.</w:t>
            </w:r>
          </w:p>
        </w:tc>
        <w:tc>
          <w:tcPr>
            <w:tcW w:type="dxa" w:w="2880"/>
          </w:tcPr>
          <w:p>
            <w:r>
              <w:t>0–10</w:t>
            </w:r>
          </w:p>
        </w:tc>
      </w:tr>
    </w:tbl>
    <w:p>
      <w:r>
        <w:br/>
        <w:t>Total Marks: ____ / 100</w:t>
        <w:br/>
      </w:r>
    </w:p>
    <w:p>
      <w:pPr>
        <w:pStyle w:val="Heading2"/>
      </w:pPr>
      <w:r>
        <w:t>Peer Feedback Section</w:t>
      </w:r>
    </w:p>
    <w:p>
      <w:r>
        <w:t>What your peer did well:</w:t>
        <w:br/>
        <w:t>............................................................</w:t>
        <w:br/>
        <w:t>............................................................</w:t>
        <w:br/>
      </w:r>
    </w:p>
    <w:p>
      <w:r>
        <w:t>Suggestions for improvement:</w:t>
        <w:br/>
        <w:t>............................................................</w:t>
        <w:br/>
        <w:t>............................................................</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