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79FB" w:rsidRDefault="008579FB" w:rsidP="00BF5FD2">
      <w:pPr>
        <w:pStyle w:val="Title"/>
      </w:pPr>
      <w:r>
        <w:t>Resea</w:t>
      </w:r>
      <w:bookmarkStart w:id="0" w:name="_GoBack"/>
      <w:bookmarkEnd w:id="0"/>
      <w:r>
        <w:t>rch Methods</w:t>
      </w:r>
    </w:p>
    <w:p w:rsidR="0006523A" w:rsidRPr="00D6018C" w:rsidRDefault="00D6018C" w:rsidP="00BF5FD2">
      <w:pPr>
        <w:pStyle w:val="Title"/>
        <w:rPr>
          <w:sz w:val="36"/>
        </w:rPr>
      </w:pPr>
      <w:proofErr w:type="gramStart"/>
      <w:r w:rsidRPr="00D6018C">
        <w:rPr>
          <w:sz w:val="36"/>
        </w:rPr>
        <w:t xml:space="preserve">Boosting reading motivation in KS5 students: an action research study </w:t>
      </w:r>
      <w:r w:rsidR="00096B78">
        <w:rPr>
          <w:sz w:val="36"/>
        </w:rPr>
        <w:t>investigating</w:t>
      </w:r>
      <w:r w:rsidRPr="00D6018C">
        <w:rPr>
          <w:sz w:val="36"/>
        </w:rPr>
        <w:t xml:space="preserve"> </w:t>
      </w:r>
      <w:r>
        <w:rPr>
          <w:sz w:val="36"/>
        </w:rPr>
        <w:t>motivational theory.</w:t>
      </w:r>
      <w:proofErr w:type="gramEnd"/>
    </w:p>
    <w:p w:rsidR="00BF5FD2" w:rsidRDefault="00BF5FD2" w:rsidP="00BF5FD2">
      <w:pPr>
        <w:pStyle w:val="Heading1"/>
      </w:pPr>
      <w:bookmarkStart w:id="1" w:name="_Toc511549757"/>
      <w:r>
        <w:t>Abstract</w:t>
      </w:r>
      <w:bookmarkEnd w:id="1"/>
    </w:p>
    <w:p w:rsidR="00BF5FD2" w:rsidRDefault="00CD2A12" w:rsidP="00BF5FD2">
      <w:r>
        <w:t>Pedagogical research repeatedly tells us that whilst literacy levels are an essential component of successful educational outcomes, too many children leave school without the required literacy skills. Simultaneously, over the course of their education, children lose motivation to read for pleasure, and succumb to school-based interventions relying on a variety of extrinsic motivation factors to boost their reading motivation. This study aims to investigate whether motivation levels can be affected without the use of these strategies, so that older students become more intrinsically motivated to read</w:t>
      </w:r>
      <w:r w:rsidR="00A56807">
        <w:t xml:space="preserve"> like their younger peers.</w:t>
      </w:r>
    </w:p>
    <w:sdt>
      <w:sdtPr>
        <w:rPr>
          <w:rFonts w:asciiTheme="minorHAnsi" w:eastAsiaTheme="minorHAnsi" w:hAnsiTheme="minorHAnsi" w:cstheme="minorBidi"/>
          <w:b w:val="0"/>
          <w:bCs w:val="0"/>
          <w:color w:val="auto"/>
          <w:sz w:val="22"/>
          <w:szCs w:val="22"/>
          <w:lang w:val="en-GB" w:eastAsia="en-US"/>
        </w:rPr>
        <w:id w:val="-356817577"/>
        <w:docPartObj>
          <w:docPartGallery w:val="Table of Contents"/>
          <w:docPartUnique/>
        </w:docPartObj>
      </w:sdtPr>
      <w:sdtEndPr>
        <w:rPr>
          <w:noProof/>
        </w:rPr>
      </w:sdtEndPr>
      <w:sdtContent>
        <w:p w:rsidR="00BF5FD2" w:rsidRDefault="00BF5FD2">
          <w:pPr>
            <w:pStyle w:val="TOCHeading"/>
          </w:pPr>
          <w:r>
            <w:t>Contents</w:t>
          </w:r>
        </w:p>
        <w:p w:rsidR="00D31566" w:rsidRDefault="00BF5FD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549757" w:history="1">
            <w:r w:rsidR="00D31566" w:rsidRPr="003F0F06">
              <w:rPr>
                <w:rStyle w:val="Hyperlink"/>
                <w:noProof/>
              </w:rPr>
              <w:t>Abstract</w:t>
            </w:r>
            <w:r w:rsidR="00D31566">
              <w:rPr>
                <w:noProof/>
                <w:webHidden/>
              </w:rPr>
              <w:tab/>
            </w:r>
            <w:r w:rsidR="00D31566">
              <w:rPr>
                <w:noProof/>
                <w:webHidden/>
              </w:rPr>
              <w:fldChar w:fldCharType="begin"/>
            </w:r>
            <w:r w:rsidR="00D31566">
              <w:rPr>
                <w:noProof/>
                <w:webHidden/>
              </w:rPr>
              <w:instrText xml:space="preserve"> PAGEREF _Toc511549757 \h </w:instrText>
            </w:r>
            <w:r w:rsidR="00D31566">
              <w:rPr>
                <w:noProof/>
                <w:webHidden/>
              </w:rPr>
            </w:r>
            <w:r w:rsidR="00D31566">
              <w:rPr>
                <w:noProof/>
                <w:webHidden/>
              </w:rPr>
              <w:fldChar w:fldCharType="separate"/>
            </w:r>
            <w:r w:rsidR="00D31566">
              <w:rPr>
                <w:noProof/>
                <w:webHidden/>
              </w:rPr>
              <w:t>1</w:t>
            </w:r>
            <w:r w:rsidR="00D31566">
              <w:rPr>
                <w:noProof/>
                <w:webHidden/>
              </w:rPr>
              <w:fldChar w:fldCharType="end"/>
            </w:r>
          </w:hyperlink>
        </w:p>
        <w:p w:rsidR="00D31566" w:rsidRDefault="00D31566">
          <w:pPr>
            <w:pStyle w:val="TOC1"/>
            <w:tabs>
              <w:tab w:val="right" w:leader="dot" w:pos="9016"/>
            </w:tabs>
            <w:rPr>
              <w:rFonts w:eastAsiaTheme="minorEastAsia"/>
              <w:noProof/>
              <w:lang w:eastAsia="en-GB"/>
            </w:rPr>
          </w:pPr>
          <w:hyperlink w:anchor="_Toc511549758" w:history="1">
            <w:r w:rsidRPr="003F0F06">
              <w:rPr>
                <w:rStyle w:val="Hyperlink"/>
                <w:noProof/>
              </w:rPr>
              <w:t>Introduction</w:t>
            </w:r>
            <w:r>
              <w:rPr>
                <w:noProof/>
                <w:webHidden/>
              </w:rPr>
              <w:tab/>
            </w:r>
            <w:r>
              <w:rPr>
                <w:noProof/>
                <w:webHidden/>
              </w:rPr>
              <w:fldChar w:fldCharType="begin"/>
            </w:r>
            <w:r>
              <w:rPr>
                <w:noProof/>
                <w:webHidden/>
              </w:rPr>
              <w:instrText xml:space="preserve"> PAGEREF _Toc511549758 \h </w:instrText>
            </w:r>
            <w:r>
              <w:rPr>
                <w:noProof/>
                <w:webHidden/>
              </w:rPr>
            </w:r>
            <w:r>
              <w:rPr>
                <w:noProof/>
                <w:webHidden/>
              </w:rPr>
              <w:fldChar w:fldCharType="separate"/>
            </w:r>
            <w:r>
              <w:rPr>
                <w:noProof/>
                <w:webHidden/>
              </w:rPr>
              <w:t>2</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59" w:history="1">
            <w:r w:rsidRPr="003F0F06">
              <w:rPr>
                <w:rStyle w:val="Hyperlink"/>
                <w:noProof/>
              </w:rPr>
              <w:t>Reading Motivation</w:t>
            </w:r>
            <w:r>
              <w:rPr>
                <w:noProof/>
                <w:webHidden/>
              </w:rPr>
              <w:tab/>
            </w:r>
            <w:r>
              <w:rPr>
                <w:noProof/>
                <w:webHidden/>
              </w:rPr>
              <w:fldChar w:fldCharType="begin"/>
            </w:r>
            <w:r>
              <w:rPr>
                <w:noProof/>
                <w:webHidden/>
              </w:rPr>
              <w:instrText xml:space="preserve"> PAGEREF _Toc511549759 \h </w:instrText>
            </w:r>
            <w:r>
              <w:rPr>
                <w:noProof/>
                <w:webHidden/>
              </w:rPr>
            </w:r>
            <w:r>
              <w:rPr>
                <w:noProof/>
                <w:webHidden/>
              </w:rPr>
              <w:fldChar w:fldCharType="separate"/>
            </w:r>
            <w:r>
              <w:rPr>
                <w:noProof/>
                <w:webHidden/>
              </w:rPr>
              <w:t>2</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60" w:history="1">
            <w:r w:rsidRPr="003F0F06">
              <w:rPr>
                <w:rStyle w:val="Hyperlink"/>
                <w:noProof/>
              </w:rPr>
              <w:t>Motivational Theory</w:t>
            </w:r>
            <w:r>
              <w:rPr>
                <w:noProof/>
                <w:webHidden/>
              </w:rPr>
              <w:tab/>
            </w:r>
            <w:r>
              <w:rPr>
                <w:noProof/>
                <w:webHidden/>
              </w:rPr>
              <w:fldChar w:fldCharType="begin"/>
            </w:r>
            <w:r>
              <w:rPr>
                <w:noProof/>
                <w:webHidden/>
              </w:rPr>
              <w:instrText xml:space="preserve"> PAGEREF _Toc511549760 \h </w:instrText>
            </w:r>
            <w:r>
              <w:rPr>
                <w:noProof/>
                <w:webHidden/>
              </w:rPr>
            </w:r>
            <w:r>
              <w:rPr>
                <w:noProof/>
                <w:webHidden/>
              </w:rPr>
              <w:fldChar w:fldCharType="separate"/>
            </w:r>
            <w:r>
              <w:rPr>
                <w:noProof/>
                <w:webHidden/>
              </w:rPr>
              <w:t>3</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61" w:history="1">
            <w:r w:rsidRPr="003F0F06">
              <w:rPr>
                <w:rStyle w:val="Hyperlink"/>
                <w:noProof/>
              </w:rPr>
              <w:t>Context</w:t>
            </w:r>
            <w:r>
              <w:rPr>
                <w:noProof/>
                <w:webHidden/>
              </w:rPr>
              <w:tab/>
            </w:r>
            <w:r>
              <w:rPr>
                <w:noProof/>
                <w:webHidden/>
              </w:rPr>
              <w:fldChar w:fldCharType="begin"/>
            </w:r>
            <w:r>
              <w:rPr>
                <w:noProof/>
                <w:webHidden/>
              </w:rPr>
              <w:instrText xml:space="preserve"> PAGEREF _Toc511549761 \h </w:instrText>
            </w:r>
            <w:r>
              <w:rPr>
                <w:noProof/>
                <w:webHidden/>
              </w:rPr>
            </w:r>
            <w:r>
              <w:rPr>
                <w:noProof/>
                <w:webHidden/>
              </w:rPr>
              <w:fldChar w:fldCharType="separate"/>
            </w:r>
            <w:r>
              <w:rPr>
                <w:noProof/>
                <w:webHidden/>
              </w:rPr>
              <w:t>5</w:t>
            </w:r>
            <w:r>
              <w:rPr>
                <w:noProof/>
                <w:webHidden/>
              </w:rPr>
              <w:fldChar w:fldCharType="end"/>
            </w:r>
          </w:hyperlink>
        </w:p>
        <w:p w:rsidR="00D31566" w:rsidRDefault="00D31566">
          <w:pPr>
            <w:pStyle w:val="TOC1"/>
            <w:tabs>
              <w:tab w:val="right" w:leader="dot" w:pos="9016"/>
            </w:tabs>
            <w:rPr>
              <w:rFonts w:eastAsiaTheme="minorEastAsia"/>
              <w:noProof/>
              <w:lang w:eastAsia="en-GB"/>
            </w:rPr>
          </w:pPr>
          <w:hyperlink w:anchor="_Toc511549762" w:history="1">
            <w:r w:rsidRPr="003F0F06">
              <w:rPr>
                <w:rStyle w:val="Hyperlink"/>
                <w:noProof/>
              </w:rPr>
              <w:t>Action Research Aims</w:t>
            </w:r>
            <w:r>
              <w:rPr>
                <w:noProof/>
                <w:webHidden/>
              </w:rPr>
              <w:tab/>
            </w:r>
            <w:r>
              <w:rPr>
                <w:noProof/>
                <w:webHidden/>
              </w:rPr>
              <w:fldChar w:fldCharType="begin"/>
            </w:r>
            <w:r>
              <w:rPr>
                <w:noProof/>
                <w:webHidden/>
              </w:rPr>
              <w:instrText xml:space="preserve"> PAGEREF _Toc511549762 \h </w:instrText>
            </w:r>
            <w:r>
              <w:rPr>
                <w:noProof/>
                <w:webHidden/>
              </w:rPr>
            </w:r>
            <w:r>
              <w:rPr>
                <w:noProof/>
                <w:webHidden/>
              </w:rPr>
              <w:fldChar w:fldCharType="separate"/>
            </w:r>
            <w:r>
              <w:rPr>
                <w:noProof/>
                <w:webHidden/>
              </w:rPr>
              <w:t>6</w:t>
            </w:r>
            <w:r>
              <w:rPr>
                <w:noProof/>
                <w:webHidden/>
              </w:rPr>
              <w:fldChar w:fldCharType="end"/>
            </w:r>
          </w:hyperlink>
        </w:p>
        <w:p w:rsidR="00D31566" w:rsidRDefault="00D31566">
          <w:pPr>
            <w:pStyle w:val="TOC1"/>
            <w:tabs>
              <w:tab w:val="right" w:leader="dot" w:pos="9016"/>
            </w:tabs>
            <w:rPr>
              <w:rFonts w:eastAsiaTheme="minorEastAsia"/>
              <w:noProof/>
              <w:lang w:eastAsia="en-GB"/>
            </w:rPr>
          </w:pPr>
          <w:hyperlink w:anchor="_Toc511549763" w:history="1">
            <w:r w:rsidRPr="003F0F06">
              <w:rPr>
                <w:rStyle w:val="Hyperlink"/>
                <w:noProof/>
              </w:rPr>
              <w:t>Methodology</w:t>
            </w:r>
            <w:r>
              <w:rPr>
                <w:noProof/>
                <w:webHidden/>
              </w:rPr>
              <w:tab/>
            </w:r>
            <w:r>
              <w:rPr>
                <w:noProof/>
                <w:webHidden/>
              </w:rPr>
              <w:fldChar w:fldCharType="begin"/>
            </w:r>
            <w:r>
              <w:rPr>
                <w:noProof/>
                <w:webHidden/>
              </w:rPr>
              <w:instrText xml:space="preserve"> PAGEREF _Toc511549763 \h </w:instrText>
            </w:r>
            <w:r>
              <w:rPr>
                <w:noProof/>
                <w:webHidden/>
              </w:rPr>
            </w:r>
            <w:r>
              <w:rPr>
                <w:noProof/>
                <w:webHidden/>
              </w:rPr>
              <w:fldChar w:fldCharType="separate"/>
            </w:r>
            <w:r>
              <w:rPr>
                <w:noProof/>
                <w:webHidden/>
              </w:rPr>
              <w:t>7</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64" w:history="1">
            <w:r w:rsidRPr="003F0F06">
              <w:rPr>
                <w:rStyle w:val="Hyperlink"/>
                <w:noProof/>
              </w:rPr>
              <w:t>Design</w:t>
            </w:r>
            <w:r>
              <w:rPr>
                <w:noProof/>
                <w:webHidden/>
              </w:rPr>
              <w:tab/>
            </w:r>
            <w:r>
              <w:rPr>
                <w:noProof/>
                <w:webHidden/>
              </w:rPr>
              <w:fldChar w:fldCharType="begin"/>
            </w:r>
            <w:r>
              <w:rPr>
                <w:noProof/>
                <w:webHidden/>
              </w:rPr>
              <w:instrText xml:space="preserve"> PAGEREF _Toc511549764 \h </w:instrText>
            </w:r>
            <w:r>
              <w:rPr>
                <w:noProof/>
                <w:webHidden/>
              </w:rPr>
            </w:r>
            <w:r>
              <w:rPr>
                <w:noProof/>
                <w:webHidden/>
              </w:rPr>
              <w:fldChar w:fldCharType="separate"/>
            </w:r>
            <w:r>
              <w:rPr>
                <w:noProof/>
                <w:webHidden/>
              </w:rPr>
              <w:t>7</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65" w:history="1">
            <w:r w:rsidRPr="003F0F06">
              <w:rPr>
                <w:rStyle w:val="Hyperlink"/>
                <w:noProof/>
              </w:rPr>
              <w:t>Participants</w:t>
            </w:r>
            <w:r>
              <w:rPr>
                <w:noProof/>
                <w:webHidden/>
              </w:rPr>
              <w:tab/>
            </w:r>
            <w:r>
              <w:rPr>
                <w:noProof/>
                <w:webHidden/>
              </w:rPr>
              <w:fldChar w:fldCharType="begin"/>
            </w:r>
            <w:r>
              <w:rPr>
                <w:noProof/>
                <w:webHidden/>
              </w:rPr>
              <w:instrText xml:space="preserve"> PAGEREF _Toc511549765 \h </w:instrText>
            </w:r>
            <w:r>
              <w:rPr>
                <w:noProof/>
                <w:webHidden/>
              </w:rPr>
            </w:r>
            <w:r>
              <w:rPr>
                <w:noProof/>
                <w:webHidden/>
              </w:rPr>
              <w:fldChar w:fldCharType="separate"/>
            </w:r>
            <w:r>
              <w:rPr>
                <w:noProof/>
                <w:webHidden/>
              </w:rPr>
              <w:t>7</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66" w:history="1">
            <w:r w:rsidRPr="003F0F06">
              <w:rPr>
                <w:rStyle w:val="Hyperlink"/>
                <w:noProof/>
              </w:rPr>
              <w:t>Materials</w:t>
            </w:r>
            <w:r>
              <w:rPr>
                <w:noProof/>
                <w:webHidden/>
              </w:rPr>
              <w:tab/>
            </w:r>
            <w:r>
              <w:rPr>
                <w:noProof/>
                <w:webHidden/>
              </w:rPr>
              <w:fldChar w:fldCharType="begin"/>
            </w:r>
            <w:r>
              <w:rPr>
                <w:noProof/>
                <w:webHidden/>
              </w:rPr>
              <w:instrText xml:space="preserve"> PAGEREF _Toc511549766 \h </w:instrText>
            </w:r>
            <w:r>
              <w:rPr>
                <w:noProof/>
                <w:webHidden/>
              </w:rPr>
            </w:r>
            <w:r>
              <w:rPr>
                <w:noProof/>
                <w:webHidden/>
              </w:rPr>
              <w:fldChar w:fldCharType="separate"/>
            </w:r>
            <w:r>
              <w:rPr>
                <w:noProof/>
                <w:webHidden/>
              </w:rPr>
              <w:t>8</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67" w:history="1">
            <w:r w:rsidRPr="003F0F06">
              <w:rPr>
                <w:rStyle w:val="Hyperlink"/>
                <w:noProof/>
              </w:rPr>
              <w:t>Procedure</w:t>
            </w:r>
            <w:r>
              <w:rPr>
                <w:noProof/>
                <w:webHidden/>
              </w:rPr>
              <w:tab/>
            </w:r>
            <w:r>
              <w:rPr>
                <w:noProof/>
                <w:webHidden/>
              </w:rPr>
              <w:fldChar w:fldCharType="begin"/>
            </w:r>
            <w:r>
              <w:rPr>
                <w:noProof/>
                <w:webHidden/>
              </w:rPr>
              <w:instrText xml:space="preserve"> PAGEREF _Toc511549767 \h </w:instrText>
            </w:r>
            <w:r>
              <w:rPr>
                <w:noProof/>
                <w:webHidden/>
              </w:rPr>
            </w:r>
            <w:r>
              <w:rPr>
                <w:noProof/>
                <w:webHidden/>
              </w:rPr>
              <w:fldChar w:fldCharType="separate"/>
            </w:r>
            <w:r>
              <w:rPr>
                <w:noProof/>
                <w:webHidden/>
              </w:rPr>
              <w:t>9</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68" w:history="1">
            <w:r w:rsidRPr="003F0F06">
              <w:rPr>
                <w:rStyle w:val="Hyperlink"/>
                <w:noProof/>
              </w:rPr>
              <w:t>Ethics</w:t>
            </w:r>
            <w:r>
              <w:rPr>
                <w:noProof/>
                <w:webHidden/>
              </w:rPr>
              <w:tab/>
            </w:r>
            <w:r>
              <w:rPr>
                <w:noProof/>
                <w:webHidden/>
              </w:rPr>
              <w:fldChar w:fldCharType="begin"/>
            </w:r>
            <w:r>
              <w:rPr>
                <w:noProof/>
                <w:webHidden/>
              </w:rPr>
              <w:instrText xml:space="preserve"> PAGEREF _Toc511549768 \h </w:instrText>
            </w:r>
            <w:r>
              <w:rPr>
                <w:noProof/>
                <w:webHidden/>
              </w:rPr>
            </w:r>
            <w:r>
              <w:rPr>
                <w:noProof/>
                <w:webHidden/>
              </w:rPr>
              <w:fldChar w:fldCharType="separate"/>
            </w:r>
            <w:r>
              <w:rPr>
                <w:noProof/>
                <w:webHidden/>
              </w:rPr>
              <w:t>10</w:t>
            </w:r>
            <w:r>
              <w:rPr>
                <w:noProof/>
                <w:webHidden/>
              </w:rPr>
              <w:fldChar w:fldCharType="end"/>
            </w:r>
          </w:hyperlink>
        </w:p>
        <w:p w:rsidR="00D31566" w:rsidRDefault="00D31566">
          <w:pPr>
            <w:pStyle w:val="TOC1"/>
            <w:tabs>
              <w:tab w:val="right" w:leader="dot" w:pos="9016"/>
            </w:tabs>
            <w:rPr>
              <w:rFonts w:eastAsiaTheme="minorEastAsia"/>
              <w:noProof/>
              <w:lang w:eastAsia="en-GB"/>
            </w:rPr>
          </w:pPr>
          <w:hyperlink w:anchor="_Toc511549769" w:history="1">
            <w:r w:rsidRPr="003F0F06">
              <w:rPr>
                <w:rStyle w:val="Hyperlink"/>
                <w:noProof/>
              </w:rPr>
              <w:t>Work Plan</w:t>
            </w:r>
            <w:r>
              <w:rPr>
                <w:noProof/>
                <w:webHidden/>
              </w:rPr>
              <w:tab/>
            </w:r>
            <w:r>
              <w:rPr>
                <w:noProof/>
                <w:webHidden/>
              </w:rPr>
              <w:fldChar w:fldCharType="begin"/>
            </w:r>
            <w:r>
              <w:rPr>
                <w:noProof/>
                <w:webHidden/>
              </w:rPr>
              <w:instrText xml:space="preserve"> PAGEREF _Toc511549769 \h </w:instrText>
            </w:r>
            <w:r>
              <w:rPr>
                <w:noProof/>
                <w:webHidden/>
              </w:rPr>
            </w:r>
            <w:r>
              <w:rPr>
                <w:noProof/>
                <w:webHidden/>
              </w:rPr>
              <w:fldChar w:fldCharType="separate"/>
            </w:r>
            <w:r>
              <w:rPr>
                <w:noProof/>
                <w:webHidden/>
              </w:rPr>
              <w:t>10</w:t>
            </w:r>
            <w:r>
              <w:rPr>
                <w:noProof/>
                <w:webHidden/>
              </w:rPr>
              <w:fldChar w:fldCharType="end"/>
            </w:r>
          </w:hyperlink>
        </w:p>
        <w:p w:rsidR="00D31566" w:rsidRDefault="00D31566">
          <w:pPr>
            <w:pStyle w:val="TOC1"/>
            <w:tabs>
              <w:tab w:val="right" w:leader="dot" w:pos="9016"/>
            </w:tabs>
            <w:rPr>
              <w:rFonts w:eastAsiaTheme="minorEastAsia"/>
              <w:noProof/>
              <w:lang w:eastAsia="en-GB"/>
            </w:rPr>
          </w:pPr>
          <w:hyperlink w:anchor="_Toc511549770" w:history="1">
            <w:r w:rsidRPr="003F0F06">
              <w:rPr>
                <w:rStyle w:val="Hyperlink"/>
                <w:noProof/>
              </w:rPr>
              <w:t>Evaluation of Study</w:t>
            </w:r>
            <w:r>
              <w:rPr>
                <w:noProof/>
                <w:webHidden/>
              </w:rPr>
              <w:tab/>
            </w:r>
            <w:r>
              <w:rPr>
                <w:noProof/>
                <w:webHidden/>
              </w:rPr>
              <w:fldChar w:fldCharType="begin"/>
            </w:r>
            <w:r>
              <w:rPr>
                <w:noProof/>
                <w:webHidden/>
              </w:rPr>
              <w:instrText xml:space="preserve"> PAGEREF _Toc511549770 \h </w:instrText>
            </w:r>
            <w:r>
              <w:rPr>
                <w:noProof/>
                <w:webHidden/>
              </w:rPr>
            </w:r>
            <w:r>
              <w:rPr>
                <w:noProof/>
                <w:webHidden/>
              </w:rPr>
              <w:fldChar w:fldCharType="separate"/>
            </w:r>
            <w:r>
              <w:rPr>
                <w:noProof/>
                <w:webHidden/>
              </w:rPr>
              <w:t>11</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71" w:history="1">
            <w:r w:rsidRPr="003F0F06">
              <w:rPr>
                <w:rStyle w:val="Hyperlink"/>
                <w:noProof/>
              </w:rPr>
              <w:t>Strengths and Limitations</w:t>
            </w:r>
            <w:r>
              <w:rPr>
                <w:noProof/>
                <w:webHidden/>
              </w:rPr>
              <w:tab/>
            </w:r>
            <w:r>
              <w:rPr>
                <w:noProof/>
                <w:webHidden/>
              </w:rPr>
              <w:fldChar w:fldCharType="begin"/>
            </w:r>
            <w:r>
              <w:rPr>
                <w:noProof/>
                <w:webHidden/>
              </w:rPr>
              <w:instrText xml:space="preserve"> PAGEREF _Toc511549771 \h </w:instrText>
            </w:r>
            <w:r>
              <w:rPr>
                <w:noProof/>
                <w:webHidden/>
              </w:rPr>
            </w:r>
            <w:r>
              <w:rPr>
                <w:noProof/>
                <w:webHidden/>
              </w:rPr>
              <w:fldChar w:fldCharType="separate"/>
            </w:r>
            <w:r>
              <w:rPr>
                <w:noProof/>
                <w:webHidden/>
              </w:rPr>
              <w:t>11</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72" w:history="1">
            <w:r w:rsidRPr="003F0F06">
              <w:rPr>
                <w:rStyle w:val="Hyperlink"/>
                <w:noProof/>
              </w:rPr>
              <w:t>Future Steps</w:t>
            </w:r>
            <w:r>
              <w:rPr>
                <w:noProof/>
                <w:webHidden/>
              </w:rPr>
              <w:tab/>
            </w:r>
            <w:r>
              <w:rPr>
                <w:noProof/>
                <w:webHidden/>
              </w:rPr>
              <w:fldChar w:fldCharType="begin"/>
            </w:r>
            <w:r>
              <w:rPr>
                <w:noProof/>
                <w:webHidden/>
              </w:rPr>
              <w:instrText xml:space="preserve"> PAGEREF _Toc511549772 \h </w:instrText>
            </w:r>
            <w:r>
              <w:rPr>
                <w:noProof/>
                <w:webHidden/>
              </w:rPr>
            </w:r>
            <w:r>
              <w:rPr>
                <w:noProof/>
                <w:webHidden/>
              </w:rPr>
              <w:fldChar w:fldCharType="separate"/>
            </w:r>
            <w:r>
              <w:rPr>
                <w:noProof/>
                <w:webHidden/>
              </w:rPr>
              <w:t>12</w:t>
            </w:r>
            <w:r>
              <w:rPr>
                <w:noProof/>
                <w:webHidden/>
              </w:rPr>
              <w:fldChar w:fldCharType="end"/>
            </w:r>
          </w:hyperlink>
        </w:p>
        <w:p w:rsidR="00D31566" w:rsidRDefault="00D31566">
          <w:pPr>
            <w:pStyle w:val="TOC1"/>
            <w:tabs>
              <w:tab w:val="right" w:leader="dot" w:pos="9016"/>
            </w:tabs>
            <w:rPr>
              <w:rFonts w:eastAsiaTheme="minorEastAsia"/>
              <w:noProof/>
              <w:lang w:eastAsia="en-GB"/>
            </w:rPr>
          </w:pPr>
          <w:hyperlink w:anchor="_Toc511549773" w:history="1">
            <w:r w:rsidRPr="003F0F06">
              <w:rPr>
                <w:rStyle w:val="Hyperlink"/>
                <w:noProof/>
              </w:rPr>
              <w:t>Appendices</w:t>
            </w:r>
            <w:r>
              <w:rPr>
                <w:noProof/>
                <w:webHidden/>
              </w:rPr>
              <w:tab/>
            </w:r>
            <w:r>
              <w:rPr>
                <w:noProof/>
                <w:webHidden/>
              </w:rPr>
              <w:fldChar w:fldCharType="begin"/>
            </w:r>
            <w:r>
              <w:rPr>
                <w:noProof/>
                <w:webHidden/>
              </w:rPr>
              <w:instrText xml:space="preserve"> PAGEREF _Toc511549773 \h </w:instrText>
            </w:r>
            <w:r>
              <w:rPr>
                <w:noProof/>
                <w:webHidden/>
              </w:rPr>
            </w:r>
            <w:r>
              <w:rPr>
                <w:noProof/>
                <w:webHidden/>
              </w:rPr>
              <w:fldChar w:fldCharType="separate"/>
            </w:r>
            <w:r>
              <w:rPr>
                <w:noProof/>
                <w:webHidden/>
              </w:rPr>
              <w:t>12</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74" w:history="1">
            <w:r w:rsidRPr="003F0F06">
              <w:rPr>
                <w:rStyle w:val="Hyperlink"/>
                <w:noProof/>
              </w:rPr>
              <w:t>Appendix 1 – School X Reading Challenge Totals by Year Group (February 2018)</w:t>
            </w:r>
            <w:r>
              <w:rPr>
                <w:noProof/>
                <w:webHidden/>
              </w:rPr>
              <w:tab/>
            </w:r>
            <w:r>
              <w:rPr>
                <w:noProof/>
                <w:webHidden/>
              </w:rPr>
              <w:fldChar w:fldCharType="begin"/>
            </w:r>
            <w:r>
              <w:rPr>
                <w:noProof/>
                <w:webHidden/>
              </w:rPr>
              <w:instrText xml:space="preserve"> PAGEREF _Toc511549774 \h </w:instrText>
            </w:r>
            <w:r>
              <w:rPr>
                <w:noProof/>
                <w:webHidden/>
              </w:rPr>
            </w:r>
            <w:r>
              <w:rPr>
                <w:noProof/>
                <w:webHidden/>
              </w:rPr>
              <w:fldChar w:fldCharType="separate"/>
            </w:r>
            <w:r>
              <w:rPr>
                <w:noProof/>
                <w:webHidden/>
              </w:rPr>
              <w:t>12</w:t>
            </w:r>
            <w:r>
              <w:rPr>
                <w:noProof/>
                <w:webHidden/>
              </w:rPr>
              <w:fldChar w:fldCharType="end"/>
            </w:r>
          </w:hyperlink>
        </w:p>
        <w:p w:rsidR="00D31566" w:rsidRDefault="00D31566">
          <w:pPr>
            <w:pStyle w:val="TOC2"/>
            <w:tabs>
              <w:tab w:val="right" w:leader="dot" w:pos="9016"/>
            </w:tabs>
            <w:rPr>
              <w:rFonts w:eastAsiaTheme="minorEastAsia"/>
              <w:noProof/>
              <w:lang w:eastAsia="en-GB"/>
            </w:rPr>
          </w:pPr>
          <w:hyperlink w:anchor="_Toc511549775" w:history="1">
            <w:r w:rsidRPr="003F0F06">
              <w:rPr>
                <w:rStyle w:val="Hyperlink"/>
                <w:noProof/>
              </w:rPr>
              <w:t>Appendix 2 – Number of Book Loans and Borrowers by Year Group at School X (April 2018)</w:t>
            </w:r>
            <w:r>
              <w:rPr>
                <w:noProof/>
                <w:webHidden/>
              </w:rPr>
              <w:tab/>
            </w:r>
            <w:r>
              <w:rPr>
                <w:noProof/>
                <w:webHidden/>
              </w:rPr>
              <w:fldChar w:fldCharType="begin"/>
            </w:r>
            <w:r>
              <w:rPr>
                <w:noProof/>
                <w:webHidden/>
              </w:rPr>
              <w:instrText xml:space="preserve"> PAGEREF _Toc511549775 \h </w:instrText>
            </w:r>
            <w:r>
              <w:rPr>
                <w:noProof/>
                <w:webHidden/>
              </w:rPr>
            </w:r>
            <w:r>
              <w:rPr>
                <w:noProof/>
                <w:webHidden/>
              </w:rPr>
              <w:fldChar w:fldCharType="separate"/>
            </w:r>
            <w:r>
              <w:rPr>
                <w:noProof/>
                <w:webHidden/>
              </w:rPr>
              <w:t>12</w:t>
            </w:r>
            <w:r>
              <w:rPr>
                <w:noProof/>
                <w:webHidden/>
              </w:rPr>
              <w:fldChar w:fldCharType="end"/>
            </w:r>
          </w:hyperlink>
        </w:p>
        <w:p w:rsidR="00D31566" w:rsidRDefault="00D31566">
          <w:pPr>
            <w:pStyle w:val="TOC1"/>
            <w:tabs>
              <w:tab w:val="right" w:leader="dot" w:pos="9016"/>
            </w:tabs>
            <w:rPr>
              <w:rFonts w:eastAsiaTheme="minorEastAsia"/>
              <w:noProof/>
              <w:lang w:eastAsia="en-GB"/>
            </w:rPr>
          </w:pPr>
          <w:hyperlink w:anchor="_Toc511549776" w:history="1">
            <w:r w:rsidRPr="003F0F06">
              <w:rPr>
                <w:rStyle w:val="Hyperlink"/>
                <w:noProof/>
              </w:rPr>
              <w:t>References</w:t>
            </w:r>
            <w:r>
              <w:rPr>
                <w:noProof/>
                <w:webHidden/>
              </w:rPr>
              <w:tab/>
            </w:r>
            <w:r>
              <w:rPr>
                <w:noProof/>
                <w:webHidden/>
              </w:rPr>
              <w:fldChar w:fldCharType="begin"/>
            </w:r>
            <w:r>
              <w:rPr>
                <w:noProof/>
                <w:webHidden/>
              </w:rPr>
              <w:instrText xml:space="preserve"> PAGEREF _Toc511549776 \h </w:instrText>
            </w:r>
            <w:r>
              <w:rPr>
                <w:noProof/>
                <w:webHidden/>
              </w:rPr>
            </w:r>
            <w:r>
              <w:rPr>
                <w:noProof/>
                <w:webHidden/>
              </w:rPr>
              <w:fldChar w:fldCharType="separate"/>
            </w:r>
            <w:r>
              <w:rPr>
                <w:noProof/>
                <w:webHidden/>
              </w:rPr>
              <w:t>13</w:t>
            </w:r>
            <w:r>
              <w:rPr>
                <w:noProof/>
                <w:webHidden/>
              </w:rPr>
              <w:fldChar w:fldCharType="end"/>
            </w:r>
          </w:hyperlink>
        </w:p>
        <w:p w:rsidR="00BF5FD2" w:rsidRPr="00C03EC0" w:rsidRDefault="00BF5FD2" w:rsidP="00C03EC0">
          <w:pPr>
            <w:pStyle w:val="TOC1"/>
            <w:tabs>
              <w:tab w:val="right" w:leader="dot" w:pos="9016"/>
            </w:tabs>
            <w:rPr>
              <w:rFonts w:eastAsiaTheme="minorEastAsia"/>
              <w:noProof/>
              <w:lang w:eastAsia="en-GB"/>
            </w:rPr>
          </w:pPr>
          <w:r>
            <w:rPr>
              <w:b/>
              <w:bCs/>
              <w:noProof/>
            </w:rPr>
            <w:fldChar w:fldCharType="end"/>
          </w:r>
        </w:p>
      </w:sdtContent>
    </w:sdt>
    <w:p w:rsidR="00CB4632" w:rsidRDefault="00BF5FD2" w:rsidP="009B5440">
      <w:pPr>
        <w:pStyle w:val="Heading1"/>
      </w:pPr>
      <w:bookmarkStart w:id="2" w:name="_Toc511549758"/>
      <w:r>
        <w:lastRenderedPageBreak/>
        <w:t>Introduction</w:t>
      </w:r>
      <w:bookmarkEnd w:id="2"/>
    </w:p>
    <w:p w:rsidR="00974DDB" w:rsidRPr="00974DDB" w:rsidRDefault="009D3D59" w:rsidP="009D3D59">
      <w:r>
        <w:t xml:space="preserve">Graham </w:t>
      </w:r>
      <w:r w:rsidR="009F0126">
        <w:t>Donaldson</w:t>
      </w:r>
      <w:r>
        <w:t>,</w:t>
      </w:r>
      <w:r w:rsidR="009F0126">
        <w:t xml:space="preserve"> as just one spokesperson for educational outcomes</w:t>
      </w:r>
      <w:r>
        <w:t>, tells us that “l</w:t>
      </w:r>
      <w:r w:rsidRPr="009D3D59">
        <w:t>iteracy and numeracy are universally acknowledged to be the essential foundations of education</w:t>
      </w:r>
      <w:r>
        <w:t>” (Donaldson, 2015:18). These skills</w:t>
      </w:r>
      <w:r w:rsidR="00974DDB">
        <w:t xml:space="preserve"> form the backbone of the curriculum in both England and Wales, and outcomes in English and Maths are simultaneously the measures of a successful education and the</w:t>
      </w:r>
      <w:r w:rsidR="00A93A64">
        <w:t xml:space="preserve"> predictors</w:t>
      </w:r>
      <w:r w:rsidR="00974DDB">
        <w:t xml:space="preserve"> a prosperous future. </w:t>
      </w:r>
      <w:r w:rsidR="00A93A64">
        <w:t>With this in mind, it is frustrating for teachers to continually encounter a lack of motivation from students towards improving</w:t>
      </w:r>
      <w:r w:rsidR="009F0126">
        <w:t xml:space="preserve"> and developing</w:t>
      </w:r>
      <w:r w:rsidR="00A93A64">
        <w:t xml:space="preserve"> these skills. </w:t>
      </w:r>
      <w:r w:rsidR="009F0126">
        <w:t xml:space="preserve">Reading in particular is a skill that </w:t>
      </w:r>
      <w:r w:rsidR="00527DF6">
        <w:t>most</w:t>
      </w:r>
      <w:r w:rsidR="009F0126">
        <w:t xml:space="preserve"> children </w:t>
      </w:r>
      <w:r w:rsidR="0011056C">
        <w:t xml:space="preserve">begin to </w:t>
      </w:r>
      <w:r w:rsidR="009F0126">
        <w:t xml:space="preserve">learn from a young age, and many </w:t>
      </w:r>
      <w:r w:rsidR="0011056C">
        <w:t>experience</w:t>
      </w:r>
      <w:r w:rsidR="009F0126">
        <w:t xml:space="preserve"> the pleasure of reading before even setting foot in a classroom.</w:t>
      </w:r>
      <w:r w:rsidR="0011056C">
        <w:t xml:space="preserve"> However, educational literature and empirical evidence demonstrates that this initial motivation often decreases dramatically as students get older (Becker et al, 2010), so that by the time students leave school many of them have lost the love of reading. This important change in behaviour is one of the reasons why thousands of pupils leave school each year without the literacy skills to allow them to pursue the career of their choice, therefore limiting their future options and life successes (National Literacy Trust, 2018).</w:t>
      </w:r>
      <w:r w:rsidR="00F86C38">
        <w:t xml:space="preserve"> It is therefore essential that we as teachers question why this phenomenon continues to reoccur, and what can be done to stop it.</w:t>
      </w:r>
    </w:p>
    <w:p w:rsidR="001858A7" w:rsidRDefault="001858A7" w:rsidP="00CB4632">
      <w:r>
        <w:t>Organisations such as the UKLA recognise the importance of having teachers as researchers by promoting and supporting further literacy research projects to help inform pedagogy (</w:t>
      </w:r>
      <w:r w:rsidR="00F86C38">
        <w:t xml:space="preserve">UK Literacy Association, </w:t>
      </w:r>
      <w:r>
        <w:t xml:space="preserve">2018). </w:t>
      </w:r>
      <w:r w:rsidR="002625F0">
        <w:t xml:space="preserve">Using existing research, such as the EEF Sutton Trust Teaching and Learning Toolkit (Higgins et al, 2012), practitioners </w:t>
      </w:r>
      <w:r w:rsidR="00D31566">
        <w:t>can</w:t>
      </w:r>
      <w:r w:rsidR="002625F0">
        <w:t xml:space="preserve"> move towards an evidence-based practice whereby decision-making can be informed by </w:t>
      </w:r>
      <w:r w:rsidR="00FD04E1">
        <w:t>data (Welsh Government, 2015). In contexts where research-informed interventions are already in place but are not producing the outcomes expected, teachers should be encouraged to become self-reflective</w:t>
      </w:r>
      <w:r w:rsidR="009E7241">
        <w:t xml:space="preserve"> and endeavour to pursue answers to their own educational questions through professional enquiry, in order to </w:t>
      </w:r>
      <w:r w:rsidR="00036AF0">
        <w:t>contribute</w:t>
      </w:r>
      <w:r w:rsidR="009E7241">
        <w:t xml:space="preserve"> to the field of pedagogical research</w:t>
      </w:r>
      <w:r w:rsidR="00DF2936">
        <w:t xml:space="preserve"> (Boyd &amp; Split, 2017; </w:t>
      </w:r>
      <w:proofErr w:type="spellStart"/>
      <w:r w:rsidR="00DF2936">
        <w:t>Stenhouse</w:t>
      </w:r>
      <w:proofErr w:type="spellEnd"/>
      <w:r w:rsidR="00DF2936">
        <w:t xml:space="preserve">, 1975; </w:t>
      </w:r>
      <w:proofErr w:type="spellStart"/>
      <w:r w:rsidR="00DF2936">
        <w:t>Baumfield</w:t>
      </w:r>
      <w:proofErr w:type="spellEnd"/>
      <w:r w:rsidR="00DF2936">
        <w:t xml:space="preserve"> et al, 2013)</w:t>
      </w:r>
      <w:r w:rsidR="009E7241">
        <w:t xml:space="preserve">. </w:t>
      </w:r>
      <w:r w:rsidR="00CE5A1F">
        <w:t xml:space="preserve">As an educational researcher, the aim is always to extend knowledge and understanding about what is happening in the classroom and why, how and whether this can be changed, and then sharing this information with all educational stakeholders in order to improve outcomes (BERA, 2011). </w:t>
      </w:r>
      <w:r w:rsidR="009E7241">
        <w:t xml:space="preserve">The </w:t>
      </w:r>
      <w:r w:rsidR="009D3D59">
        <w:t xml:space="preserve">current study aims </w:t>
      </w:r>
      <w:r w:rsidR="009E7241">
        <w:t xml:space="preserve">to implement evidence-based </w:t>
      </w:r>
      <w:r w:rsidR="009D3D59">
        <w:t>action research</w:t>
      </w:r>
      <w:r w:rsidR="009E7241">
        <w:t xml:space="preserve"> in the area of reading motivation, by investigating what solutions already exist</w:t>
      </w:r>
      <w:r w:rsidR="00036AF0">
        <w:t>, analysing these against the strategies in place in the context, and developing an action research plan with the aim of filling a gap in the current body of evidence.</w:t>
      </w:r>
    </w:p>
    <w:p w:rsidR="00BF5FD2" w:rsidRDefault="00D53BF8" w:rsidP="002030B7">
      <w:pPr>
        <w:pStyle w:val="Heading2"/>
      </w:pPr>
      <w:bookmarkStart w:id="3" w:name="_Toc511549759"/>
      <w:r>
        <w:t>Reading Motivation</w:t>
      </w:r>
      <w:bookmarkEnd w:id="3"/>
    </w:p>
    <w:p w:rsidR="001858A7" w:rsidRDefault="00EF65FD" w:rsidP="001858A7">
      <w:r>
        <w:t xml:space="preserve">If government, school and teacher aims are to increase literacy levels and reading abilities, then pupil motivation to read must be </w:t>
      </w:r>
      <w:r w:rsidR="00527DF6">
        <w:t>addressed</w:t>
      </w:r>
      <w:r>
        <w:t>. Many experts in the field recognise that in order for children to progress in their reading, they must have both the skill and the will to do so (</w:t>
      </w:r>
      <w:proofErr w:type="spellStart"/>
      <w:r>
        <w:t>Gamb</w:t>
      </w:r>
      <w:r w:rsidR="00406155">
        <w:t>r</w:t>
      </w:r>
      <w:r>
        <w:t>ell</w:t>
      </w:r>
      <w:proofErr w:type="spellEnd"/>
      <w:r>
        <w:t>, 1996). However, although reading motivation and achievement are directly linked, it is not always certain which influence</w:t>
      </w:r>
      <w:r w:rsidR="00406155">
        <w:t>s the other first (Guthrie et al, 2007</w:t>
      </w:r>
      <w:r>
        <w:t xml:space="preserve">). Nevertheless, studies on increasing reading motivation suggest a wide range of strategies, including ensuring a “book rich classroom environment”, introducing a social aspect to reading, setting personal goals, </w:t>
      </w:r>
      <w:r w:rsidR="009D3D59">
        <w:t>providing</w:t>
      </w:r>
      <w:r>
        <w:t xml:space="preserve"> peer mentors and giving students control over what they are reading (</w:t>
      </w:r>
      <w:proofErr w:type="spellStart"/>
      <w:r w:rsidR="00EA6EC5">
        <w:t>Gamb</w:t>
      </w:r>
      <w:r w:rsidR="00406155">
        <w:t>r</w:t>
      </w:r>
      <w:r w:rsidR="00EA6EC5">
        <w:t>ell</w:t>
      </w:r>
      <w:proofErr w:type="spellEnd"/>
      <w:r w:rsidR="00EA6EC5">
        <w:t xml:space="preserve">, 1996; </w:t>
      </w:r>
      <w:r>
        <w:t xml:space="preserve">Guthrie &amp; </w:t>
      </w:r>
      <w:proofErr w:type="spellStart"/>
      <w:r>
        <w:t>Wigfield</w:t>
      </w:r>
      <w:proofErr w:type="spellEnd"/>
      <w:r>
        <w:t xml:space="preserve">, 2006; </w:t>
      </w:r>
      <w:r w:rsidR="009162B8">
        <w:t>McRae &amp; Guthrie, 2009</w:t>
      </w:r>
      <w:r w:rsidR="00EA6EC5">
        <w:t xml:space="preserve">). However, although these strategies have a foundation in academic </w:t>
      </w:r>
      <w:r w:rsidR="00EA6EC5">
        <w:lastRenderedPageBreak/>
        <w:t xml:space="preserve">research, it can be argued that they do not take into account the motivation level of the individual student and are too generalised to cover a 3-18 age range. </w:t>
      </w:r>
    </w:p>
    <w:p w:rsidR="00A01B1D" w:rsidRDefault="00A01B1D" w:rsidP="001858A7">
      <w:r>
        <w:t xml:space="preserve">For example, where it is suggested that students are given a wide choice of reading material to choose from and the responsibility to choose the material based on their own personal interests (Guthrie et al, 2006; </w:t>
      </w:r>
      <w:proofErr w:type="spellStart"/>
      <w:r>
        <w:t>Gamb</w:t>
      </w:r>
      <w:r w:rsidR="00406155">
        <w:t>r</w:t>
      </w:r>
      <w:r>
        <w:t>ell</w:t>
      </w:r>
      <w:proofErr w:type="spellEnd"/>
      <w:r>
        <w:t>, 1996), students at KS4 level are required to read the set texts and poetry in their English Literature specification, as well as the textbooks and readings in their other subjects. This eliminates the element of choice completely whilst simultaneously adding the requirement of ‘reading to learn’, rather than ‘reading for pleasure’, so it is unsurprising therefore that students at this age are put off reading</w:t>
      </w:r>
      <w:r w:rsidR="009D3D59">
        <w:t xml:space="preserve"> due to such added pressure</w:t>
      </w:r>
      <w:r>
        <w:t xml:space="preserve">. Similarly, </w:t>
      </w:r>
      <w:proofErr w:type="spellStart"/>
      <w:r>
        <w:t>Cambourne</w:t>
      </w:r>
      <w:proofErr w:type="spellEnd"/>
      <w:r w:rsidR="0029099B">
        <w:t xml:space="preserve"> recommends in his Running Start programme that students are immersed in a ‘book rich classroom environment’ (1988), which, while possible in a primary setting, is impractical and unrealistic in a secondary setting. In fact, the majority of literature in the field of reading motivation focuses on the primary classroom, acknowledging the dip in motivation over time but neglecting </w:t>
      </w:r>
      <w:r w:rsidR="00527DF6">
        <w:t xml:space="preserve">to further investigate </w:t>
      </w:r>
      <w:r w:rsidR="0029099B">
        <w:t>the secondary setting and how to target these older students.</w:t>
      </w:r>
    </w:p>
    <w:p w:rsidR="00BD55F4" w:rsidRDefault="008B5E65" w:rsidP="001858A7">
      <w:r>
        <w:t>Moving to even more recent research on the idea of ‘reading for pleasure’</w:t>
      </w:r>
      <w:r w:rsidR="009111F3">
        <w:t xml:space="preserve">, it is suggested </w:t>
      </w:r>
      <w:r w:rsidR="00137401">
        <w:t xml:space="preserve">that </w:t>
      </w:r>
      <w:r w:rsidR="009111F3">
        <w:t xml:space="preserve">children do not have to be reading books </w:t>
      </w:r>
      <w:r w:rsidR="00137401">
        <w:t xml:space="preserve">in order </w:t>
      </w:r>
      <w:r w:rsidR="009111F3">
        <w:t xml:space="preserve">to </w:t>
      </w:r>
      <w:r w:rsidR="00137401">
        <w:t>develop their reading skills (Dixon, 2018). In this</w:t>
      </w:r>
      <w:r w:rsidR="009111F3">
        <w:t xml:space="preserve"> digital era, many organisations have </w:t>
      </w:r>
      <w:r w:rsidR="00527DF6">
        <w:t>appreciated</w:t>
      </w:r>
      <w:r w:rsidR="009111F3">
        <w:t xml:space="preserve"> the value of apps and online sources in influencing children’s reading habits</w:t>
      </w:r>
      <w:r w:rsidR="0006523A">
        <w:t>, with the National Literac</w:t>
      </w:r>
      <w:r w:rsidR="009D3D59">
        <w:t>y Trust and UKLA producing book</w:t>
      </w:r>
      <w:r w:rsidR="0006523A">
        <w:t xml:space="preserve"> apps and digital books available for free download (ibid.). </w:t>
      </w:r>
      <w:proofErr w:type="spellStart"/>
      <w:r w:rsidR="0006523A">
        <w:t>Kucirkova</w:t>
      </w:r>
      <w:proofErr w:type="spellEnd"/>
      <w:r w:rsidR="0006523A">
        <w:t xml:space="preserve"> and </w:t>
      </w:r>
      <w:proofErr w:type="spellStart"/>
      <w:r w:rsidR="0006523A">
        <w:t>Cremin</w:t>
      </w:r>
      <w:proofErr w:type="spellEnd"/>
      <w:r w:rsidR="0006523A">
        <w:t xml:space="preserve"> add that the main advantages of digital reading material is that it can be more affective, creative and personalised than books found in a school library (2016). The amount of material available online is infinitely wider and more accessible than what can be found in a library, allowing children far more choice on what they read and how. Not only this, encouraging children to research their own reading material through apps and online portals encourages them to develop their digital competencies (ibid.), recognised as an essential component of a 21</w:t>
      </w:r>
      <w:r w:rsidR="0006523A" w:rsidRPr="0006523A">
        <w:rPr>
          <w:vertAlign w:val="superscript"/>
        </w:rPr>
        <w:t>st</w:t>
      </w:r>
      <w:r w:rsidR="0006523A">
        <w:t xml:space="preserve"> century education (Donaldson, 2015</w:t>
      </w:r>
      <w:r w:rsidR="00137401">
        <w:t>; Welsh Government, 2016). The main drawbacks to digital reading are that parents and teachers are unable to monitor the suitability of the content for the age of the reader, and that often many teachers are ‘digitally blind’ and unaware of the extent to which these literacy-rich resources can be utilised in their own classrooms (</w:t>
      </w:r>
      <w:proofErr w:type="spellStart"/>
      <w:r w:rsidR="00137401">
        <w:t>Kucirkova</w:t>
      </w:r>
      <w:proofErr w:type="spellEnd"/>
      <w:r w:rsidR="00137401">
        <w:t xml:space="preserve"> &amp; </w:t>
      </w:r>
      <w:proofErr w:type="spellStart"/>
      <w:r w:rsidR="00137401">
        <w:t>Cremin</w:t>
      </w:r>
      <w:proofErr w:type="spellEnd"/>
      <w:r w:rsidR="00137401">
        <w:t xml:space="preserve">, 2016). It seems indisputable that these resources, websites and apps should be exploited in the classroom by well-informed teachers, in order to allow students to take ownership of what they are reading and learning, and to simultaneously develop their literacy skills and digital competency. This is especially true of older pupils who, alongside education on safe use of digital resources, can arguably be better trusted to take advantage of </w:t>
      </w:r>
      <w:r w:rsidR="000D3FB6">
        <w:t>digital reading material.</w:t>
      </w:r>
    </w:p>
    <w:p w:rsidR="002E4277" w:rsidRDefault="002E4277" w:rsidP="002E4277">
      <w:pPr>
        <w:pStyle w:val="Heading2"/>
      </w:pPr>
      <w:bookmarkStart w:id="4" w:name="_Toc511549760"/>
      <w:r>
        <w:t>Motivational Theory</w:t>
      </w:r>
      <w:bookmarkEnd w:id="4"/>
    </w:p>
    <w:p w:rsidR="00EA6EC5" w:rsidRDefault="001A2537" w:rsidP="001858A7">
      <w:r>
        <w:t>I</w:t>
      </w:r>
      <w:r w:rsidR="00EA6EC5">
        <w:t xml:space="preserve">n order to </w:t>
      </w:r>
      <w:r w:rsidR="00527DF6">
        <w:t>fully</w:t>
      </w:r>
      <w:r w:rsidR="00EA6EC5">
        <w:t xml:space="preserve"> understand motivational theory around reading, we must make a distinction between intrinsic and extrinsic motivation (</w:t>
      </w:r>
      <w:r>
        <w:t xml:space="preserve">Hansen, 2001; Becker et al, </w:t>
      </w:r>
      <w:r w:rsidR="00EA6EC5">
        <w:t>2010).</w:t>
      </w:r>
      <w:r w:rsidR="009B5440">
        <w:t xml:space="preserve"> </w:t>
      </w:r>
      <w:r>
        <w:t>I</w:t>
      </w:r>
      <w:r w:rsidR="009B5440">
        <w:t xml:space="preserve">ntrinsic motivation is demonstrated by children who show curiosity in the content, </w:t>
      </w:r>
      <w:r>
        <w:t xml:space="preserve">who learn for learnings’ sake, or who have </w:t>
      </w:r>
      <w:r w:rsidR="009B5440">
        <w:t>a preference for challenge, whilst children who are extrinsically motivated are influenced by competitions, recognition, their social circle, grades, or even just to comply with teacher expectations (</w:t>
      </w:r>
      <w:r>
        <w:t xml:space="preserve">ibid; McGeown, </w:t>
      </w:r>
      <w:r w:rsidR="009B5440">
        <w:t xml:space="preserve">2013). Furthermore, it is clear that a child cannot be expected to set reading goals for themselves if they do not fully understand why they are reading, a key aspect of achievement motivation theory (Baker &amp; </w:t>
      </w:r>
      <w:proofErr w:type="spellStart"/>
      <w:r w:rsidR="009B5440">
        <w:t>Wigfield</w:t>
      </w:r>
      <w:proofErr w:type="spellEnd"/>
      <w:r w:rsidR="009B5440">
        <w:t xml:space="preserve">, 1999). Those pupils who are intrinsically motivated are more likely to possess self-efficacy and therefore a belief that they can be successful, </w:t>
      </w:r>
      <w:r w:rsidR="009B5440">
        <w:lastRenderedPageBreak/>
        <w:t>whereas pupils who lack self-efficacy display work avoidance, and therefore avoid the challenge of reading beca</w:t>
      </w:r>
      <w:r w:rsidR="00F5588F">
        <w:t xml:space="preserve">use they cannot see the purpose (ibid). </w:t>
      </w:r>
      <w:r w:rsidR="00527DF6">
        <w:t>As a result</w:t>
      </w:r>
      <w:r w:rsidR="00F5588F">
        <w:t xml:space="preserve">, in order to break the cycle between low text comprehension, low engagement and low enjoyment, it is essential to understand and make this distinction when creating individual reader profiles, as this will allow for a greater possibility of change in behaviour.  </w:t>
      </w:r>
    </w:p>
    <w:p w:rsidR="00F5588F" w:rsidRDefault="00F5588F" w:rsidP="007D0DFE">
      <w:r>
        <w:t xml:space="preserve">One could argue that as long as children are reading and improving literacy skills then it doesn’t matter how they were motivated or even if they are motivated at all. On the other hand, some suggest that motivational conditions can actually increase reading comprehension (Guthrie &amp; </w:t>
      </w:r>
      <w:proofErr w:type="spellStart"/>
      <w:r>
        <w:t>Humenick</w:t>
      </w:r>
      <w:proofErr w:type="spellEnd"/>
      <w:r>
        <w:t xml:space="preserve"> 2004)</w:t>
      </w:r>
      <w:r w:rsidR="007D0DFE">
        <w:t xml:space="preserve"> and that intrinsically</w:t>
      </w:r>
      <w:r w:rsidR="007D0DFE" w:rsidRPr="007D0DFE">
        <w:t xml:space="preserve"> </w:t>
      </w:r>
      <w:r w:rsidR="007D0DFE">
        <w:t>motivated students spend 300% more time reading than those who are either extrinsically or not motivated (</w:t>
      </w:r>
      <w:proofErr w:type="spellStart"/>
      <w:r w:rsidR="007D0DFE">
        <w:t>Wigfield</w:t>
      </w:r>
      <w:proofErr w:type="spellEnd"/>
      <w:r w:rsidR="007D0DFE">
        <w:t xml:space="preserve"> &amp; Guthrie, 1997)</w:t>
      </w:r>
      <w:r>
        <w:t xml:space="preserve">. Similarly, it is argued that behaviours which result from intrinsic motivation, whilst more complicated and slower to affect change, are more long-lasting and self-sustaining than those from extrinsic factors which quickly lose their effect (DeLong &amp; Winter, 2002). Moreover, some experts argue that extrinsic rewards can actually damage intrinsic motivation, and that students who would have otherwise chosen to read because of their own personal interest have been influenced by extrinsic rewards, and later on </w:t>
      </w:r>
      <w:r w:rsidR="007D0DFE">
        <w:t xml:space="preserve">lose interest in these (Bain, 2004). It therefore seems </w:t>
      </w:r>
      <w:r w:rsidR="00527DF6">
        <w:t>irrefutable</w:t>
      </w:r>
      <w:r w:rsidR="007D0DFE">
        <w:t xml:space="preserve"> that motivational support in reading is as important as sup</w:t>
      </w:r>
      <w:r w:rsidR="00017097">
        <w:t>port with reading comprehension:</w:t>
      </w:r>
      <w:r w:rsidR="007D0DFE">
        <w:t xml:space="preserve"> in other words, we must support the ‘will’ as well as the ‘skill’ (McRae &amp; Guthrie</w:t>
      </w:r>
      <w:r w:rsidR="00017097">
        <w:t>, 2009)</w:t>
      </w:r>
      <w:r w:rsidR="007D0DFE">
        <w:t>.</w:t>
      </w:r>
      <w:r w:rsidR="002E4277">
        <w:t xml:space="preserve"> As previously discussed, the nature of reading at KS4 level becomes a ‘function’ in order to learn content and pass exams, rather than a hobby in order to enjoy themselves and learn about a subject which interests them. There is a clear distinction here between extrinsic motivation</w:t>
      </w:r>
      <w:r w:rsidR="00FA13ED">
        <w:t xml:space="preserve">al factors (exams, grades, recognition), and intrinsic motivational factors (curiosity, personal interest), with the pressure at exam phases on performance goal orientation (Baker &amp; </w:t>
      </w:r>
      <w:proofErr w:type="spellStart"/>
      <w:r w:rsidR="00FA13ED">
        <w:t>Wigfield</w:t>
      </w:r>
      <w:proofErr w:type="spellEnd"/>
      <w:r w:rsidR="00FA13ED">
        <w:t xml:space="preserve">, 1999). </w:t>
      </w:r>
      <w:r w:rsidR="001208F2">
        <w:t>When reading is linked to such crucial outcomes at exam stages (KS4 and KS5) as opposed to simply developing the skill of reading (at KS1 – KS3),</w:t>
      </w:r>
      <w:r w:rsidR="00527DF6">
        <w:t xml:space="preserve"> the unsurprising result is</w:t>
      </w:r>
      <w:r w:rsidR="001208F2">
        <w:t xml:space="preserve"> that engagement and motivation decrease as the pressure increases.</w:t>
      </w:r>
    </w:p>
    <w:p w:rsidR="001208F2" w:rsidRDefault="001208F2" w:rsidP="007D0DFE">
      <w:r>
        <w:t>Motivation levels can be further broken down into 7 stages on a scale of motivation, known as the Academic Motivation Scale (Vallerand et al, 1992).</w:t>
      </w:r>
      <w:r w:rsidR="00794FF2">
        <w:t xml:space="preserve"> According to this measure of motivation, students display behaviours and attitudes towards education which place them on the scale from </w:t>
      </w:r>
      <w:proofErr w:type="spellStart"/>
      <w:r w:rsidR="00794FF2">
        <w:t>amotivated</w:t>
      </w:r>
      <w:proofErr w:type="spellEnd"/>
      <w:r w:rsidR="00794FF2">
        <w:t xml:space="preserve"> to highly intrinsically </w:t>
      </w:r>
      <w:proofErr w:type="gramStart"/>
      <w:r w:rsidR="00794FF2">
        <w:t>motivated</w:t>
      </w:r>
      <w:proofErr w:type="gramEnd"/>
      <w:r w:rsidR="009B4138">
        <w:t xml:space="preserve"> (ibid.)</w:t>
      </w:r>
      <w:r w:rsidR="00794FF2">
        <w:t>.</w:t>
      </w:r>
    </w:p>
    <w:p w:rsidR="00794FF2" w:rsidRDefault="00794FF2" w:rsidP="007D0DFE">
      <w:r>
        <w:rPr>
          <w:noProof/>
          <w:lang w:eastAsia="en-GB"/>
        </w:rPr>
        <w:drawing>
          <wp:inline distT="0" distB="0" distL="0" distR="0">
            <wp:extent cx="5353050" cy="1323975"/>
            <wp:effectExtent l="0" t="0" r="0" b="9525"/>
            <wp:docPr id="2" name="Picture 2" descr="Image result for academic motivation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cademic motivation sca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3050" cy="1323975"/>
                    </a:xfrm>
                    <a:prstGeom prst="rect">
                      <a:avLst/>
                    </a:prstGeom>
                    <a:noFill/>
                    <a:ln>
                      <a:noFill/>
                    </a:ln>
                  </pic:spPr>
                </pic:pic>
              </a:graphicData>
            </a:graphic>
          </wp:inline>
        </w:drawing>
      </w:r>
    </w:p>
    <w:p w:rsidR="00794FF2" w:rsidRPr="009B4138" w:rsidRDefault="00794FF2" w:rsidP="00794FF2">
      <w:pPr>
        <w:jc w:val="center"/>
        <w:rPr>
          <w:i/>
        </w:rPr>
      </w:pPr>
      <w:r w:rsidRPr="009B4138">
        <w:rPr>
          <w:i/>
        </w:rPr>
        <w:t xml:space="preserve">Figure 1: taken from </w:t>
      </w:r>
      <w:proofErr w:type="spellStart"/>
      <w:r w:rsidRPr="009B4138">
        <w:rPr>
          <w:i/>
        </w:rPr>
        <w:t>Caleon</w:t>
      </w:r>
      <w:proofErr w:type="spellEnd"/>
      <w:r w:rsidRPr="009B4138">
        <w:rPr>
          <w:i/>
        </w:rPr>
        <w:t xml:space="preserve"> et al, 2015</w:t>
      </w:r>
    </w:p>
    <w:p w:rsidR="001208F2" w:rsidRDefault="00BD55F4" w:rsidP="007D0DFE">
      <w:r>
        <w:t>When this scale is placed in the context of reading, we can assume that children who display ‘</w:t>
      </w:r>
      <w:proofErr w:type="spellStart"/>
      <w:r>
        <w:t>amotivation</w:t>
      </w:r>
      <w:proofErr w:type="spellEnd"/>
      <w:r>
        <w:t xml:space="preserve">’ view themselves as incompetent, cannot see the point of the effort involved in reading, and therefore avoid reading as much as possible, whereas children who display ‘intrinsic motivation to experience stimulation’ not only enjoy reading within their required school work, but also read for pleasure and for the joy of learning about subjects that interest them. It is possible, </w:t>
      </w:r>
      <w:r>
        <w:lastRenderedPageBreak/>
        <w:t xml:space="preserve">therefore, that </w:t>
      </w:r>
      <w:r w:rsidR="008B5E65">
        <w:t>through an investigation into children’s reading behaviour and attitudes, all children could be categorised into the different stages on the scale. The next question to ask is whether it is possible to move them up the scale, and how this can be achieved.</w:t>
      </w:r>
    </w:p>
    <w:p w:rsidR="008B5E65" w:rsidRDefault="008B5E65" w:rsidP="008B5E65">
      <w:pPr>
        <w:pStyle w:val="Heading2"/>
      </w:pPr>
      <w:bookmarkStart w:id="5" w:name="_Toc511549761"/>
      <w:r>
        <w:t>Context</w:t>
      </w:r>
      <w:bookmarkEnd w:id="5"/>
    </w:p>
    <w:p w:rsidR="008B5E65" w:rsidRDefault="008B5E65" w:rsidP="008B5E65">
      <w:r>
        <w:t xml:space="preserve">The setting for the proposed action research intervention is in a medium-sized mixed independent school </w:t>
      </w:r>
      <w:proofErr w:type="gramStart"/>
      <w:r w:rsidR="00030F76">
        <w:t>with</w:t>
      </w:r>
      <w:r>
        <w:t xml:space="preserve"> a 3-18 intake</w:t>
      </w:r>
      <w:proofErr w:type="gramEnd"/>
      <w:r w:rsidR="00D31566">
        <w:t xml:space="preserve">. </w:t>
      </w:r>
      <w:r>
        <w:t xml:space="preserve">Therefore, the research topic will cover both primary and secondary age children to take advantage of this setting. In order to protect the anonymity of the students, teachers and the school itself, it shall henceforth be referred to as School X. This is in accordance with rules and regulations from the BERA data protection guidelines (2011), and these will also be applied to data collection, storage and analysis later on. </w:t>
      </w:r>
      <w:r w:rsidR="00845F73">
        <w:t xml:space="preserve">The primary motivation for undertaking research in this field is that empirical evidence from teaching in School X has demonstrated vast discrepancies in attitudes to reading between this school and another in which the researcher has worked. School Y, as it shall henceforth be referred, is a very large comprehensive school with significantly lower academic outcomes at KS4 and KS5 levels. Empirical evidence from teaching in this school </w:t>
      </w:r>
      <w:r w:rsidR="00B97BC3">
        <w:t>demonstrated</w:t>
      </w:r>
      <w:r w:rsidR="00845F73">
        <w:t xml:space="preserve"> that there was no culture of reading, that it was perceived very negatively as a boring activity with little personal value to the students. Conversely, students at School X are encouraged to read widely for pleasure on top of their studies</w:t>
      </w:r>
      <w:r w:rsidR="00B97BC3">
        <w:t xml:space="preserve"> and the ethos of the school makes it clear that reading is a central part of the students’ education. It certainly seems from these two schools that without a strong ethos and encouragement to read, students are more likely to display </w:t>
      </w:r>
      <w:proofErr w:type="spellStart"/>
      <w:r w:rsidR="00B97BC3">
        <w:t>amotivation</w:t>
      </w:r>
      <w:proofErr w:type="spellEnd"/>
      <w:r w:rsidR="00B97BC3">
        <w:t xml:space="preserve"> and resistance to read, whereas when reading is part of school culture, students are more likely to be extrinsically or intrinsically motivated to read. It is also possible to speculate that perhaps these differences in culture could play a part in the gap in academic outcomes, although this could also be due to the fact that School X is in the independent sector whilst School Y is not. Whilst empirical evidence from two schools is by no means sufficient to prove this theory, it was enough for the researcher to feel inspired to investigate this further.</w:t>
      </w:r>
    </w:p>
    <w:p w:rsidR="00773ADC" w:rsidRDefault="008B5E65" w:rsidP="00773ADC">
      <w:r>
        <w:t>In re</w:t>
      </w:r>
      <w:r w:rsidR="00845F73">
        <w:t xml:space="preserve">lation to existing </w:t>
      </w:r>
      <w:r w:rsidR="00B97BC3">
        <w:t>school-</w:t>
      </w:r>
      <w:r w:rsidR="00845F73">
        <w:t>based interventions to boost</w:t>
      </w:r>
      <w:r>
        <w:t xml:space="preserve"> reading motivation, </w:t>
      </w:r>
      <w:r w:rsidR="00845F73">
        <w:t>School X</w:t>
      </w:r>
      <w:r>
        <w:t xml:space="preserve"> runs a yearly Reading Challenge for all year groups in the secondary school, in which students are encouraged to read from a selection of 10 age-appropriate books from their reading list and then submit a review in order to gain house points. Linking back to what current pedagogical research tells us about reading motivation,</w:t>
      </w:r>
      <w:r w:rsidR="00017097">
        <w:t xml:space="preserve"> it certainly seems that the Reading Challenge is not only a clear example of an extrinsic motivation strategy, but that it also restricts the student from choosing a topic which interests them by limiting their choice to </w:t>
      </w:r>
      <w:r w:rsidR="0097583D">
        <w:t>just 10</w:t>
      </w:r>
      <w:r w:rsidR="00017097">
        <w:t xml:space="preserve"> books</w:t>
      </w:r>
      <w:r w:rsidR="00030F76">
        <w:t>, and neglects digital books completely</w:t>
      </w:r>
      <w:r w:rsidR="00017097">
        <w:t xml:space="preserve">. </w:t>
      </w:r>
      <w:r w:rsidR="0097583D">
        <w:t>A breakdown of book reviews submitted by year group also highlights the common idea that reading motivation decreases with age, and that older pupils are less likely to identify themselves as readers (</w:t>
      </w:r>
      <w:proofErr w:type="gramStart"/>
      <w:r w:rsidR="0097583D">
        <w:t>ibid.;</w:t>
      </w:r>
      <w:proofErr w:type="gramEnd"/>
      <w:r w:rsidR="0097583D">
        <w:t xml:space="preserve"> Becker et al, 2010; see Appendix 1).</w:t>
      </w:r>
      <w:r w:rsidR="00030F76">
        <w:t xml:space="preserve"> Data on book loans by year group in Appendix 2 further proves this point.</w:t>
      </w:r>
      <w:r w:rsidR="0097583D">
        <w:t xml:space="preserve"> However, many experts argue that it is important for teachers to model their own identification as readers in order to influence pupils (McRae &amp; Guthrie, 2009; </w:t>
      </w:r>
      <w:proofErr w:type="spellStart"/>
      <w:r w:rsidR="0097583D">
        <w:t>Gamb</w:t>
      </w:r>
      <w:r w:rsidR="00406155">
        <w:t>r</w:t>
      </w:r>
      <w:r w:rsidR="0097583D">
        <w:t>ell</w:t>
      </w:r>
      <w:proofErr w:type="spellEnd"/>
      <w:r w:rsidR="0097583D">
        <w:t xml:space="preserve">, 1996), and results show that more </w:t>
      </w:r>
      <w:r w:rsidR="000C3108">
        <w:t xml:space="preserve">members of </w:t>
      </w:r>
      <w:r w:rsidR="0097583D">
        <w:t xml:space="preserve">staff </w:t>
      </w:r>
      <w:r w:rsidR="00030F76">
        <w:t>at School X are reading than KS4 and KS5</w:t>
      </w:r>
      <w:r w:rsidR="0097583D">
        <w:t xml:space="preserve"> students. It is impossible to tell whether</w:t>
      </w:r>
      <w:r w:rsidR="00161982">
        <w:t xml:space="preserve"> the Reading Challenge has made an impact on numbers of readers and quantities of books read as there is no data from before the challenge was introduced, and additionally it is difficult to ascertain how many students are reading </w:t>
      </w:r>
      <w:r w:rsidR="00030F76">
        <w:t>from other sources outside of the school library, such as local libraries, household book collections or digital material.</w:t>
      </w:r>
      <w:r w:rsidR="00161982">
        <w:t xml:space="preserve"> In this way, the data provided by </w:t>
      </w:r>
      <w:r w:rsidR="00030F76">
        <w:t>School X on the Reading Challenge and library use</w:t>
      </w:r>
      <w:r w:rsidR="00161982">
        <w:t xml:space="preserve"> is very limited and does not paint a clear picture </w:t>
      </w:r>
      <w:r w:rsidR="00161982">
        <w:lastRenderedPageBreak/>
        <w:t>of student motivation levels, but the theory behind it suggests that this approach is not as successful in creating lifelong, intrinsically motivated and successful readers as other strategies may do.</w:t>
      </w:r>
    </w:p>
    <w:p w:rsidR="00161982" w:rsidRDefault="00F83E29" w:rsidP="00ED404C">
      <w:pPr>
        <w:pStyle w:val="Heading1"/>
      </w:pPr>
      <w:bookmarkStart w:id="6" w:name="_Toc511549762"/>
      <w:r>
        <w:t>Action Research Aims</w:t>
      </w:r>
      <w:bookmarkEnd w:id="6"/>
    </w:p>
    <w:p w:rsidR="00B5280E" w:rsidRDefault="00ED404C" w:rsidP="00B5280E">
      <w:r>
        <w:t xml:space="preserve">Having investigated the field of pedagogical literature and research on the topic of reading motivation, it is clear that the problem faced in the secondary classroom is that too many pupils become less intrinsically motivated to read as they get older, despite the increased importance of literacy skills. The main reason for this is that they are required to read for learning purposes, to pass exams and acquire subject knowledge, which means that they are met with continual extrinsic motivational factors. The rigid curriculum and exam pressures reduce their ability to choose what they are reading because of how much they are required to read, in turn creating negative connotations around the idea of reading. The consequential work avoidance teachers so often see has a detrimental effect on literacy levels, but by this time the love of reading is lost and students are more likely to be at the </w:t>
      </w:r>
      <w:r w:rsidR="00A1235D">
        <w:t xml:space="preserve">extrinsically motivated (EM) and </w:t>
      </w:r>
      <w:proofErr w:type="spellStart"/>
      <w:r w:rsidR="00A1235D">
        <w:t>amotivated</w:t>
      </w:r>
      <w:proofErr w:type="spellEnd"/>
      <w:r w:rsidR="00A1235D">
        <w:t xml:space="preserve"> (AM) end of the scale, rather than the intrinsically motivated (IM).</w:t>
      </w:r>
    </w:p>
    <w:p w:rsidR="005434C3" w:rsidRDefault="005434C3" w:rsidP="005434C3">
      <w:pPr>
        <w:pStyle w:val="Heading2"/>
      </w:pPr>
      <w:r>
        <w:t>Developing the Intervention</w:t>
      </w:r>
    </w:p>
    <w:p w:rsidR="00A1235D" w:rsidRDefault="00A1235D" w:rsidP="00B5280E">
      <w:r>
        <w:t xml:space="preserve">This study aims to investigate how, and whether, older students can become more </w:t>
      </w:r>
      <w:r w:rsidR="00F83E29">
        <w:t>intrinsically motivated to read</w:t>
      </w:r>
      <w:r>
        <w:t xml:space="preserve"> </w:t>
      </w:r>
      <w:r w:rsidR="00F83E29">
        <w:t>without the use</w:t>
      </w:r>
      <w:r>
        <w:t xml:space="preserve"> EM factors. The intervention proposed by the researcher is to pair older students with younger students with similar personal interests, and introduce a social element to their reading as they share interesting or entertaining elements of what they have found in their reading material. The intervention </w:t>
      </w:r>
      <w:r w:rsidR="005434C3">
        <w:t>takes</w:t>
      </w:r>
      <w:r>
        <w:t xml:space="preserve"> </w:t>
      </w:r>
      <w:r w:rsidR="005434C3">
        <w:t xml:space="preserve">and blends </w:t>
      </w:r>
      <w:r>
        <w:t xml:space="preserve">ideas from previous studies by </w:t>
      </w:r>
      <w:proofErr w:type="spellStart"/>
      <w:r>
        <w:t>Cambourne</w:t>
      </w:r>
      <w:proofErr w:type="spellEnd"/>
      <w:r>
        <w:t xml:space="preserve"> (1988) and Guthrie, </w:t>
      </w:r>
      <w:proofErr w:type="spellStart"/>
      <w:r>
        <w:t>Wigfield</w:t>
      </w:r>
      <w:proofErr w:type="spellEnd"/>
      <w:r>
        <w:t xml:space="preserve"> and </w:t>
      </w:r>
      <w:proofErr w:type="spellStart"/>
      <w:r>
        <w:t>Humenick</w:t>
      </w:r>
      <w:proofErr w:type="spellEnd"/>
      <w:r>
        <w:t xml:space="preserve"> (2006) amongst others, such as allowing children complete free choice on what, how often and how much to read, as well as the nature of the reading material</w:t>
      </w:r>
      <w:r w:rsidR="005434C3">
        <w:t xml:space="preserve"> (McRae Guthrie, 2009; </w:t>
      </w:r>
      <w:proofErr w:type="spellStart"/>
      <w:r w:rsidR="005434C3">
        <w:t>Gambrell</w:t>
      </w:r>
      <w:proofErr w:type="spellEnd"/>
      <w:r w:rsidR="005434C3">
        <w:t>, 1996)</w:t>
      </w:r>
      <w:r>
        <w:t xml:space="preserve">. </w:t>
      </w:r>
      <w:r w:rsidR="005434C3">
        <w:t xml:space="preserve">Additionally, the researcher felt that the intervention </w:t>
      </w:r>
      <w:r w:rsidR="004737FF">
        <w:t xml:space="preserve">should </w:t>
      </w:r>
      <w:r w:rsidR="005434C3">
        <w:t>utilise different strategies from that of the existing intervention at School X. As previously discussed, the Reading Challenge relied on extrinsic motivational factors to increase reading engagement, but the researcher’s own intervention will take advice from literature which states that, whilst boosting IM levels alone alone takes longer without EM strategies, the resultant behaviours are more long-lasting and meaningful (</w:t>
      </w:r>
      <w:proofErr w:type="spellStart"/>
      <w:r w:rsidR="005434C3">
        <w:t>Wigfield</w:t>
      </w:r>
      <w:proofErr w:type="spellEnd"/>
      <w:r w:rsidR="005434C3">
        <w:t xml:space="preserve"> &amp; Guthrie, 1997; DeLong &amp; Winter, 2002; Bain, 2004). </w:t>
      </w:r>
      <w:r>
        <w:t>The intervention will attempt to avoid any academic elements which may be linked to EM factors, such as goal setting,</w:t>
      </w:r>
      <w:r w:rsidR="00F83E29">
        <w:t xml:space="preserve"> extrinsic rewards, or s</w:t>
      </w:r>
      <w:r>
        <w:t xml:space="preserve">kills </w:t>
      </w:r>
      <w:r w:rsidR="00F83E29">
        <w:t xml:space="preserve">or knowledge testing. </w:t>
      </w:r>
      <w:r w:rsidR="005434C3">
        <w:t>Whilst the researcher initially felt that the intervention felt weaker</w:t>
      </w:r>
      <w:r w:rsidR="004737FF">
        <w:t xml:space="preserve"> because it was purely based on social interactions, the theory behind it is secure and suggests there is a greater chance of a deep impact over time than the Reading Challenge.</w:t>
      </w:r>
    </w:p>
    <w:p w:rsidR="00F83E29" w:rsidRDefault="00F83E29" w:rsidP="00B5280E">
      <w:r>
        <w:t>The aims can therefore be summarised thus;</w:t>
      </w:r>
    </w:p>
    <w:p w:rsidR="00F83E29" w:rsidRDefault="00F83E29" w:rsidP="00FF17BE">
      <w:pPr>
        <w:pStyle w:val="ListParagraph"/>
        <w:numPr>
          <w:ilvl w:val="0"/>
          <w:numId w:val="8"/>
        </w:numPr>
      </w:pPr>
      <w:r>
        <w:t>To investigate how motivation levels differ in older students compared to younger students with regards to reading.</w:t>
      </w:r>
    </w:p>
    <w:p w:rsidR="00FF17BE" w:rsidRDefault="00FF17BE" w:rsidP="00FF17BE">
      <w:pPr>
        <w:pStyle w:val="ListParagraph"/>
        <w:numPr>
          <w:ilvl w:val="0"/>
          <w:numId w:val="8"/>
        </w:numPr>
      </w:pPr>
      <w:r>
        <w:t>To explore how research tools allow the researcher to monitor and compare changes in motivation levels over time.</w:t>
      </w:r>
    </w:p>
    <w:p w:rsidR="00F83E29" w:rsidRPr="00B5280E" w:rsidRDefault="00FF17BE" w:rsidP="00B5280E">
      <w:pPr>
        <w:pStyle w:val="ListParagraph"/>
        <w:numPr>
          <w:ilvl w:val="0"/>
          <w:numId w:val="8"/>
        </w:numPr>
      </w:pPr>
      <w:r>
        <w:t>To propose how analysis of research data demonstrates the success of the investigation, and how these findings may be used in future evidence-based pedagogical practice.</w:t>
      </w:r>
    </w:p>
    <w:p w:rsidR="002030B7" w:rsidRDefault="00BF5FD2" w:rsidP="00734C94">
      <w:pPr>
        <w:pStyle w:val="Heading1"/>
      </w:pPr>
      <w:bookmarkStart w:id="7" w:name="_Toc511549763"/>
      <w:r>
        <w:lastRenderedPageBreak/>
        <w:t>Methodology</w:t>
      </w:r>
      <w:bookmarkEnd w:id="7"/>
    </w:p>
    <w:p w:rsidR="00222754" w:rsidRPr="00222754" w:rsidRDefault="00337CC7" w:rsidP="00222754">
      <w:r>
        <w:t>As previously stated, t</w:t>
      </w:r>
      <w:r w:rsidR="00222754">
        <w:t xml:space="preserve">he action research </w:t>
      </w:r>
      <w:r>
        <w:t xml:space="preserve">will </w:t>
      </w:r>
      <w:r w:rsidR="00222754">
        <w:t xml:space="preserve">measure the effectiveness of the reading intervention in increasing pupils’ intrinsic motivation to read. </w:t>
      </w:r>
      <w:r>
        <w:t>A breakdown of the methodological approach will now be discussed.</w:t>
      </w:r>
    </w:p>
    <w:p w:rsidR="002030B7" w:rsidRDefault="002030B7" w:rsidP="002030B7">
      <w:pPr>
        <w:pStyle w:val="Heading2"/>
      </w:pPr>
      <w:bookmarkStart w:id="8" w:name="_Toc511549764"/>
      <w:r>
        <w:t>Design</w:t>
      </w:r>
      <w:bookmarkEnd w:id="8"/>
    </w:p>
    <w:p w:rsidR="007D4318" w:rsidRDefault="00C02A8F" w:rsidP="00337CC7">
      <w:r>
        <w:t xml:space="preserve">The design of the study is an action research study through the use of an intervention. The intervention will run over the course of the academic year, and the action research will follow a repeated measures </w:t>
      </w:r>
      <w:r w:rsidR="00A56807">
        <w:t>design</w:t>
      </w:r>
      <w:r>
        <w:t xml:space="preserve"> whereby the participants will be </w:t>
      </w:r>
      <w:r w:rsidR="007D4318">
        <w:t>‘</w:t>
      </w:r>
      <w:r>
        <w:t>tested</w:t>
      </w:r>
      <w:r w:rsidR="007D4318">
        <w:t>’</w:t>
      </w:r>
      <w:r>
        <w:t xml:space="preserve"> before and after the intervention takes place in order to measure impact</w:t>
      </w:r>
      <w:r w:rsidR="00A56807">
        <w:t xml:space="preserve"> </w:t>
      </w:r>
      <w:r w:rsidR="008E6BB3">
        <w:t>(</w:t>
      </w:r>
      <w:proofErr w:type="spellStart"/>
      <w:r w:rsidR="008E6BB3">
        <w:t>Coolican</w:t>
      </w:r>
      <w:proofErr w:type="spellEnd"/>
      <w:r w:rsidR="008E6BB3">
        <w:t>, 2009)</w:t>
      </w:r>
      <w:r>
        <w:t xml:space="preserve">. </w:t>
      </w:r>
      <w:r w:rsidR="00A6477F">
        <w:t>This will allow</w:t>
      </w:r>
      <w:r w:rsidR="00A56807">
        <w:t xml:space="preserve"> the researcher to be confident that any changes in the results will be because of the intervention. </w:t>
      </w:r>
      <w:r>
        <w:t xml:space="preserve">The researcher has decided not to follow a case study, due to the fact that the existing reading interventions in School X were not yielding the desired behavioural change. </w:t>
      </w:r>
      <w:r w:rsidR="007D4318">
        <w:t xml:space="preserve">Additionally, by implementing action research it will be easy for the researcher to see the link between the pedagogical theory and the practice itself, and will be able to </w:t>
      </w:r>
      <w:r w:rsidR="001349A0">
        <w:t>yield</w:t>
      </w:r>
      <w:r w:rsidR="007D4318">
        <w:t xml:space="preserve"> proven outcomes which can be added to the field of academic research (Welsh Government, 2015)</w:t>
      </w:r>
      <w:r w:rsidR="001349A0">
        <w:t>.</w:t>
      </w:r>
      <w:r w:rsidR="003A55A8">
        <w:t xml:space="preserve"> The reason for the time period selected is that pedagogical experts acknowledge that changing intrinsic motivation levels is a slower process without the use of extrinsic motivational strategies (DeLong &amp; Winter, 2002; Bain, 2004). In order to have an impact on student motivation, and possibly school culture in the future, it is important that the intervention </w:t>
      </w:r>
      <w:r w:rsidR="006A38A7">
        <w:t>takes place over a long period of time.</w:t>
      </w:r>
    </w:p>
    <w:p w:rsidR="00C02A8F" w:rsidRDefault="00C02A8F" w:rsidP="00337CC7">
      <w:r>
        <w:t>The aim of the research is simultaneously to investigate differences in</w:t>
      </w:r>
      <w:r w:rsidR="00E1204C">
        <w:t xml:space="preserve"> motivation levels, and to </w:t>
      </w:r>
      <w:proofErr w:type="gramStart"/>
      <w:r w:rsidR="00E1204C">
        <w:t>monitor,</w:t>
      </w:r>
      <w:proofErr w:type="gramEnd"/>
      <w:r w:rsidR="00E1204C">
        <w:t xml:space="preserve"> record and analyse any changes over time, whilst the aim of the intervention is to cause these changes in motivation levels to occur. </w:t>
      </w:r>
      <w:r w:rsidR="00A92E76">
        <w:t>It is expected that the results of the first set of tests will echo the conclusions of the pedagogical research (in other words, that the older students will display more EM/ AM attitudes towards reading whereas the younger students will show more IM attitudes),</w:t>
      </w:r>
      <w:r w:rsidR="00072C74">
        <w:t xml:space="preserve"> as this is a hypothesis formed by research into pedagogical theory. This</w:t>
      </w:r>
      <w:r w:rsidR="00A92E76">
        <w:t xml:space="preserve"> demonstrates a deductive approach to the study. However, the second set of results</w:t>
      </w:r>
      <w:r w:rsidR="007D4318">
        <w:t xml:space="preserve"> following the intervention has</w:t>
      </w:r>
      <w:r w:rsidR="00A92E76">
        <w:t xml:space="preserve"> no expected outcomes, and the researcher will use an interpretivist paradigm to ask questions about why the results may or may not be different. In this way, the study is following a m</w:t>
      </w:r>
      <w:r w:rsidR="007D4318">
        <w:t>ixture of deductive and inductive approaches</w:t>
      </w:r>
      <w:r w:rsidR="00953A06">
        <w:t xml:space="preserve"> (Cohen, 2007)</w:t>
      </w:r>
      <w:r w:rsidR="007D4318">
        <w:t>.</w:t>
      </w:r>
    </w:p>
    <w:p w:rsidR="002030B7" w:rsidRDefault="002030B7" w:rsidP="002030B7">
      <w:pPr>
        <w:pStyle w:val="Heading2"/>
      </w:pPr>
      <w:bookmarkStart w:id="9" w:name="_Toc511549765"/>
      <w:r>
        <w:t>Participants</w:t>
      </w:r>
      <w:bookmarkEnd w:id="9"/>
    </w:p>
    <w:p w:rsidR="00337CC7" w:rsidRDefault="00337CC7" w:rsidP="00641711">
      <w:r>
        <w:t>The population of students in</w:t>
      </w:r>
      <w:r w:rsidR="001349A0">
        <w:t>cluded in</w:t>
      </w:r>
      <w:r>
        <w:t xml:space="preserve"> the investigation is the Year 12 and Year 2 students of School X. These two year groups have been selected primarily because of the 10 year age gap between the two groups, which will yield a more</w:t>
      </w:r>
      <w:r w:rsidR="00705923">
        <w:t xml:space="preserve"> diverse set of reading experiences and attitudes. Additionally, the researcher considered that Year 11 and Year 13 students would not be able to commit themselves to the intervention as fully as Year 12 students, due to the constraints of examinations and revision. The sample used to represent the population will be selected through opportunity sampling</w:t>
      </w:r>
      <w:r w:rsidR="004737FF">
        <w:t xml:space="preserve"> (Cohen, 2007)</w:t>
      </w:r>
      <w:r w:rsidR="00705923">
        <w:t>, in that whichever students are available and willing to participate in the investigation will be used. The reason for this is that the research is not investigating any ki</w:t>
      </w:r>
      <w:r w:rsidR="00E44AFB">
        <w:t>nd of change in reading skills, how ability levels affect reading motivation</w:t>
      </w:r>
      <w:r w:rsidR="00705923">
        <w:t xml:space="preserve"> or a difference between boys’ and girls’ attitudes to reading, so demographics such as ability level, gender, </w:t>
      </w:r>
      <w:r w:rsidR="00E44AFB">
        <w:t>SEN or eFSM</w:t>
      </w:r>
      <w:r w:rsidR="00705923">
        <w:t xml:space="preserve"> are not relevant to the study</w:t>
      </w:r>
      <w:r w:rsidR="00E44AFB">
        <w:t xml:space="preserve">. The only variables to be investigated are reading motivation levels and age, so an opportunity sampling is a more appropriate fit here than stratified or quota sampling (Holt, </w:t>
      </w:r>
      <w:r w:rsidR="00E44AFB">
        <w:lastRenderedPageBreak/>
        <w:t>2009).</w:t>
      </w:r>
      <w:r w:rsidR="00A42A68">
        <w:t xml:space="preserve"> </w:t>
      </w:r>
      <w:r w:rsidR="00F72DFC">
        <w:t xml:space="preserve">As School X data shows that Sixth Form participate the least in the Reading Challenge (See Appendix 1), using Year 12 students in the study can also be considered to be purposive sampling, as the intervention is targeting those students who, theoretically and according to </w:t>
      </w:r>
      <w:r w:rsidR="008E6BB3">
        <w:t xml:space="preserve">School X </w:t>
      </w:r>
      <w:r w:rsidR="00F72DFC">
        <w:t>data, show low motivation to read (</w:t>
      </w:r>
      <w:proofErr w:type="spellStart"/>
      <w:r w:rsidR="008E6BB3">
        <w:t>Coolican</w:t>
      </w:r>
      <w:proofErr w:type="spellEnd"/>
      <w:r w:rsidR="008E6BB3">
        <w:t>, 2009</w:t>
      </w:r>
      <w:r w:rsidR="00F72DFC">
        <w:t>). Therefore, the intervention should hopefully have a greater impact on these students than if Year 8 or Year 7 students were used</w:t>
      </w:r>
      <w:r w:rsidR="004737FF">
        <w:t>, for example</w:t>
      </w:r>
      <w:r w:rsidR="00F72DFC">
        <w:t>.</w:t>
      </w:r>
    </w:p>
    <w:p w:rsidR="002030B7" w:rsidRDefault="002030B7" w:rsidP="002030B7">
      <w:pPr>
        <w:pStyle w:val="Heading2"/>
      </w:pPr>
      <w:bookmarkStart w:id="10" w:name="_Toc511549766"/>
      <w:r>
        <w:t>Materials</w:t>
      </w:r>
      <w:bookmarkEnd w:id="10"/>
    </w:p>
    <w:p w:rsidR="00670FF7" w:rsidRDefault="007D4318" w:rsidP="00734C94">
      <w:r>
        <w:t xml:space="preserve">In order to assess the impact of the intervention, data will be collected before and after so that comparisons can be made and conclusions </w:t>
      </w:r>
      <w:r w:rsidR="002B55A7">
        <w:t xml:space="preserve">about the efficacy of the intervention </w:t>
      </w:r>
      <w:r>
        <w:t xml:space="preserve">can be drawn. The data will be a measure of participants’ reading </w:t>
      </w:r>
      <w:r w:rsidR="00924AF4">
        <w:t>motivation;</w:t>
      </w:r>
      <w:r w:rsidR="00A164E0">
        <w:t xml:space="preserve"> </w:t>
      </w:r>
      <w:r w:rsidR="00670FF7">
        <w:t>with the aim of understanding what level of motivation they feel towards reading, and comparing this level after the intervention. The Welsh Government suggest</w:t>
      </w:r>
      <w:r w:rsidR="00924AF4">
        <w:t>s</w:t>
      </w:r>
      <w:r w:rsidR="00670FF7">
        <w:t xml:space="preserve"> that</w:t>
      </w:r>
      <w:r w:rsidR="00924AF4">
        <w:t xml:space="preserve"> this type of research requires both quantitative and qualitative data to be collected (2015). Therefore, th</w:t>
      </w:r>
      <w:r w:rsidR="004737FF">
        <w:t>e researcher has decided to follow a mixed methods structure, with primary focus on questionnaires. T</w:t>
      </w:r>
      <w:r w:rsidR="00924AF4">
        <w:t xml:space="preserve">hese will allow the collection of both types of data, as well as allowing </w:t>
      </w:r>
      <w:r w:rsidR="00953A06">
        <w:t>the researcher to reach a large audience with a selection of pre-coded questions to elicit standardised responses, which will be easy to analyse later on (ibid.).</w:t>
      </w:r>
    </w:p>
    <w:p w:rsidR="00F72DFC" w:rsidRDefault="00757F4B" w:rsidP="00734C94">
      <w:r>
        <w:t xml:space="preserve">As the research aim is to investigate reading motivation, the questionnaire will </w:t>
      </w:r>
      <w:r w:rsidR="004737FF">
        <w:t>principally</w:t>
      </w:r>
      <w:r>
        <w:t xml:space="preserve"> include questions to ascertain motivation levels. In order to do this, Bryman recommends the use of a Likert scale to measure personal attitudes, with a number of statements to which students respond on a scale from strongly disagree to strongly agree (2012). </w:t>
      </w:r>
      <w:r w:rsidR="0068390F">
        <w:t xml:space="preserve">The researcher will use ideas from Vallerand’s motivation scale to formulate these statements, so that students can indeed be placed on this AM/ EM/ IM scale, and it will be easy to see whether the older students have moved up this scale over the course of the intervention (1992). </w:t>
      </w:r>
      <w:r w:rsidR="00F72DFC">
        <w:t xml:space="preserve">These ideas will also be </w:t>
      </w:r>
      <w:r w:rsidR="004737FF">
        <w:t>combined</w:t>
      </w:r>
      <w:r w:rsidR="00F72DFC">
        <w:t xml:space="preserve"> with </w:t>
      </w:r>
      <w:proofErr w:type="spellStart"/>
      <w:r w:rsidR="00F72DFC">
        <w:t>Wigfield</w:t>
      </w:r>
      <w:proofErr w:type="spellEnd"/>
      <w:r w:rsidR="00F72DFC">
        <w:t xml:space="preserve"> and Guthrie’s Motivation to Read Questionnaire, or MRQ (1997), which is widely considered to be the</w:t>
      </w:r>
      <w:r w:rsidR="00A42A68">
        <w:t xml:space="preserve"> </w:t>
      </w:r>
      <w:r w:rsidR="00F72DFC">
        <w:t xml:space="preserve">best measure of pupils’ reading motivation (Baker &amp; </w:t>
      </w:r>
      <w:proofErr w:type="spellStart"/>
      <w:r w:rsidR="00F72DFC">
        <w:t>Wigfield</w:t>
      </w:r>
      <w:proofErr w:type="spellEnd"/>
      <w:r w:rsidR="00F72DFC">
        <w:t>, 1999).</w:t>
      </w:r>
    </w:p>
    <w:p w:rsidR="00405EE2" w:rsidRDefault="00F72DFC" w:rsidP="00734C94">
      <w:r>
        <w:t xml:space="preserve">The advantage of using closed </w:t>
      </w:r>
      <w:r w:rsidR="00757F4B">
        <w:t>questions is that the answers will be easier to process and compare, and are more likely to avoid ‘respondent fatigue’ (</w:t>
      </w:r>
      <w:r w:rsidR="0068390F">
        <w:t>Bryman, 2012).</w:t>
      </w:r>
      <w:r w:rsidR="00757F4B">
        <w:t xml:space="preserve"> </w:t>
      </w:r>
      <w:r w:rsidR="00A42A68">
        <w:t xml:space="preserve">This is particularly important in the second set of questionnaires, where students may tire of the questionnaire process. </w:t>
      </w:r>
      <w:r w:rsidR="00757F4B">
        <w:t>Additionally, they will be easier to adapt for Year 2</w:t>
      </w:r>
      <w:r w:rsidR="0068390F">
        <w:t xml:space="preserve"> pupils, as the terms such as ‘strongly agree’ can be replaced with smiley faces. As well as these closed questions which will allow for the collection of quantitative data, it is important to understand the interests of the student in order to create their reader profile (McRae &amp; Guthrie, 2009), and so that they can be paired up based on their interests. As we have previously seen, allowing students to choose reading material based on their own interests and then engage socially about their reading</w:t>
      </w:r>
      <w:r w:rsidR="00D14163">
        <w:t xml:space="preserve"> on this topic</w:t>
      </w:r>
      <w:r w:rsidR="0068390F">
        <w:t xml:space="preserve"> is more likely to yield intrinsically motivated readers (McRae &amp; Guthrie, 2009; Bain, 2004; DeLong &amp; Winter, 2002). This will require the use of some open questions</w:t>
      </w:r>
      <w:r w:rsidR="00405EE2">
        <w:t xml:space="preserve"> to collect qualitative data, but these can be time-consuming for the participant to answer and req</w:t>
      </w:r>
      <w:r>
        <w:t>uires more effort on their part (Bryman, 2012). To avoid the likelihood of the questionnaires being left incomplete, they</w:t>
      </w:r>
      <w:r w:rsidR="00405EE2">
        <w:t xml:space="preserve"> will only contain a maximum of 3 of these question</w:t>
      </w:r>
      <w:r>
        <w:t xml:space="preserve">s, with a small space to answer. Additionally, a disadvantage of </w:t>
      </w:r>
      <w:r w:rsidR="00DA4DD0">
        <w:t xml:space="preserve">using </w:t>
      </w:r>
      <w:r>
        <w:t>questionnaires is often that return rates can be low</w:t>
      </w:r>
      <w:r w:rsidR="00DA4DD0">
        <w:t xml:space="preserve"> (Welsh Government, 2015; Bryman, 2012). To avoid this, the researcher will gather the participants together so that they can be answered simultaneously and collected instantly.</w:t>
      </w:r>
    </w:p>
    <w:p w:rsidR="0068390F" w:rsidRDefault="00405EE2" w:rsidP="00734C94">
      <w:r>
        <w:t xml:space="preserve">Whilst the researcher will endeavour to minimise difficulty in responding to the questionnaire, especially for the Year 2 students, the researcher also recognises the limitations of using </w:t>
      </w:r>
      <w:r>
        <w:lastRenderedPageBreak/>
        <w:t xml:space="preserve">questionnaires as a data-collection material. </w:t>
      </w:r>
      <w:r w:rsidR="00DA4DD0">
        <w:t>It is impossible to investigate anomalies revealed in a questionnaire, or to ask further questions which are not already included in the questionnaire itself (Bryman, 2012). So as to overcome this, and to triangulate the data collected from the questionnaires, the researcher will conduct informal group interviews wi</w:t>
      </w:r>
      <w:r w:rsidR="005377E9">
        <w:t>th the Year 12 students, using</w:t>
      </w:r>
      <w:r w:rsidR="00DA4DD0">
        <w:t xml:space="preserve"> open-ended questions (Cohen, 2007; Holt, 2009).</w:t>
      </w:r>
      <w:r w:rsidR="00322CDE">
        <w:t xml:space="preserve"> </w:t>
      </w:r>
      <w:r w:rsidR="00EB44EF">
        <w:t xml:space="preserve">As the researcher is primarily interested in the changes in motivation levels of the older students, this method will not be repeated with Year 2 students. </w:t>
      </w:r>
      <w:r w:rsidR="00322CDE">
        <w:t xml:space="preserve">The advantage of this method is that it will allow for the collection of rich qualitative data </w:t>
      </w:r>
      <w:r w:rsidR="006B7DE3">
        <w:t>and</w:t>
      </w:r>
      <w:r w:rsidR="00322CDE">
        <w:t xml:space="preserve"> will</w:t>
      </w:r>
      <w:r w:rsidR="00CE1EE7">
        <w:t xml:space="preserve"> be more flexible, yield more complex answers,</w:t>
      </w:r>
      <w:r w:rsidR="00322CDE">
        <w:t xml:space="preserve"> allow the </w:t>
      </w:r>
      <w:r w:rsidR="00CE1EE7">
        <w:t>researcher to explore anomalies and</w:t>
      </w:r>
      <w:r w:rsidR="00322CDE">
        <w:t xml:space="preserve"> interact with the</w:t>
      </w:r>
      <w:r w:rsidR="00CE1EE7">
        <w:t xml:space="preserve"> students themselves, and let the students express their opinions freely (ibid.). As the interview will only take place once, the issue of not having pre-coded questions which are simpler to transfer to data and compare with other data will be overcome, because there will only be one set of data of this nature (Welsh Government, 2015).</w:t>
      </w:r>
    </w:p>
    <w:p w:rsidR="00CE1EE7" w:rsidRDefault="00CE1EE7" w:rsidP="00734C94">
      <w:r>
        <w:t>However, the expected disadvantages of this method is primarily the ‘interview</w:t>
      </w:r>
      <w:r w:rsidR="000C6C25">
        <w:t>er</w:t>
      </w:r>
      <w:r>
        <w:t xml:space="preserve"> effect’ (Bryman, 2012; Welsh Government, 2015; Cohen, 2007; Holt, 2009).</w:t>
      </w:r>
      <w:r w:rsidR="000C6C25">
        <w:t xml:space="preserve"> Using the researcher as the interviewer, with that researcher also being a member of staff at the school, may induce social </w:t>
      </w:r>
      <w:r w:rsidR="004F36F4">
        <w:t xml:space="preserve">desirability bias (ibid.). This could influence the results if pupils feel pressured or influenced to say certain things based on their perception of what the researcher-interviewer may think of them, what their peers may think of them, or because they want to either please the researcher-interviewer or even sabotage the research. However, not using the researcher as the interviewer will mean that the researcher will not be able to control the questions asked, capitalise on certain themes, or capture the emotions or atmosphere of the group interviewer. For this reason, the researcher has decided that the positives outweigh the negatives of this approach, and to overcome these </w:t>
      </w:r>
      <w:r w:rsidR="003A55A8">
        <w:t>drawbacks</w:t>
      </w:r>
      <w:r w:rsidR="004F36F4">
        <w:t xml:space="preserve"> the data will be cross checked and triangulated with other forms of data collected.</w:t>
      </w:r>
    </w:p>
    <w:p w:rsidR="004F36F4" w:rsidRDefault="004F36F4" w:rsidP="00734C94">
      <w:r>
        <w:t xml:space="preserve">The final </w:t>
      </w:r>
      <w:r w:rsidR="003A55A8">
        <w:t>research tool</w:t>
      </w:r>
      <w:r>
        <w:t xml:space="preserve"> that will be employed is the use of observations to collect empirical evidence during the intervention. The researcher acknowledges that quantitative data may not be the most accurate measure of motivation, whereas qualitative data collected through observation will allow the researcher to observe participants’ attitudes and behaviours during their social interactions</w:t>
      </w:r>
      <w:r w:rsidR="003A55A8">
        <w:t xml:space="preserve"> and gauge their motivation in a more realistic way (Welsh Government, 2015)</w:t>
      </w:r>
      <w:r>
        <w:t>.</w:t>
      </w:r>
      <w:r w:rsidR="005377E9">
        <w:t xml:space="preserve"> It also gives direct access to the social interactions, which will allow the researcher</w:t>
      </w:r>
      <w:r>
        <w:t xml:space="preserve"> </w:t>
      </w:r>
      <w:r w:rsidR="005377E9">
        <w:t>to find out what is actually happening rather than relying on what students say has happened (</w:t>
      </w:r>
      <w:proofErr w:type="spellStart"/>
      <w:r w:rsidR="005377E9">
        <w:t>Muijs</w:t>
      </w:r>
      <w:proofErr w:type="spellEnd"/>
      <w:r w:rsidR="005377E9">
        <w:t xml:space="preserve">, 2004). </w:t>
      </w:r>
      <w:r>
        <w:t xml:space="preserve">Whilst there is still the risk of social desirability bias here, as students may be influenced to behave a certain way when the researcher is </w:t>
      </w:r>
      <w:r w:rsidR="003A55A8">
        <w:t>present, the researcher will refrain from interrupting the students, asking questions, or showing any body language or facial expressions which may influence student behaviour</w:t>
      </w:r>
      <w:r w:rsidR="005377E9">
        <w:t xml:space="preserve"> (</w:t>
      </w:r>
      <w:proofErr w:type="spellStart"/>
      <w:r w:rsidR="005377E9">
        <w:t>Muijs</w:t>
      </w:r>
      <w:proofErr w:type="spellEnd"/>
      <w:r w:rsidR="005377E9">
        <w:t>, 2004)</w:t>
      </w:r>
      <w:r w:rsidR="003A55A8">
        <w:t>.</w:t>
      </w:r>
    </w:p>
    <w:p w:rsidR="002030B7" w:rsidRDefault="002030B7" w:rsidP="002030B7">
      <w:pPr>
        <w:pStyle w:val="Heading2"/>
      </w:pPr>
      <w:bookmarkStart w:id="11" w:name="_Toc511549767"/>
      <w:r>
        <w:t>Procedure</w:t>
      </w:r>
      <w:bookmarkEnd w:id="11"/>
    </w:p>
    <w:p w:rsidR="00A164E0" w:rsidRDefault="00A164E0" w:rsidP="00A164E0">
      <w:r>
        <w:t>T</w:t>
      </w:r>
      <w:r w:rsidR="007473F3">
        <w:t>he action research will begin by inviting students to become participants in the study. This will be done by briefly speaking to the students in the year groups about what is involved in the intervention, and providing them with further written information to give to their parents. In line with ethical considerations and school policy, the students will need to ask for parental permission in order to participate in the study.</w:t>
      </w:r>
    </w:p>
    <w:p w:rsidR="005C284F" w:rsidRDefault="007473F3" w:rsidP="00A164E0">
      <w:r>
        <w:t xml:space="preserve">Once participants have been selected, they will be given questionnaires to complete in order to assess their motivation levels. This will also be paired with an observation of Year 2 students during </w:t>
      </w:r>
      <w:r>
        <w:lastRenderedPageBreak/>
        <w:t xml:space="preserve">reading time to observe attitudes towards reading. All data will be collected and stored, for analysis later on. The students will then be paired or grouped in reading ‘buddies’ based on their interests, and will have an opportunity to meet. They will then agree times for the Year 12 students to </w:t>
      </w:r>
      <w:r w:rsidR="005C284F">
        <w:t xml:space="preserve">meet with the Year 2 students and have time to freely interact socially, with an emphasis on discussing what they have been reading about. Ideally the students will meet twice every half term, so that momentum with the study is not lost, but equally so that there is not too much pressure placed on either the Year 12 students or the teachers of the Year 2 class. The researcher will observe these social interactions, in order to collect qualitative data in a more natural setting (Welsh Government, 2015). </w:t>
      </w:r>
    </w:p>
    <w:p w:rsidR="005C284F" w:rsidRPr="00A164E0" w:rsidRDefault="005C284F" w:rsidP="00A164E0">
      <w:r>
        <w:t>At the end of the intervention, all remaining participants will be asked to complete the questionnaire for a second time. Alongside this, the informal group interview will take place with the Year 12 students, and all sets of data will be collected and stored.</w:t>
      </w:r>
      <w:r w:rsidR="00D14163">
        <w:t xml:space="preserve"> </w:t>
      </w:r>
      <w:r>
        <w:t xml:space="preserve">Following the intervention, </w:t>
      </w:r>
      <w:r w:rsidR="00124FCB">
        <w:t>the quantitative and qualitative</w:t>
      </w:r>
      <w:r>
        <w:t xml:space="preserve"> data will be </w:t>
      </w:r>
      <w:r w:rsidR="00124FCB">
        <w:t xml:space="preserve">processed and </w:t>
      </w:r>
      <w:r>
        <w:t xml:space="preserve">analysed, </w:t>
      </w:r>
      <w:r w:rsidR="003A55A8">
        <w:t>taking into account the bias and limitations of the research methods used.</w:t>
      </w:r>
    </w:p>
    <w:p w:rsidR="002030B7" w:rsidRDefault="002030B7" w:rsidP="002030B7">
      <w:pPr>
        <w:pStyle w:val="Heading2"/>
      </w:pPr>
      <w:bookmarkStart w:id="12" w:name="_Toc511549768"/>
      <w:r>
        <w:t>Ethics</w:t>
      </w:r>
      <w:bookmarkEnd w:id="12"/>
    </w:p>
    <w:p w:rsidR="006A38A7" w:rsidRDefault="00414115" w:rsidP="006A38A7">
      <w:r>
        <w:t>The researcher recognises that a</w:t>
      </w:r>
      <w:r w:rsidR="005377E9">
        <w:t xml:space="preserve">ll educational research must be conducted within ethical guidelines (BERA, 2011; Welsh Government, 2015). The researcher must </w:t>
      </w:r>
      <w:r>
        <w:t>show</w:t>
      </w:r>
      <w:r w:rsidR="005377E9">
        <w:t xml:space="preserve"> due </w:t>
      </w:r>
      <w:r>
        <w:t xml:space="preserve">ethical </w:t>
      </w:r>
      <w:r w:rsidR="005377E9">
        <w:t xml:space="preserve">respect </w:t>
      </w:r>
      <w:r>
        <w:t>towards</w:t>
      </w:r>
      <w:r w:rsidR="005377E9">
        <w:t xml:space="preserve"> the participants, sponsors of research,</w:t>
      </w:r>
      <w:r>
        <w:t xml:space="preserve"> the community of educational researchers and to educational professionals (BERA, 2011). By adhering to ethical guidelines</w:t>
      </w:r>
      <w:r w:rsidR="008E6BB3">
        <w:t xml:space="preserve"> and seeking ethical approval</w:t>
      </w:r>
      <w:r>
        <w:t>, the researcher will ensure ethical responsibility for all of these stakeholders, but most specifically to the participants of the research.</w:t>
      </w:r>
    </w:p>
    <w:p w:rsidR="00414115" w:rsidRPr="006A38A7" w:rsidRDefault="00414115" w:rsidP="006A38A7">
      <w:r>
        <w:t>Firstly, voluntary informed consent will be sought before beginning the research process, so that participants fully understand the processes and there is full openness and disclosure on the part of the researcher (BERA, 2011). Without this consent, as well as parental consent in line with school policy, the researcher will not include the student in the study. Addi</w:t>
      </w:r>
      <w:r w:rsidR="008612E7">
        <w:t xml:space="preserve">tionally, to comply with the United Nations Convention on the Right of the Child, the researcher will put the safety and rights of the children before the priorities of the study, and will ensure that participants understand they have the right to withdraw at any time during the process (ibid.). If this does occur, the researcher will destroy any data collected on that child. </w:t>
      </w:r>
      <w:proofErr w:type="gramStart"/>
      <w:r w:rsidR="008612E7">
        <w:t>Furthermore, when collecting and storing participant data, the researcher will treat data with confidentiality and anonymity in order to protect the privacy of the participants and of the school (BERA, 2011).</w:t>
      </w:r>
      <w:proofErr w:type="gramEnd"/>
      <w:r w:rsidR="008612E7">
        <w:t xml:space="preserve"> Data will be stored on a password-protected computer and an encrypted USB, in compliance with the Data Protection Act (1998). Following the analysis of data and presentation of results, all raw data will be destroyed, and any participants or their parents will be given access to results on request (BERA, 2011). </w:t>
      </w:r>
    </w:p>
    <w:p w:rsidR="00BF5FD2" w:rsidRDefault="00BF5FD2" w:rsidP="00BF5FD2">
      <w:pPr>
        <w:pStyle w:val="Heading1"/>
      </w:pPr>
      <w:bookmarkStart w:id="13" w:name="_Toc511549769"/>
      <w:r>
        <w:t>Work Plan</w:t>
      </w:r>
      <w:bookmarkEnd w:id="13"/>
    </w:p>
    <w:p w:rsidR="00AF622C" w:rsidRDefault="00AF622C" w:rsidP="00AF622C">
      <w:r>
        <w:t>Below is the proposed work plan for the action research. School holidays have not been included, but it is acknowledged that the school year at School X is 34 w</w:t>
      </w:r>
      <w:r w:rsidR="00EB44EF">
        <w:t>eeks. The researcher proposes 12</w:t>
      </w:r>
      <w:r>
        <w:t xml:space="preserve"> intervention sessions at approximate </w:t>
      </w:r>
      <w:r w:rsidR="00EB44EF">
        <w:t>2-</w:t>
      </w:r>
      <w:r>
        <w:t>3 week intervals, allowing for flexibility around the school calendar.</w:t>
      </w:r>
    </w:p>
    <w:p w:rsidR="006B7DE3" w:rsidRPr="00AF622C" w:rsidRDefault="006B7DE3" w:rsidP="00AF622C"/>
    <w:tbl>
      <w:tblPr>
        <w:tblStyle w:val="TableGrid"/>
        <w:tblW w:w="9414" w:type="dxa"/>
        <w:tblLook w:val="04A0" w:firstRow="1" w:lastRow="0" w:firstColumn="1" w:lastColumn="0" w:noHBand="0" w:noVBand="1"/>
      </w:tblPr>
      <w:tblGrid>
        <w:gridCol w:w="817"/>
        <w:gridCol w:w="8597"/>
      </w:tblGrid>
      <w:tr w:rsidR="005C284F" w:rsidTr="00AF622C">
        <w:trPr>
          <w:trHeight w:val="261"/>
        </w:trPr>
        <w:tc>
          <w:tcPr>
            <w:tcW w:w="817" w:type="dxa"/>
          </w:tcPr>
          <w:p w:rsidR="005C284F" w:rsidRPr="00A6477F" w:rsidRDefault="005C284F" w:rsidP="00734C94">
            <w:pPr>
              <w:rPr>
                <w:b/>
              </w:rPr>
            </w:pPr>
            <w:r w:rsidRPr="00A6477F">
              <w:rPr>
                <w:b/>
              </w:rPr>
              <w:lastRenderedPageBreak/>
              <w:t>Week</w:t>
            </w:r>
          </w:p>
        </w:tc>
        <w:tc>
          <w:tcPr>
            <w:tcW w:w="8597" w:type="dxa"/>
          </w:tcPr>
          <w:p w:rsidR="005C284F" w:rsidRPr="00A6477F" w:rsidRDefault="005C284F" w:rsidP="00734C94">
            <w:pPr>
              <w:rPr>
                <w:b/>
              </w:rPr>
            </w:pPr>
            <w:r w:rsidRPr="00A6477F">
              <w:rPr>
                <w:b/>
              </w:rPr>
              <w:t>Action</w:t>
            </w:r>
          </w:p>
        </w:tc>
      </w:tr>
      <w:tr w:rsidR="005C284F" w:rsidTr="00AF622C">
        <w:trPr>
          <w:trHeight w:val="261"/>
        </w:trPr>
        <w:tc>
          <w:tcPr>
            <w:tcW w:w="817" w:type="dxa"/>
          </w:tcPr>
          <w:p w:rsidR="005C284F" w:rsidRDefault="008612E7" w:rsidP="00734C94">
            <w:r>
              <w:t>1</w:t>
            </w:r>
          </w:p>
        </w:tc>
        <w:tc>
          <w:tcPr>
            <w:tcW w:w="8597" w:type="dxa"/>
          </w:tcPr>
          <w:p w:rsidR="005C284F" w:rsidRDefault="008612E7" w:rsidP="00734C94">
            <w:r>
              <w:t>Invite students to participate in the study.</w:t>
            </w:r>
          </w:p>
          <w:p w:rsidR="008612E7" w:rsidRDefault="008612E7" w:rsidP="00734C94">
            <w:r>
              <w:t>Provide information and consent form.</w:t>
            </w:r>
          </w:p>
          <w:p w:rsidR="008612E7" w:rsidRDefault="008612E7" w:rsidP="00734C94">
            <w:r>
              <w:t xml:space="preserve">Collect consent forms and induct </w:t>
            </w:r>
            <w:r w:rsidR="00AF622C">
              <w:t>participants into the research process.</w:t>
            </w:r>
          </w:p>
        </w:tc>
      </w:tr>
      <w:tr w:rsidR="005C284F" w:rsidTr="00AF622C">
        <w:trPr>
          <w:trHeight w:val="246"/>
        </w:trPr>
        <w:tc>
          <w:tcPr>
            <w:tcW w:w="817" w:type="dxa"/>
          </w:tcPr>
          <w:p w:rsidR="005C284F" w:rsidRDefault="00AF622C" w:rsidP="00734C94">
            <w:r>
              <w:t>2</w:t>
            </w:r>
          </w:p>
        </w:tc>
        <w:tc>
          <w:tcPr>
            <w:tcW w:w="8597" w:type="dxa"/>
          </w:tcPr>
          <w:p w:rsidR="005C284F" w:rsidRDefault="00AF622C" w:rsidP="00734C94">
            <w:r>
              <w:t>Complete questionnaires with Year 2 and Year 12 students.</w:t>
            </w:r>
          </w:p>
          <w:p w:rsidR="00AF622C" w:rsidRDefault="00AF622C" w:rsidP="00734C94">
            <w:r>
              <w:t>Collect and safely store results.</w:t>
            </w:r>
          </w:p>
          <w:p w:rsidR="00AF622C" w:rsidRDefault="00AF622C" w:rsidP="00734C94">
            <w:r>
              <w:t>Pair/group students based on personal interests.</w:t>
            </w:r>
          </w:p>
        </w:tc>
      </w:tr>
      <w:tr w:rsidR="005C284F" w:rsidTr="00AF622C">
        <w:trPr>
          <w:trHeight w:val="261"/>
        </w:trPr>
        <w:tc>
          <w:tcPr>
            <w:tcW w:w="817" w:type="dxa"/>
          </w:tcPr>
          <w:p w:rsidR="005C284F" w:rsidRDefault="00AF622C" w:rsidP="00734C94">
            <w:r>
              <w:t>3</w:t>
            </w:r>
          </w:p>
        </w:tc>
        <w:tc>
          <w:tcPr>
            <w:tcW w:w="8597" w:type="dxa"/>
          </w:tcPr>
          <w:p w:rsidR="005C284F" w:rsidRDefault="00AF622C" w:rsidP="00734C94">
            <w:r>
              <w:t>Begin intervention process and observe social interactions</w:t>
            </w:r>
          </w:p>
        </w:tc>
      </w:tr>
      <w:tr w:rsidR="005C284F" w:rsidTr="00AF622C">
        <w:trPr>
          <w:trHeight w:val="246"/>
        </w:trPr>
        <w:tc>
          <w:tcPr>
            <w:tcW w:w="817" w:type="dxa"/>
          </w:tcPr>
          <w:p w:rsidR="005C284F" w:rsidRDefault="00AF622C" w:rsidP="00734C94">
            <w:r>
              <w:t>6</w:t>
            </w:r>
            <w:r w:rsidR="00EB44EF">
              <w:t xml:space="preserve"> - 33</w:t>
            </w:r>
          </w:p>
        </w:tc>
        <w:tc>
          <w:tcPr>
            <w:tcW w:w="8597" w:type="dxa"/>
          </w:tcPr>
          <w:p w:rsidR="00EB44EF" w:rsidRDefault="00AF622C" w:rsidP="00734C94">
            <w:r>
              <w:t>Intervention session</w:t>
            </w:r>
            <w:r w:rsidR="00EB44EF">
              <w:t>s</w:t>
            </w:r>
            <w:r>
              <w:t xml:space="preserve"> 2</w:t>
            </w:r>
            <w:r w:rsidR="00EB44EF">
              <w:t>-12</w:t>
            </w:r>
          </w:p>
        </w:tc>
      </w:tr>
      <w:tr w:rsidR="00EB44EF" w:rsidTr="00AF622C">
        <w:trPr>
          <w:trHeight w:val="246"/>
        </w:trPr>
        <w:tc>
          <w:tcPr>
            <w:tcW w:w="817" w:type="dxa"/>
          </w:tcPr>
          <w:p w:rsidR="00EB44EF" w:rsidRDefault="00EB44EF" w:rsidP="00734C94">
            <w:r>
              <w:t>34</w:t>
            </w:r>
          </w:p>
        </w:tc>
        <w:tc>
          <w:tcPr>
            <w:tcW w:w="8597" w:type="dxa"/>
          </w:tcPr>
          <w:p w:rsidR="00EB44EF" w:rsidRDefault="00EB44EF" w:rsidP="00734C94">
            <w:r>
              <w:t>Complete second questionnaires with Year 2 and Year 12 students.</w:t>
            </w:r>
          </w:p>
          <w:p w:rsidR="00EB44EF" w:rsidRDefault="00EB44EF" w:rsidP="00734C94">
            <w:r>
              <w:t>Complete group interview</w:t>
            </w:r>
            <w:r w:rsidR="00311BC8">
              <w:t xml:space="preserve"> with Year 12 students.</w:t>
            </w:r>
          </w:p>
        </w:tc>
      </w:tr>
      <w:tr w:rsidR="00311BC8" w:rsidTr="00AF622C">
        <w:trPr>
          <w:trHeight w:val="246"/>
        </w:trPr>
        <w:tc>
          <w:tcPr>
            <w:tcW w:w="817" w:type="dxa"/>
          </w:tcPr>
          <w:p w:rsidR="00311BC8" w:rsidRDefault="00311BC8" w:rsidP="00734C94">
            <w:r>
              <w:t>35+</w:t>
            </w:r>
          </w:p>
        </w:tc>
        <w:tc>
          <w:tcPr>
            <w:tcW w:w="8597" w:type="dxa"/>
          </w:tcPr>
          <w:p w:rsidR="00311BC8" w:rsidRDefault="00311BC8" w:rsidP="00734C94">
            <w:r>
              <w:t>(School Holidays)</w:t>
            </w:r>
          </w:p>
          <w:p w:rsidR="00311BC8" w:rsidRDefault="00311BC8" w:rsidP="00734C94">
            <w:r>
              <w:t>Analyse results, draw conclusions and present findings.</w:t>
            </w:r>
          </w:p>
        </w:tc>
      </w:tr>
    </w:tbl>
    <w:p w:rsidR="00BF5FD2" w:rsidRDefault="00734C94" w:rsidP="00BF5FD2">
      <w:pPr>
        <w:pStyle w:val="Heading1"/>
      </w:pPr>
      <w:bookmarkStart w:id="14" w:name="_Toc511549770"/>
      <w:r>
        <w:t>Evaluation of Study</w:t>
      </w:r>
      <w:bookmarkEnd w:id="14"/>
    </w:p>
    <w:p w:rsidR="00661381" w:rsidRDefault="00D6018C" w:rsidP="00661381">
      <w:r>
        <w:t>The researcher will now evaluate the action research design against its aims;</w:t>
      </w:r>
    </w:p>
    <w:p w:rsidR="00D6018C" w:rsidRDefault="00D6018C" w:rsidP="00D6018C">
      <w:pPr>
        <w:pStyle w:val="ListParagraph"/>
        <w:numPr>
          <w:ilvl w:val="0"/>
          <w:numId w:val="8"/>
        </w:numPr>
      </w:pPr>
      <w:r>
        <w:t>To investigate how motivation levels differ in older students compared to younger students with regards to reading.</w:t>
      </w:r>
    </w:p>
    <w:p w:rsidR="00D6018C" w:rsidRDefault="00D6018C" w:rsidP="00D6018C">
      <w:pPr>
        <w:pStyle w:val="ListParagraph"/>
        <w:numPr>
          <w:ilvl w:val="0"/>
          <w:numId w:val="8"/>
        </w:numPr>
      </w:pPr>
      <w:r>
        <w:t>To explore how research tools allow the researcher to monitor and compare changes in motivation levels over time.</w:t>
      </w:r>
    </w:p>
    <w:p w:rsidR="00D6018C" w:rsidRPr="00B5280E" w:rsidRDefault="00D6018C" w:rsidP="00D6018C">
      <w:pPr>
        <w:pStyle w:val="ListParagraph"/>
        <w:numPr>
          <w:ilvl w:val="0"/>
          <w:numId w:val="8"/>
        </w:numPr>
      </w:pPr>
      <w:r>
        <w:t>To propose how analysis of research data demonstrates the success of the investigation, and how these findings may be used in future evidence-based pedagogical practice.</w:t>
      </w:r>
    </w:p>
    <w:p w:rsidR="00FF17BE" w:rsidRDefault="00FF17BE" w:rsidP="00FF17BE">
      <w:pPr>
        <w:pStyle w:val="Heading2"/>
      </w:pPr>
      <w:bookmarkStart w:id="15" w:name="_Toc511549771"/>
      <w:r>
        <w:t>Strengths and Limitations</w:t>
      </w:r>
      <w:bookmarkEnd w:id="15"/>
    </w:p>
    <w:p w:rsidR="00D6018C" w:rsidRDefault="00D6018C" w:rsidP="00D6018C">
      <w:r>
        <w:t xml:space="preserve">The researcher </w:t>
      </w:r>
      <w:r w:rsidR="006D3176">
        <w:t>believes</w:t>
      </w:r>
      <w:r>
        <w:t xml:space="preserve"> that </w:t>
      </w:r>
      <w:r w:rsidR="006D3176">
        <w:t xml:space="preserve">the methodology tools selected </w:t>
      </w:r>
      <w:r>
        <w:t>are appropriate to achieve the first aim of measuring reading motivation levels</w:t>
      </w:r>
      <w:r w:rsidR="006D3176">
        <w:t>, and has carried out research into motivational theory and existing motivation questionnaires to inform this methodology. The approach is wholly research-informed, meaning that the results of these questionnaires are more likely to yield reliable results (</w:t>
      </w:r>
      <w:proofErr w:type="spellStart"/>
      <w:r w:rsidR="006D3176">
        <w:t>Muijs</w:t>
      </w:r>
      <w:proofErr w:type="spellEnd"/>
      <w:r w:rsidR="006D3176">
        <w:t>, 2004). The limitations of the tools used to achieve this aim have already been discussed, and the researcher has endeavoured to minimise these.</w:t>
      </w:r>
    </w:p>
    <w:p w:rsidR="006D3176" w:rsidRDefault="006D3176" w:rsidP="00D6018C">
      <w:r>
        <w:t>Secondly, the researcher has used literature on research methods to ensure that that methodology in this study will allow the second aim to be achieved. The researcher has utilised a number of different research tools to allow triangulation of results and increase the validity of the study (</w:t>
      </w:r>
      <w:proofErr w:type="spellStart"/>
      <w:r>
        <w:t>Muijs</w:t>
      </w:r>
      <w:proofErr w:type="spellEnd"/>
      <w:r>
        <w:t xml:space="preserve">, 2004), and has carefully analysed the advantages and disadvantages of these research tools. </w:t>
      </w:r>
      <w:r w:rsidR="00A6477F">
        <w:t>Another limitation of the methodology is the issue of demand characteristics. The researcher acknowledges the likelihood that Year 12 participants may guess the aim of the study and adapt their behaviours and responses to either please the researcher or disprove the theory behind the study</w:t>
      </w:r>
      <w:r w:rsidR="008E6BB3">
        <w:t xml:space="preserve"> (ibid.).</w:t>
      </w:r>
      <w:r w:rsidR="00072C74">
        <w:t xml:space="preserve"> This bias would also decrease the reliability of results, and would be taken into account when analysing the results.</w:t>
      </w:r>
    </w:p>
    <w:p w:rsidR="00E56263" w:rsidRDefault="00072C74" w:rsidP="00D6018C">
      <w:r>
        <w:t xml:space="preserve">Thirdly, the researcher has suggested that the analysis of results would be made more accurate through triangulation and cross-referencing, and through employing a repeated measures approach. Again, the results of the action research inquiry should </w:t>
      </w:r>
      <w:r w:rsidR="00E56263">
        <w:t xml:space="preserve">provide useful information for other pedagogical practitioners because of the evidence- and research-based nature of the study itself </w:t>
      </w:r>
      <w:r w:rsidR="00E56263">
        <w:lastRenderedPageBreak/>
        <w:t xml:space="preserve">(Boyd &amp; Split, 2017; </w:t>
      </w:r>
      <w:proofErr w:type="spellStart"/>
      <w:r w:rsidR="00E56263">
        <w:t>Stenhouse</w:t>
      </w:r>
      <w:proofErr w:type="spellEnd"/>
      <w:r w:rsidR="00E56263">
        <w:t xml:space="preserve">, 1975; </w:t>
      </w:r>
      <w:proofErr w:type="spellStart"/>
      <w:r w:rsidR="00E56263">
        <w:t>Baumfield</w:t>
      </w:r>
      <w:proofErr w:type="spellEnd"/>
      <w:r w:rsidR="00E56263">
        <w:t xml:space="preserve"> et al, 2013). The researcher hopes that the analysis of results will be able to contribute to the body of evidence on reading motivation. </w:t>
      </w:r>
    </w:p>
    <w:p w:rsidR="00072C74" w:rsidRPr="00D6018C" w:rsidRDefault="00E56263" w:rsidP="00D6018C">
      <w:r>
        <w:t>However, the researcher also recognises the limitations of the generalisability of the action research (</w:t>
      </w:r>
      <w:proofErr w:type="spellStart"/>
      <w:r>
        <w:t>Muijs</w:t>
      </w:r>
      <w:proofErr w:type="spellEnd"/>
      <w:r>
        <w:t xml:space="preserve">, 2004). The context from which the participant sample has been taken is unique, and it is not possible to say that the intervention would have been more, less, or equally as successful with groups of Year 3 and Year 13 pupils, for example. Furthermore, as we have already seen, the context of School X itself is drastically different from that of School Y, so again, it is impossible to suggest that the results would be the same in that context, regardless of the year groups used in the sample. In order to increase the reliability and generalisability of the action research results, the researcher would have to repeat the investigation with many other samples of students, in different contexts. The researcher also did not investigate the relationship between literacy levels and </w:t>
      </w:r>
      <w:r w:rsidR="00AA61CE">
        <w:t>reading motivation levels, as the study was solely investigating age differences and reading motivation. Experts recognise that reading ability and reading motivation are extrinsically linked (</w:t>
      </w:r>
      <w:proofErr w:type="spellStart"/>
      <w:r w:rsidR="00AA61CE">
        <w:t>Gambrell</w:t>
      </w:r>
      <w:proofErr w:type="spellEnd"/>
      <w:r w:rsidR="00AA61CE">
        <w:t xml:space="preserve">, 1996; Guthrie et al, 2007), which this study did not take into account. </w:t>
      </w:r>
    </w:p>
    <w:p w:rsidR="00FF17BE" w:rsidRDefault="00FF17BE" w:rsidP="00FF17BE">
      <w:pPr>
        <w:pStyle w:val="Heading2"/>
      </w:pPr>
      <w:bookmarkStart w:id="16" w:name="_Toc511549772"/>
      <w:r>
        <w:t>Future Steps</w:t>
      </w:r>
      <w:bookmarkEnd w:id="16"/>
    </w:p>
    <w:p w:rsidR="00AA61CE" w:rsidRDefault="00AA61CE" w:rsidP="00AA61CE">
      <w:r>
        <w:t>To expand the research undertaken, the researcher would recommend the following next steps;</w:t>
      </w:r>
    </w:p>
    <w:p w:rsidR="00AA61CE" w:rsidRDefault="00AA61CE" w:rsidP="00AA61CE">
      <w:pPr>
        <w:pStyle w:val="ListParagraph"/>
        <w:numPr>
          <w:ilvl w:val="0"/>
          <w:numId w:val="10"/>
        </w:numPr>
      </w:pPr>
      <w:r>
        <w:t>Investigate how the intervention may yield different results with different samples of students in the same school context.</w:t>
      </w:r>
    </w:p>
    <w:p w:rsidR="00AA61CE" w:rsidRDefault="00AA61CE" w:rsidP="00AA61CE">
      <w:pPr>
        <w:pStyle w:val="ListParagraph"/>
        <w:numPr>
          <w:ilvl w:val="0"/>
          <w:numId w:val="10"/>
        </w:numPr>
      </w:pPr>
      <w:r>
        <w:t>Investigate how the intervention may differ in a different school context, such as that of School Y.</w:t>
      </w:r>
    </w:p>
    <w:p w:rsidR="00AA61CE" w:rsidRDefault="00AA61CE" w:rsidP="00AA61CE">
      <w:pPr>
        <w:pStyle w:val="ListParagraph"/>
        <w:numPr>
          <w:ilvl w:val="0"/>
          <w:numId w:val="10"/>
        </w:numPr>
      </w:pPr>
      <w:r>
        <w:t>Explore the relationship between reading ability and reading motivation levels, and see whether the impact of the intervention is greater or less for lower ability students.</w:t>
      </w:r>
    </w:p>
    <w:p w:rsidR="00AA61CE" w:rsidRDefault="00AA61CE" w:rsidP="00AA61CE">
      <w:pPr>
        <w:pStyle w:val="ListParagraph"/>
        <w:numPr>
          <w:ilvl w:val="0"/>
          <w:numId w:val="10"/>
        </w:numPr>
      </w:pPr>
      <w:r>
        <w:t>Compare interventions with samples of students from the same context, with one group influenced purely with extrinsic motivational factors, and the other purely with intrinsic motivation strategies.</w:t>
      </w:r>
    </w:p>
    <w:p w:rsidR="00405985" w:rsidRPr="00AA61CE" w:rsidRDefault="00405985" w:rsidP="00405985">
      <w:r>
        <w:t xml:space="preserve">Word Count: </w:t>
      </w:r>
      <w:r w:rsidR="006B7DE3">
        <w:t>6219</w:t>
      </w:r>
      <w:r>
        <w:t xml:space="preserve"> words (including embedded references)</w:t>
      </w:r>
    </w:p>
    <w:p w:rsidR="00BF5FD2" w:rsidRDefault="00BF5FD2" w:rsidP="00BF5FD2">
      <w:pPr>
        <w:pStyle w:val="Heading1"/>
      </w:pPr>
      <w:bookmarkStart w:id="17" w:name="_Toc511549773"/>
      <w:r>
        <w:t>Appendices</w:t>
      </w:r>
      <w:bookmarkEnd w:id="17"/>
    </w:p>
    <w:p w:rsidR="00017097" w:rsidRPr="00017097" w:rsidRDefault="00017097" w:rsidP="00017097">
      <w:pPr>
        <w:pStyle w:val="Heading2"/>
      </w:pPr>
      <w:bookmarkStart w:id="18" w:name="_Toc511549774"/>
      <w:r>
        <w:t>Appendix 1 – School X Reading Challenge Totals by Year Group (</w:t>
      </w:r>
      <w:r w:rsidR="00641711">
        <w:t>February 2018</w:t>
      </w:r>
      <w:r>
        <w:t>)</w:t>
      </w:r>
      <w:bookmarkEnd w:id="18"/>
    </w:p>
    <w:p w:rsidR="00641711" w:rsidRPr="001071AB" w:rsidRDefault="00641711" w:rsidP="00641711">
      <w:pPr>
        <w:spacing w:after="0" w:line="240" w:lineRule="auto"/>
        <w:rPr>
          <w:rFonts w:ascii="Arial" w:hAnsi="Arial" w:cs="Arial"/>
          <w:sz w:val="28"/>
          <w:szCs w:val="28"/>
        </w:rPr>
      </w:pPr>
      <w:r w:rsidRPr="001071AB">
        <w:rPr>
          <w:rFonts w:ascii="Arial" w:hAnsi="Arial" w:cs="Arial"/>
          <w:sz w:val="28"/>
          <w:szCs w:val="28"/>
        </w:rPr>
        <w:t>Year Group Totals</w:t>
      </w:r>
    </w:p>
    <w:tbl>
      <w:tblPr>
        <w:tblStyle w:val="TableGrid"/>
        <w:tblW w:w="0" w:type="auto"/>
        <w:tblLook w:val="04A0" w:firstRow="1" w:lastRow="0" w:firstColumn="1" w:lastColumn="0" w:noHBand="0" w:noVBand="1"/>
      </w:tblPr>
      <w:tblGrid>
        <w:gridCol w:w="1453"/>
        <w:gridCol w:w="1304"/>
        <w:gridCol w:w="1305"/>
        <w:gridCol w:w="1305"/>
        <w:gridCol w:w="1305"/>
        <w:gridCol w:w="1324"/>
        <w:gridCol w:w="1246"/>
      </w:tblGrid>
      <w:tr w:rsidR="00641711" w:rsidRPr="001071AB" w:rsidTr="0006523A">
        <w:tc>
          <w:tcPr>
            <w:tcW w:w="1526" w:type="dxa"/>
            <w:vAlign w:val="center"/>
          </w:tcPr>
          <w:p w:rsidR="00641711" w:rsidRPr="001071AB" w:rsidRDefault="00641711" w:rsidP="0006523A">
            <w:pPr>
              <w:jc w:val="center"/>
              <w:rPr>
                <w:rFonts w:ascii="Arial" w:hAnsi="Arial" w:cs="Arial"/>
                <w:b/>
              </w:rPr>
            </w:pPr>
            <w:r w:rsidRPr="001071AB">
              <w:rPr>
                <w:rFonts w:ascii="Arial" w:hAnsi="Arial" w:cs="Arial"/>
                <w:b/>
              </w:rPr>
              <w:t>Year 7</w:t>
            </w:r>
          </w:p>
        </w:tc>
        <w:tc>
          <w:tcPr>
            <w:tcW w:w="1526" w:type="dxa"/>
            <w:vAlign w:val="center"/>
          </w:tcPr>
          <w:p w:rsidR="00641711" w:rsidRPr="001071AB" w:rsidRDefault="00641711" w:rsidP="0006523A">
            <w:pPr>
              <w:jc w:val="center"/>
              <w:rPr>
                <w:rFonts w:ascii="Arial" w:hAnsi="Arial" w:cs="Arial"/>
                <w:b/>
              </w:rPr>
            </w:pPr>
            <w:r w:rsidRPr="001071AB">
              <w:rPr>
                <w:rFonts w:ascii="Arial" w:hAnsi="Arial" w:cs="Arial"/>
                <w:b/>
              </w:rPr>
              <w:t>Year 8</w:t>
            </w:r>
          </w:p>
        </w:tc>
        <w:tc>
          <w:tcPr>
            <w:tcW w:w="1526" w:type="dxa"/>
            <w:vAlign w:val="center"/>
          </w:tcPr>
          <w:p w:rsidR="00641711" w:rsidRPr="001071AB" w:rsidRDefault="00641711" w:rsidP="0006523A">
            <w:pPr>
              <w:jc w:val="center"/>
              <w:rPr>
                <w:rFonts w:ascii="Arial" w:hAnsi="Arial" w:cs="Arial"/>
                <w:b/>
              </w:rPr>
            </w:pPr>
            <w:r w:rsidRPr="001071AB">
              <w:rPr>
                <w:rFonts w:ascii="Arial" w:hAnsi="Arial" w:cs="Arial"/>
                <w:b/>
              </w:rPr>
              <w:t>Year 9</w:t>
            </w:r>
          </w:p>
        </w:tc>
        <w:tc>
          <w:tcPr>
            <w:tcW w:w="1526" w:type="dxa"/>
            <w:vAlign w:val="center"/>
          </w:tcPr>
          <w:p w:rsidR="00641711" w:rsidRPr="001071AB" w:rsidRDefault="00641711" w:rsidP="0006523A">
            <w:pPr>
              <w:jc w:val="center"/>
              <w:rPr>
                <w:rFonts w:ascii="Arial" w:hAnsi="Arial" w:cs="Arial"/>
                <w:b/>
              </w:rPr>
            </w:pPr>
            <w:r w:rsidRPr="001071AB">
              <w:rPr>
                <w:rFonts w:ascii="Arial" w:hAnsi="Arial" w:cs="Arial"/>
                <w:b/>
              </w:rPr>
              <w:t>Year 10</w:t>
            </w:r>
          </w:p>
        </w:tc>
        <w:tc>
          <w:tcPr>
            <w:tcW w:w="1526" w:type="dxa"/>
            <w:vAlign w:val="center"/>
          </w:tcPr>
          <w:p w:rsidR="00641711" w:rsidRPr="001071AB" w:rsidRDefault="00641711" w:rsidP="0006523A">
            <w:pPr>
              <w:jc w:val="center"/>
              <w:rPr>
                <w:rFonts w:ascii="Arial" w:hAnsi="Arial" w:cs="Arial"/>
                <w:b/>
              </w:rPr>
            </w:pPr>
            <w:r w:rsidRPr="001071AB">
              <w:rPr>
                <w:rFonts w:ascii="Arial" w:hAnsi="Arial" w:cs="Arial"/>
                <w:b/>
              </w:rPr>
              <w:t>Year 11</w:t>
            </w:r>
          </w:p>
        </w:tc>
        <w:tc>
          <w:tcPr>
            <w:tcW w:w="1526" w:type="dxa"/>
            <w:vAlign w:val="center"/>
          </w:tcPr>
          <w:p w:rsidR="00641711" w:rsidRPr="001071AB" w:rsidRDefault="00641711" w:rsidP="0006523A">
            <w:pPr>
              <w:jc w:val="center"/>
              <w:rPr>
                <w:rFonts w:ascii="Arial" w:hAnsi="Arial" w:cs="Arial"/>
                <w:b/>
              </w:rPr>
            </w:pPr>
            <w:r w:rsidRPr="001071AB">
              <w:rPr>
                <w:rFonts w:ascii="Arial" w:hAnsi="Arial" w:cs="Arial"/>
                <w:b/>
              </w:rPr>
              <w:t>Sixth Form</w:t>
            </w:r>
          </w:p>
        </w:tc>
        <w:tc>
          <w:tcPr>
            <w:tcW w:w="1442" w:type="dxa"/>
            <w:vAlign w:val="center"/>
          </w:tcPr>
          <w:p w:rsidR="00641711" w:rsidRPr="001071AB" w:rsidRDefault="00641711" w:rsidP="0006523A">
            <w:pPr>
              <w:jc w:val="center"/>
              <w:rPr>
                <w:rFonts w:ascii="Arial" w:hAnsi="Arial" w:cs="Arial"/>
                <w:b/>
              </w:rPr>
            </w:pPr>
            <w:r w:rsidRPr="001071AB">
              <w:rPr>
                <w:rFonts w:ascii="Arial" w:hAnsi="Arial" w:cs="Arial"/>
                <w:b/>
              </w:rPr>
              <w:t>Staff</w:t>
            </w:r>
          </w:p>
        </w:tc>
      </w:tr>
      <w:tr w:rsidR="00641711" w:rsidRPr="001071AB" w:rsidTr="0006523A">
        <w:tc>
          <w:tcPr>
            <w:tcW w:w="1526" w:type="dxa"/>
            <w:vAlign w:val="center"/>
          </w:tcPr>
          <w:p w:rsidR="00641711" w:rsidRDefault="00641711" w:rsidP="0006523A">
            <w:pPr>
              <w:jc w:val="center"/>
              <w:rPr>
                <w:rFonts w:ascii="Arial" w:hAnsi="Arial" w:cs="Arial"/>
              </w:rPr>
            </w:pPr>
            <w:r>
              <w:rPr>
                <w:rFonts w:ascii="Arial" w:hAnsi="Arial" w:cs="Arial"/>
              </w:rPr>
              <w:t>173</w:t>
            </w:r>
          </w:p>
          <w:p w:rsidR="00641711" w:rsidRPr="001071AB" w:rsidRDefault="00641711" w:rsidP="0006523A">
            <w:pPr>
              <w:jc w:val="center"/>
              <w:rPr>
                <w:rFonts w:ascii="Arial" w:hAnsi="Arial" w:cs="Arial"/>
              </w:rPr>
            </w:pPr>
            <w:r w:rsidRPr="001071AB">
              <w:rPr>
                <w:rFonts w:ascii="Arial" w:hAnsi="Arial" w:cs="Arial"/>
              </w:rPr>
              <w:t xml:space="preserve">Reviews </w:t>
            </w:r>
          </w:p>
        </w:tc>
        <w:tc>
          <w:tcPr>
            <w:tcW w:w="1526" w:type="dxa"/>
            <w:vAlign w:val="center"/>
          </w:tcPr>
          <w:p w:rsidR="00641711" w:rsidRPr="001071AB" w:rsidRDefault="00641711" w:rsidP="0006523A">
            <w:pPr>
              <w:jc w:val="center"/>
              <w:rPr>
                <w:rFonts w:ascii="Arial" w:hAnsi="Arial" w:cs="Arial"/>
              </w:rPr>
            </w:pPr>
            <w:r>
              <w:rPr>
                <w:rFonts w:ascii="Arial" w:hAnsi="Arial" w:cs="Arial"/>
              </w:rPr>
              <w:t>150</w:t>
            </w:r>
          </w:p>
        </w:tc>
        <w:tc>
          <w:tcPr>
            <w:tcW w:w="1526" w:type="dxa"/>
            <w:vAlign w:val="center"/>
          </w:tcPr>
          <w:p w:rsidR="00641711" w:rsidRPr="001071AB" w:rsidRDefault="00641711" w:rsidP="0006523A">
            <w:pPr>
              <w:jc w:val="center"/>
              <w:rPr>
                <w:rFonts w:ascii="Arial" w:hAnsi="Arial" w:cs="Arial"/>
              </w:rPr>
            </w:pPr>
            <w:r>
              <w:rPr>
                <w:rFonts w:ascii="Arial" w:hAnsi="Arial" w:cs="Arial"/>
              </w:rPr>
              <w:t>60</w:t>
            </w:r>
          </w:p>
        </w:tc>
        <w:tc>
          <w:tcPr>
            <w:tcW w:w="1526" w:type="dxa"/>
            <w:vAlign w:val="center"/>
          </w:tcPr>
          <w:p w:rsidR="00641711" w:rsidRPr="001071AB" w:rsidRDefault="00641711" w:rsidP="0006523A">
            <w:pPr>
              <w:jc w:val="center"/>
              <w:rPr>
                <w:rFonts w:ascii="Arial" w:hAnsi="Arial" w:cs="Arial"/>
              </w:rPr>
            </w:pPr>
            <w:r>
              <w:rPr>
                <w:rFonts w:ascii="Arial" w:hAnsi="Arial" w:cs="Arial"/>
              </w:rPr>
              <w:t>14</w:t>
            </w:r>
          </w:p>
        </w:tc>
        <w:tc>
          <w:tcPr>
            <w:tcW w:w="1526" w:type="dxa"/>
            <w:vAlign w:val="center"/>
          </w:tcPr>
          <w:p w:rsidR="00641711" w:rsidRPr="001071AB" w:rsidRDefault="00641711" w:rsidP="0006523A">
            <w:pPr>
              <w:jc w:val="center"/>
              <w:rPr>
                <w:rFonts w:ascii="Arial" w:hAnsi="Arial" w:cs="Arial"/>
              </w:rPr>
            </w:pPr>
            <w:r>
              <w:rPr>
                <w:rFonts w:ascii="Arial" w:hAnsi="Arial" w:cs="Arial"/>
              </w:rPr>
              <w:t>18</w:t>
            </w:r>
          </w:p>
        </w:tc>
        <w:tc>
          <w:tcPr>
            <w:tcW w:w="1526" w:type="dxa"/>
            <w:vAlign w:val="center"/>
          </w:tcPr>
          <w:p w:rsidR="00641711" w:rsidRPr="001071AB" w:rsidRDefault="00641711" w:rsidP="0006523A">
            <w:pPr>
              <w:jc w:val="center"/>
              <w:rPr>
                <w:rFonts w:ascii="Arial" w:hAnsi="Arial" w:cs="Arial"/>
              </w:rPr>
            </w:pPr>
            <w:r>
              <w:rPr>
                <w:rFonts w:ascii="Arial" w:hAnsi="Arial" w:cs="Arial"/>
              </w:rPr>
              <w:t>11</w:t>
            </w:r>
          </w:p>
        </w:tc>
        <w:tc>
          <w:tcPr>
            <w:tcW w:w="1442" w:type="dxa"/>
            <w:vAlign w:val="center"/>
          </w:tcPr>
          <w:p w:rsidR="00641711" w:rsidRPr="001071AB" w:rsidRDefault="00641711" w:rsidP="0006523A">
            <w:pPr>
              <w:jc w:val="center"/>
              <w:rPr>
                <w:rFonts w:ascii="Arial" w:hAnsi="Arial" w:cs="Arial"/>
              </w:rPr>
            </w:pPr>
            <w:r>
              <w:rPr>
                <w:rFonts w:ascii="Arial" w:hAnsi="Arial" w:cs="Arial"/>
              </w:rPr>
              <w:t>48</w:t>
            </w:r>
          </w:p>
        </w:tc>
      </w:tr>
      <w:tr w:rsidR="00641711" w:rsidRPr="001071AB" w:rsidTr="0006523A">
        <w:tc>
          <w:tcPr>
            <w:tcW w:w="1526" w:type="dxa"/>
            <w:vAlign w:val="center"/>
          </w:tcPr>
          <w:p w:rsidR="00641711" w:rsidRDefault="00641711" w:rsidP="0006523A">
            <w:pPr>
              <w:jc w:val="center"/>
              <w:rPr>
                <w:rFonts w:ascii="Arial" w:hAnsi="Arial" w:cs="Arial"/>
              </w:rPr>
            </w:pPr>
            <w:r>
              <w:rPr>
                <w:rFonts w:ascii="Arial" w:hAnsi="Arial" w:cs="Arial"/>
              </w:rPr>
              <w:t>55</w:t>
            </w:r>
          </w:p>
          <w:p w:rsidR="00641711" w:rsidRPr="001071AB" w:rsidRDefault="00641711" w:rsidP="0006523A">
            <w:pPr>
              <w:jc w:val="center"/>
              <w:rPr>
                <w:rFonts w:ascii="Arial" w:hAnsi="Arial" w:cs="Arial"/>
              </w:rPr>
            </w:pPr>
            <w:r w:rsidRPr="001071AB">
              <w:rPr>
                <w:rFonts w:ascii="Arial" w:hAnsi="Arial" w:cs="Arial"/>
              </w:rPr>
              <w:t>Individuals</w:t>
            </w:r>
          </w:p>
        </w:tc>
        <w:tc>
          <w:tcPr>
            <w:tcW w:w="1526" w:type="dxa"/>
            <w:vAlign w:val="center"/>
          </w:tcPr>
          <w:p w:rsidR="00641711" w:rsidRPr="001071AB" w:rsidRDefault="00641711" w:rsidP="0006523A">
            <w:pPr>
              <w:jc w:val="center"/>
              <w:rPr>
                <w:rFonts w:ascii="Arial" w:hAnsi="Arial" w:cs="Arial"/>
              </w:rPr>
            </w:pPr>
            <w:r>
              <w:rPr>
                <w:rFonts w:ascii="Arial" w:hAnsi="Arial" w:cs="Arial"/>
              </w:rPr>
              <w:t>41</w:t>
            </w:r>
          </w:p>
        </w:tc>
        <w:tc>
          <w:tcPr>
            <w:tcW w:w="1526" w:type="dxa"/>
            <w:vAlign w:val="center"/>
          </w:tcPr>
          <w:p w:rsidR="00641711" w:rsidRPr="001071AB" w:rsidRDefault="00641711" w:rsidP="0006523A">
            <w:pPr>
              <w:jc w:val="center"/>
              <w:rPr>
                <w:rFonts w:ascii="Arial" w:hAnsi="Arial" w:cs="Arial"/>
              </w:rPr>
            </w:pPr>
            <w:r>
              <w:rPr>
                <w:rFonts w:ascii="Arial" w:hAnsi="Arial" w:cs="Arial"/>
              </w:rPr>
              <w:t>27</w:t>
            </w:r>
          </w:p>
        </w:tc>
        <w:tc>
          <w:tcPr>
            <w:tcW w:w="1526" w:type="dxa"/>
            <w:vAlign w:val="center"/>
          </w:tcPr>
          <w:p w:rsidR="00641711" w:rsidRPr="001071AB" w:rsidRDefault="00641711" w:rsidP="0006523A">
            <w:pPr>
              <w:jc w:val="center"/>
              <w:rPr>
                <w:rFonts w:ascii="Arial" w:hAnsi="Arial" w:cs="Arial"/>
              </w:rPr>
            </w:pPr>
            <w:r>
              <w:rPr>
                <w:rFonts w:ascii="Arial" w:hAnsi="Arial" w:cs="Arial"/>
              </w:rPr>
              <w:t>7</w:t>
            </w:r>
          </w:p>
        </w:tc>
        <w:tc>
          <w:tcPr>
            <w:tcW w:w="1526" w:type="dxa"/>
            <w:vAlign w:val="center"/>
          </w:tcPr>
          <w:p w:rsidR="00641711" w:rsidRPr="001071AB" w:rsidRDefault="00641711" w:rsidP="0006523A">
            <w:pPr>
              <w:jc w:val="center"/>
              <w:rPr>
                <w:rFonts w:ascii="Arial" w:hAnsi="Arial" w:cs="Arial"/>
              </w:rPr>
            </w:pPr>
            <w:r>
              <w:rPr>
                <w:rFonts w:ascii="Arial" w:hAnsi="Arial" w:cs="Arial"/>
              </w:rPr>
              <w:t>7</w:t>
            </w:r>
          </w:p>
        </w:tc>
        <w:tc>
          <w:tcPr>
            <w:tcW w:w="1526" w:type="dxa"/>
            <w:vAlign w:val="center"/>
          </w:tcPr>
          <w:p w:rsidR="00641711" w:rsidRPr="001071AB" w:rsidRDefault="00641711" w:rsidP="0006523A">
            <w:pPr>
              <w:jc w:val="center"/>
              <w:rPr>
                <w:rFonts w:ascii="Arial" w:hAnsi="Arial" w:cs="Arial"/>
              </w:rPr>
            </w:pPr>
            <w:r>
              <w:rPr>
                <w:rFonts w:ascii="Arial" w:hAnsi="Arial" w:cs="Arial"/>
              </w:rPr>
              <w:t>3</w:t>
            </w:r>
          </w:p>
        </w:tc>
        <w:tc>
          <w:tcPr>
            <w:tcW w:w="1442" w:type="dxa"/>
            <w:vAlign w:val="center"/>
          </w:tcPr>
          <w:p w:rsidR="00641711" w:rsidRPr="001071AB" w:rsidRDefault="00641711" w:rsidP="0006523A">
            <w:pPr>
              <w:tabs>
                <w:tab w:val="left" w:pos="525"/>
                <w:tab w:val="center" w:pos="655"/>
              </w:tabs>
              <w:jc w:val="center"/>
              <w:rPr>
                <w:rFonts w:ascii="Arial" w:hAnsi="Arial" w:cs="Arial"/>
              </w:rPr>
            </w:pPr>
            <w:r>
              <w:rPr>
                <w:rFonts w:ascii="Arial" w:hAnsi="Arial" w:cs="Arial"/>
              </w:rPr>
              <w:t>18</w:t>
            </w:r>
          </w:p>
        </w:tc>
      </w:tr>
    </w:tbl>
    <w:p w:rsidR="00017097" w:rsidRDefault="00017097" w:rsidP="00017097"/>
    <w:p w:rsidR="00641711" w:rsidRDefault="00641711" w:rsidP="00641711">
      <w:pPr>
        <w:pStyle w:val="Heading2"/>
      </w:pPr>
      <w:bookmarkStart w:id="19" w:name="_Toc511549775"/>
      <w:r>
        <w:lastRenderedPageBreak/>
        <w:t xml:space="preserve">Appendix 2 – Number of Book Loans and Borrowers by Year Group </w:t>
      </w:r>
      <w:r w:rsidR="00473D46">
        <w:t xml:space="preserve">at School X </w:t>
      </w:r>
      <w:r>
        <w:t>(April 2018)</w:t>
      </w:r>
      <w:bookmarkEnd w:id="19"/>
    </w:p>
    <w:tbl>
      <w:tblPr>
        <w:tblW w:w="10770" w:type="dxa"/>
        <w:tblLayout w:type="fixed"/>
        <w:tblCellMar>
          <w:left w:w="0" w:type="dxa"/>
          <w:right w:w="0" w:type="dxa"/>
        </w:tblCellMar>
        <w:tblLook w:val="0000" w:firstRow="0" w:lastRow="0" w:firstColumn="0" w:lastColumn="0" w:noHBand="0" w:noVBand="0"/>
      </w:tblPr>
      <w:tblGrid>
        <w:gridCol w:w="2812"/>
        <w:gridCol w:w="749"/>
        <w:gridCol w:w="749"/>
        <w:gridCol w:w="850"/>
        <w:gridCol w:w="2906"/>
        <w:gridCol w:w="2704"/>
      </w:tblGrid>
      <w:tr w:rsidR="00641711" w:rsidTr="00641711">
        <w:tc>
          <w:tcPr>
            <w:tcW w:w="8066" w:type="dxa"/>
            <w:gridSpan w:val="5"/>
            <w:tcBorders>
              <w:top w:val="nil"/>
              <w:left w:val="nil"/>
              <w:bottom w:val="single" w:sz="2" w:space="0" w:color="auto"/>
              <w:right w:val="nil"/>
            </w:tcBorders>
          </w:tcPr>
          <w:p w:rsidR="00641711" w:rsidRDefault="00641711" w:rsidP="0006523A">
            <w:pPr>
              <w:widowControl w:val="0"/>
              <w:autoSpaceDE w:val="0"/>
              <w:autoSpaceDN w:val="0"/>
              <w:adjustRightInd w:val="0"/>
              <w:spacing w:before="57" w:after="57" w:line="240" w:lineRule="auto"/>
              <w:rPr>
                <w:rFonts w:ascii="Arial" w:hAnsi="Arial" w:cs="Arial"/>
                <w:b/>
                <w:bCs/>
                <w:color w:val="000000"/>
              </w:rPr>
            </w:pPr>
            <w:r>
              <w:rPr>
                <w:rFonts w:ascii="Arial" w:hAnsi="Arial" w:cs="Arial"/>
                <w:b/>
                <w:bCs/>
                <w:color w:val="000000"/>
              </w:rPr>
              <w:t>Number of Loans and Borrowers, by Category, from 01 Aug 2017 to 23 Mar 2018</w:t>
            </w:r>
          </w:p>
        </w:tc>
        <w:tc>
          <w:tcPr>
            <w:tcW w:w="2704" w:type="dxa"/>
            <w:tcBorders>
              <w:top w:val="nil"/>
              <w:left w:val="nil"/>
              <w:bottom w:val="single" w:sz="2" w:space="0" w:color="auto"/>
              <w:right w:val="nil"/>
            </w:tcBorders>
          </w:tcPr>
          <w:p w:rsidR="00641711" w:rsidRDefault="00641711" w:rsidP="0006523A">
            <w:pPr>
              <w:widowControl w:val="0"/>
              <w:autoSpaceDE w:val="0"/>
              <w:autoSpaceDN w:val="0"/>
              <w:adjustRightInd w:val="0"/>
              <w:spacing w:before="57" w:after="57" w:line="240" w:lineRule="auto"/>
              <w:jc w:val="right"/>
              <w:rPr>
                <w:rFonts w:ascii="Arial" w:hAnsi="Arial" w:cs="Arial"/>
                <w:b/>
                <w:bCs/>
                <w:color w:val="000000"/>
              </w:rPr>
            </w:pPr>
          </w:p>
        </w:tc>
      </w:tr>
      <w:tr w:rsidR="00641711" w:rsidTr="00641711">
        <w:trPr>
          <w:gridAfter w:val="2"/>
          <w:wAfter w:w="5610" w:type="dxa"/>
        </w:trPr>
        <w:tc>
          <w:tcPr>
            <w:tcW w:w="2812" w:type="dxa"/>
            <w:tcBorders>
              <w:top w:val="nil"/>
              <w:left w:val="nil"/>
              <w:bottom w:val="nil"/>
              <w:right w:val="nil"/>
            </w:tcBorders>
          </w:tcPr>
          <w:p w:rsidR="00641711" w:rsidRDefault="00641711" w:rsidP="0006523A">
            <w:pPr>
              <w:widowControl w:val="0"/>
              <w:autoSpaceDE w:val="0"/>
              <w:autoSpaceDN w:val="0"/>
              <w:adjustRightInd w:val="0"/>
              <w:spacing w:before="85" w:after="85" w:line="240" w:lineRule="auto"/>
              <w:rPr>
                <w:rFonts w:ascii="Arial" w:hAnsi="Arial" w:cs="Arial"/>
                <w:i/>
                <w:iCs/>
                <w:color w:val="000000"/>
                <w:sz w:val="16"/>
                <w:szCs w:val="16"/>
              </w:rPr>
            </w:pPr>
            <w:r>
              <w:rPr>
                <w:rFonts w:ascii="Arial" w:hAnsi="Arial" w:cs="Arial"/>
                <w:i/>
                <w:iCs/>
                <w:color w:val="000000"/>
                <w:sz w:val="16"/>
                <w:szCs w:val="16"/>
              </w:rPr>
              <w:t>Category</w:t>
            </w:r>
          </w:p>
        </w:tc>
        <w:tc>
          <w:tcPr>
            <w:tcW w:w="749" w:type="dxa"/>
            <w:tcBorders>
              <w:top w:val="nil"/>
              <w:left w:val="nil"/>
              <w:bottom w:val="nil"/>
              <w:right w:val="nil"/>
            </w:tcBorders>
          </w:tcPr>
          <w:p w:rsidR="00641711" w:rsidRDefault="00641711" w:rsidP="0006523A">
            <w:pPr>
              <w:widowControl w:val="0"/>
              <w:autoSpaceDE w:val="0"/>
              <w:autoSpaceDN w:val="0"/>
              <w:adjustRightInd w:val="0"/>
              <w:spacing w:before="85" w:after="85" w:line="240" w:lineRule="auto"/>
              <w:jc w:val="right"/>
              <w:rPr>
                <w:rFonts w:ascii="Arial" w:hAnsi="Arial" w:cs="Arial"/>
                <w:i/>
                <w:iCs/>
                <w:color w:val="000000"/>
                <w:sz w:val="16"/>
                <w:szCs w:val="16"/>
              </w:rPr>
            </w:pPr>
            <w:r>
              <w:rPr>
                <w:rFonts w:ascii="Arial" w:hAnsi="Arial" w:cs="Arial"/>
                <w:i/>
                <w:iCs/>
                <w:color w:val="000000"/>
                <w:sz w:val="16"/>
                <w:szCs w:val="16"/>
              </w:rPr>
              <w:t>Loans</w:t>
            </w:r>
          </w:p>
        </w:tc>
        <w:tc>
          <w:tcPr>
            <w:tcW w:w="749" w:type="dxa"/>
            <w:tcBorders>
              <w:top w:val="nil"/>
              <w:left w:val="nil"/>
              <w:bottom w:val="nil"/>
              <w:right w:val="nil"/>
            </w:tcBorders>
          </w:tcPr>
          <w:p w:rsidR="00641711" w:rsidRDefault="00641711" w:rsidP="0006523A">
            <w:pPr>
              <w:widowControl w:val="0"/>
              <w:autoSpaceDE w:val="0"/>
              <w:autoSpaceDN w:val="0"/>
              <w:adjustRightInd w:val="0"/>
              <w:spacing w:before="85" w:after="85" w:line="240" w:lineRule="auto"/>
              <w:jc w:val="right"/>
              <w:rPr>
                <w:rFonts w:ascii="Arial" w:hAnsi="Arial" w:cs="Arial"/>
                <w:i/>
                <w:iCs/>
                <w:color w:val="000000"/>
                <w:sz w:val="16"/>
                <w:szCs w:val="16"/>
              </w:rPr>
            </w:pPr>
            <w:proofErr w:type="spellStart"/>
            <w:r>
              <w:rPr>
                <w:rFonts w:ascii="Arial" w:hAnsi="Arial" w:cs="Arial"/>
                <w:i/>
                <w:iCs/>
                <w:color w:val="000000"/>
                <w:sz w:val="16"/>
                <w:szCs w:val="16"/>
              </w:rPr>
              <w:t>Bwrs</w:t>
            </w:r>
            <w:proofErr w:type="spellEnd"/>
            <w:r>
              <w:rPr>
                <w:rFonts w:ascii="Arial" w:hAnsi="Arial" w:cs="Arial"/>
                <w:i/>
                <w:iCs/>
                <w:color w:val="000000"/>
                <w:sz w:val="16"/>
                <w:szCs w:val="16"/>
              </w:rPr>
              <w:t>.</w:t>
            </w:r>
          </w:p>
        </w:tc>
        <w:tc>
          <w:tcPr>
            <w:tcW w:w="850" w:type="dxa"/>
            <w:tcBorders>
              <w:top w:val="nil"/>
              <w:left w:val="nil"/>
              <w:bottom w:val="nil"/>
              <w:right w:val="nil"/>
            </w:tcBorders>
          </w:tcPr>
          <w:p w:rsidR="00641711" w:rsidRDefault="00641711" w:rsidP="0006523A">
            <w:pPr>
              <w:widowControl w:val="0"/>
              <w:autoSpaceDE w:val="0"/>
              <w:autoSpaceDN w:val="0"/>
              <w:adjustRightInd w:val="0"/>
              <w:spacing w:before="85" w:after="85" w:line="240" w:lineRule="auto"/>
              <w:jc w:val="right"/>
              <w:rPr>
                <w:rFonts w:ascii="Arial" w:hAnsi="Arial" w:cs="Arial"/>
                <w:i/>
                <w:iCs/>
                <w:color w:val="000000"/>
                <w:sz w:val="16"/>
                <w:szCs w:val="16"/>
              </w:rPr>
            </w:pPr>
            <w:r>
              <w:rPr>
                <w:rFonts w:ascii="Arial" w:hAnsi="Arial" w:cs="Arial"/>
                <w:i/>
                <w:iCs/>
                <w:color w:val="000000"/>
                <w:sz w:val="16"/>
                <w:szCs w:val="16"/>
              </w:rPr>
              <w:t>Loans/</w:t>
            </w:r>
            <w:proofErr w:type="spellStart"/>
            <w:r>
              <w:rPr>
                <w:rFonts w:ascii="Arial" w:hAnsi="Arial" w:cs="Arial"/>
                <w:i/>
                <w:iCs/>
                <w:color w:val="000000"/>
                <w:sz w:val="16"/>
                <w:szCs w:val="16"/>
              </w:rPr>
              <w:t>Bwr</w:t>
            </w:r>
            <w:proofErr w:type="spellEnd"/>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Staff</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716</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63</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11.4</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1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2.0</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10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126</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50</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2.5</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11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58</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24</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2.4</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12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116</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30</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3.9</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13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103</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26</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4.0</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2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9</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5</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1.8</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3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121</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24</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5.0</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4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279</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30</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9.3</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5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197</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29</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6.8</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6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250</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43</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5.8</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7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641</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100</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6.4</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8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489</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83</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5.9</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Year 9 Students</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229</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67</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3.4</w:t>
            </w: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r>
              <w:rPr>
                <w:rFonts w:ascii="Arial" w:hAnsi="Arial" w:cs="Arial"/>
                <w:color w:val="000000"/>
                <w:sz w:val="16"/>
                <w:szCs w:val="16"/>
              </w:rPr>
              <w:t>Total:</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3,336</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575</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p>
        </w:tc>
      </w:tr>
      <w:tr w:rsidR="00641711" w:rsidTr="00641711">
        <w:trPr>
          <w:gridAfter w:val="2"/>
          <w:wAfter w:w="5610" w:type="dxa"/>
        </w:trPr>
        <w:tc>
          <w:tcPr>
            <w:tcW w:w="2812"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rPr>
                <w:rFonts w:ascii="Arial" w:hAnsi="Arial" w:cs="Arial"/>
                <w:color w:val="000000"/>
                <w:sz w:val="16"/>
                <w:szCs w:val="16"/>
              </w:rPr>
            </w:pP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w:t>
            </w:r>
          </w:p>
        </w:tc>
        <w:tc>
          <w:tcPr>
            <w:tcW w:w="749"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r>
              <w:rPr>
                <w:rFonts w:ascii="Arial" w:hAnsi="Arial" w:cs="Arial"/>
                <w:color w:val="000000"/>
                <w:sz w:val="16"/>
                <w:szCs w:val="16"/>
              </w:rPr>
              <w:t>======</w:t>
            </w:r>
          </w:p>
        </w:tc>
        <w:tc>
          <w:tcPr>
            <w:tcW w:w="850" w:type="dxa"/>
            <w:tcBorders>
              <w:top w:val="nil"/>
              <w:left w:val="nil"/>
              <w:bottom w:val="single" w:sz="2" w:space="0" w:color="auto"/>
              <w:right w:val="nil"/>
            </w:tcBorders>
          </w:tcPr>
          <w:p w:rsidR="00641711" w:rsidRDefault="00641711" w:rsidP="0006523A">
            <w:pPr>
              <w:widowControl w:val="0"/>
              <w:autoSpaceDE w:val="0"/>
              <w:autoSpaceDN w:val="0"/>
              <w:adjustRightInd w:val="0"/>
              <w:spacing w:before="17" w:after="17" w:line="240" w:lineRule="auto"/>
              <w:ind w:left="17" w:right="6"/>
              <w:jc w:val="right"/>
              <w:rPr>
                <w:rFonts w:ascii="Arial" w:hAnsi="Arial" w:cs="Arial"/>
                <w:color w:val="000000"/>
                <w:sz w:val="16"/>
                <w:szCs w:val="16"/>
              </w:rPr>
            </w:pPr>
          </w:p>
        </w:tc>
      </w:tr>
    </w:tbl>
    <w:p w:rsidR="00641711" w:rsidRPr="00641711" w:rsidRDefault="00641711" w:rsidP="00641711"/>
    <w:p w:rsidR="00BF5FD2" w:rsidRDefault="00BF5FD2" w:rsidP="00BF5FD2">
      <w:pPr>
        <w:pStyle w:val="Heading1"/>
      </w:pPr>
      <w:bookmarkStart w:id="20" w:name="_Toc511549776"/>
      <w:r>
        <w:t>References</w:t>
      </w:r>
      <w:bookmarkEnd w:id="20"/>
    </w:p>
    <w:p w:rsidR="00C02A8F" w:rsidRDefault="00C02A8F" w:rsidP="00773ADC">
      <w:pPr>
        <w:rPr>
          <w:rFonts w:cs="Arial"/>
          <w:color w:val="222222"/>
          <w:shd w:val="clear" w:color="auto" w:fill="FFFFFF"/>
        </w:rPr>
      </w:pPr>
      <w:r w:rsidRPr="00C02A8F">
        <w:rPr>
          <w:rFonts w:cs="Arial"/>
          <w:color w:val="222222"/>
          <w:shd w:val="clear" w:color="auto" w:fill="FFFFFF"/>
        </w:rPr>
        <w:t>Bain,</w:t>
      </w:r>
      <w:r>
        <w:rPr>
          <w:rFonts w:cs="Arial"/>
          <w:color w:val="222222"/>
          <w:shd w:val="clear" w:color="auto" w:fill="FFFFFF"/>
        </w:rPr>
        <w:t xml:space="preserve"> K., 2004.</w:t>
      </w:r>
      <w:r w:rsidRPr="00C02A8F">
        <w:rPr>
          <w:rFonts w:cs="Arial"/>
          <w:color w:val="222222"/>
          <w:shd w:val="clear" w:color="auto" w:fill="FFFFFF"/>
        </w:rPr>
        <w:t> </w:t>
      </w:r>
      <w:r w:rsidRPr="00C02A8F">
        <w:rPr>
          <w:rStyle w:val="Emphasis"/>
          <w:rFonts w:cs="Arial"/>
          <w:color w:val="222222"/>
          <w:shd w:val="clear" w:color="auto" w:fill="FFFFFF"/>
        </w:rPr>
        <w:t>What the Best College Teachers Do</w:t>
      </w:r>
      <w:r w:rsidRPr="00C02A8F">
        <w:rPr>
          <w:rFonts w:cs="Arial"/>
          <w:color w:val="222222"/>
          <w:shd w:val="clear" w:color="auto" w:fill="FFFFFF"/>
        </w:rPr>
        <w:t>, Harvard University Press</w:t>
      </w:r>
    </w:p>
    <w:p w:rsidR="00E44AFB" w:rsidRPr="00E44AFB" w:rsidRDefault="00E44AFB" w:rsidP="00773ADC">
      <w:pPr>
        <w:rPr>
          <w:rFonts w:cs="Arial"/>
          <w:sz w:val="28"/>
          <w:szCs w:val="20"/>
          <w:shd w:val="clear" w:color="auto" w:fill="FFFFFF"/>
        </w:rPr>
      </w:pPr>
      <w:r>
        <w:rPr>
          <w:color w:val="000000"/>
          <w:szCs w:val="19"/>
          <w:shd w:val="clear" w:color="auto" w:fill="FFFFFF"/>
        </w:rPr>
        <w:t xml:space="preserve">Baker, L., &amp; </w:t>
      </w:r>
      <w:proofErr w:type="spellStart"/>
      <w:r>
        <w:rPr>
          <w:color w:val="000000"/>
          <w:szCs w:val="19"/>
          <w:shd w:val="clear" w:color="auto" w:fill="FFFFFF"/>
        </w:rPr>
        <w:t>Wigfield</w:t>
      </w:r>
      <w:proofErr w:type="spellEnd"/>
      <w:r>
        <w:rPr>
          <w:color w:val="000000"/>
          <w:szCs w:val="19"/>
          <w:shd w:val="clear" w:color="auto" w:fill="FFFFFF"/>
        </w:rPr>
        <w:t xml:space="preserve">, A., </w:t>
      </w:r>
      <w:r w:rsidRPr="00E44AFB">
        <w:rPr>
          <w:color w:val="000000"/>
          <w:szCs w:val="19"/>
          <w:shd w:val="clear" w:color="auto" w:fill="FFFFFF"/>
        </w:rPr>
        <w:t>1999. </w:t>
      </w:r>
      <w:proofErr w:type="gramStart"/>
      <w:r w:rsidRPr="00406155">
        <w:rPr>
          <w:iCs/>
          <w:color w:val="000000"/>
          <w:szCs w:val="19"/>
          <w:shd w:val="clear" w:color="auto" w:fill="FFFFFF"/>
        </w:rPr>
        <w:t>Dimensions of children's motivation for reading and their relations to reading activity and reading achievement.</w:t>
      </w:r>
      <w:proofErr w:type="gramEnd"/>
      <w:r w:rsidRPr="00E44AFB">
        <w:rPr>
          <w:color w:val="000000"/>
          <w:szCs w:val="19"/>
          <w:shd w:val="clear" w:color="auto" w:fill="FFFFFF"/>
        </w:rPr>
        <w:t> </w:t>
      </w:r>
      <w:proofErr w:type="gramStart"/>
      <w:r w:rsidRPr="00406155">
        <w:rPr>
          <w:i/>
          <w:color w:val="000000"/>
          <w:szCs w:val="19"/>
          <w:shd w:val="clear" w:color="auto" w:fill="FFFFFF"/>
        </w:rPr>
        <w:t>Reading Research Quarterly</w:t>
      </w:r>
      <w:r w:rsidRPr="00E44AFB">
        <w:rPr>
          <w:color w:val="000000"/>
          <w:szCs w:val="19"/>
          <w:shd w:val="clear" w:color="auto" w:fill="FFFFFF"/>
        </w:rPr>
        <w:t>, 34, 452-477.</w:t>
      </w:r>
      <w:proofErr w:type="gramEnd"/>
    </w:p>
    <w:p w:rsidR="00DF2936" w:rsidRDefault="00DF2936" w:rsidP="00773ADC">
      <w:pPr>
        <w:rPr>
          <w:rFonts w:cs="Arial"/>
          <w:szCs w:val="20"/>
          <w:shd w:val="clear" w:color="auto" w:fill="FFFFFF"/>
        </w:rPr>
      </w:pPr>
      <w:proofErr w:type="spellStart"/>
      <w:proofErr w:type="gramStart"/>
      <w:r>
        <w:rPr>
          <w:rFonts w:cs="Arial"/>
          <w:szCs w:val="20"/>
          <w:shd w:val="clear" w:color="auto" w:fill="FFFFFF"/>
        </w:rPr>
        <w:t>Baumfield</w:t>
      </w:r>
      <w:proofErr w:type="spellEnd"/>
      <w:r>
        <w:rPr>
          <w:rFonts w:cs="Arial"/>
          <w:szCs w:val="20"/>
          <w:shd w:val="clear" w:color="auto" w:fill="FFFFFF"/>
        </w:rPr>
        <w:t>, V., Hall, E., Wall, K., 2013.</w:t>
      </w:r>
      <w:proofErr w:type="gramEnd"/>
      <w:r>
        <w:rPr>
          <w:rFonts w:cs="Arial"/>
          <w:szCs w:val="20"/>
          <w:shd w:val="clear" w:color="auto" w:fill="FFFFFF"/>
        </w:rPr>
        <w:t xml:space="preserve"> </w:t>
      </w:r>
      <w:r>
        <w:rPr>
          <w:rFonts w:cs="Arial"/>
          <w:i/>
          <w:szCs w:val="20"/>
          <w:shd w:val="clear" w:color="auto" w:fill="FFFFFF"/>
        </w:rPr>
        <w:t xml:space="preserve">Action Research in Education: Learning through practitioner enquiry. </w:t>
      </w:r>
      <w:r>
        <w:rPr>
          <w:rFonts w:cs="Arial"/>
          <w:szCs w:val="20"/>
          <w:shd w:val="clear" w:color="auto" w:fill="FFFFFF"/>
        </w:rPr>
        <w:t>London: Sage.</w:t>
      </w:r>
    </w:p>
    <w:p w:rsidR="00B42A44" w:rsidRPr="00DF2936" w:rsidRDefault="00B42A44" w:rsidP="00773ADC">
      <w:pPr>
        <w:rPr>
          <w:rFonts w:cs="Arial"/>
          <w:szCs w:val="20"/>
          <w:shd w:val="clear" w:color="auto" w:fill="FFFFFF"/>
        </w:rPr>
      </w:pPr>
      <w:proofErr w:type="gramStart"/>
      <w:r>
        <w:rPr>
          <w:rFonts w:cs="Arial"/>
          <w:szCs w:val="20"/>
          <w:shd w:val="clear" w:color="auto" w:fill="FFFFFF"/>
        </w:rPr>
        <w:t xml:space="preserve">Becker, M., </w:t>
      </w:r>
      <w:proofErr w:type="spellStart"/>
      <w:r>
        <w:rPr>
          <w:rFonts w:cs="Arial"/>
          <w:szCs w:val="20"/>
          <w:shd w:val="clear" w:color="auto" w:fill="FFFFFF"/>
        </w:rPr>
        <w:t>McElvany</w:t>
      </w:r>
      <w:proofErr w:type="spellEnd"/>
      <w:r>
        <w:rPr>
          <w:rFonts w:cs="Arial"/>
          <w:szCs w:val="20"/>
          <w:shd w:val="clear" w:color="auto" w:fill="FFFFFF"/>
        </w:rPr>
        <w:t xml:space="preserve">, N., </w:t>
      </w:r>
      <w:proofErr w:type="spellStart"/>
      <w:r>
        <w:rPr>
          <w:rFonts w:cs="Arial"/>
          <w:szCs w:val="20"/>
          <w:shd w:val="clear" w:color="auto" w:fill="FFFFFF"/>
        </w:rPr>
        <w:t>Kortenbruck</w:t>
      </w:r>
      <w:proofErr w:type="spellEnd"/>
      <w:r>
        <w:rPr>
          <w:rFonts w:cs="Arial"/>
          <w:szCs w:val="20"/>
          <w:shd w:val="clear" w:color="auto" w:fill="FFFFFF"/>
        </w:rPr>
        <w:t>, M., 2010.</w:t>
      </w:r>
      <w:proofErr w:type="gramEnd"/>
      <w:r>
        <w:rPr>
          <w:rFonts w:cs="Arial"/>
          <w:szCs w:val="20"/>
          <w:shd w:val="clear" w:color="auto" w:fill="FFFFFF"/>
        </w:rPr>
        <w:t xml:space="preserve"> </w:t>
      </w:r>
      <w:r w:rsidRPr="00B42A44">
        <w:rPr>
          <w:rFonts w:eastAsia="Times New Roman" w:cs="Arial"/>
          <w:bCs/>
          <w:color w:val="333333"/>
          <w:szCs w:val="31"/>
          <w:lang w:eastAsia="en-GB"/>
        </w:rPr>
        <w:t>Intrinsic and Extrinsic Reading Motivation as Predictors of Reading Literacy: A Longitudinal Study.</w:t>
      </w:r>
      <w:r>
        <w:rPr>
          <w:rFonts w:ascii="Arial" w:eastAsia="Times New Roman" w:hAnsi="Arial" w:cs="Arial"/>
          <w:b/>
          <w:bCs/>
          <w:color w:val="333333"/>
          <w:sz w:val="31"/>
          <w:szCs w:val="31"/>
          <w:lang w:eastAsia="en-GB"/>
        </w:rPr>
        <w:t xml:space="preserve"> </w:t>
      </w:r>
      <w:r w:rsidRPr="00B42A44">
        <w:rPr>
          <w:rFonts w:eastAsia="Times New Roman" w:cs="Arial"/>
          <w:i/>
          <w:iCs/>
          <w:color w:val="222222"/>
          <w:bdr w:val="none" w:sz="0" w:space="0" w:color="auto" w:frame="1"/>
          <w:lang w:eastAsia="en-GB"/>
        </w:rPr>
        <w:t>Journal of Educational Psychology</w:t>
      </w:r>
      <w:r w:rsidRPr="00B42A44">
        <w:rPr>
          <w:rFonts w:eastAsia="Times New Roman" w:cs="Arial"/>
          <w:color w:val="222222"/>
          <w:lang w:eastAsia="en-GB"/>
        </w:rPr>
        <w:t>, 102</w:t>
      </w:r>
      <w:r>
        <w:rPr>
          <w:rFonts w:eastAsia="Times New Roman" w:cs="Arial"/>
          <w:color w:val="222222"/>
          <w:lang w:eastAsia="en-GB"/>
        </w:rPr>
        <w:t>:</w:t>
      </w:r>
      <w:r w:rsidRPr="00B42A44">
        <w:rPr>
          <w:rFonts w:eastAsia="Times New Roman" w:cs="Arial"/>
          <w:color w:val="222222"/>
          <w:lang w:eastAsia="en-GB"/>
        </w:rPr>
        <w:t>4</w:t>
      </w:r>
      <w:r>
        <w:rPr>
          <w:rFonts w:eastAsia="Times New Roman" w:cs="Arial"/>
          <w:color w:val="222222"/>
          <w:lang w:eastAsia="en-GB"/>
        </w:rPr>
        <w:t xml:space="preserve">, </w:t>
      </w:r>
      <w:r w:rsidRPr="00B42A44">
        <w:rPr>
          <w:rFonts w:eastAsia="Times New Roman" w:cs="Arial"/>
          <w:color w:val="222222"/>
          <w:lang w:eastAsia="en-GB"/>
        </w:rPr>
        <w:t xml:space="preserve">773-785 </w:t>
      </w:r>
    </w:p>
    <w:p w:rsidR="008D4ED9" w:rsidRPr="008D4ED9" w:rsidRDefault="008D4ED9" w:rsidP="00773ADC">
      <w:pPr>
        <w:rPr>
          <w:rFonts w:cs="Arial"/>
          <w:szCs w:val="20"/>
          <w:shd w:val="clear" w:color="auto" w:fill="FFFFFF"/>
        </w:rPr>
      </w:pPr>
      <w:r>
        <w:rPr>
          <w:rFonts w:cs="Arial"/>
          <w:szCs w:val="20"/>
          <w:shd w:val="clear" w:color="auto" w:fill="FFFFFF"/>
        </w:rPr>
        <w:t xml:space="preserve">Boyd, P., Split, A., 2017. </w:t>
      </w:r>
      <w:r>
        <w:rPr>
          <w:rFonts w:cs="Arial"/>
          <w:i/>
          <w:szCs w:val="20"/>
          <w:shd w:val="clear" w:color="auto" w:fill="FFFFFF"/>
        </w:rPr>
        <w:t>Teachers and Teacher Educators Learning Through Inquiry: International Perspectives.</w:t>
      </w:r>
      <w:r>
        <w:rPr>
          <w:rFonts w:cs="Arial"/>
          <w:szCs w:val="20"/>
          <w:shd w:val="clear" w:color="auto" w:fill="FFFFFF"/>
        </w:rPr>
        <w:t xml:space="preserve"> Kielce-Krakow; </w:t>
      </w:r>
      <w:proofErr w:type="spellStart"/>
      <w:r>
        <w:rPr>
          <w:rFonts w:cs="Arial"/>
          <w:szCs w:val="20"/>
          <w:shd w:val="clear" w:color="auto" w:fill="FFFFFF"/>
        </w:rPr>
        <w:t>Wydawnictwo</w:t>
      </w:r>
      <w:proofErr w:type="spellEnd"/>
      <w:r>
        <w:rPr>
          <w:rFonts w:cs="Arial"/>
          <w:szCs w:val="20"/>
          <w:shd w:val="clear" w:color="auto" w:fill="FFFFFF"/>
        </w:rPr>
        <w:t xml:space="preserve"> </w:t>
      </w:r>
      <w:proofErr w:type="spellStart"/>
      <w:r>
        <w:rPr>
          <w:rFonts w:cs="Arial"/>
          <w:szCs w:val="20"/>
          <w:shd w:val="clear" w:color="auto" w:fill="FFFFFF"/>
        </w:rPr>
        <w:t>Attyka</w:t>
      </w:r>
      <w:proofErr w:type="spellEnd"/>
    </w:p>
    <w:p w:rsidR="00773ADC" w:rsidRDefault="00773ADC" w:rsidP="00773ADC">
      <w:pPr>
        <w:rPr>
          <w:rFonts w:cs="Arial"/>
          <w:i/>
          <w:szCs w:val="20"/>
          <w:shd w:val="clear" w:color="auto" w:fill="FFFFFF"/>
        </w:rPr>
      </w:pPr>
      <w:proofErr w:type="gramStart"/>
      <w:r w:rsidRPr="005466B1">
        <w:rPr>
          <w:rFonts w:cs="Arial"/>
          <w:szCs w:val="20"/>
          <w:shd w:val="clear" w:color="auto" w:fill="FFFFFF"/>
        </w:rPr>
        <w:t>British Educa</w:t>
      </w:r>
      <w:r>
        <w:rPr>
          <w:rFonts w:cs="Arial"/>
          <w:szCs w:val="20"/>
          <w:shd w:val="clear" w:color="auto" w:fill="FFFFFF"/>
        </w:rPr>
        <w:t>tional Research Association, 2011.</w:t>
      </w:r>
      <w:proofErr w:type="gramEnd"/>
      <w:r w:rsidRPr="005466B1">
        <w:rPr>
          <w:rFonts w:cs="Arial"/>
          <w:szCs w:val="20"/>
          <w:shd w:val="clear" w:color="auto" w:fill="FFFFFF"/>
        </w:rPr>
        <w:t xml:space="preserve"> </w:t>
      </w:r>
      <w:r w:rsidRPr="005466B1">
        <w:rPr>
          <w:rFonts w:cs="Arial"/>
          <w:i/>
          <w:szCs w:val="20"/>
          <w:shd w:val="clear" w:color="auto" w:fill="FFFFFF"/>
        </w:rPr>
        <w:t>Ethical Guidelines for Educational Research</w:t>
      </w:r>
    </w:p>
    <w:p w:rsidR="002B55A7" w:rsidRPr="002B55A7" w:rsidRDefault="002B55A7" w:rsidP="00773ADC">
      <w:pPr>
        <w:rPr>
          <w:rFonts w:cs="Arial"/>
          <w:szCs w:val="20"/>
          <w:shd w:val="clear" w:color="auto" w:fill="FFFFFF"/>
        </w:rPr>
      </w:pPr>
      <w:r>
        <w:rPr>
          <w:rFonts w:cs="Arial"/>
          <w:szCs w:val="20"/>
          <w:shd w:val="clear" w:color="auto" w:fill="FFFFFF"/>
        </w:rPr>
        <w:t xml:space="preserve">Bryman, A., 2012. </w:t>
      </w:r>
      <w:proofErr w:type="gramStart"/>
      <w:r>
        <w:rPr>
          <w:rFonts w:cs="Arial"/>
          <w:i/>
          <w:szCs w:val="20"/>
          <w:shd w:val="clear" w:color="auto" w:fill="FFFFFF"/>
        </w:rPr>
        <w:t>Social Research Methods, 4</w:t>
      </w:r>
      <w:r w:rsidRPr="002B55A7">
        <w:rPr>
          <w:rFonts w:cs="Arial"/>
          <w:i/>
          <w:szCs w:val="20"/>
          <w:shd w:val="clear" w:color="auto" w:fill="FFFFFF"/>
          <w:vertAlign w:val="superscript"/>
        </w:rPr>
        <w:t>th</w:t>
      </w:r>
      <w:r>
        <w:rPr>
          <w:rFonts w:cs="Arial"/>
          <w:i/>
          <w:szCs w:val="20"/>
          <w:shd w:val="clear" w:color="auto" w:fill="FFFFFF"/>
        </w:rPr>
        <w:t xml:space="preserve"> Edition</w:t>
      </w:r>
      <w:r>
        <w:rPr>
          <w:rFonts w:cs="Arial"/>
          <w:szCs w:val="20"/>
          <w:shd w:val="clear" w:color="auto" w:fill="FFFFFF"/>
        </w:rPr>
        <w:t>.</w:t>
      </w:r>
      <w:proofErr w:type="gramEnd"/>
      <w:r>
        <w:rPr>
          <w:rFonts w:cs="Arial"/>
          <w:szCs w:val="20"/>
          <w:shd w:val="clear" w:color="auto" w:fill="FFFFFF"/>
        </w:rPr>
        <w:t xml:space="preserve"> Oxford: Oxford University Press</w:t>
      </w:r>
    </w:p>
    <w:p w:rsidR="00A55237" w:rsidRPr="00406155" w:rsidRDefault="00A55237" w:rsidP="00A55237">
      <w:pPr>
        <w:pStyle w:val="Heading1"/>
        <w:shd w:val="clear" w:color="auto" w:fill="FCFCFC"/>
        <w:spacing w:before="0" w:after="120"/>
        <w:rPr>
          <w:rFonts w:asciiTheme="minorHAnsi" w:hAnsiTheme="minorHAnsi" w:cstheme="minorHAnsi"/>
          <w:b w:val="0"/>
          <w:color w:val="auto"/>
          <w:spacing w:val="4"/>
          <w:sz w:val="22"/>
          <w:szCs w:val="22"/>
          <w:u w:val="single"/>
          <w:shd w:val="clear" w:color="auto" w:fill="FCFCFC"/>
        </w:rPr>
      </w:pPr>
      <w:bookmarkStart w:id="21" w:name="_Toc510877850"/>
      <w:bookmarkStart w:id="22" w:name="_Toc511389195"/>
      <w:bookmarkStart w:id="23" w:name="_Toc511478402"/>
      <w:bookmarkStart w:id="24" w:name="_Toc511549777"/>
      <w:proofErr w:type="spellStart"/>
      <w:r w:rsidRPr="00A55237">
        <w:rPr>
          <w:rFonts w:asciiTheme="minorHAnsi" w:hAnsiTheme="minorHAnsi" w:cstheme="minorHAnsi"/>
          <w:b w:val="0"/>
          <w:color w:val="auto"/>
          <w:spacing w:val="4"/>
          <w:sz w:val="22"/>
          <w:szCs w:val="22"/>
          <w:shd w:val="clear" w:color="auto" w:fill="FCFCFC"/>
        </w:rPr>
        <w:t>Caleon</w:t>
      </w:r>
      <w:proofErr w:type="spellEnd"/>
      <w:r w:rsidRPr="00A55237">
        <w:rPr>
          <w:rFonts w:asciiTheme="minorHAnsi" w:hAnsiTheme="minorHAnsi" w:cstheme="minorHAnsi"/>
          <w:b w:val="0"/>
          <w:color w:val="auto"/>
          <w:spacing w:val="4"/>
          <w:sz w:val="22"/>
          <w:szCs w:val="22"/>
          <w:shd w:val="clear" w:color="auto" w:fill="FCFCFC"/>
        </w:rPr>
        <w:t xml:space="preserve">, I.S., </w:t>
      </w:r>
      <w:proofErr w:type="spellStart"/>
      <w:r w:rsidRPr="00A55237">
        <w:rPr>
          <w:rFonts w:asciiTheme="minorHAnsi" w:hAnsiTheme="minorHAnsi" w:cstheme="minorHAnsi"/>
          <w:b w:val="0"/>
          <w:color w:val="auto"/>
          <w:spacing w:val="4"/>
          <w:sz w:val="22"/>
          <w:szCs w:val="22"/>
          <w:shd w:val="clear" w:color="auto" w:fill="FCFCFC"/>
        </w:rPr>
        <w:t>Wui</w:t>
      </w:r>
      <w:proofErr w:type="spellEnd"/>
      <w:r w:rsidRPr="00A55237">
        <w:rPr>
          <w:rFonts w:asciiTheme="minorHAnsi" w:hAnsiTheme="minorHAnsi" w:cstheme="minorHAnsi"/>
          <w:b w:val="0"/>
          <w:color w:val="auto"/>
          <w:spacing w:val="4"/>
          <w:sz w:val="22"/>
          <w:szCs w:val="22"/>
          <w:shd w:val="clear" w:color="auto" w:fill="FCFCFC"/>
        </w:rPr>
        <w:t xml:space="preserve">, M.G.L., Tan, J.PL. </w:t>
      </w:r>
      <w:proofErr w:type="gramStart"/>
      <w:r w:rsidRPr="00A55237">
        <w:rPr>
          <w:rFonts w:asciiTheme="minorHAnsi" w:hAnsiTheme="minorHAnsi" w:cstheme="minorHAnsi"/>
          <w:b w:val="0"/>
          <w:color w:val="auto"/>
          <w:spacing w:val="4"/>
          <w:sz w:val="22"/>
          <w:szCs w:val="22"/>
          <w:shd w:val="clear" w:color="auto" w:fill="FCFCFC"/>
        </w:rPr>
        <w:t>et</w:t>
      </w:r>
      <w:proofErr w:type="gramEnd"/>
      <w:r w:rsidRPr="00A55237">
        <w:rPr>
          <w:rFonts w:asciiTheme="minorHAnsi" w:hAnsiTheme="minorHAnsi" w:cstheme="minorHAnsi"/>
          <w:b w:val="0"/>
          <w:color w:val="auto"/>
          <w:spacing w:val="4"/>
          <w:sz w:val="22"/>
          <w:szCs w:val="22"/>
          <w:shd w:val="clear" w:color="auto" w:fill="FCFCFC"/>
        </w:rPr>
        <w:t xml:space="preserve"> al., 2015. </w:t>
      </w:r>
      <w:r w:rsidRPr="00A55237">
        <w:rPr>
          <w:rFonts w:asciiTheme="minorHAnsi" w:hAnsiTheme="minorHAnsi" w:cstheme="minorHAnsi"/>
          <w:b w:val="0"/>
          <w:bCs w:val="0"/>
          <w:color w:val="auto"/>
          <w:spacing w:val="2"/>
          <w:sz w:val="22"/>
          <w:szCs w:val="22"/>
          <w:lang w:val="en"/>
        </w:rPr>
        <w:t>Cross-Cultural Validation of the Academic Motivation Scale: A Singapore Investigation</w:t>
      </w:r>
      <w:r>
        <w:rPr>
          <w:rFonts w:asciiTheme="minorHAnsi" w:hAnsiTheme="minorHAnsi" w:cstheme="minorHAnsi"/>
          <w:b w:val="0"/>
          <w:bCs w:val="0"/>
          <w:color w:val="auto"/>
          <w:spacing w:val="2"/>
          <w:sz w:val="22"/>
          <w:szCs w:val="22"/>
          <w:lang w:val="en"/>
        </w:rPr>
        <w:t xml:space="preserve"> </w:t>
      </w:r>
      <w:r w:rsidRPr="00A55237">
        <w:rPr>
          <w:rFonts w:asciiTheme="minorHAnsi" w:hAnsiTheme="minorHAnsi" w:cstheme="minorHAnsi"/>
          <w:b w:val="0"/>
          <w:i/>
          <w:color w:val="auto"/>
          <w:spacing w:val="4"/>
          <w:sz w:val="22"/>
          <w:szCs w:val="22"/>
          <w:shd w:val="clear" w:color="auto" w:fill="FCFCFC"/>
        </w:rPr>
        <w:t>Child Indicators Research</w:t>
      </w:r>
      <w:r w:rsidRPr="00A55237">
        <w:rPr>
          <w:rFonts w:asciiTheme="minorHAnsi" w:hAnsiTheme="minorHAnsi" w:cstheme="minorHAnsi"/>
          <w:b w:val="0"/>
          <w:color w:val="auto"/>
          <w:spacing w:val="4"/>
          <w:sz w:val="22"/>
          <w:szCs w:val="22"/>
          <w:shd w:val="clear" w:color="auto" w:fill="FCFCFC"/>
        </w:rPr>
        <w:t xml:space="preserve">, 8: 925. Available at: </w:t>
      </w:r>
      <w:hyperlink r:id="rId10" w:history="1">
        <w:r w:rsidRPr="00A55237">
          <w:rPr>
            <w:rStyle w:val="Hyperlink"/>
            <w:rFonts w:asciiTheme="minorHAnsi" w:hAnsiTheme="minorHAnsi" w:cstheme="minorHAnsi"/>
            <w:b w:val="0"/>
            <w:color w:val="auto"/>
            <w:spacing w:val="4"/>
            <w:sz w:val="22"/>
            <w:szCs w:val="22"/>
            <w:shd w:val="clear" w:color="auto" w:fill="FCFCFC"/>
          </w:rPr>
          <w:t>https://doi.org/10.1007/s12187-014-9298-7</w:t>
        </w:r>
      </w:hyperlink>
      <w:r w:rsidRPr="00A55237">
        <w:rPr>
          <w:rFonts w:asciiTheme="minorHAnsi" w:hAnsiTheme="minorHAnsi" w:cstheme="minorHAnsi"/>
          <w:b w:val="0"/>
          <w:color w:val="auto"/>
          <w:spacing w:val="4"/>
          <w:sz w:val="22"/>
          <w:szCs w:val="22"/>
          <w:shd w:val="clear" w:color="auto" w:fill="FCFCFC"/>
        </w:rPr>
        <w:t xml:space="preserve"> Accessed 06/04/2018</w:t>
      </w:r>
      <w:bookmarkEnd w:id="21"/>
      <w:bookmarkEnd w:id="22"/>
      <w:bookmarkEnd w:id="23"/>
      <w:bookmarkEnd w:id="24"/>
    </w:p>
    <w:p w:rsidR="0029099B" w:rsidRPr="0029099B" w:rsidRDefault="0029099B" w:rsidP="00773ADC">
      <w:pPr>
        <w:rPr>
          <w:rFonts w:cs="Arial"/>
          <w:szCs w:val="20"/>
          <w:shd w:val="clear" w:color="auto" w:fill="FFFFFF"/>
        </w:rPr>
      </w:pPr>
      <w:proofErr w:type="spellStart"/>
      <w:r>
        <w:rPr>
          <w:rFonts w:cs="Arial"/>
          <w:szCs w:val="20"/>
          <w:shd w:val="clear" w:color="auto" w:fill="FFFFFF"/>
        </w:rPr>
        <w:t>Cambourne</w:t>
      </w:r>
      <w:proofErr w:type="spellEnd"/>
      <w:r>
        <w:rPr>
          <w:rFonts w:cs="Arial"/>
          <w:szCs w:val="20"/>
          <w:shd w:val="clear" w:color="auto" w:fill="FFFFFF"/>
        </w:rPr>
        <w:t xml:space="preserve">, B., 1988. </w:t>
      </w:r>
      <w:r>
        <w:rPr>
          <w:rFonts w:cs="Arial"/>
          <w:i/>
          <w:szCs w:val="20"/>
          <w:shd w:val="clear" w:color="auto" w:fill="FFFFFF"/>
        </w:rPr>
        <w:t>The whole story: Natural learning and the acquisition of literacy in the classroom.</w:t>
      </w:r>
      <w:r>
        <w:rPr>
          <w:rFonts w:cs="Arial"/>
          <w:szCs w:val="20"/>
          <w:shd w:val="clear" w:color="auto" w:fill="FFFFFF"/>
        </w:rPr>
        <w:t xml:space="preserve"> Auckland, New Zealand: Ashton Scholastic</w:t>
      </w:r>
    </w:p>
    <w:p w:rsidR="00256515" w:rsidRDefault="00256515" w:rsidP="00256515">
      <w:pPr>
        <w:pStyle w:val="Bibliography"/>
        <w:rPr>
          <w:noProof/>
        </w:rPr>
      </w:pPr>
      <w:r>
        <w:rPr>
          <w:noProof/>
        </w:rPr>
        <w:t xml:space="preserve">Cohen, L. M. K., 2007. </w:t>
      </w:r>
      <w:r>
        <w:rPr>
          <w:i/>
          <w:iCs/>
          <w:noProof/>
        </w:rPr>
        <w:t xml:space="preserve">Research Methods in Education. </w:t>
      </w:r>
      <w:r>
        <w:rPr>
          <w:noProof/>
        </w:rPr>
        <w:t>6th ed. Oxford: Routledge.</w:t>
      </w:r>
    </w:p>
    <w:p w:rsidR="008E6BB3" w:rsidRPr="008E6BB3" w:rsidRDefault="008E6BB3" w:rsidP="008E6BB3">
      <w:proofErr w:type="spellStart"/>
      <w:r>
        <w:lastRenderedPageBreak/>
        <w:t>Coolican</w:t>
      </w:r>
      <w:proofErr w:type="spellEnd"/>
      <w:r>
        <w:t xml:space="preserve">, H., 2009. </w:t>
      </w:r>
      <w:proofErr w:type="gramStart"/>
      <w:r>
        <w:rPr>
          <w:i/>
        </w:rPr>
        <w:t>Research Methods and Statistics in Psychology</w:t>
      </w:r>
      <w:r>
        <w:t>.</w:t>
      </w:r>
      <w:proofErr w:type="gramEnd"/>
      <w:r>
        <w:t xml:space="preserve"> 5</w:t>
      </w:r>
      <w:r w:rsidRPr="008E6BB3">
        <w:rPr>
          <w:vertAlign w:val="superscript"/>
        </w:rPr>
        <w:t>th</w:t>
      </w:r>
      <w:r>
        <w:t xml:space="preserve"> ed. London: Hodder Education</w:t>
      </w:r>
    </w:p>
    <w:p w:rsidR="009162B8" w:rsidRPr="008E6BB3" w:rsidRDefault="009162B8" w:rsidP="009162B8">
      <w:pPr>
        <w:shd w:val="clear" w:color="auto" w:fill="FFFFFF"/>
        <w:spacing w:before="100" w:beforeAutospacing="1" w:after="100" w:afterAutospacing="1" w:line="240" w:lineRule="auto"/>
        <w:rPr>
          <w:rFonts w:eastAsia="Times New Roman" w:cs="Arial"/>
          <w:szCs w:val="24"/>
          <w:lang w:eastAsia="en-GB"/>
        </w:rPr>
      </w:pPr>
      <w:r w:rsidRPr="008E6BB3">
        <w:rPr>
          <w:rFonts w:eastAsia="Times New Roman" w:cs="Arial"/>
          <w:szCs w:val="24"/>
          <w:lang w:eastAsia="en-GB"/>
        </w:rPr>
        <w:t xml:space="preserve">DeLong, M., </w:t>
      </w:r>
      <w:proofErr w:type="gramStart"/>
      <w:r w:rsidRPr="008E6BB3">
        <w:rPr>
          <w:rFonts w:eastAsia="Times New Roman" w:cs="Arial"/>
          <w:szCs w:val="24"/>
          <w:lang w:eastAsia="en-GB"/>
        </w:rPr>
        <w:t>Winter</w:t>
      </w:r>
      <w:proofErr w:type="gramEnd"/>
      <w:r w:rsidRPr="008E6BB3">
        <w:rPr>
          <w:rFonts w:eastAsia="Times New Roman" w:cs="Arial"/>
          <w:szCs w:val="24"/>
          <w:lang w:eastAsia="en-GB"/>
        </w:rPr>
        <w:t>, D., 2002. </w:t>
      </w:r>
      <w:r w:rsidRPr="008E6BB3">
        <w:rPr>
          <w:rFonts w:eastAsia="Times New Roman" w:cs="Arial"/>
          <w:i/>
          <w:iCs/>
          <w:szCs w:val="24"/>
          <w:lang w:eastAsia="en-GB"/>
        </w:rPr>
        <w:t>Learning to Teaching and Teaching to Learn Mathematics: Resources for Professional Development</w:t>
      </w:r>
      <w:r w:rsidRPr="008E6BB3">
        <w:rPr>
          <w:rFonts w:eastAsia="Times New Roman" w:cs="Arial"/>
          <w:szCs w:val="24"/>
          <w:lang w:eastAsia="en-GB"/>
        </w:rPr>
        <w:t>, Mathematical Association of America</w:t>
      </w:r>
    </w:p>
    <w:p w:rsidR="009111F3" w:rsidRPr="009111F3" w:rsidRDefault="009111F3" w:rsidP="009111F3">
      <w:proofErr w:type="gramStart"/>
      <w:r>
        <w:t>Dixon, M., 2018.</w:t>
      </w:r>
      <w:proofErr w:type="gramEnd"/>
      <w:r>
        <w:t xml:space="preserve"> </w:t>
      </w:r>
      <w:r>
        <w:rPr>
          <w:i/>
        </w:rPr>
        <w:t>Why reading for pleasure doesn’t have to be about books</w:t>
      </w:r>
      <w:r>
        <w:t xml:space="preserve">. </w:t>
      </w:r>
      <w:proofErr w:type="gramStart"/>
      <w:r>
        <w:t>TES.</w:t>
      </w:r>
      <w:proofErr w:type="gramEnd"/>
      <w:r>
        <w:t xml:space="preserve"> Available at: </w:t>
      </w:r>
      <w:hyperlink r:id="rId11" w:history="1">
        <w:r w:rsidR="00E44AFB" w:rsidRPr="000767B9">
          <w:rPr>
            <w:rStyle w:val="Hyperlink"/>
          </w:rPr>
          <w:t>https://www.tes.com/news/school-news/breaking-views/why-reading-pleasure-doesnt-have-be-about-books</w:t>
        </w:r>
      </w:hyperlink>
      <w:r w:rsidR="00E44AFB">
        <w:t xml:space="preserve"> </w:t>
      </w:r>
      <w:r>
        <w:t xml:space="preserve"> Accessed 06/04/2018</w:t>
      </w:r>
    </w:p>
    <w:p w:rsidR="00256515" w:rsidRDefault="00256515" w:rsidP="00256515">
      <w:pPr>
        <w:rPr>
          <w:rFonts w:cstheme="minorHAnsi"/>
          <w:noProof/>
        </w:rPr>
      </w:pPr>
      <w:r>
        <w:rPr>
          <w:rFonts w:cstheme="minorHAnsi"/>
          <w:noProof/>
        </w:rPr>
        <w:t xml:space="preserve">Donaldson, G., 2015. </w:t>
      </w:r>
      <w:r>
        <w:rPr>
          <w:rFonts w:cstheme="minorHAnsi"/>
          <w:i/>
          <w:iCs/>
          <w:noProof/>
        </w:rPr>
        <w:t xml:space="preserve">Successful Futures: Independent Review of Curriculum and Assessment Arrangements in Wales, </w:t>
      </w:r>
      <w:r>
        <w:rPr>
          <w:rFonts w:cstheme="minorHAnsi"/>
          <w:noProof/>
        </w:rPr>
        <w:t>Cardiff: Welsh Government.</w:t>
      </w:r>
    </w:p>
    <w:p w:rsidR="0029099B" w:rsidRDefault="0029099B" w:rsidP="00256515">
      <w:pPr>
        <w:rPr>
          <w:rFonts w:cstheme="minorHAnsi"/>
          <w:noProof/>
        </w:rPr>
      </w:pPr>
      <w:r>
        <w:rPr>
          <w:rFonts w:cstheme="minorHAnsi"/>
          <w:noProof/>
        </w:rPr>
        <w:t>Gamb</w:t>
      </w:r>
      <w:r w:rsidR="00D44022">
        <w:rPr>
          <w:rFonts w:cstheme="minorHAnsi"/>
          <w:noProof/>
        </w:rPr>
        <w:t>r</w:t>
      </w:r>
      <w:r>
        <w:rPr>
          <w:rFonts w:cstheme="minorHAnsi"/>
          <w:noProof/>
        </w:rPr>
        <w:t xml:space="preserve">ell, L., 1996. </w:t>
      </w:r>
      <w:r w:rsidRPr="0029099B">
        <w:rPr>
          <w:rFonts w:cstheme="minorHAnsi"/>
          <w:noProof/>
        </w:rPr>
        <w:t xml:space="preserve">Creating classroom cultures that foster reading motivation. </w:t>
      </w:r>
      <w:r w:rsidRPr="0029099B">
        <w:rPr>
          <w:rFonts w:cstheme="minorHAnsi"/>
          <w:i/>
          <w:noProof/>
        </w:rPr>
        <w:t>The Reading Teacher</w:t>
      </w:r>
      <w:r w:rsidR="009111F3">
        <w:rPr>
          <w:rFonts w:cstheme="minorHAnsi"/>
          <w:noProof/>
        </w:rPr>
        <w:t>, 50(</w:t>
      </w:r>
      <w:r>
        <w:rPr>
          <w:rFonts w:cstheme="minorHAnsi"/>
          <w:noProof/>
        </w:rPr>
        <w:t>1</w:t>
      </w:r>
      <w:r w:rsidR="009111F3">
        <w:rPr>
          <w:rFonts w:cstheme="minorHAnsi"/>
          <w:noProof/>
        </w:rPr>
        <w:t>)</w:t>
      </w:r>
      <w:r>
        <w:rPr>
          <w:rFonts w:cstheme="minorHAnsi"/>
          <w:noProof/>
        </w:rPr>
        <w:t>, 14-25</w:t>
      </w:r>
    </w:p>
    <w:p w:rsidR="00B42A44" w:rsidRPr="00FD3639" w:rsidRDefault="00B42A44" w:rsidP="00B42A44">
      <w:pPr>
        <w:spacing w:after="150" w:line="240" w:lineRule="auto"/>
        <w:textAlignment w:val="baseline"/>
        <w:rPr>
          <w:rFonts w:cstheme="minorHAnsi"/>
          <w:noProof/>
        </w:rPr>
      </w:pPr>
      <w:r w:rsidRPr="00FD3639">
        <w:rPr>
          <w:rFonts w:eastAsia="Times New Roman" w:cs="Arial"/>
          <w:lang w:eastAsia="en-GB"/>
        </w:rPr>
        <w:t xml:space="preserve">Guthrie, J., </w:t>
      </w:r>
      <w:proofErr w:type="spellStart"/>
      <w:r w:rsidRPr="00FD3639">
        <w:rPr>
          <w:rFonts w:eastAsia="Times New Roman" w:cs="Arial"/>
          <w:lang w:eastAsia="en-GB"/>
        </w:rPr>
        <w:t>Wigfield</w:t>
      </w:r>
      <w:proofErr w:type="spellEnd"/>
      <w:r w:rsidRPr="00FD3639">
        <w:rPr>
          <w:rFonts w:eastAsia="Times New Roman" w:cs="Arial"/>
          <w:lang w:eastAsia="en-GB"/>
        </w:rPr>
        <w:t xml:space="preserve">, A., </w:t>
      </w:r>
      <w:proofErr w:type="spellStart"/>
      <w:r w:rsidRPr="00FD3639">
        <w:rPr>
          <w:rFonts w:eastAsia="Times New Roman" w:cs="Arial"/>
          <w:lang w:eastAsia="en-GB"/>
        </w:rPr>
        <w:t>Humenick</w:t>
      </w:r>
      <w:proofErr w:type="spellEnd"/>
      <w:r w:rsidRPr="00FD3639">
        <w:rPr>
          <w:rFonts w:eastAsia="Times New Roman" w:cs="Arial"/>
          <w:lang w:eastAsia="en-GB"/>
        </w:rPr>
        <w:t xml:space="preserve">, N., </w:t>
      </w:r>
      <w:proofErr w:type="spellStart"/>
      <w:r w:rsidRPr="00FD3639">
        <w:rPr>
          <w:rFonts w:eastAsia="Times New Roman" w:cs="Arial"/>
          <w:lang w:eastAsia="en-GB"/>
        </w:rPr>
        <w:t>Perencevich</w:t>
      </w:r>
      <w:proofErr w:type="spellEnd"/>
      <w:r w:rsidRPr="00FD3639">
        <w:rPr>
          <w:rFonts w:eastAsia="Times New Roman" w:cs="Arial"/>
          <w:lang w:eastAsia="en-GB"/>
        </w:rPr>
        <w:t xml:space="preserve">, K., </w:t>
      </w:r>
      <w:proofErr w:type="spellStart"/>
      <w:r w:rsidRPr="00FD3639">
        <w:rPr>
          <w:rFonts w:eastAsia="Times New Roman" w:cs="Arial"/>
          <w:lang w:eastAsia="en-GB"/>
        </w:rPr>
        <w:t>Taboada</w:t>
      </w:r>
      <w:proofErr w:type="spellEnd"/>
      <w:r w:rsidRPr="00FD3639">
        <w:rPr>
          <w:rFonts w:eastAsia="Times New Roman" w:cs="Arial"/>
          <w:lang w:eastAsia="en-GB"/>
        </w:rPr>
        <w:t xml:space="preserve">, A., Barbosa, P., 2006. </w:t>
      </w:r>
      <w:proofErr w:type="gramStart"/>
      <w:r w:rsidRPr="00FD3639">
        <w:rPr>
          <w:rFonts w:eastAsia="Times New Roman" w:cs="Arial"/>
          <w:bCs/>
          <w:szCs w:val="31"/>
          <w:lang w:eastAsia="en-GB"/>
        </w:rPr>
        <w:t>Influences of Stimulating Tasks on Reading Motivation and Comprehension.</w:t>
      </w:r>
      <w:proofErr w:type="gramEnd"/>
      <w:r w:rsidRPr="00FD3639">
        <w:rPr>
          <w:rFonts w:eastAsia="Times New Roman" w:cs="Arial"/>
          <w:bCs/>
          <w:szCs w:val="31"/>
          <w:lang w:eastAsia="en-GB"/>
        </w:rPr>
        <w:t xml:space="preserve"> </w:t>
      </w:r>
      <w:r w:rsidRPr="00FD3639">
        <w:rPr>
          <w:rFonts w:eastAsia="Times New Roman" w:cs="Arial"/>
          <w:i/>
          <w:iCs/>
          <w:bdr w:val="none" w:sz="0" w:space="0" w:color="auto" w:frame="1"/>
          <w:lang w:eastAsia="en-GB"/>
        </w:rPr>
        <w:t>Journal of Educational Research</w:t>
      </w:r>
      <w:r w:rsidRPr="00FD3639">
        <w:rPr>
          <w:rFonts w:eastAsia="Times New Roman" w:cs="Arial"/>
          <w:lang w:eastAsia="en-GB"/>
        </w:rPr>
        <w:t xml:space="preserve">, 99:4, 232-245 </w:t>
      </w:r>
    </w:p>
    <w:p w:rsidR="00406155" w:rsidRDefault="00406155" w:rsidP="00256515">
      <w:pPr>
        <w:rPr>
          <w:rFonts w:cstheme="minorHAnsi"/>
          <w:noProof/>
        </w:rPr>
      </w:pPr>
      <w:r>
        <w:rPr>
          <w:rFonts w:cstheme="minorHAnsi"/>
          <w:noProof/>
        </w:rPr>
        <w:t>Guthrie, J.,</w:t>
      </w:r>
      <w:r w:rsidRPr="00406155">
        <w:rPr>
          <w:rFonts w:cstheme="minorHAnsi"/>
          <w:noProof/>
        </w:rPr>
        <w:t xml:space="preserve"> Laurel</w:t>
      </w:r>
      <w:r>
        <w:rPr>
          <w:rFonts w:cstheme="minorHAnsi"/>
          <w:noProof/>
        </w:rPr>
        <w:t>,</w:t>
      </w:r>
      <w:r w:rsidRPr="00406155">
        <w:rPr>
          <w:rFonts w:cstheme="minorHAnsi"/>
          <w:noProof/>
        </w:rPr>
        <w:t xml:space="preserve"> W.</w:t>
      </w:r>
      <w:r>
        <w:rPr>
          <w:rFonts w:cstheme="minorHAnsi"/>
          <w:noProof/>
        </w:rPr>
        <w:t>,</w:t>
      </w:r>
      <w:r w:rsidRPr="00406155">
        <w:rPr>
          <w:rFonts w:cstheme="minorHAnsi"/>
          <w:noProof/>
        </w:rPr>
        <w:t xml:space="preserve"> Hoa, A</w:t>
      </w:r>
      <w:r>
        <w:rPr>
          <w:rFonts w:cstheme="minorHAnsi"/>
          <w:noProof/>
        </w:rPr>
        <w:t xml:space="preserve">., </w:t>
      </w:r>
      <w:r w:rsidRPr="00406155">
        <w:rPr>
          <w:rFonts w:cstheme="minorHAnsi"/>
          <w:noProof/>
        </w:rPr>
        <w:t>Wigfield, A</w:t>
      </w:r>
      <w:r>
        <w:rPr>
          <w:rFonts w:cstheme="minorHAnsi"/>
          <w:noProof/>
        </w:rPr>
        <w:t xml:space="preserve">., </w:t>
      </w:r>
      <w:r w:rsidRPr="00406155">
        <w:rPr>
          <w:rFonts w:cstheme="minorHAnsi"/>
          <w:noProof/>
        </w:rPr>
        <w:t>Tonks, S</w:t>
      </w:r>
      <w:r>
        <w:rPr>
          <w:rFonts w:cstheme="minorHAnsi"/>
          <w:noProof/>
        </w:rPr>
        <w:t>.,</w:t>
      </w:r>
      <w:r w:rsidRPr="00406155">
        <w:rPr>
          <w:rFonts w:cstheme="minorHAnsi"/>
          <w:noProof/>
        </w:rPr>
        <w:t xml:space="preserve"> Humenick, N</w:t>
      </w:r>
      <w:r>
        <w:rPr>
          <w:rFonts w:cstheme="minorHAnsi"/>
          <w:noProof/>
        </w:rPr>
        <w:t>.,</w:t>
      </w:r>
      <w:r w:rsidRPr="00406155">
        <w:rPr>
          <w:rFonts w:cstheme="minorHAnsi"/>
          <w:noProof/>
        </w:rPr>
        <w:t xml:space="preserve"> Littles, E</w:t>
      </w:r>
      <w:r>
        <w:rPr>
          <w:rFonts w:cstheme="minorHAnsi"/>
          <w:noProof/>
        </w:rPr>
        <w:t>., 2007</w:t>
      </w:r>
      <w:r w:rsidRPr="00406155">
        <w:rPr>
          <w:rFonts w:cstheme="minorHAnsi"/>
          <w:noProof/>
        </w:rPr>
        <w:t xml:space="preserve">. Reading motivation and reading comprehension growth in the later elementary years. </w:t>
      </w:r>
      <w:r w:rsidRPr="00406155">
        <w:rPr>
          <w:rFonts w:cstheme="minorHAnsi"/>
          <w:i/>
          <w:noProof/>
        </w:rPr>
        <w:t>Contemporary Educational Psychology</w:t>
      </w:r>
      <w:r w:rsidRPr="00406155">
        <w:rPr>
          <w:rFonts w:cstheme="minorHAnsi"/>
          <w:noProof/>
        </w:rPr>
        <w:t xml:space="preserve">. 32. 282-313. </w:t>
      </w:r>
    </w:p>
    <w:p w:rsidR="001A2537" w:rsidRPr="009111F3" w:rsidRDefault="001A2537" w:rsidP="00256515">
      <w:pPr>
        <w:rPr>
          <w:rFonts w:cstheme="minorHAnsi"/>
          <w:noProof/>
        </w:rPr>
      </w:pPr>
      <w:r>
        <w:rPr>
          <w:rFonts w:cstheme="minorHAnsi"/>
          <w:noProof/>
        </w:rPr>
        <w:t xml:space="preserve">Hansen, L., 2001. The Inherent Desire to Learn: Intrinsically Motivating First Grade Students. </w:t>
      </w:r>
      <w:r>
        <w:rPr>
          <w:rFonts w:cstheme="minorHAnsi"/>
          <w:i/>
          <w:noProof/>
        </w:rPr>
        <w:t>Networks: An Online Journal for Teacher Research</w:t>
      </w:r>
      <w:r w:rsidR="009111F3">
        <w:rPr>
          <w:rFonts w:cstheme="minorHAnsi"/>
          <w:i/>
          <w:noProof/>
        </w:rPr>
        <w:t xml:space="preserve"> </w:t>
      </w:r>
      <w:r w:rsidR="009111F3">
        <w:rPr>
          <w:rFonts w:cstheme="minorHAnsi"/>
          <w:noProof/>
        </w:rPr>
        <w:t>4(2).</w:t>
      </w:r>
    </w:p>
    <w:p w:rsidR="002625F0" w:rsidRDefault="002625F0" w:rsidP="00256515">
      <w:proofErr w:type="gramStart"/>
      <w:r>
        <w:t xml:space="preserve">Higgins, S.; </w:t>
      </w:r>
      <w:proofErr w:type="spellStart"/>
      <w:r>
        <w:t>Kokotsaki</w:t>
      </w:r>
      <w:proofErr w:type="spellEnd"/>
      <w:r>
        <w:t>, D.; Coe, R.</w:t>
      </w:r>
      <w:r w:rsidR="008D4ED9">
        <w:t>,</w:t>
      </w:r>
      <w:r>
        <w:t xml:space="preserve"> </w:t>
      </w:r>
      <w:r w:rsidR="008D4ED9">
        <w:t>2012.</w:t>
      </w:r>
      <w:proofErr w:type="gramEnd"/>
      <w:r>
        <w:t xml:space="preserve"> </w:t>
      </w:r>
      <w:r w:rsidRPr="00647B87">
        <w:rPr>
          <w:i/>
        </w:rPr>
        <w:t>The Sutton Trust- EEF Teaching and Learning Toolkit</w:t>
      </w:r>
      <w:r w:rsidR="008D4ED9">
        <w:t>.</w:t>
      </w:r>
      <w:r>
        <w:t xml:space="preserve"> Sutton Trust/ Education Endowment Foundation</w:t>
      </w:r>
    </w:p>
    <w:p w:rsidR="002B55A7" w:rsidRDefault="002B55A7" w:rsidP="002B55A7">
      <w:pPr>
        <w:pStyle w:val="Bibliography"/>
        <w:rPr>
          <w:noProof/>
        </w:rPr>
      </w:pPr>
      <w:r>
        <w:rPr>
          <w:noProof/>
        </w:rPr>
        <w:t xml:space="preserve">Holt, N. W. I., 2009. </w:t>
      </w:r>
      <w:r>
        <w:rPr>
          <w:i/>
          <w:iCs/>
          <w:noProof/>
        </w:rPr>
        <w:t xml:space="preserve">Research with people: Theory plans and practicals. </w:t>
      </w:r>
      <w:r>
        <w:rPr>
          <w:noProof/>
        </w:rPr>
        <w:t>Chippenham: Palgrave Macmillan.</w:t>
      </w:r>
    </w:p>
    <w:p w:rsidR="0006523A" w:rsidRPr="0006523A" w:rsidRDefault="0006523A" w:rsidP="00256515">
      <w:proofErr w:type="spellStart"/>
      <w:proofErr w:type="gramStart"/>
      <w:r>
        <w:t>Kurcirkova</w:t>
      </w:r>
      <w:proofErr w:type="spellEnd"/>
      <w:r>
        <w:t xml:space="preserve">, N., </w:t>
      </w:r>
      <w:proofErr w:type="spellStart"/>
      <w:r>
        <w:t>Cremin</w:t>
      </w:r>
      <w:proofErr w:type="spellEnd"/>
      <w:r>
        <w:t>, T., 2016.</w:t>
      </w:r>
      <w:proofErr w:type="gramEnd"/>
      <w:r>
        <w:t xml:space="preserve"> </w:t>
      </w:r>
      <w:proofErr w:type="gramStart"/>
      <w:r>
        <w:rPr>
          <w:i/>
        </w:rPr>
        <w:t>Digital books supporting reading for pleasure</w:t>
      </w:r>
      <w:r>
        <w:t>.</w:t>
      </w:r>
      <w:proofErr w:type="gramEnd"/>
      <w:r>
        <w:t xml:space="preserve"> </w:t>
      </w:r>
      <w:proofErr w:type="spellStart"/>
      <w:proofErr w:type="gramStart"/>
      <w:r>
        <w:t>Digilitey</w:t>
      </w:r>
      <w:proofErr w:type="spellEnd"/>
      <w:r>
        <w:t>.</w:t>
      </w:r>
      <w:proofErr w:type="gramEnd"/>
      <w:r>
        <w:t xml:space="preserve"> Available at: </w:t>
      </w:r>
      <w:hyperlink r:id="rId12" w:history="1">
        <w:r w:rsidR="00E44AFB" w:rsidRPr="000767B9">
          <w:rPr>
            <w:rStyle w:val="Hyperlink"/>
          </w:rPr>
          <w:t>https://digilitey.wordpress.com/2016/07/28/digital-books-supporting-reading-for-pleasure/</w:t>
        </w:r>
      </w:hyperlink>
      <w:r w:rsidR="00E44AFB">
        <w:t xml:space="preserve"> </w:t>
      </w:r>
      <w:r>
        <w:t xml:space="preserve"> Accessed 06/04/2018</w:t>
      </w:r>
    </w:p>
    <w:p w:rsidR="009F0126" w:rsidRDefault="009F0126" w:rsidP="00256515">
      <w:pPr>
        <w:rPr>
          <w:rFonts w:cstheme="minorHAnsi"/>
          <w:noProof/>
        </w:rPr>
      </w:pPr>
      <w:r>
        <w:rPr>
          <w:rFonts w:cstheme="minorHAnsi"/>
          <w:noProof/>
        </w:rPr>
        <w:t xml:space="preserve">Liepzig, D. H., 2001. </w:t>
      </w:r>
      <w:r>
        <w:rPr>
          <w:rFonts w:cstheme="minorHAnsi"/>
          <w:i/>
          <w:noProof/>
        </w:rPr>
        <w:t xml:space="preserve">What is reading? </w:t>
      </w:r>
      <w:r>
        <w:rPr>
          <w:rFonts w:cstheme="minorHAnsi"/>
          <w:noProof/>
        </w:rPr>
        <w:t xml:space="preserve">WETA. Available </w:t>
      </w:r>
      <w:r w:rsidR="00F86C38">
        <w:rPr>
          <w:rFonts w:cstheme="minorHAnsi"/>
          <w:noProof/>
        </w:rPr>
        <w:t>at</w:t>
      </w:r>
      <w:r w:rsidR="009162B8">
        <w:rPr>
          <w:rFonts w:cstheme="minorHAnsi"/>
          <w:noProof/>
        </w:rPr>
        <w:t xml:space="preserve">: </w:t>
      </w:r>
      <w:hyperlink r:id="rId13" w:history="1">
        <w:r w:rsidR="00E44AFB" w:rsidRPr="000767B9">
          <w:rPr>
            <w:rStyle w:val="Hyperlink"/>
            <w:rFonts w:cstheme="minorHAnsi"/>
            <w:noProof/>
          </w:rPr>
          <w:t>http://www.readingrockets.org/article/what-reading</w:t>
        </w:r>
      </w:hyperlink>
      <w:r w:rsidR="00E44AFB">
        <w:rPr>
          <w:rFonts w:cstheme="minorHAnsi"/>
          <w:noProof/>
        </w:rPr>
        <w:t xml:space="preserve"> </w:t>
      </w:r>
      <w:r>
        <w:rPr>
          <w:rFonts w:cstheme="minorHAnsi"/>
          <w:noProof/>
        </w:rPr>
        <w:t xml:space="preserve"> Accessed 06/04/2018</w:t>
      </w:r>
    </w:p>
    <w:p w:rsidR="00406155" w:rsidRDefault="00406155" w:rsidP="00256515">
      <w:r>
        <w:rPr>
          <w:rFonts w:cstheme="minorHAnsi"/>
          <w:noProof/>
        </w:rPr>
        <w:t xml:space="preserve">McGeown, S., 2013. </w:t>
      </w:r>
      <w:proofErr w:type="gramStart"/>
      <w:r w:rsidR="00B42A44" w:rsidRPr="00B42A44">
        <w:rPr>
          <w:i/>
        </w:rPr>
        <w:t>Reading motivation and engagement in the primary school classroom: theory, research and practice.</w:t>
      </w:r>
      <w:proofErr w:type="gramEnd"/>
      <w:r w:rsidR="00B42A44">
        <w:t xml:space="preserve"> Leicester: UKLA</w:t>
      </w:r>
    </w:p>
    <w:p w:rsidR="00E776D0" w:rsidRDefault="00E776D0" w:rsidP="00256515">
      <w:pPr>
        <w:rPr>
          <w:iCs/>
          <w:szCs w:val="17"/>
          <w:shd w:val="clear" w:color="auto" w:fill="FFFFFF"/>
        </w:rPr>
      </w:pPr>
      <w:r>
        <w:rPr>
          <w:iCs/>
          <w:szCs w:val="17"/>
          <w:shd w:val="clear" w:color="auto" w:fill="FFFFFF"/>
        </w:rPr>
        <w:t xml:space="preserve">McRae, A., Guthrie, J.T., </w:t>
      </w:r>
      <w:r w:rsidRPr="00E776D0">
        <w:rPr>
          <w:iCs/>
          <w:szCs w:val="17"/>
          <w:shd w:val="clear" w:color="auto" w:fill="FFFFFF"/>
        </w:rPr>
        <w:t xml:space="preserve">2009. Promoting reasons for reading: Teacher practices that impact motivation. In E. H. </w:t>
      </w:r>
      <w:proofErr w:type="spellStart"/>
      <w:r w:rsidRPr="00E776D0">
        <w:rPr>
          <w:iCs/>
          <w:szCs w:val="17"/>
          <w:shd w:val="clear" w:color="auto" w:fill="FFFFFF"/>
        </w:rPr>
        <w:t>Hiebert</w:t>
      </w:r>
      <w:proofErr w:type="spellEnd"/>
      <w:r w:rsidRPr="00E776D0">
        <w:rPr>
          <w:iCs/>
          <w:szCs w:val="17"/>
          <w:shd w:val="clear" w:color="auto" w:fill="FFFFFF"/>
        </w:rPr>
        <w:t xml:space="preserve"> (Ed.), Reading more, reading better (pp. 55-76). New York: Guilford Press.</w:t>
      </w:r>
      <w:r w:rsidR="009162B8">
        <w:rPr>
          <w:iCs/>
          <w:szCs w:val="17"/>
          <w:shd w:val="clear" w:color="auto" w:fill="FFFFFF"/>
        </w:rPr>
        <w:t xml:space="preserve"> Available at: </w:t>
      </w:r>
      <w:hyperlink r:id="rId14" w:history="1">
        <w:r w:rsidR="005377E9" w:rsidRPr="00565F63">
          <w:rPr>
            <w:rStyle w:val="Hyperlink"/>
            <w:iCs/>
            <w:szCs w:val="17"/>
            <w:shd w:val="clear" w:color="auto" w:fill="FFFFFF"/>
          </w:rPr>
          <w:t>http://www.ldonline.org/article/35746 Accessed 06/04/2018</w:t>
        </w:r>
      </w:hyperlink>
    </w:p>
    <w:p w:rsidR="005377E9" w:rsidRPr="005377E9" w:rsidRDefault="005377E9" w:rsidP="00256515">
      <w:pPr>
        <w:rPr>
          <w:rFonts w:cstheme="minorHAnsi"/>
          <w:noProof/>
          <w:sz w:val="32"/>
        </w:rPr>
      </w:pPr>
      <w:proofErr w:type="spellStart"/>
      <w:r>
        <w:rPr>
          <w:iCs/>
          <w:szCs w:val="17"/>
          <w:shd w:val="clear" w:color="auto" w:fill="FFFFFF"/>
        </w:rPr>
        <w:t>Muijs</w:t>
      </w:r>
      <w:proofErr w:type="spellEnd"/>
      <w:r>
        <w:rPr>
          <w:iCs/>
          <w:szCs w:val="17"/>
          <w:shd w:val="clear" w:color="auto" w:fill="FFFFFF"/>
        </w:rPr>
        <w:t xml:space="preserve">, D., 2004. </w:t>
      </w:r>
      <w:proofErr w:type="gramStart"/>
      <w:r>
        <w:rPr>
          <w:i/>
          <w:iCs/>
          <w:szCs w:val="17"/>
          <w:shd w:val="clear" w:color="auto" w:fill="FFFFFF"/>
        </w:rPr>
        <w:t>Doing Quantitative Research in Education</w:t>
      </w:r>
      <w:r>
        <w:rPr>
          <w:iCs/>
          <w:szCs w:val="17"/>
          <w:shd w:val="clear" w:color="auto" w:fill="FFFFFF"/>
        </w:rPr>
        <w:t>.</w:t>
      </w:r>
      <w:proofErr w:type="gramEnd"/>
      <w:r>
        <w:rPr>
          <w:iCs/>
          <w:szCs w:val="17"/>
          <w:shd w:val="clear" w:color="auto" w:fill="FFFFFF"/>
        </w:rPr>
        <w:t xml:space="preserve"> London: Sage Publications</w:t>
      </w:r>
    </w:p>
    <w:p w:rsidR="0011056C" w:rsidRDefault="0011056C" w:rsidP="00256515">
      <w:pPr>
        <w:rPr>
          <w:rFonts w:cstheme="minorHAnsi"/>
          <w:noProof/>
        </w:rPr>
      </w:pPr>
      <w:r>
        <w:rPr>
          <w:rFonts w:cstheme="minorHAnsi"/>
          <w:noProof/>
        </w:rPr>
        <w:t>National Literacy Trust</w:t>
      </w:r>
      <w:r w:rsidR="00F86C38">
        <w:rPr>
          <w:rFonts w:cstheme="minorHAnsi"/>
          <w:noProof/>
        </w:rPr>
        <w:t xml:space="preserve"> Website [Online]. Available at: </w:t>
      </w:r>
      <w:hyperlink r:id="rId15" w:history="1">
        <w:r w:rsidR="00E44AFB" w:rsidRPr="000767B9">
          <w:rPr>
            <w:rStyle w:val="Hyperlink"/>
            <w:rFonts w:cstheme="minorHAnsi"/>
            <w:noProof/>
          </w:rPr>
          <w:t>https://literacytrust.org.uk/</w:t>
        </w:r>
      </w:hyperlink>
      <w:r w:rsidR="00E44AFB">
        <w:rPr>
          <w:rFonts w:cstheme="minorHAnsi"/>
          <w:noProof/>
        </w:rPr>
        <w:t xml:space="preserve"> </w:t>
      </w:r>
      <w:r w:rsidR="00F86C38">
        <w:rPr>
          <w:rFonts w:cstheme="minorHAnsi"/>
          <w:noProof/>
        </w:rPr>
        <w:t xml:space="preserve"> Accessed 06/04/2018</w:t>
      </w:r>
    </w:p>
    <w:p w:rsidR="00DF2936" w:rsidRDefault="00DF2936" w:rsidP="00256515">
      <w:pPr>
        <w:rPr>
          <w:rFonts w:cstheme="minorHAnsi"/>
          <w:noProof/>
        </w:rPr>
      </w:pPr>
      <w:r>
        <w:rPr>
          <w:rFonts w:cstheme="minorHAnsi"/>
          <w:noProof/>
        </w:rPr>
        <w:lastRenderedPageBreak/>
        <w:t xml:space="preserve">Stenhouse, L., 1975. </w:t>
      </w:r>
      <w:r>
        <w:rPr>
          <w:rFonts w:cstheme="minorHAnsi"/>
          <w:i/>
          <w:noProof/>
        </w:rPr>
        <w:t xml:space="preserve">An Introduction to Curriculum Research and Development. </w:t>
      </w:r>
      <w:r>
        <w:rPr>
          <w:rFonts w:cstheme="minorHAnsi"/>
          <w:noProof/>
        </w:rPr>
        <w:t>London: Heinemann</w:t>
      </w:r>
    </w:p>
    <w:p w:rsidR="00B42A44" w:rsidRPr="00E776D0" w:rsidRDefault="00B42A44" w:rsidP="00E776D0">
      <w:pPr>
        <w:pStyle w:val="NormalWeb"/>
        <w:shd w:val="clear" w:color="auto" w:fill="FFFFFF"/>
        <w:spacing w:before="150" w:beforeAutospacing="0" w:line="270" w:lineRule="atLeast"/>
        <w:rPr>
          <w:rFonts w:asciiTheme="minorHAnsi" w:hAnsiTheme="minorHAnsi" w:cs="Arial"/>
          <w:sz w:val="22"/>
          <w:szCs w:val="21"/>
          <w:shd w:val="clear" w:color="auto" w:fill="FFFFFF"/>
        </w:rPr>
      </w:pPr>
      <w:proofErr w:type="gramStart"/>
      <w:r w:rsidRPr="00E776D0">
        <w:rPr>
          <w:rFonts w:asciiTheme="minorHAnsi" w:hAnsiTheme="minorHAnsi" w:cs="Arial"/>
          <w:sz w:val="22"/>
          <w:szCs w:val="22"/>
          <w:shd w:val="clear" w:color="auto" w:fill="FFFFFF"/>
        </w:rPr>
        <w:t xml:space="preserve">Vallerand, R., Pelletier, </w:t>
      </w:r>
      <w:r w:rsidR="00E776D0" w:rsidRPr="00E776D0">
        <w:rPr>
          <w:rFonts w:asciiTheme="minorHAnsi" w:hAnsiTheme="minorHAnsi" w:cs="Arial"/>
          <w:sz w:val="22"/>
          <w:szCs w:val="22"/>
          <w:shd w:val="clear" w:color="auto" w:fill="FFFFFF"/>
        </w:rPr>
        <w:t xml:space="preserve">L., </w:t>
      </w:r>
      <w:proofErr w:type="spellStart"/>
      <w:r w:rsidRPr="00E776D0">
        <w:rPr>
          <w:rFonts w:asciiTheme="minorHAnsi" w:hAnsiTheme="minorHAnsi" w:cs="Arial"/>
          <w:sz w:val="22"/>
          <w:szCs w:val="22"/>
          <w:shd w:val="clear" w:color="auto" w:fill="FFFFFF"/>
        </w:rPr>
        <w:t>Blais</w:t>
      </w:r>
      <w:proofErr w:type="spellEnd"/>
      <w:r w:rsidRPr="00E776D0">
        <w:rPr>
          <w:rFonts w:asciiTheme="minorHAnsi" w:hAnsiTheme="minorHAnsi" w:cs="Arial"/>
          <w:sz w:val="22"/>
          <w:szCs w:val="22"/>
          <w:shd w:val="clear" w:color="auto" w:fill="FFFFFF"/>
        </w:rPr>
        <w:t>,</w:t>
      </w:r>
      <w:r w:rsidR="00E776D0" w:rsidRPr="00E776D0">
        <w:rPr>
          <w:rFonts w:asciiTheme="minorHAnsi" w:hAnsiTheme="minorHAnsi" w:cs="Arial"/>
          <w:sz w:val="22"/>
          <w:szCs w:val="22"/>
          <w:shd w:val="clear" w:color="auto" w:fill="FFFFFF"/>
        </w:rPr>
        <w:t xml:space="preserve"> M.,</w:t>
      </w:r>
      <w:r w:rsidRPr="00E776D0">
        <w:rPr>
          <w:rFonts w:asciiTheme="minorHAnsi" w:hAnsiTheme="minorHAnsi" w:cs="Arial"/>
          <w:sz w:val="22"/>
          <w:szCs w:val="22"/>
          <w:shd w:val="clear" w:color="auto" w:fill="FFFFFF"/>
        </w:rPr>
        <w:t xml:space="preserve"> </w:t>
      </w:r>
      <w:proofErr w:type="spellStart"/>
      <w:r w:rsidRPr="00E776D0">
        <w:rPr>
          <w:rFonts w:asciiTheme="minorHAnsi" w:hAnsiTheme="minorHAnsi" w:cs="Arial"/>
          <w:sz w:val="22"/>
          <w:szCs w:val="22"/>
          <w:shd w:val="clear" w:color="auto" w:fill="FFFFFF"/>
        </w:rPr>
        <w:t>Briere</w:t>
      </w:r>
      <w:proofErr w:type="spellEnd"/>
      <w:r w:rsidRPr="00E776D0">
        <w:rPr>
          <w:rFonts w:asciiTheme="minorHAnsi" w:hAnsiTheme="minorHAnsi" w:cs="Arial"/>
          <w:sz w:val="22"/>
          <w:szCs w:val="22"/>
          <w:shd w:val="clear" w:color="auto" w:fill="FFFFFF"/>
        </w:rPr>
        <w:t>,</w:t>
      </w:r>
      <w:r w:rsidR="00E776D0" w:rsidRPr="00E776D0">
        <w:rPr>
          <w:rFonts w:asciiTheme="minorHAnsi" w:hAnsiTheme="minorHAnsi" w:cs="Arial"/>
          <w:sz w:val="22"/>
          <w:szCs w:val="22"/>
          <w:shd w:val="clear" w:color="auto" w:fill="FFFFFF"/>
        </w:rPr>
        <w:t xml:space="preserve"> N.,</w:t>
      </w:r>
      <w:r w:rsidRPr="00E776D0">
        <w:rPr>
          <w:rFonts w:asciiTheme="minorHAnsi" w:hAnsiTheme="minorHAnsi" w:cs="Arial"/>
          <w:sz w:val="22"/>
          <w:szCs w:val="22"/>
          <w:shd w:val="clear" w:color="auto" w:fill="FFFFFF"/>
        </w:rPr>
        <w:t xml:space="preserve"> </w:t>
      </w:r>
      <w:proofErr w:type="spellStart"/>
      <w:r w:rsidRPr="00E776D0">
        <w:rPr>
          <w:rFonts w:asciiTheme="minorHAnsi" w:hAnsiTheme="minorHAnsi" w:cs="Arial"/>
          <w:sz w:val="22"/>
          <w:szCs w:val="22"/>
          <w:shd w:val="clear" w:color="auto" w:fill="FFFFFF"/>
        </w:rPr>
        <w:t>Senecal</w:t>
      </w:r>
      <w:proofErr w:type="spellEnd"/>
      <w:r w:rsidRPr="00E776D0">
        <w:rPr>
          <w:rFonts w:asciiTheme="minorHAnsi" w:hAnsiTheme="minorHAnsi" w:cs="Arial"/>
          <w:sz w:val="22"/>
          <w:szCs w:val="22"/>
          <w:shd w:val="clear" w:color="auto" w:fill="FFFFFF"/>
        </w:rPr>
        <w:t xml:space="preserve">, </w:t>
      </w:r>
      <w:r w:rsidR="00E776D0" w:rsidRPr="00E776D0">
        <w:rPr>
          <w:rFonts w:asciiTheme="minorHAnsi" w:hAnsiTheme="minorHAnsi" w:cs="Arial"/>
          <w:sz w:val="22"/>
          <w:szCs w:val="22"/>
          <w:shd w:val="clear" w:color="auto" w:fill="FFFFFF"/>
        </w:rPr>
        <w:t xml:space="preserve">C., </w:t>
      </w:r>
      <w:proofErr w:type="spellStart"/>
      <w:r w:rsidRPr="00E776D0">
        <w:rPr>
          <w:rFonts w:asciiTheme="minorHAnsi" w:hAnsiTheme="minorHAnsi" w:cs="Arial"/>
          <w:sz w:val="22"/>
          <w:szCs w:val="22"/>
          <w:shd w:val="clear" w:color="auto" w:fill="FFFFFF"/>
        </w:rPr>
        <w:t>Vallieres</w:t>
      </w:r>
      <w:proofErr w:type="spellEnd"/>
      <w:r w:rsidR="00E776D0" w:rsidRPr="00E776D0">
        <w:rPr>
          <w:rFonts w:asciiTheme="minorHAnsi" w:hAnsiTheme="minorHAnsi" w:cs="Arial"/>
          <w:sz w:val="22"/>
          <w:szCs w:val="22"/>
          <w:shd w:val="clear" w:color="auto" w:fill="FFFFFF"/>
        </w:rPr>
        <w:t>, E., 1992.</w:t>
      </w:r>
      <w:proofErr w:type="gramEnd"/>
      <w:r w:rsidR="00E776D0" w:rsidRPr="00E776D0">
        <w:rPr>
          <w:rFonts w:asciiTheme="minorHAnsi" w:hAnsiTheme="minorHAnsi" w:cs="Arial"/>
          <w:sz w:val="22"/>
          <w:szCs w:val="22"/>
          <w:shd w:val="clear" w:color="auto" w:fill="FFFFFF"/>
        </w:rPr>
        <w:t xml:space="preserve"> </w:t>
      </w:r>
      <w:r w:rsidR="00E776D0" w:rsidRPr="00E776D0">
        <w:rPr>
          <w:rFonts w:asciiTheme="minorHAnsi" w:hAnsiTheme="minorHAnsi" w:cs="Arial"/>
          <w:sz w:val="22"/>
          <w:szCs w:val="22"/>
        </w:rPr>
        <w:t xml:space="preserve">The Academic Motivation Scale: A Measure of Intrinsic, Extrinsic, and </w:t>
      </w:r>
      <w:proofErr w:type="spellStart"/>
      <w:r w:rsidR="00E776D0" w:rsidRPr="00E776D0">
        <w:rPr>
          <w:rFonts w:asciiTheme="minorHAnsi" w:hAnsiTheme="minorHAnsi" w:cs="Arial"/>
          <w:sz w:val="22"/>
          <w:szCs w:val="22"/>
        </w:rPr>
        <w:t>Amotivation</w:t>
      </w:r>
      <w:proofErr w:type="spellEnd"/>
      <w:r w:rsidR="00E776D0" w:rsidRPr="00E776D0">
        <w:rPr>
          <w:rFonts w:asciiTheme="minorHAnsi" w:hAnsiTheme="minorHAnsi" w:cs="Arial"/>
          <w:sz w:val="22"/>
          <w:szCs w:val="22"/>
        </w:rPr>
        <w:t xml:space="preserve"> in Education</w:t>
      </w:r>
      <w:r w:rsidR="00E776D0">
        <w:rPr>
          <w:rFonts w:asciiTheme="minorHAnsi" w:hAnsiTheme="minorHAnsi" w:cs="Arial"/>
          <w:sz w:val="22"/>
          <w:szCs w:val="22"/>
        </w:rPr>
        <w:t>,</w:t>
      </w:r>
      <w:r w:rsidR="00E776D0" w:rsidRPr="00E776D0">
        <w:rPr>
          <w:rFonts w:asciiTheme="minorHAnsi" w:eastAsiaTheme="minorHAnsi" w:hAnsiTheme="minorHAnsi" w:cs="Arial"/>
          <w:bCs/>
          <w:iCs/>
          <w:sz w:val="22"/>
          <w:szCs w:val="22"/>
          <w:shd w:val="clear" w:color="auto" w:fill="FFFFFF"/>
        </w:rPr>
        <w:t xml:space="preserve"> </w:t>
      </w:r>
      <w:r w:rsidR="00E776D0" w:rsidRPr="00E776D0">
        <w:rPr>
          <w:rFonts w:asciiTheme="minorHAnsi" w:hAnsiTheme="minorHAnsi" w:cs="Arial"/>
          <w:i/>
          <w:iCs/>
          <w:color w:val="333333"/>
          <w:sz w:val="22"/>
          <w:szCs w:val="21"/>
        </w:rPr>
        <w:t>Educational and Psychological Measurement</w:t>
      </w:r>
      <w:r w:rsidR="00E776D0">
        <w:rPr>
          <w:rFonts w:asciiTheme="minorHAnsi" w:hAnsiTheme="minorHAnsi" w:cs="Arial"/>
          <w:i/>
          <w:iCs/>
          <w:color w:val="333333"/>
          <w:sz w:val="22"/>
          <w:szCs w:val="21"/>
        </w:rPr>
        <w:t>.</w:t>
      </w:r>
      <w:r w:rsidR="00E776D0" w:rsidRPr="00E776D0">
        <w:rPr>
          <w:rFonts w:asciiTheme="minorHAnsi" w:hAnsiTheme="minorHAnsi" w:cs="Arial"/>
          <w:color w:val="333333"/>
          <w:sz w:val="22"/>
          <w:szCs w:val="21"/>
        </w:rPr>
        <w:t xml:space="preserve"> 52</w:t>
      </w:r>
      <w:r w:rsidR="00E776D0">
        <w:rPr>
          <w:rFonts w:asciiTheme="minorHAnsi" w:hAnsiTheme="minorHAnsi" w:cs="Arial"/>
          <w:color w:val="333333"/>
          <w:sz w:val="22"/>
          <w:szCs w:val="21"/>
        </w:rPr>
        <w:t>:</w:t>
      </w:r>
      <w:r w:rsidR="00E776D0" w:rsidRPr="00E776D0">
        <w:rPr>
          <w:rFonts w:asciiTheme="minorHAnsi" w:hAnsiTheme="minorHAnsi" w:cs="Arial"/>
          <w:color w:val="333333"/>
          <w:sz w:val="22"/>
          <w:szCs w:val="21"/>
        </w:rPr>
        <w:t>4, 1003</w:t>
      </w:r>
      <w:r w:rsidR="00E776D0">
        <w:rPr>
          <w:rFonts w:asciiTheme="minorHAnsi" w:hAnsiTheme="minorHAnsi" w:cs="Arial"/>
          <w:color w:val="333333"/>
          <w:sz w:val="22"/>
          <w:szCs w:val="21"/>
        </w:rPr>
        <w:t>-</w:t>
      </w:r>
      <w:r w:rsidR="00E776D0" w:rsidRPr="00E776D0">
        <w:rPr>
          <w:rFonts w:asciiTheme="minorHAnsi" w:hAnsiTheme="minorHAnsi" w:cs="Arial"/>
          <w:color w:val="333333"/>
          <w:sz w:val="22"/>
          <w:szCs w:val="21"/>
        </w:rPr>
        <w:t>1017</w:t>
      </w:r>
    </w:p>
    <w:p w:rsidR="00FD04E1" w:rsidRDefault="00FD04E1" w:rsidP="00256515">
      <w:pPr>
        <w:rPr>
          <w:rFonts w:cstheme="minorHAnsi"/>
          <w:i/>
          <w:noProof/>
        </w:rPr>
      </w:pPr>
      <w:r>
        <w:rPr>
          <w:rFonts w:cstheme="minorHAnsi"/>
          <w:noProof/>
        </w:rPr>
        <w:t xml:space="preserve">Welsh Government, 2015. </w:t>
      </w:r>
      <w:r>
        <w:rPr>
          <w:rFonts w:cstheme="minorHAnsi"/>
          <w:i/>
          <w:noProof/>
        </w:rPr>
        <w:t>Effective use of data and research evidence</w:t>
      </w:r>
    </w:p>
    <w:p w:rsidR="00137401" w:rsidRDefault="00137401" w:rsidP="00137401">
      <w:pPr>
        <w:rPr>
          <w:i/>
        </w:rPr>
      </w:pPr>
      <w:proofErr w:type="gramStart"/>
      <w:r>
        <w:t>Welsh Government, 2016.</w:t>
      </w:r>
      <w:proofErr w:type="gramEnd"/>
      <w:r>
        <w:t xml:space="preserve"> </w:t>
      </w:r>
      <w:r>
        <w:rPr>
          <w:i/>
        </w:rPr>
        <w:t>Digital Competence Framework guidance</w:t>
      </w:r>
    </w:p>
    <w:p w:rsidR="00473D46" w:rsidRPr="00473D46" w:rsidRDefault="00473D46" w:rsidP="00137401">
      <w:proofErr w:type="spellStart"/>
      <w:r>
        <w:t>Wigfield</w:t>
      </w:r>
      <w:proofErr w:type="spellEnd"/>
      <w:r>
        <w:t xml:space="preserve">, A., Guthrie, J. T., 1997. </w:t>
      </w:r>
      <w:r w:rsidRPr="00473D46">
        <w:rPr>
          <w:i/>
        </w:rPr>
        <w:t>Relations of Children's Motivation for Reading to the Amount and Breadth of Their Reading</w:t>
      </w:r>
      <w:r>
        <w:t xml:space="preserve">, Journal of Educational </w:t>
      </w:r>
      <w:proofErr w:type="gramStart"/>
      <w:r>
        <w:t>Psychology  89:3</w:t>
      </w:r>
      <w:proofErr w:type="gramEnd"/>
      <w:r>
        <w:t>, 420-432</w:t>
      </w:r>
    </w:p>
    <w:sectPr w:rsidR="00473D46" w:rsidRPr="00473D4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0BC9" w:rsidRDefault="009B0BC9" w:rsidP="00CB4632">
      <w:pPr>
        <w:spacing w:after="0" w:line="240" w:lineRule="auto"/>
      </w:pPr>
      <w:r>
        <w:separator/>
      </w:r>
    </w:p>
  </w:endnote>
  <w:endnote w:type="continuationSeparator" w:id="0">
    <w:p w:rsidR="009B0BC9" w:rsidRDefault="009B0BC9" w:rsidP="00CB4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1730879"/>
      <w:docPartObj>
        <w:docPartGallery w:val="Page Numbers (Bottom of Page)"/>
        <w:docPartUnique/>
      </w:docPartObj>
    </w:sdtPr>
    <w:sdtEndPr>
      <w:rPr>
        <w:noProof/>
      </w:rPr>
    </w:sdtEndPr>
    <w:sdtContent>
      <w:p w:rsidR="00B46801" w:rsidRDefault="00B4680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B46801" w:rsidRDefault="00B468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0BC9" w:rsidRDefault="009B0BC9" w:rsidP="00CB4632">
      <w:pPr>
        <w:spacing w:after="0" w:line="240" w:lineRule="auto"/>
      </w:pPr>
      <w:r>
        <w:separator/>
      </w:r>
    </w:p>
  </w:footnote>
  <w:footnote w:type="continuationSeparator" w:id="0">
    <w:p w:rsidR="009B0BC9" w:rsidRDefault="009B0BC9" w:rsidP="00CB46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6801" w:rsidRDefault="00B46801">
    <w:pPr>
      <w:pStyle w:val="Header"/>
    </w:pPr>
    <w:r>
      <w:t>Research Methods M7X01494</w:t>
    </w:r>
    <w:r>
      <w:tab/>
    </w:r>
    <w:r>
      <w:tab/>
      <w:t>P152192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BC6551"/>
    <w:multiLevelType w:val="hybridMultilevel"/>
    <w:tmpl w:val="65C6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C03CB6"/>
    <w:multiLevelType w:val="hybridMultilevel"/>
    <w:tmpl w:val="987C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2003DE"/>
    <w:multiLevelType w:val="hybridMultilevel"/>
    <w:tmpl w:val="22E87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485F8F"/>
    <w:multiLevelType w:val="hybridMultilevel"/>
    <w:tmpl w:val="66C02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BC8343E"/>
    <w:multiLevelType w:val="multilevel"/>
    <w:tmpl w:val="BF6AE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1E76EFF"/>
    <w:multiLevelType w:val="hybridMultilevel"/>
    <w:tmpl w:val="1BB66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6D23553"/>
    <w:multiLevelType w:val="hybridMultilevel"/>
    <w:tmpl w:val="CDA00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7956A15"/>
    <w:multiLevelType w:val="hybridMultilevel"/>
    <w:tmpl w:val="D5386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B2502FE"/>
    <w:multiLevelType w:val="hybridMultilevel"/>
    <w:tmpl w:val="09348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D310634"/>
    <w:multiLevelType w:val="hybridMultilevel"/>
    <w:tmpl w:val="4FEA1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3"/>
  </w:num>
  <w:num w:numId="4">
    <w:abstractNumId w:val="5"/>
  </w:num>
  <w:num w:numId="5">
    <w:abstractNumId w:val="0"/>
  </w:num>
  <w:num w:numId="6">
    <w:abstractNumId w:val="9"/>
  </w:num>
  <w:num w:numId="7">
    <w:abstractNumId w:val="8"/>
  </w:num>
  <w:num w:numId="8">
    <w:abstractNumId w:val="6"/>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5FD2"/>
    <w:rsid w:val="00017097"/>
    <w:rsid w:val="00030F76"/>
    <w:rsid w:val="00036AF0"/>
    <w:rsid w:val="0006523A"/>
    <w:rsid w:val="00072C74"/>
    <w:rsid w:val="00075B3B"/>
    <w:rsid w:val="00096B78"/>
    <w:rsid w:val="000C3108"/>
    <w:rsid w:val="000C6C25"/>
    <w:rsid w:val="000D3FB6"/>
    <w:rsid w:val="0011056C"/>
    <w:rsid w:val="001208F2"/>
    <w:rsid w:val="00124FCB"/>
    <w:rsid w:val="001349A0"/>
    <w:rsid w:val="00137401"/>
    <w:rsid w:val="00161982"/>
    <w:rsid w:val="001858A7"/>
    <w:rsid w:val="001A2537"/>
    <w:rsid w:val="001A2722"/>
    <w:rsid w:val="002030B7"/>
    <w:rsid w:val="00222754"/>
    <w:rsid w:val="0024482F"/>
    <w:rsid w:val="00256515"/>
    <w:rsid w:val="002625F0"/>
    <w:rsid w:val="0029099B"/>
    <w:rsid w:val="002B55A7"/>
    <w:rsid w:val="002E4277"/>
    <w:rsid w:val="00311BC8"/>
    <w:rsid w:val="00322CDE"/>
    <w:rsid w:val="0032628A"/>
    <w:rsid w:val="00337CC7"/>
    <w:rsid w:val="003A55A8"/>
    <w:rsid w:val="003F3D7A"/>
    <w:rsid w:val="00405985"/>
    <w:rsid w:val="00405EE2"/>
    <w:rsid w:val="00406155"/>
    <w:rsid w:val="00414115"/>
    <w:rsid w:val="00454D66"/>
    <w:rsid w:val="004737FF"/>
    <w:rsid w:val="00473D46"/>
    <w:rsid w:val="004C1857"/>
    <w:rsid w:val="004E57D6"/>
    <w:rsid w:val="004F36F4"/>
    <w:rsid w:val="00507DF4"/>
    <w:rsid w:val="00527DF6"/>
    <w:rsid w:val="00533BBC"/>
    <w:rsid w:val="005377E9"/>
    <w:rsid w:val="005434C3"/>
    <w:rsid w:val="005C284F"/>
    <w:rsid w:val="0060291B"/>
    <w:rsid w:val="0064025C"/>
    <w:rsid w:val="00641711"/>
    <w:rsid w:val="00661381"/>
    <w:rsid w:val="00670FF7"/>
    <w:rsid w:val="0068390F"/>
    <w:rsid w:val="006A38A7"/>
    <w:rsid w:val="006B7DE3"/>
    <w:rsid w:val="006D3176"/>
    <w:rsid w:val="006D3DA2"/>
    <w:rsid w:val="00705923"/>
    <w:rsid w:val="00734C94"/>
    <w:rsid w:val="007473F3"/>
    <w:rsid w:val="00757F4B"/>
    <w:rsid w:val="00773ADC"/>
    <w:rsid w:val="00780D62"/>
    <w:rsid w:val="00794FF2"/>
    <w:rsid w:val="007A5623"/>
    <w:rsid w:val="007D0DFE"/>
    <w:rsid w:val="007D4318"/>
    <w:rsid w:val="00845F73"/>
    <w:rsid w:val="008579FB"/>
    <w:rsid w:val="008612E7"/>
    <w:rsid w:val="008B5E65"/>
    <w:rsid w:val="008D4ED9"/>
    <w:rsid w:val="008E279C"/>
    <w:rsid w:val="008E6BB3"/>
    <w:rsid w:val="009111F3"/>
    <w:rsid w:val="009162B8"/>
    <w:rsid w:val="00924AF4"/>
    <w:rsid w:val="00953A06"/>
    <w:rsid w:val="00974DDB"/>
    <w:rsid w:val="0097583D"/>
    <w:rsid w:val="00985D49"/>
    <w:rsid w:val="009930E0"/>
    <w:rsid w:val="009B0BC9"/>
    <w:rsid w:val="009B4138"/>
    <w:rsid w:val="009B5440"/>
    <w:rsid w:val="009D3D59"/>
    <w:rsid w:val="009E7241"/>
    <w:rsid w:val="009F0126"/>
    <w:rsid w:val="00A0182E"/>
    <w:rsid w:val="00A01B1D"/>
    <w:rsid w:val="00A1235D"/>
    <w:rsid w:val="00A164E0"/>
    <w:rsid w:val="00A24CBB"/>
    <w:rsid w:val="00A42A68"/>
    <w:rsid w:val="00A55237"/>
    <w:rsid w:val="00A56807"/>
    <w:rsid w:val="00A6477F"/>
    <w:rsid w:val="00A92E76"/>
    <w:rsid w:val="00A93A64"/>
    <w:rsid w:val="00AA61CE"/>
    <w:rsid w:val="00AF622C"/>
    <w:rsid w:val="00B42A44"/>
    <w:rsid w:val="00B46801"/>
    <w:rsid w:val="00B5280E"/>
    <w:rsid w:val="00B97BC3"/>
    <w:rsid w:val="00BB7E9F"/>
    <w:rsid w:val="00BD1AB8"/>
    <w:rsid w:val="00BD55F4"/>
    <w:rsid w:val="00BF5FD2"/>
    <w:rsid w:val="00C02A8F"/>
    <w:rsid w:val="00C03EC0"/>
    <w:rsid w:val="00C4719C"/>
    <w:rsid w:val="00C703BE"/>
    <w:rsid w:val="00CB4632"/>
    <w:rsid w:val="00CD2A12"/>
    <w:rsid w:val="00CE1EE7"/>
    <w:rsid w:val="00CE5A1F"/>
    <w:rsid w:val="00D06C0A"/>
    <w:rsid w:val="00D1089E"/>
    <w:rsid w:val="00D14163"/>
    <w:rsid w:val="00D31566"/>
    <w:rsid w:val="00D44022"/>
    <w:rsid w:val="00D53BF8"/>
    <w:rsid w:val="00D6018C"/>
    <w:rsid w:val="00DA4DD0"/>
    <w:rsid w:val="00DF2936"/>
    <w:rsid w:val="00DF3251"/>
    <w:rsid w:val="00DF5B98"/>
    <w:rsid w:val="00E1204C"/>
    <w:rsid w:val="00E311E1"/>
    <w:rsid w:val="00E44AFB"/>
    <w:rsid w:val="00E56263"/>
    <w:rsid w:val="00E776D0"/>
    <w:rsid w:val="00EA6EC5"/>
    <w:rsid w:val="00EB44EF"/>
    <w:rsid w:val="00ED404C"/>
    <w:rsid w:val="00EF65FD"/>
    <w:rsid w:val="00F5588F"/>
    <w:rsid w:val="00F72DFC"/>
    <w:rsid w:val="00F83E29"/>
    <w:rsid w:val="00F86C38"/>
    <w:rsid w:val="00FA13ED"/>
    <w:rsid w:val="00FB4E8C"/>
    <w:rsid w:val="00FD04E1"/>
    <w:rsid w:val="00FD3639"/>
    <w:rsid w:val="00FF1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F5F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5FD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E776D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F5FD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5FD2"/>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BF5FD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F5FD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F5FD2"/>
    <w:pPr>
      <w:outlineLvl w:val="9"/>
    </w:pPr>
    <w:rPr>
      <w:lang w:val="en-US" w:eastAsia="ja-JP"/>
    </w:rPr>
  </w:style>
  <w:style w:type="paragraph" w:styleId="TOC2">
    <w:name w:val="toc 2"/>
    <w:basedOn w:val="Normal"/>
    <w:next w:val="Normal"/>
    <w:autoRedefine/>
    <w:uiPriority w:val="39"/>
    <w:unhideWhenUsed/>
    <w:rsid w:val="00BF5FD2"/>
    <w:pPr>
      <w:spacing w:after="100"/>
      <w:ind w:left="220"/>
    </w:pPr>
  </w:style>
  <w:style w:type="character" w:styleId="Hyperlink">
    <w:name w:val="Hyperlink"/>
    <w:basedOn w:val="DefaultParagraphFont"/>
    <w:uiPriority w:val="99"/>
    <w:unhideWhenUsed/>
    <w:rsid w:val="00BF5FD2"/>
    <w:rPr>
      <w:color w:val="0000FF" w:themeColor="hyperlink"/>
      <w:u w:val="single"/>
    </w:rPr>
  </w:style>
  <w:style w:type="paragraph" w:styleId="BalloonText">
    <w:name w:val="Balloon Text"/>
    <w:basedOn w:val="Normal"/>
    <w:link w:val="BalloonTextChar"/>
    <w:uiPriority w:val="99"/>
    <w:semiHidden/>
    <w:unhideWhenUsed/>
    <w:rsid w:val="00BF5F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FD2"/>
    <w:rPr>
      <w:rFonts w:ascii="Tahoma" w:hAnsi="Tahoma" w:cs="Tahoma"/>
      <w:sz w:val="16"/>
      <w:szCs w:val="16"/>
    </w:rPr>
  </w:style>
  <w:style w:type="paragraph" w:styleId="NoSpacing">
    <w:name w:val="No Spacing"/>
    <w:uiPriority w:val="1"/>
    <w:qFormat/>
    <w:rsid w:val="00BF5FD2"/>
    <w:pPr>
      <w:spacing w:after="0" w:line="240" w:lineRule="auto"/>
    </w:pPr>
  </w:style>
  <w:style w:type="paragraph" w:styleId="TOC1">
    <w:name w:val="toc 1"/>
    <w:basedOn w:val="Normal"/>
    <w:next w:val="Normal"/>
    <w:autoRedefine/>
    <w:uiPriority w:val="39"/>
    <w:unhideWhenUsed/>
    <w:rsid w:val="008579FB"/>
    <w:pPr>
      <w:spacing w:after="100"/>
    </w:pPr>
  </w:style>
  <w:style w:type="paragraph" w:styleId="Header">
    <w:name w:val="header"/>
    <w:basedOn w:val="Normal"/>
    <w:link w:val="HeaderChar"/>
    <w:uiPriority w:val="99"/>
    <w:unhideWhenUsed/>
    <w:rsid w:val="00CB4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632"/>
  </w:style>
  <w:style w:type="paragraph" w:styleId="Footer">
    <w:name w:val="footer"/>
    <w:basedOn w:val="Normal"/>
    <w:link w:val="FooterChar"/>
    <w:uiPriority w:val="99"/>
    <w:unhideWhenUsed/>
    <w:rsid w:val="00CB4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632"/>
  </w:style>
  <w:style w:type="paragraph" w:styleId="ListParagraph">
    <w:name w:val="List Paragraph"/>
    <w:basedOn w:val="Normal"/>
    <w:uiPriority w:val="34"/>
    <w:qFormat/>
    <w:rsid w:val="00985D49"/>
    <w:pPr>
      <w:ind w:left="720"/>
      <w:contextualSpacing/>
    </w:pPr>
  </w:style>
  <w:style w:type="table" w:styleId="TableGrid">
    <w:name w:val="Table Grid"/>
    <w:basedOn w:val="TableNormal"/>
    <w:uiPriority w:val="59"/>
    <w:rsid w:val="00017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6515"/>
  </w:style>
  <w:style w:type="character" w:styleId="FollowedHyperlink">
    <w:name w:val="FollowedHyperlink"/>
    <w:basedOn w:val="DefaultParagraphFont"/>
    <w:uiPriority w:val="99"/>
    <w:semiHidden/>
    <w:unhideWhenUsed/>
    <w:rsid w:val="00A55237"/>
    <w:rPr>
      <w:color w:val="800080" w:themeColor="followedHyperlink"/>
      <w:u w:val="single"/>
    </w:rPr>
  </w:style>
  <w:style w:type="character" w:styleId="HTMLCite">
    <w:name w:val="HTML Cite"/>
    <w:basedOn w:val="DefaultParagraphFont"/>
    <w:uiPriority w:val="99"/>
    <w:semiHidden/>
    <w:unhideWhenUsed/>
    <w:rsid w:val="00B42A44"/>
    <w:rPr>
      <w:i/>
      <w:iCs/>
    </w:rPr>
  </w:style>
  <w:style w:type="character" w:customStyle="1" w:styleId="Heading4Char">
    <w:name w:val="Heading 4 Char"/>
    <w:basedOn w:val="DefaultParagraphFont"/>
    <w:link w:val="Heading4"/>
    <w:uiPriority w:val="9"/>
    <w:semiHidden/>
    <w:rsid w:val="00E776D0"/>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E776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162B8"/>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F5F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5FD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E776D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F5FD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5FD2"/>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BF5FD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F5FD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F5FD2"/>
    <w:pPr>
      <w:outlineLvl w:val="9"/>
    </w:pPr>
    <w:rPr>
      <w:lang w:val="en-US" w:eastAsia="ja-JP"/>
    </w:rPr>
  </w:style>
  <w:style w:type="paragraph" w:styleId="TOC2">
    <w:name w:val="toc 2"/>
    <w:basedOn w:val="Normal"/>
    <w:next w:val="Normal"/>
    <w:autoRedefine/>
    <w:uiPriority w:val="39"/>
    <w:unhideWhenUsed/>
    <w:rsid w:val="00BF5FD2"/>
    <w:pPr>
      <w:spacing w:after="100"/>
      <w:ind w:left="220"/>
    </w:pPr>
  </w:style>
  <w:style w:type="character" w:styleId="Hyperlink">
    <w:name w:val="Hyperlink"/>
    <w:basedOn w:val="DefaultParagraphFont"/>
    <w:uiPriority w:val="99"/>
    <w:unhideWhenUsed/>
    <w:rsid w:val="00BF5FD2"/>
    <w:rPr>
      <w:color w:val="0000FF" w:themeColor="hyperlink"/>
      <w:u w:val="single"/>
    </w:rPr>
  </w:style>
  <w:style w:type="paragraph" w:styleId="BalloonText">
    <w:name w:val="Balloon Text"/>
    <w:basedOn w:val="Normal"/>
    <w:link w:val="BalloonTextChar"/>
    <w:uiPriority w:val="99"/>
    <w:semiHidden/>
    <w:unhideWhenUsed/>
    <w:rsid w:val="00BF5F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FD2"/>
    <w:rPr>
      <w:rFonts w:ascii="Tahoma" w:hAnsi="Tahoma" w:cs="Tahoma"/>
      <w:sz w:val="16"/>
      <w:szCs w:val="16"/>
    </w:rPr>
  </w:style>
  <w:style w:type="paragraph" w:styleId="NoSpacing">
    <w:name w:val="No Spacing"/>
    <w:uiPriority w:val="1"/>
    <w:qFormat/>
    <w:rsid w:val="00BF5FD2"/>
    <w:pPr>
      <w:spacing w:after="0" w:line="240" w:lineRule="auto"/>
    </w:pPr>
  </w:style>
  <w:style w:type="paragraph" w:styleId="TOC1">
    <w:name w:val="toc 1"/>
    <w:basedOn w:val="Normal"/>
    <w:next w:val="Normal"/>
    <w:autoRedefine/>
    <w:uiPriority w:val="39"/>
    <w:unhideWhenUsed/>
    <w:rsid w:val="008579FB"/>
    <w:pPr>
      <w:spacing w:after="100"/>
    </w:pPr>
  </w:style>
  <w:style w:type="paragraph" w:styleId="Header">
    <w:name w:val="header"/>
    <w:basedOn w:val="Normal"/>
    <w:link w:val="HeaderChar"/>
    <w:uiPriority w:val="99"/>
    <w:unhideWhenUsed/>
    <w:rsid w:val="00CB4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632"/>
  </w:style>
  <w:style w:type="paragraph" w:styleId="Footer">
    <w:name w:val="footer"/>
    <w:basedOn w:val="Normal"/>
    <w:link w:val="FooterChar"/>
    <w:uiPriority w:val="99"/>
    <w:unhideWhenUsed/>
    <w:rsid w:val="00CB4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632"/>
  </w:style>
  <w:style w:type="paragraph" w:styleId="ListParagraph">
    <w:name w:val="List Paragraph"/>
    <w:basedOn w:val="Normal"/>
    <w:uiPriority w:val="34"/>
    <w:qFormat/>
    <w:rsid w:val="00985D49"/>
    <w:pPr>
      <w:ind w:left="720"/>
      <w:contextualSpacing/>
    </w:pPr>
  </w:style>
  <w:style w:type="table" w:styleId="TableGrid">
    <w:name w:val="Table Grid"/>
    <w:basedOn w:val="TableNormal"/>
    <w:uiPriority w:val="59"/>
    <w:rsid w:val="00017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6515"/>
  </w:style>
  <w:style w:type="character" w:styleId="FollowedHyperlink">
    <w:name w:val="FollowedHyperlink"/>
    <w:basedOn w:val="DefaultParagraphFont"/>
    <w:uiPriority w:val="99"/>
    <w:semiHidden/>
    <w:unhideWhenUsed/>
    <w:rsid w:val="00A55237"/>
    <w:rPr>
      <w:color w:val="800080" w:themeColor="followedHyperlink"/>
      <w:u w:val="single"/>
    </w:rPr>
  </w:style>
  <w:style w:type="character" w:styleId="HTMLCite">
    <w:name w:val="HTML Cite"/>
    <w:basedOn w:val="DefaultParagraphFont"/>
    <w:uiPriority w:val="99"/>
    <w:semiHidden/>
    <w:unhideWhenUsed/>
    <w:rsid w:val="00B42A44"/>
    <w:rPr>
      <w:i/>
      <w:iCs/>
    </w:rPr>
  </w:style>
  <w:style w:type="character" w:customStyle="1" w:styleId="Heading4Char">
    <w:name w:val="Heading 4 Char"/>
    <w:basedOn w:val="DefaultParagraphFont"/>
    <w:link w:val="Heading4"/>
    <w:uiPriority w:val="9"/>
    <w:semiHidden/>
    <w:rsid w:val="00E776D0"/>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E776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162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3595">
      <w:bodyDiv w:val="1"/>
      <w:marLeft w:val="0"/>
      <w:marRight w:val="0"/>
      <w:marTop w:val="0"/>
      <w:marBottom w:val="0"/>
      <w:divBdr>
        <w:top w:val="none" w:sz="0" w:space="0" w:color="auto"/>
        <w:left w:val="none" w:sz="0" w:space="0" w:color="auto"/>
        <w:bottom w:val="none" w:sz="0" w:space="0" w:color="auto"/>
        <w:right w:val="none" w:sz="0" w:space="0" w:color="auto"/>
      </w:divBdr>
    </w:div>
    <w:div w:id="117800126">
      <w:bodyDiv w:val="1"/>
      <w:marLeft w:val="0"/>
      <w:marRight w:val="0"/>
      <w:marTop w:val="0"/>
      <w:marBottom w:val="0"/>
      <w:divBdr>
        <w:top w:val="none" w:sz="0" w:space="0" w:color="auto"/>
        <w:left w:val="none" w:sz="0" w:space="0" w:color="auto"/>
        <w:bottom w:val="none" w:sz="0" w:space="0" w:color="auto"/>
        <w:right w:val="none" w:sz="0" w:space="0" w:color="auto"/>
      </w:divBdr>
    </w:div>
    <w:div w:id="176114540">
      <w:bodyDiv w:val="1"/>
      <w:marLeft w:val="0"/>
      <w:marRight w:val="0"/>
      <w:marTop w:val="0"/>
      <w:marBottom w:val="0"/>
      <w:divBdr>
        <w:top w:val="none" w:sz="0" w:space="0" w:color="auto"/>
        <w:left w:val="none" w:sz="0" w:space="0" w:color="auto"/>
        <w:bottom w:val="none" w:sz="0" w:space="0" w:color="auto"/>
        <w:right w:val="none" w:sz="0" w:space="0" w:color="auto"/>
      </w:divBdr>
      <w:divsChild>
        <w:div w:id="170030892">
          <w:marLeft w:val="0"/>
          <w:marRight w:val="0"/>
          <w:marTop w:val="0"/>
          <w:marBottom w:val="150"/>
          <w:divBdr>
            <w:top w:val="none" w:sz="0" w:space="0" w:color="auto"/>
            <w:left w:val="none" w:sz="0" w:space="0" w:color="auto"/>
            <w:bottom w:val="none" w:sz="0" w:space="0" w:color="auto"/>
            <w:right w:val="none" w:sz="0" w:space="0" w:color="auto"/>
          </w:divBdr>
        </w:div>
        <w:div w:id="373964724">
          <w:marLeft w:val="0"/>
          <w:marRight w:val="0"/>
          <w:marTop w:val="0"/>
          <w:marBottom w:val="120"/>
          <w:divBdr>
            <w:top w:val="none" w:sz="0" w:space="0" w:color="auto"/>
            <w:left w:val="none" w:sz="0" w:space="0" w:color="auto"/>
            <w:bottom w:val="none" w:sz="0" w:space="0" w:color="auto"/>
            <w:right w:val="none" w:sz="0" w:space="0" w:color="auto"/>
          </w:divBdr>
          <w:divsChild>
            <w:div w:id="107700659">
              <w:marLeft w:val="0"/>
              <w:marRight w:val="0"/>
              <w:marTop w:val="0"/>
              <w:marBottom w:val="0"/>
              <w:divBdr>
                <w:top w:val="none" w:sz="0" w:space="0" w:color="auto"/>
                <w:left w:val="none" w:sz="0" w:space="0" w:color="auto"/>
                <w:bottom w:val="none" w:sz="0" w:space="0" w:color="auto"/>
                <w:right w:val="none" w:sz="0" w:space="0" w:color="auto"/>
              </w:divBdr>
            </w:div>
            <w:div w:id="103835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515278">
      <w:bodyDiv w:val="1"/>
      <w:marLeft w:val="0"/>
      <w:marRight w:val="0"/>
      <w:marTop w:val="0"/>
      <w:marBottom w:val="0"/>
      <w:divBdr>
        <w:top w:val="none" w:sz="0" w:space="0" w:color="auto"/>
        <w:left w:val="none" w:sz="0" w:space="0" w:color="auto"/>
        <w:bottom w:val="none" w:sz="0" w:space="0" w:color="auto"/>
        <w:right w:val="none" w:sz="0" w:space="0" w:color="auto"/>
      </w:divBdr>
      <w:divsChild>
        <w:div w:id="1742363826">
          <w:marLeft w:val="0"/>
          <w:marRight w:val="0"/>
          <w:marTop w:val="0"/>
          <w:marBottom w:val="150"/>
          <w:divBdr>
            <w:top w:val="none" w:sz="0" w:space="0" w:color="auto"/>
            <w:left w:val="none" w:sz="0" w:space="0" w:color="auto"/>
            <w:bottom w:val="none" w:sz="0" w:space="0" w:color="auto"/>
            <w:right w:val="none" w:sz="0" w:space="0" w:color="auto"/>
          </w:divBdr>
        </w:div>
        <w:div w:id="1572347337">
          <w:marLeft w:val="0"/>
          <w:marRight w:val="0"/>
          <w:marTop w:val="0"/>
          <w:marBottom w:val="120"/>
          <w:divBdr>
            <w:top w:val="none" w:sz="0" w:space="0" w:color="auto"/>
            <w:left w:val="none" w:sz="0" w:space="0" w:color="auto"/>
            <w:bottom w:val="none" w:sz="0" w:space="0" w:color="auto"/>
            <w:right w:val="none" w:sz="0" w:space="0" w:color="auto"/>
          </w:divBdr>
          <w:divsChild>
            <w:div w:id="778138003">
              <w:marLeft w:val="0"/>
              <w:marRight w:val="0"/>
              <w:marTop w:val="0"/>
              <w:marBottom w:val="0"/>
              <w:divBdr>
                <w:top w:val="none" w:sz="0" w:space="0" w:color="auto"/>
                <w:left w:val="none" w:sz="0" w:space="0" w:color="auto"/>
                <w:bottom w:val="none" w:sz="0" w:space="0" w:color="auto"/>
                <w:right w:val="none" w:sz="0" w:space="0" w:color="auto"/>
              </w:divBdr>
            </w:div>
            <w:div w:id="7316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598087">
      <w:bodyDiv w:val="1"/>
      <w:marLeft w:val="0"/>
      <w:marRight w:val="0"/>
      <w:marTop w:val="0"/>
      <w:marBottom w:val="0"/>
      <w:divBdr>
        <w:top w:val="none" w:sz="0" w:space="0" w:color="auto"/>
        <w:left w:val="none" w:sz="0" w:space="0" w:color="auto"/>
        <w:bottom w:val="none" w:sz="0" w:space="0" w:color="auto"/>
        <w:right w:val="none" w:sz="0" w:space="0" w:color="auto"/>
      </w:divBdr>
    </w:div>
    <w:div w:id="1659456671">
      <w:bodyDiv w:val="1"/>
      <w:marLeft w:val="0"/>
      <w:marRight w:val="0"/>
      <w:marTop w:val="0"/>
      <w:marBottom w:val="0"/>
      <w:divBdr>
        <w:top w:val="none" w:sz="0" w:space="0" w:color="auto"/>
        <w:left w:val="none" w:sz="0" w:space="0" w:color="auto"/>
        <w:bottom w:val="none" w:sz="0" w:space="0" w:color="auto"/>
        <w:right w:val="none" w:sz="0" w:space="0" w:color="auto"/>
      </w:divBdr>
    </w:div>
    <w:div w:id="1681933780">
      <w:bodyDiv w:val="1"/>
      <w:marLeft w:val="0"/>
      <w:marRight w:val="0"/>
      <w:marTop w:val="0"/>
      <w:marBottom w:val="0"/>
      <w:divBdr>
        <w:top w:val="none" w:sz="0" w:space="0" w:color="auto"/>
        <w:left w:val="none" w:sz="0" w:space="0" w:color="auto"/>
        <w:bottom w:val="none" w:sz="0" w:space="0" w:color="auto"/>
        <w:right w:val="none" w:sz="0" w:space="0" w:color="auto"/>
      </w:divBdr>
    </w:div>
    <w:div w:id="1818377088">
      <w:bodyDiv w:val="1"/>
      <w:marLeft w:val="0"/>
      <w:marRight w:val="0"/>
      <w:marTop w:val="0"/>
      <w:marBottom w:val="0"/>
      <w:divBdr>
        <w:top w:val="none" w:sz="0" w:space="0" w:color="auto"/>
        <w:left w:val="none" w:sz="0" w:space="0" w:color="auto"/>
        <w:bottom w:val="none" w:sz="0" w:space="0" w:color="auto"/>
        <w:right w:val="none" w:sz="0" w:space="0" w:color="auto"/>
      </w:divBdr>
      <w:divsChild>
        <w:div w:id="439222394">
          <w:marLeft w:val="0"/>
          <w:marRight w:val="0"/>
          <w:marTop w:val="0"/>
          <w:marBottom w:val="0"/>
          <w:divBdr>
            <w:top w:val="none" w:sz="0" w:space="0" w:color="auto"/>
            <w:left w:val="none" w:sz="0" w:space="0" w:color="auto"/>
            <w:bottom w:val="none" w:sz="0" w:space="0" w:color="auto"/>
            <w:right w:val="none" w:sz="0" w:space="0" w:color="auto"/>
          </w:divBdr>
        </w:div>
        <w:div w:id="594484909">
          <w:marLeft w:val="0"/>
          <w:marRight w:val="0"/>
          <w:marTop w:val="0"/>
          <w:marBottom w:val="0"/>
          <w:divBdr>
            <w:top w:val="none" w:sz="0" w:space="0" w:color="auto"/>
            <w:left w:val="none" w:sz="0" w:space="0" w:color="auto"/>
            <w:bottom w:val="none" w:sz="0" w:space="0" w:color="auto"/>
            <w:right w:val="none" w:sz="0" w:space="0" w:color="auto"/>
          </w:divBdr>
          <w:divsChild>
            <w:div w:id="112762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732892">
      <w:bodyDiv w:val="1"/>
      <w:marLeft w:val="0"/>
      <w:marRight w:val="0"/>
      <w:marTop w:val="0"/>
      <w:marBottom w:val="0"/>
      <w:divBdr>
        <w:top w:val="none" w:sz="0" w:space="0" w:color="auto"/>
        <w:left w:val="none" w:sz="0" w:space="0" w:color="auto"/>
        <w:bottom w:val="none" w:sz="0" w:space="0" w:color="auto"/>
        <w:right w:val="none" w:sz="0" w:space="0" w:color="auto"/>
      </w:divBdr>
    </w:div>
    <w:div w:id="199151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readingrockets.org/article/what-read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digilitey.wordpress.com/2016/07/28/digital-books-supporting-reading-for-pleasur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m/news/school-news/breaking-views/why-reading-pleasure-doesnt-have-be-about-books" TargetMode="External"/><Relationship Id="rId5" Type="http://schemas.openxmlformats.org/officeDocument/2006/relationships/settings" Target="settings.xml"/><Relationship Id="rId15" Type="http://schemas.openxmlformats.org/officeDocument/2006/relationships/hyperlink" Target="https://literacytrust.org.uk/" TargetMode="External"/><Relationship Id="rId10" Type="http://schemas.openxmlformats.org/officeDocument/2006/relationships/hyperlink" Target="https://doi.org/10.1007/s12187-014-9298-7"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gif"/><Relationship Id="rId14" Type="http://schemas.openxmlformats.org/officeDocument/2006/relationships/hyperlink" Target="http://www.ldonline.org/article/35746%20Accessed%2006/04/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E8E8B6E-1F7A-4414-87AE-DB84396A2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15</Pages>
  <Words>7000</Words>
  <Characters>39901</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Colston's School</Company>
  <LinksUpToDate>false</LinksUpToDate>
  <CharactersWithSpaces>46808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 Leverett</dc:creator>
  <cp:lastModifiedBy>Caitlin Leverett</cp:lastModifiedBy>
  <cp:revision>17</cp:revision>
  <dcterms:created xsi:type="dcterms:W3CDTF">2018-04-14T09:23:00Z</dcterms:created>
  <dcterms:modified xsi:type="dcterms:W3CDTF">2018-04-15T09:38:00Z</dcterms:modified>
</cp:coreProperties>
</file>