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CE236" w14:textId="3E187102" w:rsidR="002040EF" w:rsidRDefault="002040EF" w:rsidP="00FB47E7">
      <w:pPr>
        <w:jc w:val="center"/>
        <w:rPr>
          <w:rFonts w:asciiTheme="minorHAnsi" w:hAnsiTheme="minorHAnsi" w:cstheme="minorHAnsi"/>
          <w:u w:val="single"/>
        </w:rPr>
      </w:pPr>
      <w:r w:rsidRPr="005C3D15">
        <w:rPr>
          <w:rFonts w:asciiTheme="minorHAnsi" w:hAnsiTheme="minorHAnsi" w:cstheme="minorHAnsi"/>
          <w:u w:val="single"/>
        </w:rPr>
        <w:t>The authority of the Prophet is only limited to doctrinal affairs and the matters of worship, as far as worldly affairs are concerned; they are not governed by prophetic authority.</w:t>
      </w:r>
    </w:p>
    <w:p w14:paraId="4AB42FAB" w14:textId="7D959A12" w:rsidR="00FB47E7" w:rsidRDefault="00FB47E7" w:rsidP="00FB47E7">
      <w:pPr>
        <w:jc w:val="center"/>
        <w:rPr>
          <w:rFonts w:asciiTheme="minorHAnsi" w:hAnsiTheme="minorHAnsi" w:cstheme="minorHAnsi"/>
          <w:u w:val="single"/>
        </w:rPr>
      </w:pPr>
    </w:p>
    <w:p w14:paraId="6F449468" w14:textId="74B93B70" w:rsidR="00FB47E7" w:rsidRDefault="00FB47E7" w:rsidP="00FB47E7">
      <w:pPr>
        <w:jc w:val="center"/>
        <w:rPr>
          <w:rFonts w:asciiTheme="minorHAnsi" w:hAnsiTheme="minorHAnsi" w:cstheme="minorHAnsi"/>
          <w:u w:val="single"/>
        </w:rPr>
      </w:pPr>
      <w:r>
        <w:rPr>
          <w:rFonts w:asciiTheme="minorHAnsi" w:hAnsiTheme="minorHAnsi" w:cstheme="minorHAnsi"/>
          <w:u w:val="single"/>
        </w:rPr>
        <w:t xml:space="preserve">Student number: 1600787 </w:t>
      </w:r>
    </w:p>
    <w:p w14:paraId="012A356C" w14:textId="4B501BEB" w:rsidR="00FB47E7" w:rsidRDefault="00FB47E7" w:rsidP="00FB47E7">
      <w:pPr>
        <w:jc w:val="center"/>
        <w:rPr>
          <w:rFonts w:asciiTheme="minorHAnsi" w:hAnsiTheme="minorHAnsi" w:cstheme="minorHAnsi"/>
          <w:u w:val="single"/>
        </w:rPr>
      </w:pPr>
    </w:p>
    <w:p w14:paraId="5B4BDC3D" w14:textId="29A1F019" w:rsidR="00FB47E7" w:rsidRPr="005C3D15" w:rsidRDefault="00FB47E7" w:rsidP="00FB47E7">
      <w:pPr>
        <w:jc w:val="center"/>
        <w:rPr>
          <w:rFonts w:asciiTheme="minorHAnsi" w:hAnsiTheme="minorHAnsi" w:cstheme="minorHAnsi"/>
          <w:u w:val="single"/>
        </w:rPr>
      </w:pPr>
      <w:r>
        <w:rPr>
          <w:rFonts w:asciiTheme="minorHAnsi" w:hAnsiTheme="minorHAnsi" w:cstheme="minorHAnsi"/>
          <w:u w:val="single"/>
        </w:rPr>
        <w:t>Word count:1066</w:t>
      </w:r>
    </w:p>
    <w:p w14:paraId="573DBE7A" w14:textId="77777777" w:rsidR="004B5C2F" w:rsidRPr="005C3D15" w:rsidRDefault="004B5C2F" w:rsidP="002040EF">
      <w:pPr>
        <w:rPr>
          <w:rFonts w:asciiTheme="minorHAnsi" w:hAnsiTheme="minorHAnsi" w:cstheme="minorHAnsi"/>
          <w:u w:val="single"/>
        </w:rPr>
      </w:pPr>
    </w:p>
    <w:p w14:paraId="4F6424BC" w14:textId="7D1CBA23" w:rsidR="004B5C2F" w:rsidRDefault="004B5C2F" w:rsidP="002040EF">
      <w:pPr>
        <w:rPr>
          <w:rFonts w:asciiTheme="minorHAnsi" w:hAnsiTheme="minorHAnsi" w:cstheme="minorHAnsi"/>
        </w:rPr>
      </w:pPr>
      <w:r w:rsidRPr="005C3D15">
        <w:rPr>
          <w:rFonts w:asciiTheme="minorHAnsi" w:hAnsiTheme="minorHAnsi" w:cstheme="minorHAnsi"/>
        </w:rPr>
        <w:t xml:space="preserve">The Quran asserts that one must obey both the Prophet and God. From the verses of the Quran, it is evident that the mission of the Prophet is to guide the people and deliver the proclamation of the religion. </w:t>
      </w:r>
      <w:r w:rsidR="002040EF" w:rsidRPr="005C3D15">
        <w:rPr>
          <w:rFonts w:asciiTheme="minorHAnsi" w:hAnsiTheme="minorHAnsi" w:cstheme="minorHAnsi"/>
        </w:rPr>
        <w:t>The authority of the Prophet</w:t>
      </w:r>
      <w:r w:rsidR="005A0818" w:rsidRPr="005C3D15">
        <w:rPr>
          <w:rFonts w:asciiTheme="minorHAnsi" w:hAnsiTheme="minorHAnsi" w:cstheme="minorHAnsi"/>
        </w:rPr>
        <w:t xml:space="preserve"> </w:t>
      </w:r>
      <w:r w:rsidR="00DE712C" w:rsidRPr="005C3D15">
        <w:rPr>
          <w:rFonts w:asciiTheme="minorHAnsi" w:hAnsiTheme="minorHAnsi" w:cstheme="minorHAnsi"/>
        </w:rPr>
        <w:t xml:space="preserve">is considered by Muslims </w:t>
      </w:r>
      <w:r w:rsidR="0099523F" w:rsidRPr="005C3D15">
        <w:rPr>
          <w:rFonts w:asciiTheme="minorHAnsi" w:hAnsiTheme="minorHAnsi" w:cstheme="minorHAnsi"/>
        </w:rPr>
        <w:t xml:space="preserve">to be </w:t>
      </w:r>
      <w:r w:rsidRPr="005C3D15">
        <w:rPr>
          <w:rFonts w:asciiTheme="minorHAnsi" w:hAnsiTheme="minorHAnsi" w:cstheme="minorHAnsi"/>
        </w:rPr>
        <w:t>of utm</w:t>
      </w:r>
      <w:r w:rsidR="0099523F" w:rsidRPr="005C3D15">
        <w:rPr>
          <w:rFonts w:asciiTheme="minorHAnsi" w:hAnsiTheme="minorHAnsi" w:cstheme="minorHAnsi"/>
        </w:rPr>
        <w:t>ost importan</w:t>
      </w:r>
      <w:r w:rsidRPr="005C3D15">
        <w:rPr>
          <w:rFonts w:asciiTheme="minorHAnsi" w:hAnsiTheme="minorHAnsi" w:cstheme="minorHAnsi"/>
        </w:rPr>
        <w:t>ce</w:t>
      </w:r>
      <w:r w:rsidR="0099523F" w:rsidRPr="005C3D15">
        <w:rPr>
          <w:rFonts w:asciiTheme="minorHAnsi" w:hAnsiTheme="minorHAnsi" w:cstheme="minorHAnsi"/>
        </w:rPr>
        <w:t xml:space="preserve"> after the word of God. </w:t>
      </w:r>
      <w:r w:rsidRPr="005C3D15">
        <w:rPr>
          <w:rFonts w:asciiTheme="minorHAnsi" w:hAnsiTheme="minorHAnsi" w:cstheme="minorHAnsi"/>
        </w:rPr>
        <w:t>Therefore, it</w:t>
      </w:r>
      <w:r w:rsidR="005A0818" w:rsidRPr="005C3D15">
        <w:rPr>
          <w:rFonts w:asciiTheme="minorHAnsi" w:hAnsiTheme="minorHAnsi" w:cstheme="minorHAnsi"/>
        </w:rPr>
        <w:t xml:space="preserve"> </w:t>
      </w:r>
      <w:r w:rsidR="002040EF" w:rsidRPr="005C3D15">
        <w:rPr>
          <w:rFonts w:asciiTheme="minorHAnsi" w:hAnsiTheme="minorHAnsi" w:cstheme="minorHAnsi"/>
        </w:rPr>
        <w:t xml:space="preserve">overlaps into worldly concerns as matters of faith influence </w:t>
      </w:r>
      <w:r w:rsidR="005A0818" w:rsidRPr="005C3D15">
        <w:rPr>
          <w:rFonts w:asciiTheme="minorHAnsi" w:hAnsiTheme="minorHAnsi" w:cstheme="minorHAnsi"/>
        </w:rPr>
        <w:t>the</w:t>
      </w:r>
      <w:r w:rsidR="002040EF" w:rsidRPr="005C3D15">
        <w:rPr>
          <w:rFonts w:asciiTheme="minorHAnsi" w:hAnsiTheme="minorHAnsi" w:cstheme="minorHAnsi"/>
        </w:rPr>
        <w:t xml:space="preserve"> outlook</w:t>
      </w:r>
      <w:r w:rsidR="005A0818" w:rsidRPr="005C3D15">
        <w:rPr>
          <w:rFonts w:asciiTheme="minorHAnsi" w:hAnsiTheme="minorHAnsi" w:cstheme="minorHAnsi"/>
        </w:rPr>
        <w:t xml:space="preserve"> of an individual</w:t>
      </w:r>
      <w:r w:rsidR="002040EF" w:rsidRPr="005C3D15">
        <w:rPr>
          <w:rFonts w:asciiTheme="minorHAnsi" w:hAnsiTheme="minorHAnsi" w:cstheme="minorHAnsi"/>
        </w:rPr>
        <w:t xml:space="preserve"> and their moral ethic</w:t>
      </w:r>
      <w:r w:rsidR="0099523F" w:rsidRPr="005C3D15">
        <w:rPr>
          <w:rFonts w:asciiTheme="minorHAnsi" w:hAnsiTheme="minorHAnsi" w:cstheme="minorHAnsi"/>
        </w:rPr>
        <w:t>s</w:t>
      </w:r>
      <w:r w:rsidRPr="005C3D15">
        <w:rPr>
          <w:rFonts w:asciiTheme="minorHAnsi" w:hAnsiTheme="minorHAnsi" w:cstheme="minorHAnsi"/>
        </w:rPr>
        <w:t>.</w:t>
      </w:r>
      <w:r w:rsidR="002040EF" w:rsidRPr="005C3D15">
        <w:rPr>
          <w:rFonts w:asciiTheme="minorHAnsi" w:hAnsiTheme="minorHAnsi" w:cstheme="minorHAnsi"/>
        </w:rPr>
        <w:t xml:space="preserve"> </w:t>
      </w:r>
      <w:r w:rsidRPr="005C3D15">
        <w:rPr>
          <w:rFonts w:asciiTheme="minorHAnsi" w:hAnsiTheme="minorHAnsi" w:cstheme="minorHAnsi"/>
        </w:rPr>
        <w:t xml:space="preserve">This essay will explore the significance of the Prophetic authority in both doctrinal and worldly affairs. </w:t>
      </w:r>
    </w:p>
    <w:p w14:paraId="521DC740" w14:textId="77777777" w:rsidR="008C05A8" w:rsidRPr="005C3D15" w:rsidRDefault="008C05A8" w:rsidP="002040EF">
      <w:pPr>
        <w:rPr>
          <w:rFonts w:asciiTheme="minorHAnsi" w:hAnsiTheme="minorHAnsi" w:cstheme="minorHAnsi"/>
        </w:rPr>
      </w:pPr>
    </w:p>
    <w:p w14:paraId="7784DE4A" w14:textId="24C351D1" w:rsidR="004B5C2F" w:rsidRDefault="00C17FD2" w:rsidP="002040EF">
      <w:pPr>
        <w:rPr>
          <w:rFonts w:asciiTheme="minorHAnsi" w:hAnsiTheme="minorHAnsi" w:cstheme="minorHAnsi"/>
        </w:rPr>
      </w:pPr>
      <w:r w:rsidRPr="005C3D15">
        <w:rPr>
          <w:rFonts w:asciiTheme="minorHAnsi" w:hAnsiTheme="minorHAnsi" w:cstheme="minorHAnsi"/>
        </w:rPr>
        <w:t>Prophetic authority concerning matters of</w:t>
      </w:r>
      <w:r w:rsidR="004B5C2F" w:rsidRPr="005C3D15">
        <w:rPr>
          <w:rFonts w:asciiTheme="minorHAnsi" w:hAnsiTheme="minorHAnsi" w:cstheme="minorHAnsi"/>
        </w:rPr>
        <w:t xml:space="preserve"> both</w:t>
      </w:r>
      <w:r w:rsidRPr="005C3D15">
        <w:rPr>
          <w:rFonts w:asciiTheme="minorHAnsi" w:hAnsiTheme="minorHAnsi" w:cstheme="minorHAnsi"/>
        </w:rPr>
        <w:t xml:space="preserve"> doctrine </w:t>
      </w:r>
      <w:r w:rsidR="004B5C2F" w:rsidRPr="005C3D15">
        <w:rPr>
          <w:rFonts w:asciiTheme="minorHAnsi" w:hAnsiTheme="minorHAnsi" w:cstheme="minorHAnsi"/>
        </w:rPr>
        <w:t>and</w:t>
      </w:r>
      <w:r w:rsidRPr="005C3D15">
        <w:rPr>
          <w:rFonts w:asciiTheme="minorHAnsi" w:hAnsiTheme="minorHAnsi" w:cstheme="minorHAnsi"/>
        </w:rPr>
        <w:t xml:space="preserve"> worldly</w:t>
      </w:r>
      <w:r w:rsidR="004B5C2F" w:rsidRPr="005C3D15">
        <w:rPr>
          <w:rFonts w:asciiTheme="minorHAnsi" w:hAnsiTheme="minorHAnsi" w:cstheme="minorHAnsi"/>
        </w:rPr>
        <w:t xml:space="preserve"> </w:t>
      </w:r>
      <w:r w:rsidRPr="005C3D15">
        <w:rPr>
          <w:rFonts w:asciiTheme="minorHAnsi" w:hAnsiTheme="minorHAnsi" w:cstheme="minorHAnsi"/>
        </w:rPr>
        <w:t xml:space="preserve">is asserted in the Quran. </w:t>
      </w:r>
      <w:r w:rsidR="004B5C2F" w:rsidRPr="005C3D15">
        <w:rPr>
          <w:rFonts w:asciiTheme="minorHAnsi" w:hAnsiTheme="minorHAnsi" w:cstheme="minorHAnsi"/>
        </w:rPr>
        <w:t>For instance, t</w:t>
      </w:r>
      <w:r w:rsidRPr="005C3D15">
        <w:rPr>
          <w:rFonts w:asciiTheme="minorHAnsi" w:hAnsiTheme="minorHAnsi" w:cstheme="minorHAnsi"/>
        </w:rPr>
        <w:t>he Sura</w:t>
      </w:r>
      <w:r w:rsidR="004B5C2F" w:rsidRPr="005C3D15">
        <w:rPr>
          <w:rFonts w:asciiTheme="minorHAnsi" w:hAnsiTheme="minorHAnsi" w:cstheme="minorHAnsi"/>
        </w:rPr>
        <w:t>-al Shams</w:t>
      </w:r>
      <w:r w:rsidRPr="005C3D15">
        <w:rPr>
          <w:rFonts w:asciiTheme="minorHAnsi" w:hAnsiTheme="minorHAnsi" w:cstheme="minorHAnsi"/>
        </w:rPr>
        <w:t xml:space="preserve"> highlights the importance of following the authority </w:t>
      </w:r>
      <w:r w:rsidR="004B5C2F" w:rsidRPr="005C3D15">
        <w:rPr>
          <w:rFonts w:asciiTheme="minorHAnsi" w:hAnsiTheme="minorHAnsi" w:cstheme="minorHAnsi"/>
        </w:rPr>
        <w:t xml:space="preserve">of the Prophet, which tells the story of </w:t>
      </w:r>
      <w:r w:rsidRPr="005C3D15">
        <w:rPr>
          <w:rFonts w:asciiTheme="minorHAnsi" w:hAnsiTheme="minorHAnsi" w:cstheme="minorHAnsi"/>
        </w:rPr>
        <w:t xml:space="preserve">the </w:t>
      </w:r>
      <w:r w:rsidR="004B5C2F" w:rsidRPr="005C3D15">
        <w:rPr>
          <w:rFonts w:asciiTheme="minorHAnsi" w:hAnsiTheme="minorHAnsi" w:cstheme="minorHAnsi"/>
        </w:rPr>
        <w:t xml:space="preserve">people of the Thamud civilisation. They </w:t>
      </w:r>
      <w:r w:rsidRPr="005C3D15">
        <w:rPr>
          <w:rFonts w:asciiTheme="minorHAnsi" w:hAnsiTheme="minorHAnsi" w:cstheme="minorHAnsi"/>
        </w:rPr>
        <w:t>disobeyed</w:t>
      </w:r>
      <w:r w:rsidR="004B5C2F" w:rsidRPr="005C3D15">
        <w:rPr>
          <w:rFonts w:asciiTheme="minorHAnsi" w:hAnsiTheme="minorHAnsi" w:cstheme="minorHAnsi"/>
        </w:rPr>
        <w:t xml:space="preserve"> Prophet </w:t>
      </w:r>
      <w:proofErr w:type="spellStart"/>
      <w:r w:rsidR="004B5C2F" w:rsidRPr="005C3D15">
        <w:rPr>
          <w:rFonts w:asciiTheme="minorHAnsi" w:hAnsiTheme="minorHAnsi" w:cstheme="minorHAnsi"/>
        </w:rPr>
        <w:t>Salmund</w:t>
      </w:r>
      <w:proofErr w:type="spellEnd"/>
      <w:r w:rsidR="004B5C2F" w:rsidRPr="005C3D15">
        <w:rPr>
          <w:rFonts w:asciiTheme="minorHAnsi" w:hAnsiTheme="minorHAnsi" w:cstheme="minorHAnsi"/>
        </w:rPr>
        <w:t xml:space="preserve"> by rejecting his words as the messenger, thus rejecting the words of God, consequently bringing</w:t>
      </w:r>
      <w:r w:rsidRPr="005C3D15">
        <w:rPr>
          <w:rFonts w:asciiTheme="minorHAnsi" w:hAnsiTheme="minorHAnsi" w:cstheme="minorHAnsi"/>
        </w:rPr>
        <w:t xml:space="preserve"> destruction</w:t>
      </w:r>
      <w:r w:rsidR="004B5C2F" w:rsidRPr="005C3D15">
        <w:rPr>
          <w:rFonts w:asciiTheme="minorHAnsi" w:hAnsiTheme="minorHAnsi" w:cstheme="minorHAnsi"/>
        </w:rPr>
        <w:t xml:space="preserve"> upon themselves</w:t>
      </w:r>
      <w:r w:rsidRPr="005C3D15">
        <w:rPr>
          <w:rStyle w:val="FootnoteReference"/>
          <w:rFonts w:asciiTheme="minorHAnsi" w:hAnsiTheme="minorHAnsi" w:cstheme="minorHAnsi"/>
        </w:rPr>
        <w:footnoteReference w:id="1"/>
      </w:r>
      <w:r w:rsidRPr="005C3D15">
        <w:rPr>
          <w:rFonts w:asciiTheme="minorHAnsi" w:hAnsiTheme="minorHAnsi" w:cstheme="minorHAnsi"/>
        </w:rPr>
        <w:t>. Sells</w:t>
      </w:r>
      <w:r w:rsidR="004B5C2F" w:rsidRPr="005C3D15">
        <w:rPr>
          <w:rFonts w:asciiTheme="minorHAnsi" w:hAnsiTheme="minorHAnsi" w:cstheme="minorHAnsi"/>
        </w:rPr>
        <w:t xml:space="preserve"> states that this </w:t>
      </w:r>
      <w:r w:rsidRPr="005C3D15">
        <w:rPr>
          <w:rFonts w:asciiTheme="minorHAnsi" w:hAnsiTheme="minorHAnsi" w:cstheme="minorHAnsi"/>
        </w:rPr>
        <w:t xml:space="preserve">serves </w:t>
      </w:r>
      <w:r w:rsidR="004B5C2F" w:rsidRPr="005C3D15">
        <w:rPr>
          <w:rFonts w:asciiTheme="minorHAnsi" w:hAnsiTheme="minorHAnsi" w:cstheme="minorHAnsi"/>
        </w:rPr>
        <w:t>as the perfect example which</w:t>
      </w:r>
      <w:r w:rsidRPr="005C3D15">
        <w:rPr>
          <w:rFonts w:asciiTheme="minorHAnsi" w:hAnsiTheme="minorHAnsi" w:cstheme="minorHAnsi"/>
        </w:rPr>
        <w:t xml:space="preserve"> assert</w:t>
      </w:r>
      <w:r w:rsidR="004B5C2F" w:rsidRPr="005C3D15">
        <w:rPr>
          <w:rFonts w:asciiTheme="minorHAnsi" w:hAnsiTheme="minorHAnsi" w:cstheme="minorHAnsi"/>
        </w:rPr>
        <w:t>s</w:t>
      </w:r>
      <w:r w:rsidRPr="005C3D15">
        <w:rPr>
          <w:rFonts w:asciiTheme="minorHAnsi" w:hAnsiTheme="minorHAnsi" w:cstheme="minorHAnsi"/>
        </w:rPr>
        <w:t xml:space="preserve"> the importance of following Prophetic authority</w:t>
      </w:r>
      <w:r w:rsidR="004B5C2F" w:rsidRPr="005C3D15">
        <w:rPr>
          <w:rFonts w:asciiTheme="minorHAnsi" w:hAnsiTheme="minorHAnsi" w:cstheme="minorHAnsi"/>
        </w:rPr>
        <w:t>,</w:t>
      </w:r>
      <w:r w:rsidRPr="005C3D15">
        <w:rPr>
          <w:rFonts w:asciiTheme="minorHAnsi" w:hAnsiTheme="minorHAnsi" w:cstheme="minorHAnsi"/>
        </w:rPr>
        <w:t xml:space="preserve"> as it </w:t>
      </w:r>
      <w:r w:rsidR="004B5C2F" w:rsidRPr="005C3D15">
        <w:rPr>
          <w:rFonts w:asciiTheme="minorHAnsi" w:hAnsiTheme="minorHAnsi" w:cstheme="minorHAnsi"/>
        </w:rPr>
        <w:t>depicts the</w:t>
      </w:r>
      <w:r w:rsidRPr="005C3D15">
        <w:rPr>
          <w:rFonts w:asciiTheme="minorHAnsi" w:hAnsiTheme="minorHAnsi" w:cstheme="minorHAnsi"/>
        </w:rPr>
        <w:t xml:space="preserve"> fate </w:t>
      </w:r>
      <w:r w:rsidR="004B5C2F" w:rsidRPr="005C3D15">
        <w:rPr>
          <w:rFonts w:asciiTheme="minorHAnsi" w:hAnsiTheme="minorHAnsi" w:cstheme="minorHAnsi"/>
        </w:rPr>
        <w:t xml:space="preserve">of </w:t>
      </w:r>
      <w:r w:rsidRPr="005C3D15">
        <w:rPr>
          <w:rFonts w:asciiTheme="minorHAnsi" w:hAnsiTheme="minorHAnsi" w:cstheme="minorHAnsi"/>
        </w:rPr>
        <w:t xml:space="preserve">those who do not heed the Prophet. </w:t>
      </w:r>
    </w:p>
    <w:p w14:paraId="7426855B" w14:textId="77777777" w:rsidR="008C05A8" w:rsidRPr="005C3D15" w:rsidRDefault="008C05A8" w:rsidP="002040EF">
      <w:pPr>
        <w:rPr>
          <w:rFonts w:asciiTheme="minorHAnsi" w:hAnsiTheme="minorHAnsi" w:cstheme="minorHAnsi"/>
        </w:rPr>
      </w:pPr>
    </w:p>
    <w:p w14:paraId="6EF2E006" w14:textId="339DDA02" w:rsidR="004B5C2F" w:rsidRDefault="004B5C2F" w:rsidP="004B5C2F">
      <w:pPr>
        <w:rPr>
          <w:rFonts w:asciiTheme="minorHAnsi" w:hAnsiTheme="minorHAnsi" w:cstheme="minorHAnsi"/>
        </w:rPr>
      </w:pPr>
      <w:r w:rsidRPr="005C3D15">
        <w:rPr>
          <w:rFonts w:asciiTheme="minorHAnsi" w:hAnsiTheme="minorHAnsi" w:cstheme="minorHAnsi"/>
        </w:rPr>
        <w:t xml:space="preserve">With the establishment of the importance of the Prophetic authority, it becomes essential to look to the Prophets for guidance, as it is evident from the story that they deliver the word of God. The authority of the Prophet as all-encompassing in the matters of authority is established and justified throughout the Quran as he was elected by God to be his Messenger. </w:t>
      </w:r>
      <w:proofErr w:type="spellStart"/>
      <w:r w:rsidRPr="005C3D15">
        <w:rPr>
          <w:rFonts w:asciiTheme="minorHAnsi" w:hAnsiTheme="minorHAnsi" w:cstheme="minorHAnsi"/>
        </w:rPr>
        <w:t>Madani</w:t>
      </w:r>
      <w:proofErr w:type="spellEnd"/>
      <w:r w:rsidRPr="005C3D15">
        <w:rPr>
          <w:rFonts w:asciiTheme="minorHAnsi" w:hAnsiTheme="minorHAnsi" w:cstheme="minorHAnsi"/>
        </w:rPr>
        <w:t xml:space="preserve"> references two types of revelations to the Prophet as the Messenger of God; the spoken and the unspoken. The spoken revelations are words of recorded in the Quran, and unspoken revelations are used by the Prophet to teach the ways of Islam</w:t>
      </w:r>
      <w:r w:rsidRPr="005C3D15">
        <w:rPr>
          <w:rStyle w:val="FootnoteReference"/>
          <w:rFonts w:asciiTheme="minorHAnsi" w:hAnsiTheme="minorHAnsi" w:cstheme="minorHAnsi"/>
        </w:rPr>
        <w:footnoteReference w:id="2"/>
      </w:r>
      <w:r w:rsidRPr="005C3D15">
        <w:rPr>
          <w:rFonts w:asciiTheme="minorHAnsi" w:hAnsiTheme="minorHAnsi" w:cstheme="minorHAnsi"/>
        </w:rPr>
        <w:t xml:space="preserve">, which is known as the </w:t>
      </w:r>
      <w:r w:rsidRPr="005C3D15">
        <w:rPr>
          <w:rFonts w:asciiTheme="minorHAnsi" w:hAnsiTheme="minorHAnsi" w:cstheme="minorHAnsi"/>
          <w:i/>
          <w:iCs/>
        </w:rPr>
        <w:t>hadith</w:t>
      </w:r>
      <w:r w:rsidRPr="005C3D15">
        <w:rPr>
          <w:rFonts w:asciiTheme="minorHAnsi" w:hAnsiTheme="minorHAnsi" w:cstheme="minorHAnsi"/>
        </w:rPr>
        <w:t>. The sole role of the prophet is reflected in the Quran as it states:</w:t>
      </w:r>
    </w:p>
    <w:p w14:paraId="1830FBC0" w14:textId="77777777" w:rsidR="008C05A8" w:rsidRPr="005C3D15" w:rsidRDefault="008C05A8" w:rsidP="004B5C2F">
      <w:pPr>
        <w:rPr>
          <w:rFonts w:asciiTheme="minorHAnsi" w:hAnsiTheme="minorHAnsi" w:cstheme="minorHAnsi"/>
        </w:rPr>
      </w:pPr>
    </w:p>
    <w:p w14:paraId="307AB808" w14:textId="2A36AAC6" w:rsidR="004B5C2F" w:rsidRDefault="004B5C2F" w:rsidP="002040EF">
      <w:pPr>
        <w:rPr>
          <w:rFonts w:asciiTheme="minorHAnsi" w:hAnsiTheme="minorHAnsi" w:cstheme="minorHAnsi"/>
          <w:i/>
          <w:iCs/>
        </w:rPr>
      </w:pPr>
      <w:r w:rsidRPr="005C3D15">
        <w:rPr>
          <w:rFonts w:asciiTheme="minorHAnsi" w:hAnsiTheme="minorHAnsi" w:cstheme="minorHAnsi"/>
        </w:rPr>
        <w:t>“</w:t>
      </w:r>
      <w:r w:rsidRPr="005C3D15">
        <w:rPr>
          <w:rFonts w:asciiTheme="minorHAnsi" w:hAnsiTheme="minorHAnsi" w:cstheme="minorHAnsi"/>
          <w:i/>
          <w:iCs/>
        </w:rPr>
        <w:t>Obey God, obey the Messenger, and always be on your guard: if you pay no heed, bear in mind that the sole duty of Our Messenger is to deliver the message clearly</w:t>
      </w:r>
      <w:r w:rsidRPr="005C3D15">
        <w:rPr>
          <w:rFonts w:asciiTheme="minorHAnsi" w:hAnsiTheme="minorHAnsi" w:cstheme="minorHAnsi"/>
        </w:rPr>
        <w:t xml:space="preserve">” </w:t>
      </w:r>
      <w:r w:rsidRPr="005C3D15">
        <w:rPr>
          <w:rFonts w:asciiTheme="minorHAnsi" w:hAnsiTheme="minorHAnsi" w:cstheme="minorHAnsi"/>
          <w:i/>
          <w:iCs/>
        </w:rPr>
        <w:t>[verse 5:92]</w:t>
      </w:r>
    </w:p>
    <w:p w14:paraId="0E424659" w14:textId="77777777" w:rsidR="008C05A8" w:rsidRPr="005C3D15" w:rsidRDefault="008C05A8" w:rsidP="002040EF">
      <w:pPr>
        <w:rPr>
          <w:rFonts w:asciiTheme="minorHAnsi" w:hAnsiTheme="minorHAnsi" w:cstheme="minorHAnsi"/>
        </w:rPr>
      </w:pPr>
    </w:p>
    <w:p w14:paraId="71252FA8" w14:textId="17EA6AAF" w:rsidR="004B5C2F" w:rsidRPr="005C3D15" w:rsidRDefault="002040EF" w:rsidP="002040EF">
      <w:pPr>
        <w:rPr>
          <w:rFonts w:asciiTheme="minorHAnsi" w:hAnsiTheme="minorHAnsi" w:cstheme="minorHAnsi"/>
        </w:rPr>
      </w:pPr>
      <w:r w:rsidRPr="005C3D15">
        <w:rPr>
          <w:rFonts w:asciiTheme="minorHAnsi" w:hAnsiTheme="minorHAnsi" w:cstheme="minorHAnsi"/>
        </w:rPr>
        <w:t>In this statement, the Prophet is made the highest authorit</w:t>
      </w:r>
      <w:r w:rsidR="004B5C2F" w:rsidRPr="005C3D15">
        <w:rPr>
          <w:rFonts w:asciiTheme="minorHAnsi" w:hAnsiTheme="minorHAnsi" w:cstheme="minorHAnsi"/>
        </w:rPr>
        <w:t>y</w:t>
      </w:r>
      <w:r w:rsidRPr="005C3D15">
        <w:rPr>
          <w:rFonts w:asciiTheme="minorHAnsi" w:hAnsiTheme="minorHAnsi" w:cstheme="minorHAnsi"/>
        </w:rPr>
        <w:t xml:space="preserve"> within Islam</w:t>
      </w:r>
      <w:r w:rsidR="004B5C2F" w:rsidRPr="005C3D15">
        <w:rPr>
          <w:rFonts w:asciiTheme="minorHAnsi" w:hAnsiTheme="minorHAnsi" w:cstheme="minorHAnsi"/>
        </w:rPr>
        <w:t xml:space="preserve"> after God. It </w:t>
      </w:r>
      <w:r w:rsidRPr="005C3D15">
        <w:rPr>
          <w:rFonts w:asciiTheme="minorHAnsi" w:hAnsiTheme="minorHAnsi" w:cstheme="minorHAnsi"/>
        </w:rPr>
        <w:t>has been interpreted by</w:t>
      </w:r>
      <w:r w:rsidRPr="005C3D15">
        <w:rPr>
          <w:rFonts w:asciiTheme="minorHAnsi" w:hAnsiTheme="minorHAnsi" w:cstheme="minorHAnsi"/>
          <w:i/>
          <w:iCs/>
        </w:rPr>
        <w:t xml:space="preserve"> </w:t>
      </w:r>
      <w:proofErr w:type="spellStart"/>
      <w:r w:rsidRPr="005C3D15">
        <w:rPr>
          <w:rFonts w:asciiTheme="minorHAnsi" w:hAnsiTheme="minorHAnsi" w:cstheme="minorHAnsi"/>
        </w:rPr>
        <w:t>Seyyed</w:t>
      </w:r>
      <w:proofErr w:type="spellEnd"/>
      <w:r w:rsidRPr="005C3D15">
        <w:rPr>
          <w:rFonts w:asciiTheme="minorHAnsi" w:hAnsiTheme="minorHAnsi" w:cstheme="minorHAnsi"/>
        </w:rPr>
        <w:t xml:space="preserve"> Nasar to mean that the Prophet was not sent to the people with the intention of becoming a leader</w:t>
      </w:r>
      <w:r w:rsidR="004B5C2F" w:rsidRPr="005C3D15">
        <w:rPr>
          <w:rFonts w:asciiTheme="minorHAnsi" w:hAnsiTheme="minorHAnsi" w:cstheme="minorHAnsi"/>
        </w:rPr>
        <w:t>,</w:t>
      </w:r>
      <w:r w:rsidRPr="005C3D15">
        <w:rPr>
          <w:rFonts w:asciiTheme="minorHAnsi" w:hAnsiTheme="minorHAnsi" w:cstheme="minorHAnsi"/>
        </w:rPr>
        <w:t xml:space="preserve"> </w:t>
      </w:r>
      <w:r w:rsidR="004B5C2F" w:rsidRPr="005C3D15">
        <w:rPr>
          <w:rFonts w:asciiTheme="minorHAnsi" w:hAnsiTheme="minorHAnsi" w:cstheme="minorHAnsi"/>
        </w:rPr>
        <w:t>but</w:t>
      </w:r>
      <w:r w:rsidRPr="005C3D15">
        <w:rPr>
          <w:rFonts w:asciiTheme="minorHAnsi" w:hAnsiTheme="minorHAnsi" w:cstheme="minorHAnsi"/>
        </w:rPr>
        <w:t xml:space="preserve"> only to deliver the word of God</w:t>
      </w:r>
      <w:r w:rsidRPr="005C3D15">
        <w:rPr>
          <w:rStyle w:val="FootnoteReference"/>
          <w:rFonts w:asciiTheme="minorHAnsi" w:hAnsiTheme="minorHAnsi" w:cstheme="minorHAnsi"/>
        </w:rPr>
        <w:footnoteReference w:id="3"/>
      </w:r>
      <w:r w:rsidRPr="005C3D15">
        <w:rPr>
          <w:rFonts w:asciiTheme="minorHAnsi" w:hAnsiTheme="minorHAnsi" w:cstheme="minorHAnsi"/>
        </w:rPr>
        <w:t xml:space="preserve">. </w:t>
      </w:r>
      <w:r w:rsidR="004B5C2F" w:rsidRPr="005C3D15">
        <w:rPr>
          <w:rFonts w:asciiTheme="minorHAnsi" w:hAnsiTheme="minorHAnsi" w:cstheme="minorHAnsi"/>
        </w:rPr>
        <w:t xml:space="preserve">The </w:t>
      </w:r>
      <w:r w:rsidR="004B5C2F" w:rsidRPr="005C3D15">
        <w:rPr>
          <w:rFonts w:asciiTheme="minorHAnsi" w:hAnsiTheme="minorHAnsi" w:cstheme="minorHAnsi"/>
          <w:i/>
          <w:iCs/>
        </w:rPr>
        <w:t>hadiths</w:t>
      </w:r>
      <w:r w:rsidR="004B5C2F" w:rsidRPr="005C3D15">
        <w:rPr>
          <w:rFonts w:asciiTheme="minorHAnsi" w:hAnsiTheme="minorHAnsi" w:cstheme="minorHAnsi"/>
        </w:rPr>
        <w:t xml:space="preserve"> are perceived as non-textual revelations which are authorised by God as a method of further understanding the Quran</w:t>
      </w:r>
      <w:r w:rsidR="004B5C2F" w:rsidRPr="005C3D15">
        <w:rPr>
          <w:rStyle w:val="FootnoteReference"/>
          <w:rFonts w:asciiTheme="minorHAnsi" w:hAnsiTheme="minorHAnsi" w:cstheme="minorHAnsi"/>
        </w:rPr>
        <w:footnoteReference w:id="4"/>
      </w:r>
      <w:r w:rsidR="004B5C2F" w:rsidRPr="005C3D15">
        <w:rPr>
          <w:rFonts w:asciiTheme="minorHAnsi" w:hAnsiTheme="minorHAnsi" w:cstheme="minorHAnsi"/>
        </w:rPr>
        <w:t xml:space="preserve">. </w:t>
      </w:r>
      <w:r w:rsidRPr="005C3D15">
        <w:rPr>
          <w:rFonts w:asciiTheme="minorHAnsi" w:hAnsiTheme="minorHAnsi" w:cstheme="minorHAnsi"/>
        </w:rPr>
        <w:t xml:space="preserve">In light of this, the </w:t>
      </w:r>
      <w:r w:rsidR="004B5C2F" w:rsidRPr="005C3D15">
        <w:rPr>
          <w:rFonts w:asciiTheme="minorHAnsi" w:hAnsiTheme="minorHAnsi" w:cstheme="minorHAnsi"/>
        </w:rPr>
        <w:t xml:space="preserve">authority of the Prophet </w:t>
      </w:r>
      <w:r w:rsidRPr="005C3D15">
        <w:rPr>
          <w:rFonts w:asciiTheme="minorHAnsi" w:hAnsiTheme="minorHAnsi" w:cstheme="minorHAnsi"/>
        </w:rPr>
        <w:t xml:space="preserve">is limited to the doctrine. </w:t>
      </w:r>
    </w:p>
    <w:p w14:paraId="170B7D37" w14:textId="77777777" w:rsidR="004B5C2F" w:rsidRPr="005C3D15" w:rsidRDefault="004B5C2F" w:rsidP="002040EF">
      <w:pPr>
        <w:rPr>
          <w:rFonts w:asciiTheme="minorHAnsi" w:hAnsiTheme="minorHAnsi" w:cstheme="minorHAnsi"/>
        </w:rPr>
      </w:pPr>
    </w:p>
    <w:p w14:paraId="572FBCCB" w14:textId="18E509C3" w:rsidR="004B5C2F" w:rsidRPr="005C3D15" w:rsidRDefault="002040EF" w:rsidP="002040EF">
      <w:pPr>
        <w:rPr>
          <w:rFonts w:asciiTheme="minorHAnsi" w:hAnsiTheme="minorHAnsi" w:cstheme="minorHAnsi"/>
          <w:i/>
          <w:iCs/>
        </w:rPr>
      </w:pPr>
      <w:r w:rsidRPr="005C3D15">
        <w:rPr>
          <w:rFonts w:asciiTheme="minorHAnsi" w:hAnsiTheme="minorHAnsi" w:cstheme="minorHAnsi"/>
        </w:rPr>
        <w:t>However, the non-written revelations</w:t>
      </w:r>
      <w:r w:rsidR="004B5C2F" w:rsidRPr="005C3D15">
        <w:rPr>
          <w:rFonts w:asciiTheme="minorHAnsi" w:hAnsiTheme="minorHAnsi" w:cstheme="minorHAnsi"/>
        </w:rPr>
        <w:t>, which are known as</w:t>
      </w:r>
      <w:r w:rsidRPr="005C3D15">
        <w:rPr>
          <w:rFonts w:asciiTheme="minorHAnsi" w:hAnsiTheme="minorHAnsi" w:cstheme="minorHAnsi"/>
        </w:rPr>
        <w:t xml:space="preserve"> the </w:t>
      </w:r>
      <w:r w:rsidRPr="005C3D15">
        <w:rPr>
          <w:rFonts w:asciiTheme="minorHAnsi" w:hAnsiTheme="minorHAnsi" w:cstheme="minorHAnsi"/>
          <w:i/>
          <w:iCs/>
        </w:rPr>
        <w:t>hadith</w:t>
      </w:r>
      <w:r w:rsidRPr="005C3D15">
        <w:rPr>
          <w:rFonts w:asciiTheme="minorHAnsi" w:hAnsiTheme="minorHAnsi" w:cstheme="minorHAnsi"/>
        </w:rPr>
        <w:t xml:space="preserve"> and </w:t>
      </w:r>
      <w:r w:rsidRPr="005C3D15">
        <w:rPr>
          <w:rFonts w:asciiTheme="minorHAnsi" w:hAnsiTheme="minorHAnsi" w:cstheme="minorHAnsi"/>
          <w:i/>
          <w:iCs/>
        </w:rPr>
        <w:t>sunnah</w:t>
      </w:r>
      <w:r w:rsidRPr="005C3D15">
        <w:rPr>
          <w:rFonts w:asciiTheme="minorHAnsi" w:hAnsiTheme="minorHAnsi" w:cstheme="minorHAnsi"/>
        </w:rPr>
        <w:t xml:space="preserve"> concern worldly affairs and have been developed into legal affairs as a result</w:t>
      </w:r>
      <w:r w:rsidR="00A461E3" w:rsidRPr="005C3D15">
        <w:rPr>
          <w:rFonts w:asciiTheme="minorHAnsi" w:hAnsiTheme="minorHAnsi" w:cstheme="minorHAnsi"/>
        </w:rPr>
        <w:t xml:space="preserve"> of </w:t>
      </w:r>
      <w:r w:rsidR="004B5C2F" w:rsidRPr="005C3D15">
        <w:rPr>
          <w:rFonts w:asciiTheme="minorHAnsi" w:hAnsiTheme="minorHAnsi" w:cstheme="minorHAnsi"/>
        </w:rPr>
        <w:t xml:space="preserve">his </w:t>
      </w:r>
      <w:r w:rsidR="00A461E3" w:rsidRPr="005C3D15">
        <w:rPr>
          <w:rFonts w:asciiTheme="minorHAnsi" w:hAnsiTheme="minorHAnsi" w:cstheme="minorHAnsi"/>
        </w:rPr>
        <w:t>teaching</w:t>
      </w:r>
      <w:r w:rsidR="004B5C2F" w:rsidRPr="005C3D15">
        <w:rPr>
          <w:rFonts w:asciiTheme="minorHAnsi" w:hAnsiTheme="minorHAnsi" w:cstheme="minorHAnsi"/>
        </w:rPr>
        <w:t xml:space="preserve">s. </w:t>
      </w:r>
      <w:r w:rsidRPr="005C3D15">
        <w:rPr>
          <w:rFonts w:asciiTheme="minorHAnsi" w:hAnsiTheme="minorHAnsi" w:cstheme="minorHAnsi"/>
        </w:rPr>
        <w:lastRenderedPageBreak/>
        <w:t>Muslims look toward the Prophet as being an exemplar, who they attempt to emulate</w:t>
      </w:r>
      <w:r w:rsidRPr="005C3D15">
        <w:rPr>
          <w:rStyle w:val="FootnoteReference"/>
          <w:rFonts w:asciiTheme="minorHAnsi" w:hAnsiTheme="minorHAnsi" w:cstheme="minorHAnsi"/>
        </w:rPr>
        <w:footnoteReference w:id="5"/>
      </w:r>
      <w:r w:rsidRPr="005C3D15">
        <w:rPr>
          <w:rFonts w:asciiTheme="minorHAnsi" w:hAnsiTheme="minorHAnsi" w:cstheme="minorHAnsi"/>
        </w:rPr>
        <w:t xml:space="preserve">. </w:t>
      </w:r>
      <w:r w:rsidR="004B5C2F" w:rsidRPr="005C3D15">
        <w:rPr>
          <w:rFonts w:asciiTheme="minorHAnsi" w:hAnsiTheme="minorHAnsi" w:cstheme="minorHAnsi"/>
        </w:rPr>
        <w:t>However,</w:t>
      </w:r>
      <w:r w:rsidRPr="005C3D15">
        <w:rPr>
          <w:rFonts w:asciiTheme="minorHAnsi" w:hAnsiTheme="minorHAnsi" w:cstheme="minorHAnsi"/>
          <w:i/>
          <w:iCs/>
        </w:rPr>
        <w:t xml:space="preserve"> </w:t>
      </w:r>
      <w:r w:rsidRPr="005C3D15">
        <w:rPr>
          <w:rFonts w:asciiTheme="minorHAnsi" w:hAnsiTheme="minorHAnsi" w:cstheme="minorHAnsi"/>
        </w:rPr>
        <w:t>Brown notes that Muslims only regard</w:t>
      </w:r>
      <w:r w:rsidR="004B5C2F" w:rsidRPr="005C3D15">
        <w:rPr>
          <w:rFonts w:asciiTheme="minorHAnsi" w:hAnsiTheme="minorHAnsi" w:cstheme="minorHAnsi"/>
        </w:rPr>
        <w:t>ed</w:t>
      </w:r>
      <w:r w:rsidRPr="005C3D15">
        <w:rPr>
          <w:rFonts w:asciiTheme="minorHAnsi" w:hAnsiTheme="minorHAnsi" w:cstheme="minorHAnsi"/>
        </w:rPr>
        <w:t xml:space="preserve"> the</w:t>
      </w:r>
      <w:r w:rsidR="004B5C2F" w:rsidRPr="005C3D15">
        <w:rPr>
          <w:rFonts w:asciiTheme="minorHAnsi" w:hAnsiTheme="minorHAnsi" w:cstheme="minorHAnsi"/>
        </w:rPr>
        <w:t xml:space="preserve"> authority of the</w:t>
      </w:r>
      <w:r w:rsidRPr="005C3D15">
        <w:rPr>
          <w:rFonts w:asciiTheme="minorHAnsi" w:hAnsiTheme="minorHAnsi" w:cstheme="minorHAnsi"/>
        </w:rPr>
        <w:t xml:space="preserve"> Prophets after he </w:t>
      </w:r>
      <w:r w:rsidR="004B5C2F" w:rsidRPr="005C3D15">
        <w:rPr>
          <w:rFonts w:asciiTheme="minorHAnsi" w:hAnsiTheme="minorHAnsi" w:cstheme="minorHAnsi"/>
        </w:rPr>
        <w:t>was declared as the Messenger of God</w:t>
      </w:r>
      <w:r w:rsidRPr="005C3D15">
        <w:rPr>
          <w:rStyle w:val="FootnoteReference"/>
          <w:rFonts w:asciiTheme="minorHAnsi" w:hAnsiTheme="minorHAnsi" w:cstheme="minorHAnsi"/>
        </w:rPr>
        <w:footnoteReference w:id="6"/>
      </w:r>
      <w:r w:rsidRPr="005C3D15">
        <w:rPr>
          <w:rFonts w:asciiTheme="minorHAnsi" w:hAnsiTheme="minorHAnsi" w:cstheme="minorHAnsi"/>
        </w:rPr>
        <w:t>. Therefore,</w:t>
      </w:r>
      <w:r w:rsidRPr="005C3D15">
        <w:rPr>
          <w:rFonts w:asciiTheme="minorHAnsi" w:hAnsiTheme="minorHAnsi" w:cstheme="minorHAnsi"/>
          <w:i/>
          <w:iCs/>
        </w:rPr>
        <w:t xml:space="preserve"> </w:t>
      </w:r>
      <w:r w:rsidRPr="005C3D15">
        <w:rPr>
          <w:rFonts w:asciiTheme="minorHAnsi" w:hAnsiTheme="minorHAnsi" w:cstheme="minorHAnsi"/>
        </w:rPr>
        <w:t>th</w:t>
      </w:r>
      <w:r w:rsidR="00A97B49" w:rsidRPr="005C3D15">
        <w:rPr>
          <w:rFonts w:asciiTheme="minorHAnsi" w:hAnsiTheme="minorHAnsi" w:cstheme="minorHAnsi"/>
        </w:rPr>
        <w:t>e documentation</w:t>
      </w:r>
      <w:r w:rsidRPr="005C3D15">
        <w:rPr>
          <w:rFonts w:asciiTheme="minorHAnsi" w:hAnsiTheme="minorHAnsi" w:cstheme="minorHAnsi"/>
        </w:rPr>
        <w:t xml:space="preserve"> of </w:t>
      </w:r>
      <w:r w:rsidRPr="005C3D15">
        <w:rPr>
          <w:rFonts w:asciiTheme="minorHAnsi" w:hAnsiTheme="minorHAnsi" w:cstheme="minorHAnsi"/>
          <w:i/>
          <w:iCs/>
        </w:rPr>
        <w:t>hadiths</w:t>
      </w:r>
      <w:r w:rsidRPr="005C3D15">
        <w:rPr>
          <w:rFonts w:asciiTheme="minorHAnsi" w:hAnsiTheme="minorHAnsi" w:cstheme="minorHAnsi"/>
        </w:rPr>
        <w:t xml:space="preserve"> and their preservation </w:t>
      </w:r>
      <w:r w:rsidR="004B5C2F" w:rsidRPr="005C3D15">
        <w:rPr>
          <w:rFonts w:asciiTheme="minorHAnsi" w:hAnsiTheme="minorHAnsi" w:cstheme="minorHAnsi"/>
        </w:rPr>
        <w:t>since</w:t>
      </w:r>
      <w:r w:rsidRPr="005C3D15">
        <w:rPr>
          <w:rFonts w:asciiTheme="minorHAnsi" w:hAnsiTheme="minorHAnsi" w:cstheme="minorHAnsi"/>
        </w:rPr>
        <w:t xml:space="preserve"> his ascent demonstrate</w:t>
      </w:r>
      <w:r w:rsidR="004B5C2F" w:rsidRPr="005C3D15">
        <w:rPr>
          <w:rFonts w:asciiTheme="minorHAnsi" w:hAnsiTheme="minorHAnsi" w:cstheme="minorHAnsi"/>
        </w:rPr>
        <w:t xml:space="preserve"> the significant role </w:t>
      </w:r>
      <w:r w:rsidRPr="005C3D15">
        <w:rPr>
          <w:rFonts w:asciiTheme="minorHAnsi" w:hAnsiTheme="minorHAnsi" w:cstheme="minorHAnsi"/>
        </w:rPr>
        <w:t xml:space="preserve">that the </w:t>
      </w:r>
      <w:r w:rsidRPr="005C3D15">
        <w:rPr>
          <w:rFonts w:asciiTheme="minorHAnsi" w:hAnsiTheme="minorHAnsi" w:cstheme="minorHAnsi"/>
          <w:i/>
          <w:iCs/>
        </w:rPr>
        <w:t>hadiths</w:t>
      </w:r>
      <w:r w:rsidRPr="005C3D15">
        <w:rPr>
          <w:rFonts w:asciiTheme="minorHAnsi" w:hAnsiTheme="minorHAnsi" w:cstheme="minorHAnsi"/>
        </w:rPr>
        <w:t xml:space="preserve"> had on sculpting the lives of Muslims.</w:t>
      </w:r>
      <w:r w:rsidR="004B5C2F" w:rsidRPr="005C3D15">
        <w:rPr>
          <w:rFonts w:asciiTheme="minorHAnsi" w:hAnsiTheme="minorHAnsi" w:cstheme="minorHAnsi"/>
        </w:rPr>
        <w:t xml:space="preserve"> </w:t>
      </w:r>
      <w:r w:rsidR="00A461E3" w:rsidRPr="005C3D15">
        <w:rPr>
          <w:rFonts w:asciiTheme="minorHAnsi" w:hAnsiTheme="minorHAnsi" w:cstheme="minorHAnsi"/>
        </w:rPr>
        <w:t>For example, o</w:t>
      </w:r>
      <w:r w:rsidRPr="005C3D15">
        <w:rPr>
          <w:rFonts w:asciiTheme="minorHAnsi" w:hAnsiTheme="minorHAnsi" w:cstheme="minorHAnsi"/>
        </w:rPr>
        <w:t xml:space="preserve">ne </w:t>
      </w:r>
      <w:r w:rsidRPr="005C3D15">
        <w:rPr>
          <w:rFonts w:asciiTheme="minorHAnsi" w:hAnsiTheme="minorHAnsi" w:cstheme="minorHAnsi"/>
          <w:i/>
          <w:iCs/>
        </w:rPr>
        <w:t>hadith</w:t>
      </w:r>
      <w:r w:rsidRPr="005C3D15">
        <w:rPr>
          <w:rFonts w:asciiTheme="minorHAnsi" w:hAnsiTheme="minorHAnsi" w:cstheme="minorHAnsi"/>
        </w:rPr>
        <w:t xml:space="preserve"> which pertains to strictly worldly matters is recorded by Bukhari</w:t>
      </w:r>
      <w:r w:rsidR="004B5C2F" w:rsidRPr="005C3D15">
        <w:rPr>
          <w:rFonts w:asciiTheme="minorHAnsi" w:hAnsiTheme="minorHAnsi" w:cstheme="minorHAnsi"/>
        </w:rPr>
        <w:t>, which</w:t>
      </w:r>
      <w:r w:rsidRPr="005C3D15">
        <w:rPr>
          <w:rFonts w:asciiTheme="minorHAnsi" w:hAnsiTheme="minorHAnsi" w:cstheme="minorHAnsi"/>
        </w:rPr>
        <w:t xml:space="preserve"> detail</w:t>
      </w:r>
      <w:r w:rsidR="004B5C2F" w:rsidRPr="005C3D15">
        <w:rPr>
          <w:rFonts w:asciiTheme="minorHAnsi" w:hAnsiTheme="minorHAnsi" w:cstheme="minorHAnsi"/>
        </w:rPr>
        <w:t>s</w:t>
      </w:r>
      <w:r w:rsidRPr="005C3D15">
        <w:rPr>
          <w:rFonts w:asciiTheme="minorHAnsi" w:hAnsiTheme="minorHAnsi" w:cstheme="minorHAnsi"/>
        </w:rPr>
        <w:t xml:space="preserve"> the treatment of wild or unruly animals that are to be euthanised in a specific way which prohibits killing them with teeth or fingernail</w:t>
      </w:r>
      <w:r w:rsidRPr="005C3D15">
        <w:rPr>
          <w:rStyle w:val="FootnoteReference"/>
          <w:rFonts w:asciiTheme="minorHAnsi" w:hAnsiTheme="minorHAnsi" w:cstheme="minorHAnsi"/>
        </w:rPr>
        <w:footnoteReference w:id="7"/>
      </w:r>
      <w:r w:rsidRPr="005C3D15">
        <w:rPr>
          <w:rFonts w:asciiTheme="minorHAnsi" w:hAnsiTheme="minorHAnsi" w:cstheme="minorHAnsi"/>
        </w:rPr>
        <w:t xml:space="preserve">. </w:t>
      </w:r>
      <w:r w:rsidR="004B5C2F" w:rsidRPr="005C3D15">
        <w:rPr>
          <w:rFonts w:asciiTheme="minorHAnsi" w:hAnsiTheme="minorHAnsi" w:cstheme="minorHAnsi"/>
        </w:rPr>
        <w:t>This i</w:t>
      </w:r>
      <w:r w:rsidR="00A461E3" w:rsidRPr="005C3D15">
        <w:rPr>
          <w:rFonts w:asciiTheme="minorHAnsi" w:hAnsiTheme="minorHAnsi" w:cstheme="minorHAnsi"/>
        </w:rPr>
        <w:t xml:space="preserve">ndicates that many of the </w:t>
      </w:r>
      <w:r w:rsidR="00A461E3" w:rsidRPr="005C3D15">
        <w:rPr>
          <w:rFonts w:asciiTheme="minorHAnsi" w:hAnsiTheme="minorHAnsi" w:cstheme="minorHAnsi"/>
          <w:i/>
          <w:iCs/>
        </w:rPr>
        <w:t>hadith</w:t>
      </w:r>
      <w:r w:rsidR="004B5C2F" w:rsidRPr="005C3D15">
        <w:rPr>
          <w:rFonts w:asciiTheme="minorHAnsi" w:hAnsiTheme="minorHAnsi" w:cstheme="minorHAnsi"/>
        </w:rPr>
        <w:t xml:space="preserve">s </w:t>
      </w:r>
      <w:r w:rsidR="00A461E3" w:rsidRPr="005C3D15">
        <w:rPr>
          <w:rFonts w:asciiTheme="minorHAnsi" w:hAnsiTheme="minorHAnsi" w:cstheme="minorHAnsi"/>
        </w:rPr>
        <w:t>concern</w:t>
      </w:r>
      <w:r w:rsidR="004B5C2F" w:rsidRPr="005C3D15">
        <w:rPr>
          <w:rFonts w:asciiTheme="minorHAnsi" w:hAnsiTheme="minorHAnsi" w:cstheme="minorHAnsi"/>
        </w:rPr>
        <w:t>ed</w:t>
      </w:r>
      <w:r w:rsidR="00A461E3" w:rsidRPr="005C3D15">
        <w:rPr>
          <w:rFonts w:asciiTheme="minorHAnsi" w:hAnsiTheme="minorHAnsi" w:cstheme="minorHAnsi"/>
        </w:rPr>
        <w:t xml:space="preserve"> worldly affairs. </w:t>
      </w:r>
      <w:r w:rsidR="004B5C2F" w:rsidRPr="005C3D15">
        <w:rPr>
          <w:rFonts w:asciiTheme="minorHAnsi" w:hAnsiTheme="minorHAnsi" w:cstheme="minorHAnsi"/>
        </w:rPr>
        <w:t xml:space="preserve">Therefore, the </w:t>
      </w:r>
      <w:r w:rsidR="004B5C2F" w:rsidRPr="005C3D15">
        <w:rPr>
          <w:rFonts w:asciiTheme="minorHAnsi" w:hAnsiTheme="minorHAnsi" w:cstheme="minorHAnsi"/>
          <w:i/>
          <w:iCs/>
        </w:rPr>
        <w:t>hadith</w:t>
      </w:r>
      <w:r w:rsidR="004B5C2F" w:rsidRPr="005C3D15">
        <w:rPr>
          <w:rFonts w:asciiTheme="minorHAnsi" w:hAnsiTheme="minorHAnsi" w:cstheme="minorHAnsi"/>
        </w:rPr>
        <w:t xml:space="preserve"> and </w:t>
      </w:r>
      <w:r w:rsidR="004B5C2F" w:rsidRPr="005C3D15">
        <w:rPr>
          <w:rFonts w:asciiTheme="minorHAnsi" w:hAnsiTheme="minorHAnsi" w:cstheme="minorHAnsi"/>
          <w:i/>
          <w:iCs/>
        </w:rPr>
        <w:t>sunnah</w:t>
      </w:r>
      <w:r w:rsidR="004B5C2F" w:rsidRPr="005C3D15">
        <w:rPr>
          <w:rFonts w:asciiTheme="minorHAnsi" w:hAnsiTheme="minorHAnsi" w:cstheme="minorHAnsi"/>
        </w:rPr>
        <w:t xml:space="preserve"> are used as guiding means for how Muslims should practice their faith which is not limited to doctrine affairs</w:t>
      </w:r>
      <w:r w:rsidR="004B5C2F" w:rsidRPr="005C3D15">
        <w:rPr>
          <w:rStyle w:val="FootnoteReference"/>
          <w:rFonts w:asciiTheme="minorHAnsi" w:hAnsiTheme="minorHAnsi" w:cstheme="minorHAnsi"/>
          <w:i/>
          <w:iCs/>
        </w:rPr>
        <w:footnoteReference w:id="8"/>
      </w:r>
      <w:r w:rsidR="004B5C2F" w:rsidRPr="005C3D15">
        <w:rPr>
          <w:rFonts w:asciiTheme="minorHAnsi" w:hAnsiTheme="minorHAnsi" w:cstheme="minorHAnsi"/>
          <w:i/>
          <w:iCs/>
        </w:rPr>
        <w:t>.</w:t>
      </w:r>
    </w:p>
    <w:p w14:paraId="4DFFBB34" w14:textId="5F3A131E" w:rsidR="00D16513" w:rsidRDefault="005C3D15" w:rsidP="00D16513">
      <w:pPr>
        <w:spacing w:line="235" w:lineRule="atLeast"/>
        <w:rPr>
          <w:rFonts w:asciiTheme="minorHAnsi" w:hAnsiTheme="minorHAnsi" w:cstheme="minorHAnsi"/>
          <w:color w:val="000000"/>
        </w:rPr>
      </w:pPr>
      <w:r w:rsidRPr="005C3D15">
        <w:rPr>
          <w:rFonts w:asciiTheme="minorHAnsi" w:hAnsiTheme="minorHAnsi" w:cstheme="minorHAnsi"/>
          <w:color w:val="000000"/>
        </w:rPr>
        <w:t>The authority of the Prophet is established by the Quran for all generations of Muslims to come. The Quran states:</w:t>
      </w:r>
    </w:p>
    <w:p w14:paraId="51FC5311" w14:textId="77777777" w:rsidR="005C3D15" w:rsidRPr="005C3D15" w:rsidRDefault="005C3D15" w:rsidP="00D16513">
      <w:pPr>
        <w:spacing w:line="235" w:lineRule="atLeast"/>
        <w:rPr>
          <w:rFonts w:asciiTheme="minorHAnsi" w:hAnsiTheme="minorHAnsi" w:cstheme="minorHAnsi"/>
          <w:color w:val="000000"/>
        </w:rPr>
      </w:pPr>
    </w:p>
    <w:p w14:paraId="1312770F" w14:textId="580BA5F7" w:rsidR="005C3D15" w:rsidRPr="005C3D15" w:rsidRDefault="005C3D15" w:rsidP="00D16513">
      <w:pPr>
        <w:spacing w:line="235" w:lineRule="atLeast"/>
        <w:rPr>
          <w:rFonts w:asciiTheme="minorHAnsi" w:hAnsiTheme="minorHAnsi" w:cstheme="minorHAnsi"/>
          <w:i/>
          <w:iCs/>
          <w:color w:val="000000"/>
        </w:rPr>
      </w:pPr>
      <w:r w:rsidRPr="005C3D15">
        <w:rPr>
          <w:rFonts w:asciiTheme="minorHAnsi" w:hAnsiTheme="minorHAnsi" w:cstheme="minorHAnsi"/>
          <w:i/>
          <w:iCs/>
          <w:color w:val="000000"/>
        </w:rPr>
        <w:t xml:space="preserve">“O those who believe, respond to the call of Allah and His Messenger when he calls you for what gives </w:t>
      </w:r>
      <w:proofErr w:type="spellStart"/>
      <w:r w:rsidRPr="005C3D15">
        <w:rPr>
          <w:rFonts w:asciiTheme="minorHAnsi" w:hAnsiTheme="minorHAnsi" w:cstheme="minorHAnsi"/>
          <w:i/>
          <w:iCs/>
          <w:color w:val="000000"/>
        </w:rPr>
        <w:t>you</w:t>
      </w:r>
      <w:proofErr w:type="spellEnd"/>
      <w:r w:rsidRPr="005C3D15">
        <w:rPr>
          <w:rFonts w:asciiTheme="minorHAnsi" w:hAnsiTheme="minorHAnsi" w:cstheme="minorHAnsi"/>
          <w:i/>
          <w:iCs/>
          <w:color w:val="000000"/>
        </w:rPr>
        <w:t xml:space="preserve"> life” [verse 8:24]</w:t>
      </w:r>
    </w:p>
    <w:p w14:paraId="51EAD90F" w14:textId="77777777" w:rsidR="005C3D15" w:rsidRPr="005C3D15" w:rsidRDefault="005C3D15" w:rsidP="00D16513">
      <w:pPr>
        <w:spacing w:line="235" w:lineRule="atLeast"/>
        <w:rPr>
          <w:rFonts w:asciiTheme="minorHAnsi" w:hAnsiTheme="minorHAnsi" w:cstheme="minorHAnsi"/>
          <w:color w:val="000000"/>
        </w:rPr>
      </w:pPr>
    </w:p>
    <w:p w14:paraId="4D4B75A0" w14:textId="68E7BF28" w:rsidR="005C3D15" w:rsidRPr="00C162A2" w:rsidRDefault="005C3D15" w:rsidP="005C3D15">
      <w:pPr>
        <w:rPr>
          <w:rFonts w:asciiTheme="minorHAnsi" w:hAnsiTheme="minorHAnsi" w:cstheme="minorHAnsi"/>
        </w:rPr>
      </w:pPr>
      <w:r w:rsidRPr="005C3D15">
        <w:rPr>
          <w:rFonts w:asciiTheme="minorHAnsi" w:hAnsiTheme="minorHAnsi" w:cstheme="minorHAnsi"/>
          <w:color w:val="000000"/>
        </w:rPr>
        <w:t>From this statement, it is evident that doctrinal affairs and worldly affairs in Islam go hand in hand, as it is talks about life. The Quran mentions specific injunctions about sale, mortgage, purchase loans, political affairs, problems of war and peace and other aspects of international relations</w:t>
      </w:r>
      <w:r>
        <w:rPr>
          <w:rStyle w:val="FootnoteReference"/>
          <w:rFonts w:asciiTheme="minorHAnsi" w:hAnsiTheme="minorHAnsi" w:cstheme="minorHAnsi"/>
          <w:color w:val="000000"/>
        </w:rPr>
        <w:footnoteReference w:id="9"/>
      </w:r>
      <w:r w:rsidRPr="005C3D15">
        <w:rPr>
          <w:rFonts w:asciiTheme="minorHAnsi" w:hAnsiTheme="minorHAnsi" w:cstheme="minorHAnsi"/>
          <w:color w:val="000000"/>
        </w:rPr>
        <w:t xml:space="preserve">. Moreover, the hadith of the Prophet also deals with social, political and economic problems as the Messenger of God. </w:t>
      </w:r>
      <w:r w:rsidRPr="00C162A2">
        <w:rPr>
          <w:rFonts w:asciiTheme="minorHAnsi" w:hAnsiTheme="minorHAnsi" w:cstheme="minorHAnsi"/>
        </w:rPr>
        <w:t xml:space="preserve">Therefore, as </w:t>
      </w:r>
      <w:proofErr w:type="spellStart"/>
      <w:r w:rsidRPr="00C162A2">
        <w:rPr>
          <w:rFonts w:asciiTheme="minorHAnsi" w:hAnsiTheme="minorHAnsi" w:cstheme="minorHAnsi"/>
          <w:shd w:val="clear" w:color="auto" w:fill="FFFFFF"/>
        </w:rPr>
        <w:t>Taqī</w:t>
      </w:r>
      <w:proofErr w:type="spellEnd"/>
      <w:r w:rsidRPr="00C162A2">
        <w:rPr>
          <w:rFonts w:asciiTheme="minorHAnsi" w:hAnsiTheme="minorHAnsi" w:cstheme="minorHAnsi"/>
          <w:shd w:val="clear" w:color="auto" w:fill="FFFFFF"/>
        </w:rPr>
        <w:t xml:space="preserve"> </w:t>
      </w:r>
      <w:proofErr w:type="spellStart"/>
      <w:r w:rsidRPr="00C162A2">
        <w:rPr>
          <w:rFonts w:asciiTheme="minorHAnsi" w:hAnsiTheme="minorHAnsi" w:cstheme="minorHAnsi"/>
          <w:shd w:val="clear" w:color="auto" w:fill="FFFFFF"/>
        </w:rPr>
        <w:t>ʻUs̲mānī</w:t>
      </w:r>
      <w:proofErr w:type="spellEnd"/>
      <w:r w:rsidRPr="00C162A2">
        <w:rPr>
          <w:rFonts w:asciiTheme="minorHAnsi" w:hAnsiTheme="minorHAnsi" w:cstheme="minorHAnsi"/>
          <w:shd w:val="clear" w:color="auto" w:fill="FFFFFF"/>
        </w:rPr>
        <w:t xml:space="preserve"> argues, it is a misconception that Islam is a religion restricted to doctrinal affairs and worshipping rituals, but it is rather a complete way of life as it also deals with worldly affairs of the human life</w:t>
      </w:r>
      <w:r w:rsidRPr="00C162A2">
        <w:rPr>
          <w:rStyle w:val="FootnoteReference"/>
          <w:rFonts w:asciiTheme="minorHAnsi" w:hAnsiTheme="minorHAnsi" w:cstheme="minorHAnsi"/>
          <w:shd w:val="clear" w:color="auto" w:fill="FFFFFF"/>
        </w:rPr>
        <w:footnoteReference w:id="10"/>
      </w:r>
      <w:r w:rsidRPr="00C162A2">
        <w:rPr>
          <w:rFonts w:asciiTheme="minorHAnsi" w:hAnsiTheme="minorHAnsi" w:cstheme="minorHAnsi"/>
          <w:shd w:val="clear" w:color="auto" w:fill="FFFFFF"/>
        </w:rPr>
        <w:t>.</w:t>
      </w:r>
    </w:p>
    <w:p w14:paraId="4CCB4794" w14:textId="09E528C5" w:rsidR="005C3D15" w:rsidRDefault="00D16513" w:rsidP="00D16513">
      <w:pPr>
        <w:spacing w:line="235" w:lineRule="atLeast"/>
        <w:rPr>
          <w:rFonts w:asciiTheme="minorHAnsi" w:hAnsiTheme="minorHAnsi" w:cstheme="minorHAnsi"/>
          <w:color w:val="000000"/>
        </w:rPr>
      </w:pPr>
      <w:r w:rsidRPr="00C162A2">
        <w:rPr>
          <w:rFonts w:asciiTheme="minorHAnsi" w:hAnsiTheme="minorHAnsi" w:cstheme="minorHAnsi"/>
        </w:rPr>
        <w:t>A famous </w:t>
      </w:r>
      <w:r w:rsidRPr="00C162A2">
        <w:rPr>
          <w:rFonts w:asciiTheme="minorHAnsi" w:hAnsiTheme="minorHAnsi" w:cstheme="minorHAnsi"/>
          <w:i/>
          <w:iCs/>
        </w:rPr>
        <w:t>hadith</w:t>
      </w:r>
      <w:r w:rsidRPr="00C162A2">
        <w:rPr>
          <w:rFonts w:asciiTheme="minorHAnsi" w:hAnsiTheme="minorHAnsi" w:cstheme="minorHAnsi"/>
        </w:rPr>
        <w:t xml:space="preserve"> from the prophet concerning worldly affairs as recorded </w:t>
      </w:r>
      <w:r w:rsidR="005C3D15">
        <w:rPr>
          <w:rFonts w:asciiTheme="minorHAnsi" w:hAnsiTheme="minorHAnsi" w:cstheme="minorHAnsi"/>
          <w:color w:val="000000"/>
        </w:rPr>
        <w:t xml:space="preserve">by Imam Malik’s </w:t>
      </w:r>
      <w:proofErr w:type="spellStart"/>
      <w:r w:rsidRPr="00D16513">
        <w:rPr>
          <w:rFonts w:asciiTheme="minorHAnsi" w:hAnsiTheme="minorHAnsi" w:cstheme="minorHAnsi"/>
          <w:color w:val="000000"/>
        </w:rPr>
        <w:t>Muwatta</w:t>
      </w:r>
      <w:proofErr w:type="spellEnd"/>
      <w:r w:rsidRPr="00D16513">
        <w:rPr>
          <w:rFonts w:asciiTheme="minorHAnsi" w:hAnsiTheme="minorHAnsi" w:cstheme="minorHAnsi"/>
          <w:color w:val="000000"/>
        </w:rPr>
        <w:t xml:space="preserve"> </w:t>
      </w:r>
      <w:r w:rsidR="005C3D15">
        <w:rPr>
          <w:rFonts w:asciiTheme="minorHAnsi" w:hAnsiTheme="minorHAnsi" w:cstheme="minorHAnsi"/>
          <w:color w:val="000000"/>
        </w:rPr>
        <w:t>states:</w:t>
      </w:r>
    </w:p>
    <w:p w14:paraId="1FF5E0CD" w14:textId="0465B487" w:rsidR="00D16513" w:rsidRPr="00D16513" w:rsidRDefault="00D16513" w:rsidP="00D16513">
      <w:pPr>
        <w:spacing w:line="235" w:lineRule="atLeast"/>
        <w:rPr>
          <w:rFonts w:asciiTheme="minorHAnsi" w:hAnsiTheme="minorHAnsi" w:cstheme="minorHAnsi"/>
          <w:color w:val="222222"/>
        </w:rPr>
      </w:pPr>
      <w:r w:rsidRPr="00D16513">
        <w:rPr>
          <w:rFonts w:asciiTheme="minorHAnsi" w:hAnsiTheme="minorHAnsi" w:cstheme="minorHAnsi"/>
          <w:color w:val="000000"/>
        </w:rPr>
        <w:t> </w:t>
      </w:r>
    </w:p>
    <w:p w14:paraId="36BDC97A" w14:textId="3768A860" w:rsidR="00D16513" w:rsidRDefault="00D16513" w:rsidP="00D16513">
      <w:pPr>
        <w:spacing w:line="235" w:lineRule="atLeast"/>
        <w:rPr>
          <w:rFonts w:asciiTheme="minorHAnsi" w:hAnsiTheme="minorHAnsi" w:cstheme="minorHAnsi"/>
          <w:i/>
          <w:iCs/>
          <w:color w:val="000000"/>
        </w:rPr>
      </w:pPr>
      <w:r w:rsidRPr="00D16513">
        <w:rPr>
          <w:rFonts w:asciiTheme="minorHAnsi" w:hAnsiTheme="minorHAnsi" w:cstheme="minorHAnsi"/>
          <w:i/>
          <w:iCs/>
          <w:color w:val="000000"/>
        </w:rPr>
        <w:t>“"If you hear that a land has a plague in it, do not go forward to it. If it comes upon a land which you are in, do not depart in flight from it</w:t>
      </w:r>
      <w:r w:rsidR="005C3D15">
        <w:rPr>
          <w:rStyle w:val="FootnoteReference"/>
          <w:rFonts w:asciiTheme="minorHAnsi" w:hAnsiTheme="minorHAnsi" w:cstheme="minorHAnsi"/>
          <w:i/>
          <w:iCs/>
          <w:color w:val="000000"/>
        </w:rPr>
        <w:footnoteReference w:id="11"/>
      </w:r>
      <w:r w:rsidRPr="00D16513">
        <w:rPr>
          <w:rFonts w:asciiTheme="minorHAnsi" w:hAnsiTheme="minorHAnsi" w:cstheme="minorHAnsi"/>
          <w:i/>
          <w:iCs/>
          <w:color w:val="000000"/>
        </w:rPr>
        <w:t>."</w:t>
      </w:r>
    </w:p>
    <w:p w14:paraId="03772444" w14:textId="516AB50B" w:rsidR="005C3D15" w:rsidRDefault="005C3D15" w:rsidP="00D16513">
      <w:pPr>
        <w:spacing w:line="235" w:lineRule="atLeast"/>
        <w:rPr>
          <w:rFonts w:asciiTheme="minorHAnsi" w:hAnsiTheme="minorHAnsi" w:cstheme="minorHAnsi"/>
          <w:color w:val="222222"/>
        </w:rPr>
      </w:pPr>
    </w:p>
    <w:p w14:paraId="29E71F38" w14:textId="2E6A2203" w:rsidR="00D16513" w:rsidRPr="00D16513" w:rsidRDefault="00D16513" w:rsidP="00D16513">
      <w:pPr>
        <w:spacing w:line="235" w:lineRule="atLeast"/>
      </w:pPr>
      <w:r w:rsidRPr="00D16513">
        <w:rPr>
          <w:rFonts w:asciiTheme="minorHAnsi" w:hAnsiTheme="minorHAnsi" w:cstheme="minorHAnsi"/>
          <w:color w:val="000000"/>
        </w:rPr>
        <w:t>This </w:t>
      </w:r>
      <w:r w:rsidRPr="00D16513">
        <w:rPr>
          <w:rFonts w:asciiTheme="minorHAnsi" w:hAnsiTheme="minorHAnsi" w:cstheme="minorHAnsi"/>
          <w:i/>
          <w:iCs/>
          <w:color w:val="000000"/>
        </w:rPr>
        <w:t>hadith </w:t>
      </w:r>
      <w:r w:rsidR="005C3D15">
        <w:rPr>
          <w:rFonts w:asciiTheme="minorHAnsi" w:hAnsiTheme="minorHAnsi" w:cstheme="minorHAnsi"/>
          <w:color w:val="000000"/>
        </w:rPr>
        <w:t xml:space="preserve">concerns worldly affairs as it is a guidance on what to do in the event of an infectious outbreak of a disease. This </w:t>
      </w:r>
      <w:r w:rsidR="005C3D15" w:rsidRPr="005C3D15">
        <w:rPr>
          <w:rFonts w:asciiTheme="minorHAnsi" w:hAnsiTheme="minorHAnsi" w:cstheme="minorHAnsi"/>
          <w:i/>
          <w:iCs/>
          <w:color w:val="000000"/>
        </w:rPr>
        <w:t>hadith</w:t>
      </w:r>
      <w:r w:rsidR="005C3D15">
        <w:rPr>
          <w:rFonts w:asciiTheme="minorHAnsi" w:hAnsiTheme="minorHAnsi" w:cstheme="minorHAnsi"/>
          <w:color w:val="000000"/>
        </w:rPr>
        <w:t xml:space="preserve"> was used in the cancellation of Umrah, and the postponing of Hajj in 2020</w:t>
      </w:r>
      <w:r w:rsidR="005C3D15">
        <w:rPr>
          <w:rStyle w:val="FootnoteReference"/>
          <w:rFonts w:asciiTheme="minorHAnsi" w:hAnsiTheme="minorHAnsi" w:cstheme="minorHAnsi"/>
          <w:color w:val="000000"/>
        </w:rPr>
        <w:footnoteReference w:id="12"/>
      </w:r>
      <w:r w:rsidRPr="00D16513">
        <w:rPr>
          <w:rFonts w:asciiTheme="minorHAnsi" w:hAnsiTheme="minorHAnsi" w:cstheme="minorHAnsi"/>
          <w:color w:val="000000"/>
        </w:rPr>
        <w:t xml:space="preserve">. </w:t>
      </w:r>
      <w:r w:rsidR="005C3D15">
        <w:rPr>
          <w:rFonts w:asciiTheme="minorHAnsi" w:hAnsiTheme="minorHAnsi" w:cstheme="minorHAnsi"/>
          <w:color w:val="000000"/>
        </w:rPr>
        <w:t>Moreover,</w:t>
      </w:r>
      <w:r w:rsidRPr="00D16513">
        <w:rPr>
          <w:rFonts w:asciiTheme="minorHAnsi" w:hAnsiTheme="minorHAnsi" w:cstheme="minorHAnsi"/>
          <w:color w:val="000000"/>
        </w:rPr>
        <w:t xml:space="preserve"> it shows that matters of worldly concern such as the pandemic affecting pilgrims overlaps and can </w:t>
      </w:r>
      <w:r w:rsidR="005C3D15">
        <w:rPr>
          <w:rFonts w:asciiTheme="minorHAnsi" w:hAnsiTheme="minorHAnsi" w:cstheme="minorHAnsi"/>
          <w:color w:val="000000"/>
        </w:rPr>
        <w:t xml:space="preserve">also </w:t>
      </w:r>
      <w:r w:rsidRPr="00D16513">
        <w:rPr>
          <w:rFonts w:asciiTheme="minorHAnsi" w:hAnsiTheme="minorHAnsi" w:cstheme="minorHAnsi"/>
          <w:color w:val="000000"/>
        </w:rPr>
        <w:t>affect the doctrine. This example shows how the authority of the Prophet is not simply limited to matters of doctrine</w:t>
      </w:r>
      <w:r w:rsidR="005C3D15">
        <w:rPr>
          <w:rFonts w:asciiTheme="minorHAnsi" w:hAnsiTheme="minorHAnsi" w:cstheme="minorHAnsi"/>
          <w:color w:val="000000"/>
        </w:rPr>
        <w:t>.</w:t>
      </w:r>
    </w:p>
    <w:p w14:paraId="70BED0FF" w14:textId="77777777" w:rsidR="005C3D15" w:rsidRPr="005C3D15" w:rsidRDefault="005C3D15" w:rsidP="00904EC1">
      <w:pPr>
        <w:rPr>
          <w:rFonts w:asciiTheme="minorHAnsi" w:hAnsiTheme="minorHAnsi" w:cstheme="minorHAnsi"/>
          <w:u w:val="single"/>
        </w:rPr>
      </w:pPr>
    </w:p>
    <w:p w14:paraId="5C95D5FD" w14:textId="07A2842E" w:rsidR="00F37B2B" w:rsidRDefault="00F37B2B">
      <w:pPr>
        <w:rPr>
          <w:rFonts w:asciiTheme="minorHAnsi" w:hAnsiTheme="minorHAnsi" w:cstheme="minorHAnsi"/>
        </w:rPr>
      </w:pPr>
      <w:r>
        <w:rPr>
          <w:rFonts w:asciiTheme="minorHAnsi" w:hAnsiTheme="minorHAnsi" w:cstheme="minorHAnsi"/>
        </w:rPr>
        <w:t xml:space="preserve">The authority of the Prophet is undeniably of great importance in Islam. The Quran, the direct words of God, state that the role of the Prophet was to deliver these words to the people and guide them. Thus, this gives the highest authority in Islam to the Prophet, as he is chosen as the Messenger of God. The </w:t>
      </w:r>
      <w:r w:rsidR="005C3D15">
        <w:rPr>
          <w:rFonts w:asciiTheme="minorHAnsi" w:hAnsiTheme="minorHAnsi" w:cstheme="minorHAnsi"/>
        </w:rPr>
        <w:t xml:space="preserve">revelations made to the Prophet serve to </w:t>
      </w:r>
      <w:r w:rsidR="005C3D15">
        <w:rPr>
          <w:rFonts w:asciiTheme="minorHAnsi" w:hAnsiTheme="minorHAnsi" w:cstheme="minorHAnsi"/>
        </w:rPr>
        <w:lastRenderedPageBreak/>
        <w:t>encompass all aspects of life</w:t>
      </w:r>
      <w:r>
        <w:rPr>
          <w:rFonts w:asciiTheme="minorHAnsi" w:hAnsiTheme="minorHAnsi" w:cstheme="minorHAnsi"/>
        </w:rPr>
        <w:t xml:space="preserve">, which are intended to be </w:t>
      </w:r>
      <w:r w:rsidR="005C3D15">
        <w:rPr>
          <w:rFonts w:asciiTheme="minorHAnsi" w:hAnsiTheme="minorHAnsi" w:cstheme="minorHAnsi"/>
        </w:rPr>
        <w:t xml:space="preserve">timeless in their relevance. </w:t>
      </w:r>
      <w:r>
        <w:rPr>
          <w:rFonts w:asciiTheme="minorHAnsi" w:hAnsiTheme="minorHAnsi" w:cstheme="minorHAnsi"/>
        </w:rPr>
        <w:t xml:space="preserve">The </w:t>
      </w:r>
      <w:r w:rsidRPr="00F37B2B">
        <w:rPr>
          <w:rFonts w:asciiTheme="minorHAnsi" w:hAnsiTheme="minorHAnsi" w:cstheme="minorHAnsi"/>
          <w:i/>
          <w:iCs/>
        </w:rPr>
        <w:t>hadith</w:t>
      </w:r>
      <w:r>
        <w:rPr>
          <w:rFonts w:asciiTheme="minorHAnsi" w:hAnsiTheme="minorHAnsi" w:cstheme="minorHAnsi"/>
        </w:rPr>
        <w:t xml:space="preserve"> and </w:t>
      </w:r>
      <w:r w:rsidRPr="00F37B2B">
        <w:rPr>
          <w:rFonts w:asciiTheme="minorHAnsi" w:hAnsiTheme="minorHAnsi" w:cstheme="minorHAnsi"/>
          <w:i/>
          <w:iCs/>
        </w:rPr>
        <w:t>sunnah</w:t>
      </w:r>
      <w:r>
        <w:rPr>
          <w:rFonts w:asciiTheme="minorHAnsi" w:hAnsiTheme="minorHAnsi" w:cstheme="minorHAnsi"/>
        </w:rPr>
        <w:t xml:space="preserve"> are used as guidance by Muslims, which are words and actions of the Prophet, which strengthen the Quran. Therefore, it </w:t>
      </w:r>
      <w:r w:rsidR="005C3D15">
        <w:rPr>
          <w:rFonts w:asciiTheme="minorHAnsi" w:hAnsiTheme="minorHAnsi" w:cstheme="minorHAnsi"/>
        </w:rPr>
        <w:t>is evident that in order to truly embrace Islam</w:t>
      </w:r>
      <w:r>
        <w:rPr>
          <w:rFonts w:asciiTheme="minorHAnsi" w:hAnsiTheme="minorHAnsi" w:cstheme="minorHAnsi"/>
        </w:rPr>
        <w:t>,</w:t>
      </w:r>
      <w:r w:rsidR="005C3D15">
        <w:rPr>
          <w:rFonts w:asciiTheme="minorHAnsi" w:hAnsiTheme="minorHAnsi" w:cstheme="minorHAnsi"/>
        </w:rPr>
        <w:t xml:space="preserve"> one must follow the </w:t>
      </w:r>
      <w:r>
        <w:rPr>
          <w:rFonts w:asciiTheme="minorHAnsi" w:hAnsiTheme="minorHAnsi" w:cstheme="minorHAnsi"/>
        </w:rPr>
        <w:t>guidance</w:t>
      </w:r>
      <w:r w:rsidR="005C3D15">
        <w:rPr>
          <w:rFonts w:asciiTheme="minorHAnsi" w:hAnsiTheme="minorHAnsi" w:cstheme="minorHAnsi"/>
        </w:rPr>
        <w:t xml:space="preserve"> </w:t>
      </w:r>
      <w:r>
        <w:rPr>
          <w:rFonts w:asciiTheme="minorHAnsi" w:hAnsiTheme="minorHAnsi" w:cstheme="minorHAnsi"/>
        </w:rPr>
        <w:t>of the Prophet</w:t>
      </w:r>
      <w:r w:rsidR="005C3D15">
        <w:rPr>
          <w:rFonts w:asciiTheme="minorHAnsi" w:hAnsiTheme="minorHAnsi" w:cstheme="minorHAnsi"/>
        </w:rPr>
        <w:t xml:space="preserve"> </w:t>
      </w:r>
      <w:r>
        <w:rPr>
          <w:rFonts w:asciiTheme="minorHAnsi" w:hAnsiTheme="minorHAnsi" w:cstheme="minorHAnsi"/>
        </w:rPr>
        <w:t>in</w:t>
      </w:r>
      <w:r w:rsidR="005C3D15">
        <w:rPr>
          <w:rFonts w:asciiTheme="minorHAnsi" w:hAnsiTheme="minorHAnsi" w:cstheme="minorHAnsi"/>
        </w:rPr>
        <w:t xml:space="preserve"> all matters. </w:t>
      </w:r>
      <w:r>
        <w:rPr>
          <w:rFonts w:asciiTheme="minorHAnsi" w:hAnsiTheme="minorHAnsi" w:cstheme="minorHAnsi"/>
        </w:rPr>
        <w:t xml:space="preserve">For that reason, it can be argued that the </w:t>
      </w:r>
      <w:r w:rsidR="005C3D15">
        <w:rPr>
          <w:rFonts w:asciiTheme="minorHAnsi" w:hAnsiTheme="minorHAnsi" w:cstheme="minorHAnsi"/>
        </w:rPr>
        <w:t>Prophetic authority is not only limited to the doctrinal affairs</w:t>
      </w:r>
      <w:r>
        <w:rPr>
          <w:rFonts w:asciiTheme="minorHAnsi" w:hAnsiTheme="minorHAnsi" w:cstheme="minorHAnsi"/>
        </w:rPr>
        <w:t>,</w:t>
      </w:r>
      <w:r w:rsidR="005C3D15">
        <w:rPr>
          <w:rFonts w:asciiTheme="minorHAnsi" w:hAnsiTheme="minorHAnsi" w:cstheme="minorHAnsi"/>
        </w:rPr>
        <w:t xml:space="preserve"> as worldly affairs </w:t>
      </w:r>
      <w:r>
        <w:rPr>
          <w:rFonts w:asciiTheme="minorHAnsi" w:hAnsiTheme="minorHAnsi" w:cstheme="minorHAnsi"/>
        </w:rPr>
        <w:t>often</w:t>
      </w:r>
      <w:r w:rsidR="005C3D15">
        <w:rPr>
          <w:rFonts w:asciiTheme="minorHAnsi" w:hAnsiTheme="minorHAnsi" w:cstheme="minorHAnsi"/>
        </w:rPr>
        <w:t xml:space="preserve"> necessitate and come together with the doctrinal</w:t>
      </w:r>
      <w:r>
        <w:rPr>
          <w:rFonts w:asciiTheme="minorHAnsi" w:hAnsiTheme="minorHAnsi" w:cstheme="minorHAnsi"/>
        </w:rPr>
        <w:t>, to show that Islam is a way of life.</w:t>
      </w:r>
    </w:p>
    <w:p w14:paraId="4262F50C" w14:textId="77777777" w:rsidR="00F37B2B" w:rsidRPr="005C3D15" w:rsidRDefault="00F37B2B">
      <w:pPr>
        <w:rPr>
          <w:rFonts w:asciiTheme="minorHAnsi" w:hAnsiTheme="minorHAnsi" w:cstheme="minorHAnsi"/>
        </w:rPr>
      </w:pPr>
    </w:p>
    <w:p w14:paraId="01F14047" w14:textId="0691DB7D" w:rsidR="005C3D15" w:rsidRDefault="00F37B2B" w:rsidP="005C3D15">
      <w:pPr>
        <w:spacing w:after="160" w:line="235" w:lineRule="atLeast"/>
        <w:rPr>
          <w:rFonts w:ascii="Calibri" w:hAnsi="Calibri" w:cs="Calibri"/>
          <w:color w:val="222222"/>
          <w:sz w:val="22"/>
          <w:szCs w:val="22"/>
        </w:rPr>
      </w:pPr>
      <w:r>
        <w:rPr>
          <w:rFonts w:ascii="Calibri Light" w:hAnsi="Calibri Light" w:cs="Calibri Light"/>
          <w:color w:val="222222"/>
          <w:sz w:val="22"/>
          <w:szCs w:val="22"/>
          <w:u w:val="single"/>
        </w:rPr>
        <w:t>B</w:t>
      </w:r>
      <w:r w:rsidR="005C3D15">
        <w:rPr>
          <w:rFonts w:ascii="Calibri Light" w:hAnsi="Calibri Light" w:cs="Calibri Light"/>
          <w:color w:val="222222"/>
          <w:sz w:val="22"/>
          <w:szCs w:val="22"/>
          <w:u w:val="single"/>
        </w:rPr>
        <w:t>ibliography</w:t>
      </w:r>
    </w:p>
    <w:p w14:paraId="1F3B9639" w14:textId="06C651F0"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BBC News. (2020) ‘Saudi Arabia Asks Muslims To Delay Hajj Bookings.’ Available at: &lt;</w:t>
      </w:r>
      <w:r w:rsidRPr="005C3D15">
        <w:rPr>
          <w:rFonts w:ascii="Calibri Light" w:hAnsi="Calibri Light" w:cs="Calibri Light"/>
          <w:color w:val="000000"/>
          <w:sz w:val="22"/>
          <w:szCs w:val="22"/>
        </w:rPr>
        <w:t>https://www.bbc.co.uk/news/world-middle-east</w:t>
      </w:r>
      <w:r>
        <w:rPr>
          <w:rStyle w:val="apple-converted-space"/>
          <w:rFonts w:ascii="Calibri Light" w:hAnsi="Calibri Light" w:cs="Calibri Light"/>
          <w:color w:val="000000"/>
          <w:sz w:val="22"/>
          <w:szCs w:val="22"/>
        </w:rPr>
        <w:t> </w:t>
      </w:r>
      <w:r>
        <w:rPr>
          <w:rFonts w:ascii="Calibri Light" w:hAnsi="Calibri Light" w:cs="Calibri Light"/>
          <w:color w:val="000000"/>
          <w:sz w:val="22"/>
          <w:szCs w:val="22"/>
        </w:rPr>
        <w:t>52118803?intlink_from_url=</w:t>
      </w:r>
      <w:r w:rsidRPr="005C3D15">
        <w:rPr>
          <w:rFonts w:ascii="Calibri Light" w:hAnsi="Calibri Light" w:cs="Calibri Light"/>
          <w:color w:val="000000"/>
          <w:sz w:val="22"/>
          <w:szCs w:val="22"/>
        </w:rPr>
        <w:t>https://www.bbc.co.uk/news/topics/czv66k7j7yet/hajj&amp;link_location=live-reporting-story</w:t>
      </w:r>
      <w:r>
        <w:rPr>
          <w:rFonts w:ascii="Calibri Light" w:hAnsi="Calibri Light" w:cs="Calibri Light"/>
          <w:color w:val="000000"/>
          <w:sz w:val="22"/>
          <w:szCs w:val="22"/>
        </w:rPr>
        <w:t>&gt; (Accessed 23 April 2020).</w:t>
      </w:r>
    </w:p>
    <w:p w14:paraId="4BFEC58D" w14:textId="77777777"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Brown, J. (2009). </w:t>
      </w:r>
      <w:proofErr w:type="gramStart"/>
      <w:r>
        <w:rPr>
          <w:rFonts w:ascii="Calibri Light" w:hAnsi="Calibri Light" w:cs="Calibri Light"/>
          <w:i/>
          <w:iCs/>
          <w:color w:val="000000"/>
          <w:sz w:val="22"/>
          <w:szCs w:val="22"/>
        </w:rPr>
        <w:t>Hadith :</w:t>
      </w:r>
      <w:proofErr w:type="gramEnd"/>
      <w:r>
        <w:rPr>
          <w:rFonts w:ascii="Calibri Light" w:hAnsi="Calibri Light" w:cs="Calibri Light"/>
          <w:i/>
          <w:iCs/>
          <w:color w:val="000000"/>
          <w:sz w:val="22"/>
          <w:szCs w:val="22"/>
        </w:rPr>
        <w:t xml:space="preserve"> Muhammad's legacy in the medieval and modern world</w:t>
      </w:r>
      <w:r>
        <w:rPr>
          <w:rFonts w:ascii="Calibri Light" w:hAnsi="Calibri Light" w:cs="Calibri Light"/>
          <w:color w:val="000000"/>
          <w:sz w:val="22"/>
          <w:szCs w:val="22"/>
        </w:rPr>
        <w:t xml:space="preserve">, Oxford: </w:t>
      </w:r>
      <w:proofErr w:type="spellStart"/>
      <w:r>
        <w:rPr>
          <w:rFonts w:ascii="Calibri Light" w:hAnsi="Calibri Light" w:cs="Calibri Light"/>
          <w:color w:val="000000"/>
          <w:sz w:val="22"/>
          <w:szCs w:val="22"/>
        </w:rPr>
        <w:t>Oneworld</w:t>
      </w:r>
      <w:proofErr w:type="spellEnd"/>
      <w:r>
        <w:rPr>
          <w:rFonts w:ascii="Calibri Light" w:hAnsi="Calibri Light" w:cs="Calibri Light"/>
          <w:color w:val="000000"/>
          <w:sz w:val="22"/>
          <w:szCs w:val="22"/>
        </w:rPr>
        <w:t>.</w:t>
      </w:r>
    </w:p>
    <w:p w14:paraId="07ED8F96" w14:textId="3052F35F"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Bukhari, S. (2010)</w:t>
      </w:r>
      <w:r>
        <w:rPr>
          <w:rStyle w:val="apple-converted-space"/>
          <w:rFonts w:ascii="Calibri Light" w:hAnsi="Calibri Light" w:cs="Calibri Light"/>
          <w:color w:val="000000"/>
          <w:sz w:val="22"/>
          <w:szCs w:val="22"/>
        </w:rPr>
        <w:t> </w:t>
      </w:r>
      <w:r w:rsidRPr="005C3D15">
        <w:rPr>
          <w:rFonts w:ascii="Calibri Light" w:hAnsi="Calibri Light" w:cs="Calibri Light"/>
          <w:color w:val="222222"/>
          <w:sz w:val="22"/>
          <w:szCs w:val="22"/>
        </w:rPr>
        <w:t>Ahadith.co.uk</w:t>
      </w:r>
      <w:r>
        <w:rPr>
          <w:rStyle w:val="apple-converted-space"/>
          <w:rFonts w:ascii="Calibri Light" w:hAnsi="Calibri Light" w:cs="Calibri Light"/>
          <w:color w:val="222222"/>
          <w:sz w:val="22"/>
          <w:szCs w:val="22"/>
        </w:rPr>
        <w:t> </w:t>
      </w:r>
      <w:r>
        <w:rPr>
          <w:rFonts w:ascii="Calibri Light" w:hAnsi="Calibri Light" w:cs="Calibri Light"/>
          <w:color w:val="222222"/>
          <w:sz w:val="22"/>
          <w:szCs w:val="22"/>
        </w:rPr>
        <w:t>(available at:</w:t>
      </w:r>
      <w:r>
        <w:rPr>
          <w:rStyle w:val="apple-converted-space"/>
          <w:rFonts w:ascii="Calibri Light" w:hAnsi="Calibri Light" w:cs="Calibri Light"/>
          <w:color w:val="222222"/>
          <w:sz w:val="22"/>
          <w:szCs w:val="22"/>
        </w:rPr>
        <w:t> </w:t>
      </w:r>
      <w:r w:rsidRPr="005C3D15">
        <w:rPr>
          <w:rFonts w:ascii="Calibri Light" w:hAnsi="Calibri Light" w:cs="Calibri Light"/>
          <w:color w:val="222222"/>
          <w:sz w:val="22"/>
          <w:szCs w:val="22"/>
        </w:rPr>
        <w:t>https://ahadith.co.uk/hadithsearchfilter.php?page=2&amp;q=Kill+Donkeys+withe+teeth+or+finger+nails+</w:t>
      </w:r>
      <w:r>
        <w:rPr>
          <w:rFonts w:ascii="Calibri Light" w:hAnsi="Calibri Light" w:cs="Calibri Light"/>
          <w:color w:val="222222"/>
          <w:sz w:val="22"/>
          <w:szCs w:val="22"/>
        </w:rPr>
        <w:t>) [date accessed: 30.5.2020]</w:t>
      </w:r>
    </w:p>
    <w:p w14:paraId="3FAA2D68" w14:textId="77777777" w:rsidR="005C3D15" w:rsidRDefault="005C3D15" w:rsidP="005C3D15">
      <w:pPr>
        <w:spacing w:after="160" w:line="235" w:lineRule="atLeast"/>
        <w:rPr>
          <w:rFonts w:ascii="Calibri" w:hAnsi="Calibri" w:cs="Calibri"/>
          <w:color w:val="222222"/>
          <w:sz w:val="22"/>
          <w:szCs w:val="22"/>
        </w:rPr>
      </w:pPr>
      <w:proofErr w:type="spellStart"/>
      <w:r>
        <w:rPr>
          <w:rFonts w:ascii="Calibri Light" w:hAnsi="Calibri Light" w:cs="Calibri Light"/>
          <w:color w:val="000000"/>
          <w:sz w:val="22"/>
          <w:szCs w:val="22"/>
        </w:rPr>
        <w:t>Inam</w:t>
      </w:r>
      <w:proofErr w:type="spellEnd"/>
      <w:r>
        <w:rPr>
          <w:rFonts w:ascii="Calibri Light" w:hAnsi="Calibri Light" w:cs="Calibri Light"/>
          <w:color w:val="000000"/>
          <w:sz w:val="22"/>
          <w:szCs w:val="22"/>
        </w:rPr>
        <w:t>, H. (2013). ‘POWER AND AUTHORITY IN RELIGIOUS TRADITIONS IN ISLAM: Reflections about issues of power and authority in the traditions and the present situation of Muslims in Europe.’ </w:t>
      </w:r>
      <w:r>
        <w:rPr>
          <w:rFonts w:ascii="Calibri Light" w:hAnsi="Calibri Light" w:cs="Calibri Light"/>
          <w:i/>
          <w:iCs/>
          <w:color w:val="000000"/>
          <w:sz w:val="22"/>
          <w:szCs w:val="22"/>
        </w:rPr>
        <w:t>European Judaism: A Journal for the New Europe,</w:t>
      </w:r>
      <w:r>
        <w:rPr>
          <w:rFonts w:ascii="Calibri Light" w:hAnsi="Calibri Light" w:cs="Calibri Light"/>
          <w:color w:val="000000"/>
          <w:sz w:val="22"/>
          <w:szCs w:val="22"/>
        </w:rPr>
        <w:t> </w:t>
      </w:r>
      <w:r>
        <w:rPr>
          <w:rFonts w:ascii="Calibri Light" w:hAnsi="Calibri Light" w:cs="Calibri Light"/>
          <w:i/>
          <w:iCs/>
          <w:color w:val="000000"/>
          <w:sz w:val="22"/>
          <w:szCs w:val="22"/>
        </w:rPr>
        <w:t>46</w:t>
      </w:r>
      <w:r>
        <w:rPr>
          <w:rFonts w:ascii="Calibri Light" w:hAnsi="Calibri Light" w:cs="Calibri Light"/>
          <w:color w:val="000000"/>
          <w:sz w:val="22"/>
          <w:szCs w:val="22"/>
        </w:rPr>
        <w:t>(1), 66-74.</w:t>
      </w:r>
    </w:p>
    <w:p w14:paraId="7E9CC64B" w14:textId="77777777" w:rsidR="005C3D15" w:rsidRDefault="005C3D15" w:rsidP="005C3D15">
      <w:pPr>
        <w:spacing w:after="160" w:line="235" w:lineRule="atLeast"/>
        <w:rPr>
          <w:rFonts w:ascii="Calibri" w:hAnsi="Calibri" w:cs="Calibri"/>
          <w:color w:val="222222"/>
          <w:sz w:val="22"/>
          <w:szCs w:val="22"/>
        </w:rPr>
      </w:pPr>
      <w:proofErr w:type="spellStart"/>
      <w:r>
        <w:rPr>
          <w:rFonts w:ascii="Calibri Light" w:hAnsi="Calibri Light" w:cs="Calibri Light"/>
          <w:color w:val="000000"/>
          <w:sz w:val="22"/>
          <w:szCs w:val="22"/>
        </w:rPr>
        <w:t>Imtiyaz</w:t>
      </w:r>
      <w:proofErr w:type="spellEnd"/>
      <w:r>
        <w:rPr>
          <w:rFonts w:ascii="Calibri Light" w:hAnsi="Calibri Light" w:cs="Calibri Light"/>
          <w:color w:val="000000"/>
          <w:sz w:val="22"/>
          <w:szCs w:val="22"/>
        </w:rPr>
        <w:t>, y. (2019) ‘The Babi-Rasul in Arabian/</w:t>
      </w:r>
      <w:proofErr w:type="spellStart"/>
      <w:r>
        <w:rPr>
          <w:rFonts w:ascii="Calibri Light" w:hAnsi="Calibri Light" w:cs="Calibri Light"/>
          <w:color w:val="000000"/>
          <w:sz w:val="22"/>
          <w:szCs w:val="22"/>
        </w:rPr>
        <w:t>semetic</w:t>
      </w:r>
      <w:proofErr w:type="spellEnd"/>
      <w:r>
        <w:rPr>
          <w:rFonts w:ascii="Calibri Light" w:hAnsi="Calibri Light" w:cs="Calibri Light"/>
          <w:color w:val="000000"/>
          <w:sz w:val="22"/>
          <w:szCs w:val="22"/>
        </w:rPr>
        <w:t xml:space="preserve"> religious tradition: Qur’anic Monotheism, Prophet Muhammad and the shaping of the Muslim World view.’ Islamic studies, 58(4).</w:t>
      </w:r>
    </w:p>
    <w:p w14:paraId="5F703171" w14:textId="77777777" w:rsidR="005C3D15" w:rsidRDefault="005C3D15" w:rsidP="005C3D15">
      <w:pPr>
        <w:spacing w:after="160" w:line="235" w:lineRule="atLeast"/>
        <w:rPr>
          <w:rFonts w:ascii="Calibri" w:hAnsi="Calibri" w:cs="Calibri"/>
          <w:color w:val="222222"/>
          <w:sz w:val="22"/>
          <w:szCs w:val="22"/>
        </w:rPr>
      </w:pPr>
      <w:bookmarkStart w:id="0" w:name="m_7751426945331783023__Hlk36480581"/>
      <w:proofErr w:type="spellStart"/>
      <w:r>
        <w:rPr>
          <w:rFonts w:ascii="Calibri Light" w:hAnsi="Calibri Light" w:cs="Calibri Light"/>
          <w:color w:val="000000"/>
          <w:sz w:val="22"/>
          <w:szCs w:val="22"/>
        </w:rPr>
        <w:t>Karagözoğlu</w:t>
      </w:r>
      <w:bookmarkEnd w:id="0"/>
      <w:proofErr w:type="spellEnd"/>
      <w:r>
        <w:rPr>
          <w:rFonts w:ascii="Calibri Light" w:hAnsi="Calibri Light" w:cs="Calibri Light"/>
          <w:color w:val="000000"/>
          <w:sz w:val="22"/>
          <w:szCs w:val="22"/>
        </w:rPr>
        <w:t xml:space="preserve">, M.M., (2018). ‘Contested Avenues in Post-Classical Sunni </w:t>
      </w:r>
      <w:proofErr w:type="spellStart"/>
      <w:r>
        <w:rPr>
          <w:rFonts w:ascii="Calibri Light" w:hAnsi="Calibri Light" w:cs="Calibri Light"/>
          <w:color w:val="000000"/>
          <w:sz w:val="22"/>
          <w:szCs w:val="22"/>
        </w:rPr>
        <w:t>Ḥadīth</w:t>
      </w:r>
      <w:proofErr w:type="spellEnd"/>
      <w:r>
        <w:rPr>
          <w:rFonts w:ascii="Calibri Light" w:hAnsi="Calibri Light" w:cs="Calibri Light"/>
          <w:color w:val="000000"/>
          <w:sz w:val="22"/>
          <w:szCs w:val="22"/>
        </w:rPr>
        <w:t xml:space="preserve"> Criticism: A Reading through the Lens of al-</w:t>
      </w:r>
      <w:proofErr w:type="spellStart"/>
      <w:r>
        <w:rPr>
          <w:rFonts w:ascii="Calibri Light" w:hAnsi="Calibri Light" w:cs="Calibri Light"/>
          <w:color w:val="000000"/>
          <w:sz w:val="22"/>
          <w:szCs w:val="22"/>
        </w:rPr>
        <w:t>Mughnī</w:t>
      </w:r>
      <w:proofErr w:type="spellEnd"/>
      <w:r>
        <w:rPr>
          <w:rFonts w:ascii="Calibri Light" w:hAnsi="Calibri Light" w:cs="Calibri Light"/>
          <w:color w:val="000000"/>
          <w:sz w:val="22"/>
          <w:szCs w:val="22"/>
        </w:rPr>
        <w:t xml:space="preserve"> </w:t>
      </w:r>
      <w:proofErr w:type="spellStart"/>
      <w:r>
        <w:rPr>
          <w:rFonts w:ascii="Calibri Light" w:hAnsi="Calibri Light" w:cs="Calibri Light"/>
          <w:color w:val="000000"/>
          <w:sz w:val="22"/>
          <w:szCs w:val="22"/>
        </w:rPr>
        <w:t>ʿan</w:t>
      </w:r>
      <w:proofErr w:type="spellEnd"/>
      <w:r>
        <w:rPr>
          <w:rFonts w:ascii="Calibri Light" w:hAnsi="Calibri Light" w:cs="Calibri Light"/>
          <w:color w:val="000000"/>
          <w:sz w:val="22"/>
          <w:szCs w:val="22"/>
        </w:rPr>
        <w:t xml:space="preserve"> al-</w:t>
      </w:r>
      <w:proofErr w:type="spellStart"/>
      <w:r>
        <w:rPr>
          <w:rFonts w:ascii="Calibri Light" w:hAnsi="Calibri Light" w:cs="Calibri Light"/>
          <w:color w:val="000000"/>
          <w:sz w:val="22"/>
          <w:szCs w:val="22"/>
        </w:rPr>
        <w:t>Ḥifẓ</w:t>
      </w:r>
      <w:proofErr w:type="spellEnd"/>
      <w:r>
        <w:rPr>
          <w:rFonts w:ascii="Calibri Light" w:hAnsi="Calibri Light" w:cs="Calibri Light"/>
          <w:color w:val="000000"/>
          <w:sz w:val="22"/>
          <w:szCs w:val="22"/>
        </w:rPr>
        <w:t xml:space="preserve"> </w:t>
      </w:r>
      <w:proofErr w:type="spellStart"/>
      <w:r>
        <w:rPr>
          <w:rFonts w:ascii="Calibri Light" w:hAnsi="Calibri Light" w:cs="Calibri Light"/>
          <w:color w:val="000000"/>
          <w:sz w:val="22"/>
          <w:szCs w:val="22"/>
        </w:rPr>
        <w:t>wa</w:t>
      </w:r>
      <w:proofErr w:type="spellEnd"/>
      <w:r>
        <w:rPr>
          <w:rFonts w:ascii="Calibri Light" w:hAnsi="Calibri Light" w:cs="Calibri Light"/>
          <w:color w:val="000000"/>
          <w:sz w:val="22"/>
          <w:szCs w:val="22"/>
        </w:rPr>
        <w:t>-l-</w:t>
      </w:r>
      <w:proofErr w:type="spellStart"/>
      <w:r>
        <w:rPr>
          <w:rFonts w:ascii="Calibri Light" w:hAnsi="Calibri Light" w:cs="Calibri Light"/>
          <w:color w:val="000000"/>
          <w:sz w:val="22"/>
          <w:szCs w:val="22"/>
        </w:rPr>
        <w:t>kitāb</w:t>
      </w:r>
      <w:proofErr w:type="spellEnd"/>
      <w:r>
        <w:rPr>
          <w:rFonts w:ascii="Calibri Light" w:hAnsi="Calibri Light" w:cs="Calibri Light"/>
          <w:color w:val="000000"/>
          <w:sz w:val="22"/>
          <w:szCs w:val="22"/>
        </w:rPr>
        <w:t>.’ </w:t>
      </w:r>
      <w:r>
        <w:rPr>
          <w:rFonts w:ascii="Calibri Light" w:hAnsi="Calibri Light" w:cs="Calibri Light"/>
          <w:i/>
          <w:iCs/>
          <w:color w:val="000000"/>
          <w:sz w:val="22"/>
          <w:szCs w:val="22"/>
        </w:rPr>
        <w:t>Journal of Islamic Studies</w:t>
      </w:r>
      <w:r>
        <w:rPr>
          <w:rFonts w:ascii="Calibri Light" w:hAnsi="Calibri Light" w:cs="Calibri Light"/>
          <w:color w:val="000000"/>
          <w:sz w:val="22"/>
          <w:szCs w:val="22"/>
        </w:rPr>
        <w:t>, 29(2),</w:t>
      </w:r>
    </w:p>
    <w:p w14:paraId="6E25A22D" w14:textId="47FB3422"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Malik Ibn Abas. (2010). </w:t>
      </w:r>
      <w:r w:rsidRPr="005C3D15">
        <w:rPr>
          <w:rFonts w:ascii="Calibri Light" w:hAnsi="Calibri Light" w:cs="Calibri Light"/>
          <w:color w:val="222222"/>
          <w:sz w:val="22"/>
          <w:szCs w:val="22"/>
        </w:rPr>
        <w:t>Ahadith.co.uk</w:t>
      </w:r>
      <w:r>
        <w:rPr>
          <w:rStyle w:val="apple-converted-space"/>
          <w:rFonts w:ascii="Calibri Light" w:hAnsi="Calibri Light" w:cs="Calibri Light"/>
          <w:color w:val="222222"/>
          <w:sz w:val="22"/>
          <w:szCs w:val="22"/>
        </w:rPr>
        <w:t> </w:t>
      </w:r>
      <w:r>
        <w:rPr>
          <w:rFonts w:ascii="Calibri Light" w:hAnsi="Calibri Light" w:cs="Calibri Light"/>
          <w:color w:val="222222"/>
          <w:sz w:val="22"/>
          <w:szCs w:val="22"/>
        </w:rPr>
        <w:t>(available at:</w:t>
      </w:r>
      <w:r>
        <w:rPr>
          <w:rStyle w:val="apple-converted-space"/>
          <w:rFonts w:ascii="Calibri Light" w:hAnsi="Calibri Light" w:cs="Calibri Light"/>
          <w:color w:val="222222"/>
          <w:sz w:val="22"/>
          <w:szCs w:val="22"/>
        </w:rPr>
        <w:t> </w:t>
      </w:r>
      <w:r w:rsidRPr="005C3D15">
        <w:rPr>
          <w:rFonts w:ascii="Calibri Light" w:hAnsi="Calibri Light" w:cs="Calibri Light"/>
          <w:color w:val="222222"/>
          <w:sz w:val="22"/>
          <w:szCs w:val="22"/>
        </w:rPr>
        <w:t>https://ahadith.co.uk/chapter.php?page=3&amp;cid=95&amp;rows=10</w:t>
      </w:r>
      <w:r>
        <w:rPr>
          <w:rFonts w:ascii="Calibri Light" w:hAnsi="Calibri Light" w:cs="Calibri Light"/>
          <w:color w:val="222222"/>
          <w:sz w:val="22"/>
          <w:szCs w:val="22"/>
        </w:rPr>
        <w:t>) [date accessed: 30.5.2020]</w:t>
      </w:r>
    </w:p>
    <w:p w14:paraId="34CB884B" w14:textId="77777777"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 </w:t>
      </w:r>
      <w:proofErr w:type="spellStart"/>
      <w:r>
        <w:rPr>
          <w:rFonts w:ascii="Calibri Light" w:hAnsi="Calibri Light" w:cs="Calibri Light"/>
          <w:color w:val="000000"/>
          <w:sz w:val="22"/>
          <w:szCs w:val="22"/>
        </w:rPr>
        <w:t>Madani</w:t>
      </w:r>
      <w:proofErr w:type="spellEnd"/>
      <w:r>
        <w:rPr>
          <w:rFonts w:ascii="Calibri Light" w:hAnsi="Calibri Light" w:cs="Calibri Light"/>
          <w:color w:val="000000"/>
          <w:sz w:val="22"/>
          <w:szCs w:val="22"/>
        </w:rPr>
        <w:t>, I. (2010)</w:t>
      </w:r>
      <w:r>
        <w:rPr>
          <w:rStyle w:val="apple-converted-space"/>
          <w:rFonts w:ascii="Calibri Light" w:hAnsi="Calibri Light" w:cs="Calibri Light"/>
          <w:color w:val="000000"/>
          <w:sz w:val="22"/>
          <w:szCs w:val="22"/>
        </w:rPr>
        <w:t> </w:t>
      </w:r>
      <w:r>
        <w:rPr>
          <w:rFonts w:ascii="Calibri Light" w:hAnsi="Calibri Light" w:cs="Calibri Light"/>
          <w:i/>
          <w:iCs/>
          <w:color w:val="000000"/>
          <w:sz w:val="22"/>
          <w:szCs w:val="22"/>
        </w:rPr>
        <w:t>The preservation of Hadith</w:t>
      </w:r>
      <w:r>
        <w:rPr>
          <w:rFonts w:ascii="Calibri Light" w:hAnsi="Calibri Light" w:cs="Calibri Light"/>
          <w:color w:val="000000"/>
          <w:sz w:val="22"/>
          <w:szCs w:val="22"/>
        </w:rPr>
        <w:t xml:space="preserve">. New York: </w:t>
      </w:r>
      <w:proofErr w:type="spellStart"/>
      <w:r>
        <w:rPr>
          <w:rFonts w:ascii="Calibri Light" w:hAnsi="Calibri Light" w:cs="Calibri Light"/>
          <w:color w:val="000000"/>
          <w:sz w:val="22"/>
          <w:szCs w:val="22"/>
        </w:rPr>
        <w:t>Madina</w:t>
      </w:r>
      <w:proofErr w:type="spellEnd"/>
      <w:r>
        <w:rPr>
          <w:rFonts w:ascii="Calibri Light" w:hAnsi="Calibri Light" w:cs="Calibri Light"/>
          <w:color w:val="000000"/>
          <w:sz w:val="22"/>
          <w:szCs w:val="22"/>
        </w:rPr>
        <w:t xml:space="preserve"> Publications</w:t>
      </w:r>
      <w:r>
        <w:rPr>
          <w:rStyle w:val="apple-converted-space"/>
          <w:rFonts w:ascii="Calibri Light" w:hAnsi="Calibri Light" w:cs="Calibri Light"/>
          <w:color w:val="000000"/>
          <w:sz w:val="22"/>
          <w:szCs w:val="22"/>
        </w:rPr>
        <w:t> </w:t>
      </w:r>
    </w:p>
    <w:p w14:paraId="7F38671B" w14:textId="77777777"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Nasr, S., (2015). </w:t>
      </w:r>
      <w:r>
        <w:rPr>
          <w:rFonts w:ascii="Calibri Light" w:hAnsi="Calibri Light" w:cs="Calibri Light"/>
          <w:i/>
          <w:iCs/>
          <w:color w:val="000000"/>
          <w:sz w:val="22"/>
          <w:szCs w:val="22"/>
        </w:rPr>
        <w:t>The Study Quran: A new translation and commentary</w:t>
      </w:r>
      <w:r>
        <w:rPr>
          <w:rFonts w:ascii="Calibri Light" w:hAnsi="Calibri Light" w:cs="Calibri Light"/>
          <w:color w:val="000000"/>
          <w:sz w:val="22"/>
          <w:szCs w:val="22"/>
        </w:rPr>
        <w:t>. New York: Harper Colins.</w:t>
      </w:r>
    </w:p>
    <w:p w14:paraId="31D86A0D" w14:textId="77777777"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color w:val="000000"/>
          <w:sz w:val="22"/>
          <w:szCs w:val="22"/>
        </w:rPr>
        <w:t>Sells, M.A. (2007). </w:t>
      </w:r>
      <w:r>
        <w:rPr>
          <w:rFonts w:ascii="Calibri Light" w:hAnsi="Calibri Light" w:cs="Calibri Light"/>
          <w:i/>
          <w:iCs/>
          <w:color w:val="000000"/>
          <w:sz w:val="22"/>
          <w:szCs w:val="22"/>
        </w:rPr>
        <w:t xml:space="preserve">Approaching the </w:t>
      </w:r>
      <w:proofErr w:type="spellStart"/>
      <w:r>
        <w:rPr>
          <w:rFonts w:ascii="Calibri Light" w:hAnsi="Calibri Light" w:cs="Calibri Light"/>
          <w:i/>
          <w:iCs/>
          <w:color w:val="000000"/>
          <w:sz w:val="22"/>
          <w:szCs w:val="22"/>
        </w:rPr>
        <w:t>Qurʼán</w:t>
      </w:r>
      <w:proofErr w:type="spellEnd"/>
      <w:r>
        <w:rPr>
          <w:rFonts w:ascii="Calibri Light" w:hAnsi="Calibri Light" w:cs="Calibri Light"/>
          <w:i/>
          <w:iCs/>
          <w:color w:val="000000"/>
          <w:sz w:val="22"/>
          <w:szCs w:val="22"/>
        </w:rPr>
        <w:t xml:space="preserve"> the early revelations</w:t>
      </w:r>
      <w:r>
        <w:rPr>
          <w:rFonts w:ascii="Calibri Light" w:hAnsi="Calibri Light" w:cs="Calibri Light"/>
          <w:color w:val="000000"/>
          <w:sz w:val="22"/>
          <w:szCs w:val="22"/>
        </w:rPr>
        <w:t> 2nd ed., Ashland, Or.: White Cloud Press.</w:t>
      </w:r>
    </w:p>
    <w:p w14:paraId="1D5465E3" w14:textId="77777777" w:rsidR="005C3D15" w:rsidRDefault="005C3D15" w:rsidP="005C3D15">
      <w:pPr>
        <w:spacing w:after="160" w:line="235" w:lineRule="atLeast"/>
        <w:rPr>
          <w:rFonts w:ascii="Calibri" w:hAnsi="Calibri" w:cs="Calibri"/>
          <w:color w:val="222222"/>
          <w:sz w:val="22"/>
          <w:szCs w:val="22"/>
        </w:rPr>
      </w:pPr>
      <w:r>
        <w:rPr>
          <w:rFonts w:ascii="Calibri Light" w:hAnsi="Calibri Light" w:cs="Calibri Light"/>
          <w:i/>
          <w:iCs/>
          <w:color w:val="222222"/>
          <w:sz w:val="22"/>
          <w:szCs w:val="22"/>
        </w:rPr>
        <w:t>The Quran</w:t>
      </w:r>
      <w:r>
        <w:rPr>
          <w:rFonts w:ascii="Calibri Light" w:hAnsi="Calibri Light" w:cs="Calibri Light"/>
          <w:color w:val="222222"/>
          <w:sz w:val="22"/>
          <w:szCs w:val="22"/>
        </w:rPr>
        <w:t>, (translated by Abdel Haleem). (2016</w:t>
      </w:r>
      <w:r>
        <w:rPr>
          <w:rFonts w:ascii="Calibri Light" w:hAnsi="Calibri Light" w:cs="Calibri Light"/>
          <w:i/>
          <w:iCs/>
          <w:color w:val="222222"/>
          <w:sz w:val="22"/>
          <w:szCs w:val="22"/>
        </w:rPr>
        <w:t>)</w:t>
      </w:r>
      <w:r>
        <w:rPr>
          <w:rStyle w:val="apple-converted-space"/>
          <w:rFonts w:ascii="Calibri Light" w:hAnsi="Calibri Light" w:cs="Calibri Light"/>
          <w:i/>
          <w:iCs/>
          <w:color w:val="222222"/>
          <w:sz w:val="22"/>
          <w:szCs w:val="22"/>
        </w:rPr>
        <w:t> </w:t>
      </w:r>
      <w:r>
        <w:rPr>
          <w:rFonts w:ascii="Calibri Light" w:hAnsi="Calibri Light" w:cs="Calibri Light"/>
          <w:color w:val="222222"/>
          <w:sz w:val="22"/>
          <w:szCs w:val="22"/>
        </w:rPr>
        <w:t>New York: Oxford World Classics</w:t>
      </w:r>
    </w:p>
    <w:p w14:paraId="30F2FEF8" w14:textId="4A889A3C" w:rsidR="0008696A" w:rsidRPr="005C3D15" w:rsidRDefault="0008696A" w:rsidP="0008696A">
      <w:pPr>
        <w:rPr>
          <w:rFonts w:asciiTheme="minorHAnsi" w:hAnsiTheme="minorHAnsi" w:cstheme="minorHAnsi"/>
          <w:sz w:val="23"/>
          <w:szCs w:val="23"/>
          <w:shd w:val="clear" w:color="auto" w:fill="FFFFFF"/>
        </w:rPr>
      </w:pPr>
    </w:p>
    <w:p w14:paraId="12B8B93F" w14:textId="77777777" w:rsidR="0008696A" w:rsidRPr="005C3D15" w:rsidRDefault="0008696A">
      <w:pPr>
        <w:rPr>
          <w:rFonts w:asciiTheme="minorHAnsi" w:hAnsiTheme="minorHAnsi" w:cstheme="minorHAnsi"/>
        </w:rPr>
      </w:pPr>
    </w:p>
    <w:sectPr w:rsidR="0008696A" w:rsidRPr="005C3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FEC9E" w14:textId="77777777" w:rsidR="003C2AB3" w:rsidRDefault="003C2AB3" w:rsidP="002040EF">
      <w:r>
        <w:separator/>
      </w:r>
    </w:p>
  </w:endnote>
  <w:endnote w:type="continuationSeparator" w:id="0">
    <w:p w14:paraId="388F2127" w14:textId="77777777" w:rsidR="003C2AB3" w:rsidRDefault="003C2AB3" w:rsidP="00204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48CC4" w14:textId="77777777" w:rsidR="003C2AB3" w:rsidRDefault="003C2AB3" w:rsidP="002040EF">
      <w:r>
        <w:separator/>
      </w:r>
    </w:p>
  </w:footnote>
  <w:footnote w:type="continuationSeparator" w:id="0">
    <w:p w14:paraId="6AB638CC" w14:textId="77777777" w:rsidR="003C2AB3" w:rsidRDefault="003C2AB3" w:rsidP="002040EF">
      <w:r>
        <w:continuationSeparator/>
      </w:r>
    </w:p>
  </w:footnote>
  <w:footnote w:id="1">
    <w:p w14:paraId="5CBD09EE" w14:textId="77777777" w:rsidR="00C17FD2" w:rsidRDefault="00C17FD2" w:rsidP="00C17FD2">
      <w:pPr>
        <w:pStyle w:val="FootnoteText"/>
      </w:pPr>
      <w:r>
        <w:rPr>
          <w:rStyle w:val="FootnoteReference"/>
        </w:rPr>
        <w:footnoteRef/>
      </w:r>
      <w:r>
        <w:t xml:space="preserve"> Sells, 2007:85</w:t>
      </w:r>
    </w:p>
  </w:footnote>
  <w:footnote w:id="2">
    <w:p w14:paraId="07981ACE" w14:textId="77777777" w:rsidR="004B5C2F" w:rsidRDefault="004B5C2F" w:rsidP="004B5C2F">
      <w:pPr>
        <w:pStyle w:val="FootnoteText"/>
      </w:pPr>
      <w:r>
        <w:rPr>
          <w:rStyle w:val="FootnoteReference"/>
        </w:rPr>
        <w:footnoteRef/>
      </w:r>
      <w:r>
        <w:t xml:space="preserve"> </w:t>
      </w:r>
      <w:proofErr w:type="spellStart"/>
      <w:r>
        <w:t>Madani</w:t>
      </w:r>
      <w:proofErr w:type="spellEnd"/>
      <w:r>
        <w:t>, 2010:3</w:t>
      </w:r>
    </w:p>
  </w:footnote>
  <w:footnote w:id="3">
    <w:p w14:paraId="2F1324D6" w14:textId="2EDCDE05" w:rsidR="002040EF" w:rsidRDefault="002040EF" w:rsidP="002040EF">
      <w:pPr>
        <w:pStyle w:val="FootnoteText"/>
      </w:pPr>
      <w:r>
        <w:rPr>
          <w:rStyle w:val="FootnoteReference"/>
        </w:rPr>
        <w:footnoteRef/>
      </w:r>
      <w:r>
        <w:t xml:space="preserve"> Nassar</w:t>
      </w:r>
      <w:r w:rsidR="005C3D15">
        <w:t>, 2015:323</w:t>
      </w:r>
    </w:p>
  </w:footnote>
  <w:footnote w:id="4">
    <w:p w14:paraId="5BA80171" w14:textId="77777777" w:rsidR="004B5C2F" w:rsidRDefault="004B5C2F" w:rsidP="004B5C2F">
      <w:pPr>
        <w:pStyle w:val="FootnoteText"/>
      </w:pPr>
      <w:r>
        <w:rPr>
          <w:rStyle w:val="FootnoteReference"/>
        </w:rPr>
        <w:footnoteRef/>
      </w:r>
      <w:r>
        <w:t xml:space="preserve"> </w:t>
      </w:r>
      <w:proofErr w:type="spellStart"/>
      <w:r>
        <w:t>Inam</w:t>
      </w:r>
      <w:proofErr w:type="spellEnd"/>
      <w:r>
        <w:t>, 2013:72</w:t>
      </w:r>
    </w:p>
  </w:footnote>
  <w:footnote w:id="5">
    <w:p w14:paraId="2273D8F5" w14:textId="77777777" w:rsidR="002040EF" w:rsidRDefault="002040EF" w:rsidP="002040EF">
      <w:pPr>
        <w:pStyle w:val="FootnoteText"/>
      </w:pPr>
      <w:r>
        <w:rPr>
          <w:rStyle w:val="FootnoteReference"/>
        </w:rPr>
        <w:footnoteRef/>
      </w:r>
      <w:r>
        <w:t xml:space="preserve"> </w:t>
      </w:r>
      <w:proofErr w:type="spellStart"/>
      <w:r>
        <w:t>Imtiyaz</w:t>
      </w:r>
      <w:proofErr w:type="spellEnd"/>
      <w:r>
        <w:t>, 2019:522</w:t>
      </w:r>
    </w:p>
  </w:footnote>
  <w:footnote w:id="6">
    <w:p w14:paraId="0D74D7C6" w14:textId="77777777" w:rsidR="002040EF" w:rsidRDefault="002040EF" w:rsidP="002040EF">
      <w:pPr>
        <w:pStyle w:val="FootnoteText"/>
      </w:pPr>
      <w:r>
        <w:rPr>
          <w:rStyle w:val="FootnoteReference"/>
        </w:rPr>
        <w:footnoteRef/>
      </w:r>
      <w:r>
        <w:t xml:space="preserve"> Brown, 2009:11</w:t>
      </w:r>
    </w:p>
  </w:footnote>
  <w:footnote w:id="7">
    <w:p w14:paraId="56867443" w14:textId="575E22D2" w:rsidR="002040EF" w:rsidRDefault="002040EF" w:rsidP="002040EF">
      <w:pPr>
        <w:pStyle w:val="FootnoteText"/>
      </w:pPr>
      <w:r>
        <w:rPr>
          <w:rStyle w:val="FootnoteReference"/>
        </w:rPr>
        <w:footnoteRef/>
      </w:r>
      <w:r>
        <w:t xml:space="preserve"> </w:t>
      </w:r>
      <w:r w:rsidR="005C3D15">
        <w:t>Bukhari 46.678</w:t>
      </w:r>
    </w:p>
  </w:footnote>
  <w:footnote w:id="8">
    <w:p w14:paraId="3680FD13" w14:textId="77777777" w:rsidR="004B5C2F" w:rsidRDefault="004B5C2F" w:rsidP="004B5C2F">
      <w:pPr>
        <w:pStyle w:val="FootnoteText"/>
      </w:pPr>
      <w:r>
        <w:rPr>
          <w:rStyle w:val="FootnoteReference"/>
        </w:rPr>
        <w:footnoteRef/>
      </w:r>
      <w:r>
        <w:t xml:space="preserve"> </w:t>
      </w:r>
      <w:proofErr w:type="spellStart"/>
      <w:r>
        <w:rPr>
          <w:rFonts w:ascii="Source Sans Pro" w:hAnsi="Source Sans Pro"/>
          <w:color w:val="3A3A3A"/>
          <w:sz w:val="23"/>
          <w:szCs w:val="23"/>
          <w:shd w:val="clear" w:color="auto" w:fill="FFFFFF"/>
        </w:rPr>
        <w:t>Karagözoğlu</w:t>
      </w:r>
      <w:proofErr w:type="spellEnd"/>
      <w:r>
        <w:rPr>
          <w:rFonts w:ascii="Source Sans Pro" w:hAnsi="Source Sans Pro"/>
          <w:color w:val="3A3A3A"/>
          <w:sz w:val="23"/>
          <w:szCs w:val="23"/>
          <w:shd w:val="clear" w:color="auto" w:fill="FFFFFF"/>
        </w:rPr>
        <w:t>, 2018:49</w:t>
      </w:r>
    </w:p>
  </w:footnote>
  <w:footnote w:id="9">
    <w:p w14:paraId="6688619A" w14:textId="1DCA34DF" w:rsidR="005C3D15" w:rsidRDefault="005C3D15">
      <w:pPr>
        <w:pStyle w:val="FootnoteText"/>
      </w:pPr>
      <w:r>
        <w:rPr>
          <w:rStyle w:val="FootnoteReference"/>
        </w:rPr>
        <w:footnoteRef/>
      </w:r>
      <w:r>
        <w:t xml:space="preserve"> </w:t>
      </w:r>
      <w:proofErr w:type="spellStart"/>
      <w:r>
        <w:t>Usmani</w:t>
      </w:r>
      <w:proofErr w:type="spellEnd"/>
      <w:r>
        <w:t>, 2004:69</w:t>
      </w:r>
    </w:p>
  </w:footnote>
  <w:footnote w:id="10">
    <w:p w14:paraId="0966764C" w14:textId="49F5EE25" w:rsidR="005C3D15" w:rsidRDefault="005C3D15">
      <w:pPr>
        <w:pStyle w:val="FootnoteText"/>
      </w:pPr>
      <w:r>
        <w:rPr>
          <w:rStyle w:val="FootnoteReference"/>
        </w:rPr>
        <w:footnoteRef/>
      </w:r>
      <w:r>
        <w:t xml:space="preserve"> </w:t>
      </w:r>
      <w:proofErr w:type="spellStart"/>
      <w:r>
        <w:t>Usmani</w:t>
      </w:r>
      <w:proofErr w:type="spellEnd"/>
      <w:r>
        <w:t>, 2004:68</w:t>
      </w:r>
    </w:p>
  </w:footnote>
  <w:footnote w:id="11">
    <w:p w14:paraId="4510398D" w14:textId="76056403" w:rsidR="005C3D15" w:rsidRDefault="005C3D15">
      <w:pPr>
        <w:pStyle w:val="FootnoteText"/>
      </w:pPr>
      <w:r>
        <w:rPr>
          <w:rStyle w:val="FootnoteReference"/>
        </w:rPr>
        <w:footnoteRef/>
      </w:r>
      <w:r>
        <w:t xml:space="preserve"> Malik, 45.24</w:t>
      </w:r>
    </w:p>
  </w:footnote>
  <w:footnote w:id="12">
    <w:p w14:paraId="38A7A069" w14:textId="17FDD6D0" w:rsidR="005C3D15" w:rsidRDefault="005C3D15">
      <w:pPr>
        <w:pStyle w:val="FootnoteText"/>
      </w:pPr>
      <w:r>
        <w:rPr>
          <w:rStyle w:val="FootnoteReference"/>
        </w:rPr>
        <w:footnoteRef/>
      </w:r>
      <w:r>
        <w:t xml:space="preserve"> BBC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xszQ1NDezNDA0tzBX0lEKTi0uzszPAykwrQUAjWc7OCwAAAA="/>
  </w:docVars>
  <w:rsids>
    <w:rsidRoot w:val="002040EF"/>
    <w:rsid w:val="00062183"/>
    <w:rsid w:val="0008696A"/>
    <w:rsid w:val="000F1D3C"/>
    <w:rsid w:val="00134E06"/>
    <w:rsid w:val="001D1940"/>
    <w:rsid w:val="001F1293"/>
    <w:rsid w:val="002040EF"/>
    <w:rsid w:val="003027B7"/>
    <w:rsid w:val="003C2AB3"/>
    <w:rsid w:val="00400244"/>
    <w:rsid w:val="004A7782"/>
    <w:rsid w:val="004B5C2F"/>
    <w:rsid w:val="00556990"/>
    <w:rsid w:val="005A0818"/>
    <w:rsid w:val="005B5ECC"/>
    <w:rsid w:val="005C3D15"/>
    <w:rsid w:val="006B2950"/>
    <w:rsid w:val="00793227"/>
    <w:rsid w:val="007D7248"/>
    <w:rsid w:val="007F0E24"/>
    <w:rsid w:val="00832804"/>
    <w:rsid w:val="00856B0D"/>
    <w:rsid w:val="008C05A8"/>
    <w:rsid w:val="00904EC1"/>
    <w:rsid w:val="00926927"/>
    <w:rsid w:val="0099523F"/>
    <w:rsid w:val="00A00970"/>
    <w:rsid w:val="00A461E3"/>
    <w:rsid w:val="00A97B49"/>
    <w:rsid w:val="00C162A2"/>
    <w:rsid w:val="00C17FD2"/>
    <w:rsid w:val="00C20DE9"/>
    <w:rsid w:val="00D16513"/>
    <w:rsid w:val="00DE712C"/>
    <w:rsid w:val="00F37B2B"/>
    <w:rsid w:val="00FB4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8E658"/>
  <w15:chartTrackingRefBased/>
  <w15:docId w15:val="{3AAD85F7-E4C1-4CC6-B6C7-0A0065197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D1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40EF"/>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2040EF"/>
    <w:rPr>
      <w:sz w:val="20"/>
      <w:szCs w:val="20"/>
    </w:rPr>
  </w:style>
  <w:style w:type="character" w:styleId="FootnoteReference">
    <w:name w:val="footnote reference"/>
    <w:basedOn w:val="DefaultParagraphFont"/>
    <w:uiPriority w:val="99"/>
    <w:semiHidden/>
    <w:unhideWhenUsed/>
    <w:rsid w:val="002040EF"/>
    <w:rPr>
      <w:vertAlign w:val="superscript"/>
    </w:rPr>
  </w:style>
  <w:style w:type="paragraph" w:styleId="ListParagraph">
    <w:name w:val="List Paragraph"/>
    <w:basedOn w:val="Normal"/>
    <w:uiPriority w:val="34"/>
    <w:qFormat/>
    <w:rsid w:val="004B5C2F"/>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D16513"/>
  </w:style>
  <w:style w:type="character" w:styleId="Hyperlink">
    <w:name w:val="Hyperlink"/>
    <w:basedOn w:val="DefaultParagraphFont"/>
    <w:uiPriority w:val="99"/>
    <w:semiHidden/>
    <w:unhideWhenUsed/>
    <w:rsid w:val="00D16513"/>
    <w:rPr>
      <w:color w:val="0000FF"/>
      <w:u w:val="single"/>
    </w:rPr>
  </w:style>
  <w:style w:type="character" w:styleId="FollowedHyperlink">
    <w:name w:val="FollowedHyperlink"/>
    <w:basedOn w:val="DefaultParagraphFont"/>
    <w:uiPriority w:val="99"/>
    <w:semiHidden/>
    <w:unhideWhenUsed/>
    <w:rsid w:val="005C3D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33110">
      <w:bodyDiv w:val="1"/>
      <w:marLeft w:val="0"/>
      <w:marRight w:val="0"/>
      <w:marTop w:val="0"/>
      <w:marBottom w:val="0"/>
      <w:divBdr>
        <w:top w:val="none" w:sz="0" w:space="0" w:color="auto"/>
        <w:left w:val="none" w:sz="0" w:space="0" w:color="auto"/>
        <w:bottom w:val="none" w:sz="0" w:space="0" w:color="auto"/>
        <w:right w:val="none" w:sz="0" w:space="0" w:color="auto"/>
      </w:divBdr>
    </w:div>
    <w:div w:id="958268808">
      <w:bodyDiv w:val="1"/>
      <w:marLeft w:val="0"/>
      <w:marRight w:val="0"/>
      <w:marTop w:val="0"/>
      <w:marBottom w:val="0"/>
      <w:divBdr>
        <w:top w:val="none" w:sz="0" w:space="0" w:color="auto"/>
        <w:left w:val="none" w:sz="0" w:space="0" w:color="auto"/>
        <w:bottom w:val="none" w:sz="0" w:space="0" w:color="auto"/>
        <w:right w:val="none" w:sz="0" w:space="0" w:color="auto"/>
      </w:divBdr>
    </w:div>
    <w:div w:id="1322931589">
      <w:bodyDiv w:val="1"/>
      <w:marLeft w:val="0"/>
      <w:marRight w:val="0"/>
      <w:marTop w:val="0"/>
      <w:marBottom w:val="0"/>
      <w:divBdr>
        <w:top w:val="none" w:sz="0" w:space="0" w:color="auto"/>
        <w:left w:val="none" w:sz="0" w:space="0" w:color="auto"/>
        <w:bottom w:val="none" w:sz="0" w:space="0" w:color="auto"/>
        <w:right w:val="none" w:sz="0" w:space="0" w:color="auto"/>
      </w:divBdr>
    </w:div>
    <w:div w:id="140464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56D0C-5F92-4629-9A5D-CB4F88F71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3</cp:revision>
  <dcterms:created xsi:type="dcterms:W3CDTF">2020-05-01T20:03:00Z</dcterms:created>
  <dcterms:modified xsi:type="dcterms:W3CDTF">2020-05-01T20:05:00Z</dcterms:modified>
</cp:coreProperties>
</file>