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00CF451">
      <w:pPr>
        <w:jc w:val="left"/>
        <w:rPr>
          <w:rFonts w:hint="default" w:ascii="Arial" w:hAnsi="Arial" w:eastAsia="Arial" w:cs="Arial"/>
          <w:color w:val="000000" w:themeColor="text1"/>
          <w14:textFill>
            <w14:solidFill>
              <w14:schemeClr w14:val="tx1"/>
            </w14:solidFill>
          </w14:textFill>
        </w:rPr>
      </w:pPr>
      <w:bookmarkStart w:id="0" w:name="X7e994a353297f1f88346de77e3ebc4e199fdd59"/>
      <w:r>
        <w:rPr>
          <w:rFonts w:hint="default" w:ascii="Arial" w:hAnsi="Arial" w:eastAsia="Arial" w:cs="Arial"/>
          <w:color w:val="000000" w:themeColor="text1"/>
          <w14:textFill>
            <w14:solidFill>
              <w14:schemeClr w14:val="tx1"/>
            </w14:solidFill>
          </w14:textFill>
        </w:rPr>
        <w:drawing>
          <wp:inline distT="0" distB="0" distL="114300" distR="114300">
            <wp:extent cx="2011680" cy="80454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011680" cy="804672"/>
                    </a:xfrm>
                    <a:prstGeom prst="rect">
                      <a:avLst/>
                    </a:prstGeom>
                  </pic:spPr>
                </pic:pic>
              </a:graphicData>
            </a:graphic>
          </wp:inline>
        </w:drawing>
      </w:r>
    </w:p>
    <w:p w14:paraId="50F5C9FC">
      <w:pPr>
        <w:pStyle w:val="2"/>
        <w:keepNext/>
        <w:spacing w:line="360" w:lineRule="auto"/>
        <w:jc w:val="center"/>
        <w:rPr>
          <w:rFonts w:hint="default" w:ascii="Arial" w:hAnsi="Arial" w:eastAsia="Arial" w:cs="Arial"/>
          <w:b/>
          <w:bCs/>
          <w:color w:val="000000" w:themeColor="text1"/>
          <w:sz w:val="24"/>
          <w:vertAlign w:val="baseline"/>
          <w14:textFill>
            <w14:solidFill>
              <w14:schemeClr w14:val="tx1"/>
            </w14:solidFill>
          </w14:textFill>
        </w:rPr>
      </w:pPr>
      <w:bookmarkStart w:id="1" w:name="_Toc16028"/>
      <w:r>
        <w:rPr>
          <w:rFonts w:hint="default" w:ascii="Arial" w:hAnsi="Arial" w:eastAsia="Arial" w:cs="Arial"/>
          <w:b/>
          <w:color w:val="000000" w:themeColor="text1"/>
          <w:sz w:val="40"/>
          <w14:textFill>
            <w14:solidFill>
              <w14:schemeClr w14:val="tx1"/>
            </w14:solidFill>
          </w14:textFill>
        </w:rPr>
        <w:t>Innovating New Working Practices and Breeding an Environment Where Talent May Grow</w:t>
      </w:r>
      <w:bookmarkEnd w:id="1"/>
    </w:p>
    <w:tbl>
      <w:tblPr>
        <w:tblStyle w:val="35"/>
        <w:tblW w:w="806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76"/>
        <w:gridCol w:w="9432"/>
      </w:tblGrid>
      <w:tr w14:paraId="2422B6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blHeader/>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6F9B11D">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Programme:</w:t>
            </w:r>
            <w:r>
              <w:rPr>
                <w:rFonts w:hint="default" w:ascii="Arial" w:hAnsi="Arial" w:eastAsia="Arial" w:cs="Arial"/>
                <w:b/>
                <w:color w:val="000000" w:themeColor="text1"/>
                <w:sz w:val="24"/>
                <w14:textFill>
                  <w14:solidFill>
                    <w14:schemeClr w14:val="tx1"/>
                  </w14:solidFill>
                </w14:textFill>
              </w:rPr>
              <w:t xml:space="preserve"> </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799EB54">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val="0"/>
                <w:color w:val="000000" w:themeColor="text1"/>
                <w:sz w:val="24"/>
                <w14:textFill>
                  <w14:solidFill>
                    <w14:schemeClr w14:val="tx1"/>
                  </w14:solidFill>
                </w14:textFill>
              </w:rPr>
              <w:t>Master of Business Administration</w:t>
            </w:r>
          </w:p>
        </w:tc>
      </w:tr>
      <w:tr w14:paraId="124463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F08359F">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Module:</w:t>
            </w:r>
            <w:r>
              <w:rPr>
                <w:rFonts w:hint="default" w:ascii="Arial" w:hAnsi="Arial" w:eastAsia="Arial" w:cs="Arial"/>
                <w:b/>
                <w:color w:val="000000" w:themeColor="text1"/>
                <w:sz w:val="24"/>
                <w14:textFill>
                  <w14:solidFill>
                    <w14:schemeClr w14:val="tx1"/>
                  </w14:solidFill>
                </w14:textFill>
              </w:rPr>
              <w:t xml:space="preserve"> </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1322DB1">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val="0"/>
                <w:color w:val="000000" w:themeColor="text1"/>
                <w:sz w:val="24"/>
                <w14:textFill>
                  <w14:solidFill>
                    <w14:schemeClr w14:val="tx1"/>
                  </w14:solidFill>
                </w14:textFill>
              </w:rPr>
              <w:t>Human Capital Management (LCMB7023)</w:t>
            </w:r>
          </w:p>
        </w:tc>
      </w:tr>
      <w:tr w14:paraId="1C52B3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AB2849D">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Lecturer:</w:t>
            </w:r>
            <w:r>
              <w:rPr>
                <w:rFonts w:hint="default" w:ascii="Arial" w:hAnsi="Arial" w:eastAsia="Arial" w:cs="Arial"/>
                <w:b/>
                <w:color w:val="000000" w:themeColor="text1"/>
                <w:sz w:val="24"/>
                <w14:textFill>
                  <w14:solidFill>
                    <w14:schemeClr w14:val="tx1"/>
                  </w14:solidFill>
                </w14:textFill>
              </w:rPr>
              <w:t xml:space="preserve"> </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A03168E">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val="0"/>
                <w:color w:val="000000" w:themeColor="text1"/>
                <w:sz w:val="24"/>
                <w14:textFill>
                  <w14:solidFill>
                    <w14:schemeClr w14:val="tx1"/>
                  </w14:solidFill>
                </w14:textFill>
              </w:rPr>
              <w:t>Eno Maycock</w:t>
            </w:r>
          </w:p>
        </w:tc>
      </w:tr>
      <w:tr w14:paraId="39F58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0DA4CF1">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Student:</w:t>
            </w:r>
            <w:r>
              <w:rPr>
                <w:rFonts w:hint="default" w:ascii="Arial" w:hAnsi="Arial" w:eastAsia="Arial" w:cs="Arial"/>
                <w:b/>
                <w:color w:val="000000" w:themeColor="text1"/>
                <w:sz w:val="24"/>
                <w14:textFill>
                  <w14:solidFill>
                    <w14:schemeClr w14:val="tx1"/>
                  </w14:solidFill>
                </w14:textFill>
              </w:rPr>
              <w:t xml:space="preserve"> </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BC744BF">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val="0"/>
                <w:color w:val="000000" w:themeColor="text1"/>
                <w:sz w:val="24"/>
                <w:lang w:val="en-GB"/>
                <w14:textFill>
                  <w14:solidFill>
                    <w14:schemeClr w14:val="tx1"/>
                  </w14:solidFill>
                </w14:textFill>
              </w:rPr>
              <w:t xml:space="preserve">Tchewebe </w:t>
            </w:r>
            <w:r>
              <w:rPr>
                <w:rFonts w:hint="default" w:ascii="Arial" w:hAnsi="Arial" w:eastAsia="Arial" w:cs="Arial"/>
                <w:b w:val="0"/>
                <w:color w:val="000000" w:themeColor="text1"/>
                <w:sz w:val="24"/>
                <w14:textFill>
                  <w14:solidFill>
                    <w14:schemeClr w14:val="tx1"/>
                  </w14:solidFill>
                </w14:textFill>
              </w:rPr>
              <w:t>Alain Hoola</w:t>
            </w:r>
          </w:p>
        </w:tc>
      </w:tr>
      <w:tr w14:paraId="2BF19F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8594C98">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Student ID:</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FF58CA6">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val="0"/>
                <w:color w:val="000000" w:themeColor="text1"/>
                <w:sz w:val="24"/>
                <w14:textFill>
                  <w14:solidFill>
                    <w14:schemeClr w14:val="tx1"/>
                  </w14:solidFill>
                </w14:textFill>
              </w:rPr>
              <w:t xml:space="preserve"> 2520485</w:t>
            </w:r>
          </w:p>
        </w:tc>
      </w:tr>
      <w:tr w14:paraId="2F547E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16208C7">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Submission date:</w:t>
            </w:r>
            <w:r>
              <w:rPr>
                <w:rFonts w:hint="default" w:ascii="Arial" w:hAnsi="Arial" w:eastAsia="Arial" w:cs="Arial"/>
                <w:b/>
                <w:color w:val="000000" w:themeColor="text1"/>
                <w:sz w:val="24"/>
                <w14:textFill>
                  <w14:solidFill>
                    <w14:schemeClr w14:val="tx1"/>
                  </w14:solidFill>
                </w14:textFill>
              </w:rPr>
              <w:t xml:space="preserve"> </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61A3392">
            <w:pPr>
              <w:spacing w:before="0" w:after="0" w:line="360" w:lineRule="auto"/>
              <w:jc w:val="left"/>
              <w:rPr>
                <w:rFonts w:hint="default" w:ascii="Arial" w:hAnsi="Arial" w:eastAsia="Arial" w:cs="Arial"/>
                <w:b/>
                <w:bCs/>
                <w:color w:val="000000" w:themeColor="text1"/>
                <w:sz w:val="24"/>
                <w:vertAlign w:val="baseline"/>
                <w14:textFill>
                  <w14:solidFill>
                    <w14:schemeClr w14:val="tx1"/>
                  </w14:solidFill>
                </w14:textFill>
              </w:rPr>
            </w:pPr>
            <w:r>
              <w:rPr>
                <w:rFonts w:hint="default" w:ascii="Arial" w:hAnsi="Arial" w:eastAsia="Arial" w:cs="Arial"/>
                <w:b w:val="0"/>
                <w:color w:val="000000" w:themeColor="text1"/>
                <w:sz w:val="24"/>
                <w14:textFill>
                  <w14:solidFill>
                    <w14:schemeClr w14:val="tx1"/>
                  </w14:solidFill>
                </w14:textFill>
              </w:rPr>
              <w:t>15 October 2026</w:t>
            </w:r>
          </w:p>
        </w:tc>
      </w:tr>
      <w:tr w14:paraId="193034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237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4208224">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Word count:</w:t>
            </w:r>
          </w:p>
        </w:tc>
        <w:tc>
          <w:tcPr>
            <w:tcW w:w="94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CBA9DD3">
            <w:pPr>
              <w:spacing w:line="360" w:lineRule="auto"/>
            </w:pPr>
            <w:r>
              <w:rPr>
                <w:rFonts w:ascii="Arial" w:hAnsi="Arial" w:eastAsia="Arial"/>
                <w:sz w:val="24"/>
              </w:rPr>
              <w:t>2,6</w:t>
            </w:r>
            <w:r>
              <w:rPr>
                <w:rFonts w:hint="default" w:eastAsia="Arial"/>
                <w:sz w:val="24"/>
                <w:lang w:val="en-GB"/>
              </w:rPr>
              <w:t>88</w:t>
            </w:r>
            <w:r>
              <w:rPr>
                <w:rFonts w:ascii="Arial" w:hAnsi="Arial" w:eastAsia="Arial"/>
                <w:sz w:val="24"/>
              </w:rPr>
              <w:t xml:space="preserve"> words </w:t>
            </w:r>
            <w:bookmarkStart w:id="34" w:name="_GoBack"/>
            <w:bookmarkEnd w:id="34"/>
          </w:p>
        </w:tc>
      </w:tr>
    </w:tbl>
    <w:p w14:paraId="600EEB6B">
      <w:pPr>
        <w:pStyle w:val="37"/>
        <w:tabs>
          <w:tab w:val="right" w:leader="dot" w:pos="9648"/>
        </w:tabs>
        <w:rPr>
          <w:rFonts w:hint="default" w:ascii="Arial" w:hAnsi="Arial" w:eastAsia="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color w:val="000000" w:themeColor="text1"/>
          <w14:textFill>
            <w14:solidFill>
              <w14:schemeClr w14:val="tx1"/>
            </w14:solidFill>
          </w14:textFill>
        </w:rPr>
        <w:instrText xml:space="preserve">TOC \o "1-3" \h \u </w:instrText>
      </w:r>
      <w:r>
        <w:rPr>
          <w:rFonts w:hint="default" w:ascii="Arial" w:hAnsi="Arial" w:eastAsia="Arial" w:cs="Arial"/>
          <w:color w:val="000000" w:themeColor="text1"/>
          <w14:textFill>
            <w14:solidFill>
              <w14:schemeClr w14:val="tx1"/>
            </w14:solidFill>
          </w14:textFill>
        </w:rPr>
        <w:fldChar w:fldCharType="separate"/>
      </w:r>
    </w:p>
    <w:p w14:paraId="154EFFF4">
      <w:pPr>
        <w:rPr>
          <w:rFonts w:hint="default" w:ascii="Arial" w:hAnsi="Arial" w:eastAsia="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br w:type="page"/>
      </w:r>
    </w:p>
    <w:p w14:paraId="300FBDA2">
      <w:pPr>
        <w:pStyle w:val="37"/>
        <w:tabs>
          <w:tab w:val="right" w:leader="dot" w:pos="9648"/>
        </w:tabs>
        <w:rPr>
          <w:rFonts w:hint="default"/>
          <w:lang w:val="en-GB"/>
        </w:rPr>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_Toc27427 </w:instrText>
      </w:r>
      <w:r>
        <w:rPr>
          <w:rFonts w:hint="default" w:ascii="Arial" w:hAnsi="Arial" w:eastAsia="Arial" w:cs="Arial"/>
        </w:rPr>
        <w:fldChar w:fldCharType="separate"/>
      </w:r>
      <w:r>
        <w:rPr>
          <w:rFonts w:hint="default" w:ascii="Arial" w:hAnsi="Arial" w:eastAsia="Arial" w:cs="Arial"/>
        </w:rPr>
        <w:t>Table of Contents</w:t>
      </w:r>
      <w:r>
        <w:tab/>
      </w:r>
      <w:r>
        <w:fldChar w:fldCharType="begin"/>
      </w:r>
      <w:r>
        <w:instrText xml:space="preserve"> PAGEREF _Toc27427 \h </w:instrText>
      </w:r>
      <w:r>
        <w:fldChar w:fldCharType="separate"/>
      </w:r>
      <w:r>
        <w:rPr>
          <w:b/>
        </w:rPr>
        <w:t>.</w:t>
      </w:r>
      <w:r>
        <w:fldChar w:fldCharType="end"/>
      </w:r>
      <w:r>
        <w:rPr>
          <w:rFonts w:hint="default" w:ascii="Arial" w:hAnsi="Arial" w:eastAsia="Arial" w:cs="Arial"/>
          <w:color w:val="000000" w:themeColor="text1"/>
          <w14:textFill>
            <w14:solidFill>
              <w14:schemeClr w14:val="tx1"/>
            </w14:solidFill>
          </w14:textFill>
        </w:rPr>
        <w:fldChar w:fldCharType="end"/>
      </w:r>
      <w:r>
        <w:rPr>
          <w:rFonts w:hint="default" w:eastAsia="Arial" w:cs="Arial"/>
          <w:color w:val="000000" w:themeColor="text1"/>
          <w:lang w:val="en-GB"/>
          <w14:textFill>
            <w14:solidFill>
              <w14:schemeClr w14:val="tx1"/>
            </w14:solidFill>
          </w14:textFill>
        </w:rPr>
        <w:t>2</w:t>
      </w:r>
    </w:p>
    <w:p w14:paraId="33BD5B42">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_Toc26521 </w:instrText>
      </w:r>
      <w:r>
        <w:rPr>
          <w:rFonts w:hint="default" w:ascii="Arial" w:hAnsi="Arial" w:eastAsia="Arial" w:cs="Arial"/>
        </w:rPr>
        <w:fldChar w:fldCharType="separate"/>
      </w:r>
      <w:r>
        <w:rPr>
          <w:rFonts w:hint="default" w:ascii="Arial" w:hAnsi="Arial" w:eastAsia="Arial" w:cs="Arial"/>
        </w:rPr>
        <w:t>1.1</w:t>
      </w:r>
      <w:r>
        <w:rPr>
          <w:rFonts w:hint="default" w:ascii="Arial" w:hAnsi="Arial" w:eastAsia="Arial" w:cs="Arial"/>
        </w:rPr>
        <w:tab/>
      </w:r>
      <w:r>
        <w:rPr>
          <w:rFonts w:hint="default" w:ascii="Arial" w:hAnsi="Arial" w:eastAsia="Arial" w:cs="Arial"/>
        </w:rPr>
        <w:t>Abbreviations and Key Terms</w:t>
      </w:r>
      <w:r>
        <w:tab/>
      </w:r>
      <w:r>
        <w:fldChar w:fldCharType="begin"/>
      </w:r>
      <w:r>
        <w:instrText xml:space="preserve"> PAGEREF _Toc26521 \h </w:instrText>
      </w:r>
      <w:r>
        <w:fldChar w:fldCharType="separate"/>
      </w:r>
      <w:r>
        <w:t>3</w:t>
      </w:r>
      <w:r>
        <w:fldChar w:fldCharType="end"/>
      </w:r>
      <w:r>
        <w:rPr>
          <w:rFonts w:hint="default" w:ascii="Arial" w:hAnsi="Arial" w:eastAsia="Arial" w:cs="Arial"/>
          <w:color w:val="000000" w:themeColor="text1"/>
          <w14:textFill>
            <w14:solidFill>
              <w14:schemeClr w14:val="tx1"/>
            </w14:solidFill>
          </w14:textFill>
        </w:rPr>
        <w:fldChar w:fldCharType="end"/>
      </w:r>
    </w:p>
    <w:p w14:paraId="7596D54A">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_Toc23236 </w:instrText>
      </w:r>
      <w:r>
        <w:rPr>
          <w:rFonts w:hint="default" w:ascii="Arial" w:hAnsi="Arial" w:eastAsia="Arial" w:cs="Arial"/>
        </w:rPr>
        <w:fldChar w:fldCharType="separate"/>
      </w:r>
      <w:r>
        <w:rPr>
          <w:rFonts w:hint="default" w:ascii="Arial" w:hAnsi="Arial" w:eastAsia="Arial" w:cs="Arial"/>
        </w:rPr>
        <w:t>1.2</w:t>
      </w:r>
      <w:r>
        <w:rPr>
          <w:rFonts w:hint="default" w:ascii="Arial" w:hAnsi="Arial" w:eastAsia="Arial" w:cs="Arial"/>
        </w:rPr>
        <w:tab/>
      </w:r>
      <w:r>
        <w:rPr>
          <w:rFonts w:hint="default" w:ascii="Arial" w:hAnsi="Arial" w:eastAsia="Arial" w:cs="Arial"/>
        </w:rPr>
        <w:t>Introduction</w:t>
      </w:r>
      <w:r>
        <w:tab/>
      </w:r>
      <w:r>
        <w:fldChar w:fldCharType="begin"/>
      </w:r>
      <w:r>
        <w:instrText xml:space="preserve"> PAGEREF _Toc23236 \h </w:instrText>
      </w:r>
      <w:r>
        <w:fldChar w:fldCharType="separate"/>
      </w:r>
      <w:r>
        <w:t>3</w:t>
      </w:r>
      <w:r>
        <w:fldChar w:fldCharType="end"/>
      </w:r>
      <w:r>
        <w:rPr>
          <w:rFonts w:hint="default" w:ascii="Arial" w:hAnsi="Arial" w:eastAsia="Arial" w:cs="Arial"/>
          <w:color w:val="000000" w:themeColor="text1"/>
          <w14:textFill>
            <w14:solidFill>
              <w14:schemeClr w14:val="tx1"/>
            </w14:solidFill>
          </w14:textFill>
        </w:rPr>
        <w:fldChar w:fldCharType="end"/>
      </w:r>
    </w:p>
    <w:p w14:paraId="312A6CEC">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_Toc15247 </w:instrText>
      </w:r>
      <w:r>
        <w:rPr>
          <w:rFonts w:hint="default" w:ascii="Arial" w:hAnsi="Arial" w:eastAsia="Arial" w:cs="Arial"/>
        </w:rPr>
        <w:fldChar w:fldCharType="separate"/>
      </w:r>
      <w:r>
        <w:rPr>
          <w:rFonts w:hint="default" w:ascii="Arial" w:hAnsi="Arial" w:eastAsia="Arial" w:cs="Arial"/>
        </w:rPr>
        <w:t>1.3</w:t>
      </w:r>
      <w:r>
        <w:rPr>
          <w:rFonts w:hint="default" w:ascii="Arial" w:hAnsi="Arial" w:eastAsia="Arial" w:cs="Arial"/>
        </w:rPr>
        <w:tab/>
      </w:r>
      <w:r>
        <w:rPr>
          <w:rFonts w:hint="default" w:ascii="Arial" w:hAnsi="Arial" w:eastAsia="Arial" w:cs="Arial"/>
        </w:rPr>
        <w:t>Task A: Designing Innovative Working Practices</w:t>
      </w:r>
      <w:r>
        <w:tab/>
      </w:r>
      <w:r>
        <w:fldChar w:fldCharType="begin"/>
      </w:r>
      <w:r>
        <w:instrText xml:space="preserve"> PAGEREF _Toc15247 \h </w:instrText>
      </w:r>
      <w:r>
        <w:fldChar w:fldCharType="separate"/>
      </w:r>
      <w:r>
        <w:t>4</w:t>
      </w:r>
      <w:r>
        <w:fldChar w:fldCharType="end"/>
      </w:r>
      <w:r>
        <w:rPr>
          <w:rFonts w:hint="default" w:ascii="Arial" w:hAnsi="Arial" w:eastAsia="Arial" w:cs="Arial"/>
          <w:color w:val="000000" w:themeColor="text1"/>
          <w14:textFill>
            <w14:solidFill>
              <w14:schemeClr w14:val="tx1"/>
            </w14:solidFill>
          </w14:textFill>
        </w:rPr>
        <w:fldChar w:fldCharType="end"/>
      </w:r>
    </w:p>
    <w:p w14:paraId="6C1C45A2">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_Toc20091 </w:instrText>
      </w:r>
      <w:r>
        <w:rPr>
          <w:rFonts w:hint="default" w:ascii="Arial" w:hAnsi="Arial" w:eastAsia="Arial" w:cs="Arial"/>
        </w:rPr>
        <w:fldChar w:fldCharType="separate"/>
      </w:r>
      <w:r>
        <w:rPr>
          <w:rFonts w:hint="default" w:ascii="Arial" w:hAnsi="Arial" w:eastAsia="Arial" w:cs="Arial"/>
        </w:rPr>
        <w:t>1.3.1</w:t>
      </w:r>
      <w:r>
        <w:rPr>
          <w:rFonts w:hint="default" w:ascii="Arial" w:hAnsi="Arial" w:eastAsia="Arial" w:cs="Arial"/>
        </w:rPr>
        <w:tab/>
      </w:r>
      <w:r>
        <w:rPr>
          <w:rFonts w:hint="default" w:ascii="Arial" w:hAnsi="Arial" w:eastAsia="Arial" w:cs="Arial"/>
        </w:rPr>
        <w:t>Traditional and contemporary work design</w:t>
      </w:r>
      <w:r>
        <w:tab/>
      </w:r>
      <w:r>
        <w:fldChar w:fldCharType="begin"/>
      </w:r>
      <w:r>
        <w:instrText xml:space="preserve"> PAGEREF _Toc20091 \h </w:instrText>
      </w:r>
      <w:r>
        <w:fldChar w:fldCharType="separate"/>
      </w:r>
      <w:r>
        <w:t>4</w:t>
      </w:r>
      <w:r>
        <w:fldChar w:fldCharType="end"/>
      </w:r>
      <w:r>
        <w:rPr>
          <w:rFonts w:hint="default" w:ascii="Arial" w:hAnsi="Arial" w:eastAsia="Arial" w:cs="Arial"/>
          <w:color w:val="000000" w:themeColor="text1"/>
          <w14:textFill>
            <w14:solidFill>
              <w14:schemeClr w14:val="tx1"/>
            </w14:solidFill>
          </w14:textFill>
        </w:rPr>
        <w:fldChar w:fldCharType="end"/>
      </w:r>
    </w:p>
    <w:p w14:paraId="5A2C8094">
      <w:pPr>
        <w:pStyle w:val="39"/>
        <w:tabs>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_Toc2365 </w:instrText>
      </w:r>
      <w:r>
        <w:rPr>
          <w:rFonts w:hint="default" w:ascii="Arial" w:hAnsi="Arial" w:eastAsia="Arial" w:cs="Arial"/>
        </w:rPr>
        <w:fldChar w:fldCharType="separate"/>
      </w:r>
      <w:r>
        <w:rPr>
          <w:rFonts w:hint="default" w:ascii="Arial" w:hAnsi="Arial" w:eastAsia="Arial" w:cs="Arial"/>
        </w:rPr>
        <w:t>1.3.</w:t>
      </w:r>
      <w:r>
        <w:rPr>
          <w:rFonts w:hint="default" w:ascii="Arial" w:hAnsi="Arial" w:eastAsia="Arial" w:cs="Arial"/>
          <w:lang w:val="en-GB"/>
        </w:rPr>
        <w:t>2 Work Design Summary</w:t>
      </w:r>
      <w:r>
        <w:tab/>
      </w:r>
      <w:r>
        <w:fldChar w:fldCharType="begin"/>
      </w:r>
      <w:r>
        <w:instrText xml:space="preserve"> PAGEREF _Toc2365 \h </w:instrText>
      </w:r>
      <w:r>
        <w:fldChar w:fldCharType="separate"/>
      </w:r>
      <w:r>
        <w:t>5</w:t>
      </w:r>
      <w:r>
        <w:fldChar w:fldCharType="end"/>
      </w:r>
      <w:r>
        <w:rPr>
          <w:rFonts w:hint="default" w:ascii="Arial" w:hAnsi="Arial" w:eastAsia="Arial" w:cs="Arial"/>
          <w:color w:val="000000" w:themeColor="text1"/>
          <w14:textFill>
            <w14:solidFill>
              <w14:schemeClr w14:val="tx1"/>
            </w14:solidFill>
          </w14:textFill>
        </w:rPr>
        <w:fldChar w:fldCharType="end"/>
      </w:r>
    </w:p>
    <w:p w14:paraId="1B6E71C8">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_Toc1046 </w:instrText>
      </w:r>
      <w:r>
        <w:rPr>
          <w:rFonts w:hint="default" w:ascii="Arial" w:hAnsi="Arial" w:eastAsia="Arial" w:cs="Arial"/>
        </w:rPr>
        <w:fldChar w:fldCharType="separate"/>
      </w:r>
      <w:r>
        <w:rPr>
          <w:rFonts w:hint="default" w:ascii="Arial" w:hAnsi="Arial" w:eastAsia="Arial" w:cs="Arial"/>
        </w:rPr>
        <w:t>1.3.</w:t>
      </w:r>
      <w:r>
        <w:rPr>
          <w:rFonts w:hint="default" w:ascii="Arial" w:hAnsi="Arial" w:eastAsia="Arial" w:cs="Arial"/>
          <w:lang w:val="en-GB"/>
        </w:rPr>
        <w:t>3</w:t>
      </w:r>
      <w:r>
        <w:rPr>
          <w:rFonts w:hint="default" w:ascii="Arial" w:hAnsi="Arial" w:eastAsia="Arial" w:cs="Arial"/>
        </w:rPr>
        <w:tab/>
      </w:r>
      <w:r>
        <w:rPr>
          <w:rFonts w:hint="default" w:ascii="Arial" w:hAnsi="Arial" w:eastAsia="Arial" w:cs="Arial"/>
        </w:rPr>
        <w:t>Critical evaluation and NHSX framework</w:t>
      </w:r>
      <w:r>
        <w:tab/>
      </w:r>
      <w:r>
        <w:fldChar w:fldCharType="begin"/>
      </w:r>
      <w:r>
        <w:instrText xml:space="preserve"> PAGEREF _Toc1046 \h </w:instrText>
      </w:r>
      <w:r>
        <w:fldChar w:fldCharType="separate"/>
      </w:r>
      <w:r>
        <w:t>6</w:t>
      </w:r>
      <w:r>
        <w:fldChar w:fldCharType="end"/>
      </w:r>
      <w:r>
        <w:rPr>
          <w:rFonts w:hint="default" w:ascii="Arial" w:hAnsi="Arial" w:eastAsia="Arial" w:cs="Arial"/>
          <w:color w:val="000000" w:themeColor="text1"/>
          <w14:textFill>
            <w14:solidFill>
              <w14:schemeClr w14:val="tx1"/>
            </w14:solidFill>
          </w14:textFill>
        </w:rPr>
        <w:fldChar w:fldCharType="end"/>
      </w:r>
    </w:p>
    <w:p w14:paraId="3F45AB31">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_Toc16669 </w:instrText>
      </w:r>
      <w:r>
        <w:rPr>
          <w:rFonts w:hint="default" w:ascii="Arial" w:hAnsi="Arial" w:eastAsia="Arial" w:cs="Arial"/>
        </w:rPr>
        <w:fldChar w:fldCharType="separate"/>
      </w:r>
      <w:r>
        <w:rPr>
          <w:rFonts w:hint="default" w:ascii="Arial" w:hAnsi="Arial" w:eastAsia="Arial" w:cs="Arial"/>
        </w:rPr>
        <w:t>1.4</w:t>
      </w:r>
      <w:r>
        <w:rPr>
          <w:rFonts w:hint="default" w:ascii="Arial" w:hAnsi="Arial" w:eastAsia="Arial" w:cs="Arial"/>
        </w:rPr>
        <w:tab/>
      </w:r>
      <w:r>
        <w:rPr>
          <w:rFonts w:hint="default" w:ascii="Arial" w:hAnsi="Arial" w:eastAsia="Arial" w:cs="Arial"/>
        </w:rPr>
        <w:t>Task B: Breeding an Environment Where Talent May Grow</w:t>
      </w:r>
      <w:r>
        <w:tab/>
      </w:r>
      <w:r>
        <w:fldChar w:fldCharType="begin"/>
      </w:r>
      <w:r>
        <w:instrText xml:space="preserve"> PAGEREF _Toc16669 \h </w:instrText>
      </w:r>
      <w:r>
        <w:fldChar w:fldCharType="separate"/>
      </w:r>
      <w:r>
        <w:t>9</w:t>
      </w:r>
      <w:r>
        <w:fldChar w:fldCharType="end"/>
      </w:r>
      <w:r>
        <w:rPr>
          <w:rFonts w:hint="default" w:ascii="Arial" w:hAnsi="Arial" w:eastAsia="Arial" w:cs="Arial"/>
          <w:color w:val="000000" w:themeColor="text1"/>
          <w14:textFill>
            <w14:solidFill>
              <w14:schemeClr w14:val="tx1"/>
            </w14:solidFill>
          </w14:textFill>
        </w:rPr>
        <w:fldChar w:fldCharType="end"/>
      </w:r>
    </w:p>
    <w:p w14:paraId="59521C16">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_Toc13439 </w:instrText>
      </w:r>
      <w:r>
        <w:rPr>
          <w:rFonts w:hint="default" w:ascii="Arial" w:hAnsi="Arial" w:eastAsia="Arial" w:cs="Arial"/>
        </w:rPr>
        <w:fldChar w:fldCharType="separate"/>
      </w:r>
      <w:r>
        <w:rPr>
          <w:rFonts w:hint="default" w:ascii="Arial" w:hAnsi="Arial" w:eastAsia="Arial" w:cs="Arial"/>
        </w:rPr>
        <w:t>1.4.1</w:t>
      </w:r>
      <w:r>
        <w:rPr>
          <w:rFonts w:hint="default" w:ascii="Arial" w:hAnsi="Arial" w:eastAsia="Arial" w:cs="Arial"/>
        </w:rPr>
        <w:tab/>
      </w:r>
      <w:r>
        <w:rPr>
          <w:rFonts w:hint="default" w:ascii="Arial" w:hAnsi="Arial" w:eastAsia="Arial" w:cs="Arial"/>
        </w:rPr>
        <w:t>What helps talent flourish?</w:t>
      </w:r>
      <w:r>
        <w:tab/>
      </w:r>
      <w:r>
        <w:fldChar w:fldCharType="begin"/>
      </w:r>
      <w:r>
        <w:instrText xml:space="preserve"> PAGEREF _Toc13439 \h </w:instrText>
      </w:r>
      <w:r>
        <w:fldChar w:fldCharType="separate"/>
      </w:r>
      <w:r>
        <w:t>9</w:t>
      </w:r>
      <w:r>
        <w:fldChar w:fldCharType="end"/>
      </w:r>
      <w:r>
        <w:rPr>
          <w:rFonts w:hint="default" w:ascii="Arial" w:hAnsi="Arial" w:eastAsia="Arial" w:cs="Arial"/>
          <w:color w:val="000000" w:themeColor="text1"/>
          <w14:textFill>
            <w14:solidFill>
              <w14:schemeClr w14:val="tx1"/>
            </w14:solidFill>
          </w14:textFill>
        </w:rPr>
        <w:fldChar w:fldCharType="end"/>
      </w:r>
    </w:p>
    <w:p w14:paraId="640642E3">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_Toc358 </w:instrText>
      </w:r>
      <w:r>
        <w:rPr>
          <w:rFonts w:hint="default" w:ascii="Arial" w:hAnsi="Arial" w:eastAsia="Arial" w:cs="Arial"/>
        </w:rPr>
        <w:fldChar w:fldCharType="separate"/>
      </w:r>
      <w:r>
        <w:rPr>
          <w:rFonts w:hint="default" w:ascii="Arial" w:hAnsi="Arial" w:eastAsia="Arial" w:cs="Arial"/>
        </w:rPr>
        <w:t>1.4.2</w:t>
      </w:r>
      <w:r>
        <w:rPr>
          <w:rFonts w:hint="default" w:ascii="Arial" w:hAnsi="Arial" w:eastAsia="Arial" w:cs="Arial"/>
        </w:rPr>
        <w:tab/>
      </w:r>
      <w:r>
        <w:rPr>
          <w:rFonts w:hint="default" w:ascii="Arial" w:hAnsi="Arial" w:eastAsia="Arial" w:cs="Arial"/>
        </w:rPr>
        <w:t>NHSX talent growth ecosystem</w:t>
      </w:r>
      <w:r>
        <w:tab/>
      </w:r>
      <w:r>
        <w:fldChar w:fldCharType="begin"/>
      </w:r>
      <w:r>
        <w:instrText xml:space="preserve"> PAGEREF _Toc358 \h </w:instrText>
      </w:r>
      <w:r>
        <w:fldChar w:fldCharType="separate"/>
      </w:r>
      <w:r>
        <w:t>10</w:t>
      </w:r>
      <w:r>
        <w:fldChar w:fldCharType="end"/>
      </w:r>
      <w:r>
        <w:rPr>
          <w:rFonts w:hint="default" w:ascii="Arial" w:hAnsi="Arial" w:eastAsia="Arial" w:cs="Arial"/>
          <w:color w:val="000000" w:themeColor="text1"/>
          <w14:textFill>
            <w14:solidFill>
              <w14:schemeClr w14:val="tx1"/>
            </w14:solidFill>
          </w14:textFill>
        </w:rPr>
        <w:fldChar w:fldCharType="end"/>
      </w:r>
    </w:p>
    <w:p w14:paraId="64449BC4">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_Toc29247 </w:instrText>
      </w:r>
      <w:r>
        <w:rPr>
          <w:rFonts w:hint="default" w:ascii="Arial" w:hAnsi="Arial" w:eastAsia="Arial" w:cs="Arial"/>
        </w:rPr>
        <w:fldChar w:fldCharType="separate"/>
      </w:r>
      <w:r>
        <w:rPr>
          <w:rFonts w:hint="default" w:ascii="Arial" w:hAnsi="Arial" w:eastAsia="Arial" w:cs="Arial"/>
        </w:rPr>
        <w:t>1.4.3</w:t>
      </w:r>
      <w:r>
        <w:rPr>
          <w:rFonts w:hint="default" w:ascii="Arial" w:hAnsi="Arial" w:eastAsia="Arial" w:cs="Arial"/>
        </w:rPr>
        <w:tab/>
      </w:r>
      <w:r>
        <w:rPr>
          <w:rFonts w:hint="default" w:ascii="Arial" w:hAnsi="Arial" w:eastAsia="Arial" w:cs="Arial"/>
        </w:rPr>
        <w:t>Measures, risks and controls</w:t>
      </w:r>
      <w:r>
        <w:tab/>
      </w:r>
      <w:r>
        <w:fldChar w:fldCharType="begin"/>
      </w:r>
      <w:r>
        <w:instrText xml:space="preserve"> PAGEREF _Toc29247 \h </w:instrText>
      </w:r>
      <w:r>
        <w:fldChar w:fldCharType="separate"/>
      </w:r>
      <w:r>
        <w:t>11</w:t>
      </w:r>
      <w:r>
        <w:fldChar w:fldCharType="end"/>
      </w:r>
      <w:r>
        <w:rPr>
          <w:rFonts w:hint="default" w:ascii="Arial" w:hAnsi="Arial" w:eastAsia="Arial" w:cs="Arial"/>
          <w:color w:val="000000" w:themeColor="text1"/>
          <w14:textFill>
            <w14:solidFill>
              <w14:schemeClr w14:val="tx1"/>
            </w14:solidFill>
          </w14:textFill>
        </w:rPr>
        <w:fldChar w:fldCharType="end"/>
      </w:r>
    </w:p>
    <w:p w14:paraId="039E9D3D">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_Toc29433 </w:instrText>
      </w:r>
      <w:r>
        <w:rPr>
          <w:rFonts w:hint="default" w:ascii="Arial" w:hAnsi="Arial" w:eastAsia="Arial" w:cs="Arial"/>
        </w:rPr>
        <w:fldChar w:fldCharType="separate"/>
      </w:r>
      <w:r>
        <w:rPr>
          <w:rFonts w:hint="default" w:ascii="Arial" w:hAnsi="Arial" w:eastAsia="Arial" w:cs="Arial"/>
        </w:rPr>
        <w:t>1.5</w:t>
      </w:r>
      <w:r>
        <w:rPr>
          <w:rFonts w:hint="default" w:ascii="Arial" w:hAnsi="Arial" w:eastAsia="Arial" w:cs="Arial"/>
        </w:rPr>
        <w:tab/>
      </w:r>
      <w:r>
        <w:rPr>
          <w:rFonts w:hint="default" w:ascii="Arial" w:hAnsi="Arial" w:eastAsia="Arial" w:cs="Arial"/>
        </w:rPr>
        <w:t>Task C: Reflective Report</w:t>
      </w:r>
      <w:r>
        <w:tab/>
      </w:r>
      <w:r>
        <w:fldChar w:fldCharType="begin"/>
      </w:r>
      <w:r>
        <w:instrText xml:space="preserve"> PAGEREF _Toc29433 \h </w:instrText>
      </w:r>
      <w:r>
        <w:fldChar w:fldCharType="separate"/>
      </w:r>
      <w:r>
        <w:t>13</w:t>
      </w:r>
      <w:r>
        <w:fldChar w:fldCharType="end"/>
      </w:r>
      <w:r>
        <w:rPr>
          <w:rFonts w:hint="default" w:ascii="Arial" w:hAnsi="Arial" w:eastAsia="Arial" w:cs="Arial"/>
          <w:color w:val="000000" w:themeColor="text1"/>
          <w14:textFill>
            <w14:solidFill>
              <w14:schemeClr w14:val="tx1"/>
            </w14:solidFill>
          </w14:textFill>
        </w:rPr>
        <w:fldChar w:fldCharType="end"/>
      </w:r>
    </w:p>
    <w:p w14:paraId="4AB70A56">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_Toc10535 </w:instrText>
      </w:r>
      <w:r>
        <w:rPr>
          <w:rFonts w:hint="default" w:ascii="Arial" w:hAnsi="Arial" w:eastAsia="Arial" w:cs="Arial"/>
        </w:rPr>
        <w:fldChar w:fldCharType="separate"/>
      </w:r>
      <w:r>
        <w:rPr>
          <w:rFonts w:hint="default" w:ascii="Arial" w:hAnsi="Arial" w:eastAsia="Arial" w:cs="Arial"/>
        </w:rPr>
        <w:t>1.5.1</w:t>
      </w:r>
      <w:r>
        <w:rPr>
          <w:rFonts w:hint="default" w:ascii="Arial" w:hAnsi="Arial" w:eastAsia="Arial" w:cs="Arial"/>
        </w:rPr>
        <w:tab/>
      </w:r>
      <w:r>
        <w:rPr>
          <w:rFonts w:hint="default" w:ascii="Arial" w:hAnsi="Arial" w:eastAsia="Arial" w:cs="Arial"/>
        </w:rPr>
        <w:t>AI as a strategic HR tool</w:t>
      </w:r>
      <w:r>
        <w:tab/>
      </w:r>
      <w:r>
        <w:fldChar w:fldCharType="begin"/>
      </w:r>
      <w:r>
        <w:instrText xml:space="preserve"> PAGEREF _Toc10535 \h </w:instrText>
      </w:r>
      <w:r>
        <w:fldChar w:fldCharType="separate"/>
      </w:r>
      <w:r>
        <w:t>13</w:t>
      </w:r>
      <w:r>
        <w:fldChar w:fldCharType="end"/>
      </w:r>
      <w:r>
        <w:rPr>
          <w:rFonts w:hint="default" w:ascii="Arial" w:hAnsi="Arial" w:eastAsia="Arial" w:cs="Arial"/>
          <w:color w:val="000000" w:themeColor="text1"/>
          <w14:textFill>
            <w14:solidFill>
              <w14:schemeClr w14:val="tx1"/>
            </w14:solidFill>
          </w14:textFill>
        </w:rPr>
        <w:fldChar w:fldCharType="end"/>
      </w:r>
    </w:p>
    <w:p w14:paraId="47BB3642">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_Toc1786 </w:instrText>
      </w:r>
      <w:r>
        <w:rPr>
          <w:rFonts w:hint="default" w:ascii="Arial" w:hAnsi="Arial" w:eastAsia="Arial" w:cs="Arial"/>
        </w:rPr>
        <w:fldChar w:fldCharType="separate"/>
      </w:r>
      <w:r>
        <w:rPr>
          <w:rFonts w:hint="default" w:ascii="Arial" w:hAnsi="Arial" w:eastAsia="Arial" w:cs="Arial"/>
        </w:rPr>
        <w:t>1.5.2</w:t>
      </w:r>
      <w:r>
        <w:rPr>
          <w:rFonts w:hint="default" w:ascii="Arial" w:hAnsi="Arial" w:eastAsia="Arial" w:cs="Arial"/>
        </w:rPr>
        <w:tab/>
      </w:r>
      <w:r>
        <w:rPr>
          <w:rFonts w:hint="default" w:ascii="Arial" w:hAnsi="Arial" w:eastAsia="Arial" w:cs="Arial"/>
        </w:rPr>
        <w:t>Three personal examples</w:t>
      </w:r>
      <w:r>
        <w:tab/>
      </w:r>
      <w:r>
        <w:fldChar w:fldCharType="begin"/>
      </w:r>
      <w:r>
        <w:instrText xml:space="preserve"> PAGEREF _Toc1786 \h </w:instrText>
      </w:r>
      <w:r>
        <w:fldChar w:fldCharType="separate"/>
      </w:r>
      <w:r>
        <w:t>13</w:t>
      </w:r>
      <w:r>
        <w:fldChar w:fldCharType="end"/>
      </w:r>
      <w:r>
        <w:rPr>
          <w:rFonts w:hint="default" w:ascii="Arial" w:hAnsi="Arial" w:eastAsia="Arial" w:cs="Arial"/>
          <w:color w:val="000000" w:themeColor="text1"/>
          <w14:textFill>
            <w14:solidFill>
              <w14:schemeClr w14:val="tx1"/>
            </w14:solidFill>
          </w14:textFill>
        </w:rPr>
        <w:fldChar w:fldCharType="end"/>
      </w:r>
    </w:p>
    <w:p w14:paraId="75B91046">
      <w:pPr>
        <w:pStyle w:val="39"/>
        <w:tabs>
          <w:tab w:val="right" w:pos="32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_Toc12315 </w:instrText>
      </w:r>
      <w:r>
        <w:rPr>
          <w:rFonts w:hint="default" w:ascii="Arial" w:hAnsi="Arial" w:eastAsia="Arial" w:cs="Arial"/>
        </w:rPr>
        <w:fldChar w:fldCharType="separate"/>
      </w:r>
      <w:r>
        <w:rPr>
          <w:rFonts w:hint="default" w:ascii="Arial" w:hAnsi="Arial" w:eastAsia="Arial" w:cs="Arial"/>
        </w:rPr>
        <w:t>1.5.3</w:t>
      </w:r>
      <w:r>
        <w:rPr>
          <w:rFonts w:hint="default" w:ascii="Arial" w:hAnsi="Arial" w:eastAsia="Arial" w:cs="Arial"/>
        </w:rPr>
        <w:tab/>
      </w:r>
      <w:r>
        <w:rPr>
          <w:rFonts w:hint="default" w:ascii="Arial" w:hAnsi="Arial" w:eastAsia="Arial" w:cs="Arial"/>
        </w:rPr>
        <w:t>Personal capability development plan</w:t>
      </w:r>
      <w:r>
        <w:tab/>
      </w:r>
      <w:r>
        <w:fldChar w:fldCharType="begin"/>
      </w:r>
      <w:r>
        <w:instrText xml:space="preserve"> PAGEREF _Toc12315 \h </w:instrText>
      </w:r>
      <w:r>
        <w:fldChar w:fldCharType="separate"/>
      </w:r>
      <w:r>
        <w:t>14</w:t>
      </w:r>
      <w:r>
        <w:fldChar w:fldCharType="end"/>
      </w:r>
      <w:r>
        <w:rPr>
          <w:rFonts w:hint="default" w:ascii="Arial" w:hAnsi="Arial" w:eastAsia="Arial" w:cs="Arial"/>
          <w:color w:val="000000" w:themeColor="text1"/>
          <w14:textFill>
            <w14:solidFill>
              <w14:schemeClr w14:val="tx1"/>
            </w14:solidFill>
          </w14:textFill>
        </w:rPr>
        <w:fldChar w:fldCharType="end"/>
      </w:r>
    </w:p>
    <w:p w14:paraId="7F9A7D1D">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_Toc25054 </w:instrText>
      </w:r>
      <w:r>
        <w:rPr>
          <w:rFonts w:hint="default" w:ascii="Arial" w:hAnsi="Arial" w:eastAsia="Arial" w:cs="Arial"/>
        </w:rPr>
        <w:fldChar w:fldCharType="separate"/>
      </w:r>
      <w:r>
        <w:rPr>
          <w:rFonts w:hint="default" w:ascii="Arial" w:hAnsi="Arial" w:eastAsia="Arial" w:cs="Arial"/>
        </w:rPr>
        <w:t>1.6</w:t>
      </w:r>
      <w:r>
        <w:rPr>
          <w:rFonts w:hint="default" w:ascii="Arial" w:hAnsi="Arial" w:eastAsia="Arial" w:cs="Arial"/>
        </w:rPr>
        <w:tab/>
      </w:r>
      <w:r>
        <w:rPr>
          <w:rFonts w:hint="default" w:ascii="Arial" w:hAnsi="Arial" w:eastAsia="Arial" w:cs="Arial"/>
        </w:rPr>
        <w:t>Conclusion</w:t>
      </w:r>
      <w:r>
        <w:tab/>
      </w:r>
      <w:r>
        <w:fldChar w:fldCharType="begin"/>
      </w:r>
      <w:r>
        <w:instrText xml:space="preserve"> PAGEREF _Toc25054 \h </w:instrText>
      </w:r>
      <w:r>
        <w:fldChar w:fldCharType="separate"/>
      </w:r>
      <w:r>
        <w:t>16</w:t>
      </w:r>
      <w:r>
        <w:fldChar w:fldCharType="end"/>
      </w:r>
      <w:r>
        <w:rPr>
          <w:rFonts w:hint="default" w:ascii="Arial" w:hAnsi="Arial" w:eastAsia="Arial" w:cs="Arial"/>
          <w:color w:val="000000" w:themeColor="text1"/>
          <w14:textFill>
            <w14:solidFill>
              <w14:schemeClr w14:val="tx1"/>
            </w14:solidFill>
          </w14:textFill>
        </w:rPr>
        <w:fldChar w:fldCharType="end"/>
      </w:r>
    </w:p>
    <w:p w14:paraId="7FE01E02">
      <w:pPr>
        <w:pStyle w:val="38"/>
        <w:tabs>
          <w:tab w:val="right" w:pos="2800"/>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_Toc9809 </w:instrText>
      </w:r>
      <w:r>
        <w:rPr>
          <w:rFonts w:hint="default" w:ascii="Arial" w:hAnsi="Arial" w:eastAsia="Arial" w:cs="Arial"/>
        </w:rPr>
        <w:fldChar w:fldCharType="separate"/>
      </w:r>
      <w:r>
        <w:rPr>
          <w:rFonts w:hint="default" w:ascii="Arial" w:hAnsi="Arial" w:eastAsia="Arial" w:cs="Arial"/>
        </w:rPr>
        <w:t>1.7</w:t>
      </w:r>
      <w:r>
        <w:rPr>
          <w:rFonts w:hint="default" w:ascii="Arial" w:hAnsi="Arial" w:eastAsia="Arial" w:cs="Arial"/>
        </w:rPr>
        <w:tab/>
      </w:r>
      <w:r>
        <w:rPr>
          <w:rFonts w:hint="default" w:ascii="Arial" w:hAnsi="Arial" w:eastAsia="Arial" w:cs="Arial"/>
        </w:rPr>
        <w:t>Reference List</w:t>
      </w:r>
      <w:r>
        <w:tab/>
      </w:r>
      <w:r>
        <w:fldChar w:fldCharType="begin"/>
      </w:r>
      <w:r>
        <w:instrText xml:space="preserve"> PAGEREF _Toc9809 \h </w:instrText>
      </w:r>
      <w:r>
        <w:fldChar w:fldCharType="separate"/>
      </w:r>
      <w:r>
        <w:t>16</w:t>
      </w:r>
      <w:r>
        <w:fldChar w:fldCharType="end"/>
      </w:r>
      <w:r>
        <w:rPr>
          <w:rFonts w:hint="default" w:ascii="Arial" w:hAnsi="Arial" w:eastAsia="Arial" w:cs="Arial"/>
          <w:color w:val="000000" w:themeColor="text1"/>
          <w14:textFill>
            <w14:solidFill>
              <w14:schemeClr w14:val="tx1"/>
            </w14:solidFill>
          </w14:textFill>
        </w:rPr>
        <w:fldChar w:fldCharType="end"/>
      </w:r>
    </w:p>
    <w:p w14:paraId="4945D5F4">
      <w:pPr>
        <w:pStyle w:val="39"/>
        <w:tabs>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_Toc26675 </w:instrText>
      </w:r>
      <w:r>
        <w:rPr>
          <w:rFonts w:hint="default" w:ascii="Arial" w:hAnsi="Arial" w:eastAsia="Arial" w:cs="Arial"/>
        </w:rPr>
        <w:fldChar w:fldCharType="separate"/>
      </w:r>
      <w:r>
        <w:rPr>
          <w:rFonts w:hint="default" w:ascii="Arial" w:hAnsi="Arial" w:eastAsia="Arial" w:cs="Arial"/>
        </w:rPr>
        <w:t>Appendix A  Assessment Summary</w:t>
      </w:r>
      <w:r>
        <w:tab/>
      </w:r>
      <w:r>
        <w:fldChar w:fldCharType="begin"/>
      </w:r>
      <w:r>
        <w:instrText xml:space="preserve"> PAGEREF _Toc26675 \h </w:instrText>
      </w:r>
      <w:r>
        <w:fldChar w:fldCharType="separate"/>
      </w:r>
      <w:r>
        <w:t>18</w:t>
      </w:r>
      <w:r>
        <w:fldChar w:fldCharType="end"/>
      </w:r>
      <w:r>
        <w:rPr>
          <w:rFonts w:hint="default" w:ascii="Arial" w:hAnsi="Arial" w:eastAsia="Arial" w:cs="Arial"/>
          <w:color w:val="000000" w:themeColor="text1"/>
          <w14:textFill>
            <w14:solidFill>
              <w14:schemeClr w14:val="tx1"/>
            </w14:solidFill>
          </w14:textFill>
        </w:rPr>
        <w:fldChar w:fldCharType="end"/>
      </w:r>
    </w:p>
    <w:p w14:paraId="4E5A9655">
      <w:pPr>
        <w:pStyle w:val="39"/>
        <w:tabs>
          <w:tab w:val="right" w:leader="dot" w:pos="9648"/>
        </w:tabs>
      </w:pPr>
      <w:r>
        <w:rPr>
          <w:rFonts w:hint="default" w:ascii="Arial" w:hAnsi="Arial" w:eastAsia="Arial" w:cs="Arial"/>
          <w:color w:val="000000" w:themeColor="text1"/>
          <w14:textFill>
            <w14:solidFill>
              <w14:schemeClr w14:val="tx1"/>
            </w14:solidFill>
          </w14:textFill>
        </w:rPr>
        <w:fldChar w:fldCharType="begin"/>
      </w:r>
      <w:r>
        <w:rPr>
          <w:rFonts w:hint="default" w:ascii="Arial" w:hAnsi="Arial" w:eastAsia="Arial" w:cs="Arial"/>
        </w:rPr>
        <w:instrText xml:space="preserve"> HYPERLINK \l _Toc24459 </w:instrText>
      </w:r>
      <w:r>
        <w:rPr>
          <w:rFonts w:hint="default" w:ascii="Arial" w:hAnsi="Arial" w:eastAsia="Arial" w:cs="Arial"/>
        </w:rPr>
        <w:fldChar w:fldCharType="separate"/>
      </w:r>
      <w:r>
        <w:rPr>
          <w:rFonts w:hint="default" w:ascii="Arial" w:hAnsi="Arial" w:eastAsia="Arial" w:cs="Arial"/>
        </w:rPr>
        <w:t>Appendix B  Figure Guide</w:t>
      </w:r>
      <w:r>
        <w:tab/>
      </w:r>
      <w:r>
        <w:fldChar w:fldCharType="begin"/>
      </w:r>
      <w:r>
        <w:instrText xml:space="preserve"> PAGEREF _Toc24459 \h </w:instrText>
      </w:r>
      <w:r>
        <w:fldChar w:fldCharType="separate"/>
      </w:r>
      <w:r>
        <w:t>19</w:t>
      </w:r>
      <w:r>
        <w:fldChar w:fldCharType="end"/>
      </w:r>
      <w:r>
        <w:rPr>
          <w:rFonts w:hint="default" w:ascii="Arial" w:hAnsi="Arial" w:eastAsia="Arial" w:cs="Arial"/>
          <w:color w:val="000000" w:themeColor="text1"/>
          <w14:textFill>
            <w14:solidFill>
              <w14:schemeClr w14:val="tx1"/>
            </w14:solidFill>
          </w14:textFill>
        </w:rPr>
        <w:fldChar w:fldCharType="end"/>
      </w:r>
    </w:p>
    <w:p w14:paraId="25DD587D">
      <w:pPr>
        <w:pStyle w:val="2"/>
        <w:pageBreakBefore/>
        <w:rPr>
          <w:rFonts w:hint="default" w:ascii="Arial" w:hAnsi="Arial" w:eastAsia="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fldChar w:fldCharType="end"/>
      </w:r>
      <w:bookmarkStart w:id="2" w:name="_Toc26521"/>
      <w:bookmarkStart w:id="3" w:name="abbreviations-and-key-terms"/>
      <w:r>
        <w:rPr>
          <w:rFonts w:hint="default" w:ascii="Arial" w:hAnsi="Arial" w:eastAsia="Arial" w:cs="Arial"/>
          <w:b/>
          <w:color w:val="000000" w:themeColor="text1"/>
          <w:sz w:val="24"/>
          <w14:textFill>
            <w14:solidFill>
              <w14:schemeClr w14:val="tx1"/>
            </w14:solidFill>
          </w14:textFill>
        </w:rPr>
        <w:t>1.1</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Abbreviations and Key Terms</w:t>
      </w:r>
      <w:bookmarkEnd w:id="2"/>
    </w:p>
    <w:p w14:paraId="62A990F1">
      <w:pPr>
        <w:keepNext/>
        <w:spacing w:after="0" w:line="360" w:lineRule="auto"/>
      </w:pPr>
      <w:r>
        <w:rPr>
          <w:rFonts w:ascii="Arial" w:hAnsi="Arial" w:eastAsia="Arial"/>
          <w:b/>
          <w:sz w:val="24"/>
        </w:rPr>
        <w:t>Table 1. Abbreviations and key terms</w:t>
      </w:r>
    </w:p>
    <w:tbl>
      <w:tblPr>
        <w:tblStyle w:val="3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88"/>
        <w:gridCol w:w="7848"/>
      </w:tblGrid>
      <w:tr w14:paraId="48FEB6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blHeader/>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6BB6593">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Abbreviation</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602B929">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Key term</w:t>
            </w:r>
          </w:p>
        </w:tc>
      </w:tr>
      <w:tr w14:paraId="06F4F9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08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5E4C21F">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NHSX</w:t>
            </w:r>
          </w:p>
        </w:tc>
        <w:tc>
          <w:tcPr>
            <w:tcW w:w="78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F1A1C09">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NexSpace Health Systems</w:t>
            </w:r>
          </w:p>
        </w:tc>
      </w:tr>
      <w:tr w14:paraId="358527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08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48D5D5D">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HPWS</w:t>
            </w:r>
          </w:p>
        </w:tc>
        <w:tc>
          <w:tcPr>
            <w:tcW w:w="78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3B78A72">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High-Performance Work Systems</w:t>
            </w:r>
          </w:p>
        </w:tc>
      </w:tr>
      <w:tr w14:paraId="2E150D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08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B95A982">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HIWS</w:t>
            </w:r>
          </w:p>
        </w:tc>
        <w:tc>
          <w:tcPr>
            <w:tcW w:w="78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3F59EE2">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High-Involvement Work Systems</w:t>
            </w:r>
          </w:p>
        </w:tc>
      </w:tr>
      <w:tr w14:paraId="7CE262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08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68930AA">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EX</w:t>
            </w:r>
          </w:p>
        </w:tc>
        <w:tc>
          <w:tcPr>
            <w:tcW w:w="78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6C5677B">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Employee Experience</w:t>
            </w:r>
          </w:p>
        </w:tc>
      </w:tr>
      <w:tr w14:paraId="198D88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08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A3AA8E0">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AI</w:t>
            </w:r>
          </w:p>
        </w:tc>
        <w:tc>
          <w:tcPr>
            <w:tcW w:w="78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BDDF606">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Artificial Intelligence</w:t>
            </w:r>
          </w:p>
        </w:tc>
      </w:tr>
      <w:tr w14:paraId="7DCD86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08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8028622">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HR</w:t>
            </w:r>
          </w:p>
        </w:tc>
        <w:tc>
          <w:tcPr>
            <w:tcW w:w="78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4F24459">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Human Resource</w:t>
            </w:r>
          </w:p>
        </w:tc>
      </w:tr>
      <w:tr w14:paraId="475C6F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0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739BBA5">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ID</w:t>
            </w:r>
          </w:p>
        </w:tc>
        <w:tc>
          <w:tcPr>
            <w:tcW w:w="576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B7C7B8B">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Identification</w:t>
            </w:r>
          </w:p>
        </w:tc>
      </w:tr>
      <w:tr w14:paraId="4FF3E3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0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4A8F5CE">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COVID-19</w:t>
            </w:r>
          </w:p>
        </w:tc>
        <w:tc>
          <w:tcPr>
            <w:tcW w:w="576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57ECDC4">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Coronavirus Disease 2019</w:t>
            </w:r>
          </w:p>
        </w:tc>
      </w:tr>
      <w:bookmarkEnd w:id="3"/>
    </w:tbl>
    <w:p w14:paraId="51BC7979">
      <w:pPr>
        <w:keepNext w:val="0"/>
        <w:spacing w:before="0" w:after="0" w:line="360" w:lineRule="auto"/>
        <w:rPr>
          <w:rFonts w:hint="default" w:ascii="Arial" w:hAnsi="Arial" w:eastAsia="Arial" w:cs="Arial"/>
          <w:b/>
          <w:bCs/>
          <w:color w:val="000000" w:themeColor="text1"/>
          <w:sz w:val="16"/>
          <w:szCs w:val="16"/>
          <w14:textFill>
            <w14:solidFill>
              <w14:schemeClr w14:val="tx1"/>
            </w14:solidFill>
          </w14:textFill>
        </w:rPr>
      </w:pPr>
      <w:r>
        <w:rPr>
          <w:rFonts w:ascii="Arial" w:hAnsi="Arial" w:eastAsia="Arial"/>
          <w:b/>
          <w:bCs/>
          <w:i/>
          <w:sz w:val="16"/>
          <w:szCs w:val="16"/>
        </w:rPr>
        <w:t>Source: Author's own compilation.</w:t>
      </w:r>
    </w:p>
    <w:p w14:paraId="2257685F">
      <w:pPr>
        <w:pStyle w:val="3"/>
        <w:keepNext/>
        <w:spacing w:line="360" w:lineRule="auto"/>
        <w:rPr>
          <w:rFonts w:hint="default" w:ascii="Arial" w:hAnsi="Arial" w:eastAsia="Arial" w:cs="Arial"/>
          <w:color w:val="000000" w:themeColor="text1"/>
          <w14:textFill>
            <w14:solidFill>
              <w14:schemeClr w14:val="tx1"/>
            </w14:solidFill>
          </w14:textFill>
        </w:rPr>
      </w:pPr>
      <w:bookmarkStart w:id="4" w:name="_Toc23236"/>
      <w:r>
        <w:rPr>
          <w:rFonts w:hint="default" w:ascii="Arial" w:hAnsi="Arial" w:eastAsia="Arial" w:cs="Arial"/>
          <w:b/>
          <w:color w:val="000000" w:themeColor="text1"/>
          <w:sz w:val="24"/>
          <w14:textFill>
            <w14:solidFill>
              <w14:schemeClr w14:val="tx1"/>
            </w14:solidFill>
          </w14:textFill>
        </w:rPr>
        <w:t>1.2</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Introduction</w:t>
      </w:r>
      <w:bookmarkEnd w:id="4"/>
    </w:p>
    <w:p w14:paraId="3035183C">
      <w:pPr>
        <w:spacing w:after="120" w:line="360" w:lineRule="auto"/>
        <w:rPr>
          <w:rFonts w:hint="default" w:ascii="Arial" w:hAnsi="Arial" w:eastAsia="Arial" w:cs="Arial"/>
          <w:color w:val="000000" w:themeColor="text1"/>
          <w14:textFill>
            <w14:solidFill>
              <w14:schemeClr w14:val="tx1"/>
            </w14:solidFill>
          </w14:textFill>
        </w:rPr>
      </w:pPr>
      <w:r>
        <w:t>NexSpace Health Systems (NHSX) is a 600-person healthcare technology organisation operating in the UK, India and UAE. It develops AI-enabled health platforms, remote monitoring and clinical decision-support tools. Growth has exposed people challenges: slow decisions, limited experimentation, weaker hybrid collaboration, few visible career paths and pressure on managers to balance wellbeing with performance.</w:t>
      </w:r>
    </w:p>
    <w:p w14:paraId="01203533">
      <w:pPr>
        <w:pStyle w:val="13"/>
        <w:spacing w:after="120" w:line="360" w:lineRule="auto"/>
        <w:rPr>
          <w:rFonts w:hint="default" w:ascii="Arial" w:hAnsi="Arial" w:eastAsia="Arial" w:cs="Arial"/>
          <w:color w:val="000000" w:themeColor="text1"/>
          <w:sz w:val="24"/>
          <w14:textFill>
            <w14:solidFill>
              <w14:schemeClr w14:val="tx1"/>
            </w14:solidFill>
          </w14:textFill>
        </w:rPr>
      </w:pPr>
      <w:r>
        <w:t>These issues are linked: rigid work limits innovation, while weak development can drive talent away. This assessment links work design, talent growth and responsible HR capability.</w:t>
      </w:r>
    </w:p>
    <w:p w14:paraId="6103D6DD">
      <w:pPr>
        <w:pStyle w:val="13"/>
        <w:spacing w:after="120" w:line="360" w:lineRule="auto"/>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523230" cy="2639695"/>
            <wp:effectExtent l="0" t="0" r="1270" b="825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5523230" cy="2639695"/>
                    </a:xfrm>
                    <a:prstGeom prst="rect">
                      <a:avLst/>
                    </a:prstGeom>
                    <a:noFill/>
                    <a:ln>
                      <a:noFill/>
                    </a:ln>
                  </pic:spPr>
                </pic:pic>
              </a:graphicData>
            </a:graphic>
          </wp:inline>
        </w:drawing>
      </w:r>
    </w:p>
    <w:p w14:paraId="6D6DE055">
      <w:pPr>
        <w:pStyle w:val="13"/>
        <w:spacing w:after="120" w:line="360" w:lineRule="auto"/>
        <w:rPr>
          <w:rFonts w:hint="default" w:ascii="Arial" w:hAnsi="Arial" w:eastAsia="Arial" w:cs="Arial"/>
          <w:color w:val="000000" w:themeColor="text1"/>
          <w:sz w:val="16"/>
          <w:szCs w:val="16"/>
          <w14:textFill>
            <w14:solidFill>
              <w14:schemeClr w14:val="tx1"/>
            </w14:solidFill>
          </w14:textFill>
        </w:rPr>
      </w:pPr>
      <w:r>
        <w:rPr>
          <w:rFonts w:hint="default" w:ascii="Arial" w:hAnsi="Arial" w:eastAsia="Arial" w:cs="Arial"/>
          <w:b/>
          <w:bCs/>
          <w:color w:val="000000" w:themeColor="text1"/>
          <w:sz w:val="16"/>
          <w:szCs w:val="16"/>
          <w:lang w:val="en-GB"/>
          <w14:textFill>
            <w14:solidFill>
              <w14:schemeClr w14:val="tx1"/>
            </w14:solidFill>
          </w14:textFill>
        </w:rPr>
        <w:t xml:space="preserve">Figure 1: </w:t>
      </w:r>
      <w:r>
        <w:rPr>
          <w:rFonts w:hint="default" w:ascii="Arial" w:hAnsi="Arial" w:eastAsia="Arial" w:cs="Arial"/>
          <w:b/>
          <w:bCs/>
          <w:color w:val="000000" w:themeColor="text1"/>
          <w:sz w:val="16"/>
          <w:szCs w:val="16"/>
          <w14:textFill>
            <w14:solidFill>
              <w14:schemeClr w14:val="tx1"/>
            </w14:solidFill>
          </w14:textFill>
        </w:rPr>
        <w:t>Source: Author-created synthesis showing how Tasks A, B and C reinforce one another</w:t>
      </w:r>
      <w:r>
        <w:rPr>
          <w:rFonts w:hint="default" w:ascii="Arial" w:hAnsi="Arial" w:eastAsia="Arial" w:cs="Arial"/>
          <w:color w:val="000000" w:themeColor="text1"/>
          <w:sz w:val="16"/>
          <w:szCs w:val="16"/>
          <w14:textFill>
            <w14:solidFill>
              <w14:schemeClr w14:val="tx1"/>
            </w14:solidFill>
          </w14:textFill>
        </w:rPr>
        <w:t>.</w:t>
      </w:r>
    </w:p>
    <w:p w14:paraId="5E1C8362">
      <w:pPr>
        <w:pStyle w:val="3"/>
        <w:keepNext/>
        <w:spacing w:line="360" w:lineRule="auto"/>
        <w:rPr>
          <w:rFonts w:hint="default" w:ascii="Arial" w:hAnsi="Arial" w:eastAsia="Arial" w:cs="Arial"/>
          <w:color w:val="000000" w:themeColor="text1"/>
          <w14:textFill>
            <w14:solidFill>
              <w14:schemeClr w14:val="tx1"/>
            </w14:solidFill>
          </w14:textFill>
        </w:rPr>
      </w:pPr>
      <w:bookmarkStart w:id="5" w:name="_Toc15247"/>
      <w:bookmarkStart w:id="6" w:name="X616ed4dd06f421d9999d9d6c4e00f8197de5fb3"/>
      <w:r>
        <w:rPr>
          <w:rFonts w:hint="default" w:ascii="Arial" w:hAnsi="Arial" w:eastAsia="Arial" w:cs="Arial"/>
          <w:b/>
          <w:color w:val="000000" w:themeColor="text1"/>
          <w:sz w:val="24"/>
          <w14:textFill>
            <w14:solidFill>
              <w14:schemeClr w14:val="tx1"/>
            </w14:solidFill>
          </w14:textFill>
        </w:rPr>
        <w:t>1.3</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Task A: Designing Innovative Working Practices</w:t>
      </w:r>
      <w:bookmarkEnd w:id="5"/>
    </w:p>
    <w:p w14:paraId="05A5BE5D">
      <w:pPr>
        <w:pStyle w:val="4"/>
        <w:keepNext/>
        <w:spacing w:line="360" w:lineRule="auto"/>
        <w:rPr>
          <w:rFonts w:hint="default" w:ascii="Arial" w:hAnsi="Arial" w:eastAsia="Arial" w:cs="Arial"/>
          <w:color w:val="000000" w:themeColor="text1"/>
          <w14:textFill>
            <w14:solidFill>
              <w14:schemeClr w14:val="tx1"/>
            </w14:solidFill>
          </w14:textFill>
        </w:rPr>
      </w:pPr>
      <w:bookmarkStart w:id="7" w:name="_Toc20091"/>
      <w:bookmarkStart w:id="8" w:name="traditional-and-contemporary-work-design"/>
      <w:r>
        <w:rPr>
          <w:rFonts w:hint="default" w:ascii="Arial" w:hAnsi="Arial" w:eastAsia="Arial" w:cs="Arial"/>
          <w:b/>
          <w:color w:val="000000" w:themeColor="text1"/>
          <w:sz w:val="24"/>
          <w14:textFill>
            <w14:solidFill>
              <w14:schemeClr w14:val="tx1"/>
            </w14:solidFill>
          </w14:textFill>
        </w:rPr>
        <w:t>1.3.1</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Traditional and contemporary work design</w:t>
      </w:r>
      <w:bookmarkEnd w:id="7"/>
    </w:p>
    <w:p w14:paraId="4CC73582">
      <w:pPr>
        <w:jc w:val="left"/>
        <w:rPr>
          <w:rFonts w:hint="default" w:ascii="Arial" w:hAnsi="Arial" w:cs="Arial"/>
          <w:color w:val="000000" w:themeColor="text1"/>
          <w14:textFill>
            <w14:solidFill>
              <w14:schemeClr w14:val="tx1"/>
            </w14:solidFill>
          </w14:textFill>
        </w:rPr>
      </w:pPr>
      <w:r>
        <w:t>Work design shapes how tasks, responsibilities and relationships are organised (Parker, Morgeson and Johns, 2017). Traditional structures provide clear roles and accountability, both important when software can affect clinical decisions. Excess hierarchy, however, can slow decisions, discourage challenge and create silos between technical, clinical and commercial teams.</w:t>
      </w:r>
    </w:p>
    <w:p w14:paraId="78262443">
      <w:pPr>
        <w:jc w:val="left"/>
        <w:rPr>
          <w:rFonts w:hint="default" w:ascii="Arial" w:hAnsi="Arial" w:cs="Arial"/>
          <w:color w:val="000000" w:themeColor="text1"/>
          <w14:textFill>
            <w14:solidFill>
              <w14:schemeClr w14:val="tx1"/>
            </w14:solidFill>
          </w14:textFill>
        </w:rPr>
      </w:pPr>
      <w:r>
        <w:t>High-performance work systems (HPWS) connect recruitment, skills, employee input and rewards to improve performance (Appelbaum et al., 2000). They can also increase pressure when staff lack time, resources and support (Boxall and Macky, 2009). High-involvement work systems (HIWS) give employees a stronger voice, but trust suffers if managers invite ideas and ignore them. NHSX should combine clear accountability with genuine participation, training and feedback; neither approach alone guarantees better outcomes.</w:t>
      </w:r>
    </w:p>
    <w:p w14:paraId="5A68BBCD">
      <w:pPr>
        <w:jc w:val="left"/>
        <w:rPr>
          <w:rFonts w:hint="default" w:ascii="Arial" w:hAnsi="Arial" w:cs="Arial"/>
          <w:color w:val="000000" w:themeColor="text1"/>
          <w14:textFill>
            <w14:solidFill>
              <w14:schemeClr w14:val="tx1"/>
            </w14:solidFill>
          </w14:textFill>
        </w:rPr>
      </w:pPr>
      <w:r>
        <w:t>Agile teams test ideas and respond to feedback quickly (Rigby, Sutherland and Noble, 2018), but frequent meetings and overlapping teams can take time from delivery, especially across the UK, India and UAE. Hybrid work adds flexibility but can weaken knowledge sharing when teams rarely meet. Sociotechnical design aligns work, roles and technology (Trist and Bamforth, 1951), provided tools are accessible and staff can participate fairly. Controlled agility should preserve flexibility while accounting for these coordination costs.</w:t>
      </w:r>
    </w:p>
    <w:p w14:paraId="756F1286">
      <w:pPr>
        <w:jc w:val="left"/>
        <w:rPr>
          <w:rFonts w:hint="default" w:ascii="Arial" w:hAnsi="Arial" w:cs="Arial"/>
          <w:color w:val="000000" w:themeColor="text1"/>
          <w14:textFill>
            <w14:solidFill>
              <w14:schemeClr w14:val="tx1"/>
            </w14:solidFill>
          </w14:textFill>
        </w:rPr>
      </w:pPr>
      <w:r>
        <w:t>NHSX must balance faster decisions with consistent safety checks. Before each pilot, define which choices teams can make and which need expert review: teams handle routine product and workflow decisions; specialists review clinical safety, privacy, security and local rules. A shared decision log and written updates can reduce meetings. Rotate live meeting times, offer asynchronous ways to contribute and protect focus blocks to limit coordination costs across locations (Appelbaum et al., 2000; Rigby, Sutherland and Noble, 2018; Stahl et al., 2010).</w:t>
      </w:r>
    </w:p>
    <w:p w14:paraId="1CED05E1">
      <w:pPr>
        <w:jc w:val="both"/>
        <w:rPr>
          <w:rFonts w:hint="default" w:ascii="Arial" w:hAnsi="Arial" w:eastAsia="Arial" w:cs="Arial"/>
          <w:b/>
          <w:bCs/>
          <w:color w:val="000000" w:themeColor="text1"/>
          <w:sz w:val="20"/>
          <w:szCs w:val="20"/>
          <w14:textFill>
            <w14:solidFill>
              <w14:schemeClr w14:val="tx1"/>
            </w14:solidFill>
          </w14:textFill>
        </w:rPr>
      </w:pPr>
      <w:r>
        <w:rPr>
          <w:rFonts w:hint="default" w:ascii="Arial" w:hAnsi="Arial" w:eastAsia="Arial" w:cs="Arial"/>
          <w:b/>
          <w:bCs/>
          <w:color w:val="000000" w:themeColor="text1"/>
          <w:sz w:val="20"/>
          <w:szCs w:val="20"/>
          <w14:textFill>
            <w14:solidFill>
              <w14:schemeClr w14:val="tx1"/>
            </w14:solidFill>
          </w14:textFill>
        </w:rPr>
        <w:t xml:space="preserve">Figure </w:t>
      </w:r>
      <w:r>
        <w:rPr>
          <w:rFonts w:hint="default" w:ascii="Arial" w:hAnsi="Arial" w:eastAsia="Arial" w:cs="Arial"/>
          <w:b/>
          <w:bCs/>
          <w:color w:val="000000" w:themeColor="text1"/>
          <w:sz w:val="20"/>
          <w:szCs w:val="20"/>
          <w:lang w:val="en-GB"/>
          <w14:textFill>
            <w14:solidFill>
              <w14:schemeClr w14:val="tx1"/>
            </w14:solidFill>
          </w14:textFill>
        </w:rPr>
        <w:t>2</w:t>
      </w:r>
      <w:r>
        <w:rPr>
          <w:rFonts w:hint="default" w:ascii="Arial" w:hAnsi="Arial" w:eastAsia="Arial" w:cs="Arial"/>
          <w:b/>
          <w:bCs/>
          <w:color w:val="000000" w:themeColor="text1"/>
          <w:sz w:val="20"/>
          <w:szCs w:val="20"/>
          <w14:textFill>
            <w14:solidFill>
              <w14:schemeClr w14:val="tx1"/>
            </w14:solidFill>
          </w14:textFill>
        </w:rPr>
        <w:t>. From traditional work design to NHSX controlled agility</w:t>
      </w:r>
      <w:r>
        <w:rPr>
          <w:rFonts w:hint="default" w:ascii="Arial" w:hAnsi="Arial" w:eastAsia="Arial" w:cs="Arial"/>
          <w:b/>
          <w:bCs/>
          <w:color w:val="000000" w:themeColor="text1"/>
          <w:sz w:val="20"/>
          <w:szCs w:val="20"/>
          <w:lang w:val="en-GB"/>
          <w14:textFill>
            <w14:solidFill>
              <w14:schemeClr w14:val="tx1"/>
            </w14:solidFill>
          </w14:textFill>
        </w:rPr>
        <w:t xml:space="preserve">. </w:t>
      </w:r>
      <w:r>
        <w:rPr>
          <w:rFonts w:hint="default" w:ascii="Arial" w:hAnsi="Arial" w:eastAsia="Arial" w:cs="Arial"/>
          <w:b/>
          <w:bCs/>
          <w:color w:val="000000" w:themeColor="text1"/>
          <w:sz w:val="20"/>
          <w:szCs w:val="20"/>
          <w14:textFill>
            <w14:solidFill>
              <w14:schemeClr w14:val="tx1"/>
            </w14:solidFill>
          </w14:textFill>
        </w:rPr>
        <w:t>Source: Author-created synthesis based on Parker, Morgeson and Johns (2017), Boxall and Macky (2009), and Wang et al. (2021).</w:t>
      </w:r>
    </w:p>
    <w:p w14:paraId="7193E917">
      <w:pPr>
        <w:jc w:val="center"/>
        <w:rPr>
          <w:rFonts w:hint="default" w:ascii="Arial" w:hAnsi="Arial" w:cs="Arial"/>
          <w:color w:val="000000" w:themeColor="text1"/>
          <w:lang w:val="en-GB"/>
          <w14:textFill>
            <w14:solidFill>
              <w14:schemeClr w14:val="tx1"/>
            </w14:solidFill>
          </w14:textFill>
        </w:rPr>
      </w:pPr>
    </w:p>
    <w:p w14:paraId="0686C1D7">
      <w:pPr>
        <w:pStyle w:val="4"/>
        <w:keepNext/>
        <w:spacing w:after="120" w:line="360" w:lineRule="auto"/>
        <w:rPr>
          <w:rFonts w:hint="default" w:ascii="Arial" w:hAnsi="Arial" w:eastAsia="Arial" w:cs="Arial"/>
          <w:color w:val="000000" w:themeColor="text1"/>
          <w:sz w:val="24"/>
          <w:lang w:val="en-GB"/>
          <w14:textFill>
            <w14:solidFill>
              <w14:schemeClr w14:val="tx1"/>
            </w14:solidFill>
          </w14:textFill>
        </w:rPr>
      </w:pPr>
      <w:bookmarkStart w:id="9" w:name="_Toc2365"/>
      <w:r>
        <w:rPr>
          <w:rFonts w:hint="default" w:ascii="Arial" w:hAnsi="Arial" w:eastAsia="Arial" w:cs="Arial"/>
          <w:b/>
          <w:color w:val="000000" w:themeColor="text1"/>
          <w:sz w:val="24"/>
          <w14:textFill>
            <w14:solidFill>
              <w14:schemeClr w14:val="tx1"/>
            </w14:solidFill>
          </w14:textFill>
        </w:rPr>
        <w:t>1.3.</w:t>
      </w:r>
      <w:r>
        <w:rPr>
          <w:rFonts w:hint="default" w:ascii="Arial" w:hAnsi="Arial" w:eastAsia="Arial" w:cs="Arial"/>
          <w:b/>
          <w:color w:val="000000" w:themeColor="text1"/>
          <w:sz w:val="24"/>
          <w:lang w:val="en-GB"/>
          <w14:textFill>
            <w14:solidFill>
              <w14:schemeClr w14:val="tx1"/>
            </w14:solidFill>
          </w14:textFill>
        </w:rPr>
        <w:t>2 Work Design Summary</w:t>
      </w:r>
      <w:bookmarkEnd w:id="9"/>
    </w:p>
    <w:p w14:paraId="4F37920A">
      <w:pPr>
        <w:keepNext/>
        <w:spacing w:after="0" w:line="360" w:lineRule="auto"/>
      </w:pPr>
      <w:r>
        <w:rPr>
          <w:rFonts w:ascii="Arial" w:hAnsi="Arial" w:eastAsia="Arial"/>
          <w:b/>
          <w:sz w:val="24"/>
        </w:rPr>
        <w:t>Table 2. Comparison of traditional and contemporary work design</w:t>
      </w:r>
    </w:p>
    <w:tbl>
      <w:tblPr>
        <w:tblStyle w:val="12"/>
        <w:tblW w:w="0" w:type="auto"/>
        <w:jc w:val="center"/>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Layout w:type="fixed"/>
        <w:tblCellMar>
          <w:top w:w="0" w:type="dxa"/>
          <w:left w:w="108" w:type="dxa"/>
          <w:bottom w:w="0" w:type="dxa"/>
          <w:right w:w="108" w:type="dxa"/>
        </w:tblCellMar>
      </w:tblPr>
      <w:tblGrid>
        <w:gridCol w:w="2592"/>
        <w:gridCol w:w="2592"/>
        <w:gridCol w:w="2592"/>
        <w:gridCol w:w="2592"/>
      </w:tblGrid>
      <w:tr w14:paraId="25E2B4DF">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tblHeader/>
          <w:jc w:val="center"/>
        </w:trPr>
        <w:tc>
          <w:tcPr>
            <w:tcW w:w="165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B7ED052">
            <w:pPr>
              <w:spacing w:before="0" w:after="0" w:line="360" w:lineRule="auto"/>
            </w:pPr>
            <w:r>
              <w:rPr>
                <w:rFonts w:ascii="Arial" w:hAnsi="Arial" w:eastAsia="Arial"/>
                <w:b/>
                <w:sz w:val="24"/>
              </w:rPr>
              <w:t>Area</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6EDC4C5">
            <w:pPr>
              <w:spacing w:before="0" w:after="0" w:line="360" w:lineRule="auto"/>
            </w:pPr>
            <w:r>
              <w:rPr>
                <w:rFonts w:ascii="Arial" w:hAnsi="Arial" w:eastAsia="Arial"/>
                <w:b/>
                <w:sz w:val="24"/>
              </w:rPr>
              <w:t>Traditional approach</w:t>
            </w:r>
          </w:p>
        </w:tc>
        <w:tc>
          <w:tcPr>
            <w:tcW w:w="38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45C4959">
            <w:pPr>
              <w:spacing w:before="0" w:after="0" w:line="360" w:lineRule="auto"/>
            </w:pPr>
            <w:r>
              <w:rPr>
                <w:rFonts w:ascii="Arial" w:hAnsi="Arial" w:eastAsia="Arial"/>
                <w:b/>
                <w:sz w:val="24"/>
              </w:rPr>
              <w:t>NHSX approach</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516BB77">
            <w:pPr>
              <w:spacing w:before="0" w:after="0" w:line="360" w:lineRule="auto"/>
            </w:pPr>
            <w:r>
              <w:rPr>
                <w:rFonts w:ascii="Arial" w:hAnsi="Arial" w:eastAsia="Arial"/>
                <w:b/>
                <w:sz w:val="24"/>
              </w:rPr>
              <w:t>Benefit</w:t>
            </w:r>
          </w:p>
        </w:tc>
      </w:tr>
      <w:tr w14:paraId="7B13E277">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165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3959C00">
            <w:pPr>
              <w:spacing w:before="0" w:after="0" w:line="360" w:lineRule="auto"/>
            </w:pPr>
            <w:r>
              <w:rPr>
                <w:rFonts w:ascii="Arial" w:hAnsi="Arial" w:eastAsia="Arial"/>
                <w:sz w:val="24"/>
              </w:rPr>
              <w:t>Structure</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467712F">
            <w:pPr>
              <w:spacing w:before="0" w:after="0" w:line="360" w:lineRule="auto"/>
            </w:pPr>
            <w:r>
              <w:rPr>
                <w:rFonts w:ascii="Arial" w:hAnsi="Arial" w:eastAsia="Arial"/>
                <w:sz w:val="24"/>
              </w:rPr>
              <w:t>Separate departments; several management levels.</w:t>
            </w:r>
          </w:p>
        </w:tc>
        <w:tc>
          <w:tcPr>
            <w:tcW w:w="38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1CB2D7D">
            <w:pPr>
              <w:spacing w:before="0" w:after="0" w:line="360" w:lineRule="auto"/>
            </w:pPr>
            <w:r>
              <w:rPr>
                <w:rFonts w:ascii="Arial" w:hAnsi="Arial" w:eastAsia="Arial"/>
                <w:sz w:val="24"/>
              </w:rPr>
              <w:t>Cross-functional clinical, technical, product and customer teams.</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5952AA6">
            <w:pPr>
              <w:spacing w:before="0" w:after="0" w:line="360" w:lineRule="auto"/>
            </w:pPr>
            <w:r>
              <w:rPr>
                <w:rFonts w:ascii="Arial" w:hAnsi="Arial" w:eastAsia="Arial"/>
                <w:sz w:val="24"/>
              </w:rPr>
              <w:t>Faster, better-informed decisions.</w:t>
            </w:r>
          </w:p>
        </w:tc>
      </w:tr>
      <w:tr w14:paraId="43009135">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165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DC39A05">
            <w:pPr>
              <w:spacing w:before="0" w:after="0" w:line="360" w:lineRule="auto"/>
            </w:pPr>
            <w:r>
              <w:rPr>
                <w:rFonts w:ascii="Arial" w:hAnsi="Arial" w:eastAsia="Arial"/>
                <w:sz w:val="24"/>
              </w:rPr>
              <w:t>Involvement</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DEE9DFE">
            <w:pPr>
              <w:spacing w:before="0" w:after="0" w:line="360" w:lineRule="auto"/>
            </w:pPr>
            <w:r>
              <w:rPr>
                <w:rFonts w:ascii="Arial" w:hAnsi="Arial" w:eastAsia="Arial"/>
                <w:sz w:val="24"/>
              </w:rPr>
              <w:t>Managers make most decisions.</w:t>
            </w:r>
          </w:p>
        </w:tc>
        <w:tc>
          <w:tcPr>
            <w:tcW w:w="38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9ED8D28">
            <w:pPr>
              <w:spacing w:before="0" w:after="0" w:line="360" w:lineRule="auto"/>
            </w:pPr>
            <w:r>
              <w:rPr>
                <w:rFonts w:ascii="Arial" w:hAnsi="Arial" w:eastAsia="Arial"/>
                <w:sz w:val="24"/>
              </w:rPr>
              <w:t>Staff contribute ideas and solve problems (Boxall and Macky, 2009).</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A6AF5FD">
            <w:pPr>
              <w:spacing w:before="0" w:after="0" w:line="360" w:lineRule="auto"/>
            </w:pPr>
            <w:r>
              <w:rPr>
                <w:rFonts w:ascii="Arial" w:hAnsi="Arial" w:eastAsia="Arial"/>
                <w:sz w:val="24"/>
              </w:rPr>
              <w:t>Builds ownership and creativity.</w:t>
            </w:r>
          </w:p>
        </w:tc>
      </w:tr>
      <w:tr w14:paraId="6B0B43F5">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165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031D0CC">
            <w:pPr>
              <w:spacing w:before="0" w:after="0" w:line="360" w:lineRule="auto"/>
            </w:pPr>
            <w:r>
              <w:rPr>
                <w:rFonts w:ascii="Arial" w:hAnsi="Arial" w:eastAsia="Arial"/>
                <w:sz w:val="24"/>
              </w:rPr>
              <w:t>Delivery</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61E359D">
            <w:pPr>
              <w:spacing w:before="0" w:after="0" w:line="360" w:lineRule="auto"/>
            </w:pPr>
            <w:r>
              <w:rPr>
                <w:rFonts w:ascii="Arial" w:hAnsi="Arial" w:eastAsia="Arial"/>
                <w:sz w:val="24"/>
              </w:rPr>
              <w:t>Long plans and slow approvals.</w:t>
            </w:r>
          </w:p>
        </w:tc>
        <w:tc>
          <w:tcPr>
            <w:tcW w:w="38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2BB8C4C">
            <w:pPr>
              <w:spacing w:before="0" w:after="0" w:line="360" w:lineRule="auto"/>
            </w:pPr>
            <w:r>
              <w:rPr>
                <w:rFonts w:ascii="Arial" w:hAnsi="Arial" w:eastAsia="Arial"/>
                <w:sz w:val="24"/>
              </w:rPr>
              <w:t>Short agile sprints, reviews and controlled pilots (Rigby, Sutherland and Noble, 2018).</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2F427AF">
            <w:pPr>
              <w:spacing w:before="0" w:after="0" w:line="360" w:lineRule="auto"/>
            </w:pPr>
            <w:r>
              <w:rPr>
                <w:rFonts w:ascii="Arial" w:hAnsi="Arial" w:eastAsia="Arial"/>
                <w:sz w:val="24"/>
              </w:rPr>
              <w:t>Earlier feedback; less wasted work.</w:t>
            </w:r>
          </w:p>
        </w:tc>
      </w:tr>
      <w:tr w14:paraId="7813574A">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165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43FEA72">
            <w:pPr>
              <w:spacing w:before="0" w:after="0" w:line="360" w:lineRule="auto"/>
            </w:pPr>
            <w:r>
              <w:rPr>
                <w:rFonts w:ascii="Arial" w:hAnsi="Arial" w:eastAsia="Arial"/>
                <w:sz w:val="24"/>
              </w:rPr>
              <w:t>Communication</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4211BAA">
            <w:pPr>
              <w:spacing w:before="0" w:after="0" w:line="360" w:lineRule="auto"/>
            </w:pPr>
            <w:r>
              <w:rPr>
                <w:rFonts w:ascii="Arial" w:hAnsi="Arial" w:eastAsia="Arial"/>
                <w:sz w:val="24"/>
              </w:rPr>
              <w:t>Formal reporting lines.</w:t>
            </w:r>
          </w:p>
        </w:tc>
        <w:tc>
          <w:tcPr>
            <w:tcW w:w="38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29255F5">
            <w:pPr>
              <w:spacing w:before="0" w:after="0" w:line="360" w:lineRule="auto"/>
            </w:pPr>
            <w:r>
              <w:rPr>
                <w:rFonts w:ascii="Arial" w:hAnsi="Arial" w:eastAsia="Arial"/>
                <w:sz w:val="24"/>
              </w:rPr>
              <w:t>Shared workspaces, decision logs and knowledge-sharing communities.</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AA4BB31">
            <w:pPr>
              <w:spacing w:before="0" w:after="0" w:line="360" w:lineRule="auto"/>
            </w:pPr>
            <w:r>
              <w:rPr>
                <w:rFonts w:ascii="Arial" w:hAnsi="Arial" w:eastAsia="Arial"/>
                <w:sz w:val="24"/>
              </w:rPr>
              <w:t>Less duplication; stronger international collaboration.</w:t>
            </w:r>
          </w:p>
        </w:tc>
      </w:tr>
      <w:tr w14:paraId="59B69C68">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165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042416F">
            <w:pPr>
              <w:spacing w:before="0" w:after="0" w:line="360" w:lineRule="auto"/>
            </w:pPr>
            <w:r>
              <w:rPr>
                <w:rFonts w:ascii="Arial" w:hAnsi="Arial" w:eastAsia="Arial"/>
                <w:sz w:val="24"/>
              </w:rPr>
              <w:t>Work and technology</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DDE87D3">
            <w:pPr>
              <w:spacing w:before="0" w:after="0" w:line="360" w:lineRule="auto"/>
            </w:pPr>
            <w:r>
              <w:rPr>
                <w:rFonts w:ascii="Arial" w:hAnsi="Arial" w:eastAsia="Arial"/>
                <w:sz w:val="24"/>
              </w:rPr>
              <w:t>Technology and work practices designed separately.</w:t>
            </w:r>
          </w:p>
        </w:tc>
        <w:tc>
          <w:tcPr>
            <w:tcW w:w="38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4A5B82D">
            <w:pPr>
              <w:spacing w:before="0" w:after="0" w:line="360" w:lineRule="auto"/>
            </w:pPr>
            <w:r>
              <w:rPr>
                <w:rFonts w:ascii="Arial" w:hAnsi="Arial" w:eastAsia="Arial"/>
                <w:sz w:val="24"/>
              </w:rPr>
              <w:t>Design roles, processes and tools together, with safety controls (Trist and Bamforth, 1951).</w:t>
            </w:r>
          </w:p>
        </w:tc>
        <w:tc>
          <w:tcPr>
            <w:tcW w:w="2520"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6B60F73">
            <w:pPr>
              <w:spacing w:before="0" w:after="0" w:line="360" w:lineRule="auto"/>
            </w:pPr>
            <w:r>
              <w:rPr>
                <w:rFonts w:ascii="Arial" w:hAnsi="Arial" w:eastAsia="Arial"/>
                <w:sz w:val="24"/>
              </w:rPr>
              <w:t>Supports teamwork and patient-focused outcomes.</w:t>
            </w:r>
          </w:p>
        </w:tc>
      </w:tr>
    </w:tbl>
    <w:p w14:paraId="4873FA91">
      <w:pPr>
        <w:keepNext w:val="0"/>
        <w:spacing w:before="0" w:after="0" w:line="360" w:lineRule="auto"/>
        <w:rPr>
          <w:rFonts w:hint="default" w:ascii="Arial" w:hAnsi="Arial" w:cs="Arial"/>
          <w:b/>
          <w:bCs/>
          <w:color w:val="000000" w:themeColor="text1"/>
          <w:sz w:val="16"/>
          <w:szCs w:val="16"/>
          <w14:textFill>
            <w14:solidFill>
              <w14:schemeClr w14:val="tx1"/>
            </w14:solidFill>
          </w14:textFill>
        </w:rPr>
      </w:pPr>
      <w:r>
        <w:rPr>
          <w:rFonts w:ascii="Arial" w:hAnsi="Arial" w:eastAsia="Arial"/>
          <w:b/>
          <w:bCs/>
          <w:i/>
          <w:sz w:val="16"/>
          <w:szCs w:val="16"/>
        </w:rPr>
        <w:t>Source: Adapted by the author from Appelbaum et al. (2000), Boxall and Macky (2009), Rigby, Sutherland and Noble (2018), and Wang et al. (2021).</w:t>
      </w:r>
    </w:p>
    <w:p w14:paraId="76533EC5">
      <w:pPr>
        <w:jc w:val="center"/>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669280" cy="1896745"/>
            <wp:effectExtent l="0" t="0" r="762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0"/>
                    <a:stretch>
                      <a:fillRect/>
                    </a:stretch>
                  </pic:blipFill>
                  <pic:spPr>
                    <a:xfrm>
                      <a:off x="0" y="0"/>
                      <a:ext cx="5669280" cy="1896745"/>
                    </a:xfrm>
                    <a:prstGeom prst="rect">
                      <a:avLst/>
                    </a:prstGeom>
                  </pic:spPr>
                </pic:pic>
              </a:graphicData>
            </a:graphic>
          </wp:inline>
        </w:drawing>
      </w:r>
    </w:p>
    <w:p w14:paraId="04EAFC7E">
      <w:pPr>
        <w:jc w:val="center"/>
        <w:rPr>
          <w:rFonts w:hint="default" w:ascii="Arial" w:hAnsi="Arial" w:cs="Arial"/>
          <w:b/>
          <w:bCs/>
          <w:color w:val="000000" w:themeColor="text1"/>
          <w:sz w:val="16"/>
          <w:szCs w:val="16"/>
          <w14:textFill>
            <w14:solidFill>
              <w14:schemeClr w14:val="tx1"/>
            </w14:solidFill>
          </w14:textFill>
        </w:rPr>
      </w:pPr>
      <w:r>
        <w:rPr>
          <w:rFonts w:hint="default" w:ascii="Arial" w:hAnsi="Arial" w:eastAsia="Arial" w:cs="Arial"/>
          <w:b/>
          <w:bCs/>
          <w:color w:val="000000" w:themeColor="text1"/>
          <w:sz w:val="16"/>
          <w:szCs w:val="16"/>
          <w14:textFill>
            <w14:solidFill>
              <w14:schemeClr w14:val="tx1"/>
            </w14:solidFill>
          </w14:textFill>
        </w:rPr>
        <w:t xml:space="preserve">Figure </w:t>
      </w:r>
      <w:r>
        <w:rPr>
          <w:rFonts w:hint="default" w:ascii="Arial" w:hAnsi="Arial" w:eastAsia="Arial" w:cs="Arial"/>
          <w:b/>
          <w:bCs/>
          <w:color w:val="000000" w:themeColor="text1"/>
          <w:sz w:val="16"/>
          <w:szCs w:val="16"/>
          <w:lang w:val="en-GB"/>
          <w14:textFill>
            <w14:solidFill>
              <w14:schemeClr w14:val="tx1"/>
            </w14:solidFill>
          </w14:textFill>
        </w:rPr>
        <w:t>3</w:t>
      </w:r>
      <w:r>
        <w:rPr>
          <w:rFonts w:hint="default" w:ascii="Arial" w:hAnsi="Arial" w:eastAsia="Arial" w:cs="Arial"/>
          <w:b/>
          <w:bCs/>
          <w:color w:val="000000" w:themeColor="text1"/>
          <w:sz w:val="16"/>
          <w:szCs w:val="16"/>
          <w14:textFill>
            <w14:solidFill>
              <w14:schemeClr w14:val="tx1"/>
            </w14:solidFill>
          </w14:textFill>
        </w:rPr>
        <w:t>. How the NHSX work-design practices create controlled agility</w:t>
      </w:r>
      <w:r>
        <w:rPr>
          <w:rFonts w:hint="default" w:ascii="Arial" w:hAnsi="Arial" w:eastAsia="Arial" w:cs="Arial"/>
          <w:b/>
          <w:bCs/>
          <w:color w:val="000000" w:themeColor="text1"/>
          <w:sz w:val="16"/>
          <w:szCs w:val="16"/>
          <w:lang w:val="en-GB"/>
          <w14:textFill>
            <w14:solidFill>
              <w14:schemeClr w14:val="tx1"/>
            </w14:solidFill>
          </w14:textFill>
        </w:rPr>
        <w:t>. Source:</w:t>
      </w:r>
      <w:r>
        <w:rPr>
          <w:rFonts w:hint="default" w:ascii="Arial" w:hAnsi="Arial" w:eastAsia="Arial" w:cs="Arial"/>
          <w:b/>
          <w:bCs/>
          <w:color w:val="000000" w:themeColor="text1"/>
          <w:sz w:val="16"/>
          <w:szCs w:val="16"/>
          <w14:textFill>
            <w14:solidFill>
              <w14:schemeClr w14:val="tx1"/>
            </w14:solidFill>
          </w14:textFill>
        </w:rPr>
        <w:t xml:space="preserve"> Appelbaum et al. (2000), Boxall and Macky (2009), Rigby, Sutherland and Noble (2018), and Trist and Bamforth (1951).</w:t>
      </w:r>
    </w:p>
    <w:p w14:paraId="1F0840F1">
      <w:pPr>
        <w:pStyle w:val="13"/>
        <w:spacing w:after="120" w:line="360" w:lineRule="auto"/>
        <w:rPr>
          <w:rFonts w:hint="default" w:ascii="Arial" w:hAnsi="Arial" w:eastAsia="Arial" w:cs="Arial"/>
          <w:color w:val="000000" w:themeColor="text1"/>
          <w:sz w:val="24"/>
          <w14:textFill>
            <w14:solidFill>
              <w14:schemeClr w14:val="tx1"/>
            </w14:solidFill>
          </w14:textFill>
        </w:rPr>
      </w:pPr>
    </w:p>
    <w:bookmarkEnd w:id="8"/>
    <w:p w14:paraId="26186507">
      <w:pPr>
        <w:pStyle w:val="4"/>
        <w:keepNext/>
        <w:spacing w:line="360" w:lineRule="auto"/>
        <w:rPr>
          <w:rFonts w:hint="default" w:ascii="Arial" w:hAnsi="Arial" w:eastAsia="Arial" w:cs="Arial"/>
          <w:color w:val="000000" w:themeColor="text1"/>
          <w14:textFill>
            <w14:solidFill>
              <w14:schemeClr w14:val="tx1"/>
            </w14:solidFill>
          </w14:textFill>
        </w:rPr>
      </w:pPr>
      <w:bookmarkStart w:id="10" w:name="_Toc1046"/>
      <w:bookmarkStart w:id="11" w:name="critical-evaluation-and-nhsx-framework"/>
      <w:r>
        <w:rPr>
          <w:rFonts w:hint="default" w:ascii="Arial" w:hAnsi="Arial" w:eastAsia="Arial" w:cs="Arial"/>
          <w:b/>
          <w:color w:val="000000" w:themeColor="text1"/>
          <w:sz w:val="24"/>
          <w14:textFill>
            <w14:solidFill>
              <w14:schemeClr w14:val="tx1"/>
            </w14:solidFill>
          </w14:textFill>
        </w:rPr>
        <w:t>1.3.</w:t>
      </w:r>
      <w:r>
        <w:rPr>
          <w:rFonts w:hint="default" w:ascii="Arial" w:hAnsi="Arial" w:eastAsia="Arial" w:cs="Arial"/>
          <w:b/>
          <w:color w:val="000000" w:themeColor="text1"/>
          <w:sz w:val="24"/>
          <w:lang w:val="en-GB"/>
          <w14:textFill>
            <w14:solidFill>
              <w14:schemeClr w14:val="tx1"/>
            </w14:solidFill>
          </w14:textFill>
        </w:rPr>
        <w:t>3</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Critical evaluation and NHSX framework</w:t>
      </w:r>
      <w:bookmarkEnd w:id="10"/>
    </w:p>
    <w:p w14:paraId="53B1434B">
      <w:pPr>
        <w:spacing w:after="120" w:line="360" w:lineRule="auto"/>
        <w:rPr>
          <w:rFonts w:hint="default" w:ascii="Arial" w:hAnsi="Arial" w:eastAsia="Arial" w:cs="Arial"/>
          <w:color w:val="000000" w:themeColor="text1"/>
          <w14:textFill>
            <w14:solidFill>
              <w14:schemeClr w14:val="tx1"/>
            </w14:solidFill>
          </w14:textFill>
        </w:rPr>
      </w:pPr>
      <w:r>
        <w:t>Test controlled agility before expanding it. The Board should sponsor a 12-week pilot in one cross-functional product team, led by the CPO with the CTO, clinical safety lead and country representatives. After the six-week baseline, start in project week 7. The CPO should review progress at pilot weeks 6 and 12 (project weeks 12 and 18), checking delivery time, rework, safety incidents, workload and participation across locations. Expand only if delivery improves and safety, wellbeing and inclusion hold steady; otherwise adjust and retest.</w:t>
      </w:r>
    </w:p>
    <w:p w14:paraId="2A6C52A7">
      <w:pPr>
        <w:jc w:val="center"/>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669280" cy="2085975"/>
            <wp:effectExtent l="0" t="0" r="762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1"/>
                    <a:stretch>
                      <a:fillRect/>
                    </a:stretch>
                  </pic:blipFill>
                  <pic:spPr>
                    <a:xfrm>
                      <a:off x="0" y="0"/>
                      <a:ext cx="5669280" cy="2086354"/>
                    </a:xfrm>
                    <a:prstGeom prst="rect">
                      <a:avLst/>
                    </a:prstGeom>
                  </pic:spPr>
                </pic:pic>
              </a:graphicData>
            </a:graphic>
          </wp:inline>
        </w:drawing>
      </w:r>
    </w:p>
    <w:p w14:paraId="184CDB9C">
      <w:pPr>
        <w:jc w:val="center"/>
        <w:rPr>
          <w:rFonts w:hint="default" w:ascii="Arial" w:hAnsi="Arial" w:cs="Arial"/>
          <w:b/>
          <w:bCs/>
          <w:color w:val="000000" w:themeColor="text1"/>
          <w:sz w:val="16"/>
          <w:szCs w:val="16"/>
          <w14:textFill>
            <w14:solidFill>
              <w14:schemeClr w14:val="tx1"/>
            </w14:solidFill>
          </w14:textFill>
        </w:rPr>
      </w:pPr>
      <w:r>
        <w:rPr>
          <w:rFonts w:hint="default" w:ascii="Arial" w:hAnsi="Arial" w:eastAsia="Arial" w:cs="Arial"/>
          <w:b/>
          <w:bCs/>
          <w:color w:val="000000" w:themeColor="text1"/>
          <w:sz w:val="16"/>
          <w:szCs w:val="16"/>
          <w14:textFill>
            <w14:solidFill>
              <w14:schemeClr w14:val="tx1"/>
            </w14:solidFill>
          </w14:textFill>
        </w:rPr>
        <w:t xml:space="preserve">Figure </w:t>
      </w:r>
      <w:r>
        <w:rPr>
          <w:rFonts w:hint="default" w:ascii="Arial" w:hAnsi="Arial" w:eastAsia="Arial" w:cs="Arial"/>
          <w:b/>
          <w:bCs/>
          <w:color w:val="000000" w:themeColor="text1"/>
          <w:sz w:val="16"/>
          <w:szCs w:val="16"/>
          <w:lang w:val="en-GB"/>
          <w14:textFill>
            <w14:solidFill>
              <w14:schemeClr w14:val="tx1"/>
            </w14:solidFill>
          </w14:textFill>
        </w:rPr>
        <w:t>4</w:t>
      </w:r>
      <w:r>
        <w:rPr>
          <w:rFonts w:hint="default" w:ascii="Arial" w:hAnsi="Arial" w:eastAsia="Arial" w:cs="Arial"/>
          <w:b/>
          <w:bCs/>
          <w:color w:val="000000" w:themeColor="text1"/>
          <w:sz w:val="16"/>
          <w:szCs w:val="16"/>
          <w14:textFill>
            <w14:solidFill>
              <w14:schemeClr w14:val="tx1"/>
            </w14:solidFill>
          </w14:textFill>
        </w:rPr>
        <w:t>. The NHSX critical-evaluation framework: practice flexibility within strong governance</w:t>
      </w:r>
      <w:r>
        <w:rPr>
          <w:rFonts w:hint="default" w:ascii="Arial" w:hAnsi="Arial" w:eastAsia="Arial" w:cs="Arial"/>
          <w:b/>
          <w:bCs/>
          <w:color w:val="000000" w:themeColor="text1"/>
          <w:sz w:val="16"/>
          <w:szCs w:val="16"/>
          <w:lang w:val="en-GB"/>
          <w14:textFill>
            <w14:solidFill>
              <w14:schemeClr w14:val="tx1"/>
            </w14:solidFill>
          </w14:textFill>
        </w:rPr>
        <w:t>. Source: Author-created synthesis based on Rigby, Sutherland and Noble (2018) and Trist and Bamforth (1951)</w:t>
      </w:r>
      <w:r>
        <w:rPr>
          <w:rFonts w:hint="default" w:ascii="Arial" w:hAnsi="Arial" w:eastAsia="Arial" w:cs="Arial"/>
          <w:b/>
          <w:bCs/>
          <w:color w:val="000000" w:themeColor="text1"/>
          <w:sz w:val="16"/>
          <w:szCs w:val="16"/>
          <w14:textFill>
            <w14:solidFill>
              <w14:schemeClr w14:val="tx1"/>
            </w14:solidFill>
          </w14:textFill>
        </w:rPr>
        <w:t>.</w:t>
      </w:r>
    </w:p>
    <w:p w14:paraId="3E0DDBF4">
      <w:pPr>
        <w:jc w:val="center"/>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drawing>
          <wp:inline distT="0" distB="0" distL="114300" distR="114300">
            <wp:extent cx="6035040" cy="2547620"/>
            <wp:effectExtent l="0" t="0" r="381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12"/>
                    <a:stretch>
                      <a:fillRect/>
                    </a:stretch>
                  </pic:blipFill>
                  <pic:spPr>
                    <a:xfrm>
                      <a:off x="0" y="0"/>
                      <a:ext cx="6035040" cy="2548128"/>
                    </a:xfrm>
                    <a:prstGeom prst="rect">
                      <a:avLst/>
                    </a:prstGeom>
                  </pic:spPr>
                </pic:pic>
              </a:graphicData>
            </a:graphic>
          </wp:inline>
        </w:drawing>
      </w:r>
    </w:p>
    <w:p w14:paraId="51753F8C">
      <w:pPr>
        <w:jc w:val="center"/>
        <w:rPr>
          <w:rFonts w:hint="default" w:ascii="Arial" w:hAnsi="Arial" w:cs="Arial"/>
          <w:b/>
          <w:bCs/>
          <w:color w:val="000000" w:themeColor="text1"/>
          <w:sz w:val="16"/>
          <w:szCs w:val="16"/>
          <w:lang w:val="en-GB"/>
          <w14:textFill>
            <w14:solidFill>
              <w14:schemeClr w14:val="tx1"/>
            </w14:solidFill>
          </w14:textFill>
        </w:rPr>
      </w:pPr>
      <w:r>
        <w:rPr>
          <w:rFonts w:hint="default" w:ascii="Arial" w:hAnsi="Arial" w:cs="Arial"/>
          <w:b/>
          <w:bCs/>
          <w:color w:val="000000" w:themeColor="text1"/>
          <w:sz w:val="16"/>
          <w:szCs w:val="16"/>
          <w14:textFill>
            <w14:solidFill>
              <w14:schemeClr w14:val="tx1"/>
            </w14:solidFill>
          </w14:textFill>
        </w:rPr>
        <w:t xml:space="preserve">Figure </w:t>
      </w:r>
      <w:r>
        <w:rPr>
          <w:rFonts w:hint="default" w:ascii="Arial" w:hAnsi="Arial" w:cs="Arial"/>
          <w:b/>
          <w:bCs/>
          <w:color w:val="000000" w:themeColor="text1"/>
          <w:sz w:val="16"/>
          <w:szCs w:val="16"/>
          <w:lang w:val="en-GB"/>
          <w14:textFill>
            <w14:solidFill>
              <w14:schemeClr w14:val="tx1"/>
            </w14:solidFill>
          </w14:textFill>
        </w:rPr>
        <w:t>5</w:t>
      </w:r>
      <w:r>
        <w:rPr>
          <w:rFonts w:hint="default" w:ascii="Arial" w:hAnsi="Arial" w:cs="Arial"/>
          <w:b/>
          <w:bCs/>
          <w:color w:val="000000" w:themeColor="text1"/>
          <w:sz w:val="16"/>
          <w:szCs w:val="16"/>
          <w14:textFill>
            <w14:solidFill>
              <w14:schemeClr w14:val="tx1"/>
            </w14:solidFill>
          </w14:textFill>
        </w:rPr>
        <w:t>. NHSX staged implementation roadmap</w:t>
      </w:r>
      <w:r>
        <w:rPr>
          <w:rFonts w:hint="default" w:ascii="Arial" w:hAnsi="Arial" w:cs="Arial"/>
          <w:b/>
          <w:bCs/>
          <w:color w:val="000000" w:themeColor="text1"/>
          <w:sz w:val="16"/>
          <w:szCs w:val="16"/>
          <w:lang w:val="en-GB"/>
          <w14:textFill>
            <w14:solidFill>
              <w14:schemeClr w14:val="tx1"/>
            </w14:solidFill>
          </w14:textFill>
        </w:rPr>
        <w:t>. Source: Author-created staged implementation synthesis based on Appelbaum et al. (2000), Wang et al. (2021), Stahl et al. (2010), and Tambe, Cappelli and Yakubovich (2019).</w:t>
      </w:r>
    </w:p>
    <w:p w14:paraId="7658E42E">
      <w:pPr>
        <w:pStyle w:val="13"/>
        <w:spacing w:after="120" w:line="360" w:lineRule="auto"/>
        <w:rPr>
          <w:rFonts w:hint="default" w:ascii="Arial" w:hAnsi="Arial" w:eastAsia="Arial" w:cs="Arial"/>
          <w:color w:val="000000" w:themeColor="text1"/>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NHSX working-practice framework:</w:t>
      </w:r>
    </w:p>
    <w:p w14:paraId="3DB262EF">
      <w:pPr>
        <w:jc w:val="both"/>
        <w:rPr>
          <w:rFonts w:hint="default" w:ascii="Arial" w:hAnsi="Arial" w:eastAsia="Arial" w:cs="Arial"/>
          <w:color w:val="000000" w:themeColor="text1"/>
          <w14:textFill>
            <w14:solidFill>
              <w14:schemeClr w14:val="tx1"/>
            </w14:solidFill>
          </w14:textFill>
        </w:rPr>
      </w:pPr>
      <w:r>
        <w:rPr>
          <w:rFonts w:hint="default" w:ascii="Arial" w:hAnsi="Arial" w:eastAsia="Arial" w:cs="Arial"/>
          <w:b/>
          <w:color w:val="000000" w:themeColor="text1"/>
          <w:sz w:val="32"/>
          <w14:textFill>
            <w14:solidFill>
              <w14:schemeClr w14:val="tx1"/>
            </w14:solidFill>
          </w14:textFill>
        </w:rPr>
        <w:t>Recommended Innovative Working Practices</w:t>
      </w:r>
    </w:p>
    <w:p w14:paraId="1CA3F376">
      <w:pPr>
        <w:rPr>
          <w:rFonts w:hint="default" w:ascii="Arial" w:hAnsi="Arial" w:eastAsia="Arial" w:cs="Arial"/>
          <w:color w:val="000000" w:themeColor="text1"/>
          <w14:textFill>
            <w14:solidFill>
              <w14:schemeClr w14:val="tx1"/>
            </w14:solidFill>
          </w14:textFill>
        </w:rPr>
      </w:pPr>
      <w:r>
        <w:t>The following practices support NHSX innovation and collaboration.</w:t>
      </w:r>
    </w:p>
    <w:p w14:paraId="43C4E9D5">
      <w:pPr>
        <w:keepNext/>
        <w:spacing w:after="0" w:line="360" w:lineRule="auto"/>
      </w:pPr>
      <w:r>
        <w:rPr>
          <w:rFonts w:ascii="Arial" w:hAnsi="Arial" w:eastAsia="Arial"/>
          <w:b/>
          <w:sz w:val="24"/>
        </w:rPr>
        <w:t>Table 3. Recommended innovative working practices</w:t>
      </w:r>
    </w:p>
    <w:tbl>
      <w:tblPr>
        <w:tblStyle w:val="12"/>
        <w:tblW w:w="0" w:type="auto"/>
        <w:jc w:val="center"/>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Layout w:type="fixed"/>
        <w:tblCellMar>
          <w:top w:w="0" w:type="dxa"/>
          <w:left w:w="108" w:type="dxa"/>
          <w:bottom w:w="0" w:type="dxa"/>
          <w:right w:w="108" w:type="dxa"/>
        </w:tblCellMar>
      </w:tblPr>
      <w:tblGrid>
        <w:gridCol w:w="2556"/>
        <w:gridCol w:w="2556"/>
        <w:gridCol w:w="2556"/>
        <w:gridCol w:w="2556"/>
      </w:tblGrid>
      <w:tr w14:paraId="5191F340">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tblHeader/>
          <w:jc w:val="center"/>
        </w:trPr>
        <w:tc>
          <w:tcPr>
            <w:tcW w:w="6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89BFDB9">
            <w:pPr>
              <w:spacing w:before="0" w:after="0" w:line="360" w:lineRule="auto"/>
            </w:pPr>
            <w:r>
              <w:rPr>
                <w:rFonts w:ascii="Arial" w:hAnsi="Arial" w:eastAsia="Arial"/>
                <w:b/>
                <w:sz w:val="24"/>
              </w:rPr>
              <w:t>No.</w:t>
            </w:r>
          </w:p>
        </w:tc>
        <w:tc>
          <w:tcPr>
            <w:tcW w:w="22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665177A">
            <w:pPr>
              <w:spacing w:before="0" w:after="0" w:line="360" w:lineRule="auto"/>
            </w:pPr>
            <w:r>
              <w:rPr>
                <w:rFonts w:ascii="Arial" w:hAnsi="Arial" w:eastAsia="Arial"/>
                <w:b/>
                <w:sz w:val="24"/>
              </w:rPr>
              <w:t>Working practice</w:t>
            </w:r>
          </w:p>
        </w:tc>
        <w:tc>
          <w:tcPr>
            <w:tcW w:w="453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2A7D70F">
            <w:pPr>
              <w:spacing w:before="0" w:after="0" w:line="360" w:lineRule="auto"/>
            </w:pPr>
            <w:r>
              <w:rPr>
                <w:rFonts w:ascii="Arial" w:hAnsi="Arial" w:eastAsia="Arial"/>
                <w:b/>
                <w:sz w:val="24"/>
              </w:rPr>
              <w:t>Recommendation</w:t>
            </w:r>
          </w:p>
        </w:tc>
        <w:tc>
          <w:tcPr>
            <w:tcW w:w="309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ECB4893">
            <w:pPr>
              <w:spacing w:before="0" w:after="0" w:line="360" w:lineRule="auto"/>
            </w:pPr>
            <w:r>
              <w:rPr>
                <w:rFonts w:ascii="Arial" w:hAnsi="Arial" w:eastAsia="Arial"/>
                <w:b/>
                <w:sz w:val="24"/>
              </w:rPr>
              <w:t>Expected benefit</w:t>
            </w:r>
          </w:p>
        </w:tc>
      </w:tr>
      <w:tr w14:paraId="28ECB730">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6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9A20BD6">
            <w:pPr>
              <w:spacing w:before="0" w:after="0" w:line="360" w:lineRule="auto"/>
            </w:pPr>
            <w:r>
              <w:rPr>
                <w:rFonts w:ascii="Arial" w:hAnsi="Arial" w:eastAsia="Arial"/>
                <w:sz w:val="24"/>
              </w:rPr>
              <w:t>1</w:t>
            </w:r>
          </w:p>
        </w:tc>
        <w:tc>
          <w:tcPr>
            <w:tcW w:w="22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38674AA">
            <w:pPr>
              <w:spacing w:before="0" w:after="0" w:line="360" w:lineRule="auto"/>
            </w:pPr>
            <w:r>
              <w:rPr>
                <w:rFonts w:ascii="Arial" w:hAnsi="Arial" w:eastAsia="Arial"/>
                <w:sz w:val="24"/>
              </w:rPr>
              <w:t>Cross-functional teams</w:t>
            </w:r>
          </w:p>
        </w:tc>
        <w:tc>
          <w:tcPr>
            <w:tcW w:w="453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3A9D894">
            <w:pPr>
              <w:spacing w:before="0" w:after="0" w:line="360" w:lineRule="auto"/>
            </w:pPr>
            <w:r>
              <w:rPr>
                <w:rFonts w:ascii="Arial" w:hAnsi="Arial" w:eastAsia="Arial"/>
                <w:sz w:val="24"/>
              </w:rPr>
              <w:t>Include engineering, data, clinical, cyber, product and customer expertise.</w:t>
            </w:r>
          </w:p>
        </w:tc>
        <w:tc>
          <w:tcPr>
            <w:tcW w:w="309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1470EB9">
            <w:pPr>
              <w:spacing w:before="0" w:after="0" w:line="360" w:lineRule="auto"/>
            </w:pPr>
            <w:r>
              <w:rPr>
                <w:rFonts w:ascii="Arial" w:hAnsi="Arial" w:eastAsia="Arial"/>
                <w:sz w:val="24"/>
              </w:rPr>
              <w:t>Combine user needs and risk perspectives.</w:t>
            </w:r>
          </w:p>
        </w:tc>
      </w:tr>
      <w:tr w14:paraId="65E4959E">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6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F9A5D0D">
            <w:pPr>
              <w:spacing w:before="0" w:after="0" w:line="360" w:lineRule="auto"/>
            </w:pPr>
            <w:r>
              <w:rPr>
                <w:rFonts w:ascii="Arial" w:hAnsi="Arial" w:eastAsia="Arial"/>
                <w:sz w:val="24"/>
              </w:rPr>
              <w:t>2</w:t>
            </w:r>
          </w:p>
        </w:tc>
        <w:tc>
          <w:tcPr>
            <w:tcW w:w="22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A676375">
            <w:pPr>
              <w:spacing w:before="0" w:after="0" w:line="360" w:lineRule="auto"/>
            </w:pPr>
            <w:r>
              <w:rPr>
                <w:rFonts w:ascii="Arial" w:hAnsi="Arial" w:eastAsia="Arial"/>
                <w:sz w:val="24"/>
              </w:rPr>
              <w:t>Agile delivery</w:t>
            </w:r>
          </w:p>
        </w:tc>
        <w:tc>
          <w:tcPr>
            <w:tcW w:w="453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AE1C6A2">
            <w:pPr>
              <w:spacing w:before="0" w:after="0" w:line="360" w:lineRule="auto"/>
            </w:pPr>
            <w:r>
              <w:rPr>
                <w:rFonts w:ascii="Arial" w:hAnsi="Arial" w:eastAsia="Arial"/>
                <w:sz w:val="24"/>
              </w:rPr>
              <w:t>Use short cycles, demonstrations and retrospectives, with safety gates.</w:t>
            </w:r>
          </w:p>
        </w:tc>
        <w:tc>
          <w:tcPr>
            <w:tcW w:w="309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033D247">
            <w:pPr>
              <w:spacing w:before="0" w:after="0" w:line="360" w:lineRule="auto"/>
            </w:pPr>
            <w:r>
              <w:rPr>
                <w:rFonts w:ascii="Arial" w:hAnsi="Arial" w:eastAsia="Arial"/>
                <w:sz w:val="24"/>
              </w:rPr>
              <w:t>Get feedback early and reduce wasted work.</w:t>
            </w:r>
          </w:p>
        </w:tc>
      </w:tr>
      <w:tr w14:paraId="3A48B6CF">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6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FE9CE77">
            <w:pPr>
              <w:spacing w:before="0" w:after="0" w:line="360" w:lineRule="auto"/>
            </w:pPr>
            <w:r>
              <w:rPr>
                <w:rFonts w:ascii="Arial" w:hAnsi="Arial" w:eastAsia="Arial"/>
                <w:sz w:val="24"/>
              </w:rPr>
              <w:t>3</w:t>
            </w:r>
          </w:p>
        </w:tc>
        <w:tc>
          <w:tcPr>
            <w:tcW w:w="22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B8FAFD9">
            <w:pPr>
              <w:spacing w:before="0" w:after="0" w:line="360" w:lineRule="auto"/>
            </w:pPr>
            <w:r>
              <w:rPr>
                <w:rFonts w:ascii="Arial" w:hAnsi="Arial" w:eastAsia="Arial"/>
                <w:sz w:val="24"/>
              </w:rPr>
              <w:t>Autonomy and involvement</w:t>
            </w:r>
          </w:p>
        </w:tc>
        <w:tc>
          <w:tcPr>
            <w:tcW w:w="453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79DBE25">
            <w:pPr>
              <w:spacing w:before="0" w:after="0" w:line="360" w:lineRule="auto"/>
            </w:pPr>
            <w:r>
              <w:rPr>
                <w:rFonts w:ascii="Arial" w:hAnsi="Arial" w:eastAsia="Arial"/>
                <w:sz w:val="24"/>
              </w:rPr>
              <w:t>Set decision rights, share information and provide routes for ideas and concerns.</w:t>
            </w:r>
          </w:p>
        </w:tc>
        <w:tc>
          <w:tcPr>
            <w:tcW w:w="309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CE1B1D2">
            <w:pPr>
              <w:spacing w:before="0" w:after="0" w:line="360" w:lineRule="auto"/>
            </w:pPr>
            <w:r>
              <w:rPr>
                <w:rFonts w:ascii="Arial" w:hAnsi="Arial" w:eastAsia="Arial"/>
                <w:sz w:val="24"/>
              </w:rPr>
              <w:t>Build ownership and motivation.</w:t>
            </w:r>
          </w:p>
        </w:tc>
      </w:tr>
      <w:tr w14:paraId="69B0DD8E">
        <w:tblPrEx>
          <w:tblBorders>
            <w:top w:val="single" w:color="B7C9D6" w:sz="4" w:space="0"/>
            <w:left w:val="single" w:color="B7C9D6" w:sz="4" w:space="0"/>
            <w:bottom w:val="single" w:color="B7C9D6" w:sz="4" w:space="0"/>
            <w:right w:val="single" w:color="B7C9D6" w:sz="4" w:space="0"/>
            <w:insideH w:val="single" w:color="B7C9D6" w:sz="4" w:space="0"/>
            <w:insideV w:val="single" w:color="B7C9D6" w:sz="4" w:space="0"/>
          </w:tblBorders>
          <w:tblCellMar>
            <w:top w:w="0" w:type="dxa"/>
            <w:left w:w="108" w:type="dxa"/>
            <w:bottom w:w="0" w:type="dxa"/>
            <w:right w:w="108" w:type="dxa"/>
          </w:tblCellMar>
        </w:tblPrEx>
        <w:trPr>
          <w:cantSplit/>
          <w:jc w:val="center"/>
        </w:trPr>
        <w:tc>
          <w:tcPr>
            <w:tcW w:w="648"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7976D73">
            <w:pPr>
              <w:spacing w:before="0" w:after="0" w:line="360" w:lineRule="auto"/>
            </w:pPr>
            <w:r>
              <w:rPr>
                <w:rFonts w:ascii="Arial" w:hAnsi="Arial" w:eastAsia="Arial"/>
                <w:sz w:val="24"/>
              </w:rPr>
              <w:t>4</w:t>
            </w:r>
          </w:p>
        </w:tc>
        <w:tc>
          <w:tcPr>
            <w:tcW w:w="2232"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E9BF23B">
            <w:pPr>
              <w:spacing w:before="0" w:after="0" w:line="360" w:lineRule="auto"/>
            </w:pPr>
            <w:r>
              <w:rPr>
                <w:rFonts w:ascii="Arial" w:hAnsi="Arial" w:eastAsia="Arial"/>
                <w:sz w:val="24"/>
              </w:rPr>
              <w:t>Digital knowledge sharing</w:t>
            </w:r>
          </w:p>
        </w:tc>
        <w:tc>
          <w:tcPr>
            <w:tcW w:w="453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2103457">
            <w:pPr>
              <w:spacing w:before="0" w:after="0" w:line="360" w:lineRule="auto"/>
            </w:pPr>
            <w:r>
              <w:rPr>
                <w:rFonts w:ascii="Arial" w:hAnsi="Arial" w:eastAsia="Arial"/>
                <w:sz w:val="24"/>
              </w:rPr>
              <w:t>Use secure workspaces, decision logs, practice groups and an expert directory.</w:t>
            </w:r>
          </w:p>
        </w:tc>
        <w:tc>
          <w:tcPr>
            <w:tcW w:w="309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3C15370">
            <w:pPr>
              <w:spacing w:before="0" w:after="0" w:line="360" w:lineRule="auto"/>
            </w:pPr>
            <w:r>
              <w:rPr>
                <w:rFonts w:ascii="Arial" w:hAnsi="Arial" w:eastAsia="Arial"/>
                <w:sz w:val="24"/>
              </w:rPr>
              <w:t>Reduce duplication and support cross-border learning.</w:t>
            </w:r>
          </w:p>
        </w:tc>
      </w:tr>
    </w:tbl>
    <w:p w14:paraId="3136DB07">
      <w:pPr>
        <w:keepNext w:val="0"/>
        <w:numPr>
          <w:ilvl w:val="0"/>
          <w:numId w:val="0"/>
        </w:numPr>
        <w:spacing w:before="0" w:after="0" w:line="360" w:lineRule="auto"/>
        <w:ind w:left="240" w:leftChars="0"/>
        <w:rPr>
          <w:rFonts w:hint="default" w:ascii="Arial" w:hAnsi="Arial" w:eastAsia="Arial" w:cs="Arial"/>
          <w:b/>
          <w:bCs/>
          <w:color w:val="000000" w:themeColor="text1"/>
          <w:sz w:val="16"/>
          <w:szCs w:val="16"/>
          <w:lang w:val="en-GB"/>
          <w14:textFill>
            <w14:solidFill>
              <w14:schemeClr w14:val="tx1"/>
            </w14:solidFill>
          </w14:textFill>
        </w:rPr>
      </w:pPr>
      <w:r>
        <w:rPr>
          <w:rFonts w:ascii="Arial" w:hAnsi="Arial" w:eastAsia="Arial"/>
          <w:b/>
          <w:bCs/>
          <w:i/>
          <w:sz w:val="16"/>
          <w:szCs w:val="16"/>
        </w:rPr>
        <w:t>Source: Author's recommendations, informed by Appelbaum et al. (2000), Boxall and Macky (2009), and Rigby, Sutherland and Noble (2018).</w:t>
      </w:r>
    </w:p>
    <w:bookmarkEnd w:id="11"/>
    <w:p w14:paraId="5E91C3D2">
      <w:pPr>
        <w:pStyle w:val="13"/>
        <w:spacing w:after="120" w:line="360" w:lineRule="auto"/>
        <w:rPr>
          <w:rFonts w:hint="default" w:ascii="Arial" w:hAnsi="Arial" w:eastAsia="Arial" w:cs="Arial"/>
          <w:color w:val="000000" w:themeColor="text1"/>
          <w:sz w:val="24"/>
          <w:lang w:val="en-GB"/>
          <w14:textFill>
            <w14:solidFill>
              <w14:schemeClr w14:val="tx1"/>
            </w14:solidFill>
          </w14:textFill>
        </w:rPr>
      </w:pPr>
      <w:r>
        <w:t>Give cross-functional teams clear goals and decision limits. A named product lead owns delivery; the clinical safety lead can stop unsafe decisions. A short charter and decision log record ownership and escalation routes (Appelbaum et al., 2000; Rigby, Sutherland and Noble, 2018).</w:t>
      </w:r>
    </w:p>
    <w:p w14:paraId="3E0E03DE">
      <w:pPr>
        <w:pStyle w:val="13"/>
        <w:spacing w:after="120" w:line="360" w:lineRule="auto"/>
        <w:rPr>
          <w:rFonts w:hint="default" w:ascii="Arial" w:hAnsi="Arial" w:eastAsia="Arial" w:cs="Arial"/>
          <w:color w:val="000000" w:themeColor="text1"/>
          <w:lang w:val="en-GB"/>
          <w14:textFill>
            <w14:solidFill>
              <w14:schemeClr w14:val="tx1"/>
            </w14:solidFill>
          </w14:textFill>
        </w:rPr>
      </w:pPr>
      <w:r>
        <w:t>Use shared tools, written updates and rotated live meetings to connect specialists across countries. Managers should hold quarterly development conversations, protect learning time and publish fair access to projects (Stahl et al., 2010; Wang et al., 2021).</w:t>
      </w:r>
    </w:p>
    <w:bookmarkEnd w:id="6"/>
    <w:p w14:paraId="5C3E4C40">
      <w:pPr>
        <w:pStyle w:val="3"/>
        <w:keepNext/>
        <w:spacing w:line="360" w:lineRule="auto"/>
        <w:rPr>
          <w:rFonts w:hint="default" w:ascii="Arial" w:hAnsi="Arial" w:eastAsia="Arial" w:cs="Arial"/>
          <w:color w:val="000000" w:themeColor="text1"/>
          <w14:textFill>
            <w14:solidFill>
              <w14:schemeClr w14:val="tx1"/>
            </w14:solidFill>
          </w14:textFill>
        </w:rPr>
      </w:pPr>
      <w:bookmarkStart w:id="12" w:name="_Toc16669"/>
      <w:bookmarkStart w:id="13" w:name="X3665e80833aeafaa0a1926a0162260d3b3a9bd6"/>
      <w:r>
        <w:rPr>
          <w:rFonts w:hint="default" w:ascii="Arial" w:hAnsi="Arial" w:eastAsia="Arial" w:cs="Arial"/>
          <w:b/>
          <w:color w:val="000000" w:themeColor="text1"/>
          <w:sz w:val="24"/>
          <w14:textFill>
            <w14:solidFill>
              <w14:schemeClr w14:val="tx1"/>
            </w14:solidFill>
          </w14:textFill>
        </w:rPr>
        <w:t>1.4</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Task B: Breeding an Environment Where Talent May Grow</w:t>
      </w:r>
      <w:bookmarkEnd w:id="12"/>
    </w:p>
    <w:p w14:paraId="74280DF9">
      <w:pPr>
        <w:pStyle w:val="4"/>
        <w:keepNext/>
        <w:spacing w:line="360" w:lineRule="auto"/>
        <w:rPr>
          <w:rFonts w:hint="default" w:ascii="Arial" w:hAnsi="Arial" w:eastAsia="Arial" w:cs="Arial"/>
          <w:color w:val="000000" w:themeColor="text1"/>
          <w14:textFill>
            <w14:solidFill>
              <w14:schemeClr w14:val="tx1"/>
            </w14:solidFill>
          </w14:textFill>
        </w:rPr>
      </w:pPr>
      <w:bookmarkStart w:id="14" w:name="_Toc13439"/>
      <w:bookmarkStart w:id="15" w:name="what-helps-talent-flourish"/>
      <w:r>
        <w:rPr>
          <w:rFonts w:hint="default" w:ascii="Arial" w:hAnsi="Arial" w:eastAsia="Arial" w:cs="Arial"/>
          <w:b/>
          <w:color w:val="000000" w:themeColor="text1"/>
          <w:sz w:val="24"/>
          <w14:textFill>
            <w14:solidFill>
              <w14:schemeClr w14:val="tx1"/>
            </w14:solidFill>
          </w14:textFill>
        </w:rPr>
        <w:t>1.4.1</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What helps talent flourish?</w:t>
      </w:r>
      <w:bookmarkEnd w:id="14"/>
    </w:p>
    <w:p w14:paraId="778157B3">
      <w:pPr>
        <w:jc w:val="left"/>
        <w:rPr>
          <w:rFonts w:hint="default" w:ascii="Arial" w:hAnsi="Arial" w:eastAsia="Arial" w:cs="Arial"/>
          <w:color w:val="000000" w:themeColor="text1"/>
          <w:sz w:val="24"/>
          <w14:textFill>
            <w14:solidFill>
              <w14:schemeClr w14:val="tx1"/>
            </w14:solidFill>
          </w14:textFill>
        </w:rPr>
      </w:pPr>
      <w:r>
        <w:t>People grow through useful work, learning, fair treatment, supportive managers and visible career options. The case brief reports that some high performers left because development opportunities were limited; it does not establish an overall turnover rate (Collings, Scullion and Vaiman, 2015; Malik et al., 2023).</w:t>
      </w:r>
    </w:p>
    <w:p w14:paraId="3EF94E6A">
      <w:pPr>
        <w:jc w:val="left"/>
        <w:rPr>
          <w:rFonts w:hint="default" w:ascii="Arial" w:hAnsi="Arial" w:eastAsia="Arial" w:cs="Arial"/>
          <w:color w:val="000000" w:themeColor="text1"/>
          <w:sz w:val="24"/>
          <w14:textFill>
            <w14:solidFill>
              <w14:schemeClr w14:val="tx1"/>
            </w14:solidFill>
          </w14:textFill>
        </w:rPr>
      </w:pPr>
      <w:r>
        <w:t>Senge’s Learning Organisation model values shared learning, a common purpose and personal growth (Senge, 1990). This fits NHSX, where clinical and technical teams need to learn from each other. But learning takes time, and lessons matter only if leaders act on them. Without support, learning can become extra work. Dweck’s Growth Mindset encourages people to learn from effort and feedback (Dweck, 2006). It should not suggest that effort alone can fix poor systems. NHSX must provide time, coaching and manageable workloads.</w:t>
      </w:r>
    </w:p>
    <w:p w14:paraId="208A3EB2">
      <w:pPr>
        <w:jc w:val="left"/>
        <w:rPr>
          <w:rFonts w:hint="default" w:ascii="Arial" w:hAnsi="Arial" w:eastAsia="Arial" w:cs="Arial"/>
          <w:color w:val="000000" w:themeColor="text1"/>
          <w:sz w:val="24"/>
          <w14:textFill>
            <w14:solidFill>
              <w14:schemeClr w14:val="tx1"/>
            </w14:solidFill>
          </w14:textFill>
        </w:rPr>
      </w:pPr>
      <w:r>
        <w:t>Psychological safety helps staff ask questions, admit mistakes and raise concerns about AI, cyber security and patient safety (Edmondson, 1999). In healthcare, it can support speaking up and team learning (Grailey et al., 2021). It does not remove the need to challenge unsafe work. Managers must listen and act. Self-Determination Theory links motivation to choice, confidence and connection with others (Deci and Ryan, 2000). Too much freedom without clear goals can leave people unsure what matters. NHSX should pair choice with clear priorities, coaching and team support.</w:t>
      </w:r>
    </w:p>
    <w:p w14:paraId="6E9D7350">
      <w:pPr>
        <w:jc w:val="left"/>
        <w:rPr>
          <w:rFonts w:hint="default" w:ascii="Arial" w:hAnsi="Arial" w:cs="Arial"/>
          <w:color w:val="000000" w:themeColor="text1"/>
          <w14:textFill>
            <w14:solidFill>
              <w14:schemeClr w14:val="tx1"/>
            </w14:solidFill>
          </w14:textFill>
        </w:rPr>
      </w:pPr>
      <w:r>
        <w:t>Job Crafting Theory sees employees as people who can shape parts of their work (Wrzesniewski and Dutton, 2001). Mentoring, stretch projects and peer groups can help, but access may go to people who are already visible or well connected. Clear selection rules can make access fairer. Talent management links people’s skills and potential to the organisation’s needs (Collings, Scullion and Vaiman, 2015). Focusing only on a small group of ‘high potentials’ can overlook useful skills and seem unfair. NHSX should offer core learning to everyone and use clear criteria for extra opportunities. Talent grows when choice, support and fair access work together.</w:t>
      </w:r>
    </w:p>
    <w:p w14:paraId="31DFA1B2">
      <w:pPr>
        <w:jc w:val="center"/>
        <w:rPr>
          <w:rFonts w:hint="default" w:ascii="Arial" w:hAnsi="Arial" w:cs="Arial"/>
          <w:color w:val="000000" w:themeColor="text1"/>
          <w14:textFill>
            <w14:solidFill>
              <w14:schemeClr w14:val="tx1"/>
            </w14:solidFill>
          </w14:textFill>
        </w:rPr>
      </w:pPr>
      <w:r>
        <w:rPr>
          <w:rFonts w:hint="default" w:ascii="Arial" w:hAnsi="Arial" w:eastAsia="Arial" w:cs="Arial"/>
          <w:b/>
          <w:bCs/>
          <w:color w:val="000000" w:themeColor="text1"/>
          <w:sz w:val="20"/>
          <w:szCs w:val="20"/>
          <w14:textFill>
            <w14:solidFill>
              <w14:schemeClr w14:val="tx1"/>
            </w14:solidFill>
          </w14:textFill>
        </w:rPr>
        <w:t xml:space="preserve">Figure </w:t>
      </w:r>
      <w:r>
        <w:rPr>
          <w:rFonts w:hint="default" w:ascii="Arial" w:hAnsi="Arial" w:eastAsia="Arial" w:cs="Arial"/>
          <w:b/>
          <w:bCs/>
          <w:color w:val="000000" w:themeColor="text1"/>
          <w:sz w:val="20"/>
          <w:szCs w:val="20"/>
          <w:lang w:val="en-GB"/>
          <w14:textFill>
            <w14:solidFill>
              <w14:schemeClr w14:val="tx1"/>
            </w14:solidFill>
          </w14:textFill>
        </w:rPr>
        <w:t>6</w:t>
      </w:r>
      <w:r>
        <w:rPr>
          <w:rFonts w:hint="default" w:ascii="Arial" w:hAnsi="Arial" w:eastAsia="Arial" w:cs="Arial"/>
          <w:b/>
          <w:bCs/>
          <w:color w:val="000000" w:themeColor="text1"/>
          <w:sz w:val="20"/>
          <w:szCs w:val="20"/>
          <w14:textFill>
            <w14:solidFill>
              <w14:schemeClr w14:val="tx1"/>
            </w14:solidFill>
          </w14:textFill>
        </w:rPr>
        <w:t>. Conditions that help talent flourish</w:t>
      </w:r>
      <w:r>
        <w:rPr>
          <w:rFonts w:hint="default" w:ascii="Arial" w:hAnsi="Arial" w:eastAsia="Arial" w:cs="Arial"/>
          <w:b/>
          <w:bCs/>
          <w:color w:val="000000" w:themeColor="text1"/>
          <w:sz w:val="20"/>
          <w:szCs w:val="20"/>
          <w:lang w:val="en-GB"/>
          <w14:textFill>
            <w14:solidFill>
              <w14:schemeClr w14:val="tx1"/>
            </w14:solidFill>
          </w14:textFill>
        </w:rPr>
        <w:t>. Source: Author-created synthesis based on Senge (1990), Edmondson (1999), Wrzesniewski and Dutton (2001), and Deci and Ryan (2000)</w:t>
      </w:r>
      <w:r>
        <w:rPr>
          <w:rFonts w:hint="default" w:ascii="Arial" w:hAnsi="Arial" w:cs="Arial"/>
          <w:color w:val="000000" w:themeColor="text1"/>
          <w14:textFill>
            <w14:solidFill>
              <w14:schemeClr w14:val="tx1"/>
            </w14:solidFill>
          </w14:textFill>
        </w:rPr>
        <w:t>.</w:t>
      </w:r>
    </w:p>
    <w:p w14:paraId="19B5C88A">
      <w:pPr>
        <w:rPr>
          <w:rFonts w:hint="default" w:ascii="Arial" w:hAnsi="Arial" w:cs="Arial"/>
          <w:color w:val="000000" w:themeColor="text1"/>
          <w14:textFill>
            <w14:solidFill>
              <w14:schemeClr w14:val="tx1"/>
            </w14:solidFill>
          </w14:textFill>
        </w:rPr>
      </w:pPr>
    </w:p>
    <w:bookmarkEnd w:id="15"/>
    <w:p w14:paraId="607F4FBC">
      <w:pPr>
        <w:pStyle w:val="4"/>
        <w:keepNext/>
        <w:spacing w:line="360" w:lineRule="auto"/>
        <w:rPr>
          <w:rFonts w:hint="default" w:ascii="Arial" w:hAnsi="Arial" w:eastAsia="Arial" w:cs="Arial"/>
          <w:color w:val="000000" w:themeColor="text1"/>
          <w14:textFill>
            <w14:solidFill>
              <w14:schemeClr w14:val="tx1"/>
            </w14:solidFill>
          </w14:textFill>
        </w:rPr>
      </w:pPr>
      <w:bookmarkStart w:id="16" w:name="_Toc358"/>
      <w:bookmarkStart w:id="17" w:name="nhsx-talent-growth-ecosystem"/>
      <w:r>
        <w:rPr>
          <w:rFonts w:hint="default" w:ascii="Arial" w:hAnsi="Arial" w:eastAsia="Arial" w:cs="Arial"/>
          <w:b/>
          <w:color w:val="000000" w:themeColor="text1"/>
          <w:sz w:val="24"/>
          <w14:textFill>
            <w14:solidFill>
              <w14:schemeClr w14:val="tx1"/>
            </w14:solidFill>
          </w14:textFill>
        </w:rPr>
        <w:t>1.4.2</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NHSX talent growth ecosystem</w:t>
      </w:r>
      <w:bookmarkEnd w:id="16"/>
    </w:p>
    <w:p w14:paraId="33B8E993">
      <w:pPr>
        <w:spacing w:after="120" w:line="360" w:lineRule="auto"/>
        <w:rPr>
          <w:rFonts w:hint="default" w:ascii="Arial" w:hAnsi="Arial" w:eastAsia="Arial" w:cs="Arial"/>
          <w:color w:val="000000" w:themeColor="text1"/>
          <w14:textFill>
            <w14:solidFill>
              <w14:schemeClr w14:val="tx1"/>
            </w14:solidFill>
          </w14:textFill>
        </w:rPr>
      </w:pPr>
      <w:r>
        <w:t>NHSX should connect six talent practices from onboarding through development, mobility and retention (Collings, Scullion and Vaiman, 2015).</w:t>
      </w:r>
    </w:p>
    <w:p w14:paraId="53F46C82">
      <w:pPr>
        <w:pStyle w:val="13"/>
        <w:spacing w:after="120" w:line="360" w:lineRule="auto"/>
        <w:rPr>
          <w:rFonts w:hint="default" w:ascii="Arial" w:hAnsi="Arial" w:eastAsia="Arial" w:cs="Arial"/>
          <w:color w:val="000000" w:themeColor="text1"/>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NHSX talent growth ecosystem:</w:t>
      </w:r>
    </w:p>
    <w:p w14:paraId="2FECD7CF">
      <w:pPr>
        <w:numPr>
          <w:ilvl w:val="0"/>
          <w:numId w:val="7"/>
        </w:numPr>
        <w:spacing w:after="120" w:line="360" w:lineRule="auto"/>
        <w:rPr>
          <w:rFonts w:hint="default" w:ascii="Arial" w:hAnsi="Arial" w:eastAsia="Arial" w:cs="Arial"/>
          <w:color w:val="000000" w:themeColor="text1"/>
          <w14:textFill>
            <w14:solidFill>
              <w14:schemeClr w14:val="tx1"/>
            </w14:solidFill>
          </w14:textFill>
        </w:rPr>
      </w:pPr>
      <w:r>
        <w:t>Future skills: Map priority AI, data, safety, cyber, product and responsible-technology needs (Tambe, Cappelli and Yakubovich, 2019).</w:t>
      </w:r>
    </w:p>
    <w:p w14:paraId="6F289FDB">
      <w:pPr>
        <w:numPr>
          <w:ilvl w:val="0"/>
          <w:numId w:val="7"/>
        </w:numPr>
        <w:spacing w:after="120" w:line="360" w:lineRule="auto"/>
        <w:rPr>
          <w:rFonts w:hint="default" w:ascii="Arial" w:hAnsi="Arial" w:eastAsia="Arial" w:cs="Arial"/>
          <w:color w:val="000000" w:themeColor="text1"/>
          <w14:textFill>
            <w14:solidFill>
              <w14:schemeClr w14:val="tx1"/>
            </w14:solidFill>
          </w14:textFill>
        </w:rPr>
      </w:pPr>
      <w:r>
        <w:t>Career paths: Publish specialist and management routes with transparent criteria (Collings, Scullion and Vaiman, 2015).</w:t>
      </w:r>
    </w:p>
    <w:p w14:paraId="65A7692E">
      <w:pPr>
        <w:numPr>
          <w:ilvl w:val="0"/>
          <w:numId w:val="7"/>
        </w:numPr>
        <w:spacing w:after="120" w:line="360" w:lineRule="auto"/>
        <w:rPr>
          <w:rFonts w:hint="default" w:ascii="Arial" w:hAnsi="Arial" w:eastAsia="Arial" w:cs="Arial"/>
          <w:color w:val="000000" w:themeColor="text1"/>
          <w14:textFill>
            <w14:solidFill>
              <w14:schemeClr w14:val="tx1"/>
            </w14:solidFill>
          </w14:textFill>
        </w:rPr>
      </w:pPr>
      <w:r>
        <w:t>Learning academy: Combine courses, coaching, mentoring and applied peer learning (Senge, 1990).</w:t>
      </w:r>
    </w:p>
    <w:p w14:paraId="40E41AFA">
      <w:pPr>
        <w:numPr>
          <w:ilvl w:val="0"/>
          <w:numId w:val="7"/>
        </w:numPr>
        <w:spacing w:after="120" w:line="360" w:lineRule="auto"/>
        <w:rPr>
          <w:rFonts w:hint="default" w:ascii="Arial" w:hAnsi="Arial" w:eastAsia="Arial" w:cs="Arial"/>
          <w:color w:val="000000" w:themeColor="text1"/>
          <w14:textFill>
            <w14:solidFill>
              <w14:schemeClr w14:val="tx1"/>
            </w14:solidFill>
          </w14:textFill>
        </w:rPr>
      </w:pPr>
      <w:r>
        <w:t>Internal moves: Use rotations, secondments and cross-country projects to build skills and retain talent (Collings, Scullion and Vaiman, 2015; Wrzesniewski and Dutton, 2001).</w:t>
      </w:r>
    </w:p>
    <w:p w14:paraId="6F5A9A42">
      <w:pPr>
        <w:numPr>
          <w:ilvl w:val="0"/>
          <w:numId w:val="7"/>
        </w:numPr>
        <w:spacing w:after="120" w:line="360" w:lineRule="auto"/>
        <w:rPr>
          <w:rFonts w:hint="default" w:ascii="Arial" w:hAnsi="Arial" w:eastAsia="Arial" w:cs="Arial"/>
          <w:color w:val="000000" w:themeColor="text1"/>
          <w14:textFill>
            <w14:solidFill>
              <w14:schemeClr w14:val="tx1"/>
            </w14:solidFill>
          </w14:textFill>
        </w:rPr>
      </w:pPr>
      <w:r>
        <w:t>Supportive managers: Train managers to coach, give feedback and respond to concerns (Edmondson, 1999; Grailey et al., 2021).</w:t>
      </w:r>
    </w:p>
    <w:p w14:paraId="616782E5">
      <w:pPr>
        <w:numPr>
          <w:ilvl w:val="0"/>
          <w:numId w:val="7"/>
        </w:numPr>
        <w:spacing w:after="120" w:line="360" w:lineRule="auto"/>
        <w:rPr>
          <w:rFonts w:hint="default" w:ascii="Arial" w:hAnsi="Arial" w:eastAsia="Arial" w:cs="Arial"/>
          <w:color w:val="000000" w:themeColor="text1"/>
          <w14:textFill>
            <w14:solidFill>
              <w14:schemeClr w14:val="tx1"/>
            </w14:solidFill>
          </w14:textFill>
        </w:rPr>
      </w:pPr>
      <w:r>
        <w:t>Sustainable performance: Align goals, recognition and workload with wellbeing (Boxall and Macky, 2009; Malik et al., 2023).</w:t>
      </w:r>
    </w:p>
    <w:p w14:paraId="123DAD0C">
      <w:pPr>
        <w:spacing w:after="120" w:line="360" w:lineRule="auto"/>
        <w:rPr>
          <w:rFonts w:hint="default" w:ascii="Arial" w:hAnsi="Arial" w:eastAsia="Arial" w:cs="Arial"/>
          <w:color w:val="000000" w:themeColor="text1"/>
          <w14:textFill>
            <w14:solidFill>
              <w14:schemeClr w14:val="tx1"/>
            </w14:solidFill>
          </w14:textFill>
        </w:rPr>
      </w:pPr>
      <w:r>
        <w:t>Map current and three-to-five-year skills through voluntary surveys, manager checks and learning records. The Capability Academy should link these priorities to applied learning. Protect learning time and review priorities every six months (Senge, 1990).</w:t>
      </w:r>
    </w:p>
    <w:p w14:paraId="57F3E8CB">
      <w:pPr>
        <w:rPr>
          <w:rFonts w:hint="default" w:ascii="Arial" w:hAnsi="Arial" w:cs="Arial"/>
          <w:color w:val="000000" w:themeColor="text1"/>
          <w14:textFill>
            <w14:solidFill>
              <w14:schemeClr w14:val="tx1"/>
            </w14:solidFill>
          </w14:textFill>
        </w:rPr>
      </w:pPr>
    </w:p>
    <w:p w14:paraId="780340D1">
      <w:pPr>
        <w:jc w:val="center"/>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669280" cy="3493135"/>
            <wp:effectExtent l="0" t="0" r="762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3"/>
                    <a:stretch>
                      <a:fillRect/>
                    </a:stretch>
                  </pic:blipFill>
                  <pic:spPr>
                    <a:xfrm>
                      <a:off x="0" y="0"/>
                      <a:ext cx="5669280" cy="3493727"/>
                    </a:xfrm>
                    <a:prstGeom prst="rect">
                      <a:avLst/>
                    </a:prstGeom>
                  </pic:spPr>
                </pic:pic>
              </a:graphicData>
            </a:graphic>
          </wp:inline>
        </w:drawing>
      </w:r>
    </w:p>
    <w:p w14:paraId="46891B47">
      <w:pPr>
        <w:jc w:val="center"/>
        <w:rPr>
          <w:rFonts w:hint="default" w:ascii="Arial" w:hAnsi="Arial" w:cs="Arial"/>
          <w:color w:val="000000" w:themeColor="text1"/>
          <w:sz w:val="16"/>
          <w:szCs w:val="16"/>
          <w14:textFill>
            <w14:solidFill>
              <w14:schemeClr w14:val="tx1"/>
            </w14:solidFill>
          </w14:textFill>
        </w:rPr>
      </w:pPr>
      <w:r>
        <w:rPr>
          <w:rFonts w:hint="default" w:ascii="Arial" w:hAnsi="Arial" w:eastAsia="Arial" w:cs="Arial"/>
          <w:b/>
          <w:bCs/>
          <w:color w:val="000000" w:themeColor="text1"/>
          <w:sz w:val="16"/>
          <w:szCs w:val="16"/>
          <w14:textFill>
            <w14:solidFill>
              <w14:schemeClr w14:val="tx1"/>
            </w14:solidFill>
          </w14:textFill>
        </w:rPr>
        <w:t xml:space="preserve">Figure </w:t>
      </w:r>
      <w:r>
        <w:rPr>
          <w:rFonts w:hint="default" w:ascii="Arial" w:hAnsi="Arial" w:eastAsia="Arial" w:cs="Arial"/>
          <w:b/>
          <w:bCs/>
          <w:color w:val="000000" w:themeColor="text1"/>
          <w:sz w:val="16"/>
          <w:szCs w:val="16"/>
          <w:lang w:val="en-GB"/>
          <w14:textFill>
            <w14:solidFill>
              <w14:schemeClr w14:val="tx1"/>
            </w14:solidFill>
          </w14:textFill>
        </w:rPr>
        <w:t>7</w:t>
      </w:r>
      <w:r>
        <w:rPr>
          <w:rFonts w:hint="default" w:ascii="Arial" w:hAnsi="Arial" w:eastAsia="Arial" w:cs="Arial"/>
          <w:b/>
          <w:bCs/>
          <w:color w:val="000000" w:themeColor="text1"/>
          <w:sz w:val="16"/>
          <w:szCs w:val="16"/>
          <w14:textFill>
            <w14:solidFill>
              <w14:schemeClr w14:val="tx1"/>
            </w14:solidFill>
          </w14:textFill>
        </w:rPr>
        <w:t>. NHSX talent growth ecosystem</w:t>
      </w:r>
      <w:r>
        <w:rPr>
          <w:rFonts w:hint="default" w:ascii="Arial" w:hAnsi="Arial" w:eastAsia="Arial" w:cs="Arial"/>
          <w:b/>
          <w:bCs/>
          <w:color w:val="000000" w:themeColor="text1"/>
          <w:sz w:val="16"/>
          <w:szCs w:val="16"/>
          <w:lang w:val="en-GB"/>
          <w14:textFill>
            <w14:solidFill>
              <w14:schemeClr w14:val="tx1"/>
            </w14:solidFill>
          </w14:textFill>
        </w:rPr>
        <w:t>. Source: Author-created synthesis based on Collings, Scullion and Vaiman (2015), Senge (1990), Edmondson (1999), and Wrzesniewski and Dutton (2001).</w:t>
      </w:r>
    </w:p>
    <w:bookmarkEnd w:id="17"/>
    <w:p w14:paraId="75E33158">
      <w:pPr>
        <w:pStyle w:val="4"/>
        <w:keepNext/>
        <w:spacing w:line="360" w:lineRule="auto"/>
        <w:rPr>
          <w:rFonts w:hint="default" w:ascii="Arial" w:hAnsi="Arial" w:eastAsia="Arial" w:cs="Arial"/>
          <w:b/>
          <w:color w:val="000000" w:themeColor="text1"/>
          <w:sz w:val="24"/>
          <w14:textFill>
            <w14:solidFill>
              <w14:schemeClr w14:val="tx1"/>
            </w14:solidFill>
          </w14:textFill>
        </w:rPr>
      </w:pPr>
      <w:bookmarkStart w:id="18" w:name="_Toc29247"/>
      <w:bookmarkStart w:id="19" w:name="measures-risks-and-controls"/>
      <w:r>
        <w:rPr>
          <w:rFonts w:hint="default" w:ascii="Arial" w:hAnsi="Arial" w:eastAsia="Arial" w:cs="Arial"/>
          <w:b/>
          <w:color w:val="000000" w:themeColor="text1"/>
          <w:sz w:val="24"/>
          <w14:textFill>
            <w14:solidFill>
              <w14:schemeClr w14:val="tx1"/>
            </w14:solidFill>
          </w14:textFill>
        </w:rPr>
        <w:t>1.4.3</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Measures, risks and controls</w:t>
      </w:r>
      <w:bookmarkEnd w:id="18"/>
    </w:p>
    <w:p w14:paraId="34192436">
      <w:pPr>
        <w:rPr>
          <w:rFonts w:hint="default"/>
          <w:color w:val="000000" w:themeColor="text1"/>
          <w14:textFill>
            <w14:solidFill>
              <w14:schemeClr w14:val="tx1"/>
            </w14:solidFill>
          </w14:textFill>
        </w:rPr>
      </w:pPr>
      <w:r>
        <w:t>The CPO should give the Board a quarterly dashboard, validated by country HR leads. Targets are proposed internal goals, not benchmarks, and should be confirmed after baseline. Use prior 12-month HR records for turnover and moves; in baseline weeks 1–6, run an anonymous survey and role-based skills checks. Disclose gaps in historical records.</w:t>
      </w:r>
      <w:r>
        <w:br w:type="textWrapping"/>
      </w:r>
      <w:r>
        <w:br w:type="textWrapping"/>
      </w:r>
      <w:r>
        <w:t>Aim for a 10% relative reduction in regrettable voluntary turnover (qualifying voluntary leavers ÷ average headcount). Count a departure as regrettable only when the leaver resigns and country HR confirms, using a consistent pre-approved rubric and documented exit information, that the role or skills loss is materially unwanted; exclude involuntary exits, retirement and fixed-term contract endings. Apply the same criteria across countries and do not use demographic characteristics. Also aim for a 10% relative increase in internal moves (unique promotions or role changes ÷ average headcount). In year one, aim for 80% of staff to complete a priority-skill activity. Check skills before and after with a role-based rubric or work sample; target 70% improving or reaching the next level. Report completion separately from skill gain and review the target after the first cohort.</w:t>
      </w:r>
      <w:r>
        <w:br w:type="textWrapping"/>
      </w:r>
      <w:r>
        <w:br w:type="textWrapping"/>
      </w:r>
      <w:r>
        <w:t>Ask the same anonymous psychological-safety and manager-effectiveness items before and after, using a five-point agreement scale (1 = strongly disagree; 5 = strongly agree). Define positive responses as 4 or 5, and target a five-percentage-point increase in the share of positive responses for each item. Track absence per FTE and workload; neither should worsen after seasonal adjustment. Compare only matching measures and periods. Report aggregated results; suppress groups under 10 (or a higher local threshold), combining groups or periods where needed. Keep identifiable records with authorised local HR, exclude them from the dashboard and never use small-group results to judge individuals. Track pilots and adopted lessons alongside safety, workload and fairness.</w:t>
      </w:r>
    </w:p>
    <w:p w14:paraId="05422E78">
      <w:pPr>
        <w:rPr>
          <w:rFonts w:hint="default"/>
          <w:color w:val="000000" w:themeColor="text1"/>
          <w14:textFill>
            <w14:solidFill>
              <w14:schemeClr w14:val="tx1"/>
            </w14:solidFill>
          </w14:textFill>
        </w:rPr>
      </w:pPr>
      <w:r>
        <w:t>Risks include inconsistent management, limited learning funds, workload, unfair project access and staff-data misuse. Set manager standards, protect learning time, publish fair access rules and restrict data use. Never penalise staff solely on a prediction score (Tambe, Cappelli and Yakubovich, 2019).</w:t>
      </w:r>
    </w:p>
    <w:p w14:paraId="56ECAA94">
      <w:pPr>
        <w:keepNext/>
        <w:spacing w:before="0" w:after="0" w:line="360" w:lineRule="auto"/>
      </w:pPr>
      <w:r>
        <w:rPr>
          <w:rFonts w:ascii="Arial" w:hAnsi="Arial" w:eastAsia="Arial"/>
          <w:b/>
          <w:i w:val="0"/>
          <w:sz w:val="24"/>
        </w:rPr>
        <w:t>Table 4. NHSX talent implementation stages and measures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12"/>
        <w:gridCol w:w="1944"/>
        <w:gridCol w:w="3240"/>
        <w:gridCol w:w="2880"/>
      </w:tblGrid>
      <w:tr w14:paraId="1A5610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blHeader/>
          <w:jc w:val="center"/>
        </w:trPr>
        <w:tc>
          <w:tcPr>
            <w:tcW w:w="1512" w:type="dxa"/>
            <w:shd w:val="clear" w:color="auto" w:fill="1F4E79"/>
            <w:vAlign w:val="center"/>
          </w:tcPr>
          <w:p w14:paraId="3FE7B979">
            <w:pPr>
              <w:spacing w:before="0" w:after="0" w:line="360" w:lineRule="auto"/>
            </w:pPr>
            <w:r>
              <w:rPr>
                <w:rFonts w:ascii="Arial" w:hAnsi="Arial" w:eastAsia="Arial"/>
                <w:b/>
                <w:sz w:val="24"/>
              </w:rPr>
              <w:t>Stage and timing</w:t>
            </w:r>
          </w:p>
        </w:tc>
        <w:tc>
          <w:tcPr>
            <w:tcW w:w="1944" w:type="dxa"/>
            <w:shd w:val="clear" w:color="auto" w:fill="1F4E79"/>
            <w:vAlign w:val="center"/>
          </w:tcPr>
          <w:p w14:paraId="65F6BA9D">
            <w:pPr>
              <w:spacing w:before="0" w:after="0" w:line="360" w:lineRule="auto"/>
            </w:pPr>
            <w:r>
              <w:rPr>
                <w:rFonts w:ascii="Arial" w:hAnsi="Arial" w:eastAsia="Arial"/>
                <w:b/>
                <w:sz w:val="24"/>
              </w:rPr>
              <w:t>Lead and contributors</w:t>
            </w:r>
          </w:p>
        </w:tc>
        <w:tc>
          <w:tcPr>
            <w:tcW w:w="3240" w:type="dxa"/>
            <w:shd w:val="clear" w:color="auto" w:fill="1F4E79"/>
            <w:vAlign w:val="center"/>
          </w:tcPr>
          <w:p w14:paraId="3DF78032">
            <w:pPr>
              <w:spacing w:before="0" w:after="0" w:line="360" w:lineRule="auto"/>
            </w:pPr>
            <w:r>
              <w:rPr>
                <w:rFonts w:ascii="Arial" w:hAnsi="Arial" w:eastAsia="Arial"/>
                <w:b/>
                <w:sz w:val="24"/>
              </w:rPr>
              <w:t>Action and review</w:t>
            </w:r>
          </w:p>
        </w:tc>
        <w:tc>
          <w:tcPr>
            <w:tcW w:w="2880" w:type="dxa"/>
            <w:shd w:val="clear" w:color="auto" w:fill="1F4E79"/>
            <w:vAlign w:val="center"/>
          </w:tcPr>
          <w:p w14:paraId="5EF63FD0">
            <w:pPr>
              <w:spacing w:before="0" w:after="0" w:line="360" w:lineRule="auto"/>
            </w:pPr>
            <w:r>
              <w:rPr>
                <w:rFonts w:ascii="Arial" w:hAnsi="Arial" w:eastAsia="Arial"/>
                <w:b/>
                <w:sz w:val="24"/>
              </w:rPr>
              <w:t>Proposed evidence</w:t>
            </w:r>
          </w:p>
        </w:tc>
      </w:tr>
      <w:tr w14:paraId="5BD8B1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512" w:type="dxa"/>
            <w:vAlign w:val="center"/>
          </w:tcPr>
          <w:p w14:paraId="5FC47585">
            <w:pPr>
              <w:spacing w:before="0" w:after="0" w:line="360" w:lineRule="auto"/>
            </w:pPr>
            <w:r>
              <w:rPr>
                <w:rFonts w:ascii="Arial" w:hAnsi="Arial" w:eastAsia="Arial"/>
                <w:sz w:val="24"/>
              </w:rPr>
              <w:t>Baseline, weeks 1–6</w:t>
            </w:r>
          </w:p>
        </w:tc>
        <w:tc>
          <w:tcPr>
            <w:tcW w:w="1944" w:type="dxa"/>
            <w:vAlign w:val="center"/>
          </w:tcPr>
          <w:p w14:paraId="6F616457">
            <w:pPr>
              <w:spacing w:before="0" w:after="0" w:line="360" w:lineRule="auto"/>
            </w:pPr>
            <w:r>
              <w:rPr>
                <w:rFonts w:ascii="Arial" w:hAnsi="Arial" w:eastAsia="Arial"/>
                <w:sz w:val="24"/>
              </w:rPr>
              <w:t>CPO; country HR; Finance/People Analytics</w:t>
            </w:r>
          </w:p>
        </w:tc>
        <w:tc>
          <w:tcPr>
            <w:tcW w:w="3240" w:type="dxa"/>
            <w:vAlign w:val="center"/>
          </w:tcPr>
          <w:p w14:paraId="5BB427C5">
            <w:pPr>
              <w:spacing w:before="0" w:after="0" w:line="360" w:lineRule="auto"/>
            </w:pPr>
            <w:r>
              <w:rPr>
                <w:rFonts w:ascii="Arial" w:hAnsi="Arial" w:eastAsia="Arial"/>
                <w:sz w:val="24"/>
              </w:rPr>
              <w:t>Collect baseline pulse and skills data; validate prior-year records; set privacy rules.</w:t>
            </w:r>
          </w:p>
        </w:tc>
        <w:tc>
          <w:tcPr>
            <w:tcW w:w="2880" w:type="dxa"/>
            <w:vAlign w:val="center"/>
          </w:tcPr>
          <w:p w14:paraId="144B6555">
            <w:pPr>
              <w:spacing w:before="0" w:after="0" w:line="360" w:lineRule="auto"/>
            </w:pPr>
            <w:r>
              <w:rPr>
                <w:rFonts w:ascii="Arial" w:hAnsi="Arial" w:eastAsia="Arial"/>
                <w:sz w:val="24"/>
              </w:rPr>
              <w:t>Turnover, moves, skills, safety, manager ratings, absence and workload.</w:t>
            </w:r>
          </w:p>
        </w:tc>
      </w:tr>
      <w:tr w14:paraId="3E34A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512" w:type="dxa"/>
            <w:vAlign w:val="center"/>
          </w:tcPr>
          <w:p w14:paraId="1ECF9906">
            <w:pPr>
              <w:spacing w:before="0" w:after="0" w:line="360" w:lineRule="auto"/>
            </w:pPr>
            <w:r>
              <w:rPr>
                <w:rFonts w:ascii="Arial" w:hAnsi="Arial" w:eastAsia="Arial"/>
                <w:sz w:val="24"/>
              </w:rPr>
              <w:t>Pilot, weeks 7–18</w:t>
            </w:r>
          </w:p>
        </w:tc>
        <w:tc>
          <w:tcPr>
            <w:tcW w:w="1944" w:type="dxa"/>
            <w:vAlign w:val="center"/>
          </w:tcPr>
          <w:p w14:paraId="03F7BE14">
            <w:pPr>
              <w:spacing w:before="0" w:after="0" w:line="360" w:lineRule="auto"/>
            </w:pPr>
            <w:r>
              <w:rPr>
                <w:rFonts w:ascii="Arial" w:hAnsi="Arial" w:eastAsia="Arial"/>
                <w:sz w:val="24"/>
              </w:rPr>
              <w:t>CTO and product lead; clinical safety lead; manager</w:t>
            </w:r>
          </w:p>
        </w:tc>
        <w:tc>
          <w:tcPr>
            <w:tcW w:w="3240" w:type="dxa"/>
            <w:vAlign w:val="center"/>
          </w:tcPr>
          <w:p w14:paraId="489DF5DA">
            <w:pPr>
              <w:spacing w:before="0" w:after="0" w:line="360" w:lineRule="auto"/>
            </w:pPr>
            <w:r>
              <w:rPr>
                <w:rFonts w:ascii="Arial" w:hAnsi="Arial" w:eastAsia="Arial"/>
                <w:sz w:val="24"/>
              </w:rPr>
              <w:t>Run 12-week pilot; review at pilot weeks 6 and 12.</w:t>
            </w:r>
          </w:p>
        </w:tc>
        <w:tc>
          <w:tcPr>
            <w:tcW w:w="2880" w:type="dxa"/>
            <w:vAlign w:val="center"/>
          </w:tcPr>
          <w:p w14:paraId="0703F95B">
            <w:pPr>
              <w:spacing w:before="0" w:after="0" w:line="360" w:lineRule="auto"/>
            </w:pPr>
            <w:r>
              <w:rPr>
                <w:rFonts w:ascii="Arial" w:hAnsi="Arial" w:eastAsia="Arial"/>
                <w:sz w:val="24"/>
              </w:rPr>
              <w:t>Delivery, rework, safety, workload and participation by location.</w:t>
            </w:r>
          </w:p>
        </w:tc>
      </w:tr>
      <w:tr w14:paraId="4AF7F1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512" w:type="dxa"/>
            <w:vAlign w:val="center"/>
          </w:tcPr>
          <w:p w14:paraId="341FBEB2">
            <w:pPr>
              <w:spacing w:before="0" w:after="0" w:line="360" w:lineRule="auto"/>
            </w:pPr>
            <w:r>
              <w:rPr>
                <w:rFonts w:ascii="Arial" w:hAnsi="Arial" w:eastAsia="Arial"/>
                <w:sz w:val="24"/>
              </w:rPr>
              <w:t>Talent launch, months 4–9</w:t>
            </w:r>
          </w:p>
        </w:tc>
        <w:tc>
          <w:tcPr>
            <w:tcW w:w="1944" w:type="dxa"/>
            <w:vAlign w:val="center"/>
          </w:tcPr>
          <w:p w14:paraId="6C5C705A">
            <w:pPr>
              <w:spacing w:before="0" w:after="0" w:line="360" w:lineRule="auto"/>
            </w:pPr>
            <w:r>
              <w:rPr>
                <w:rFonts w:ascii="Arial" w:hAnsi="Arial" w:eastAsia="Arial"/>
                <w:sz w:val="24"/>
              </w:rPr>
              <w:t>CPO; skills leads; managers</w:t>
            </w:r>
          </w:p>
        </w:tc>
        <w:tc>
          <w:tcPr>
            <w:tcW w:w="3240" w:type="dxa"/>
            <w:vAlign w:val="center"/>
          </w:tcPr>
          <w:p w14:paraId="7D698366">
            <w:pPr>
              <w:spacing w:before="0" w:after="0" w:line="360" w:lineRule="auto"/>
            </w:pPr>
            <w:r>
              <w:rPr>
                <w:rFonts w:ascii="Arial" w:hAnsi="Arial" w:eastAsia="Arial"/>
                <w:sz w:val="24"/>
              </w:rPr>
              <w:t>Launch skills framework, protected learning, career criteria and manager coaching.</w:t>
            </w:r>
          </w:p>
        </w:tc>
        <w:tc>
          <w:tcPr>
            <w:tcW w:w="2880" w:type="dxa"/>
            <w:vAlign w:val="center"/>
          </w:tcPr>
          <w:p w14:paraId="6E534D4B">
            <w:pPr>
              <w:spacing w:before="0" w:after="0" w:line="360" w:lineRule="auto"/>
            </w:pPr>
            <w:r>
              <w:rPr>
                <w:rFonts w:ascii="Arial" w:hAnsi="Arial" w:eastAsia="Arial"/>
                <w:sz w:val="24"/>
              </w:rPr>
              <w:t>80% complete priority activity; 70% gain skills; check fair access and pulse.</w:t>
            </w:r>
          </w:p>
        </w:tc>
      </w:tr>
      <w:tr w14:paraId="142D68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512" w:type="dxa"/>
            <w:vAlign w:val="center"/>
          </w:tcPr>
          <w:p w14:paraId="60F6A66D">
            <w:pPr>
              <w:spacing w:before="0" w:after="0" w:line="360" w:lineRule="auto"/>
            </w:pPr>
            <w:r>
              <w:rPr>
                <w:rFonts w:ascii="Arial" w:hAnsi="Arial" w:eastAsia="Arial"/>
                <w:sz w:val="24"/>
              </w:rPr>
              <w:t>Scale or adjust, months 10–12</w:t>
            </w:r>
          </w:p>
        </w:tc>
        <w:tc>
          <w:tcPr>
            <w:tcW w:w="1944" w:type="dxa"/>
            <w:vAlign w:val="center"/>
          </w:tcPr>
          <w:p w14:paraId="7EA6D392">
            <w:pPr>
              <w:spacing w:before="0" w:after="0" w:line="360" w:lineRule="auto"/>
            </w:pPr>
            <w:r>
              <w:rPr>
                <w:rFonts w:ascii="Arial" w:hAnsi="Arial" w:eastAsia="Arial"/>
                <w:sz w:val="24"/>
              </w:rPr>
              <w:t>Board sponsor; CPO; country leads</w:t>
            </w:r>
          </w:p>
        </w:tc>
        <w:tc>
          <w:tcPr>
            <w:tcW w:w="3240" w:type="dxa"/>
            <w:vAlign w:val="center"/>
          </w:tcPr>
          <w:p w14:paraId="0E82E650">
            <w:pPr>
              <w:spacing w:before="0" w:after="0" w:line="360" w:lineRule="auto"/>
            </w:pPr>
            <w:r>
              <w:rPr>
                <w:rFonts w:ascii="Arial" w:hAnsi="Arial" w:eastAsia="Arial"/>
                <w:sz w:val="24"/>
              </w:rPr>
              <w:t>Review dashboard quarterly; scale only if benefits and safeguards hold.</w:t>
            </w:r>
          </w:p>
        </w:tc>
        <w:tc>
          <w:tcPr>
            <w:tcW w:w="2880" w:type="dxa"/>
            <w:vAlign w:val="center"/>
          </w:tcPr>
          <w:p w14:paraId="0E787AA1">
            <w:pPr>
              <w:spacing w:before="0" w:after="0" w:line="360" w:lineRule="auto"/>
            </w:pPr>
            <w:r>
              <w:rPr>
                <w:rFonts w:ascii="Arial" w:hAnsi="Arial" w:eastAsia="Arial"/>
                <w:sz w:val="24"/>
              </w:rPr>
              <w:t>Track targets and corrective actions; recheck next quarter.</w:t>
            </w:r>
          </w:p>
        </w:tc>
      </w:tr>
    </w:tbl>
    <w:p w14:paraId="36195BD2">
      <w:pPr>
        <w:keepNext w:val="0"/>
        <w:spacing w:before="0" w:after="0" w:line="360" w:lineRule="auto"/>
        <w:rPr>
          <w:b/>
          <w:bCs/>
          <w:sz w:val="16"/>
          <w:szCs w:val="16"/>
        </w:rPr>
      </w:pPr>
      <w:r>
        <w:rPr>
          <w:rFonts w:ascii="Arial" w:hAnsi="Arial" w:eastAsia="Arial"/>
          <w:b/>
          <w:bCs/>
          <w:i/>
          <w:sz w:val="16"/>
          <w:szCs w:val="16"/>
        </w:rPr>
        <w:t>Source: Author-created synthesis informed by Appelbaum et al. (2000), Wang et al. (2021), Stahl et al. (2010), and Tambe, Cappelli and Yakubovich (2019).</w:t>
      </w:r>
    </w:p>
    <w:p w14:paraId="10BB48D7">
      <w:pPr>
        <w:jc w:val="center"/>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669280" cy="1875790"/>
            <wp:effectExtent l="0" t="0" r="7620" b="101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4"/>
                    <a:stretch>
                      <a:fillRect/>
                    </a:stretch>
                  </pic:blipFill>
                  <pic:spPr>
                    <a:xfrm>
                      <a:off x="0" y="0"/>
                      <a:ext cx="5669280" cy="1876244"/>
                    </a:xfrm>
                    <a:prstGeom prst="rect">
                      <a:avLst/>
                    </a:prstGeom>
                  </pic:spPr>
                </pic:pic>
              </a:graphicData>
            </a:graphic>
          </wp:inline>
        </w:drawing>
      </w:r>
    </w:p>
    <w:p w14:paraId="4B746B0F">
      <w:pPr>
        <w:jc w:val="center"/>
        <w:rPr>
          <w:rFonts w:hint="default" w:ascii="Arial" w:hAnsi="Arial" w:cs="Arial"/>
          <w:b/>
          <w:bCs/>
          <w:color w:val="000000" w:themeColor="text1"/>
          <w:sz w:val="16"/>
          <w:szCs w:val="16"/>
          <w:lang w:val="en-GB"/>
          <w14:textFill>
            <w14:solidFill>
              <w14:schemeClr w14:val="tx1"/>
            </w14:solidFill>
          </w14:textFill>
        </w:rPr>
      </w:pPr>
      <w:r>
        <w:rPr>
          <w:rFonts w:hint="default" w:ascii="Arial" w:hAnsi="Arial" w:eastAsia="Arial" w:cs="Arial"/>
          <w:b/>
          <w:bCs/>
          <w:color w:val="000000" w:themeColor="text1"/>
          <w:sz w:val="16"/>
          <w:szCs w:val="16"/>
          <w14:textFill>
            <w14:solidFill>
              <w14:schemeClr w14:val="tx1"/>
            </w14:solidFill>
          </w14:textFill>
        </w:rPr>
        <w:t xml:space="preserve">Figure </w:t>
      </w:r>
      <w:r>
        <w:rPr>
          <w:rFonts w:hint="default" w:ascii="Arial" w:hAnsi="Arial" w:eastAsia="Arial" w:cs="Arial"/>
          <w:b/>
          <w:bCs/>
          <w:color w:val="000000" w:themeColor="text1"/>
          <w:sz w:val="16"/>
          <w:szCs w:val="16"/>
          <w:lang w:val="en-GB"/>
          <w14:textFill>
            <w14:solidFill>
              <w14:schemeClr w14:val="tx1"/>
            </w14:solidFill>
          </w14:textFill>
        </w:rPr>
        <w:t>8</w:t>
      </w:r>
      <w:r>
        <w:rPr>
          <w:rFonts w:hint="default" w:ascii="Arial" w:hAnsi="Arial" w:eastAsia="Arial" w:cs="Arial"/>
          <w:b/>
          <w:bCs/>
          <w:color w:val="000000" w:themeColor="text1"/>
          <w:sz w:val="16"/>
          <w:szCs w:val="16"/>
          <w14:textFill>
            <w14:solidFill>
              <w14:schemeClr w14:val="tx1"/>
            </w14:solidFill>
          </w14:textFill>
        </w:rPr>
        <w:t>. Measures, risks and controls form a continuous people-risk improvement cycle</w:t>
      </w:r>
      <w:r>
        <w:rPr>
          <w:rFonts w:hint="default" w:ascii="Arial" w:hAnsi="Arial" w:eastAsia="Arial" w:cs="Arial"/>
          <w:b/>
          <w:bCs/>
          <w:color w:val="000000" w:themeColor="text1"/>
          <w:sz w:val="16"/>
          <w:szCs w:val="16"/>
          <w:lang w:val="en-GB"/>
          <w14:textFill>
            <w14:solidFill>
              <w14:schemeClr w14:val="tx1"/>
            </w14:solidFill>
          </w14:textFill>
        </w:rPr>
        <w:t>. Source: Author-created synthesis based on Tambe, Cappelli and Yakubovich (2019).</w:t>
      </w:r>
    </w:p>
    <w:bookmarkEnd w:id="13"/>
    <w:bookmarkEnd w:id="19"/>
    <w:p w14:paraId="1A508901">
      <w:pPr>
        <w:pStyle w:val="3"/>
        <w:keepNext/>
        <w:spacing w:line="360" w:lineRule="auto"/>
        <w:rPr>
          <w:rFonts w:hint="default" w:ascii="Arial" w:hAnsi="Arial" w:eastAsia="Arial" w:cs="Arial"/>
          <w:color w:val="000000" w:themeColor="text1"/>
          <w14:textFill>
            <w14:solidFill>
              <w14:schemeClr w14:val="tx1"/>
            </w14:solidFill>
          </w14:textFill>
        </w:rPr>
      </w:pPr>
      <w:bookmarkStart w:id="20" w:name="_Toc29433"/>
      <w:bookmarkStart w:id="21" w:name="task-c-reflective-report"/>
      <w:r>
        <w:rPr>
          <w:rFonts w:hint="default" w:ascii="Arial" w:hAnsi="Arial" w:eastAsia="Arial" w:cs="Arial"/>
          <w:b/>
          <w:color w:val="000000" w:themeColor="text1"/>
          <w:sz w:val="24"/>
          <w14:textFill>
            <w14:solidFill>
              <w14:schemeClr w14:val="tx1"/>
            </w14:solidFill>
          </w14:textFill>
        </w:rPr>
        <w:t>1.5</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Task C: Reflective Report</w:t>
      </w:r>
      <w:bookmarkEnd w:id="20"/>
    </w:p>
    <w:p w14:paraId="06094603">
      <w:pPr>
        <w:pStyle w:val="4"/>
        <w:keepNext/>
        <w:spacing w:line="360" w:lineRule="auto"/>
        <w:rPr>
          <w:rFonts w:hint="default" w:ascii="Arial" w:hAnsi="Arial" w:eastAsia="Arial" w:cs="Arial"/>
          <w:color w:val="000000" w:themeColor="text1"/>
          <w14:textFill>
            <w14:solidFill>
              <w14:schemeClr w14:val="tx1"/>
            </w14:solidFill>
          </w14:textFill>
        </w:rPr>
      </w:pPr>
      <w:bookmarkStart w:id="22" w:name="_Toc10535"/>
      <w:bookmarkStart w:id="23" w:name="ai-as-a-strategic-hr-tool"/>
      <w:r>
        <w:rPr>
          <w:rFonts w:hint="default" w:ascii="Arial" w:hAnsi="Arial" w:eastAsia="Arial" w:cs="Arial"/>
          <w:b/>
          <w:color w:val="000000" w:themeColor="text1"/>
          <w:sz w:val="24"/>
          <w14:textFill>
            <w14:solidFill>
              <w14:schemeClr w14:val="tx1"/>
            </w14:solidFill>
          </w14:textFill>
        </w:rPr>
        <w:t>1.5.1</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AI as a strategic HR tool</w:t>
      </w:r>
      <w:bookmarkEnd w:id="22"/>
    </w:p>
    <w:p w14:paraId="608F39BC">
      <w:pPr>
        <w:jc w:val="left"/>
        <w:rPr>
          <w:rFonts w:hint="default" w:ascii="Arial" w:hAnsi="Arial" w:cs="Arial"/>
          <w:color w:val="000000" w:themeColor="text1"/>
          <w14:textFill>
            <w14:solidFill>
              <w14:schemeClr w14:val="tx1"/>
            </w14:solidFill>
          </w14:textFill>
        </w:rPr>
      </w:pPr>
      <w:r>
        <w:t>AI can identify skills gaps, forecast turnover and recommend learning, but it can reproduce bias, mislead or threaten privacy (Tambe, Cappelli and Yakubovich, 2019). HR must validate data, explain decisions and retain human review; healthcare use must protect rights, accountability and equity (Raisch and Krakowski, 2021; World Health Organization, 2021).</w:t>
      </w:r>
    </w:p>
    <w:p w14:paraId="03BED453">
      <w:pPr>
        <w:jc w:val="center"/>
        <w:rPr>
          <w:rFonts w:hint="default" w:ascii="Arial" w:hAnsi="Arial" w:cs="Arial"/>
          <w:b/>
          <w:bCs/>
          <w:color w:val="000000" w:themeColor="text1"/>
          <w:sz w:val="20"/>
          <w:szCs w:val="20"/>
          <w:lang w:val="en-GB"/>
          <w14:textFill>
            <w14:solidFill>
              <w14:schemeClr w14:val="tx1"/>
            </w14:solidFill>
          </w14:textFill>
        </w:rPr>
      </w:pPr>
      <w:r>
        <w:rPr>
          <w:rFonts w:hint="default" w:ascii="Arial" w:hAnsi="Arial" w:eastAsia="Arial" w:cs="Arial"/>
          <w:b/>
          <w:bCs/>
          <w:color w:val="000000" w:themeColor="text1"/>
          <w:sz w:val="20"/>
          <w:szCs w:val="20"/>
          <w14:textFill>
            <w14:solidFill>
              <w14:schemeClr w14:val="tx1"/>
            </w14:solidFill>
          </w14:textFill>
        </w:rPr>
        <w:t xml:space="preserve">Figure </w:t>
      </w:r>
      <w:r>
        <w:rPr>
          <w:rFonts w:hint="default" w:ascii="Arial" w:hAnsi="Arial" w:eastAsia="Arial" w:cs="Arial"/>
          <w:b/>
          <w:bCs/>
          <w:color w:val="000000" w:themeColor="text1"/>
          <w:sz w:val="20"/>
          <w:szCs w:val="20"/>
          <w:lang w:val="en-GB"/>
          <w14:textFill>
            <w14:solidFill>
              <w14:schemeClr w14:val="tx1"/>
            </w14:solidFill>
          </w14:textFill>
        </w:rPr>
        <w:t>9</w:t>
      </w:r>
      <w:r>
        <w:rPr>
          <w:rFonts w:hint="default" w:ascii="Arial" w:hAnsi="Arial" w:eastAsia="Arial" w:cs="Arial"/>
          <w:b/>
          <w:bCs/>
          <w:color w:val="000000" w:themeColor="text1"/>
          <w:sz w:val="20"/>
          <w:szCs w:val="20"/>
          <w14:textFill>
            <w14:solidFill>
              <w14:schemeClr w14:val="tx1"/>
            </w14:solidFill>
          </w14:textFill>
        </w:rPr>
        <w:t>. AI supports HR decisions when human judgement and ethical safeguards remain central</w:t>
      </w:r>
      <w:r>
        <w:rPr>
          <w:rFonts w:hint="default" w:ascii="Arial" w:hAnsi="Arial" w:eastAsia="Arial" w:cs="Arial"/>
          <w:b/>
          <w:bCs/>
          <w:color w:val="000000" w:themeColor="text1"/>
          <w:sz w:val="20"/>
          <w:szCs w:val="20"/>
          <w:lang w:val="en-GB"/>
          <w14:textFill>
            <w14:solidFill>
              <w14:schemeClr w14:val="tx1"/>
            </w14:solidFill>
          </w14:textFill>
        </w:rPr>
        <w:t>. Source: Author-created synthesis based on Tambe, Cappelli and Yakubovich (2019) and Raisch and Krakowski (2021).</w:t>
      </w:r>
    </w:p>
    <w:bookmarkEnd w:id="23"/>
    <w:p w14:paraId="604C48DA">
      <w:pPr>
        <w:pStyle w:val="4"/>
        <w:keepNext/>
        <w:spacing w:line="360" w:lineRule="auto"/>
        <w:rPr>
          <w:rFonts w:hint="default" w:ascii="Arial" w:hAnsi="Arial" w:eastAsia="Arial" w:cs="Arial"/>
          <w:color w:val="000000" w:themeColor="text1"/>
          <w14:textFill>
            <w14:solidFill>
              <w14:schemeClr w14:val="tx1"/>
            </w14:solidFill>
          </w14:textFill>
        </w:rPr>
      </w:pPr>
      <w:bookmarkStart w:id="24" w:name="_Toc1786"/>
      <w:bookmarkStart w:id="25" w:name="three-personal-examples"/>
      <w:r>
        <w:rPr>
          <w:rFonts w:hint="default" w:ascii="Arial" w:hAnsi="Arial" w:eastAsia="Arial" w:cs="Arial"/>
          <w:b/>
          <w:color w:val="000000" w:themeColor="text1"/>
          <w:sz w:val="24"/>
          <w14:textFill>
            <w14:solidFill>
              <w14:schemeClr w14:val="tx1"/>
            </w14:solidFill>
          </w14:textFill>
        </w:rPr>
        <w:t>1.5.2</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Three personal examples</w:t>
      </w:r>
      <w:bookmarkEnd w:id="24"/>
    </w:p>
    <w:p w14:paraId="6050D398">
      <w:pPr>
        <w:spacing w:before="80" w:after="80"/>
        <w:jc w:val="left"/>
        <w:rPr>
          <w:rFonts w:hint="default" w:ascii="Arial" w:hAnsi="Arial" w:cs="Arial"/>
          <w:color w:val="000000" w:themeColor="text1"/>
          <w14:textFill>
            <w14:solidFill>
              <w14:schemeClr w14:val="tx1"/>
            </w14:solidFill>
          </w14:textFill>
        </w:rPr>
      </w:pPr>
      <w:r>
        <w:t>First, when researching work design, I asked AI for search terms on autonomy, teamwork and psychological safety. It grouped the material under work design, learning and retention. I checked those themes against the original studies and used the sources</w:t>
      </w:r>
      <w:r>
        <w:rPr>
          <w:lang w:val="en-GB"/>
        </w:rPr>
        <w:t>-</w:t>
      </w:r>
      <w:r>
        <w:t>not the AI summary</w:t>
      </w:r>
      <w:r>
        <w:rPr>
          <w:lang w:val="en-GB"/>
        </w:rPr>
        <w:t>-</w:t>
      </w:r>
      <w:r>
        <w:t>to decide which claims were supported. This helped me broaden the search while keeping evidence and interpretation separate (Appelbaum et al., 2000; Boxall and Macky, 2009).</w:t>
      </w:r>
    </w:p>
    <w:p w14:paraId="281A3CF6">
      <w:pPr>
        <w:spacing w:before="80" w:after="80"/>
        <w:jc w:val="left"/>
        <w:rPr>
          <w:rFonts w:hint="default" w:ascii="Arial" w:hAnsi="Arial" w:cs="Arial"/>
          <w:color w:val="000000" w:themeColor="text1"/>
          <w14:textFill>
            <w14:solidFill>
              <w14:schemeClr w14:val="tx1"/>
            </w14:solidFill>
          </w14:textFill>
        </w:rPr>
      </w:pPr>
      <w:r>
        <w:t>Second, while organizing evidence for the talent section, AI suggested linking learning access with career visibility and retention. I checked that interpretation against the cited studies, kept only relationships they supported and framed the NHSX actions as recommendations rather than proven outcomes. I learned that AI can help surface a useful line of inquiry, but the evidence must determine the conclusion (Stahl et al., 2010; Wang et al., 2021).</w:t>
      </w:r>
    </w:p>
    <w:p w14:paraId="56B810C7">
      <w:pPr>
        <w:spacing w:before="80" w:after="80"/>
        <w:jc w:val="left"/>
        <w:rPr>
          <w:rFonts w:hint="default" w:ascii="Arial" w:hAnsi="Arial" w:cs="Arial"/>
          <w:color w:val="000000" w:themeColor="text1"/>
          <w14:textFill>
            <w14:solidFill>
              <w14:schemeClr w14:val="tx1"/>
            </w14:solidFill>
          </w14:textFill>
        </w:rPr>
      </w:pPr>
      <w:r>
        <w:t>Third, during proofreading, AI suggested shorter wording for the dashboard measures and safeguards. I checked that the baseline, targets, review period and small-group privacy rule remained explicit, and kept citations beside the claims they support. I learned to accept edits only when they preserve my meaning and evidence; responsibility for the final text remains mine (Schön, 1983; Raisch and Krakowski, 2021; Tambe, Cappelli and Yakubovich, 2019).</w:t>
      </w:r>
    </w:p>
    <w:p w14:paraId="682115CA">
      <w:pPr>
        <w:spacing w:before="80" w:after="80"/>
        <w:jc w:val="center"/>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drawing>
          <wp:inline distT="0" distB="0" distL="114300" distR="114300">
            <wp:extent cx="5943600" cy="25095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15"/>
                    <a:stretch>
                      <a:fillRect/>
                    </a:stretch>
                  </pic:blipFill>
                  <pic:spPr>
                    <a:xfrm>
                      <a:off x="0" y="0"/>
                      <a:ext cx="5943600" cy="2509520"/>
                    </a:xfrm>
                    <a:prstGeom prst="rect">
                      <a:avLst/>
                    </a:prstGeom>
                  </pic:spPr>
                </pic:pic>
              </a:graphicData>
            </a:graphic>
          </wp:inline>
        </w:drawing>
      </w:r>
    </w:p>
    <w:p w14:paraId="059B0CE1">
      <w:pPr>
        <w:jc w:val="center"/>
        <w:rPr>
          <w:rFonts w:hint="default" w:ascii="Arial" w:hAnsi="Arial" w:cs="Arial"/>
          <w:color w:val="000000" w:themeColor="text1"/>
          <w:lang w:val="en-GB"/>
          <w14:textFill>
            <w14:solidFill>
              <w14:schemeClr w14:val="tx1"/>
            </w14:solidFill>
          </w14:textFill>
        </w:rPr>
      </w:pPr>
      <w:r>
        <w:rPr>
          <w:rFonts w:hint="default" w:ascii="Arial" w:hAnsi="Arial" w:cs="Arial"/>
          <w:b/>
          <w:bCs/>
          <w:color w:val="000000" w:themeColor="text1"/>
          <w:sz w:val="16"/>
          <w:szCs w:val="16"/>
          <w14:textFill>
            <w14:solidFill>
              <w14:schemeClr w14:val="tx1"/>
            </w14:solidFill>
          </w14:textFill>
        </w:rPr>
        <w:t xml:space="preserve">Figure </w:t>
      </w:r>
      <w:r>
        <w:rPr>
          <w:rFonts w:hint="default" w:ascii="Arial" w:hAnsi="Arial" w:cs="Arial"/>
          <w:b/>
          <w:bCs/>
          <w:color w:val="000000" w:themeColor="text1"/>
          <w:sz w:val="16"/>
          <w:szCs w:val="16"/>
          <w:lang w:val="en-GB"/>
          <w14:textFill>
            <w14:solidFill>
              <w14:schemeClr w14:val="tx1"/>
            </w14:solidFill>
          </w14:textFill>
        </w:rPr>
        <w:t>10</w:t>
      </w:r>
      <w:r>
        <w:rPr>
          <w:rFonts w:hint="default" w:ascii="Arial" w:hAnsi="Arial" w:cs="Arial"/>
          <w:b/>
          <w:bCs/>
          <w:color w:val="000000" w:themeColor="text1"/>
          <w:sz w:val="16"/>
          <w:szCs w:val="16"/>
          <w14:textFill>
            <w14:solidFill>
              <w14:schemeClr w14:val="tx1"/>
            </w14:solidFill>
          </w14:textFill>
        </w:rPr>
        <w:t>. How I used permitted AI support with human review and final academic responsibility</w:t>
      </w:r>
      <w:r>
        <w:rPr>
          <w:rFonts w:hint="default" w:ascii="Arial" w:hAnsi="Arial" w:cs="Arial"/>
          <w:b/>
          <w:bCs/>
          <w:color w:val="000000" w:themeColor="text1"/>
          <w:sz w:val="16"/>
          <w:szCs w:val="16"/>
          <w:lang w:val="en-GB"/>
          <w14:textFill>
            <w14:solidFill>
              <w14:schemeClr w14:val="tx1"/>
            </w14:solidFill>
          </w14:textFill>
        </w:rPr>
        <w:t>. Source: Author-created synthesis based on Raisch and Krakowski (2021) and Tambe, Cappelli and Yakubovich (2019</w:t>
      </w:r>
      <w:r>
        <w:rPr>
          <w:rFonts w:hint="default" w:ascii="Arial" w:hAnsi="Arial" w:cs="Arial"/>
          <w:color w:val="000000" w:themeColor="text1"/>
          <w:sz w:val="16"/>
          <w:szCs w:val="16"/>
          <w:lang w:val="en-GB"/>
          <w14:textFill>
            <w14:solidFill>
              <w14:schemeClr w14:val="tx1"/>
            </w14:solidFill>
          </w14:textFill>
        </w:rPr>
        <w:t>)</w:t>
      </w:r>
      <w:r>
        <w:rPr>
          <w:rFonts w:hint="default" w:ascii="Arial" w:hAnsi="Arial" w:cs="Arial"/>
          <w:color w:val="000000" w:themeColor="text1"/>
          <w14:textFill>
            <w14:solidFill>
              <w14:schemeClr w14:val="tx1"/>
            </w14:solidFill>
          </w14:textFill>
        </w:rPr>
        <w:t>.</w:t>
      </w:r>
    </w:p>
    <w:bookmarkEnd w:id="25"/>
    <w:p w14:paraId="329A04BB">
      <w:pPr>
        <w:pStyle w:val="4"/>
        <w:keepNext/>
        <w:spacing w:line="360" w:lineRule="auto"/>
        <w:rPr>
          <w:rFonts w:hint="default" w:ascii="Arial" w:hAnsi="Arial" w:eastAsia="Arial" w:cs="Arial"/>
          <w:color w:val="000000" w:themeColor="text1"/>
          <w14:textFill>
            <w14:solidFill>
              <w14:schemeClr w14:val="tx1"/>
            </w14:solidFill>
          </w14:textFill>
        </w:rPr>
      </w:pPr>
      <w:bookmarkStart w:id="26" w:name="_Toc12315"/>
      <w:bookmarkStart w:id="27" w:name="personal-capability-development-plan"/>
      <w:r>
        <w:rPr>
          <w:rFonts w:hint="default" w:ascii="Arial" w:hAnsi="Arial" w:eastAsia="Arial" w:cs="Arial"/>
          <w:b/>
          <w:color w:val="000000" w:themeColor="text1"/>
          <w:sz w:val="24"/>
          <w14:textFill>
            <w14:solidFill>
              <w14:schemeClr w14:val="tx1"/>
            </w14:solidFill>
          </w14:textFill>
        </w:rPr>
        <w:t>1.5.3</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Personal capability development plan</w:t>
      </w:r>
      <w:bookmarkEnd w:id="26"/>
    </w:p>
    <w:p w14:paraId="0A29C3DD">
      <w:pPr>
        <w:spacing w:after="120" w:line="360" w:lineRule="auto"/>
        <w:rPr>
          <w:rFonts w:hint="default" w:ascii="Arial" w:hAnsi="Arial" w:eastAsia="Arial" w:cs="Arial"/>
          <w:color w:val="000000" w:themeColor="text1"/>
          <w14:textFill>
            <w14:solidFill>
              <w14:schemeClr w14:val="tx1"/>
            </w14:solidFill>
          </w14:textFill>
        </w:rPr>
      </w:pPr>
      <w:r>
        <w:rPr>
          <w:rFonts w:hint="default" w:ascii="Arial" w:hAnsi="Arial" w:eastAsia="Arial" w:cs="Arial"/>
          <w:b/>
          <w:bCs/>
          <w:color w:val="000000" w:themeColor="text1"/>
          <w:sz w:val="24"/>
          <w14:textFill>
            <w14:solidFill>
              <w14:schemeClr w14:val="tx1"/>
            </w14:solidFill>
          </w14:textFill>
        </w:rPr>
        <w:t>Personal capability development plan:</w:t>
      </w:r>
    </w:p>
    <w:p w14:paraId="584A7E7C">
      <w:pPr>
        <w:numPr>
          <w:ilvl w:val="0"/>
          <w:numId w:val="8"/>
        </w:numPr>
        <w:spacing w:after="120" w:line="360" w:lineRule="auto"/>
        <w:rPr>
          <w:rFonts w:hint="default" w:ascii="Arial" w:hAnsi="Arial" w:eastAsia="Arial" w:cs="Arial"/>
          <w:color w:val="000000" w:themeColor="text1"/>
          <w14:textFill>
            <w14:solidFill>
              <w14:schemeClr w14:val="tx1"/>
            </w14:solidFill>
          </w14:textFill>
        </w:rPr>
      </w:pPr>
      <w:r>
        <w:t>AI and HR data: Complete a short data and responsible-AI course; within six months, build a dashboard with public or practice data, explain its limits and seek peer or tutor review.</w:t>
      </w:r>
    </w:p>
    <w:p w14:paraId="3367C2B0">
      <w:pPr>
        <w:numPr>
          <w:ilvl w:val="0"/>
          <w:numId w:val="8"/>
        </w:numPr>
        <w:spacing w:after="120" w:line="360" w:lineRule="auto"/>
        <w:rPr>
          <w:rFonts w:hint="default" w:ascii="Arial" w:hAnsi="Arial" w:eastAsia="Arial" w:cs="Arial"/>
          <w:color w:val="000000" w:themeColor="text1"/>
          <w14:textFill>
            <w14:solidFill>
              <w14:schemeClr w14:val="tx1"/>
            </w14:solidFill>
          </w14:textFill>
        </w:rPr>
      </w:pPr>
      <w:r>
        <w:t>Critical thinking: Each month, compare two sources, assess their evidence and differences, and check AI summaries against originals.</w:t>
      </w:r>
    </w:p>
    <w:p w14:paraId="1DB50C6A">
      <w:pPr>
        <w:numPr>
          <w:ilvl w:val="0"/>
          <w:numId w:val="8"/>
        </w:numPr>
        <w:spacing w:after="120" w:line="360" w:lineRule="auto"/>
        <w:rPr>
          <w:rFonts w:hint="default" w:ascii="Arial" w:hAnsi="Arial" w:eastAsia="Arial" w:cs="Arial"/>
          <w:color w:val="000000" w:themeColor="text1"/>
          <w14:textFill>
            <w14:solidFill>
              <w14:schemeClr w14:val="tx1"/>
            </w14:solidFill>
          </w14:textFill>
        </w:rPr>
      </w:pPr>
      <w:r>
        <w:t>Communication and visuals: Create one presentation or evidence-based image each term; use feedback to improve clarity, access and accuracy.</w:t>
      </w:r>
    </w:p>
    <w:p w14:paraId="010AB967">
      <w:pPr>
        <w:numPr>
          <w:ilvl w:val="0"/>
          <w:numId w:val="8"/>
        </w:numPr>
        <w:spacing w:after="120" w:line="360" w:lineRule="auto"/>
        <w:rPr>
          <w:rFonts w:hint="default" w:ascii="Arial" w:hAnsi="Arial" w:eastAsia="Arial" w:cs="Arial"/>
          <w:color w:val="000000" w:themeColor="text1"/>
          <w14:textFill>
            <w14:solidFill>
              <w14:schemeClr w14:val="tx1"/>
            </w14:solidFill>
          </w14:textFill>
        </w:rPr>
      </w:pPr>
      <w:r>
        <w:t>Ethical judgement: Study equality, privacy, wellbeing and employment relations; within six months, apply an ethics checklist to two HR data cases, checking bias, explainability, human review and data minimisation.</w:t>
      </w:r>
    </w:p>
    <w:p w14:paraId="0340B10F">
      <w:pPr>
        <w:numPr>
          <w:ilvl w:val="0"/>
          <w:numId w:val="8"/>
        </w:numPr>
        <w:spacing w:after="120" w:line="360" w:lineRule="auto"/>
        <w:rPr>
          <w:rFonts w:hint="default" w:ascii="Arial" w:hAnsi="Arial" w:eastAsia="Arial" w:cs="Arial"/>
          <w:color w:val="000000" w:themeColor="text1"/>
          <w14:textFill>
            <w14:solidFill>
              <w14:schemeClr w14:val="tx1"/>
            </w14:solidFill>
          </w14:textFill>
        </w:rPr>
      </w:pPr>
      <w:r>
        <w:t>Consulting and leadership: Within a year, lead a team discussion or project review, seek feedback on listening and inclusion, and select one skill to improve.</w:t>
      </w:r>
    </w:p>
    <w:p w14:paraId="694E48DD">
      <w:pPr>
        <w:spacing w:after="120" w:line="360" w:lineRule="auto"/>
        <w:rPr>
          <w:rFonts w:hint="default" w:ascii="Arial" w:hAnsi="Arial" w:eastAsia="Arial" w:cs="Arial"/>
          <w:color w:val="000000" w:themeColor="text1"/>
          <w14:textFill>
            <w14:solidFill>
              <w14:schemeClr w14:val="tx1"/>
            </w14:solidFill>
          </w14:textFill>
        </w:rPr>
      </w:pPr>
      <w:r>
        <w:t>Over the next year, I will build data and responsible-AI skills, then improve communication and facilitation through presentations and a team project, using feedback to track progress.</w:t>
      </w:r>
    </w:p>
    <w:p w14:paraId="38B6BEE1">
      <w:pPr>
        <w:jc w:val="center"/>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669280" cy="1720850"/>
            <wp:effectExtent l="0" t="0" r="762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6"/>
                    <a:stretch>
                      <a:fillRect/>
                    </a:stretch>
                  </pic:blipFill>
                  <pic:spPr>
                    <a:xfrm>
                      <a:off x="0" y="0"/>
                      <a:ext cx="5669280" cy="1721426"/>
                    </a:xfrm>
                    <a:prstGeom prst="rect">
                      <a:avLst/>
                    </a:prstGeom>
                  </pic:spPr>
                </pic:pic>
              </a:graphicData>
            </a:graphic>
          </wp:inline>
        </w:drawing>
      </w:r>
    </w:p>
    <w:p w14:paraId="51ECF102">
      <w:pPr>
        <w:jc w:val="center"/>
        <w:rPr>
          <w:rFonts w:hint="default" w:ascii="Arial" w:hAnsi="Arial" w:cs="Arial"/>
          <w:b/>
          <w:bCs/>
          <w:color w:val="000000" w:themeColor="text1"/>
          <w:sz w:val="16"/>
          <w:szCs w:val="16"/>
          <w:lang w:val="en-GB"/>
          <w14:textFill>
            <w14:solidFill>
              <w14:schemeClr w14:val="tx1"/>
            </w14:solidFill>
          </w14:textFill>
        </w:rPr>
      </w:pPr>
      <w:r>
        <w:rPr>
          <w:rFonts w:hint="default" w:ascii="Arial" w:hAnsi="Arial" w:eastAsia="Arial" w:cs="Arial"/>
          <w:b/>
          <w:bCs/>
          <w:color w:val="000000" w:themeColor="text1"/>
          <w:sz w:val="16"/>
          <w:szCs w:val="16"/>
          <w14:textFill>
            <w14:solidFill>
              <w14:schemeClr w14:val="tx1"/>
            </w14:solidFill>
          </w14:textFill>
        </w:rPr>
        <w:t xml:space="preserve">Figure </w:t>
      </w:r>
      <w:r>
        <w:rPr>
          <w:rFonts w:hint="default" w:ascii="Arial" w:hAnsi="Arial" w:eastAsia="Arial" w:cs="Arial"/>
          <w:b/>
          <w:bCs/>
          <w:color w:val="000000" w:themeColor="text1"/>
          <w:sz w:val="16"/>
          <w:szCs w:val="16"/>
          <w:lang w:val="en-GB"/>
          <w14:textFill>
            <w14:solidFill>
              <w14:schemeClr w14:val="tx1"/>
            </w14:solidFill>
          </w14:textFill>
        </w:rPr>
        <w:t>11</w:t>
      </w:r>
      <w:r>
        <w:rPr>
          <w:rFonts w:hint="default" w:ascii="Arial" w:hAnsi="Arial" w:eastAsia="Arial" w:cs="Arial"/>
          <w:b/>
          <w:bCs/>
          <w:color w:val="000000" w:themeColor="text1"/>
          <w:sz w:val="16"/>
          <w:szCs w:val="16"/>
          <w14:textFill>
            <w14:solidFill>
              <w14:schemeClr w14:val="tx1"/>
            </w14:solidFill>
          </w14:textFill>
        </w:rPr>
        <w:t>. Personal capability development plan</w:t>
      </w:r>
      <w:r>
        <w:rPr>
          <w:rFonts w:hint="default" w:ascii="Arial" w:hAnsi="Arial" w:eastAsia="Arial" w:cs="Arial"/>
          <w:b/>
          <w:bCs/>
          <w:color w:val="000000" w:themeColor="text1"/>
          <w:sz w:val="16"/>
          <w:szCs w:val="16"/>
          <w:lang w:val="en-GB"/>
          <w14:textFill>
            <w14:solidFill>
              <w14:schemeClr w14:val="tx1"/>
            </w14:solidFill>
          </w14:textFill>
        </w:rPr>
        <w:t>. Source: Author-created synthesis based on the personal capability development plan described in this assessment.</w:t>
      </w:r>
    </w:p>
    <w:bookmarkEnd w:id="21"/>
    <w:bookmarkEnd w:id="27"/>
    <w:p w14:paraId="675D39CA">
      <w:pPr>
        <w:rPr>
          <w:rFonts w:hint="default" w:ascii="Arial" w:hAnsi="Arial" w:eastAsia="Arial" w:cs="Arial"/>
          <w:b/>
          <w:color w:val="000000" w:themeColor="text1"/>
          <w:sz w:val="24"/>
          <w14:textFill>
            <w14:solidFill>
              <w14:schemeClr w14:val="tx1"/>
            </w14:solidFill>
          </w14:textFill>
        </w:rPr>
      </w:pPr>
      <w:bookmarkStart w:id="28" w:name="_Toc25054"/>
      <w:bookmarkStart w:id="29" w:name="conclusion"/>
      <w:r>
        <w:rPr>
          <w:rFonts w:hint="default" w:ascii="Arial" w:hAnsi="Arial" w:eastAsia="Arial" w:cs="Arial"/>
          <w:b/>
          <w:color w:val="000000" w:themeColor="text1"/>
          <w:sz w:val="24"/>
          <w14:textFill>
            <w14:solidFill>
              <w14:schemeClr w14:val="tx1"/>
            </w14:solidFill>
          </w14:textFill>
        </w:rPr>
        <w:br w:type="page"/>
      </w:r>
    </w:p>
    <w:p w14:paraId="7DF52076">
      <w:pPr>
        <w:pStyle w:val="3"/>
        <w:keepNext/>
        <w:spacing w:line="360" w:lineRule="auto"/>
        <w:rPr>
          <w:rFonts w:hint="default" w:ascii="Arial" w:hAnsi="Arial" w:eastAsia="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1.6</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Conclusion</w:t>
      </w:r>
      <w:bookmarkEnd w:id="28"/>
    </w:p>
    <w:p w14:paraId="50BAFE28">
      <w:pPr>
        <w:pStyle w:val="13"/>
        <w:spacing w:after="120" w:line="360" w:lineRule="auto"/>
        <w:rPr>
          <w:rFonts w:hint="default" w:ascii="Arial" w:hAnsi="Arial" w:eastAsia="Arial" w:cs="Arial"/>
          <w:color w:val="000000" w:themeColor="text1"/>
          <w:lang w:val="en-GB"/>
          <w14:textFill>
            <w14:solidFill>
              <w14:schemeClr w14:val="tx1"/>
            </w14:solidFill>
          </w14:textFill>
        </w:rPr>
      </w:pPr>
      <w:r>
        <w:t>NHSX should link controlled agile work and fair hybrid practices with clear careers, learning, psychological safety and sustainable performance (Appelbaum et al., 2000; Rigby, Sutherland and Noble, 2018; Wang et al., 2021; Trist and Bamforth, 1951; Edmondson, 1999; Collings, Scullion and Vaiman, 2015).</w:t>
      </w:r>
    </w:p>
    <w:p w14:paraId="3AC79426">
      <w:pPr>
        <w:pStyle w:val="13"/>
        <w:spacing w:after="120" w:line="360" w:lineRule="auto"/>
        <w:rPr>
          <w:rFonts w:hint="default" w:ascii="Arial" w:hAnsi="Arial" w:eastAsia="Arial" w:cs="Arial"/>
          <w:color w:val="000000" w:themeColor="text1"/>
          <w:lang w:val="en-GB"/>
          <w14:textFill>
            <w14:solidFill>
              <w14:schemeClr w14:val="tx1"/>
            </w14:solidFill>
          </w14:textFill>
        </w:rPr>
      </w:pPr>
      <w:r>
        <w:t>AI can support HR decisions while human judgement and reflection remain central (Tambe, Cappelli and Yakubovich, 2019; Raisch and Krakowski, 2021; Schön, 1983). Strong work design and talent development can improve innovation, collaboration, retention and responsible health technology (Appelbaum et al., 2000; Collings, Scullion and Vaiman, 2015).</w:t>
      </w:r>
    </w:p>
    <w:p w14:paraId="0AB1B942">
      <w:pPr>
        <w:jc w:val="center"/>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drawing>
          <wp:inline distT="0" distB="0" distL="114300" distR="114300">
            <wp:extent cx="5669280" cy="1820545"/>
            <wp:effectExtent l="0" t="0" r="762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7"/>
                    <a:stretch>
                      <a:fillRect/>
                    </a:stretch>
                  </pic:blipFill>
                  <pic:spPr>
                    <a:xfrm>
                      <a:off x="0" y="0"/>
                      <a:ext cx="5669280" cy="1820952"/>
                    </a:xfrm>
                    <a:prstGeom prst="rect">
                      <a:avLst/>
                    </a:prstGeom>
                  </pic:spPr>
                </pic:pic>
              </a:graphicData>
            </a:graphic>
          </wp:inline>
        </w:drawing>
      </w:r>
    </w:p>
    <w:p w14:paraId="60AB6E6D">
      <w:pPr>
        <w:jc w:val="center"/>
        <w:rPr>
          <w:rFonts w:hint="default" w:ascii="Arial" w:hAnsi="Arial" w:cs="Arial"/>
          <w:b/>
          <w:bCs/>
          <w:color w:val="000000" w:themeColor="text1"/>
          <w:sz w:val="16"/>
          <w:szCs w:val="16"/>
          <w:lang w:val="en-GB"/>
          <w14:textFill>
            <w14:solidFill>
              <w14:schemeClr w14:val="tx1"/>
            </w14:solidFill>
          </w14:textFill>
        </w:rPr>
      </w:pPr>
      <w:r>
        <w:rPr>
          <w:rFonts w:hint="default" w:ascii="Arial" w:hAnsi="Arial" w:eastAsia="Arial" w:cs="Arial"/>
          <w:b/>
          <w:bCs/>
          <w:color w:val="000000" w:themeColor="text1"/>
          <w:sz w:val="16"/>
          <w:szCs w:val="16"/>
          <w14:textFill>
            <w14:solidFill>
              <w14:schemeClr w14:val="tx1"/>
            </w14:solidFill>
          </w14:textFill>
        </w:rPr>
        <w:t>Figure 1</w:t>
      </w:r>
      <w:r>
        <w:rPr>
          <w:rFonts w:hint="default" w:ascii="Arial" w:hAnsi="Arial" w:eastAsia="Arial" w:cs="Arial"/>
          <w:b/>
          <w:bCs/>
          <w:color w:val="000000" w:themeColor="text1"/>
          <w:sz w:val="16"/>
          <w:szCs w:val="16"/>
          <w:lang w:val="en-GB"/>
          <w14:textFill>
            <w14:solidFill>
              <w14:schemeClr w14:val="tx1"/>
            </w14:solidFill>
          </w14:textFill>
        </w:rPr>
        <w:t>2</w:t>
      </w:r>
      <w:r>
        <w:rPr>
          <w:rFonts w:hint="default" w:ascii="Arial" w:hAnsi="Arial" w:eastAsia="Arial" w:cs="Arial"/>
          <w:b/>
          <w:bCs/>
          <w:color w:val="000000" w:themeColor="text1"/>
          <w:sz w:val="16"/>
          <w:szCs w:val="16"/>
          <w14:textFill>
            <w14:solidFill>
              <w14:schemeClr w14:val="tx1"/>
            </w14:solidFill>
          </w14:textFill>
        </w:rPr>
        <w:t>. The integrated NHSX response</w:t>
      </w:r>
      <w:r>
        <w:rPr>
          <w:rFonts w:hint="default" w:ascii="Arial" w:hAnsi="Arial" w:eastAsia="Arial" w:cs="Arial"/>
          <w:b/>
          <w:bCs/>
          <w:color w:val="000000" w:themeColor="text1"/>
          <w:sz w:val="16"/>
          <w:szCs w:val="16"/>
          <w:lang w:val="en-GB"/>
          <w14:textFill>
            <w14:solidFill>
              <w14:schemeClr w14:val="tx1"/>
            </w14:solidFill>
          </w14:textFill>
        </w:rPr>
        <w:t>. Source: Author-created synthesis based on Appelbaum et al. (2000), Collings, Scullion and Vaiman (2015), and Raisch and Krakowski (2021).</w:t>
      </w:r>
    </w:p>
    <w:bookmarkEnd w:id="29"/>
    <w:p w14:paraId="45713139">
      <w:pPr>
        <w:pStyle w:val="3"/>
        <w:keepNext/>
        <w:spacing w:line="360" w:lineRule="auto"/>
        <w:rPr>
          <w:rFonts w:hint="default" w:ascii="Arial" w:hAnsi="Arial" w:eastAsia="Arial" w:cs="Arial"/>
          <w:color w:val="000000" w:themeColor="text1"/>
          <w14:textFill>
            <w14:solidFill>
              <w14:schemeClr w14:val="tx1"/>
            </w14:solidFill>
          </w14:textFill>
        </w:rPr>
      </w:pPr>
      <w:bookmarkStart w:id="30" w:name="_Toc9809"/>
      <w:bookmarkStart w:id="31" w:name="reference-list"/>
      <w:r>
        <w:rPr>
          <w:rFonts w:hint="default" w:ascii="Arial" w:hAnsi="Arial" w:eastAsia="Arial" w:cs="Arial"/>
          <w:b/>
          <w:color w:val="000000" w:themeColor="text1"/>
          <w:sz w:val="24"/>
          <w14:textFill>
            <w14:solidFill>
              <w14:schemeClr w14:val="tx1"/>
            </w14:solidFill>
          </w14:textFill>
        </w:rPr>
        <w:t>1.7</w:t>
      </w:r>
      <w:r>
        <w:rPr>
          <w:rFonts w:hint="default" w:ascii="Arial" w:hAnsi="Arial" w:eastAsia="Arial" w:cs="Arial"/>
          <w:b/>
          <w:color w:val="000000" w:themeColor="text1"/>
          <w:sz w:val="24"/>
          <w14:textFill>
            <w14:solidFill>
              <w14:schemeClr w14:val="tx1"/>
            </w14:solidFill>
          </w14:textFill>
        </w:rPr>
        <w:tab/>
      </w:r>
      <w:r>
        <w:rPr>
          <w:rFonts w:hint="default" w:ascii="Arial" w:hAnsi="Arial" w:eastAsia="Arial" w:cs="Arial"/>
          <w:b/>
          <w:color w:val="000000" w:themeColor="text1"/>
          <w:sz w:val="24"/>
          <w14:textFill>
            <w14:solidFill>
              <w14:schemeClr w14:val="tx1"/>
            </w14:solidFill>
          </w14:textFill>
        </w:rPr>
        <w:t>Reference List</w:t>
      </w:r>
      <w:bookmarkEnd w:id="30"/>
    </w:p>
    <w:p w14:paraId="37801B0E">
      <w:pPr>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Appelbaum, E. </w:t>
      </w:r>
      <w:r>
        <w:rPr>
          <w:i/>
        </w:rPr>
        <w:t>et al.</w:t>
      </w:r>
      <w:r>
        <w:t xml:space="preserve"> (2000) </w:t>
      </w:r>
      <w:r>
        <w:rPr>
          <w:i/>
        </w:rPr>
        <w:t>Manufacturing advantage: why high-performance work systems pay off</w:t>
      </w:r>
      <w:r>
        <w:t>. Ithaca: Cornell University Press.</w:t>
      </w:r>
    </w:p>
    <w:p w14:paraId="5B33B4BE">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Boxall, P. and Macky, K. (2009) 'Research and theory on high-performance work systems: progressing the high-involvement stream', </w:t>
      </w:r>
      <w:r>
        <w:rPr>
          <w:i/>
        </w:rPr>
        <w:t>Human Resource Management Journal</w:t>
      </w:r>
      <w:r>
        <w:t xml:space="preserve">, </w:t>
      </w:r>
      <w:r>
        <w:rPr>
          <w:i/>
        </w:rPr>
        <w:t>19</w:t>
      </w:r>
      <w:r>
        <w:t>(1), pp. 3–23. doi: https://doi.org/10.1111/j.1748-8583.2008.00082.x</w:t>
      </w:r>
    </w:p>
    <w:p w14:paraId="10E82474">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Collings, D.G., Scullion, H. and Vaiman, V. (2015) 'Talent management: progress and prospects', </w:t>
      </w:r>
      <w:r>
        <w:rPr>
          <w:i/>
        </w:rPr>
        <w:t>Human Resource Management Review</w:t>
      </w:r>
      <w:r>
        <w:t xml:space="preserve">, </w:t>
      </w:r>
      <w:r>
        <w:rPr>
          <w:i/>
        </w:rPr>
        <w:t>25</w:t>
      </w:r>
      <w:r>
        <w:t>(3), pp. 233–235. doi: https://doi.org/10.1016/j.hrmr.2015.04.005</w:t>
      </w:r>
    </w:p>
    <w:p w14:paraId="42D00F65">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Deci, E.L. and Ryan, R.M. (2000) 'The what and why of goal pursuits: human needs and the self-determination of behaviour', </w:t>
      </w:r>
      <w:r>
        <w:rPr>
          <w:i/>
        </w:rPr>
        <w:t>Psychological Inquiry</w:t>
      </w:r>
      <w:r>
        <w:t xml:space="preserve">, </w:t>
      </w:r>
      <w:r>
        <w:rPr>
          <w:i/>
        </w:rPr>
        <w:t>11</w:t>
      </w:r>
      <w:r>
        <w:t>(4), pp. 227–268. doi: https://doi.org/10.1207/S15327965PLI1104_01</w:t>
      </w:r>
    </w:p>
    <w:p w14:paraId="73AA90D9">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Dweck, C.S. (2006) </w:t>
      </w:r>
      <w:r>
        <w:rPr>
          <w:i/>
        </w:rPr>
        <w:t>Mindset: the new psychology of success</w:t>
      </w:r>
      <w:r>
        <w:t>. New York: Random House.</w:t>
      </w:r>
    </w:p>
    <w:p w14:paraId="5E4020EB">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Edmondson, A. (1999) 'Psychological safety and learning behaviour in work teams', </w:t>
      </w:r>
      <w:r>
        <w:rPr>
          <w:i/>
        </w:rPr>
        <w:t>Administrative Science Quarterly</w:t>
      </w:r>
      <w:r>
        <w:t xml:space="preserve">, </w:t>
      </w:r>
      <w:r>
        <w:rPr>
          <w:i/>
        </w:rPr>
        <w:t>44</w:t>
      </w:r>
      <w:r>
        <w:t>(2), pp. 350–383. doi: https://doi.org/10.2307/2666999</w:t>
      </w:r>
    </w:p>
    <w:p w14:paraId="4775E4E9">
      <w:pPr>
        <w:spacing w:after="80"/>
        <w:ind w:left="0" w:hanging="360"/>
        <w:rPr>
          <w:rFonts w:hint="default" w:ascii="Arial" w:hAnsi="Arial" w:cs="Arial"/>
          <w:color w:val="000000" w:themeColor="text1"/>
          <w14:textFill>
            <w14:solidFill>
              <w14:schemeClr w14:val="tx1"/>
            </w14:solidFill>
          </w14:textFill>
        </w:rPr>
      </w:pPr>
      <w:r>
        <w:t xml:space="preserve">Grailey, K.E. </w:t>
      </w:r>
      <w:r>
        <w:rPr>
          <w:i/>
        </w:rPr>
        <w:t>et al.</w:t>
      </w:r>
      <w:r>
        <w:t xml:space="preserve"> (2021) 'The presence and potential impact of psychological safety in the healthcare setting: an evidence synthesis', </w:t>
      </w:r>
      <w:r>
        <w:rPr>
          <w:i/>
        </w:rPr>
        <w:t>BMC Health Services Research</w:t>
      </w:r>
      <w:r>
        <w:t xml:space="preserve">, </w:t>
      </w:r>
      <w:r>
        <w:rPr>
          <w:i/>
        </w:rPr>
        <w:t>21</w:t>
      </w:r>
      <w:r>
        <w:t>, 773. doi: https://doi.org/10.1186/s12913-021-06740-6</w:t>
      </w:r>
    </w:p>
    <w:p w14:paraId="526CFC1B">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rPr>
          <w:i w:val="0"/>
        </w:rPr>
        <w:t xml:space="preserve">Malik, A., Budhwar, P., Mohan, H. and Srikanth, N.R. (2023) 'Employee experience – the missing link for engaging employees: Insights from an MNE’s AI-based HR ecosystem', </w:t>
      </w:r>
      <w:r>
        <w:rPr>
          <w:i/>
        </w:rPr>
        <w:t>Human Resource Management</w:t>
      </w:r>
      <w:r>
        <w:rPr>
          <w:i w:val="0"/>
        </w:rPr>
        <w:t xml:space="preserve">, </w:t>
      </w:r>
      <w:r>
        <w:rPr>
          <w:i/>
        </w:rPr>
        <w:t>62</w:t>
      </w:r>
      <w:r>
        <w:rPr>
          <w:i w:val="0"/>
        </w:rPr>
        <w:t>(1), pp. 97–115. doi: https://doi.org/10.1002/hrm.22133</w:t>
      </w:r>
    </w:p>
    <w:p w14:paraId="020967B5">
      <w:pPr>
        <w:spacing w:after="80"/>
        <w:ind w:left="0" w:hanging="360"/>
        <w:rPr>
          <w:rFonts w:hint="default" w:ascii="Arial" w:hAnsi="Arial" w:cs="Arial"/>
          <w:color w:val="000000" w:themeColor="text1"/>
          <w14:textFill>
            <w14:solidFill>
              <w14:schemeClr w14:val="tx1"/>
            </w14:solidFill>
          </w14:textFill>
        </w:rPr>
      </w:pPr>
      <w:r>
        <w:t xml:space="preserve">Parker, S.K., Morgeson, F.P. and Johns, G. (2017) 'One hundred years of work design research: looking back and looking forward', </w:t>
      </w:r>
      <w:r>
        <w:rPr>
          <w:i/>
        </w:rPr>
        <w:t>Journal of Applied Psychology</w:t>
      </w:r>
      <w:r>
        <w:t xml:space="preserve">, </w:t>
      </w:r>
      <w:r>
        <w:rPr>
          <w:i/>
        </w:rPr>
        <w:t>102</w:t>
      </w:r>
      <w:r>
        <w:t>(3), pp. 403–420. doi: https://doi.org/10.1037/apl0000106</w:t>
      </w:r>
    </w:p>
    <w:p w14:paraId="56E7CA4F">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Raisch, S. and Krakowski, S. (2021) 'Artificial intelligence and management: the automation-augmentation paradox', </w:t>
      </w:r>
      <w:r>
        <w:rPr>
          <w:i/>
        </w:rPr>
        <w:t>Academy of Management Review</w:t>
      </w:r>
      <w:r>
        <w:t xml:space="preserve">, </w:t>
      </w:r>
      <w:r>
        <w:rPr>
          <w:i/>
        </w:rPr>
        <w:t>46</w:t>
      </w:r>
      <w:r>
        <w:t>(1), pp. 192–210. doi: https://doi.org/10.5465/amr.2018.0072</w:t>
      </w:r>
    </w:p>
    <w:p w14:paraId="2422E712">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Rigby, D.K., Sutherland, J. and Noble, A. (2018) 'Agile at scale', </w:t>
      </w:r>
      <w:r>
        <w:rPr>
          <w:i/>
        </w:rPr>
        <w:t>Harvard Business Review</w:t>
      </w:r>
      <w:r>
        <w:t xml:space="preserve">, </w:t>
      </w:r>
      <w:r>
        <w:rPr>
          <w:i/>
        </w:rPr>
        <w:t>96</w:t>
      </w:r>
      <w:r>
        <w:t>(3), pp. 88–96.</w:t>
      </w:r>
    </w:p>
    <w:p w14:paraId="70581A23">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Schön, D.A. (1983) </w:t>
      </w:r>
      <w:r>
        <w:rPr>
          <w:i/>
        </w:rPr>
        <w:t>The reflective practitioner: how professionals think in action</w:t>
      </w:r>
      <w:r>
        <w:t>. New York: Basic Books.</w:t>
      </w:r>
    </w:p>
    <w:p w14:paraId="0EA430AF">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Senge, P.M. (1990) </w:t>
      </w:r>
      <w:r>
        <w:rPr>
          <w:i/>
        </w:rPr>
        <w:t>The fifth discipline: the art and practice of the learning organization</w:t>
      </w:r>
      <w:r>
        <w:t>. New York: Doubleday.</w:t>
      </w:r>
    </w:p>
    <w:p w14:paraId="4FAB42D3">
      <w:pPr>
        <w:spacing w:after="80"/>
        <w:ind w:left="0" w:hanging="360"/>
        <w:rPr>
          <w:rFonts w:hint="default" w:ascii="Arial" w:hAnsi="Arial" w:cs="Arial"/>
          <w:color w:val="000000" w:themeColor="text1"/>
          <w14:textFill>
            <w14:solidFill>
              <w14:schemeClr w14:val="tx1"/>
            </w14:solidFill>
          </w14:textFill>
        </w:rPr>
      </w:pPr>
      <w:r>
        <w:t xml:space="preserve">Stahl, G.K. </w:t>
      </w:r>
      <w:r>
        <w:rPr>
          <w:i/>
        </w:rPr>
        <w:t>et al.</w:t>
      </w:r>
      <w:r>
        <w:t xml:space="preserve"> (2010) 'Unravelling the effects of cultural diversity in teams: a meta-analysis of research on multicultural work groups', </w:t>
      </w:r>
      <w:r>
        <w:rPr>
          <w:i/>
        </w:rPr>
        <w:t>Journal of International Business Studies</w:t>
      </w:r>
      <w:r>
        <w:t xml:space="preserve">, </w:t>
      </w:r>
      <w:r>
        <w:rPr>
          <w:i/>
        </w:rPr>
        <w:t>41</w:t>
      </w:r>
      <w:r>
        <w:t>(4), pp. 690-709. doi: https://doi.org/10.1057/jibs.2009.85</w:t>
      </w:r>
    </w:p>
    <w:p w14:paraId="5C2ED415">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Tambe, P., Cappelli, P. and Yakubovich, V. (2019) 'Artificial intelligence in human resources management: challenges and a path forward', </w:t>
      </w:r>
      <w:r>
        <w:rPr>
          <w:i/>
        </w:rPr>
        <w:t>California Management Review</w:t>
      </w:r>
      <w:r>
        <w:t xml:space="preserve">, </w:t>
      </w:r>
      <w:r>
        <w:rPr>
          <w:i/>
        </w:rPr>
        <w:t>61</w:t>
      </w:r>
      <w:r>
        <w:t>(4), pp. 15–42. doi: https://doi.org/10.1177/0008125619867910</w:t>
      </w:r>
    </w:p>
    <w:p w14:paraId="0017FB3C">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Trist, E.L. and Bamforth, K.W. (1951) 'Some social and psychological consequences of the longwall method of coal-getting', </w:t>
      </w:r>
      <w:r>
        <w:rPr>
          <w:i/>
        </w:rPr>
        <w:t>Human Relations</w:t>
      </w:r>
      <w:r>
        <w:t xml:space="preserve">, </w:t>
      </w:r>
      <w:r>
        <w:rPr>
          <w:i/>
        </w:rPr>
        <w:t>4</w:t>
      </w:r>
      <w:r>
        <w:t>(1), pp. 3–38. doi: https://doi.org/10.1177/001872675100400101</w:t>
      </w:r>
    </w:p>
    <w:p w14:paraId="1B828AF6">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Wang, B. </w:t>
      </w:r>
      <w:r>
        <w:rPr>
          <w:i/>
        </w:rPr>
        <w:t>et al.</w:t>
      </w:r>
      <w:r>
        <w:t xml:space="preserve"> (2021) 'Achieving effective remote working during the COVID-19 pandemic: a work design perspective', </w:t>
      </w:r>
      <w:r>
        <w:rPr>
          <w:i/>
        </w:rPr>
        <w:t>Applied Psychology</w:t>
      </w:r>
      <w:r>
        <w:t xml:space="preserve">, </w:t>
      </w:r>
      <w:r>
        <w:rPr>
          <w:i/>
        </w:rPr>
        <w:t>70</w:t>
      </w:r>
      <w:r>
        <w:t>(1), pp. 16-59. doi: https://doi.org/10.1111/apps.12290</w:t>
      </w:r>
    </w:p>
    <w:p w14:paraId="00D5A3B1">
      <w:pPr>
        <w:spacing w:after="80"/>
        <w:ind w:left="0" w:hanging="360"/>
        <w:rPr>
          <w:rFonts w:hint="default" w:ascii="Arial" w:hAnsi="Arial" w:cs="Arial"/>
          <w:color w:val="000000" w:themeColor="text1"/>
          <w14:textFill>
            <w14:solidFill>
              <w14:schemeClr w14:val="tx1"/>
            </w14:solidFill>
          </w14:textFill>
        </w:rPr>
      </w:pPr>
      <w:r>
        <w:t xml:space="preserve">World Health Organization (2021) </w:t>
      </w:r>
      <w:r>
        <w:rPr>
          <w:i/>
        </w:rPr>
        <w:t>Ethics and governance of artificial intelligence for health: WHO guidance</w:t>
      </w:r>
      <w:r>
        <w:t>. Geneva: World Health Organization. Available at: https://www.who.int/publications/i/item/9789240029200 (Accessed: 19 October 2026).</w:t>
      </w:r>
    </w:p>
    <w:p w14:paraId="49E7996B">
      <w:pPr>
        <w:pStyle w:val="13"/>
        <w:spacing w:after="80" w:line="360" w:lineRule="auto"/>
        <w:ind w:left="0" w:hanging="360"/>
        <w:rPr>
          <w:rFonts w:hint="default" w:ascii="Arial" w:hAnsi="Arial" w:eastAsia="Arial" w:cs="Arial"/>
          <w:color w:val="000000" w:themeColor="text1"/>
          <w14:textFill>
            <w14:solidFill>
              <w14:schemeClr w14:val="tx1"/>
            </w14:solidFill>
          </w14:textFill>
        </w:rPr>
      </w:pPr>
      <w:r>
        <w:t xml:space="preserve">Wrzesniewski, A. and Dutton, J.E. (2001) 'Crafting a job: revisioning employees as active crafters of their work', </w:t>
      </w:r>
      <w:r>
        <w:rPr>
          <w:i/>
        </w:rPr>
        <w:t>Academy of Management Review</w:t>
      </w:r>
      <w:r>
        <w:t xml:space="preserve">, </w:t>
      </w:r>
      <w:r>
        <w:rPr>
          <w:i/>
        </w:rPr>
        <w:t>26</w:t>
      </w:r>
      <w:r>
        <w:t>(2), pp. 179–201. doi: https://doi.org/10.5465/amr.2001.4378011</w:t>
      </w:r>
    </w:p>
    <w:bookmarkEnd w:id="0"/>
    <w:bookmarkEnd w:id="31"/>
    <w:p w14:paraId="026F9613"/>
    <w:p w14:paraId="7BC25A87">
      <w:pPr>
        <w:rPr>
          <w:rFonts w:hint="default" w:ascii="Arial" w:hAnsi="Arial" w:cs="Arial"/>
          <w:b/>
          <w:bCs/>
          <w:color w:val="000000" w:themeColor="text1"/>
          <w14:textFill>
            <w14:solidFill>
              <w14:schemeClr w14:val="tx1"/>
            </w14:solidFill>
          </w14:textFill>
        </w:rPr>
      </w:pPr>
      <w:r>
        <w:t>Appendices</w:t>
      </w:r>
    </w:p>
    <w:p w14:paraId="6FAE6C22">
      <w:pPr>
        <w:pStyle w:val="4"/>
        <w:keepNext/>
        <w:rPr>
          <w:rFonts w:hint="default" w:ascii="Arial" w:hAnsi="Arial" w:cs="Arial"/>
          <w:color w:val="000000" w:themeColor="text1"/>
          <w14:textFill>
            <w14:solidFill>
              <w14:schemeClr w14:val="tx1"/>
            </w14:solidFill>
          </w14:textFill>
        </w:rPr>
      </w:pPr>
      <w:bookmarkStart w:id="32" w:name="_Toc26675"/>
      <w:r>
        <w:rPr>
          <w:rFonts w:hint="default" w:ascii="Arial" w:hAnsi="Arial" w:eastAsia="Arial" w:cs="Arial"/>
          <w:color w:val="000000" w:themeColor="text1"/>
          <w14:textFill>
            <w14:solidFill>
              <w14:schemeClr w14:val="tx1"/>
            </w14:solidFill>
          </w14:textFill>
        </w:rPr>
        <w:t>Appendix A  Assessment Summary</w:t>
      </w:r>
      <w:bookmarkEnd w:id="32"/>
    </w:p>
    <w:p w14:paraId="5EA009C2">
      <w:pPr>
        <w:spacing w:after="120"/>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14:textFill>
            <w14:solidFill>
              <w14:schemeClr w14:val="tx1"/>
            </w14:solidFill>
          </w14:textFill>
        </w:rPr>
        <w:t>This table gives a short summary of the three tasks and their main message.</w:t>
      </w:r>
    </w:p>
    <w:p w14:paraId="3A91972F">
      <w:pPr>
        <w:keepNext/>
        <w:spacing w:before="0" w:after="0" w:line="360" w:lineRule="auto"/>
      </w:pPr>
      <w:r>
        <w:rPr>
          <w:rFonts w:ascii="Arial" w:hAnsi="Arial" w:eastAsia="Arial"/>
          <w:b/>
          <w:i w:val="0"/>
          <w:sz w:val="24"/>
        </w:rPr>
        <w:t>Table A1. Assessment summary</w:t>
      </w:r>
    </w:p>
    <w:tbl>
      <w:tblPr>
        <w:tblStyle w:val="3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16"/>
        <w:gridCol w:w="3216"/>
        <w:gridCol w:w="3216"/>
      </w:tblGrid>
      <w:tr w14:paraId="2F4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blHeader/>
        </w:trPr>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A987088">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Task</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B28388D">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Focus</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609C417">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Main message</w:t>
            </w:r>
          </w:p>
        </w:tc>
      </w:tr>
      <w:tr w14:paraId="403B90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46F89AB">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Task A</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760AC4D">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Work design</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6A17915">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Use controlled agility: teamwork, agile delivery, autonomy and clear safeguards.</w:t>
            </w:r>
          </w:p>
        </w:tc>
      </w:tr>
      <w:tr w14:paraId="15CD91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553901B">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Task B</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C8D2DFE">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Talent growth</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8BC4A5A">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Give people career visibility, learning, safety, fair flexibility and supportive managers.</w:t>
            </w:r>
          </w:p>
        </w:tc>
      </w:tr>
      <w:tr w14:paraId="2AD0EC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E448FAE">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Task C</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A0754CC">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Reflective development</w:t>
            </w:r>
          </w:p>
        </w:tc>
        <w:tc>
          <w:tcPr>
            <w:tcW w:w="3216"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8D208C5">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Use AI to support HR decisions while keeping human judgement and ethical checks.</w:t>
            </w:r>
          </w:p>
        </w:tc>
      </w:tr>
    </w:tbl>
    <w:p w14:paraId="0F2A674C">
      <w:pPr>
        <w:keepNext w:val="0"/>
        <w:spacing w:before="0" w:after="0" w:line="360" w:lineRule="auto"/>
        <w:rPr>
          <w:b/>
          <w:bCs/>
          <w:sz w:val="16"/>
          <w:szCs w:val="16"/>
        </w:rPr>
      </w:pPr>
      <w:r>
        <w:rPr>
          <w:rFonts w:ascii="Arial" w:hAnsi="Arial" w:eastAsia="Arial"/>
          <w:b/>
          <w:bCs/>
          <w:i/>
          <w:sz w:val="16"/>
          <w:szCs w:val="16"/>
        </w:rPr>
        <w:t>Source: Author's synthesis of Tasks A–C in this assessment.</w:t>
      </w:r>
    </w:p>
    <w:p w14:paraId="49AE76F7">
      <w:pPr>
        <w:pStyle w:val="4"/>
        <w:keepNext/>
        <w:rPr>
          <w:rFonts w:hint="default" w:ascii="Arial" w:hAnsi="Arial" w:cs="Arial"/>
          <w:color w:val="000000" w:themeColor="text1"/>
          <w14:textFill>
            <w14:solidFill>
              <w14:schemeClr w14:val="tx1"/>
            </w14:solidFill>
          </w14:textFill>
        </w:rPr>
      </w:pPr>
      <w:bookmarkStart w:id="33" w:name="_Toc24459"/>
      <w:r>
        <w:rPr>
          <w:rFonts w:hint="default" w:ascii="Arial" w:hAnsi="Arial" w:eastAsia="Arial" w:cs="Arial"/>
          <w:color w:val="000000" w:themeColor="text1"/>
          <w14:textFill>
            <w14:solidFill>
              <w14:schemeClr w14:val="tx1"/>
            </w14:solidFill>
          </w14:textFill>
        </w:rPr>
        <w:t>Appendix B  Figure Guide</w:t>
      </w:r>
      <w:bookmarkEnd w:id="33"/>
    </w:p>
    <w:p w14:paraId="74E43287">
      <w:pPr>
        <w:spacing w:after="120"/>
        <w:rPr>
          <w:rFonts w:hint="default" w:ascii="Arial" w:hAnsi="Arial" w:cs="Arial"/>
          <w:color w:val="000000" w:themeColor="text1"/>
          <w14:textFill>
            <w14:solidFill>
              <w14:schemeClr w14:val="tx1"/>
            </w14:solidFill>
          </w14:textFill>
        </w:rPr>
      </w:pPr>
      <w:r>
        <w:t>This guide maps each figure to its role in the report, grouping related figures where useful.</w:t>
      </w:r>
    </w:p>
    <w:p w14:paraId="1159AA78">
      <w:pPr>
        <w:keepNext/>
        <w:spacing w:before="0" w:after="0" w:line="360" w:lineRule="auto"/>
      </w:pPr>
      <w:r>
        <w:rPr>
          <w:rFonts w:ascii="Arial" w:hAnsi="Arial" w:eastAsia="Arial"/>
          <w:b/>
          <w:i w:val="0"/>
          <w:sz w:val="24"/>
        </w:rPr>
        <w:t>Table B1. Figure guide</w:t>
      </w:r>
    </w:p>
    <w:tbl>
      <w:tblPr>
        <w:tblStyle w:val="3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24"/>
        <w:gridCol w:w="4824"/>
      </w:tblGrid>
      <w:tr w14:paraId="687A0F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blHeader/>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351A926">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Figures</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7F5DAA5">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b/>
                <w:color w:val="000000" w:themeColor="text1"/>
                <w:sz w:val="24"/>
                <w14:textFill>
                  <w14:solidFill>
                    <w14:schemeClr w14:val="tx1"/>
                  </w14:solidFill>
                </w14:textFill>
              </w:rPr>
              <w:t>Simple explanation</w:t>
            </w:r>
          </w:p>
        </w:tc>
      </w:tr>
      <w:tr w14:paraId="021FCB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5A3972B9">
            <w:pPr>
              <w:spacing w:before="0" w:after="0" w:line="360" w:lineRule="auto"/>
              <w:jc w:val="left"/>
              <w:rPr>
                <w:rFonts w:hint="default" w:ascii="Arial" w:hAnsi="Arial" w:cs="Arial"/>
                <w:color w:val="000000" w:themeColor="text1"/>
                <w14:textFill>
                  <w14:solidFill>
                    <w14:schemeClr w14:val="tx1"/>
                  </w14:solidFill>
                </w14:textFill>
              </w:rPr>
            </w:pPr>
            <w:r>
              <w:rPr>
                <w:rFonts w:hint="default" w:ascii="Arial" w:hAnsi="Arial" w:eastAsia="Arial" w:cs="Arial"/>
                <w:color w:val="000000" w:themeColor="text1"/>
                <w:sz w:val="24"/>
                <w14:textFill>
                  <w14:solidFill>
                    <w14:schemeClr w14:val="tx1"/>
                  </w14:solidFill>
                </w14:textFill>
              </w:rPr>
              <w:t>Figures 1–3</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6F78964">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NHSX moves from traditional work to controlled agility with strong governance.</w:t>
            </w:r>
          </w:p>
        </w:tc>
      </w:tr>
      <w:tr w14:paraId="34C645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3B9E49A9">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Figures 4–5</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7512D38A">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The work-design framework and roadmap translate controlled agility into staged, governed practice.</w:t>
            </w:r>
          </w:p>
        </w:tc>
      </w:tr>
      <w:tr w14:paraId="0729E4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6EA37A3B">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 6</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33B1C2E">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Meaningful work, learning, psychological safety and fairness support talent growth.</w:t>
            </w:r>
          </w:p>
        </w:tc>
      </w:tr>
      <w:tr w14:paraId="2B249B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4774074D">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Figures 7–8</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17B132BB">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The talent ecosystem and measures connect development, wellbeing and people-risk control.</w:t>
            </w:r>
          </w:p>
        </w:tc>
      </w:tr>
      <w:tr w14:paraId="67C79B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0887FDAC">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 9</w:t>
            </w:r>
          </w:p>
        </w:tc>
        <w:tc>
          <w:tcPr>
            <w:tcW w:w="4824" w:type="dxa"/>
            <w:tcBorders>
              <w:top w:val="single" w:color="auto" w:sz="4" w:space="0"/>
              <w:left w:val="single" w:color="auto" w:sz="4" w:space="0"/>
              <w:bottom w:val="single" w:color="auto" w:sz="4" w:space="0"/>
              <w:right w:val="single" w:color="auto" w:sz="4" w:space="0"/>
            </w:tcBorders>
            <w:shd w:val="clear" w:color="auto" w:fill="auto"/>
            <w:tcMar>
              <w:top w:w="90" w:type="dxa"/>
              <w:left w:w="90" w:type="dxa"/>
              <w:bottom w:w="90" w:type="dxa"/>
              <w:right w:w="90" w:type="dxa"/>
            </w:tcMar>
            <w:vAlign w:val="center"/>
          </w:tcPr>
          <w:p w14:paraId="2D28A263">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AI can support HR decisions when human judgement and ethical safeguards remain central.</w:t>
            </w:r>
          </w:p>
        </w:tc>
      </w:tr>
      <w:tr w14:paraId="529407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Pr>
          <w:p w14:paraId="406E9C5D">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 10</w:t>
            </w:r>
          </w:p>
        </w:tc>
        <w:tc>
          <w:tcPr>
            <w:tcW w:w="4824" w:type="dxa"/>
          </w:tcPr>
          <w:p w14:paraId="10916E92">
            <w:pPr>
              <w:spacing w:after="0" w:line="360" w:lineRule="auto"/>
            </w:pPr>
            <w:r>
              <w:rPr>
                <w:rFonts w:ascii="Arial" w:hAnsi="Arial" w:eastAsia="Arial"/>
                <w:sz w:val="24"/>
              </w:rPr>
              <w:t>AI can support research and proofreading; the student checks sources, meaning and citations.</w:t>
            </w:r>
          </w:p>
        </w:tc>
      </w:tr>
      <w:tr w14:paraId="4E607D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Pr>
          <w:p w14:paraId="1C8632A7">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 11</w:t>
            </w:r>
          </w:p>
        </w:tc>
        <w:tc>
          <w:tcPr>
            <w:tcW w:w="4824" w:type="dxa"/>
          </w:tcPr>
          <w:p w14:paraId="52B58214">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The personal capability plan sets development priorities, evidence and timescales.</w:t>
            </w:r>
          </w:p>
        </w:tc>
      </w:tr>
      <w:tr w14:paraId="6A6A75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824" w:type="dxa"/>
          </w:tcPr>
          <w:p w14:paraId="3FC78430">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Figure 12</w:t>
            </w:r>
          </w:p>
        </w:tc>
        <w:tc>
          <w:tcPr>
            <w:tcW w:w="4824" w:type="dxa"/>
          </w:tcPr>
          <w:p w14:paraId="3B02E29C">
            <w:pPr>
              <w:spacing w:before="0" w:after="0" w:line="360" w:lineRule="auto"/>
              <w:rPr>
                <w:color w:val="000000" w:themeColor="text1"/>
                <w14:textFill>
                  <w14:solidFill>
                    <w14:schemeClr w14:val="tx1"/>
                  </w14:solidFill>
                </w14:textFill>
              </w:rPr>
            </w:pPr>
            <w:r>
              <w:rPr>
                <w:rFonts w:ascii="Arial" w:hAnsi="Arial" w:eastAsia="Arial"/>
                <w:color w:val="000000" w:themeColor="text1"/>
                <w:sz w:val="24"/>
                <w14:textFill>
                  <w14:solidFill>
                    <w14:schemeClr w14:val="tx1"/>
                  </w14:solidFill>
                </w14:textFill>
              </w:rPr>
              <w:t>Tasks A, B and C combine to support sustainable NHSX advantage.</w:t>
            </w:r>
          </w:p>
        </w:tc>
      </w:tr>
    </w:tbl>
    <w:p w14:paraId="21A4C9CB">
      <w:pPr>
        <w:keepNext w:val="0"/>
        <w:spacing w:before="0" w:after="0" w:line="360" w:lineRule="auto"/>
        <w:rPr>
          <w:b/>
          <w:bCs/>
          <w:sz w:val="16"/>
          <w:szCs w:val="16"/>
        </w:rPr>
      </w:pPr>
      <w:r>
        <w:rPr>
          <w:rFonts w:ascii="Arial" w:hAnsi="Arial" w:eastAsia="Arial"/>
          <w:b/>
          <w:bCs/>
          <w:i/>
          <w:sz w:val="16"/>
          <w:szCs w:val="16"/>
        </w:rPr>
        <w:t>Source: Author's compilation based on Figures 1–12 in this assessment.</w:t>
      </w:r>
    </w:p>
    <w:p w14:paraId="4B253803">
      <w:pPr>
        <w:rPr>
          <w:rFonts w:hint="default" w:ascii="Arial" w:hAnsi="Arial" w:cs="Arial"/>
          <w:color w:val="000000" w:themeColor="text1"/>
          <w14:textFill>
            <w14:solidFill>
              <w14:schemeClr w14:val="tx1"/>
            </w14:solidFill>
          </w14:textFill>
        </w:rPr>
      </w:pPr>
    </w:p>
    <w:sectPr>
      <w:headerReference r:id="rId5" w:type="default"/>
      <w:footerReference r:id="rId6" w:type="default"/>
      <w:pgSz w:w="12240" w:h="15840"/>
      <w:pgMar w:top="1080" w:right="1296" w:bottom="1080" w:left="1296"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ＭＳ 明朝">
    <w:altName w:val="Yu Gothic"/>
    <w:panose1 w:val="00000000000000000000"/>
    <w:charset w:val="80"/>
    <w:family w:val="roman"/>
    <w:pitch w:val="default"/>
    <w:sig w:usb0="00000000" w:usb1="00000000" w:usb2="00000010" w:usb3="00000000" w:csb0="00020000" w:csb1="00000000"/>
  </w:font>
  <w:font w:name="Yu Gothic">
    <w:panose1 w:val="020B0400000000000000"/>
    <w:charset w:val="80"/>
    <w:family w:val="auto"/>
    <w:pitch w:val="default"/>
    <w:sig w:usb0="E00002FF" w:usb1="2AC7FDFF" w:usb2="00000016" w:usb3="00000000" w:csb0="2002009F" w:csb1="00000000"/>
  </w:font>
  <w:font w:name="MS Gothic">
    <w:panose1 w:val="020B0609070205080204"/>
    <w:charset w:val="80"/>
    <w:family w:val="auto"/>
    <w:pitch w:val="default"/>
    <w:sig w:usb0="E00002FF" w:usb1="6AC7FDFB" w:usb2="08000012" w:usb3="00000000" w:csb0="4002009F" w:csb1="DFD70000"/>
  </w:font>
  <w:font w:name="Cambria">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5622612">
    <w:pPr>
      <w:pStyle w:val="18"/>
      <w:jc w:val="center"/>
    </w:pPr>
    <w:r>
      <w:rPr>
        <w:rFonts w:ascii="Arial" w:hAnsi="Arial" w:eastAsia="Arial" w:cs="Arial"/>
        <w:sz w:val="18"/>
      </w:rPr>
      <w:t xml:space="preserve">Human Capital Management  |  </w:t>
    </w:r>
    <w:r>
      <w:rPr>
        <w:rFonts w:ascii="Arial" w:hAnsi="Arial" w:eastAsia="Arial" w:cs="Arial"/>
        <w:sz w:val="18"/>
      </w:rPr>
      <w:fldChar w:fldCharType="begin"/>
    </w:r>
    <w:r>
      <w:rPr>
        <w:rFonts w:ascii="Arial" w:hAnsi="Arial" w:eastAsia="Arial" w:cs="Arial"/>
        <w:sz w:val="18"/>
      </w:rPr>
      <w:instrText xml:space="preserve"> PAGE </w:instrText>
    </w:r>
    <w:r>
      <w:rPr>
        <w:rFonts w:ascii="Arial" w:hAnsi="Arial" w:eastAsia="Arial" w:cs="Arial"/>
        <w:sz w:val="18"/>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C2F4795">
    <w:pPr>
      <w:jc w:val="right"/>
    </w:pPr>
    <w:r>
      <w:rPr>
        <w:rFonts w:ascii="Arial" w:hAnsi="Arial" w:eastAsia="Arial" w:cs="Arial"/>
        <w:b/>
        <w:bCs/>
        <w:sz w:val="18"/>
      </w:rPr>
      <w:t>NexSpace Health Systems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Arial" w:hAnsi="Arial" w:eastAsia="Arial" w:cs="Aria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Arial" w:hAnsi="Arial" w:eastAsia="Arial" w:cs="Aria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Arial" w:hAnsi="Arial" w:eastAsia="Arial" w:cs="Arial"/>
      </w:rPr>
    </w:lvl>
  </w:abstractNum>
  <w:abstractNum w:abstractNumId="6">
    <w:nsid w:val="0000A991"/>
    <w:multiLevelType w:val="multilevel"/>
    <w:tmpl w:val="0000A991"/>
    <w:lvl w:ilvl="0" w:tentative="0">
      <w:start w:val="0"/>
      <w:numFmt w:val="bullet"/>
      <w:lvlText w:val="•"/>
      <w:lvlJc w:val="left"/>
      <w:pPr>
        <w:ind w:left="720" w:hanging="480"/>
      </w:pPr>
    </w:lvl>
    <w:lvl w:ilvl="1" w:tentative="0">
      <w:start w:val="0"/>
      <w:numFmt w:val="bullet"/>
      <w:lvlText w:val="–"/>
      <w:lvlJc w:val="left"/>
      <w:pPr>
        <w:ind w:left="1440" w:hanging="480"/>
      </w:pPr>
    </w:lvl>
    <w:lvl w:ilvl="2" w:tentative="0">
      <w:start w:val="0"/>
      <w:numFmt w:val="bullet"/>
      <w:lvlText w:val="•"/>
      <w:lvlJc w:val="left"/>
      <w:pPr>
        <w:ind w:left="2160" w:hanging="480"/>
      </w:pPr>
    </w:lvl>
    <w:lvl w:ilvl="3" w:tentative="0">
      <w:start w:val="0"/>
      <w:numFmt w:val="bullet"/>
      <w:lvlText w:val="–"/>
      <w:lvlJc w:val="left"/>
      <w:pPr>
        <w:ind w:left="2880" w:hanging="480"/>
      </w:pPr>
    </w:lvl>
    <w:lvl w:ilvl="4" w:tentative="0">
      <w:start w:val="0"/>
      <w:numFmt w:val="bullet"/>
      <w:lvlText w:val="•"/>
      <w:lvlJc w:val="left"/>
      <w:pPr>
        <w:ind w:left="3600" w:hanging="480"/>
      </w:pPr>
    </w:lvl>
    <w:lvl w:ilvl="5" w:tentative="0">
      <w:start w:val="0"/>
      <w:numFmt w:val="bullet"/>
      <w:lvlText w:val="–"/>
      <w:lvlJc w:val="left"/>
      <w:pPr>
        <w:ind w:left="4320" w:hanging="480"/>
      </w:pPr>
    </w:lvl>
    <w:lvl w:ilvl="6" w:tentative="0">
      <w:start w:val="0"/>
      <w:numFmt w:val="bullet"/>
      <w:lvlText w:val="•"/>
      <w:lvlJc w:val="left"/>
      <w:pPr>
        <w:ind w:left="5040" w:hanging="480"/>
      </w:pPr>
    </w:lvl>
    <w:lvl w:ilvl="7" w:tentative="0">
      <w:start w:val="0"/>
      <w:numFmt w:val="bullet"/>
      <w:lvlText w:val="–"/>
      <w:lvlJc w:val="left"/>
      <w:pPr>
        <w:ind w:left="5760" w:hanging="480"/>
      </w:pPr>
    </w:lvl>
    <w:lvl w:ilvl="8" w:tentative="0">
      <w:start w:val="0"/>
      <w:numFmt w:val="bullet"/>
      <w:lvlText w:val="•"/>
      <w:lvlJc w:val="left"/>
      <w:pPr>
        <w:ind w:left="6480" w:hanging="480"/>
      </w:pPr>
    </w:lvl>
  </w:abstractNum>
  <w:abstractNum w:abstractNumId="7">
    <w:nsid w:val="00A99411"/>
    <w:multiLevelType w:val="multilevel"/>
    <w:tmpl w:val="00A99411"/>
    <w:lvl w:ilvl="0" w:tentative="0">
      <w:start w:val="1"/>
      <w:numFmt w:val="decimal"/>
      <w:lvlText w:val="%1."/>
      <w:lvlJc w:val="left"/>
      <w:pPr>
        <w:ind w:left="720" w:hanging="480"/>
      </w:pPr>
    </w:lvl>
    <w:lvl w:ilvl="1" w:tentative="0">
      <w:start w:val="1"/>
      <w:numFmt w:val="decimal"/>
      <w:lvlText w:val="%2."/>
      <w:lvlJc w:val="left"/>
      <w:pPr>
        <w:ind w:left="1440" w:hanging="480"/>
      </w:pPr>
    </w:lvl>
    <w:lvl w:ilvl="2" w:tentative="0">
      <w:start w:val="1"/>
      <w:numFmt w:val="decimal"/>
      <w:lvlText w:val="%3."/>
      <w:lvlJc w:val="left"/>
      <w:pPr>
        <w:ind w:left="2160" w:hanging="480"/>
      </w:pPr>
    </w:lvl>
    <w:lvl w:ilvl="3" w:tentative="0">
      <w:start w:val="1"/>
      <w:numFmt w:val="decimal"/>
      <w:lvlText w:val="%4."/>
      <w:lvlJc w:val="left"/>
      <w:pPr>
        <w:ind w:left="2880" w:hanging="480"/>
      </w:pPr>
    </w:lvl>
    <w:lvl w:ilvl="4" w:tentative="0">
      <w:start w:val="1"/>
      <w:numFmt w:val="decimal"/>
      <w:lvlText w:val="%5."/>
      <w:lvlJc w:val="left"/>
      <w:pPr>
        <w:ind w:left="3600" w:hanging="480"/>
      </w:pPr>
    </w:lvl>
    <w:lvl w:ilvl="5" w:tentative="0">
      <w:start w:val="1"/>
      <w:numFmt w:val="decimal"/>
      <w:lvlText w:val="%6."/>
      <w:lvlJc w:val="left"/>
      <w:pPr>
        <w:ind w:left="4320" w:hanging="480"/>
      </w:pPr>
    </w:lvl>
    <w:lvl w:ilvl="6" w:tentative="0">
      <w:start w:val="1"/>
      <w:numFmt w:val="decimal"/>
      <w:lvlText w:val="%7."/>
      <w:lvlJc w:val="left"/>
      <w:pPr>
        <w:ind w:left="5040" w:hanging="480"/>
      </w:pPr>
    </w:lvl>
    <w:lvl w:ilvl="7" w:tentative="0">
      <w:start w:val="1"/>
      <w:numFmt w:val="decimal"/>
      <w:lvlText w:val="%8."/>
      <w:lvlJc w:val="left"/>
      <w:pPr>
        <w:ind w:left="5760" w:hanging="480"/>
      </w:pPr>
    </w:lvl>
    <w:lvl w:ilvl="8" w:tentative="0">
      <w:start w:val="1"/>
      <w:numFmt w:val="decimal"/>
      <w:lvlText w:val="%9."/>
      <w:lvlJc w:val="left"/>
      <w:pPr>
        <w:ind w:left="6480" w:hanging="480"/>
      </w:pPr>
    </w:lvl>
  </w:abstractNum>
  <w:num w:numId="1">
    <w:abstractNumId w:val="5"/>
  </w:num>
  <w:num w:numId="2">
    <w:abstractNumId w:val="3"/>
  </w:num>
  <w:num w:numId="3">
    <w:abstractNumId w:val="2"/>
  </w:num>
  <w:num w:numId="4">
    <w:abstractNumId w:val="4"/>
  </w:num>
  <w:num w:numId="5">
    <w:abstractNumId w:val="1"/>
  </w:num>
  <w:num w:numId="6">
    <w:abstractNumId w:val="0"/>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NotTrackMoves/>
  <w:documentProtection w:enforcement="0"/>
  <w:defaultTabStop w:val="720"/>
  <w:drawingGridHorizontalSpacing w:val="360"/>
  <w:drawingGridVerticalSpacing w:val="36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3642AD"/>
    <w:rsid w:val="09CA3C21"/>
    <w:rsid w:val="09DA28B7"/>
    <w:rsid w:val="0EB859C4"/>
    <w:rsid w:val="0EF071C1"/>
    <w:rsid w:val="177D4217"/>
    <w:rsid w:val="19BF5336"/>
    <w:rsid w:val="2AAD4957"/>
    <w:rsid w:val="2DE5725A"/>
    <w:rsid w:val="2EFA1321"/>
    <w:rsid w:val="308D4A1A"/>
    <w:rsid w:val="325E093B"/>
    <w:rsid w:val="39A17609"/>
    <w:rsid w:val="3EA928E3"/>
    <w:rsid w:val="41912F5E"/>
    <w:rsid w:val="44221F8D"/>
    <w:rsid w:val="49C24E8D"/>
    <w:rsid w:val="54DE3FA8"/>
    <w:rsid w:val="58283534"/>
    <w:rsid w:val="593773EE"/>
    <w:rsid w:val="5F9A70E8"/>
    <w:rsid w:val="61E25A9B"/>
    <w:rsid w:val="65C47BCF"/>
    <w:rsid w:val="663D5337"/>
    <w:rsid w:val="6A4037FD"/>
    <w:rsid w:val="71077A2E"/>
    <w:rsid w:val="769B5850"/>
    <w:rsid w:val="76AF1E11"/>
    <w:rsid w:val="7A563F4A"/>
    <w:rsid w:val="7FE70D4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120" w:line="360" w:lineRule="auto"/>
    </w:pPr>
    <w:rPr>
      <w:rFonts w:ascii="Arial" w:hAnsi="Arial" w:eastAsiaTheme="minorEastAsia" w:cstheme="minorBidi"/>
      <w:sz w:val="24"/>
      <w:szCs w:val="22"/>
      <w:lang w:val="en-US" w:eastAsia="en-US" w:bidi="ar-SA"/>
    </w:rPr>
  </w:style>
  <w:style w:type="paragraph" w:styleId="2">
    <w:name w:val="heading 1"/>
    <w:basedOn w:val="1"/>
    <w:next w:val="1"/>
    <w:link w:val="141"/>
    <w:qFormat/>
    <w:uiPriority w:val="9"/>
    <w:pPr>
      <w:keepNext/>
      <w:keepLines/>
      <w:spacing w:before="200" w:after="120"/>
      <w:outlineLvl w:val="0"/>
    </w:pPr>
    <w:rPr>
      <w:rFonts w:asciiTheme="majorHAnsi" w:hAnsiTheme="majorHAnsi" w:eastAsiaTheme="majorEastAsia" w:cstheme="majorBidi"/>
      <w:b/>
      <w:bCs/>
      <w:color w:val="376092" w:themeColor="accent1" w:themeShade="BF"/>
      <w:sz w:val="32"/>
      <w:szCs w:val="28"/>
    </w:rPr>
  </w:style>
  <w:style w:type="paragraph" w:styleId="3">
    <w:name w:val="heading 2"/>
    <w:basedOn w:val="1"/>
    <w:next w:val="1"/>
    <w:link w:val="142"/>
    <w:unhideWhenUsed/>
    <w:qFormat/>
    <w:uiPriority w:val="9"/>
    <w:pPr>
      <w:keepNext/>
      <w:keepLines/>
      <w:spacing w:before="160" w:after="8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3"/>
    <w:unhideWhenUsed/>
    <w:qFormat/>
    <w:uiPriority w:val="9"/>
    <w:pPr>
      <w:keepNext/>
      <w:keepLines/>
      <w:spacing w:before="120" w:after="40"/>
      <w:outlineLvl w:val="2"/>
    </w:pPr>
    <w:rPr>
      <w:rFonts w:asciiTheme="majorHAnsi" w:hAnsiTheme="majorHAnsi" w:eastAsiaTheme="majorEastAsia" w:cstheme="majorBidi"/>
      <w:b/>
      <w:bCs/>
      <w:color w:val="4F81BD" w:themeColor="accent1"/>
      <w:sz w:val="24"/>
      <w14:textFill>
        <w14:solidFill>
          <w14:schemeClr w14:val="accent1"/>
        </w14:solidFill>
      </w14:textFill>
    </w:rPr>
  </w:style>
  <w:style w:type="paragraph" w:styleId="5">
    <w:name w:val="heading 4"/>
    <w:basedOn w:val="1"/>
    <w:next w:val="1"/>
    <w:link w:val="153"/>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4"/>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5"/>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6"/>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7"/>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8"/>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7"/>
    <w:unhideWhenUsed/>
    <w:qFormat/>
    <w:uiPriority w:val="99"/>
    <w:pPr>
      <w:spacing w:after="120"/>
    </w:pPr>
  </w:style>
  <w:style w:type="paragraph" w:styleId="14">
    <w:name w:val="Body Text 2"/>
    <w:basedOn w:val="1"/>
    <w:link w:val="148"/>
    <w:unhideWhenUsed/>
    <w:qFormat/>
    <w:uiPriority w:val="99"/>
    <w:pPr>
      <w:spacing w:after="120" w:line="480" w:lineRule="auto"/>
    </w:pPr>
  </w:style>
  <w:style w:type="paragraph" w:styleId="15">
    <w:name w:val="Body Text 3"/>
    <w:basedOn w:val="1"/>
    <w:link w:val="149"/>
    <w:unhideWhenUsed/>
    <w:qFormat/>
    <w:uiPriority w:val="99"/>
    <w:pPr>
      <w:spacing w:after="120"/>
    </w:pPr>
    <w:rPr>
      <w:rFonts w:ascii="Arial" w:hAnsi="Arial" w:eastAsia="Arial" w:cs="Arial"/>
      <w:sz w:val="16"/>
      <w:szCs w:val="16"/>
    </w:rPr>
  </w:style>
  <w:style w:type="paragraph" w:styleId="16">
    <w:name w:val="caption"/>
    <w:basedOn w:val="1"/>
    <w:next w:val="1"/>
    <w:semiHidden/>
    <w:unhideWhenUsed/>
    <w:qFormat/>
    <w:uiPriority w:val="35"/>
    <w:pPr>
      <w:spacing w:line="240" w:lineRule="auto"/>
    </w:pPr>
    <w:rPr>
      <w:rFonts w:ascii="Arial" w:hAnsi="Arial" w:eastAsia="Arial" w:cs="Arial"/>
      <w:b/>
      <w:bCs/>
      <w:color w:val="4F81BD" w:themeColor="accent1"/>
      <w:sz w:val="18"/>
      <w:szCs w:val="18"/>
      <w14:textFill>
        <w14:solidFill>
          <w14:schemeClr w14:val="accent1"/>
        </w14:solidFill>
      </w14:textFill>
    </w:rPr>
  </w:style>
  <w:style w:type="character" w:styleId="17">
    <w:name w:val="Emphasis"/>
    <w:basedOn w:val="11"/>
    <w:qFormat/>
    <w:uiPriority w:val="20"/>
    <w:rPr>
      <w:rFonts w:ascii="Arial" w:hAnsi="Arial" w:eastAsia="Arial" w:cs="Arial"/>
      <w:i/>
      <w:iCs/>
    </w:rPr>
  </w:style>
  <w:style w:type="paragraph" w:styleId="18">
    <w:name w:val="footer"/>
    <w:basedOn w:val="1"/>
    <w:link w:val="139"/>
    <w:unhideWhenUsed/>
    <w:qFormat/>
    <w:uiPriority w:val="99"/>
    <w:pPr>
      <w:tabs>
        <w:tab w:val="center" w:pos="4680"/>
        <w:tab w:val="right" w:pos="9360"/>
      </w:tabs>
      <w:spacing w:after="0" w:line="240" w:lineRule="auto"/>
    </w:pPr>
  </w:style>
  <w:style w:type="paragraph" w:styleId="19">
    <w:name w:val="header"/>
    <w:basedOn w:val="1"/>
    <w:link w:val="138"/>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qFormat/>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50"/>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Arial" w:hAnsi="Arial" w:eastAsiaTheme="minorEastAsia" w:cstheme="minorBidi"/>
      <w:sz w:val="20"/>
      <w:szCs w:val="20"/>
      <w:lang w:val="en-US" w:eastAsia="en-US" w:bidi="ar-SA"/>
    </w:rPr>
  </w:style>
  <w:style w:type="character" w:styleId="33">
    <w:name w:val="Strong"/>
    <w:basedOn w:val="11"/>
    <w:qFormat/>
    <w:uiPriority w:val="22"/>
    <w:rPr>
      <w:rFonts w:ascii="Arial" w:hAnsi="Arial" w:eastAsia="Arial" w:cs="Arial"/>
      <w:b/>
      <w:bCs/>
    </w:rPr>
  </w:style>
  <w:style w:type="paragraph" w:styleId="34">
    <w:name w:val="Subtitle"/>
    <w:basedOn w:val="1"/>
    <w:next w:val="1"/>
    <w:link w:val="145"/>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4"/>
    <w:qFormat/>
    <w:uiPriority w:val="10"/>
    <w:pPr>
      <w:pBdr>
        <w:bottom w:val="single" w:color="4F81BD" w:themeColor="accent1" w:sz="8" w:space="4"/>
      </w:pBdr>
      <w:spacing w:after="240" w:line="240" w:lineRule="auto"/>
      <w:contextualSpacing/>
    </w:pPr>
    <w:rPr>
      <w:rFonts w:asciiTheme="majorHAnsi" w:hAnsiTheme="majorHAnsi" w:eastAsiaTheme="majorEastAsia" w:cstheme="majorBidi"/>
      <w:b/>
      <w:color w:val="17375E" w:themeColor="text2" w:themeShade="BF"/>
      <w:spacing w:val="5"/>
      <w:kern w:val="28"/>
      <w:sz w:val="44"/>
      <w:szCs w:val="52"/>
    </w:rPr>
  </w:style>
  <w:style w:type="paragraph" w:styleId="37">
    <w:name w:val="toc 1"/>
    <w:basedOn w:val="1"/>
    <w:next w:val="1"/>
    <w:semiHidden/>
    <w:unhideWhenUsed/>
    <w:uiPriority w:val="39"/>
  </w:style>
  <w:style w:type="paragraph" w:styleId="38">
    <w:name w:val="toc 2"/>
    <w:basedOn w:val="1"/>
    <w:next w:val="1"/>
    <w:semiHidden/>
    <w:unhideWhenUsed/>
    <w:uiPriority w:val="39"/>
    <w:pPr>
      <w:ind w:left="420" w:leftChars="200"/>
    </w:pPr>
  </w:style>
  <w:style w:type="paragraph" w:styleId="39">
    <w:name w:val="toc 3"/>
    <w:basedOn w:val="1"/>
    <w:next w:val="1"/>
    <w:semiHidden/>
    <w:unhideWhenUsed/>
    <w:uiPriority w:val="39"/>
    <w:pPr>
      <w:ind w:left="840" w:leftChars="400"/>
    </w:pPr>
  </w:style>
  <w:style w:type="table" w:styleId="40">
    <w:name w:val="Light Shading"/>
    <w:basedOn w:val="12"/>
    <w:qFormat/>
    <w:uiPriority w:val="60"/>
    <w:pPr>
      <w:spacing w:after="0" w:line="240" w:lineRule="auto"/>
    </w:pPr>
    <w:rPr>
      <w:rFonts w:ascii="Arial" w:hAnsi="Arial" w:eastAsia="Arial" w:cs="Arial"/>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41">
    <w:name w:val="Light Shading Accent 1"/>
    <w:basedOn w:val="12"/>
    <w:qFormat/>
    <w:uiPriority w:val="60"/>
    <w:pPr>
      <w:spacing w:after="0" w:line="240" w:lineRule="auto"/>
    </w:pPr>
    <w:rPr>
      <w:rFonts w:ascii="Arial" w:hAnsi="Arial" w:eastAsia="Arial" w:cs="Arial"/>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2">
    <w:name w:val="Light Shading Accent 2"/>
    <w:basedOn w:val="12"/>
    <w:qFormat/>
    <w:uiPriority w:val="60"/>
    <w:pPr>
      <w:spacing w:after="0" w:line="240" w:lineRule="auto"/>
    </w:pPr>
    <w:rPr>
      <w:rFonts w:ascii="Arial" w:hAnsi="Arial" w:eastAsia="Arial" w:cs="Arial"/>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3">
    <w:name w:val="Light Shading Accent 3"/>
    <w:basedOn w:val="12"/>
    <w:qFormat/>
    <w:uiPriority w:val="60"/>
    <w:pPr>
      <w:spacing w:after="0" w:line="240" w:lineRule="auto"/>
    </w:pPr>
    <w:rPr>
      <w:rFonts w:ascii="Arial" w:hAnsi="Arial" w:eastAsia="Arial" w:cs="Arial"/>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4">
    <w:name w:val="Light Shading Accent 4"/>
    <w:basedOn w:val="12"/>
    <w:qFormat/>
    <w:uiPriority w:val="60"/>
    <w:pPr>
      <w:spacing w:after="0" w:line="240" w:lineRule="auto"/>
    </w:pPr>
    <w:rPr>
      <w:rFonts w:ascii="Arial" w:hAnsi="Arial" w:eastAsia="Arial" w:cs="Arial"/>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5">
    <w:name w:val="Light Shading Accent 5"/>
    <w:basedOn w:val="12"/>
    <w:qFormat/>
    <w:uiPriority w:val="60"/>
    <w:pPr>
      <w:spacing w:after="0" w:line="240" w:lineRule="auto"/>
    </w:pPr>
    <w:rPr>
      <w:rFonts w:ascii="Arial" w:hAnsi="Arial" w:eastAsia="Arial" w:cs="Arial"/>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6">
    <w:name w:val="Light Shading Accent 6"/>
    <w:basedOn w:val="12"/>
    <w:qFormat/>
    <w:uiPriority w:val="60"/>
    <w:pPr>
      <w:spacing w:after="0" w:line="240" w:lineRule="auto"/>
    </w:pPr>
    <w:rPr>
      <w:rFonts w:ascii="Arial" w:hAnsi="Arial" w:eastAsia="Arial" w:cs="Arial"/>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rFonts w:ascii="Arial" w:hAnsi="Arial" w:eastAsia="Arial" w:cs="Arial"/>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7">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rFonts w:ascii="Arial" w:hAnsi="Arial" w:eastAsia="Arial" w:cs="Arial"/>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8">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rFonts w:ascii="Arial" w:hAnsi="Arial" w:eastAsia="Arial" w:cs="Arial"/>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9">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rFonts w:ascii="Arial" w:hAnsi="Arial" w:eastAsia="Arial" w:cs="Arial"/>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50">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rFonts w:ascii="Arial" w:hAnsi="Arial" w:eastAsia="Arial" w:cs="Arial"/>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51">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rFonts w:ascii="Arial" w:hAnsi="Arial" w:eastAsia="Arial" w:cs="Arial"/>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2">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rFonts w:ascii="Arial" w:hAnsi="Arial" w:eastAsia="Arial" w:cs="Arial"/>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3">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rFonts w:ascii="Arial" w:hAnsi="Arial" w:eastAsia="Arial" w:cs="Arial"/>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4">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5">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6">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7">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8">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9">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60">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61">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rFonts w:ascii="Arial" w:hAnsi="Arial" w:eastAsia="Arial" w:cs="Arial"/>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2">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rFonts w:ascii="Arial" w:hAnsi="Arial" w:eastAsia="Arial" w:cs="Arial"/>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3">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rFonts w:ascii="Arial" w:hAnsi="Arial" w:eastAsia="Arial" w:cs="Arial"/>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4">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rFonts w:ascii="Arial" w:hAnsi="Arial" w:eastAsia="Arial" w:cs="Arial"/>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5">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rFonts w:ascii="Arial" w:hAnsi="Arial" w:eastAsia="Arial" w:cs="Arial"/>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6">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rFonts w:ascii="Arial" w:hAnsi="Arial" w:eastAsia="Arial" w:cs="Arial"/>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7">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rFonts w:ascii="Arial" w:hAnsi="Arial" w:eastAsia="Arial" w:cs="Arial"/>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8">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4">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rFonts w:ascii="Arial" w:hAnsi="Arial" w:eastAsia="Arial" w:cs="Arial"/>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rFonts w:ascii="Arial" w:hAnsi="Arial" w:eastAsia="Arial" w:cs="Arial"/>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rFonts w:ascii="Arial" w:hAnsi="Arial" w:eastAsia="Arial" w:cs="Arial"/>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rFonts w:ascii="Arial" w:hAnsi="Arial" w:eastAsia="Arial" w:cs="Arial"/>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rFonts w:ascii="Arial" w:hAnsi="Arial" w:eastAsia="Arial" w:cs="Arial"/>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5">
    <w:name w:val="Medium List 1"/>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6">
    <w:name w:val="Medium List 1 Accent 1"/>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7">
    <w:name w:val="Medium List 1 Accent 2"/>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8">
    <w:name w:val="Medium List 1 Accent 3"/>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9">
    <w:name w:val="Medium List 1 Accent 4"/>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80">
    <w:name w:val="Medium List 1 Accent 5"/>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81">
    <w:name w:val="Medium List 1 Accent 6"/>
    <w:basedOn w:val="12"/>
    <w:qFormat/>
    <w:uiPriority w:val="65"/>
    <w:pPr>
      <w:spacing w:after="0" w:line="240" w:lineRule="auto"/>
    </w:pPr>
    <w:rPr>
      <w:rFonts w:ascii="Arial" w:hAnsi="Arial" w:eastAsia="Arial" w:cs="Arial"/>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rFonts w:ascii="Arial" w:hAnsi="Arial" w:eastAsia="Arial" w:cs="Arial"/>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rFonts w:ascii="Arial" w:hAnsi="Arial" w:eastAsia="Arial" w:cs="Arial"/>
        <w:b/>
        <w:bCs/>
      </w:rPr>
    </w:tblStylePr>
    <w:tblStylePr w:type="lastCol">
      <w:rPr>
        <w:rFonts w:ascii="Arial" w:hAnsi="Arial" w:eastAsia="Arial" w:cs="Arial"/>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2">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8">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rFonts w:ascii="Arial" w:hAnsi="Arial" w:eastAsia="Arial" w:cs="Arial"/>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9">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3F3F3F" w:themeColor="text1"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90">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7BA0CD" w:themeColor="accent1"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91">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CF7B79" w:themeColor="accent2"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2">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B4CC82" w:themeColor="accent3"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3">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9F8AB9" w:themeColor="accent4"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4">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78C0D4" w:themeColor="accent5"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5">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rFonts w:ascii="Arial" w:hAnsi="Arial" w:eastAsia="Arial" w:cs="Arial"/>
        <w:b/>
        <w:bCs/>
      </w:rPr>
    </w:tblStylePr>
    <w:tblStylePr w:type="lastRow">
      <w:rPr>
        <w:rFonts w:ascii="Arial" w:hAnsi="Arial" w:eastAsia="Arial" w:cs="Arial"/>
        <w:b/>
        <w:bCs/>
      </w:rPr>
      <w:tblPr/>
      <w:tcPr>
        <w:tcBorders>
          <w:top w:val="single" w:color="F9B074" w:themeColor="accent6" w:themeTint="BF" w:sz="18" w:space="0"/>
        </w:tcBorders>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6">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rFonts w:ascii="Arial" w:hAnsi="Arial" w:eastAsia="Arial" w:cs="Arial"/>
        <w:b/>
        <w:bCs/>
        <w:color w:val="000000" w:themeColor="text1"/>
        <w14:textFill>
          <w14:solidFill>
            <w14:schemeClr w14:val="tx1"/>
          </w14:solidFill>
        </w14:textFill>
      </w:rPr>
      <w:tblPr/>
      <w:tcPr>
        <w:shd w:val="clear" w:color="auto" w:fill="E5E5E5" w:themeFill="text1"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7">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rFonts w:ascii="Arial" w:hAnsi="Arial" w:eastAsia="Arial" w:cs="Arial"/>
        <w:b/>
        <w:bCs/>
        <w:color w:val="000000" w:themeColor="text1"/>
        <w14:textFill>
          <w14:solidFill>
            <w14:schemeClr w14:val="tx1"/>
          </w14:solidFill>
        </w14:textFill>
      </w:rPr>
      <w:tblPr/>
      <w:tcPr>
        <w:shd w:val="clear" w:color="auto" w:fill="EDF2F8" w:themeFill="accent1"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8">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rFonts w:ascii="Arial" w:hAnsi="Arial" w:eastAsia="Arial" w:cs="Arial"/>
        <w:b/>
        <w:bCs/>
        <w:color w:val="000000" w:themeColor="text1"/>
        <w14:textFill>
          <w14:solidFill>
            <w14:schemeClr w14:val="tx1"/>
          </w14:solidFill>
        </w14:textFill>
      </w:rPr>
      <w:tblPr/>
      <w:tcPr>
        <w:shd w:val="clear" w:color="auto" w:fill="F8EDED" w:themeFill="accent2"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9">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rFonts w:ascii="Arial" w:hAnsi="Arial" w:eastAsia="Arial" w:cs="Arial"/>
        <w:b/>
        <w:bCs/>
        <w:color w:val="000000" w:themeColor="text1"/>
        <w14:textFill>
          <w14:solidFill>
            <w14:schemeClr w14:val="tx1"/>
          </w14:solidFill>
        </w14:textFill>
      </w:rPr>
      <w:tblPr/>
      <w:tcPr>
        <w:shd w:val="clear" w:color="auto" w:fill="F5F8EE" w:themeFill="accent3"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100">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rFonts w:ascii="Arial" w:hAnsi="Arial" w:eastAsia="Arial" w:cs="Arial"/>
        <w:b/>
        <w:bCs/>
        <w:color w:val="000000" w:themeColor="text1"/>
        <w14:textFill>
          <w14:solidFill>
            <w14:schemeClr w14:val="tx1"/>
          </w14:solidFill>
        </w14:textFill>
      </w:rPr>
      <w:tblPr/>
      <w:tcPr>
        <w:shd w:val="clear" w:color="auto" w:fill="F2EFF5" w:themeFill="accent4"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101">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rFonts w:ascii="Arial" w:hAnsi="Arial" w:eastAsia="Arial" w:cs="Arial"/>
        <w:b/>
        <w:bCs/>
        <w:color w:val="000000" w:themeColor="text1"/>
        <w14:textFill>
          <w14:solidFill>
            <w14:schemeClr w14:val="tx1"/>
          </w14:solidFill>
        </w14:textFill>
      </w:rPr>
      <w:tblPr/>
      <w:tcPr>
        <w:shd w:val="clear" w:color="auto" w:fill="EDF6F9" w:themeFill="accent5"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2">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rFonts w:ascii="Arial" w:hAnsi="Arial" w:eastAsia="Arial" w:cs="Arial"/>
        <w:b/>
        <w:bCs/>
        <w:color w:val="000000" w:themeColor="text1"/>
        <w14:textFill>
          <w14:solidFill>
            <w14:schemeClr w14:val="tx1"/>
          </w14:solidFill>
        </w14:textFill>
      </w:rPr>
      <w:tblPr/>
      <w:tcPr>
        <w:shd w:val="clear" w:color="auto" w:fill="FEF4EC" w:themeFill="accent6" w:themeFillTint="19"/>
      </w:tcPr>
    </w:tblStylePr>
    <w:tblStylePr w:type="lastRow">
      <w:rPr>
        <w:rFonts w:ascii="Arial" w:hAnsi="Arial" w:eastAsia="Arial" w:cs="Arial"/>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rFonts w:ascii="Arial" w:hAnsi="Arial" w:eastAsia="Arial" w:cs="Arial"/>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rFonts w:ascii="Arial" w:hAnsi="Arial" w:eastAsia="Arial" w:cs="Arial"/>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3">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4">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5">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6">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7">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8">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9">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rFonts w:ascii="Arial" w:hAnsi="Arial" w:eastAsia="Arial" w:cs="Arial"/>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rFonts w:ascii="Arial" w:hAnsi="Arial" w:eastAsia="Arial" w:cs="Arial"/>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rFonts w:ascii="Arial" w:hAnsi="Arial" w:eastAsia="Arial" w:cs="Arial"/>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10">
    <w:name w:val="Dark List"/>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11">
    <w:name w:val="Dark List Accent 1"/>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2">
    <w:name w:val="Dark List Accent 2"/>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3">
    <w:name w:val="Dark List Accent 3"/>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4">
    <w:name w:val="Dark List Accent 4"/>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5">
    <w:name w:val="Dark List Accent 5"/>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6">
    <w:name w:val="Dark List Accent 6"/>
    <w:basedOn w:val="12"/>
    <w:qFormat/>
    <w:uiPriority w:val="70"/>
    <w:pPr>
      <w:spacing w:after="0" w:line="240" w:lineRule="auto"/>
    </w:pPr>
    <w:rPr>
      <w:rFonts w:ascii="Arial" w:hAnsi="Arial" w:eastAsia="Arial" w:cs="Arial"/>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rFonts w:ascii="Arial" w:hAnsi="Arial" w:eastAsia="Arial" w:cs="Arial"/>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7">
    <w:name w:val="Colorful Shading"/>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rFonts w:ascii="Arial" w:hAnsi="Arial" w:eastAsia="Arial" w:cs="Arial"/>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rFonts w:ascii="Arial" w:hAnsi="Arial" w:eastAsia="Arial" w:cs="Arial"/>
        <w:color w:val="000000" w:themeColor="text1"/>
        <w14:textFill>
          <w14:solidFill>
            <w14:schemeClr w14:val="tx1"/>
          </w14:solidFill>
        </w14:textFill>
      </w:rPr>
    </w:tblStylePr>
    <w:tblStylePr w:type="nwCell">
      <w:rPr>
        <w:rFonts w:ascii="Arial" w:hAnsi="Arial" w:eastAsia="Arial" w:cs="Arial"/>
        <w:color w:val="000000" w:themeColor="text1"/>
        <w14:textFill>
          <w14:solidFill>
            <w14:schemeClr w14:val="tx1"/>
          </w14:solidFill>
        </w14:textFill>
      </w:rPr>
    </w:tblStylePr>
  </w:style>
  <w:style w:type="table" w:styleId="118">
    <w:name w:val="Colorful Shading Accent 1"/>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rFonts w:ascii="Arial" w:hAnsi="Arial" w:eastAsia="Arial" w:cs="Arial"/>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rFonts w:ascii="Arial" w:hAnsi="Arial" w:eastAsia="Arial" w:cs="Arial"/>
        <w:color w:val="000000" w:themeColor="text1"/>
        <w14:textFill>
          <w14:solidFill>
            <w14:schemeClr w14:val="tx1"/>
          </w14:solidFill>
        </w14:textFill>
      </w:rPr>
    </w:tblStylePr>
    <w:tblStylePr w:type="nwCell">
      <w:rPr>
        <w:rFonts w:ascii="Arial" w:hAnsi="Arial" w:eastAsia="Arial" w:cs="Arial"/>
        <w:color w:val="000000" w:themeColor="text1"/>
        <w14:textFill>
          <w14:solidFill>
            <w14:schemeClr w14:val="tx1"/>
          </w14:solidFill>
        </w14:textFill>
      </w:rPr>
    </w:tblStylePr>
  </w:style>
  <w:style w:type="table" w:styleId="119">
    <w:name w:val="Colorful Shading Accent 2"/>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rFonts w:ascii="Arial" w:hAnsi="Arial" w:eastAsia="Arial" w:cs="Arial"/>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rFonts w:ascii="Arial" w:hAnsi="Arial" w:eastAsia="Arial" w:cs="Arial"/>
        <w:color w:val="000000" w:themeColor="text1"/>
        <w14:textFill>
          <w14:solidFill>
            <w14:schemeClr w14:val="tx1"/>
          </w14:solidFill>
        </w14:textFill>
      </w:rPr>
    </w:tblStylePr>
    <w:tblStylePr w:type="nwCell">
      <w:rPr>
        <w:rFonts w:ascii="Arial" w:hAnsi="Arial" w:eastAsia="Arial" w:cs="Arial"/>
        <w:color w:val="000000" w:themeColor="text1"/>
        <w14:textFill>
          <w14:solidFill>
            <w14:schemeClr w14:val="tx1"/>
          </w14:solidFill>
        </w14:textFill>
      </w:rPr>
    </w:tblStylePr>
  </w:style>
  <w:style w:type="table" w:styleId="120">
    <w:name w:val="Colorful Shading Accent 3"/>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rFonts w:ascii="Arial" w:hAnsi="Arial" w:eastAsia="Arial" w:cs="Arial"/>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21">
    <w:name w:val="Colorful Shading Accent 4"/>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rFonts w:ascii="Arial" w:hAnsi="Arial" w:eastAsia="Arial" w:cs="Arial"/>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rFonts w:ascii="Arial" w:hAnsi="Arial" w:eastAsia="Arial" w:cs="Arial"/>
        <w:color w:val="000000" w:themeColor="text1"/>
        <w14:textFill>
          <w14:solidFill>
            <w14:schemeClr w14:val="tx1"/>
          </w14:solidFill>
        </w14:textFill>
      </w:rPr>
    </w:tblStylePr>
    <w:tblStylePr w:type="nwCell">
      <w:rPr>
        <w:rFonts w:ascii="Arial" w:hAnsi="Arial" w:eastAsia="Arial" w:cs="Arial"/>
        <w:color w:val="000000" w:themeColor="text1"/>
        <w14:textFill>
          <w14:solidFill>
            <w14:schemeClr w14:val="tx1"/>
          </w14:solidFill>
        </w14:textFill>
      </w:rPr>
    </w:tblStylePr>
  </w:style>
  <w:style w:type="table" w:styleId="122">
    <w:name w:val="Colorful Shading Accent 5"/>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rFonts w:ascii="Arial" w:hAnsi="Arial" w:eastAsia="Arial" w:cs="Arial"/>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rFonts w:ascii="Arial" w:hAnsi="Arial" w:eastAsia="Arial" w:cs="Arial"/>
        <w:color w:val="000000" w:themeColor="text1"/>
        <w14:textFill>
          <w14:solidFill>
            <w14:schemeClr w14:val="tx1"/>
          </w14:solidFill>
        </w14:textFill>
      </w:rPr>
    </w:tblStylePr>
    <w:tblStylePr w:type="nwCell">
      <w:rPr>
        <w:rFonts w:ascii="Arial" w:hAnsi="Arial" w:eastAsia="Arial" w:cs="Arial"/>
        <w:color w:val="000000" w:themeColor="text1"/>
        <w14:textFill>
          <w14:solidFill>
            <w14:schemeClr w14:val="tx1"/>
          </w14:solidFill>
        </w14:textFill>
      </w:rPr>
    </w:tblStylePr>
  </w:style>
  <w:style w:type="table" w:styleId="123">
    <w:name w:val="Colorful Shading Accent 6"/>
    <w:basedOn w:val="12"/>
    <w:qFormat/>
    <w:uiPriority w:val="71"/>
    <w:pPr>
      <w:spacing w:after="0" w:line="240" w:lineRule="auto"/>
    </w:pPr>
    <w:rPr>
      <w:rFonts w:ascii="Arial" w:hAnsi="Arial" w:eastAsia="Arial" w:cs="Arial"/>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rFonts w:ascii="Arial" w:hAnsi="Arial" w:eastAsia="Arial" w:cs="Arial"/>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rFonts w:ascii="Arial" w:hAnsi="Arial" w:eastAsia="Arial" w:cs="Arial"/>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rFonts w:ascii="Arial" w:hAnsi="Arial" w:eastAsia="Arial" w:cs="Arial"/>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rFonts w:ascii="Arial" w:hAnsi="Arial" w:eastAsia="Arial" w:cs="Arial"/>
        <w:color w:val="000000" w:themeColor="text1"/>
        <w14:textFill>
          <w14:solidFill>
            <w14:schemeClr w14:val="tx1"/>
          </w14:solidFill>
        </w14:textFill>
      </w:rPr>
    </w:tblStylePr>
    <w:tblStylePr w:type="nwCell">
      <w:rPr>
        <w:rFonts w:ascii="Arial" w:hAnsi="Arial" w:eastAsia="Arial" w:cs="Arial"/>
        <w:color w:val="000000" w:themeColor="text1"/>
        <w14:textFill>
          <w14:solidFill>
            <w14:schemeClr w14:val="tx1"/>
          </w14:solidFill>
        </w14:textFill>
      </w:rPr>
    </w:tblStylePr>
  </w:style>
  <w:style w:type="table" w:styleId="124">
    <w:name w:val="Colorful List"/>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rFonts w:ascii="Arial" w:hAnsi="Arial" w:eastAsia="Arial" w:cs="Arial"/>
        <w:b/>
        <w:bCs/>
        <w:color w:val="9F3B38" w:themeColor="accent2"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5">
    <w:name w:val="Colorful List Accent 1"/>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rFonts w:ascii="Arial" w:hAnsi="Arial" w:eastAsia="Arial" w:cs="Arial"/>
        <w:b/>
        <w:bCs/>
        <w:color w:val="9F3B38" w:themeColor="accent2"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6">
    <w:name w:val="Colorful List Accent 2"/>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rFonts w:ascii="Arial" w:hAnsi="Arial" w:eastAsia="Arial" w:cs="Arial"/>
        <w:b/>
        <w:bCs/>
        <w:color w:val="9F3B38" w:themeColor="accent2"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7">
    <w:name w:val="Colorful List Accent 3"/>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rFonts w:ascii="Arial" w:hAnsi="Arial" w:eastAsia="Arial" w:cs="Arial"/>
        <w:b/>
        <w:bCs/>
        <w:color w:val="664F83" w:themeColor="accent4"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8">
    <w:name w:val="Colorful List Accent 4"/>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rFonts w:ascii="Arial" w:hAnsi="Arial" w:eastAsia="Arial" w:cs="Arial"/>
        <w:b/>
        <w:bCs/>
        <w:color w:val="7E9D40" w:themeColor="accent3"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9">
    <w:name w:val="Colorful List Accent 5"/>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rFonts w:ascii="Arial" w:hAnsi="Arial" w:eastAsia="Arial" w:cs="Arial"/>
        <w:b/>
        <w:bCs/>
        <w:color w:val="F3740B" w:themeColor="accent6"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30">
    <w:name w:val="Colorful List Accent 6"/>
    <w:basedOn w:val="12"/>
    <w:qFormat/>
    <w:uiPriority w:val="72"/>
    <w:pPr>
      <w:spacing w:after="0" w:line="240" w:lineRule="auto"/>
    </w:pPr>
    <w:rPr>
      <w:rFonts w:ascii="Arial" w:hAnsi="Arial" w:eastAsia="Arial" w:cs="Arial"/>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rFonts w:ascii="Arial" w:hAnsi="Arial" w:eastAsia="Arial" w:cs="Arial"/>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rFonts w:ascii="Arial" w:hAnsi="Arial" w:eastAsia="Arial" w:cs="Arial"/>
        <w:b/>
        <w:bCs/>
        <w:color w:val="358EA6" w:themeColor="accent5" w:themeShade="CC"/>
      </w:rPr>
      <w:tblPr/>
      <w:tcPr>
        <w:tcBorders>
          <w:top w:val="single" w:color="000000" w:themeColor="text1" w:sz="12" w:space="0"/>
        </w:tcBorders>
        <w:shd w:val="clear" w:color="auto" w:fill="FFFFFF" w:themeFill="background1"/>
      </w:tcPr>
    </w:tblStylePr>
    <w:tblStylePr w:type="firstCol">
      <w:rPr>
        <w:rFonts w:ascii="Arial" w:hAnsi="Arial" w:eastAsia="Arial" w:cs="Arial"/>
        <w:b/>
        <w:bCs/>
      </w:rPr>
    </w:tblStylePr>
    <w:tblStylePr w:type="lastCol">
      <w:rPr>
        <w:rFonts w:ascii="Arial" w:hAnsi="Arial" w:eastAsia="Arial" w:cs="Arial"/>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31">
    <w:name w:val="Colorful Grid"/>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rFonts w:ascii="Arial" w:hAnsi="Arial" w:eastAsia="Arial" w:cs="Arial"/>
        <w:b/>
        <w:bCs/>
      </w:rPr>
      <w:tblPr/>
      <w:tcPr>
        <w:shd w:val="clear" w:color="auto" w:fill="999999" w:themeFill="text1"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999999" w:themeFill="text1"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000000" w:themeFill="text1"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2">
    <w:name w:val="Colorful Grid Accent 1"/>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rFonts w:ascii="Arial" w:hAnsi="Arial" w:eastAsia="Arial" w:cs="Arial"/>
        <w:b/>
        <w:bCs/>
      </w:rPr>
      <w:tblPr/>
      <w:tcPr>
        <w:shd w:val="clear" w:color="auto" w:fill="B8CCE4" w:themeFill="accent1"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B8CCE4" w:themeFill="accent1"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366091" w:themeFill="accent1"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3">
    <w:name w:val="Colorful Grid Accent 2"/>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rFonts w:ascii="Arial" w:hAnsi="Arial" w:eastAsia="Arial" w:cs="Arial"/>
        <w:b/>
        <w:bCs/>
      </w:rPr>
      <w:tblPr/>
      <w:tcPr>
        <w:shd w:val="clear" w:color="auto" w:fill="E5B8B7" w:themeFill="accent2"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E5B8B7" w:themeFill="accent2"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943734" w:themeFill="accent2"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4">
    <w:name w:val="Colorful Grid Accent 3"/>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rFonts w:ascii="Arial" w:hAnsi="Arial" w:eastAsia="Arial" w:cs="Arial"/>
        <w:b/>
        <w:bCs/>
      </w:rPr>
      <w:tblPr/>
      <w:tcPr>
        <w:shd w:val="clear" w:color="auto" w:fill="D6E3BC" w:themeFill="accent3"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D6E3BC" w:themeFill="accent3"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76923C" w:themeFill="accent3"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5">
    <w:name w:val="Colorful Grid Accent 4"/>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rFonts w:ascii="Arial" w:hAnsi="Arial" w:eastAsia="Arial" w:cs="Arial"/>
        <w:b/>
        <w:bCs/>
      </w:rPr>
      <w:tblPr/>
      <w:tcPr>
        <w:shd w:val="clear" w:color="auto" w:fill="CCC0D9" w:themeFill="accent4"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CCC0D9" w:themeFill="accent4"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5F497A" w:themeFill="accent4"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6">
    <w:name w:val="Colorful Grid Accent 5"/>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rFonts w:ascii="Arial" w:hAnsi="Arial" w:eastAsia="Arial" w:cs="Arial"/>
        <w:b/>
        <w:bCs/>
      </w:rPr>
      <w:tblPr/>
      <w:tcPr>
        <w:shd w:val="clear" w:color="auto" w:fill="B6DDE8" w:themeFill="accent5"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B6DDE8" w:themeFill="accent5"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31849B" w:themeFill="accent5"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7">
    <w:name w:val="Colorful Grid Accent 6"/>
    <w:basedOn w:val="12"/>
    <w:qFormat/>
    <w:uiPriority w:val="73"/>
    <w:pPr>
      <w:spacing w:after="0" w:line="240" w:lineRule="auto"/>
    </w:pPr>
    <w:rPr>
      <w:rFonts w:ascii="Arial" w:hAnsi="Arial" w:eastAsia="Arial" w:cs="Arial"/>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rFonts w:ascii="Arial" w:hAnsi="Arial" w:eastAsia="Arial" w:cs="Arial"/>
        <w:b/>
        <w:bCs/>
      </w:rPr>
      <w:tblPr/>
      <w:tcPr>
        <w:shd w:val="clear" w:color="auto" w:fill="FBD4B4" w:themeFill="accent6" w:themeFillTint="66"/>
      </w:tcPr>
    </w:tblStylePr>
    <w:tblStylePr w:type="lastRow">
      <w:rPr>
        <w:rFonts w:ascii="Arial" w:hAnsi="Arial" w:eastAsia="Arial" w:cs="Arial"/>
        <w:b/>
        <w:bCs/>
        <w:color w:val="000000" w:themeColor="text1"/>
        <w14:textFill>
          <w14:solidFill>
            <w14:schemeClr w14:val="tx1"/>
          </w14:solidFill>
        </w14:textFill>
      </w:rPr>
      <w:tblPr/>
      <w:tcPr>
        <w:shd w:val="clear" w:color="auto" w:fill="FBD4B4" w:themeFill="accent6" w:themeFillTint="66"/>
      </w:tcPr>
    </w:tblStylePr>
    <w:tblStylePr w:type="firstCol">
      <w:rPr>
        <w:rFonts w:ascii="Arial" w:hAnsi="Arial" w:eastAsia="Arial" w:cs="Arial"/>
        <w:color w:val="FFFFFF" w:themeColor="background1"/>
        <w14:textFill>
          <w14:solidFill>
            <w14:schemeClr w14:val="bg1"/>
          </w14:solidFill>
        </w14:textFill>
      </w:rPr>
      <w:tblPr/>
      <w:tcPr>
        <w:shd w:val="clear" w:color="auto" w:fill="E36C09" w:themeFill="accent6" w:themeFillShade="BF"/>
      </w:tcPr>
    </w:tblStylePr>
    <w:tblStylePr w:type="lastCol">
      <w:rPr>
        <w:rFonts w:ascii="Arial" w:hAnsi="Arial" w:eastAsia="Arial" w:cs="Arial"/>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8">
    <w:name w:val="Header Char"/>
    <w:basedOn w:val="11"/>
    <w:link w:val="19"/>
    <w:qFormat/>
    <w:uiPriority w:val="99"/>
  </w:style>
  <w:style w:type="character" w:customStyle="1" w:styleId="139">
    <w:name w:val="Footer Char"/>
    <w:basedOn w:val="11"/>
    <w:link w:val="18"/>
    <w:qFormat/>
    <w:uiPriority w:val="99"/>
  </w:style>
  <w:style w:type="paragraph" w:styleId="14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1">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42">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3">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4">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5">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6">
    <w:name w:val="List Paragraph"/>
    <w:basedOn w:val="1"/>
    <w:qFormat/>
    <w:uiPriority w:val="34"/>
    <w:pPr>
      <w:ind w:left="720"/>
      <w:contextualSpacing/>
    </w:pPr>
  </w:style>
  <w:style w:type="character" w:customStyle="1" w:styleId="147">
    <w:name w:val="Body Text Char"/>
    <w:basedOn w:val="11"/>
    <w:link w:val="13"/>
    <w:qFormat/>
    <w:uiPriority w:val="99"/>
  </w:style>
  <w:style w:type="character" w:customStyle="1" w:styleId="148">
    <w:name w:val="Body Text 2 Char"/>
    <w:basedOn w:val="11"/>
    <w:link w:val="14"/>
    <w:qFormat/>
    <w:uiPriority w:val="99"/>
  </w:style>
  <w:style w:type="character" w:customStyle="1" w:styleId="149">
    <w:name w:val="Body Text 3 Char"/>
    <w:basedOn w:val="11"/>
    <w:link w:val="15"/>
    <w:qFormat/>
    <w:uiPriority w:val="99"/>
    <w:rPr>
      <w:rFonts w:ascii="Arial" w:hAnsi="Arial" w:eastAsia="Arial" w:cs="Arial"/>
      <w:sz w:val="16"/>
      <w:szCs w:val="16"/>
    </w:rPr>
  </w:style>
  <w:style w:type="character" w:customStyle="1" w:styleId="150">
    <w:name w:val="Macro Text Char"/>
    <w:basedOn w:val="11"/>
    <w:link w:val="32"/>
    <w:qFormat/>
    <w:uiPriority w:val="99"/>
    <w:rPr>
      <w:rFonts w:ascii="Arial" w:hAnsi="Arial" w:eastAsia="Arial" w:cs="Arial"/>
      <w:sz w:val="20"/>
      <w:szCs w:val="20"/>
    </w:rPr>
  </w:style>
  <w:style w:type="paragraph" w:styleId="151">
    <w:name w:val="Quote"/>
    <w:basedOn w:val="1"/>
    <w:next w:val="1"/>
    <w:link w:val="152"/>
    <w:qFormat/>
    <w:uiPriority w:val="29"/>
    <w:rPr>
      <w:rFonts w:ascii="Arial" w:hAnsi="Arial" w:eastAsia="Arial" w:cs="Arial"/>
      <w:i/>
      <w:iCs/>
      <w:color w:val="000000" w:themeColor="text1"/>
      <w14:textFill>
        <w14:solidFill>
          <w14:schemeClr w14:val="tx1"/>
        </w14:solidFill>
      </w14:textFill>
    </w:rPr>
  </w:style>
  <w:style w:type="character" w:customStyle="1" w:styleId="152">
    <w:name w:val="Quote Char"/>
    <w:basedOn w:val="11"/>
    <w:link w:val="151"/>
    <w:qFormat/>
    <w:uiPriority w:val="29"/>
    <w:rPr>
      <w:rFonts w:ascii="Arial" w:hAnsi="Arial" w:eastAsia="Arial" w:cs="Arial"/>
      <w:i/>
      <w:iCs/>
      <w:color w:val="000000" w:themeColor="text1"/>
      <w14:textFill>
        <w14:solidFill>
          <w14:schemeClr w14:val="tx1"/>
        </w14:solidFill>
      </w14:textFill>
    </w:rPr>
  </w:style>
  <w:style w:type="character" w:customStyle="1" w:styleId="153">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4">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5">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6">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7">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8">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9">
    <w:name w:val="Intense Quote"/>
    <w:basedOn w:val="1"/>
    <w:next w:val="1"/>
    <w:link w:val="160"/>
    <w:qFormat/>
    <w:uiPriority w:val="30"/>
    <w:pPr>
      <w:pBdr>
        <w:bottom w:val="single" w:color="4F81BD" w:themeColor="accent1" w:sz="4" w:space="4"/>
      </w:pBdr>
      <w:spacing w:before="200" w:after="280"/>
      <w:ind w:left="936" w:right="936"/>
    </w:pPr>
    <w:rPr>
      <w:rFonts w:ascii="Arial" w:hAnsi="Arial" w:eastAsia="Arial" w:cs="Arial"/>
      <w:b/>
      <w:bCs/>
      <w:i/>
      <w:iCs/>
      <w:color w:val="4F81BD" w:themeColor="accent1"/>
      <w14:textFill>
        <w14:solidFill>
          <w14:schemeClr w14:val="accent1"/>
        </w14:solidFill>
      </w14:textFill>
    </w:rPr>
  </w:style>
  <w:style w:type="character" w:customStyle="1" w:styleId="160">
    <w:name w:val="Intense Quote Char"/>
    <w:basedOn w:val="11"/>
    <w:link w:val="159"/>
    <w:qFormat/>
    <w:uiPriority w:val="30"/>
    <w:rPr>
      <w:rFonts w:ascii="Arial" w:hAnsi="Arial" w:eastAsia="Arial" w:cs="Arial"/>
      <w:b/>
      <w:bCs/>
      <w:i/>
      <w:iCs/>
      <w:color w:val="4F81BD" w:themeColor="accent1"/>
      <w14:textFill>
        <w14:solidFill>
          <w14:schemeClr w14:val="accent1"/>
        </w14:solidFill>
      </w14:textFill>
    </w:rPr>
  </w:style>
  <w:style w:type="character" w:customStyle="1" w:styleId="161">
    <w:name w:val="Subtle Emphasis"/>
    <w:basedOn w:val="11"/>
    <w:qFormat/>
    <w:uiPriority w:val="19"/>
    <w:rPr>
      <w:rFonts w:ascii="Arial" w:hAnsi="Arial" w:eastAsia="Arial" w:cs="Arial"/>
      <w:i/>
      <w:iCs/>
      <w:color w:val="808080" w:themeColor="text1" w:themeTint="80"/>
      <w14:textFill>
        <w14:solidFill>
          <w14:schemeClr w14:val="tx1">
            <w14:lumMod w14:val="50000"/>
            <w14:lumOff w14:val="50000"/>
          </w14:schemeClr>
        </w14:solidFill>
      </w14:textFill>
    </w:rPr>
  </w:style>
  <w:style w:type="character" w:customStyle="1" w:styleId="162">
    <w:name w:val="Intense Emphasis"/>
    <w:basedOn w:val="11"/>
    <w:qFormat/>
    <w:uiPriority w:val="21"/>
    <w:rPr>
      <w:rFonts w:ascii="Arial" w:hAnsi="Arial" w:eastAsia="Arial" w:cs="Arial"/>
      <w:b/>
      <w:bCs/>
      <w:i/>
      <w:iCs/>
      <w:color w:val="4F81BD" w:themeColor="accent1"/>
      <w14:textFill>
        <w14:solidFill>
          <w14:schemeClr w14:val="accent1"/>
        </w14:solidFill>
      </w14:textFill>
    </w:rPr>
  </w:style>
  <w:style w:type="character" w:customStyle="1" w:styleId="163">
    <w:name w:val="Subtle Reference"/>
    <w:basedOn w:val="11"/>
    <w:qFormat/>
    <w:uiPriority w:val="31"/>
    <w:rPr>
      <w:rFonts w:ascii="Arial" w:hAnsi="Arial" w:eastAsia="Arial" w:cs="Arial"/>
      <w:smallCaps/>
      <w:color w:val="C0504D" w:themeColor="accent2"/>
      <w:u w:val="single"/>
      <w14:textFill>
        <w14:solidFill>
          <w14:schemeClr w14:val="accent2"/>
        </w14:solidFill>
      </w14:textFill>
    </w:rPr>
  </w:style>
  <w:style w:type="character" w:customStyle="1" w:styleId="164">
    <w:name w:val="Intense Reference"/>
    <w:basedOn w:val="11"/>
    <w:qFormat/>
    <w:uiPriority w:val="32"/>
    <w:rPr>
      <w:rFonts w:ascii="Arial" w:hAnsi="Arial" w:eastAsia="Arial" w:cs="Arial"/>
      <w:b/>
      <w:bCs/>
      <w:smallCaps/>
      <w:color w:val="C0504D" w:themeColor="accent2"/>
      <w:spacing w:val="5"/>
      <w:u w:val="single"/>
      <w14:textFill>
        <w14:solidFill>
          <w14:schemeClr w14:val="accent2"/>
        </w14:solidFill>
      </w14:textFill>
    </w:rPr>
  </w:style>
  <w:style w:type="character" w:customStyle="1" w:styleId="165">
    <w:name w:val="Book Title"/>
    <w:basedOn w:val="11"/>
    <w:qFormat/>
    <w:uiPriority w:val="33"/>
    <w:rPr>
      <w:rFonts w:ascii="Arial" w:hAnsi="Arial" w:eastAsia="Arial" w:cs="Arial"/>
      <w:b/>
      <w:bCs/>
      <w:smallCaps/>
      <w:spacing w:val="5"/>
    </w:rPr>
  </w:style>
  <w:style w:type="paragraph" w:customStyle="1" w:styleId="166">
    <w:name w:val="TOC Heading"/>
    <w:basedOn w:val="2"/>
    <w:next w:val="1"/>
    <w:semiHidden/>
    <w:unhideWhenUsed/>
    <w:qFormat/>
    <w:uiPriority w:val="39"/>
    <w:pPr>
      <w:outlineLvl w:val="9"/>
    </w:pPr>
  </w:style>
  <w:style w:type="paragraph" w:customStyle="1" w:styleId="167">
    <w:name w:val="Source Code"/>
    <w:qFormat/>
    <w:uiPriority w:val="0"/>
    <w:pPr>
      <w:wordWrap w:val="0"/>
    </w:pPr>
    <w:rPr>
      <w:rFonts w:asciiTheme="minorHAnsi" w:hAnsiTheme="minorHAnsi" w:eastAsiaTheme="minorEastAsia" w:cstheme="minorBidi"/>
    </w:rPr>
  </w:style>
  <w:style w:type="character" w:customStyle="1" w:styleId="168">
    <w:name w:val="KeywordTok"/>
    <w:qFormat/>
    <w:uiPriority w:val="0"/>
    <w:rPr>
      <w:rFonts w:ascii="Arial" w:hAnsi="Arial" w:eastAsia="Arial" w:cs="Arial"/>
      <w:b/>
      <w:color w:val="007020"/>
    </w:rPr>
  </w:style>
  <w:style w:type="character" w:customStyle="1" w:styleId="169">
    <w:name w:val="DataTypeTok"/>
    <w:qFormat/>
    <w:uiPriority w:val="0"/>
    <w:rPr>
      <w:rFonts w:ascii="Arial" w:hAnsi="Arial" w:eastAsia="Arial" w:cs="Arial"/>
      <w:color w:val="902000"/>
    </w:rPr>
  </w:style>
  <w:style w:type="character" w:customStyle="1" w:styleId="170">
    <w:name w:val="DecValTok"/>
    <w:qFormat/>
    <w:uiPriority w:val="0"/>
    <w:rPr>
      <w:rFonts w:ascii="Arial" w:hAnsi="Arial" w:eastAsia="Arial" w:cs="Arial"/>
      <w:color w:val="40A070"/>
    </w:rPr>
  </w:style>
  <w:style w:type="character" w:customStyle="1" w:styleId="171">
    <w:name w:val="BaseNTok"/>
    <w:qFormat/>
    <w:uiPriority w:val="0"/>
    <w:rPr>
      <w:rFonts w:ascii="Arial" w:hAnsi="Arial" w:eastAsia="Arial" w:cs="Arial"/>
      <w:color w:val="40A070"/>
    </w:rPr>
  </w:style>
  <w:style w:type="character" w:customStyle="1" w:styleId="172">
    <w:name w:val="FloatTok"/>
    <w:qFormat/>
    <w:uiPriority w:val="0"/>
    <w:rPr>
      <w:rFonts w:ascii="Arial" w:hAnsi="Arial" w:eastAsia="Arial" w:cs="Arial"/>
      <w:color w:val="40A070"/>
    </w:rPr>
  </w:style>
  <w:style w:type="character" w:customStyle="1" w:styleId="173">
    <w:name w:val="ConstantTok"/>
    <w:qFormat/>
    <w:uiPriority w:val="0"/>
    <w:rPr>
      <w:rFonts w:ascii="Arial" w:hAnsi="Arial" w:eastAsia="Arial" w:cs="Arial"/>
      <w:color w:val="880000"/>
    </w:rPr>
  </w:style>
  <w:style w:type="character" w:customStyle="1" w:styleId="174">
    <w:name w:val="CharTok"/>
    <w:qFormat/>
    <w:uiPriority w:val="0"/>
    <w:rPr>
      <w:rFonts w:ascii="Arial" w:hAnsi="Arial" w:eastAsia="Arial" w:cs="Arial"/>
      <w:color w:val="4070A0"/>
    </w:rPr>
  </w:style>
  <w:style w:type="character" w:customStyle="1" w:styleId="175">
    <w:name w:val="SpecialCharTok"/>
    <w:qFormat/>
    <w:uiPriority w:val="0"/>
    <w:rPr>
      <w:rFonts w:ascii="Arial" w:hAnsi="Arial" w:eastAsia="Arial" w:cs="Arial"/>
      <w:color w:val="4070A0"/>
    </w:rPr>
  </w:style>
  <w:style w:type="character" w:customStyle="1" w:styleId="176">
    <w:name w:val="StringTok"/>
    <w:qFormat/>
    <w:uiPriority w:val="0"/>
    <w:rPr>
      <w:rFonts w:ascii="Arial" w:hAnsi="Arial" w:eastAsia="Arial" w:cs="Arial"/>
      <w:color w:val="4070A0"/>
    </w:rPr>
  </w:style>
  <w:style w:type="character" w:customStyle="1" w:styleId="177">
    <w:name w:val="VerbatimStringTok"/>
    <w:qFormat/>
    <w:uiPriority w:val="0"/>
    <w:rPr>
      <w:rFonts w:ascii="Arial" w:hAnsi="Arial" w:eastAsia="Arial" w:cs="Arial"/>
      <w:color w:val="4070A0"/>
    </w:rPr>
  </w:style>
  <w:style w:type="character" w:customStyle="1" w:styleId="178">
    <w:name w:val="SpecialStringTok"/>
    <w:qFormat/>
    <w:uiPriority w:val="0"/>
    <w:rPr>
      <w:rFonts w:ascii="Arial" w:hAnsi="Arial" w:eastAsia="Arial" w:cs="Arial"/>
      <w:color w:val="BB6688"/>
    </w:rPr>
  </w:style>
  <w:style w:type="character" w:customStyle="1" w:styleId="179">
    <w:name w:val="ImportTok"/>
    <w:qFormat/>
    <w:uiPriority w:val="0"/>
    <w:rPr>
      <w:rFonts w:ascii="Arial" w:hAnsi="Arial" w:eastAsia="Arial" w:cs="Arial"/>
      <w:b/>
      <w:color w:val="008000"/>
    </w:rPr>
  </w:style>
  <w:style w:type="character" w:customStyle="1" w:styleId="180">
    <w:name w:val="CommentTok"/>
    <w:qFormat/>
    <w:uiPriority w:val="0"/>
    <w:rPr>
      <w:rFonts w:ascii="Arial" w:hAnsi="Arial" w:eastAsia="Arial" w:cs="Arial"/>
      <w:i/>
      <w:color w:val="60A0B0"/>
    </w:rPr>
  </w:style>
  <w:style w:type="character" w:customStyle="1" w:styleId="181">
    <w:name w:val="DocumentationTok"/>
    <w:qFormat/>
    <w:uiPriority w:val="0"/>
    <w:rPr>
      <w:rFonts w:ascii="Arial" w:hAnsi="Arial" w:eastAsia="Arial" w:cs="Arial"/>
      <w:i/>
      <w:color w:val="BA2121"/>
    </w:rPr>
  </w:style>
  <w:style w:type="character" w:customStyle="1" w:styleId="182">
    <w:name w:val="AnnotationTok"/>
    <w:qFormat/>
    <w:uiPriority w:val="0"/>
    <w:rPr>
      <w:rFonts w:ascii="Arial" w:hAnsi="Arial" w:eastAsia="Arial" w:cs="Arial"/>
      <w:b/>
      <w:i/>
      <w:color w:val="60A0B0"/>
    </w:rPr>
  </w:style>
  <w:style w:type="character" w:customStyle="1" w:styleId="183">
    <w:name w:val="CommentVarTok"/>
    <w:qFormat/>
    <w:uiPriority w:val="0"/>
    <w:rPr>
      <w:rFonts w:ascii="Arial" w:hAnsi="Arial" w:eastAsia="Arial" w:cs="Arial"/>
      <w:b/>
      <w:i/>
      <w:color w:val="60A0B0"/>
    </w:rPr>
  </w:style>
  <w:style w:type="character" w:customStyle="1" w:styleId="184">
    <w:name w:val="OtherTok"/>
    <w:qFormat/>
    <w:uiPriority w:val="0"/>
    <w:rPr>
      <w:rFonts w:ascii="Arial" w:hAnsi="Arial" w:eastAsia="Arial" w:cs="Arial"/>
      <w:color w:val="007020"/>
    </w:rPr>
  </w:style>
  <w:style w:type="character" w:customStyle="1" w:styleId="185">
    <w:name w:val="FunctionTok"/>
    <w:qFormat/>
    <w:uiPriority w:val="0"/>
    <w:rPr>
      <w:rFonts w:ascii="Arial" w:hAnsi="Arial" w:eastAsia="Arial" w:cs="Arial"/>
      <w:color w:val="06287E"/>
    </w:rPr>
  </w:style>
  <w:style w:type="character" w:customStyle="1" w:styleId="186">
    <w:name w:val="VariableTok"/>
    <w:qFormat/>
    <w:uiPriority w:val="0"/>
    <w:rPr>
      <w:rFonts w:ascii="Arial" w:hAnsi="Arial" w:eastAsia="Arial" w:cs="Arial"/>
      <w:color w:val="19177C"/>
    </w:rPr>
  </w:style>
  <w:style w:type="character" w:customStyle="1" w:styleId="187">
    <w:name w:val="ControlFlowTok"/>
    <w:qFormat/>
    <w:uiPriority w:val="0"/>
    <w:rPr>
      <w:rFonts w:ascii="Arial" w:hAnsi="Arial" w:eastAsia="Arial" w:cs="Arial"/>
      <w:b/>
      <w:color w:val="007020"/>
    </w:rPr>
  </w:style>
  <w:style w:type="character" w:customStyle="1" w:styleId="188">
    <w:name w:val="OperatorTok"/>
    <w:qFormat/>
    <w:uiPriority w:val="0"/>
    <w:rPr>
      <w:rFonts w:ascii="Arial" w:hAnsi="Arial" w:eastAsia="Arial" w:cs="Arial"/>
      <w:color w:val="666666"/>
    </w:rPr>
  </w:style>
  <w:style w:type="character" w:customStyle="1" w:styleId="189">
    <w:name w:val="BuiltInTok"/>
    <w:qFormat/>
    <w:uiPriority w:val="0"/>
    <w:rPr>
      <w:rFonts w:ascii="Arial" w:hAnsi="Arial" w:eastAsia="Arial" w:cs="Arial"/>
      <w:color w:val="008000"/>
    </w:rPr>
  </w:style>
  <w:style w:type="character" w:customStyle="1" w:styleId="190">
    <w:name w:val="ExtensionTok"/>
    <w:qFormat/>
    <w:uiPriority w:val="0"/>
  </w:style>
  <w:style w:type="character" w:customStyle="1" w:styleId="191">
    <w:name w:val="PreprocessorTok"/>
    <w:qFormat/>
    <w:uiPriority w:val="0"/>
    <w:rPr>
      <w:rFonts w:ascii="Arial" w:hAnsi="Arial" w:eastAsia="Arial" w:cs="Arial"/>
      <w:color w:val="BC7A00"/>
    </w:rPr>
  </w:style>
  <w:style w:type="character" w:customStyle="1" w:styleId="192">
    <w:name w:val="AttributeTok"/>
    <w:qFormat/>
    <w:uiPriority w:val="0"/>
    <w:rPr>
      <w:rFonts w:ascii="Arial" w:hAnsi="Arial" w:eastAsia="Arial" w:cs="Arial"/>
      <w:color w:val="7D9029"/>
    </w:rPr>
  </w:style>
  <w:style w:type="character" w:customStyle="1" w:styleId="193">
    <w:name w:val="RegionMarkerTok"/>
    <w:qFormat/>
    <w:uiPriority w:val="0"/>
  </w:style>
  <w:style w:type="character" w:customStyle="1" w:styleId="194">
    <w:name w:val="InformationTok"/>
    <w:qFormat/>
    <w:uiPriority w:val="0"/>
    <w:rPr>
      <w:rFonts w:ascii="Arial" w:hAnsi="Arial" w:eastAsia="Arial" w:cs="Arial"/>
      <w:b/>
      <w:i/>
      <w:color w:val="60A0B0"/>
    </w:rPr>
  </w:style>
  <w:style w:type="character" w:customStyle="1" w:styleId="195">
    <w:name w:val="WarningTok"/>
    <w:qFormat/>
    <w:uiPriority w:val="0"/>
    <w:rPr>
      <w:rFonts w:ascii="Arial" w:hAnsi="Arial" w:eastAsia="Arial" w:cs="Arial"/>
      <w:b/>
      <w:i/>
      <w:color w:val="60A0B0"/>
    </w:rPr>
  </w:style>
  <w:style w:type="character" w:customStyle="1" w:styleId="196">
    <w:name w:val="AlertTok"/>
    <w:qFormat/>
    <w:uiPriority w:val="0"/>
    <w:rPr>
      <w:rFonts w:ascii="Arial" w:hAnsi="Arial" w:eastAsia="Arial" w:cs="Arial"/>
      <w:b/>
      <w:color w:val="FF0000"/>
    </w:rPr>
  </w:style>
  <w:style w:type="character" w:customStyle="1" w:styleId="197">
    <w:name w:val="ErrorTok"/>
    <w:qFormat/>
    <w:uiPriority w:val="0"/>
    <w:rPr>
      <w:rFonts w:ascii="Arial" w:hAnsi="Arial" w:eastAsia="Arial" w:cs="Arial"/>
      <w:b/>
      <w:color w:val="FF0000"/>
    </w:rPr>
  </w:style>
  <w:style w:type="character" w:customStyle="1" w:styleId="198">
    <w:name w:val="NormalTok"/>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19</Pages>
  <Words>3495</Words>
  <Characters>21546</Characters>
  <Lines>0</Lines>
  <Paragraphs>0</Paragraphs>
  <TotalTime>5</TotalTime>
  <ScaleCrop>false</ScaleCrop>
  <LinksUpToDate>false</LinksUpToDate>
  <CharactersWithSpaces>24799</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2026-10-09T03:13:00Z</dcterms:created>
  <dc:creator>Alain Hoola</dc:creator>
  <cp:lastModifiedBy>WPS_1791603566</cp:lastModifiedBy>
  <dcterms:modified xsi:type="dcterms:W3CDTF">2026-10-21T03:02:46Z</dcterms:modified>
  <dc:subject>Human Capital Management</dc:subject>
  <dc:title>Innovating New Working Practices and Breeding an Environment Where Talent May Grow</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eyJoZGlkIjoiMGU0NGMwZGI4NzkxNjQ4ZDM2YzAxODQ4ZGU2NzY2NGMiLCJ1c2VySWQiOiIzODQ4Mjk4NTE4NDE4In0=</vt:lpwstr>
  </property>
  <property fmtid="{D5CDD505-2E9C-101B-9397-08002B2CF9AE}" pid="3" name="KSOProductBuildVer">
    <vt:lpwstr>1033-12.1.0.29162</vt:lpwstr>
  </property>
  <property fmtid="{D5CDD505-2E9C-101B-9397-08002B2CF9AE}" pid="4" name="ICV">
    <vt:lpwstr>750703CF18084680A32B1ABAB7D64597_12</vt:lpwstr>
  </property>
</Properties>
</file>