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0FD0D" w14:textId="41817A71" w:rsidR="00727B0E" w:rsidRDefault="00727B0E" w:rsidP="00727B0E"/>
    <w:p w14:paraId="7219FABE" w14:textId="77777777" w:rsidR="007B57C4" w:rsidRDefault="007B57C4" w:rsidP="007B57C4">
      <w:pPr>
        <w:pStyle w:val="Title"/>
        <w:jc w:val="center"/>
      </w:pPr>
    </w:p>
    <w:p w14:paraId="66AA14B7" w14:textId="77777777" w:rsidR="007B57C4" w:rsidRDefault="007B57C4" w:rsidP="007B57C4">
      <w:pPr>
        <w:pStyle w:val="Title"/>
        <w:jc w:val="center"/>
      </w:pPr>
    </w:p>
    <w:p w14:paraId="54EEAEFE" w14:textId="77777777" w:rsidR="007B57C4" w:rsidRDefault="007B57C4" w:rsidP="007B57C4">
      <w:pPr>
        <w:pStyle w:val="Title"/>
        <w:jc w:val="center"/>
      </w:pPr>
    </w:p>
    <w:p w14:paraId="42B5CF61" w14:textId="77777777" w:rsidR="007B57C4" w:rsidRDefault="007B57C4" w:rsidP="007B57C4">
      <w:pPr>
        <w:pStyle w:val="Title"/>
        <w:jc w:val="center"/>
      </w:pPr>
    </w:p>
    <w:p w14:paraId="35B73749" w14:textId="0966C628" w:rsidR="00D56D65" w:rsidRPr="00D56D65" w:rsidRDefault="00857A02" w:rsidP="00D56D65">
      <w:pPr>
        <w:pStyle w:val="Title"/>
        <w:jc w:val="center"/>
      </w:pPr>
      <w:r w:rsidRPr="00857A02">
        <w:t>International Meetings Management for the Hotel Industry</w:t>
      </w:r>
    </w:p>
    <w:p w14:paraId="4BDD319D" w14:textId="77777777" w:rsidR="007B57C4" w:rsidRDefault="007B57C4" w:rsidP="007B57C4">
      <w:pPr>
        <w:pStyle w:val="Title"/>
        <w:jc w:val="center"/>
        <w:rPr>
          <w:sz w:val="32"/>
          <w:szCs w:val="32"/>
        </w:rPr>
      </w:pPr>
    </w:p>
    <w:p w14:paraId="458008B1" w14:textId="69DF4B86" w:rsidR="003A6B9F" w:rsidRDefault="00A0545A" w:rsidP="007B57C4">
      <w:pPr>
        <w:pStyle w:val="Title"/>
        <w:jc w:val="center"/>
        <w:rPr>
          <w:sz w:val="44"/>
          <w:szCs w:val="44"/>
        </w:rPr>
      </w:pPr>
      <w:r>
        <w:rPr>
          <w:sz w:val="44"/>
          <w:szCs w:val="44"/>
        </w:rPr>
        <w:t xml:space="preserve"> </w:t>
      </w:r>
      <w:r w:rsidR="009A381B">
        <w:rPr>
          <w:sz w:val="44"/>
          <w:szCs w:val="44"/>
        </w:rPr>
        <w:t xml:space="preserve">Module code: </w:t>
      </w:r>
      <w:r w:rsidR="000246FE" w:rsidRPr="000246FE">
        <w:rPr>
          <w:sz w:val="44"/>
          <w:szCs w:val="44"/>
        </w:rPr>
        <w:t>(BMIH6010)</w:t>
      </w:r>
      <w:r w:rsidR="004905A2">
        <w:rPr>
          <w:sz w:val="44"/>
          <w:szCs w:val="44"/>
        </w:rPr>
        <w:t xml:space="preserve"> </w:t>
      </w:r>
    </w:p>
    <w:p w14:paraId="4AAE99D9" w14:textId="0B5E8E26" w:rsidR="007B57C4" w:rsidRPr="000246FE" w:rsidRDefault="00B879A5" w:rsidP="007B57C4">
      <w:pPr>
        <w:pStyle w:val="Title"/>
        <w:jc w:val="center"/>
        <w:rPr>
          <w:sz w:val="44"/>
          <w:szCs w:val="44"/>
        </w:rPr>
      </w:pPr>
      <w:r>
        <w:rPr>
          <w:sz w:val="44"/>
          <w:szCs w:val="44"/>
        </w:rPr>
        <w:t>T</w:t>
      </w:r>
      <w:r w:rsidR="00E80920">
        <w:rPr>
          <w:sz w:val="44"/>
          <w:szCs w:val="44"/>
        </w:rPr>
        <w:t>itle: Re</w:t>
      </w:r>
      <w:r w:rsidR="003A6B9F">
        <w:rPr>
          <w:sz w:val="44"/>
          <w:szCs w:val="44"/>
        </w:rPr>
        <w:t>port</w:t>
      </w:r>
    </w:p>
    <w:p w14:paraId="6892544A" w14:textId="77777777" w:rsidR="007B57C4" w:rsidRDefault="007B57C4" w:rsidP="007B57C4">
      <w:pPr>
        <w:pStyle w:val="Title"/>
        <w:jc w:val="center"/>
        <w:rPr>
          <w:sz w:val="32"/>
          <w:szCs w:val="32"/>
        </w:rPr>
      </w:pPr>
    </w:p>
    <w:p w14:paraId="11EAFC0F" w14:textId="4EAB2F4C" w:rsidR="007B57C4" w:rsidRDefault="007B57C4" w:rsidP="007B57C4">
      <w:pPr>
        <w:pStyle w:val="Title"/>
        <w:jc w:val="center"/>
        <w:rPr>
          <w:sz w:val="32"/>
          <w:szCs w:val="32"/>
        </w:rPr>
      </w:pPr>
      <w:r w:rsidRPr="007B57C4">
        <w:rPr>
          <w:sz w:val="32"/>
          <w:szCs w:val="32"/>
        </w:rPr>
        <w:t xml:space="preserve"> </w:t>
      </w:r>
      <w:r w:rsidR="00364902" w:rsidRPr="007B57C4">
        <w:rPr>
          <w:sz w:val="32"/>
          <w:szCs w:val="32"/>
        </w:rPr>
        <w:t xml:space="preserve">The Resort &amp; Residential Hospitality Forum (R&amp;R Forum) at the InterContinental Athenaeum, Athens, Greece </w:t>
      </w:r>
    </w:p>
    <w:p w14:paraId="232467E8" w14:textId="77777777" w:rsidR="00A366F9" w:rsidRDefault="00A366F9" w:rsidP="007B57C4">
      <w:pPr>
        <w:pStyle w:val="Title"/>
        <w:jc w:val="center"/>
        <w:rPr>
          <w:sz w:val="36"/>
          <w:szCs w:val="36"/>
        </w:rPr>
      </w:pPr>
    </w:p>
    <w:p w14:paraId="0BB825C6" w14:textId="77777777" w:rsidR="002B3492" w:rsidRDefault="00B9150F" w:rsidP="007B57C4">
      <w:pPr>
        <w:pStyle w:val="Title"/>
        <w:jc w:val="center"/>
        <w:rPr>
          <w:sz w:val="36"/>
          <w:szCs w:val="36"/>
        </w:rPr>
      </w:pPr>
      <w:r>
        <w:rPr>
          <w:sz w:val="36"/>
          <w:szCs w:val="36"/>
        </w:rPr>
        <w:t xml:space="preserve">Word count </w:t>
      </w:r>
      <w:r w:rsidR="00F769A3">
        <w:rPr>
          <w:sz w:val="36"/>
          <w:szCs w:val="36"/>
        </w:rPr>
        <w:t>2,000</w:t>
      </w:r>
    </w:p>
    <w:p w14:paraId="59612AC0" w14:textId="6698B72D" w:rsidR="00A366F9" w:rsidRDefault="009E6BA2" w:rsidP="007B57C4">
      <w:pPr>
        <w:pStyle w:val="Title"/>
        <w:jc w:val="center"/>
        <w:rPr>
          <w:sz w:val="36"/>
          <w:szCs w:val="36"/>
        </w:rPr>
      </w:pPr>
      <w:r>
        <w:rPr>
          <w:sz w:val="36"/>
          <w:szCs w:val="36"/>
        </w:rPr>
        <w:t xml:space="preserve"> Le</w:t>
      </w:r>
      <w:r w:rsidR="00A404B3">
        <w:rPr>
          <w:sz w:val="36"/>
          <w:szCs w:val="36"/>
        </w:rPr>
        <w:t>cturer: Lisa B</w:t>
      </w:r>
      <w:r w:rsidR="002B3492">
        <w:rPr>
          <w:sz w:val="36"/>
          <w:szCs w:val="36"/>
        </w:rPr>
        <w:t>assler</w:t>
      </w:r>
    </w:p>
    <w:p w14:paraId="5A8AA568" w14:textId="42305954" w:rsidR="00047B79" w:rsidRPr="00047B79" w:rsidRDefault="00047B79" w:rsidP="00047B79"/>
    <w:p w14:paraId="576EBDF9" w14:textId="77777777" w:rsidR="007C6901" w:rsidRDefault="007C6901" w:rsidP="007C6901"/>
    <w:p w14:paraId="5D054E5E" w14:textId="77777777" w:rsidR="007C6901" w:rsidRPr="007C6901" w:rsidRDefault="007C6901" w:rsidP="007C6901"/>
    <w:p w14:paraId="23740D0F" w14:textId="77777777" w:rsidR="00054CE3" w:rsidRDefault="00054CE3" w:rsidP="007B57C4">
      <w:pPr>
        <w:pStyle w:val="Title"/>
        <w:jc w:val="center"/>
        <w:rPr>
          <w:sz w:val="36"/>
          <w:szCs w:val="36"/>
        </w:rPr>
      </w:pPr>
    </w:p>
    <w:p w14:paraId="69791279" w14:textId="5709604D" w:rsidR="007B57C4" w:rsidRPr="00A366F9" w:rsidRDefault="007B57C4" w:rsidP="007B57C4">
      <w:pPr>
        <w:pStyle w:val="Title"/>
        <w:jc w:val="center"/>
        <w:rPr>
          <w:sz w:val="36"/>
          <w:szCs w:val="36"/>
        </w:rPr>
      </w:pPr>
      <w:r w:rsidRPr="00A366F9">
        <w:rPr>
          <w:sz w:val="36"/>
          <w:szCs w:val="36"/>
        </w:rPr>
        <w:t>Student Name:</w:t>
      </w:r>
      <w:r w:rsidR="007A2FC3">
        <w:rPr>
          <w:sz w:val="36"/>
          <w:szCs w:val="36"/>
        </w:rPr>
        <w:t xml:space="preserve"> </w:t>
      </w:r>
      <w:r w:rsidR="00400D31">
        <w:rPr>
          <w:sz w:val="36"/>
          <w:szCs w:val="36"/>
        </w:rPr>
        <w:t>H</w:t>
      </w:r>
      <w:r w:rsidR="00400D31" w:rsidRPr="00400D31">
        <w:rPr>
          <w:sz w:val="36"/>
          <w:szCs w:val="36"/>
        </w:rPr>
        <w:t xml:space="preserve">anna </w:t>
      </w:r>
      <w:r w:rsidR="00400D31">
        <w:rPr>
          <w:sz w:val="36"/>
          <w:szCs w:val="36"/>
        </w:rPr>
        <w:t>H</w:t>
      </w:r>
      <w:r w:rsidR="00400D31" w:rsidRPr="00400D31">
        <w:rPr>
          <w:sz w:val="36"/>
          <w:szCs w:val="36"/>
        </w:rPr>
        <w:t>ailemariam</w:t>
      </w:r>
    </w:p>
    <w:p w14:paraId="784062D4" w14:textId="77777777" w:rsidR="00A87EAB" w:rsidRDefault="007B57C4" w:rsidP="007B57C4">
      <w:pPr>
        <w:pStyle w:val="Title"/>
        <w:jc w:val="center"/>
        <w:rPr>
          <w:sz w:val="32"/>
          <w:szCs w:val="32"/>
        </w:rPr>
      </w:pPr>
      <w:r w:rsidRPr="00A366F9">
        <w:rPr>
          <w:sz w:val="36"/>
          <w:szCs w:val="36"/>
        </w:rPr>
        <w:t>Student ID</w:t>
      </w:r>
      <w:r>
        <w:rPr>
          <w:sz w:val="32"/>
          <w:szCs w:val="32"/>
        </w:rPr>
        <w:t>:</w:t>
      </w:r>
      <w:r w:rsidR="00400D31">
        <w:rPr>
          <w:sz w:val="32"/>
          <w:szCs w:val="32"/>
        </w:rPr>
        <w:t>23</w:t>
      </w:r>
      <w:r w:rsidR="006D4DA8">
        <w:rPr>
          <w:sz w:val="32"/>
          <w:szCs w:val="32"/>
        </w:rPr>
        <w:t>16</w:t>
      </w:r>
      <w:r w:rsidR="006F3F8D">
        <w:rPr>
          <w:sz w:val="32"/>
          <w:szCs w:val="32"/>
        </w:rPr>
        <w:t>775</w:t>
      </w:r>
    </w:p>
    <w:p w14:paraId="79110934" w14:textId="77777777" w:rsidR="003C0B2C" w:rsidRDefault="003C0B2C" w:rsidP="007B57C4">
      <w:pPr>
        <w:pStyle w:val="Title"/>
        <w:jc w:val="center"/>
        <w:rPr>
          <w:sz w:val="32"/>
          <w:szCs w:val="32"/>
        </w:rPr>
      </w:pPr>
    </w:p>
    <w:p w14:paraId="5E7DB4A4" w14:textId="77777777" w:rsidR="003C0B2C" w:rsidRDefault="003C0B2C" w:rsidP="007B57C4">
      <w:pPr>
        <w:pStyle w:val="Title"/>
        <w:jc w:val="center"/>
        <w:rPr>
          <w:sz w:val="32"/>
          <w:szCs w:val="32"/>
        </w:rPr>
      </w:pPr>
    </w:p>
    <w:p w14:paraId="20F7BBED" w14:textId="77777777" w:rsidR="00C01919" w:rsidRDefault="003C0B2C" w:rsidP="007B57C4">
      <w:pPr>
        <w:pStyle w:val="Title"/>
        <w:jc w:val="center"/>
        <w:rPr>
          <w:sz w:val="32"/>
          <w:szCs w:val="32"/>
        </w:rPr>
      </w:pPr>
      <w:r>
        <w:rPr>
          <w:sz w:val="32"/>
          <w:szCs w:val="32"/>
        </w:rPr>
        <w:t>Date 16</w:t>
      </w:r>
      <w:r w:rsidR="00440CB8">
        <w:rPr>
          <w:sz w:val="32"/>
          <w:szCs w:val="32"/>
        </w:rPr>
        <w:t xml:space="preserve"> January </w:t>
      </w:r>
      <w:r w:rsidR="00047B79">
        <w:rPr>
          <w:sz w:val="32"/>
          <w:szCs w:val="32"/>
        </w:rPr>
        <w:t>2026</w:t>
      </w:r>
    </w:p>
    <w:p w14:paraId="49314513" w14:textId="77777777" w:rsidR="00135087" w:rsidRDefault="00135087" w:rsidP="007B57C4">
      <w:pPr>
        <w:pStyle w:val="Title"/>
        <w:jc w:val="center"/>
        <w:rPr>
          <w:sz w:val="32"/>
          <w:szCs w:val="32"/>
        </w:rPr>
      </w:pPr>
    </w:p>
    <w:p w14:paraId="5F330F6B" w14:textId="77777777" w:rsidR="00C75211" w:rsidRDefault="00C75211" w:rsidP="007B57C4">
      <w:pPr>
        <w:pStyle w:val="Title"/>
        <w:jc w:val="center"/>
        <w:rPr>
          <w:b w:val="0"/>
          <w:bCs/>
          <w:sz w:val="32"/>
          <w:szCs w:val="32"/>
        </w:rPr>
      </w:pPr>
    </w:p>
    <w:p w14:paraId="62E59B8F" w14:textId="77777777" w:rsidR="00C75211" w:rsidRDefault="00C75211" w:rsidP="007B57C4">
      <w:pPr>
        <w:pStyle w:val="Title"/>
        <w:jc w:val="center"/>
        <w:rPr>
          <w:b w:val="0"/>
          <w:bCs/>
          <w:sz w:val="32"/>
          <w:szCs w:val="32"/>
        </w:rPr>
      </w:pPr>
    </w:p>
    <w:p w14:paraId="5FF4E5FA" w14:textId="77777777" w:rsidR="00C75211" w:rsidRDefault="00C75211" w:rsidP="007B57C4">
      <w:pPr>
        <w:pStyle w:val="Title"/>
        <w:jc w:val="center"/>
        <w:rPr>
          <w:b w:val="0"/>
          <w:bCs/>
          <w:sz w:val="32"/>
          <w:szCs w:val="32"/>
        </w:rPr>
      </w:pPr>
    </w:p>
    <w:p w14:paraId="78BF0759" w14:textId="77777777" w:rsidR="00C75211" w:rsidRDefault="00C75211" w:rsidP="007B57C4">
      <w:pPr>
        <w:pStyle w:val="Title"/>
        <w:jc w:val="center"/>
        <w:rPr>
          <w:b w:val="0"/>
          <w:bCs/>
          <w:sz w:val="32"/>
          <w:szCs w:val="32"/>
        </w:rPr>
      </w:pPr>
    </w:p>
    <w:p w14:paraId="6CE00808" w14:textId="77777777" w:rsidR="00C75211" w:rsidRDefault="00C75211" w:rsidP="007B57C4">
      <w:pPr>
        <w:pStyle w:val="Title"/>
        <w:jc w:val="center"/>
        <w:rPr>
          <w:b w:val="0"/>
          <w:bCs/>
          <w:sz w:val="32"/>
          <w:szCs w:val="32"/>
        </w:rPr>
      </w:pPr>
    </w:p>
    <w:p w14:paraId="5FA62C06" w14:textId="77777777" w:rsidR="00C75211" w:rsidRDefault="00C75211" w:rsidP="007B57C4">
      <w:pPr>
        <w:pStyle w:val="Title"/>
        <w:jc w:val="center"/>
        <w:rPr>
          <w:b w:val="0"/>
          <w:bCs/>
          <w:sz w:val="32"/>
          <w:szCs w:val="32"/>
        </w:rPr>
      </w:pPr>
    </w:p>
    <w:p w14:paraId="19AB4D83" w14:textId="77777777" w:rsidR="00C75211" w:rsidRDefault="00C75211" w:rsidP="007B57C4">
      <w:pPr>
        <w:pStyle w:val="Title"/>
        <w:jc w:val="center"/>
        <w:rPr>
          <w:b w:val="0"/>
          <w:bCs/>
          <w:sz w:val="32"/>
          <w:szCs w:val="32"/>
        </w:rPr>
      </w:pPr>
    </w:p>
    <w:p w14:paraId="617F4CD3" w14:textId="04F3D7D2" w:rsidR="00F6590D" w:rsidRPr="00D72984" w:rsidRDefault="0087180D" w:rsidP="007B57C4">
      <w:pPr>
        <w:pStyle w:val="Title"/>
        <w:jc w:val="center"/>
        <w:rPr>
          <w:b w:val="0"/>
          <w:bCs/>
          <w:color w:val="0D0D0D" w:themeColor="text1" w:themeTint="F2"/>
          <w:kern w:val="2"/>
          <w:sz w:val="32"/>
          <w:szCs w:val="32"/>
          <w:lang w:val="en-US"/>
          <w14:ligatures w14:val="standardContextual"/>
        </w:rPr>
      </w:pPr>
      <w:r w:rsidRPr="00D72984">
        <w:rPr>
          <w:b w:val="0"/>
          <w:bCs/>
          <w:sz w:val="32"/>
          <w:szCs w:val="32"/>
        </w:rPr>
        <w:t>I conf</w:t>
      </w:r>
      <w:r w:rsidR="00081609" w:rsidRPr="00D72984">
        <w:rPr>
          <w:b w:val="0"/>
          <w:bCs/>
          <w:sz w:val="32"/>
          <w:szCs w:val="32"/>
        </w:rPr>
        <w:t xml:space="preserve">irm that I have not </w:t>
      </w:r>
      <w:r w:rsidR="00F75638" w:rsidRPr="00D72984">
        <w:rPr>
          <w:b w:val="0"/>
          <w:bCs/>
          <w:sz w:val="32"/>
          <w:szCs w:val="32"/>
        </w:rPr>
        <w:t>used any A</w:t>
      </w:r>
      <w:r w:rsidR="00090D68" w:rsidRPr="00D72984">
        <w:rPr>
          <w:b w:val="0"/>
          <w:bCs/>
          <w:sz w:val="32"/>
          <w:szCs w:val="32"/>
        </w:rPr>
        <w:t xml:space="preserve">l tools </w:t>
      </w:r>
      <w:r w:rsidR="00D92C65" w:rsidRPr="00D72984">
        <w:rPr>
          <w:b w:val="0"/>
          <w:bCs/>
          <w:sz w:val="32"/>
          <w:szCs w:val="32"/>
        </w:rPr>
        <w:t xml:space="preserve">in the </w:t>
      </w:r>
      <w:r w:rsidR="00F13449" w:rsidRPr="00D72984">
        <w:rPr>
          <w:b w:val="0"/>
          <w:bCs/>
          <w:sz w:val="32"/>
          <w:szCs w:val="32"/>
        </w:rPr>
        <w:t>rese</w:t>
      </w:r>
      <w:r w:rsidR="00D65159" w:rsidRPr="00D72984">
        <w:rPr>
          <w:b w:val="0"/>
          <w:bCs/>
          <w:sz w:val="32"/>
          <w:szCs w:val="32"/>
        </w:rPr>
        <w:t xml:space="preserve">arch and </w:t>
      </w:r>
      <w:r w:rsidR="001F6396" w:rsidRPr="00D72984">
        <w:rPr>
          <w:b w:val="0"/>
          <w:bCs/>
          <w:sz w:val="32"/>
          <w:szCs w:val="32"/>
        </w:rPr>
        <w:t xml:space="preserve">creation of this </w:t>
      </w:r>
      <w:r w:rsidR="008A2C3E" w:rsidRPr="00D72984">
        <w:rPr>
          <w:b w:val="0"/>
          <w:bCs/>
          <w:sz w:val="32"/>
          <w:szCs w:val="32"/>
        </w:rPr>
        <w:t>assignment.</w:t>
      </w:r>
      <w:r w:rsidR="00041869" w:rsidRPr="00D72984">
        <w:rPr>
          <w:b w:val="0"/>
          <w:bCs/>
          <w:sz w:val="32"/>
          <w:szCs w:val="32"/>
        </w:rPr>
        <w:t xml:space="preserve"> I confi</w:t>
      </w:r>
      <w:r w:rsidR="007247B9" w:rsidRPr="00D72984">
        <w:rPr>
          <w:b w:val="0"/>
          <w:bCs/>
          <w:sz w:val="32"/>
          <w:szCs w:val="32"/>
        </w:rPr>
        <w:t>rm that I have not</w:t>
      </w:r>
      <w:r w:rsidR="000B6490" w:rsidRPr="00D72984">
        <w:rPr>
          <w:b w:val="0"/>
          <w:bCs/>
          <w:sz w:val="32"/>
          <w:szCs w:val="32"/>
        </w:rPr>
        <w:t xml:space="preserve"> </w:t>
      </w:r>
      <w:r w:rsidR="009A5DBD" w:rsidRPr="00D72984">
        <w:rPr>
          <w:b w:val="0"/>
          <w:bCs/>
          <w:sz w:val="32"/>
          <w:szCs w:val="32"/>
        </w:rPr>
        <w:t>pr</w:t>
      </w:r>
      <w:r w:rsidR="007A0D76" w:rsidRPr="00D72984">
        <w:rPr>
          <w:b w:val="0"/>
          <w:bCs/>
          <w:sz w:val="32"/>
          <w:szCs w:val="32"/>
        </w:rPr>
        <w:t xml:space="preserve">esent any </w:t>
      </w:r>
      <w:r w:rsidR="001E3A41" w:rsidRPr="00D72984">
        <w:rPr>
          <w:b w:val="0"/>
          <w:bCs/>
          <w:sz w:val="32"/>
          <w:szCs w:val="32"/>
        </w:rPr>
        <w:t>A</w:t>
      </w:r>
      <w:r w:rsidR="00C61549">
        <w:rPr>
          <w:b w:val="0"/>
          <w:bCs/>
          <w:sz w:val="32"/>
          <w:szCs w:val="32"/>
        </w:rPr>
        <w:t xml:space="preserve">I </w:t>
      </w:r>
      <w:r w:rsidR="001E3A41" w:rsidRPr="00D72984">
        <w:rPr>
          <w:b w:val="0"/>
          <w:bCs/>
          <w:sz w:val="32"/>
          <w:szCs w:val="32"/>
        </w:rPr>
        <w:t>generated</w:t>
      </w:r>
      <w:r w:rsidR="007A0D76" w:rsidRPr="00D72984">
        <w:rPr>
          <w:b w:val="0"/>
          <w:bCs/>
          <w:sz w:val="32"/>
          <w:szCs w:val="32"/>
        </w:rPr>
        <w:t xml:space="preserve"> </w:t>
      </w:r>
      <w:r w:rsidR="001E3A41" w:rsidRPr="00D72984">
        <w:rPr>
          <w:b w:val="0"/>
          <w:bCs/>
          <w:sz w:val="32"/>
          <w:szCs w:val="32"/>
        </w:rPr>
        <w:t xml:space="preserve">materials as my own </w:t>
      </w:r>
      <w:r w:rsidR="00280412" w:rsidRPr="00D72984">
        <w:rPr>
          <w:b w:val="0"/>
          <w:bCs/>
          <w:sz w:val="32"/>
          <w:szCs w:val="32"/>
        </w:rPr>
        <w:t>work. I con</w:t>
      </w:r>
      <w:r w:rsidR="00BF7BFB" w:rsidRPr="00D72984">
        <w:rPr>
          <w:b w:val="0"/>
          <w:bCs/>
          <w:sz w:val="32"/>
          <w:szCs w:val="32"/>
        </w:rPr>
        <w:t>firm I have copies</w:t>
      </w:r>
      <w:r w:rsidR="00526C58" w:rsidRPr="00D72984">
        <w:rPr>
          <w:b w:val="0"/>
          <w:bCs/>
          <w:sz w:val="32"/>
          <w:szCs w:val="32"/>
        </w:rPr>
        <w:t xml:space="preserve"> of my drafts, notes,</w:t>
      </w:r>
      <w:r w:rsidR="000A3137" w:rsidRPr="00D72984">
        <w:rPr>
          <w:b w:val="0"/>
          <w:bCs/>
          <w:sz w:val="32"/>
          <w:szCs w:val="32"/>
        </w:rPr>
        <w:t xml:space="preserve"> and other </w:t>
      </w:r>
      <w:r w:rsidR="007505C8" w:rsidRPr="00D72984">
        <w:rPr>
          <w:b w:val="0"/>
          <w:bCs/>
          <w:sz w:val="32"/>
          <w:szCs w:val="32"/>
        </w:rPr>
        <w:t xml:space="preserve">resources I </w:t>
      </w:r>
      <w:r w:rsidR="0048433B" w:rsidRPr="00D72984">
        <w:rPr>
          <w:b w:val="0"/>
          <w:bCs/>
          <w:sz w:val="32"/>
          <w:szCs w:val="32"/>
        </w:rPr>
        <w:t>used, which I may</w:t>
      </w:r>
      <w:r w:rsidR="009A5AB5" w:rsidRPr="00D72984">
        <w:rPr>
          <w:b w:val="0"/>
          <w:bCs/>
          <w:sz w:val="32"/>
          <w:szCs w:val="32"/>
        </w:rPr>
        <w:t xml:space="preserve"> be asked to provide in evid</w:t>
      </w:r>
      <w:r w:rsidR="00C74D43" w:rsidRPr="00D72984">
        <w:rPr>
          <w:b w:val="0"/>
          <w:bCs/>
          <w:sz w:val="32"/>
          <w:szCs w:val="32"/>
        </w:rPr>
        <w:t>ence.</w:t>
      </w:r>
      <w:r w:rsidR="00F6590D" w:rsidRPr="00D72984">
        <w:rPr>
          <w:b w:val="0"/>
          <w:bCs/>
          <w:sz w:val="32"/>
          <w:szCs w:val="32"/>
        </w:rPr>
        <w:br w:type="page"/>
      </w:r>
    </w:p>
    <w:sdt>
      <w:sdtPr>
        <w:rPr>
          <w:rFonts w:ascii="Times New Roman" w:eastAsiaTheme="minorHAnsi" w:hAnsi="Times New Roman" w:cstheme="minorBidi"/>
          <w:color w:val="auto"/>
          <w:sz w:val="24"/>
          <w:szCs w:val="22"/>
          <w:lang w:val="en-GB"/>
        </w:rPr>
        <w:id w:val="1492826511"/>
        <w:docPartObj>
          <w:docPartGallery w:val="Table of Contents"/>
          <w:docPartUnique/>
        </w:docPartObj>
      </w:sdtPr>
      <w:sdtEndPr>
        <w:rPr>
          <w:b/>
          <w:bCs/>
          <w:noProof/>
        </w:rPr>
      </w:sdtEndPr>
      <w:sdtContent>
        <w:p w14:paraId="4499F51B" w14:textId="55EE27E4" w:rsidR="007E1849" w:rsidRPr="007E1849" w:rsidRDefault="007E1849">
          <w:pPr>
            <w:pStyle w:val="TOCHeading"/>
            <w:rPr>
              <w:rFonts w:ascii="Times New Roman" w:hAnsi="Times New Roman" w:cs="Times New Roman"/>
              <w:b/>
              <w:bCs/>
              <w:color w:val="0D0D0D" w:themeColor="text1" w:themeTint="F2"/>
              <w:sz w:val="36"/>
              <w:szCs w:val="36"/>
            </w:rPr>
          </w:pPr>
          <w:r w:rsidRPr="007E1849">
            <w:rPr>
              <w:rFonts w:ascii="Times New Roman" w:hAnsi="Times New Roman" w:cs="Times New Roman"/>
              <w:b/>
              <w:bCs/>
              <w:color w:val="0D0D0D" w:themeColor="text1" w:themeTint="F2"/>
              <w:sz w:val="36"/>
              <w:szCs w:val="36"/>
            </w:rPr>
            <w:t>Table of Contents</w:t>
          </w:r>
        </w:p>
        <w:p w14:paraId="1BABB39C" w14:textId="6F44EEC4" w:rsidR="0008741E" w:rsidRDefault="007E1849">
          <w:pPr>
            <w:pStyle w:val="TOC1"/>
            <w:tabs>
              <w:tab w:val="right" w:leader="dot" w:pos="9350"/>
            </w:tabs>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212197948" w:history="1">
            <w:r w:rsidR="0008741E" w:rsidRPr="00DE2B15">
              <w:rPr>
                <w:rStyle w:val="Hyperlink"/>
                <w:noProof/>
              </w:rPr>
              <w:t>Executive Summary</w:t>
            </w:r>
            <w:r w:rsidR="0008741E">
              <w:rPr>
                <w:noProof/>
                <w:webHidden/>
              </w:rPr>
              <w:tab/>
            </w:r>
            <w:r w:rsidR="0008741E">
              <w:rPr>
                <w:noProof/>
                <w:webHidden/>
              </w:rPr>
              <w:fldChar w:fldCharType="begin"/>
            </w:r>
            <w:r w:rsidR="0008741E">
              <w:rPr>
                <w:noProof/>
                <w:webHidden/>
              </w:rPr>
              <w:instrText xml:space="preserve"> PAGEREF _Toc212197948 \h </w:instrText>
            </w:r>
            <w:r w:rsidR="0008741E">
              <w:rPr>
                <w:noProof/>
                <w:webHidden/>
              </w:rPr>
            </w:r>
            <w:r w:rsidR="0008741E">
              <w:rPr>
                <w:noProof/>
                <w:webHidden/>
              </w:rPr>
              <w:fldChar w:fldCharType="separate"/>
            </w:r>
            <w:r w:rsidR="0008741E">
              <w:rPr>
                <w:noProof/>
                <w:webHidden/>
              </w:rPr>
              <w:t>4</w:t>
            </w:r>
            <w:r w:rsidR="0008741E">
              <w:rPr>
                <w:noProof/>
                <w:webHidden/>
              </w:rPr>
              <w:fldChar w:fldCharType="end"/>
            </w:r>
          </w:hyperlink>
        </w:p>
        <w:p w14:paraId="251632FA" w14:textId="13D4E689" w:rsidR="0008741E" w:rsidRDefault="0008741E">
          <w:pPr>
            <w:pStyle w:val="TOC1"/>
            <w:tabs>
              <w:tab w:val="right" w:leader="dot" w:pos="9350"/>
            </w:tabs>
            <w:rPr>
              <w:rFonts w:asciiTheme="minorHAnsi" w:eastAsiaTheme="minorEastAsia" w:hAnsiTheme="minorHAnsi"/>
              <w:noProof/>
              <w:kern w:val="2"/>
              <w:szCs w:val="24"/>
              <w:lang w:val="en-US"/>
              <w14:ligatures w14:val="standardContextual"/>
            </w:rPr>
          </w:pPr>
          <w:hyperlink w:anchor="_Toc212197949" w:history="1">
            <w:r w:rsidRPr="00DE2B15">
              <w:rPr>
                <w:rStyle w:val="Hyperlink"/>
                <w:noProof/>
              </w:rPr>
              <w:t>1. Introduction</w:t>
            </w:r>
            <w:r>
              <w:rPr>
                <w:noProof/>
                <w:webHidden/>
              </w:rPr>
              <w:tab/>
            </w:r>
            <w:r>
              <w:rPr>
                <w:noProof/>
                <w:webHidden/>
              </w:rPr>
              <w:fldChar w:fldCharType="begin"/>
            </w:r>
            <w:r>
              <w:rPr>
                <w:noProof/>
                <w:webHidden/>
              </w:rPr>
              <w:instrText xml:space="preserve"> PAGEREF _Toc212197949 \h </w:instrText>
            </w:r>
            <w:r>
              <w:rPr>
                <w:noProof/>
                <w:webHidden/>
              </w:rPr>
            </w:r>
            <w:r>
              <w:rPr>
                <w:noProof/>
                <w:webHidden/>
              </w:rPr>
              <w:fldChar w:fldCharType="separate"/>
            </w:r>
            <w:r>
              <w:rPr>
                <w:noProof/>
                <w:webHidden/>
              </w:rPr>
              <w:t>5</w:t>
            </w:r>
            <w:r>
              <w:rPr>
                <w:noProof/>
                <w:webHidden/>
              </w:rPr>
              <w:fldChar w:fldCharType="end"/>
            </w:r>
          </w:hyperlink>
        </w:p>
        <w:p w14:paraId="5FAE6959" w14:textId="3F68617B" w:rsidR="0008741E" w:rsidRDefault="0008741E">
          <w:pPr>
            <w:pStyle w:val="TOC1"/>
            <w:tabs>
              <w:tab w:val="right" w:leader="dot" w:pos="9350"/>
            </w:tabs>
            <w:rPr>
              <w:rFonts w:asciiTheme="minorHAnsi" w:eastAsiaTheme="minorEastAsia" w:hAnsiTheme="minorHAnsi"/>
              <w:noProof/>
              <w:kern w:val="2"/>
              <w:szCs w:val="24"/>
              <w:lang w:val="en-US"/>
              <w14:ligatures w14:val="standardContextual"/>
            </w:rPr>
          </w:pPr>
          <w:hyperlink w:anchor="_Toc212197950" w:history="1">
            <w:r w:rsidRPr="00DE2B15">
              <w:rPr>
                <w:rStyle w:val="Hyperlink"/>
                <w:noProof/>
              </w:rPr>
              <w:t>2. Main Body</w:t>
            </w:r>
            <w:r>
              <w:rPr>
                <w:noProof/>
                <w:webHidden/>
              </w:rPr>
              <w:tab/>
            </w:r>
            <w:r>
              <w:rPr>
                <w:noProof/>
                <w:webHidden/>
              </w:rPr>
              <w:fldChar w:fldCharType="begin"/>
            </w:r>
            <w:r>
              <w:rPr>
                <w:noProof/>
                <w:webHidden/>
              </w:rPr>
              <w:instrText xml:space="preserve"> PAGEREF _Toc212197950 \h </w:instrText>
            </w:r>
            <w:r>
              <w:rPr>
                <w:noProof/>
                <w:webHidden/>
              </w:rPr>
            </w:r>
            <w:r>
              <w:rPr>
                <w:noProof/>
                <w:webHidden/>
              </w:rPr>
              <w:fldChar w:fldCharType="separate"/>
            </w:r>
            <w:r>
              <w:rPr>
                <w:noProof/>
                <w:webHidden/>
              </w:rPr>
              <w:t>6</w:t>
            </w:r>
            <w:r>
              <w:rPr>
                <w:noProof/>
                <w:webHidden/>
              </w:rPr>
              <w:fldChar w:fldCharType="end"/>
            </w:r>
          </w:hyperlink>
        </w:p>
        <w:p w14:paraId="410C74F1" w14:textId="51661B5C" w:rsidR="0008741E" w:rsidRDefault="0008741E">
          <w:pPr>
            <w:pStyle w:val="TOC2"/>
            <w:tabs>
              <w:tab w:val="right" w:leader="dot" w:pos="9350"/>
            </w:tabs>
            <w:rPr>
              <w:rFonts w:asciiTheme="minorHAnsi" w:eastAsiaTheme="minorEastAsia" w:hAnsiTheme="minorHAnsi"/>
              <w:noProof/>
              <w:kern w:val="2"/>
              <w:szCs w:val="24"/>
              <w:lang w:val="en-US"/>
              <w14:ligatures w14:val="standardContextual"/>
            </w:rPr>
          </w:pPr>
          <w:hyperlink w:anchor="_Toc212197951" w:history="1">
            <w:r w:rsidRPr="00DE2B15">
              <w:rPr>
                <w:rStyle w:val="Hyperlink"/>
                <w:noProof/>
              </w:rPr>
              <w:t>2.1 Event Overview and Stakeholders</w:t>
            </w:r>
            <w:r>
              <w:rPr>
                <w:noProof/>
                <w:webHidden/>
              </w:rPr>
              <w:tab/>
            </w:r>
            <w:r>
              <w:rPr>
                <w:noProof/>
                <w:webHidden/>
              </w:rPr>
              <w:fldChar w:fldCharType="begin"/>
            </w:r>
            <w:r>
              <w:rPr>
                <w:noProof/>
                <w:webHidden/>
              </w:rPr>
              <w:instrText xml:space="preserve"> PAGEREF _Toc212197951 \h </w:instrText>
            </w:r>
            <w:r>
              <w:rPr>
                <w:noProof/>
                <w:webHidden/>
              </w:rPr>
            </w:r>
            <w:r>
              <w:rPr>
                <w:noProof/>
                <w:webHidden/>
              </w:rPr>
              <w:fldChar w:fldCharType="separate"/>
            </w:r>
            <w:r>
              <w:rPr>
                <w:noProof/>
                <w:webHidden/>
              </w:rPr>
              <w:t>6</w:t>
            </w:r>
            <w:r>
              <w:rPr>
                <w:noProof/>
                <w:webHidden/>
              </w:rPr>
              <w:fldChar w:fldCharType="end"/>
            </w:r>
          </w:hyperlink>
        </w:p>
        <w:p w14:paraId="15EF13D3" w14:textId="59E4D0EE" w:rsidR="0008741E" w:rsidRDefault="0008741E">
          <w:pPr>
            <w:pStyle w:val="TOC2"/>
            <w:tabs>
              <w:tab w:val="right" w:leader="dot" w:pos="9350"/>
            </w:tabs>
            <w:rPr>
              <w:rFonts w:asciiTheme="minorHAnsi" w:eastAsiaTheme="minorEastAsia" w:hAnsiTheme="minorHAnsi"/>
              <w:noProof/>
              <w:kern w:val="2"/>
              <w:szCs w:val="24"/>
              <w:lang w:val="en-US"/>
              <w14:ligatures w14:val="standardContextual"/>
            </w:rPr>
          </w:pPr>
          <w:hyperlink w:anchor="_Toc212197952" w:history="1">
            <w:r w:rsidRPr="00DE2B15">
              <w:rPr>
                <w:rStyle w:val="Hyperlink"/>
                <w:noProof/>
              </w:rPr>
              <w:t>2.2 Marketing and Communication Strategy</w:t>
            </w:r>
            <w:r>
              <w:rPr>
                <w:noProof/>
                <w:webHidden/>
              </w:rPr>
              <w:tab/>
            </w:r>
            <w:r>
              <w:rPr>
                <w:noProof/>
                <w:webHidden/>
              </w:rPr>
              <w:fldChar w:fldCharType="begin"/>
            </w:r>
            <w:r>
              <w:rPr>
                <w:noProof/>
                <w:webHidden/>
              </w:rPr>
              <w:instrText xml:space="preserve"> PAGEREF _Toc212197952 \h </w:instrText>
            </w:r>
            <w:r>
              <w:rPr>
                <w:noProof/>
                <w:webHidden/>
              </w:rPr>
            </w:r>
            <w:r>
              <w:rPr>
                <w:noProof/>
                <w:webHidden/>
              </w:rPr>
              <w:fldChar w:fldCharType="separate"/>
            </w:r>
            <w:r>
              <w:rPr>
                <w:noProof/>
                <w:webHidden/>
              </w:rPr>
              <w:t>7</w:t>
            </w:r>
            <w:r>
              <w:rPr>
                <w:noProof/>
                <w:webHidden/>
              </w:rPr>
              <w:fldChar w:fldCharType="end"/>
            </w:r>
          </w:hyperlink>
        </w:p>
        <w:p w14:paraId="0FD84A11" w14:textId="6447DFF5" w:rsidR="0008741E" w:rsidRDefault="0008741E">
          <w:pPr>
            <w:pStyle w:val="TOC2"/>
            <w:tabs>
              <w:tab w:val="right" w:leader="dot" w:pos="9350"/>
            </w:tabs>
            <w:rPr>
              <w:rFonts w:asciiTheme="minorHAnsi" w:eastAsiaTheme="minorEastAsia" w:hAnsiTheme="minorHAnsi"/>
              <w:noProof/>
              <w:kern w:val="2"/>
              <w:szCs w:val="24"/>
              <w:lang w:val="en-US"/>
              <w14:ligatures w14:val="standardContextual"/>
            </w:rPr>
          </w:pPr>
          <w:hyperlink w:anchor="_Toc212197953" w:history="1">
            <w:r w:rsidRPr="00DE2B15">
              <w:rPr>
                <w:rStyle w:val="Hyperlink"/>
                <w:noProof/>
              </w:rPr>
              <w:t>2.3 Trends and Innovation</w:t>
            </w:r>
            <w:r>
              <w:rPr>
                <w:noProof/>
                <w:webHidden/>
              </w:rPr>
              <w:tab/>
            </w:r>
            <w:r>
              <w:rPr>
                <w:noProof/>
                <w:webHidden/>
              </w:rPr>
              <w:fldChar w:fldCharType="begin"/>
            </w:r>
            <w:r>
              <w:rPr>
                <w:noProof/>
                <w:webHidden/>
              </w:rPr>
              <w:instrText xml:space="preserve"> PAGEREF _Toc212197953 \h </w:instrText>
            </w:r>
            <w:r>
              <w:rPr>
                <w:noProof/>
                <w:webHidden/>
              </w:rPr>
            </w:r>
            <w:r>
              <w:rPr>
                <w:noProof/>
                <w:webHidden/>
              </w:rPr>
              <w:fldChar w:fldCharType="separate"/>
            </w:r>
            <w:r>
              <w:rPr>
                <w:noProof/>
                <w:webHidden/>
              </w:rPr>
              <w:t>7</w:t>
            </w:r>
            <w:r>
              <w:rPr>
                <w:noProof/>
                <w:webHidden/>
              </w:rPr>
              <w:fldChar w:fldCharType="end"/>
            </w:r>
          </w:hyperlink>
        </w:p>
        <w:p w14:paraId="779E1B6E" w14:textId="08798AC9" w:rsidR="0008741E" w:rsidRDefault="0008741E">
          <w:pPr>
            <w:pStyle w:val="TOC2"/>
            <w:tabs>
              <w:tab w:val="right" w:leader="dot" w:pos="9350"/>
            </w:tabs>
            <w:rPr>
              <w:rFonts w:asciiTheme="minorHAnsi" w:eastAsiaTheme="minorEastAsia" w:hAnsiTheme="minorHAnsi"/>
              <w:noProof/>
              <w:kern w:val="2"/>
              <w:szCs w:val="24"/>
              <w:lang w:val="en-US"/>
              <w14:ligatures w14:val="standardContextual"/>
            </w:rPr>
          </w:pPr>
          <w:hyperlink w:anchor="_Toc212197954" w:history="1">
            <w:r w:rsidRPr="00DE2B15">
              <w:rPr>
                <w:rStyle w:val="Hyperlink"/>
                <w:noProof/>
              </w:rPr>
              <w:t>2.4 Operational Challenges, Risks, and Legal Considerations</w:t>
            </w:r>
            <w:r>
              <w:rPr>
                <w:noProof/>
                <w:webHidden/>
              </w:rPr>
              <w:tab/>
            </w:r>
            <w:r>
              <w:rPr>
                <w:noProof/>
                <w:webHidden/>
              </w:rPr>
              <w:fldChar w:fldCharType="begin"/>
            </w:r>
            <w:r>
              <w:rPr>
                <w:noProof/>
                <w:webHidden/>
              </w:rPr>
              <w:instrText xml:space="preserve"> PAGEREF _Toc212197954 \h </w:instrText>
            </w:r>
            <w:r>
              <w:rPr>
                <w:noProof/>
                <w:webHidden/>
              </w:rPr>
            </w:r>
            <w:r>
              <w:rPr>
                <w:noProof/>
                <w:webHidden/>
              </w:rPr>
              <w:fldChar w:fldCharType="separate"/>
            </w:r>
            <w:r>
              <w:rPr>
                <w:noProof/>
                <w:webHidden/>
              </w:rPr>
              <w:t>8</w:t>
            </w:r>
            <w:r>
              <w:rPr>
                <w:noProof/>
                <w:webHidden/>
              </w:rPr>
              <w:fldChar w:fldCharType="end"/>
            </w:r>
          </w:hyperlink>
        </w:p>
        <w:p w14:paraId="078F4014" w14:textId="2DFB545F" w:rsidR="0008741E" w:rsidRDefault="0008741E">
          <w:pPr>
            <w:pStyle w:val="TOC2"/>
            <w:tabs>
              <w:tab w:val="right" w:leader="dot" w:pos="9350"/>
            </w:tabs>
            <w:rPr>
              <w:rFonts w:asciiTheme="minorHAnsi" w:eastAsiaTheme="minorEastAsia" w:hAnsiTheme="minorHAnsi"/>
              <w:noProof/>
              <w:kern w:val="2"/>
              <w:szCs w:val="24"/>
              <w:lang w:val="en-US"/>
              <w14:ligatures w14:val="standardContextual"/>
            </w:rPr>
          </w:pPr>
          <w:hyperlink w:anchor="_Toc212197955" w:history="1">
            <w:r w:rsidRPr="00DE2B15">
              <w:rPr>
                <w:rStyle w:val="Hyperlink"/>
                <w:noProof/>
              </w:rPr>
              <w:t>2.5 Venue Feasibility and Future Growth</w:t>
            </w:r>
            <w:r>
              <w:rPr>
                <w:noProof/>
                <w:webHidden/>
              </w:rPr>
              <w:tab/>
            </w:r>
            <w:r>
              <w:rPr>
                <w:noProof/>
                <w:webHidden/>
              </w:rPr>
              <w:fldChar w:fldCharType="begin"/>
            </w:r>
            <w:r>
              <w:rPr>
                <w:noProof/>
                <w:webHidden/>
              </w:rPr>
              <w:instrText xml:space="preserve"> PAGEREF _Toc212197955 \h </w:instrText>
            </w:r>
            <w:r>
              <w:rPr>
                <w:noProof/>
                <w:webHidden/>
              </w:rPr>
            </w:r>
            <w:r>
              <w:rPr>
                <w:noProof/>
                <w:webHidden/>
              </w:rPr>
              <w:fldChar w:fldCharType="separate"/>
            </w:r>
            <w:r>
              <w:rPr>
                <w:noProof/>
                <w:webHidden/>
              </w:rPr>
              <w:t>9</w:t>
            </w:r>
            <w:r>
              <w:rPr>
                <w:noProof/>
                <w:webHidden/>
              </w:rPr>
              <w:fldChar w:fldCharType="end"/>
            </w:r>
          </w:hyperlink>
        </w:p>
        <w:p w14:paraId="1D99EF26" w14:textId="47A618E2" w:rsidR="0008741E" w:rsidRDefault="0008741E">
          <w:pPr>
            <w:pStyle w:val="TOC2"/>
            <w:tabs>
              <w:tab w:val="right" w:leader="dot" w:pos="9350"/>
            </w:tabs>
            <w:rPr>
              <w:rFonts w:asciiTheme="minorHAnsi" w:eastAsiaTheme="minorEastAsia" w:hAnsiTheme="minorHAnsi"/>
              <w:noProof/>
              <w:kern w:val="2"/>
              <w:szCs w:val="24"/>
              <w:lang w:val="en-US"/>
              <w14:ligatures w14:val="standardContextual"/>
            </w:rPr>
          </w:pPr>
          <w:hyperlink w:anchor="_Toc212197956" w:history="1">
            <w:r w:rsidRPr="00DE2B15">
              <w:rPr>
                <w:rStyle w:val="Hyperlink"/>
                <w:noProof/>
              </w:rPr>
              <w:t>2.6 Hotel Sector Involvement</w:t>
            </w:r>
            <w:r>
              <w:rPr>
                <w:noProof/>
                <w:webHidden/>
              </w:rPr>
              <w:tab/>
            </w:r>
            <w:r>
              <w:rPr>
                <w:noProof/>
                <w:webHidden/>
              </w:rPr>
              <w:fldChar w:fldCharType="begin"/>
            </w:r>
            <w:r>
              <w:rPr>
                <w:noProof/>
                <w:webHidden/>
              </w:rPr>
              <w:instrText xml:space="preserve"> PAGEREF _Toc212197956 \h </w:instrText>
            </w:r>
            <w:r>
              <w:rPr>
                <w:noProof/>
                <w:webHidden/>
              </w:rPr>
            </w:r>
            <w:r>
              <w:rPr>
                <w:noProof/>
                <w:webHidden/>
              </w:rPr>
              <w:fldChar w:fldCharType="separate"/>
            </w:r>
            <w:r>
              <w:rPr>
                <w:noProof/>
                <w:webHidden/>
              </w:rPr>
              <w:t>10</w:t>
            </w:r>
            <w:r>
              <w:rPr>
                <w:noProof/>
                <w:webHidden/>
              </w:rPr>
              <w:fldChar w:fldCharType="end"/>
            </w:r>
          </w:hyperlink>
        </w:p>
        <w:p w14:paraId="35783AE7" w14:textId="330FA6C0" w:rsidR="0008741E" w:rsidRDefault="0008741E">
          <w:pPr>
            <w:pStyle w:val="TOC1"/>
            <w:tabs>
              <w:tab w:val="right" w:leader="dot" w:pos="9350"/>
            </w:tabs>
            <w:rPr>
              <w:rFonts w:asciiTheme="minorHAnsi" w:eastAsiaTheme="minorEastAsia" w:hAnsiTheme="minorHAnsi"/>
              <w:noProof/>
              <w:kern w:val="2"/>
              <w:szCs w:val="24"/>
              <w:lang w:val="en-US"/>
              <w14:ligatures w14:val="standardContextual"/>
            </w:rPr>
          </w:pPr>
          <w:hyperlink w:anchor="_Toc212197957" w:history="1">
            <w:r w:rsidRPr="00DE2B15">
              <w:rPr>
                <w:rStyle w:val="Hyperlink"/>
                <w:noProof/>
              </w:rPr>
              <w:t>3. Conclusion</w:t>
            </w:r>
            <w:r>
              <w:rPr>
                <w:noProof/>
                <w:webHidden/>
              </w:rPr>
              <w:tab/>
            </w:r>
            <w:r>
              <w:rPr>
                <w:noProof/>
                <w:webHidden/>
              </w:rPr>
              <w:fldChar w:fldCharType="begin"/>
            </w:r>
            <w:r>
              <w:rPr>
                <w:noProof/>
                <w:webHidden/>
              </w:rPr>
              <w:instrText xml:space="preserve"> PAGEREF _Toc212197957 \h </w:instrText>
            </w:r>
            <w:r>
              <w:rPr>
                <w:noProof/>
                <w:webHidden/>
              </w:rPr>
            </w:r>
            <w:r>
              <w:rPr>
                <w:noProof/>
                <w:webHidden/>
              </w:rPr>
              <w:fldChar w:fldCharType="separate"/>
            </w:r>
            <w:r>
              <w:rPr>
                <w:noProof/>
                <w:webHidden/>
              </w:rPr>
              <w:t>13</w:t>
            </w:r>
            <w:r>
              <w:rPr>
                <w:noProof/>
                <w:webHidden/>
              </w:rPr>
              <w:fldChar w:fldCharType="end"/>
            </w:r>
          </w:hyperlink>
        </w:p>
        <w:p w14:paraId="60788F4D" w14:textId="2440BC36" w:rsidR="0008741E" w:rsidRDefault="0008741E">
          <w:pPr>
            <w:pStyle w:val="TOC1"/>
            <w:tabs>
              <w:tab w:val="right" w:leader="dot" w:pos="9350"/>
            </w:tabs>
            <w:rPr>
              <w:rFonts w:asciiTheme="minorHAnsi" w:eastAsiaTheme="minorEastAsia" w:hAnsiTheme="minorHAnsi"/>
              <w:noProof/>
              <w:kern w:val="2"/>
              <w:szCs w:val="24"/>
              <w:lang w:val="en-US"/>
              <w14:ligatures w14:val="standardContextual"/>
            </w:rPr>
          </w:pPr>
          <w:hyperlink w:anchor="_Toc212197958" w:history="1">
            <w:r w:rsidRPr="00DE2B15">
              <w:rPr>
                <w:rStyle w:val="Hyperlink"/>
                <w:noProof/>
              </w:rPr>
              <w:t>4. Recommendations</w:t>
            </w:r>
            <w:r>
              <w:rPr>
                <w:noProof/>
                <w:webHidden/>
              </w:rPr>
              <w:tab/>
            </w:r>
            <w:r>
              <w:rPr>
                <w:noProof/>
                <w:webHidden/>
              </w:rPr>
              <w:fldChar w:fldCharType="begin"/>
            </w:r>
            <w:r>
              <w:rPr>
                <w:noProof/>
                <w:webHidden/>
              </w:rPr>
              <w:instrText xml:space="preserve"> PAGEREF _Toc212197958 \h </w:instrText>
            </w:r>
            <w:r>
              <w:rPr>
                <w:noProof/>
                <w:webHidden/>
              </w:rPr>
            </w:r>
            <w:r>
              <w:rPr>
                <w:noProof/>
                <w:webHidden/>
              </w:rPr>
              <w:fldChar w:fldCharType="separate"/>
            </w:r>
            <w:r>
              <w:rPr>
                <w:noProof/>
                <w:webHidden/>
              </w:rPr>
              <w:t>13</w:t>
            </w:r>
            <w:r>
              <w:rPr>
                <w:noProof/>
                <w:webHidden/>
              </w:rPr>
              <w:fldChar w:fldCharType="end"/>
            </w:r>
          </w:hyperlink>
        </w:p>
        <w:p w14:paraId="0C1E5F95" w14:textId="123F4D44" w:rsidR="0008741E" w:rsidRDefault="0008741E">
          <w:pPr>
            <w:pStyle w:val="TOC1"/>
            <w:tabs>
              <w:tab w:val="right" w:leader="dot" w:pos="9350"/>
            </w:tabs>
            <w:rPr>
              <w:rFonts w:asciiTheme="minorHAnsi" w:eastAsiaTheme="minorEastAsia" w:hAnsiTheme="minorHAnsi"/>
              <w:noProof/>
              <w:kern w:val="2"/>
              <w:szCs w:val="24"/>
              <w:lang w:val="en-US"/>
              <w14:ligatures w14:val="standardContextual"/>
            </w:rPr>
          </w:pPr>
          <w:hyperlink w:anchor="_Toc212197959" w:history="1">
            <w:r w:rsidRPr="00DE2B15">
              <w:rPr>
                <w:rStyle w:val="Hyperlink"/>
                <w:noProof/>
              </w:rPr>
              <w:t>References</w:t>
            </w:r>
            <w:r>
              <w:rPr>
                <w:noProof/>
                <w:webHidden/>
              </w:rPr>
              <w:tab/>
            </w:r>
            <w:r>
              <w:rPr>
                <w:noProof/>
                <w:webHidden/>
              </w:rPr>
              <w:fldChar w:fldCharType="begin"/>
            </w:r>
            <w:r>
              <w:rPr>
                <w:noProof/>
                <w:webHidden/>
              </w:rPr>
              <w:instrText xml:space="preserve"> PAGEREF _Toc212197959 \h </w:instrText>
            </w:r>
            <w:r>
              <w:rPr>
                <w:noProof/>
                <w:webHidden/>
              </w:rPr>
            </w:r>
            <w:r>
              <w:rPr>
                <w:noProof/>
                <w:webHidden/>
              </w:rPr>
              <w:fldChar w:fldCharType="separate"/>
            </w:r>
            <w:r>
              <w:rPr>
                <w:noProof/>
                <w:webHidden/>
              </w:rPr>
              <w:t>15</w:t>
            </w:r>
            <w:r>
              <w:rPr>
                <w:noProof/>
                <w:webHidden/>
              </w:rPr>
              <w:fldChar w:fldCharType="end"/>
            </w:r>
          </w:hyperlink>
        </w:p>
        <w:p w14:paraId="160A6521" w14:textId="35E8428F" w:rsidR="00A40A88" w:rsidRDefault="007E1849">
          <w:pPr>
            <w:rPr>
              <w:b/>
              <w:bCs/>
              <w:noProof/>
            </w:rPr>
          </w:pPr>
          <w:r>
            <w:rPr>
              <w:b/>
              <w:bCs/>
              <w:noProof/>
            </w:rPr>
            <w:fldChar w:fldCharType="end"/>
          </w:r>
          <w:r w:rsidR="00A40A88">
            <w:rPr>
              <w:b/>
              <w:bCs/>
              <w:noProof/>
            </w:rPr>
            <w:t>List Of Figures</w:t>
          </w:r>
        </w:p>
        <w:p w14:paraId="783A0820" w14:textId="601C8035" w:rsidR="00A40A88" w:rsidRDefault="00A40A88">
          <w:pPr>
            <w:pStyle w:val="TableofFigures"/>
            <w:tabs>
              <w:tab w:val="right" w:leader="dot" w:pos="9350"/>
            </w:tabs>
            <w:rPr>
              <w:noProof/>
            </w:rPr>
          </w:pPr>
          <w:r>
            <w:rPr>
              <w:b/>
              <w:bCs/>
              <w:noProof/>
            </w:rPr>
            <w:fldChar w:fldCharType="begin"/>
          </w:r>
          <w:r>
            <w:rPr>
              <w:b/>
              <w:bCs/>
              <w:noProof/>
            </w:rPr>
            <w:instrText xml:space="preserve"> TOC \c "Figure" </w:instrText>
          </w:r>
          <w:r>
            <w:rPr>
              <w:b/>
              <w:bCs/>
              <w:noProof/>
            </w:rPr>
            <w:fldChar w:fldCharType="separate"/>
          </w:r>
          <w:r w:rsidRPr="00820C96">
            <w:rPr>
              <w:noProof/>
            </w:rPr>
            <w:t>Figure 1: Resort &amp; Residential Hospitality Forum (R&amp;R) 2024</w:t>
          </w:r>
          <w:r>
            <w:rPr>
              <w:noProof/>
            </w:rPr>
            <w:tab/>
          </w:r>
          <w:r>
            <w:rPr>
              <w:noProof/>
            </w:rPr>
            <w:fldChar w:fldCharType="begin"/>
          </w:r>
          <w:r>
            <w:rPr>
              <w:noProof/>
            </w:rPr>
            <w:instrText xml:space="preserve"> PAGEREF _Toc212199519 \h </w:instrText>
          </w:r>
          <w:r>
            <w:rPr>
              <w:noProof/>
            </w:rPr>
          </w:r>
          <w:r>
            <w:rPr>
              <w:noProof/>
            </w:rPr>
            <w:fldChar w:fldCharType="separate"/>
          </w:r>
          <w:r>
            <w:rPr>
              <w:noProof/>
            </w:rPr>
            <w:t>5</w:t>
          </w:r>
          <w:r>
            <w:rPr>
              <w:noProof/>
            </w:rPr>
            <w:fldChar w:fldCharType="end"/>
          </w:r>
        </w:p>
        <w:p w14:paraId="6556A01F" w14:textId="09500181" w:rsidR="00A40A88" w:rsidRDefault="00A40A88">
          <w:pPr>
            <w:pStyle w:val="TableofFigures"/>
            <w:tabs>
              <w:tab w:val="right" w:leader="dot" w:pos="9350"/>
            </w:tabs>
            <w:rPr>
              <w:noProof/>
            </w:rPr>
          </w:pPr>
          <w:r w:rsidRPr="00820C96">
            <w:rPr>
              <w:noProof/>
            </w:rPr>
            <w:t>Figure 2: Event Overview and Stakeholders</w:t>
          </w:r>
          <w:r>
            <w:rPr>
              <w:noProof/>
            </w:rPr>
            <w:tab/>
          </w:r>
          <w:r>
            <w:rPr>
              <w:noProof/>
            </w:rPr>
            <w:fldChar w:fldCharType="begin"/>
          </w:r>
          <w:r>
            <w:rPr>
              <w:noProof/>
            </w:rPr>
            <w:instrText xml:space="preserve"> PAGEREF _Toc212199520 \h </w:instrText>
          </w:r>
          <w:r>
            <w:rPr>
              <w:noProof/>
            </w:rPr>
          </w:r>
          <w:r>
            <w:rPr>
              <w:noProof/>
            </w:rPr>
            <w:fldChar w:fldCharType="separate"/>
          </w:r>
          <w:r>
            <w:rPr>
              <w:noProof/>
            </w:rPr>
            <w:t>6</w:t>
          </w:r>
          <w:r>
            <w:rPr>
              <w:noProof/>
            </w:rPr>
            <w:fldChar w:fldCharType="end"/>
          </w:r>
        </w:p>
        <w:p w14:paraId="47499FB3" w14:textId="58FB8F70" w:rsidR="00A40A88" w:rsidRDefault="00A40A88">
          <w:pPr>
            <w:pStyle w:val="TableofFigures"/>
            <w:tabs>
              <w:tab w:val="right" w:leader="dot" w:pos="9350"/>
            </w:tabs>
            <w:rPr>
              <w:noProof/>
            </w:rPr>
          </w:pPr>
          <w:r w:rsidRPr="00820C96">
            <w:rPr>
              <w:noProof/>
            </w:rPr>
            <w:t>Figure 3: Trends and Innovation</w:t>
          </w:r>
          <w:r>
            <w:rPr>
              <w:noProof/>
            </w:rPr>
            <w:tab/>
          </w:r>
          <w:r>
            <w:rPr>
              <w:noProof/>
            </w:rPr>
            <w:fldChar w:fldCharType="begin"/>
          </w:r>
          <w:r>
            <w:rPr>
              <w:noProof/>
            </w:rPr>
            <w:instrText xml:space="preserve"> PAGEREF _Toc212199521 \h </w:instrText>
          </w:r>
          <w:r>
            <w:rPr>
              <w:noProof/>
            </w:rPr>
          </w:r>
          <w:r>
            <w:rPr>
              <w:noProof/>
            </w:rPr>
            <w:fldChar w:fldCharType="separate"/>
          </w:r>
          <w:r>
            <w:rPr>
              <w:noProof/>
            </w:rPr>
            <w:t>8</w:t>
          </w:r>
          <w:r>
            <w:rPr>
              <w:noProof/>
            </w:rPr>
            <w:fldChar w:fldCharType="end"/>
          </w:r>
        </w:p>
        <w:p w14:paraId="6E807914" w14:textId="22380B85" w:rsidR="00A40A88" w:rsidRDefault="00A40A88">
          <w:pPr>
            <w:pStyle w:val="TableofFigures"/>
            <w:tabs>
              <w:tab w:val="right" w:leader="dot" w:pos="9350"/>
            </w:tabs>
            <w:rPr>
              <w:noProof/>
            </w:rPr>
          </w:pPr>
          <w:r>
            <w:rPr>
              <w:noProof/>
            </w:rPr>
            <w:t>Figure 4: Operational Challenges, Risks, and Legal Considerations</w:t>
          </w:r>
          <w:r>
            <w:rPr>
              <w:noProof/>
            </w:rPr>
            <w:tab/>
          </w:r>
          <w:r>
            <w:rPr>
              <w:noProof/>
            </w:rPr>
            <w:fldChar w:fldCharType="begin"/>
          </w:r>
          <w:r>
            <w:rPr>
              <w:noProof/>
            </w:rPr>
            <w:instrText xml:space="preserve"> PAGEREF _Toc212199522 \h </w:instrText>
          </w:r>
          <w:r>
            <w:rPr>
              <w:noProof/>
            </w:rPr>
          </w:r>
          <w:r>
            <w:rPr>
              <w:noProof/>
            </w:rPr>
            <w:fldChar w:fldCharType="separate"/>
          </w:r>
          <w:r>
            <w:rPr>
              <w:noProof/>
            </w:rPr>
            <w:t>9</w:t>
          </w:r>
          <w:r>
            <w:rPr>
              <w:noProof/>
            </w:rPr>
            <w:fldChar w:fldCharType="end"/>
          </w:r>
        </w:p>
        <w:p w14:paraId="51B1F96A" w14:textId="41F9F2AF" w:rsidR="00A40A88" w:rsidRDefault="00A40A88">
          <w:pPr>
            <w:pStyle w:val="TableofFigures"/>
            <w:tabs>
              <w:tab w:val="right" w:leader="dot" w:pos="9350"/>
            </w:tabs>
            <w:rPr>
              <w:noProof/>
            </w:rPr>
          </w:pPr>
          <w:r w:rsidRPr="00820C96">
            <w:rPr>
              <w:noProof/>
            </w:rPr>
            <w:t>Figure 5: Recommendations for Event Organisers (Questex Hospitality Group)</w:t>
          </w:r>
          <w:r>
            <w:rPr>
              <w:noProof/>
            </w:rPr>
            <w:tab/>
          </w:r>
          <w:r>
            <w:rPr>
              <w:noProof/>
            </w:rPr>
            <w:fldChar w:fldCharType="begin"/>
          </w:r>
          <w:r>
            <w:rPr>
              <w:noProof/>
            </w:rPr>
            <w:instrText xml:space="preserve"> PAGEREF _Toc212199523 \h </w:instrText>
          </w:r>
          <w:r>
            <w:rPr>
              <w:noProof/>
            </w:rPr>
          </w:r>
          <w:r>
            <w:rPr>
              <w:noProof/>
            </w:rPr>
            <w:fldChar w:fldCharType="separate"/>
          </w:r>
          <w:r>
            <w:rPr>
              <w:noProof/>
            </w:rPr>
            <w:t>14</w:t>
          </w:r>
          <w:r>
            <w:rPr>
              <w:noProof/>
            </w:rPr>
            <w:fldChar w:fldCharType="end"/>
          </w:r>
        </w:p>
        <w:p w14:paraId="33BA28CE" w14:textId="2873F865" w:rsidR="00A40A88" w:rsidRDefault="00A40A88">
          <w:pPr>
            <w:pStyle w:val="TableofFigures"/>
            <w:tabs>
              <w:tab w:val="right" w:leader="dot" w:pos="9350"/>
            </w:tabs>
            <w:rPr>
              <w:noProof/>
            </w:rPr>
          </w:pPr>
          <w:r>
            <w:rPr>
              <w:noProof/>
            </w:rPr>
            <w:t>Figure 6: Recommendations for Local Hotels (Intercontinental &amp; Partners)</w:t>
          </w:r>
          <w:r>
            <w:rPr>
              <w:noProof/>
            </w:rPr>
            <w:tab/>
          </w:r>
          <w:r>
            <w:rPr>
              <w:noProof/>
            </w:rPr>
            <w:fldChar w:fldCharType="begin"/>
          </w:r>
          <w:r>
            <w:rPr>
              <w:noProof/>
            </w:rPr>
            <w:instrText xml:space="preserve"> PAGEREF _Toc212199524 \h </w:instrText>
          </w:r>
          <w:r>
            <w:rPr>
              <w:noProof/>
            </w:rPr>
          </w:r>
          <w:r>
            <w:rPr>
              <w:noProof/>
            </w:rPr>
            <w:fldChar w:fldCharType="separate"/>
          </w:r>
          <w:r>
            <w:rPr>
              <w:noProof/>
            </w:rPr>
            <w:t>15</w:t>
          </w:r>
          <w:r>
            <w:rPr>
              <w:noProof/>
            </w:rPr>
            <w:fldChar w:fldCharType="end"/>
          </w:r>
        </w:p>
        <w:p w14:paraId="15D1A47B" w14:textId="07BC43C0" w:rsidR="00A40A88" w:rsidRDefault="00A40A88">
          <w:pPr>
            <w:rPr>
              <w:b/>
              <w:bCs/>
              <w:noProof/>
            </w:rPr>
          </w:pPr>
          <w:r>
            <w:rPr>
              <w:b/>
              <w:bCs/>
              <w:noProof/>
            </w:rPr>
            <w:fldChar w:fldCharType="end"/>
          </w:r>
        </w:p>
        <w:p w14:paraId="615CE06D" w14:textId="293FF799" w:rsidR="007E1849" w:rsidRDefault="00000000"/>
      </w:sdtContent>
    </w:sdt>
    <w:p w14:paraId="521FE0AF" w14:textId="26627124" w:rsidR="00F6590D" w:rsidRDefault="00F6590D">
      <w:pPr>
        <w:spacing w:after="160" w:line="278" w:lineRule="auto"/>
        <w:jc w:val="left"/>
        <w:rPr>
          <w:rFonts w:eastAsiaTheme="majorEastAsia" w:cstheme="majorBidi"/>
          <w:b/>
          <w:color w:val="0D0D0D" w:themeColor="text1" w:themeTint="F2"/>
          <w:kern w:val="2"/>
          <w:sz w:val="36"/>
          <w:szCs w:val="32"/>
          <w:lang w:val="en-US"/>
          <w14:ligatures w14:val="standardContextual"/>
        </w:rPr>
      </w:pPr>
    </w:p>
    <w:p w14:paraId="339B67C2" w14:textId="77777777" w:rsidR="007E1849" w:rsidRDefault="007E1849">
      <w:pPr>
        <w:spacing w:after="160" w:line="278" w:lineRule="auto"/>
        <w:jc w:val="left"/>
        <w:rPr>
          <w:rFonts w:eastAsiaTheme="majorEastAsia" w:cstheme="majorBidi"/>
          <w:b/>
          <w:color w:val="0D0D0D" w:themeColor="text1" w:themeTint="F2"/>
          <w:kern w:val="2"/>
          <w:sz w:val="36"/>
          <w:szCs w:val="32"/>
          <w:lang w:val="en-US"/>
          <w14:ligatures w14:val="standardContextual"/>
        </w:rPr>
      </w:pPr>
      <w:r>
        <w:br w:type="page"/>
      </w:r>
    </w:p>
    <w:p w14:paraId="1E38EBA6" w14:textId="032EC07F" w:rsidR="008E0802" w:rsidRDefault="00515625" w:rsidP="00DC02CF">
      <w:pPr>
        <w:pStyle w:val="Heading1"/>
      </w:pPr>
      <w:bookmarkStart w:id="0" w:name="_Toc212197948"/>
      <w:r w:rsidRPr="00515625">
        <w:lastRenderedPageBreak/>
        <w:t>Executive Summary</w:t>
      </w:r>
      <w:bookmarkEnd w:id="0"/>
    </w:p>
    <w:p w14:paraId="13588900" w14:textId="201D10F1" w:rsidR="00515625" w:rsidRDefault="00515625">
      <w:r w:rsidRPr="00515625">
        <w:t>The Resort and Residential Hotel and Resort Forums (R&amp;R Forums) is an annual conference held in Athens, Greece, at the InterContinental Athenaeum</w:t>
      </w:r>
      <w:r w:rsidR="0066685D">
        <w:t>, and is one of the leading hospitality and mixed-use real estate conferences in Europe, attracting</w:t>
      </w:r>
      <w:r w:rsidRPr="00515625">
        <w:t xml:space="preserve"> investors, developers</w:t>
      </w:r>
      <w:r w:rsidR="00DC02CF">
        <w:t>,</w:t>
      </w:r>
      <w:r w:rsidRPr="00515625">
        <w:t xml:space="preserve"> and operators. This report </w:t>
      </w:r>
      <w:r w:rsidR="0066685D">
        <w:t xml:space="preserve">presents a critical analysis of the R&amp;R Forum in the global MICE (Meetings, Incentives, Conferences, and Exhibitions) industry, focusing on stakeholder engagement, marketing strategies, trends, innovations, operational issues, venue feasibility, and the </w:t>
      </w:r>
      <w:r w:rsidRPr="00515625">
        <w:t xml:space="preserve">strategic participation of the hotel industry. The results show that R&amp;R Forum has become a driver of the regional investment and long-term development with the help of hybrid technologies, selective marketing, and </w:t>
      </w:r>
      <w:r w:rsidR="00DC02CF">
        <w:t>partnerships</w:t>
      </w:r>
      <w:r w:rsidRPr="00515625">
        <w:t xml:space="preserve"> </w:t>
      </w:r>
      <w:r w:rsidR="00DC02CF">
        <w:t>with</w:t>
      </w:r>
      <w:r w:rsidRPr="00515625">
        <w:t xml:space="preserve"> destinations. Nevertheless, there are issues </w:t>
      </w:r>
      <w:r w:rsidR="00DC02CF">
        <w:t>with</w:t>
      </w:r>
      <w:r w:rsidRPr="00515625">
        <w:t xml:space="preserve"> risk management, scalability</w:t>
      </w:r>
      <w:r w:rsidR="00DC02CF">
        <w:t>,</w:t>
      </w:r>
      <w:r w:rsidRPr="00515625">
        <w:t xml:space="preserve"> and long-term viability. The report ends with a set of practical suggestions on how to improve the organisational resiliency of the event and how to increase organisational and local hotel cooperation.</w:t>
      </w:r>
    </w:p>
    <w:p w14:paraId="7F4842B7" w14:textId="1234536F" w:rsidR="00515625" w:rsidRDefault="00515625">
      <w:pPr>
        <w:spacing w:after="160" w:line="278" w:lineRule="auto"/>
        <w:jc w:val="left"/>
      </w:pPr>
      <w:r>
        <w:br w:type="page"/>
      </w:r>
    </w:p>
    <w:p w14:paraId="7C71718F" w14:textId="0A943917" w:rsidR="00515625" w:rsidRDefault="00B9370F" w:rsidP="00DC02CF">
      <w:pPr>
        <w:pStyle w:val="Heading1"/>
      </w:pPr>
      <w:bookmarkStart w:id="1" w:name="_Toc212197949"/>
      <w:r>
        <w:lastRenderedPageBreak/>
        <w:t xml:space="preserve">1. </w:t>
      </w:r>
      <w:r w:rsidR="00515625">
        <w:t>Introduction</w:t>
      </w:r>
      <w:bookmarkEnd w:id="1"/>
    </w:p>
    <w:p w14:paraId="6E46E4A1" w14:textId="27AD632F" w:rsidR="00515625" w:rsidRDefault="00515625" w:rsidP="00515625">
      <w:r w:rsidRPr="009C4E7E">
        <w:rPr>
          <w:b/>
          <w:bCs/>
        </w:rPr>
        <w:t>The Resort and Residential Hospitality Forum (R&amp;R Forum)</w:t>
      </w:r>
      <w:r>
        <w:t xml:space="preserve"> </w:t>
      </w:r>
      <w:proofErr w:type="gramStart"/>
      <w:r w:rsidR="00722581">
        <w:t>is</w:t>
      </w:r>
      <w:proofErr w:type="gramEnd"/>
      <w:r>
        <w:t xml:space="preserve"> an excellent investment conference that brings together leaders, developers, and investors of the resort and residential tourism industry in the European, Middle East, and African regions</w:t>
      </w:r>
      <w:r w:rsidR="004134C3">
        <w:t xml:space="preserve"> (</w:t>
      </w:r>
      <w:r w:rsidR="004134C3" w:rsidRPr="004134C3">
        <w:t>Saiz, 2024</w:t>
      </w:r>
      <w:r w:rsidR="004134C3">
        <w:t>).</w:t>
      </w:r>
      <w:r>
        <w:t xml:space="preserve"> The forum is the brainchild of Questex Hospitality Group and is an excellent strategic networking event that allows promoting partnerships, finding financing, or developing insights on sustainable development in the hotel investment market. The 2025 one will be hosted at the five-star InterContinental Athenaeum in Athens</w:t>
      </w:r>
      <w:r w:rsidR="00DC02CF">
        <w:t>,</w:t>
      </w:r>
      <w:r>
        <w:t xml:space="preserve"> which is famous due to its conference facilities, accessibility, and the quality of services provided</w:t>
      </w:r>
      <w:r w:rsidR="00DC02CF">
        <w:t>,</w:t>
      </w:r>
      <w:r>
        <w:t xml:space="preserve"> and thus suitable </w:t>
      </w:r>
      <w:r w:rsidR="00DC02CF">
        <w:t>for</w:t>
      </w:r>
      <w:r>
        <w:t xml:space="preserve"> hosting </w:t>
      </w:r>
      <w:r w:rsidR="00DC02CF">
        <w:t>high-profile</w:t>
      </w:r>
      <w:r>
        <w:t xml:space="preserve"> business events.</w:t>
      </w:r>
      <w:r w:rsidR="00573997">
        <w:t xml:space="preserve"> </w:t>
      </w:r>
      <w:r w:rsidRPr="00515625">
        <w:t xml:space="preserve">This report is a critical analysis of R&amp;R Forum in the framework of </w:t>
      </w:r>
      <w:r w:rsidR="00DC02CF">
        <w:t xml:space="preserve">the </w:t>
      </w:r>
      <w:r w:rsidRPr="00515625">
        <w:t xml:space="preserve">MICE (Meetings, Incentives, Conferences, and Exhibitions) industry and its strategic value to </w:t>
      </w:r>
      <w:r w:rsidR="00DC02CF">
        <w:t xml:space="preserve">the </w:t>
      </w:r>
      <w:r w:rsidRPr="00515625">
        <w:t>hotel industry. It examines the relationship between stakeholders, marketing and communication plans, new trends, operations</w:t>
      </w:r>
      <w:r w:rsidR="00DC02CF">
        <w:t>,</w:t>
      </w:r>
      <w:r w:rsidRPr="00515625">
        <w:t xml:space="preserve"> and legal issues, and </w:t>
      </w:r>
      <w:r w:rsidR="00DC02CF">
        <w:t xml:space="preserve">the </w:t>
      </w:r>
      <w:r w:rsidRPr="00515625">
        <w:t xml:space="preserve">viability of the event at the long-term level. Besides, it examines the benefits of Athens as an emerging MICE destination and how the local hotels can use the forum to increase the occupancy rates, brand image, and competitiveness. </w:t>
      </w:r>
    </w:p>
    <w:p w14:paraId="74804C8C" w14:textId="77777777" w:rsidR="00F9372C" w:rsidRDefault="00F9372C" w:rsidP="00F9372C">
      <w:pPr>
        <w:keepNext/>
        <w:jc w:val="center"/>
      </w:pPr>
      <w:r w:rsidRPr="00F9372C">
        <w:rPr>
          <w:noProof/>
        </w:rPr>
        <w:drawing>
          <wp:inline distT="0" distB="0" distL="0" distR="0" wp14:anchorId="6C5828BC" wp14:editId="08127D86">
            <wp:extent cx="3397933" cy="2010164"/>
            <wp:effectExtent l="95250" t="95250" r="88265" b="104775"/>
            <wp:docPr id="2075201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201347" name=""/>
                    <pic:cNvPicPr/>
                  </pic:nvPicPr>
                  <pic:blipFill>
                    <a:blip r:embed="rId8"/>
                    <a:stretch>
                      <a:fillRect/>
                    </a:stretch>
                  </pic:blipFill>
                  <pic:spPr>
                    <a:xfrm>
                      <a:off x="0" y="0"/>
                      <a:ext cx="3404462" cy="201402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948CDEF" w14:textId="71AF4AAC" w:rsidR="00F9372C" w:rsidRPr="00F9372C" w:rsidRDefault="00F9372C" w:rsidP="00F9372C">
      <w:pPr>
        <w:pStyle w:val="Caption"/>
        <w:jc w:val="center"/>
        <w:rPr>
          <w:i w:val="0"/>
          <w:iCs w:val="0"/>
        </w:rPr>
      </w:pPr>
      <w:bookmarkStart w:id="2" w:name="_Toc212199519"/>
      <w:r w:rsidRPr="00F9372C">
        <w:rPr>
          <w:i w:val="0"/>
          <w:iCs w:val="0"/>
        </w:rPr>
        <w:t xml:space="preserve">Figure </w:t>
      </w:r>
      <w:r w:rsidRPr="00F9372C">
        <w:rPr>
          <w:i w:val="0"/>
          <w:iCs w:val="0"/>
        </w:rPr>
        <w:fldChar w:fldCharType="begin"/>
      </w:r>
      <w:r w:rsidRPr="00F9372C">
        <w:rPr>
          <w:i w:val="0"/>
          <w:iCs w:val="0"/>
        </w:rPr>
        <w:instrText xml:space="preserve"> SEQ Figure \* ARABIC </w:instrText>
      </w:r>
      <w:r w:rsidRPr="00F9372C">
        <w:rPr>
          <w:i w:val="0"/>
          <w:iCs w:val="0"/>
        </w:rPr>
        <w:fldChar w:fldCharType="separate"/>
      </w:r>
      <w:r w:rsidR="00B64FF5">
        <w:rPr>
          <w:i w:val="0"/>
          <w:iCs w:val="0"/>
          <w:noProof/>
        </w:rPr>
        <w:t>1</w:t>
      </w:r>
      <w:r w:rsidRPr="00F9372C">
        <w:rPr>
          <w:i w:val="0"/>
          <w:iCs w:val="0"/>
        </w:rPr>
        <w:fldChar w:fldCharType="end"/>
      </w:r>
      <w:r w:rsidRPr="00F9372C">
        <w:rPr>
          <w:i w:val="0"/>
          <w:iCs w:val="0"/>
        </w:rPr>
        <w:t>: Resort &amp; Residential Hospitality Forum (R&amp;R) 2024</w:t>
      </w:r>
      <w:bookmarkEnd w:id="2"/>
    </w:p>
    <w:p w14:paraId="4226FE4A" w14:textId="5A3E0B6A" w:rsidR="00F9372C" w:rsidRPr="00F9372C" w:rsidRDefault="00F9372C" w:rsidP="00F9372C">
      <w:pPr>
        <w:pStyle w:val="Caption"/>
        <w:jc w:val="center"/>
        <w:rPr>
          <w:i w:val="0"/>
          <w:iCs w:val="0"/>
        </w:rPr>
      </w:pPr>
      <w:r w:rsidRPr="00F9372C">
        <w:rPr>
          <w:i w:val="0"/>
          <w:iCs w:val="0"/>
        </w:rPr>
        <w:t xml:space="preserve"> (Source: https://news.gtp.gr)</w:t>
      </w:r>
    </w:p>
    <w:p w14:paraId="4BFFC267" w14:textId="77777777" w:rsidR="00515625" w:rsidRDefault="00515625">
      <w:pPr>
        <w:spacing w:after="160" w:line="278" w:lineRule="auto"/>
        <w:jc w:val="left"/>
      </w:pPr>
      <w:r>
        <w:br w:type="page"/>
      </w:r>
    </w:p>
    <w:p w14:paraId="30C130A7" w14:textId="62C1C63B" w:rsidR="00515625" w:rsidRDefault="00515625" w:rsidP="00515625">
      <w:bookmarkStart w:id="3" w:name="_Toc212197950"/>
      <w:r w:rsidRPr="00DC02CF">
        <w:rPr>
          <w:rStyle w:val="Heading1Char"/>
        </w:rPr>
        <w:lastRenderedPageBreak/>
        <w:t>2. Main Body</w:t>
      </w:r>
      <w:bookmarkEnd w:id="3"/>
    </w:p>
    <w:p w14:paraId="6AE84AF6" w14:textId="0F0D021C" w:rsidR="00515625" w:rsidRDefault="00515625" w:rsidP="00DC02CF">
      <w:pPr>
        <w:pStyle w:val="Heading2"/>
      </w:pPr>
      <w:bookmarkStart w:id="4" w:name="_Toc212197951"/>
      <w:r w:rsidRPr="00515625">
        <w:t>2.1 Event Overview and Stakeholders</w:t>
      </w:r>
      <w:bookmarkEnd w:id="4"/>
    </w:p>
    <w:p w14:paraId="237FB982" w14:textId="77777777" w:rsidR="003A1F73" w:rsidRDefault="003A1F73" w:rsidP="003A1F73">
      <w:pPr>
        <w:keepNext/>
        <w:jc w:val="center"/>
      </w:pPr>
      <w:r>
        <w:rPr>
          <w:noProof/>
          <w:lang w:val="en-US"/>
          <w14:ligatures w14:val="standardContextual"/>
        </w:rPr>
        <w:drawing>
          <wp:inline distT="0" distB="0" distL="0" distR="0" wp14:anchorId="6879306B" wp14:editId="1B135907">
            <wp:extent cx="3509889" cy="2363372"/>
            <wp:effectExtent l="0" t="38100" r="0" b="75565"/>
            <wp:docPr id="153584457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5915986" w14:textId="47DDB508" w:rsidR="003A1F73" w:rsidRPr="003A1F73" w:rsidRDefault="003A1F73" w:rsidP="003A1F73">
      <w:pPr>
        <w:pStyle w:val="Caption"/>
        <w:jc w:val="center"/>
        <w:rPr>
          <w:i w:val="0"/>
          <w:iCs w:val="0"/>
        </w:rPr>
      </w:pPr>
      <w:bookmarkStart w:id="5" w:name="_Toc212199520"/>
      <w:r w:rsidRPr="003A1F73">
        <w:rPr>
          <w:i w:val="0"/>
          <w:iCs w:val="0"/>
        </w:rPr>
        <w:t xml:space="preserve">Figure </w:t>
      </w:r>
      <w:r w:rsidRPr="003A1F73">
        <w:rPr>
          <w:i w:val="0"/>
          <w:iCs w:val="0"/>
        </w:rPr>
        <w:fldChar w:fldCharType="begin"/>
      </w:r>
      <w:r w:rsidRPr="003A1F73">
        <w:rPr>
          <w:i w:val="0"/>
          <w:iCs w:val="0"/>
        </w:rPr>
        <w:instrText xml:space="preserve"> SEQ Figure \* ARABIC </w:instrText>
      </w:r>
      <w:r w:rsidRPr="003A1F73">
        <w:rPr>
          <w:i w:val="0"/>
          <w:iCs w:val="0"/>
        </w:rPr>
        <w:fldChar w:fldCharType="separate"/>
      </w:r>
      <w:r w:rsidR="00B64FF5">
        <w:rPr>
          <w:i w:val="0"/>
          <w:iCs w:val="0"/>
          <w:noProof/>
        </w:rPr>
        <w:t>2</w:t>
      </w:r>
      <w:r w:rsidRPr="003A1F73">
        <w:rPr>
          <w:i w:val="0"/>
          <w:iCs w:val="0"/>
        </w:rPr>
        <w:fldChar w:fldCharType="end"/>
      </w:r>
      <w:r w:rsidRPr="003A1F73">
        <w:rPr>
          <w:i w:val="0"/>
          <w:iCs w:val="0"/>
        </w:rPr>
        <w:t>: Event Overview and Stakeholders</w:t>
      </w:r>
      <w:bookmarkEnd w:id="5"/>
    </w:p>
    <w:p w14:paraId="1E34C452" w14:textId="7AD4175E" w:rsidR="003A1F73" w:rsidRPr="003A1F73" w:rsidRDefault="003A1F73" w:rsidP="003A1F73">
      <w:pPr>
        <w:pStyle w:val="Caption"/>
        <w:jc w:val="center"/>
        <w:rPr>
          <w:i w:val="0"/>
          <w:iCs w:val="0"/>
          <w:lang w:val="en-US"/>
        </w:rPr>
      </w:pPr>
      <w:r w:rsidRPr="003A1F73">
        <w:rPr>
          <w:i w:val="0"/>
          <w:iCs w:val="0"/>
        </w:rPr>
        <w:t xml:space="preserve"> (Source: Author, 2025)</w:t>
      </w:r>
    </w:p>
    <w:p w14:paraId="6C90A199" w14:textId="3ADDEFA3" w:rsidR="00515625" w:rsidRDefault="00515625" w:rsidP="00515625">
      <w:r w:rsidRPr="004134C3">
        <w:rPr>
          <w:b/>
          <w:bCs/>
        </w:rPr>
        <w:t>The Resort and Residential Hospitality Forum (R&amp;R Forum)</w:t>
      </w:r>
      <w:r>
        <w:t xml:space="preserve"> </w:t>
      </w:r>
      <w:proofErr w:type="gramStart"/>
      <w:r w:rsidR="00F9372C">
        <w:t>is</w:t>
      </w:r>
      <w:proofErr w:type="gramEnd"/>
      <w:r>
        <w:t xml:space="preserve"> also considered to be one of the most popular business-to-business (B2B) conferences in the investment in resorts and residential hospitality in Europe. It is an expert hub, which links developers, investors, operators</w:t>
      </w:r>
      <w:r w:rsidR="00DC02CF">
        <w:t>,</w:t>
      </w:r>
      <w:r>
        <w:t xml:space="preserve"> and policymakers </w:t>
      </w:r>
      <w:r w:rsidR="00DC02CF">
        <w:t>who</w:t>
      </w:r>
      <w:r>
        <w:t xml:space="preserve"> are working on the future of real estate based on tourism</w:t>
      </w:r>
      <w:r w:rsidR="0086788A">
        <w:t xml:space="preserve"> (</w:t>
      </w:r>
      <w:r w:rsidR="0086788A" w:rsidRPr="0086788A">
        <w:t>Kabil</w:t>
      </w:r>
      <w:r w:rsidR="0086788A">
        <w:t xml:space="preserve"> et al., </w:t>
      </w:r>
      <w:r w:rsidR="0086788A" w:rsidRPr="0086788A">
        <w:t>2024</w:t>
      </w:r>
      <w:r w:rsidR="0086788A">
        <w:t>)</w:t>
      </w:r>
      <w:r w:rsidR="0086788A" w:rsidRPr="0086788A">
        <w:t xml:space="preserve">. </w:t>
      </w:r>
      <w:r>
        <w:t>The R&amp;R Forum is unlike the mass tourist business trade fairs like the World Travel Market (WTM) or the ITB Asia</w:t>
      </w:r>
      <w:r w:rsidR="00DC02CF">
        <w:t>,</w:t>
      </w:r>
      <w:r>
        <w:t xml:space="preserve"> whose purpose is to promote travel and destinations in general, as the R&amp;R Forum deals solely with business investment opportunities in hospitality assets of high value. The niche positioning increases its reputation and business impact in the international MICE (Meetings, Incentives, Conferences</w:t>
      </w:r>
      <w:r w:rsidR="00243121">
        <w:t>,</w:t>
      </w:r>
      <w:r>
        <w:t xml:space="preserve"> and Exhibitions) environment.</w:t>
      </w:r>
    </w:p>
    <w:p w14:paraId="6140832C" w14:textId="7A76F1AC" w:rsidR="00DC02CF" w:rsidRDefault="00515625" w:rsidP="00DC02CF">
      <w:r>
        <w:t xml:space="preserve">The 2024 forum hosted more than 400 high-level representatives of 30 countries who represented institutional investors, financial institutions, hotel brands, and government agencies. The major stakeholders may be divided into </w:t>
      </w:r>
      <w:r w:rsidR="00DC02CF">
        <w:t>a few interdependent groups</w:t>
      </w:r>
      <w:r>
        <w:t>:</w:t>
      </w:r>
    </w:p>
    <w:p w14:paraId="0ED047C6" w14:textId="0B4E3C2C" w:rsidR="00DC02CF" w:rsidRDefault="00472AB3" w:rsidP="007A39FB">
      <w:pPr>
        <w:pStyle w:val="ListParagraph"/>
        <w:numPr>
          <w:ilvl w:val="0"/>
          <w:numId w:val="3"/>
        </w:numPr>
      </w:pPr>
      <w:r w:rsidRPr="00472AB3">
        <w:rPr>
          <w:b/>
          <w:bCs/>
        </w:rPr>
        <w:t>Organisers:</w:t>
      </w:r>
      <w:r>
        <w:t xml:space="preserve"> </w:t>
      </w:r>
      <w:r w:rsidR="00DC02CF">
        <w:t>The event is handled by Questex Hospitality Group, an international media and event firm that deals with hospitality investment forums. Questex manages logistics, acquisition of sponsors, marketing, and programme curation</w:t>
      </w:r>
      <w:r w:rsidR="00555BD8">
        <w:t xml:space="preserve"> (</w:t>
      </w:r>
      <w:r w:rsidR="00555BD8" w:rsidRPr="00555BD8">
        <w:t>Rankine</w:t>
      </w:r>
      <w:r w:rsidR="00555BD8">
        <w:t xml:space="preserve"> </w:t>
      </w:r>
      <w:r w:rsidR="00555BD8" w:rsidRPr="00555BD8">
        <w:t>and Giberti,</w:t>
      </w:r>
      <w:r w:rsidR="00555BD8">
        <w:t xml:space="preserve"> </w:t>
      </w:r>
      <w:r w:rsidR="00555BD8" w:rsidRPr="00555BD8">
        <w:t>2020</w:t>
      </w:r>
      <w:r w:rsidR="00555BD8">
        <w:t>)</w:t>
      </w:r>
      <w:r w:rsidR="00555BD8" w:rsidRPr="00555BD8">
        <w:t>. </w:t>
      </w:r>
    </w:p>
    <w:p w14:paraId="23EC70AE" w14:textId="0D3BD2D1" w:rsidR="00DC02CF" w:rsidRDefault="00DC02CF" w:rsidP="007A39FB">
      <w:pPr>
        <w:pStyle w:val="ListParagraph"/>
        <w:numPr>
          <w:ilvl w:val="0"/>
          <w:numId w:val="3"/>
        </w:numPr>
      </w:pPr>
      <w:r w:rsidRPr="007A39FB">
        <w:rPr>
          <w:b/>
          <w:bCs/>
        </w:rPr>
        <w:lastRenderedPageBreak/>
        <w:t>Sponsors and Exhibitors:</w:t>
      </w:r>
      <w:r>
        <w:t xml:space="preserve"> Well-known international hotel chains like IHG, Accor, Marriott International, and Radisson Hotel Group showcase new resort offerings, sustainability measures, and investment opportunities.</w:t>
      </w:r>
    </w:p>
    <w:p w14:paraId="10AC84CE" w14:textId="69A80AFB" w:rsidR="00DC02CF" w:rsidRDefault="00DC02CF" w:rsidP="007A39FB">
      <w:pPr>
        <w:pStyle w:val="ListParagraph"/>
        <w:numPr>
          <w:ilvl w:val="0"/>
          <w:numId w:val="3"/>
        </w:numPr>
      </w:pPr>
      <w:r w:rsidRPr="007A39FB">
        <w:rPr>
          <w:b/>
          <w:bCs/>
        </w:rPr>
        <w:t>Delegates:</w:t>
      </w:r>
      <w:r>
        <w:t xml:space="preserve"> They are developers, financiers, asset managers, consultants, and architects who are looking for new partnerships and methods of financing.</w:t>
      </w:r>
    </w:p>
    <w:p w14:paraId="64FBC027" w14:textId="2E60B9D8" w:rsidR="00DC02CF" w:rsidRDefault="00DC02CF" w:rsidP="007A39FB">
      <w:pPr>
        <w:pStyle w:val="ListParagraph"/>
        <w:numPr>
          <w:ilvl w:val="0"/>
          <w:numId w:val="3"/>
        </w:numPr>
      </w:pPr>
      <w:r w:rsidRPr="007A39FB">
        <w:rPr>
          <w:b/>
          <w:bCs/>
        </w:rPr>
        <w:t>Destination Authorities:</w:t>
      </w:r>
      <w:r>
        <w:t xml:space="preserve"> Strategic partners are the Hellenic Chamber of Hotels, the Greek National Tourism Organisation (GNTO), and the Ministry of Tourism, which markets Greece as a favourable investment choice</w:t>
      </w:r>
      <w:r w:rsidR="00600772">
        <w:t xml:space="preserve"> (</w:t>
      </w:r>
      <w:r w:rsidR="00600772" w:rsidRPr="00600772">
        <w:t>Fotis,</w:t>
      </w:r>
      <w:r w:rsidR="00600772">
        <w:t xml:space="preserve"> </w:t>
      </w:r>
      <w:r w:rsidR="00600772" w:rsidRPr="00600772">
        <w:t>2025</w:t>
      </w:r>
      <w:r w:rsidR="00600772">
        <w:t>)</w:t>
      </w:r>
      <w:r w:rsidR="00600772" w:rsidRPr="00600772">
        <w:t xml:space="preserve">. </w:t>
      </w:r>
    </w:p>
    <w:p w14:paraId="1F1A97FA" w14:textId="2AC06237" w:rsidR="00DC02CF" w:rsidRDefault="00DC02CF" w:rsidP="007A39FB">
      <w:pPr>
        <w:pStyle w:val="ListParagraph"/>
        <w:numPr>
          <w:ilvl w:val="0"/>
          <w:numId w:val="3"/>
        </w:numPr>
      </w:pPr>
      <w:r w:rsidRPr="007A39FB">
        <w:rPr>
          <w:b/>
          <w:bCs/>
        </w:rPr>
        <w:t>Partner in the venue:</w:t>
      </w:r>
      <w:r>
        <w:t xml:space="preserve"> The InterContinental Athenaeum Athens offers meeting facilities, hotel, dining, and logistics services</w:t>
      </w:r>
      <w:r w:rsidR="00CB7A1C">
        <w:t xml:space="preserve"> (</w:t>
      </w:r>
      <w:r w:rsidR="00CB7A1C" w:rsidRPr="00CB7A1C">
        <w:t>Tsoumakas,</w:t>
      </w:r>
      <w:r w:rsidR="00CB7A1C">
        <w:t xml:space="preserve"> </w:t>
      </w:r>
      <w:r w:rsidR="00CB7A1C" w:rsidRPr="00CB7A1C">
        <w:t>2025</w:t>
      </w:r>
      <w:r w:rsidR="00CB7A1C">
        <w:t>)</w:t>
      </w:r>
      <w:r w:rsidR="00CB7A1C" w:rsidRPr="00CB7A1C">
        <w:t xml:space="preserve">. </w:t>
      </w:r>
    </w:p>
    <w:p w14:paraId="27B0019E" w14:textId="03813157" w:rsidR="00DC02CF" w:rsidRDefault="00DC02CF" w:rsidP="00DC02CF">
      <w:r>
        <w:t xml:space="preserve">In the event-stakeholder theory proposed by Getz (2008), key to an effective event ecosystem is the value co-creation between organisers, venue, sponsors, and destinations. Questex will present intellectual capital and networking at the R&amp;R Forum; the hotels will present hospitality infrastructure; the sponsors and exhibitors will be thanked with exposure; the destination will gain increased foreign investment and tourism receipts. </w:t>
      </w:r>
    </w:p>
    <w:p w14:paraId="53921B83" w14:textId="29402DDA" w:rsidR="00DC02CF" w:rsidRDefault="00DC02CF" w:rsidP="00DC02CF">
      <w:pPr>
        <w:pStyle w:val="Heading2"/>
      </w:pPr>
      <w:bookmarkStart w:id="6" w:name="_Toc212197952"/>
      <w:r w:rsidRPr="00DC02CF">
        <w:t>2.2 Marketing and Communication Strategy</w:t>
      </w:r>
      <w:bookmarkEnd w:id="6"/>
    </w:p>
    <w:p w14:paraId="4156060D" w14:textId="4F135A62" w:rsidR="00DC02CF" w:rsidRPr="00DC02CF" w:rsidRDefault="00DC02CF" w:rsidP="00DC02CF">
      <w:pPr>
        <w:rPr>
          <w:lang w:val="en-US"/>
        </w:rPr>
      </w:pPr>
      <w:r w:rsidRPr="00DC02CF">
        <w:rPr>
          <w:lang w:val="en-US"/>
        </w:rPr>
        <w:t>The marketing and communication plan used by R&amp;R Forum is effective in combining both the traditional relationship marketing and digital methods of engaging with the audience to reach a professional audience. The official site of the event is the central hub, where people will get its agenda, speaker information, sponsorship</w:t>
      </w:r>
      <w:r>
        <w:rPr>
          <w:lang w:val="en-US"/>
        </w:rPr>
        <w:t>,</w:t>
      </w:r>
      <w:r w:rsidRPr="00DC02CF">
        <w:rPr>
          <w:lang w:val="en-US"/>
        </w:rPr>
        <w:t xml:space="preserve"> and registration portals</w:t>
      </w:r>
      <w:r w:rsidR="0056322F">
        <w:rPr>
          <w:lang w:val="en-US"/>
        </w:rPr>
        <w:t xml:space="preserve"> (</w:t>
      </w:r>
      <w:r w:rsidR="0056322F" w:rsidRPr="0056322F">
        <w:t>Bowdin</w:t>
      </w:r>
      <w:r w:rsidR="0056322F">
        <w:t xml:space="preserve"> et al., </w:t>
      </w:r>
      <w:r w:rsidR="0056322F" w:rsidRPr="0056322F">
        <w:t>2023</w:t>
      </w:r>
      <w:r w:rsidR="0056322F">
        <w:t>)</w:t>
      </w:r>
      <w:r w:rsidR="0056322F" w:rsidRPr="0056322F">
        <w:t>. </w:t>
      </w:r>
      <w:r w:rsidR="00CB7A1C">
        <w:rPr>
          <w:lang w:val="en-US"/>
        </w:rPr>
        <w:t xml:space="preserve">The </w:t>
      </w:r>
      <w:r w:rsidRPr="00DC02CF">
        <w:rPr>
          <w:lang w:val="en-US"/>
        </w:rPr>
        <w:t>marketing story of the event is captured in the slogan</w:t>
      </w:r>
      <w:r>
        <w:rPr>
          <w:lang w:val="en-US"/>
        </w:rPr>
        <w:t>:</w:t>
      </w:r>
      <w:r w:rsidRPr="00DC02CF">
        <w:rPr>
          <w:lang w:val="en-US"/>
        </w:rPr>
        <w:t xml:space="preserve"> Investment, Innovation, and Impact. The given triadic theme represents the modern-day values of the hospitality investment community, which are sustainable development, digital transformation, and quantifiable results. </w:t>
      </w:r>
    </w:p>
    <w:p w14:paraId="6741D309" w14:textId="018300FF" w:rsidR="00DC02CF" w:rsidRPr="00DC02CF" w:rsidRDefault="00DC02CF" w:rsidP="00DC02CF">
      <w:pPr>
        <w:rPr>
          <w:lang w:val="en-US"/>
        </w:rPr>
      </w:pPr>
      <w:r w:rsidRPr="00DC02CF">
        <w:rPr>
          <w:lang w:val="en-US"/>
        </w:rPr>
        <w:t xml:space="preserve">The R&amp;R Forum uses content marketing initiatives in the form of pre-event interviews with the key speakers, case studies of successful resort developments, and post-event </w:t>
      </w:r>
      <w:r w:rsidR="0056322F" w:rsidRPr="00DC02CF">
        <w:rPr>
          <w:lang w:val="en-US"/>
        </w:rPr>
        <w:t>white papers</w:t>
      </w:r>
      <w:r w:rsidRPr="00DC02CF">
        <w:rPr>
          <w:lang w:val="en-US"/>
        </w:rPr>
        <w:t xml:space="preserve">. These initiatives are not only </w:t>
      </w:r>
      <w:r>
        <w:rPr>
          <w:lang w:val="en-US"/>
        </w:rPr>
        <w:t>a</w:t>
      </w:r>
      <w:r w:rsidRPr="00DC02CF">
        <w:rPr>
          <w:lang w:val="en-US"/>
        </w:rPr>
        <w:t xml:space="preserve"> way to generate interest but also to strengthen the image of the event as the platform of thought-leadership</w:t>
      </w:r>
      <w:r w:rsidR="001229F6">
        <w:rPr>
          <w:lang w:val="en-US"/>
        </w:rPr>
        <w:t xml:space="preserve"> (</w:t>
      </w:r>
      <w:r w:rsidR="001229F6" w:rsidRPr="001229F6">
        <w:t>Mikama, 2025</w:t>
      </w:r>
      <w:r w:rsidR="001229F6">
        <w:t>)</w:t>
      </w:r>
      <w:r w:rsidR="001229F6" w:rsidRPr="001229F6">
        <w:t xml:space="preserve">. </w:t>
      </w:r>
      <w:r w:rsidRPr="00DC02CF">
        <w:rPr>
          <w:lang w:val="en-US"/>
        </w:rPr>
        <w:t xml:space="preserve">Applying the </w:t>
      </w:r>
      <w:r w:rsidRPr="004D4A67">
        <w:rPr>
          <w:b/>
          <w:bCs/>
          <w:lang w:val="en-US"/>
        </w:rPr>
        <w:t>AIDA model</w:t>
      </w:r>
      <w:r w:rsidRPr="00DC02CF">
        <w:rPr>
          <w:lang w:val="en-US"/>
        </w:rPr>
        <w:t xml:space="preserve"> (Attention-Interest-Desire-Action), the R&amp;R Forum aims to gain attention by featuring big-name speakers (i.e.</w:t>
      </w:r>
      <w:r>
        <w:rPr>
          <w:lang w:val="en-US"/>
        </w:rPr>
        <w:t>,</w:t>
      </w:r>
      <w:r w:rsidRPr="00DC02CF">
        <w:rPr>
          <w:lang w:val="en-US"/>
        </w:rPr>
        <w:t xml:space="preserve"> CEOs of big hospitality chains) and help stimulate the desire to invest by providing </w:t>
      </w:r>
      <w:r w:rsidRPr="00DC02CF">
        <w:rPr>
          <w:lang w:val="en-US"/>
        </w:rPr>
        <w:lastRenderedPageBreak/>
        <w:t xml:space="preserve">investment-related content. The action is promoted through </w:t>
      </w:r>
      <w:proofErr w:type="gramStart"/>
      <w:r w:rsidRPr="00DC02CF">
        <w:rPr>
          <w:lang w:val="en-US"/>
        </w:rPr>
        <w:t>early-bird</w:t>
      </w:r>
      <w:proofErr w:type="gramEnd"/>
      <w:r w:rsidRPr="00DC02CF">
        <w:rPr>
          <w:lang w:val="en-US"/>
        </w:rPr>
        <w:t xml:space="preserve"> offers and networking value propositions. </w:t>
      </w:r>
    </w:p>
    <w:p w14:paraId="42ED57CF" w14:textId="38B24A17" w:rsidR="00DC02CF" w:rsidRDefault="00DC02CF" w:rsidP="00DC02CF">
      <w:pPr>
        <w:pStyle w:val="Heading2"/>
      </w:pPr>
      <w:bookmarkStart w:id="7" w:name="_Toc212197953"/>
      <w:r w:rsidRPr="00DC02CF">
        <w:t>2.3 Trends and Innovation</w:t>
      </w:r>
      <w:bookmarkEnd w:id="7"/>
    </w:p>
    <w:p w14:paraId="18E39249" w14:textId="77777777" w:rsidR="008C1499" w:rsidRDefault="008C1499" w:rsidP="008C1499">
      <w:pPr>
        <w:keepNext/>
        <w:jc w:val="center"/>
      </w:pPr>
      <w:r>
        <w:rPr>
          <w:noProof/>
          <w:lang w:val="en-US"/>
          <w14:ligatures w14:val="standardContextual"/>
        </w:rPr>
        <w:drawing>
          <wp:inline distT="0" distB="0" distL="0" distR="0" wp14:anchorId="06650A9D" wp14:editId="7D887929">
            <wp:extent cx="3995225" cy="2293034"/>
            <wp:effectExtent l="0" t="38100" r="0" b="69215"/>
            <wp:docPr id="183794290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F392CAC" w14:textId="65CB8A23" w:rsidR="008C1499" w:rsidRPr="008C1499" w:rsidRDefault="008C1499" w:rsidP="008C1499">
      <w:pPr>
        <w:pStyle w:val="Caption"/>
        <w:jc w:val="center"/>
        <w:rPr>
          <w:i w:val="0"/>
          <w:iCs w:val="0"/>
        </w:rPr>
      </w:pPr>
      <w:bookmarkStart w:id="8" w:name="_Toc212199521"/>
      <w:r w:rsidRPr="008C1499">
        <w:rPr>
          <w:i w:val="0"/>
          <w:iCs w:val="0"/>
        </w:rPr>
        <w:t xml:space="preserve">Figure </w:t>
      </w:r>
      <w:r w:rsidRPr="008C1499">
        <w:rPr>
          <w:i w:val="0"/>
          <w:iCs w:val="0"/>
        </w:rPr>
        <w:fldChar w:fldCharType="begin"/>
      </w:r>
      <w:r w:rsidRPr="008C1499">
        <w:rPr>
          <w:i w:val="0"/>
          <w:iCs w:val="0"/>
        </w:rPr>
        <w:instrText xml:space="preserve"> SEQ Figure \* ARABIC </w:instrText>
      </w:r>
      <w:r w:rsidRPr="008C1499">
        <w:rPr>
          <w:i w:val="0"/>
          <w:iCs w:val="0"/>
        </w:rPr>
        <w:fldChar w:fldCharType="separate"/>
      </w:r>
      <w:r w:rsidR="00B64FF5">
        <w:rPr>
          <w:i w:val="0"/>
          <w:iCs w:val="0"/>
          <w:noProof/>
        </w:rPr>
        <w:t>3</w:t>
      </w:r>
      <w:r w:rsidRPr="008C1499">
        <w:rPr>
          <w:i w:val="0"/>
          <w:iCs w:val="0"/>
        </w:rPr>
        <w:fldChar w:fldCharType="end"/>
      </w:r>
      <w:r w:rsidRPr="008C1499">
        <w:rPr>
          <w:i w:val="0"/>
          <w:iCs w:val="0"/>
        </w:rPr>
        <w:t>: Trends and Innovation</w:t>
      </w:r>
      <w:bookmarkEnd w:id="8"/>
    </w:p>
    <w:p w14:paraId="45AFD2A1" w14:textId="1E5147B8" w:rsidR="008C1499" w:rsidRPr="008C1499" w:rsidRDefault="008C1499" w:rsidP="008C1499">
      <w:pPr>
        <w:pStyle w:val="Caption"/>
        <w:jc w:val="center"/>
        <w:rPr>
          <w:i w:val="0"/>
          <w:iCs w:val="0"/>
          <w:lang w:val="en-US"/>
        </w:rPr>
      </w:pPr>
      <w:r w:rsidRPr="008C1499">
        <w:rPr>
          <w:i w:val="0"/>
          <w:iCs w:val="0"/>
        </w:rPr>
        <w:t xml:space="preserve"> (Source: Author, 2025)</w:t>
      </w:r>
    </w:p>
    <w:p w14:paraId="29C6A2C0" w14:textId="09ED3CAE" w:rsidR="00DC02CF" w:rsidRPr="00DC02CF" w:rsidRDefault="00DC02CF" w:rsidP="00DC02CF">
      <w:pPr>
        <w:rPr>
          <w:lang w:val="en-US"/>
        </w:rPr>
      </w:pPr>
      <w:r w:rsidRPr="00DC02CF">
        <w:rPr>
          <w:lang w:val="en-US"/>
        </w:rPr>
        <w:t>The R&amp;R Forum is a perfect example of the emerging trend in MICE events in a bid to meet the global hospitality trends</w:t>
      </w:r>
      <w:r w:rsidR="007C39EA">
        <w:rPr>
          <w:lang w:val="en-US"/>
        </w:rPr>
        <w:t xml:space="preserve"> (</w:t>
      </w:r>
      <w:r w:rsidR="007C39EA" w:rsidRPr="007C39EA">
        <w:t>Khaing, 2024</w:t>
      </w:r>
      <w:r w:rsidR="007C39EA">
        <w:t>)</w:t>
      </w:r>
      <w:r w:rsidR="007C39EA" w:rsidRPr="007C39EA">
        <w:t>. </w:t>
      </w:r>
      <w:r w:rsidRPr="00DC02CF">
        <w:rPr>
          <w:lang w:val="en-US"/>
        </w:rPr>
        <w:t>It is progressive in the way it uses technology, ethical and eco-friendly practices, and its experiential experience.</w:t>
      </w:r>
    </w:p>
    <w:p w14:paraId="6E22B3EB" w14:textId="77777777" w:rsidR="00DC02CF" w:rsidRPr="00243121" w:rsidRDefault="00DC02CF" w:rsidP="00DC02CF">
      <w:pPr>
        <w:rPr>
          <w:b/>
          <w:bCs/>
        </w:rPr>
      </w:pPr>
      <w:r w:rsidRPr="00243121">
        <w:rPr>
          <w:b/>
          <w:bCs/>
        </w:rPr>
        <w:t>1. Technology and Hybridisation:</w:t>
      </w:r>
    </w:p>
    <w:p w14:paraId="3D8CF9A9" w14:textId="161469B7" w:rsidR="00DC02CF" w:rsidRPr="00DC02CF" w:rsidRDefault="00DC02CF" w:rsidP="00DC02CF">
      <w:pPr>
        <w:rPr>
          <w:lang w:val="en-US"/>
        </w:rPr>
      </w:pPr>
      <w:r w:rsidRPr="00DC02CF">
        <w:rPr>
          <w:lang w:val="en-US"/>
        </w:rPr>
        <w:t xml:space="preserve">As a reaction to the post-pandemic reality, the forum was launched as a hybrid with digital content delivered on demand and through live streams. This technology enhances inclusivity and reduces emissions during </w:t>
      </w:r>
      <w:r w:rsidR="00B9370F" w:rsidRPr="00DC02CF">
        <w:rPr>
          <w:lang w:val="en-US"/>
        </w:rPr>
        <w:t>travel</w:t>
      </w:r>
      <w:r w:rsidRPr="00DC02CF">
        <w:rPr>
          <w:lang w:val="en-US"/>
        </w:rPr>
        <w:t xml:space="preserve">, as it is in line with the hybrid event model presented by Davidson </w:t>
      </w:r>
      <w:r w:rsidR="00E35039" w:rsidRPr="00DC02CF">
        <w:rPr>
          <w:lang w:val="en-US"/>
        </w:rPr>
        <w:t xml:space="preserve">and </w:t>
      </w:r>
      <w:r w:rsidR="008C1499">
        <w:rPr>
          <w:lang w:val="en-US"/>
        </w:rPr>
        <w:t>(</w:t>
      </w:r>
      <w:r w:rsidR="00E35039">
        <w:rPr>
          <w:lang w:val="en-US"/>
        </w:rPr>
        <w:t>Santos</w:t>
      </w:r>
      <w:r w:rsidR="00E35039">
        <w:t xml:space="preserve"> et al.</w:t>
      </w:r>
      <w:r w:rsidR="008C1499">
        <w:t xml:space="preserve">, </w:t>
      </w:r>
      <w:r w:rsidR="00E35039" w:rsidRPr="00AB196C">
        <w:t>2024</w:t>
      </w:r>
      <w:r w:rsidR="00E35039">
        <w:t>)</w:t>
      </w:r>
      <w:r w:rsidR="00E35039" w:rsidRPr="00AB196C">
        <w:t>.</w:t>
      </w:r>
      <w:r w:rsidRPr="00DC02CF">
        <w:rPr>
          <w:lang w:val="en-US"/>
        </w:rPr>
        <w:t xml:space="preserve"> </w:t>
      </w:r>
    </w:p>
    <w:p w14:paraId="74AB6559" w14:textId="77777777" w:rsidR="00DC02CF" w:rsidRPr="00243121" w:rsidRDefault="00DC02CF" w:rsidP="00DC02CF">
      <w:pPr>
        <w:rPr>
          <w:b/>
          <w:bCs/>
        </w:rPr>
      </w:pPr>
      <w:r w:rsidRPr="00243121">
        <w:rPr>
          <w:b/>
          <w:bCs/>
        </w:rPr>
        <w:t>2. Sustainability and ESG Focus:</w:t>
      </w:r>
    </w:p>
    <w:p w14:paraId="7DBAF86B" w14:textId="44D358A4" w:rsidR="00DC02CF" w:rsidRDefault="00DC02CF" w:rsidP="00DC02CF">
      <w:pPr>
        <w:rPr>
          <w:lang w:val="en-US"/>
        </w:rPr>
      </w:pPr>
      <w:r w:rsidRPr="00DC02CF">
        <w:rPr>
          <w:lang w:val="en-US"/>
        </w:rPr>
        <w:t>The agenda of the forum is sustainability. The panels</w:t>
      </w:r>
      <w:r>
        <w:rPr>
          <w:lang w:val="en-US"/>
        </w:rPr>
        <w:t>,</w:t>
      </w:r>
      <w:r w:rsidRPr="00DC02CF">
        <w:rPr>
          <w:lang w:val="en-US"/>
        </w:rPr>
        <w:t xml:space="preserve"> like the Regenerative Tourism and Green Investment</w:t>
      </w:r>
      <w:r>
        <w:rPr>
          <w:lang w:val="en-US"/>
        </w:rPr>
        <w:t>,</w:t>
      </w:r>
      <w:r w:rsidRPr="00DC02CF">
        <w:rPr>
          <w:lang w:val="en-US"/>
        </w:rPr>
        <w:t xml:space="preserve"> show how the sector is aligned </w:t>
      </w:r>
      <w:r>
        <w:rPr>
          <w:lang w:val="en-US"/>
        </w:rPr>
        <w:t>with</w:t>
      </w:r>
      <w:r w:rsidRPr="00DC02CF">
        <w:rPr>
          <w:lang w:val="en-US"/>
        </w:rPr>
        <w:t xml:space="preserve"> the 2030 Net Zero Roadmap issued by UNWTO </w:t>
      </w:r>
      <w:r w:rsidR="0001732F">
        <w:rPr>
          <w:lang w:val="en-US"/>
        </w:rPr>
        <w:t>(</w:t>
      </w:r>
      <w:r w:rsidR="0001732F" w:rsidRPr="0001732F">
        <w:t>Higham,</w:t>
      </w:r>
      <w:r w:rsidR="0001732F">
        <w:t xml:space="preserve"> </w:t>
      </w:r>
      <w:r w:rsidR="0001732F" w:rsidRPr="0001732F">
        <w:t>Font,</w:t>
      </w:r>
      <w:r w:rsidR="0001732F">
        <w:t xml:space="preserve"> </w:t>
      </w:r>
      <w:r w:rsidR="0001732F" w:rsidRPr="0001732F">
        <w:t>and Wu, 2021</w:t>
      </w:r>
      <w:r w:rsidR="0001732F">
        <w:t>)</w:t>
      </w:r>
      <w:r w:rsidR="0001732F" w:rsidRPr="0001732F">
        <w:t xml:space="preserve">. </w:t>
      </w:r>
    </w:p>
    <w:p w14:paraId="4DB8E67F" w14:textId="77777777" w:rsidR="008C1499" w:rsidRDefault="008C1499">
      <w:pPr>
        <w:spacing w:after="160" w:line="278" w:lineRule="auto"/>
        <w:jc w:val="left"/>
        <w:rPr>
          <w:b/>
          <w:bCs/>
        </w:rPr>
      </w:pPr>
      <w:r>
        <w:rPr>
          <w:b/>
          <w:bCs/>
        </w:rPr>
        <w:br w:type="page"/>
      </w:r>
    </w:p>
    <w:p w14:paraId="38E8700E" w14:textId="77777777" w:rsidR="00DC02CF" w:rsidRPr="00243121" w:rsidRDefault="00DC02CF" w:rsidP="00DC02CF">
      <w:pPr>
        <w:rPr>
          <w:b/>
          <w:bCs/>
        </w:rPr>
      </w:pPr>
      <w:r w:rsidRPr="00243121">
        <w:rPr>
          <w:b/>
          <w:bCs/>
        </w:rPr>
        <w:lastRenderedPageBreak/>
        <w:t>3. Personalisation and Experiential Design:</w:t>
      </w:r>
    </w:p>
    <w:p w14:paraId="6E0E965C" w14:textId="776FA6F2" w:rsidR="00DC02CF" w:rsidRPr="00DC02CF" w:rsidRDefault="00DC02CF" w:rsidP="00DC02CF">
      <w:pPr>
        <w:rPr>
          <w:lang w:val="en-US"/>
        </w:rPr>
      </w:pPr>
      <w:r w:rsidRPr="00DC02CF">
        <w:rPr>
          <w:lang w:val="en-US"/>
        </w:rPr>
        <w:t xml:space="preserve">The R&amp;R Forum organizes customised events like </w:t>
      </w:r>
      <w:r>
        <w:rPr>
          <w:lang w:val="en-US"/>
        </w:rPr>
        <w:t>Investor</w:t>
      </w:r>
      <w:r w:rsidRPr="00DC02CF">
        <w:rPr>
          <w:lang w:val="en-US"/>
        </w:rPr>
        <w:t xml:space="preserve"> </w:t>
      </w:r>
      <w:r>
        <w:rPr>
          <w:lang w:val="en-US"/>
        </w:rPr>
        <w:t>Connect</w:t>
      </w:r>
      <w:r w:rsidRPr="00DC02CF">
        <w:rPr>
          <w:lang w:val="en-US"/>
        </w:rPr>
        <w:t>, which are one-on-one matchmaking workshops that match the interests of investors and developers. Delegates will also be given the opportunity to visit resort projects in Athens and the Cyclades on an exclusive visit basis</w:t>
      </w:r>
      <w:r>
        <w:rPr>
          <w:lang w:val="en-US"/>
        </w:rPr>
        <w:t>,</w:t>
      </w:r>
      <w:r w:rsidRPr="00DC02CF">
        <w:rPr>
          <w:lang w:val="en-US"/>
        </w:rPr>
        <w:t xml:space="preserve"> so that they are exposed to the projects</w:t>
      </w:r>
      <w:r w:rsidR="00134A09">
        <w:rPr>
          <w:lang w:val="en-US"/>
        </w:rPr>
        <w:t xml:space="preserve"> (</w:t>
      </w:r>
      <w:r w:rsidR="00134A09" w:rsidRPr="00134A09">
        <w:t>Pappas, 2021</w:t>
      </w:r>
      <w:r w:rsidR="00134A09">
        <w:t>)</w:t>
      </w:r>
      <w:r w:rsidR="00134A09" w:rsidRPr="00134A09">
        <w:t>. </w:t>
      </w:r>
    </w:p>
    <w:p w14:paraId="4740AF39" w14:textId="77777777" w:rsidR="00DC02CF" w:rsidRPr="00243121" w:rsidRDefault="00DC02CF" w:rsidP="00DC02CF">
      <w:pPr>
        <w:rPr>
          <w:b/>
          <w:bCs/>
        </w:rPr>
      </w:pPr>
      <w:r w:rsidRPr="00243121">
        <w:rPr>
          <w:b/>
          <w:bCs/>
        </w:rPr>
        <w:t>4. Wellness and Work–Life Balance:</w:t>
      </w:r>
    </w:p>
    <w:p w14:paraId="249FCBB7" w14:textId="77C121F5" w:rsidR="00DC02CF" w:rsidRPr="00DC02CF" w:rsidRDefault="00DC02CF" w:rsidP="00DC02CF">
      <w:pPr>
        <w:rPr>
          <w:lang w:val="en-US"/>
        </w:rPr>
      </w:pPr>
      <w:r w:rsidRPr="00DC02CF">
        <w:rPr>
          <w:lang w:val="en-US"/>
        </w:rPr>
        <w:t>The inclusion of wellness programs, including mindfulness lounges, healthy F&amp;B, and stress-relief exercises, is a symptom of the increased value of delegate wellbeing. Cvent (2023) explains that the inclusion of wellness elements enhances satisfaction and productivity, especially in top managers.</w:t>
      </w:r>
    </w:p>
    <w:p w14:paraId="790DF9BF" w14:textId="2E87101C" w:rsidR="005158CC" w:rsidRDefault="005158CC" w:rsidP="005158CC">
      <w:pPr>
        <w:pStyle w:val="Heading2"/>
      </w:pPr>
      <w:bookmarkStart w:id="9" w:name="_Toc212197954"/>
      <w:r w:rsidRPr="005158CC">
        <w:t>2.4 Operational Challenges, Risks, and Legal Considerations</w:t>
      </w:r>
      <w:bookmarkEnd w:id="9"/>
    </w:p>
    <w:p w14:paraId="67E4FEB5" w14:textId="77777777" w:rsidR="00B64FF5" w:rsidRDefault="00B64FF5" w:rsidP="00B64FF5">
      <w:pPr>
        <w:keepNext/>
        <w:jc w:val="center"/>
      </w:pPr>
      <w:r>
        <w:rPr>
          <w:noProof/>
          <w:lang w:val="en-US"/>
          <w14:ligatures w14:val="standardContextual"/>
        </w:rPr>
        <w:drawing>
          <wp:inline distT="0" distB="0" distL="0" distR="0" wp14:anchorId="1A7E019A" wp14:editId="2A866867">
            <wp:extent cx="3910232" cy="2475914"/>
            <wp:effectExtent l="0" t="0" r="0" b="38735"/>
            <wp:docPr id="1782286722"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95F849E" w14:textId="77777777" w:rsidR="00B64FF5" w:rsidRDefault="00B64FF5" w:rsidP="00B64FF5">
      <w:pPr>
        <w:pStyle w:val="Caption"/>
        <w:jc w:val="center"/>
      </w:pPr>
      <w:bookmarkStart w:id="10" w:name="_Toc212199522"/>
      <w:r>
        <w:t xml:space="preserve">Figure </w:t>
      </w:r>
      <w:r>
        <w:fldChar w:fldCharType="begin"/>
      </w:r>
      <w:r>
        <w:instrText xml:space="preserve"> SEQ Figure \* ARABIC </w:instrText>
      </w:r>
      <w:r>
        <w:fldChar w:fldCharType="separate"/>
      </w:r>
      <w:r>
        <w:rPr>
          <w:noProof/>
        </w:rPr>
        <w:t>4</w:t>
      </w:r>
      <w:r>
        <w:fldChar w:fldCharType="end"/>
      </w:r>
      <w:r>
        <w:t xml:space="preserve">: </w:t>
      </w:r>
      <w:r w:rsidRPr="00B4656C">
        <w:t>Operational Challenges, Risks, and Legal Considerations</w:t>
      </w:r>
      <w:bookmarkEnd w:id="10"/>
    </w:p>
    <w:p w14:paraId="73B88904" w14:textId="306F45F7" w:rsidR="00B64FF5" w:rsidRPr="00B64FF5" w:rsidRDefault="00B64FF5" w:rsidP="00B64FF5">
      <w:pPr>
        <w:pStyle w:val="Caption"/>
        <w:jc w:val="center"/>
        <w:rPr>
          <w:lang w:val="en-US"/>
        </w:rPr>
      </w:pPr>
      <w:r>
        <w:t>(Source: Author, 2025)</w:t>
      </w:r>
    </w:p>
    <w:p w14:paraId="61CB279F" w14:textId="15E05F6A" w:rsidR="005158CC" w:rsidRDefault="005158CC" w:rsidP="005158CC">
      <w:r w:rsidRPr="005158CC">
        <w:t>While the R&amp;R Forum is well run, it incurs operational, legal</w:t>
      </w:r>
      <w:r w:rsidR="0066685D">
        <w:t>,</w:t>
      </w:r>
      <w:r w:rsidRPr="005158CC">
        <w:t xml:space="preserve"> and reputational risks that require </w:t>
      </w:r>
      <w:r w:rsidR="0066685D">
        <w:t>an advanced</w:t>
      </w:r>
      <w:r w:rsidRPr="005158CC">
        <w:t xml:space="preserve"> strategy for protection.</w:t>
      </w:r>
    </w:p>
    <w:p w14:paraId="1F1C2D64" w14:textId="48A4C445" w:rsidR="005158CC" w:rsidRPr="00243121" w:rsidRDefault="005158CC" w:rsidP="005158CC">
      <w:pPr>
        <w:rPr>
          <w:b/>
          <w:bCs/>
        </w:rPr>
      </w:pPr>
      <w:r w:rsidRPr="00243121">
        <w:rPr>
          <w:b/>
          <w:bCs/>
        </w:rPr>
        <w:t>Logistics and Staffing:</w:t>
      </w:r>
    </w:p>
    <w:p w14:paraId="00E79D6E" w14:textId="3189B2BE" w:rsidR="005158CC" w:rsidRDefault="005158CC" w:rsidP="005158CC">
      <w:r w:rsidRPr="005158CC">
        <w:t xml:space="preserve">Managing arrivals, delegate registration, and on-site logistics for an international </w:t>
      </w:r>
      <w:r w:rsidR="0066685D">
        <w:t>traveling</w:t>
      </w:r>
      <w:r w:rsidRPr="005158CC">
        <w:t xml:space="preserve"> audience will require meticulous scheduling plus effective coordination between </w:t>
      </w:r>
      <w:r w:rsidR="00B9370F" w:rsidRPr="005158CC">
        <w:t>Quested</w:t>
      </w:r>
      <w:r w:rsidRPr="005158CC">
        <w:t xml:space="preserve">, the </w:t>
      </w:r>
      <w:r w:rsidR="00B9370F" w:rsidRPr="005158CC">
        <w:lastRenderedPageBreak/>
        <w:t>Inter-Continental</w:t>
      </w:r>
      <w:r w:rsidRPr="005158CC">
        <w:t xml:space="preserve"> Athenaeum</w:t>
      </w:r>
      <w:r w:rsidR="0066685D">
        <w:t>,</w:t>
      </w:r>
      <w:r w:rsidRPr="005158CC">
        <w:t xml:space="preserve"> and the local destination management companies. The Event Cycle model (research → planning → implementation → delivery → evaluation) can produce systematic coordination and resource targeting</w:t>
      </w:r>
      <w:r w:rsidR="004B6BC6">
        <w:t xml:space="preserve"> (</w:t>
      </w:r>
      <w:r w:rsidR="004B6BC6" w:rsidRPr="004B6BC6">
        <w:t>AlWaer,</w:t>
      </w:r>
      <w:r w:rsidR="004B6BC6">
        <w:t xml:space="preserve"> </w:t>
      </w:r>
      <w:r w:rsidR="004B6BC6" w:rsidRPr="004B6BC6">
        <w:t>Rintoul, and Cooper, 2021</w:t>
      </w:r>
      <w:r w:rsidR="004B6BC6">
        <w:t>)</w:t>
      </w:r>
      <w:r w:rsidR="004B6BC6" w:rsidRPr="004B6BC6">
        <w:t xml:space="preserve">. </w:t>
      </w:r>
    </w:p>
    <w:p w14:paraId="1396F7B5" w14:textId="258E9667" w:rsidR="005158CC" w:rsidRPr="00243121" w:rsidRDefault="005158CC" w:rsidP="00B64FF5">
      <w:pPr>
        <w:spacing w:after="160" w:line="278" w:lineRule="auto"/>
        <w:jc w:val="left"/>
        <w:rPr>
          <w:b/>
          <w:bCs/>
        </w:rPr>
      </w:pPr>
      <w:r w:rsidRPr="00243121">
        <w:rPr>
          <w:b/>
          <w:bCs/>
        </w:rPr>
        <w:t>Health, Safety</w:t>
      </w:r>
      <w:r w:rsidR="0066685D" w:rsidRPr="00243121">
        <w:rPr>
          <w:b/>
          <w:bCs/>
        </w:rPr>
        <w:t>,</w:t>
      </w:r>
      <w:r w:rsidRPr="00243121">
        <w:rPr>
          <w:b/>
          <w:bCs/>
        </w:rPr>
        <w:t xml:space="preserve"> and Security:</w:t>
      </w:r>
    </w:p>
    <w:p w14:paraId="123CC3CC" w14:textId="0F0B77D9" w:rsidR="005158CC" w:rsidRDefault="005158CC" w:rsidP="005158CC">
      <w:r w:rsidRPr="005158CC">
        <w:t>Compliance with Greek occupational safety laws (Law 3850/2010) plus IHG’s Clean Promise protocols will contribute towards sanitation, planned crowd control</w:t>
      </w:r>
      <w:r w:rsidR="0066685D">
        <w:t>,</w:t>
      </w:r>
      <w:r w:rsidRPr="005158CC">
        <w:t xml:space="preserve"> and contingency (for emergency exit). Due to delegates attending with notoriety</w:t>
      </w:r>
      <w:r w:rsidR="0066685D">
        <w:t>,</w:t>
      </w:r>
      <w:r w:rsidRPr="005158CC">
        <w:t xml:space="preserve"> the event also </w:t>
      </w:r>
      <w:proofErr w:type="gramStart"/>
      <w:r w:rsidRPr="005158CC">
        <w:t>has to</w:t>
      </w:r>
      <w:proofErr w:type="gramEnd"/>
      <w:r w:rsidRPr="005158CC">
        <w:t xml:space="preserve"> plan for elevated security screening and control</w:t>
      </w:r>
      <w:r w:rsidR="00EF0225">
        <w:t xml:space="preserve"> </w:t>
      </w:r>
      <w:r w:rsidR="00C055C1">
        <w:t>(</w:t>
      </w:r>
      <w:r w:rsidR="00EF0225" w:rsidRPr="00EF0225">
        <w:t>Alteri,</w:t>
      </w:r>
      <w:r w:rsidR="00EF0225">
        <w:t xml:space="preserve"> </w:t>
      </w:r>
      <w:r w:rsidR="00EF0225" w:rsidRPr="00EF0225">
        <w:t>2024</w:t>
      </w:r>
      <w:r w:rsidR="00EF0225">
        <w:t>)</w:t>
      </w:r>
      <w:r w:rsidR="00EF0225" w:rsidRPr="00EF0225">
        <w:t>. </w:t>
      </w:r>
    </w:p>
    <w:p w14:paraId="6B7901A7" w14:textId="4D30DCF7" w:rsidR="005158CC" w:rsidRDefault="005158CC" w:rsidP="005158CC">
      <w:pPr>
        <w:rPr>
          <w:b/>
          <w:bCs/>
        </w:rPr>
      </w:pPr>
      <w:r w:rsidRPr="00243121">
        <w:rPr>
          <w:b/>
          <w:bCs/>
        </w:rPr>
        <w:t>Legal and Financial Risk:</w:t>
      </w:r>
    </w:p>
    <w:p w14:paraId="3AB9ADF7" w14:textId="1DECE6CA" w:rsidR="0097408E" w:rsidRPr="0097408E" w:rsidRDefault="0097408E" w:rsidP="005158CC">
      <w:r w:rsidRPr="0097408E">
        <w:t>The forum will include budget discussions</w:t>
      </w:r>
      <w:r>
        <w:t>,</w:t>
      </w:r>
      <w:r w:rsidRPr="0097408E">
        <w:t xml:space="preserve"> which will also require compliance with the EU General Data Protection Regulation (GDPR) and the EU financial-disclosure obligations. Non-compliance with GDPR could result in litigation actions or negative publicity for the organi</w:t>
      </w:r>
      <w:r w:rsidR="00C72CF0">
        <w:t>s</w:t>
      </w:r>
      <w:r w:rsidRPr="0097408E">
        <w:t>ation.</w:t>
      </w:r>
    </w:p>
    <w:p w14:paraId="2750B46B" w14:textId="296D44D6" w:rsidR="00B9370F" w:rsidRDefault="005158CC" w:rsidP="005158CC">
      <w:pPr>
        <w:rPr>
          <w:b/>
          <w:bCs/>
        </w:rPr>
      </w:pPr>
      <w:r w:rsidRPr="00243121">
        <w:rPr>
          <w:b/>
          <w:bCs/>
        </w:rPr>
        <w:t>Tech Risks:</w:t>
      </w:r>
      <w:r w:rsidR="00B9370F">
        <w:rPr>
          <w:b/>
          <w:bCs/>
        </w:rPr>
        <w:t xml:space="preserve"> </w:t>
      </w:r>
    </w:p>
    <w:p w14:paraId="5276FA7B" w14:textId="1855BC9C" w:rsidR="005158CC" w:rsidRDefault="005158CC" w:rsidP="005158CC">
      <w:r w:rsidRPr="005158CC">
        <w:t>The hybrid model means greater exposure to cyber risk, networks being hacked</w:t>
      </w:r>
      <w:r w:rsidR="0066685D">
        <w:t>,</w:t>
      </w:r>
      <w:r w:rsidRPr="005158CC">
        <w:t xml:space="preserve"> and data loss (e.g.</w:t>
      </w:r>
      <w:r w:rsidR="0066685D">
        <w:t>,</w:t>
      </w:r>
      <w:r w:rsidRPr="005158CC">
        <w:t xml:space="preserve"> system collapse). Protect against data loss by implementing encrypted access for all data systems while also implementing </w:t>
      </w:r>
      <w:r w:rsidR="0066685D">
        <w:t>backup</w:t>
      </w:r>
      <w:r w:rsidRPr="005158CC">
        <w:t xml:space="preserve"> servers</w:t>
      </w:r>
      <w:r w:rsidR="0066685D">
        <w:t xml:space="preserve">. </w:t>
      </w:r>
    </w:p>
    <w:p w14:paraId="3B90E63B" w14:textId="77777777" w:rsidR="005158CC" w:rsidRPr="00243121" w:rsidRDefault="005158CC" w:rsidP="005158CC">
      <w:pPr>
        <w:rPr>
          <w:b/>
          <w:bCs/>
        </w:rPr>
      </w:pPr>
      <w:r w:rsidRPr="00243121">
        <w:rPr>
          <w:b/>
          <w:bCs/>
        </w:rPr>
        <w:t xml:space="preserve">Reputational and Environmental Risks: </w:t>
      </w:r>
    </w:p>
    <w:p w14:paraId="5D960C61" w14:textId="00AA178A" w:rsidR="005158CC" w:rsidRDefault="005158CC" w:rsidP="005158CC">
      <w:r w:rsidRPr="005158CC">
        <w:t>With delegates soon to be bombarded with the term sustainability, any visible environmental misconduct (e.g.</w:t>
      </w:r>
      <w:r w:rsidR="0066685D">
        <w:t>,</w:t>
      </w:r>
      <w:r w:rsidRPr="005158CC">
        <w:t xml:space="preserve"> overconsumption of </w:t>
      </w:r>
      <w:r w:rsidR="0066685D">
        <w:t>single-use plastics</w:t>
      </w:r>
      <w:r w:rsidRPr="005158CC">
        <w:t xml:space="preserve"> or high emissions of carbon) would hurt brand reputation. </w:t>
      </w:r>
    </w:p>
    <w:p w14:paraId="24EED337" w14:textId="776B6617" w:rsidR="006F6140" w:rsidRDefault="006F6140" w:rsidP="007A39FB">
      <w:pPr>
        <w:pStyle w:val="Heading2"/>
      </w:pPr>
      <w:bookmarkStart w:id="11" w:name="_Toc212197955"/>
      <w:r w:rsidRPr="006F6140">
        <w:t>2.5 Venue Feasibility and Future Growth</w:t>
      </w:r>
      <w:bookmarkEnd w:id="11"/>
      <w:r w:rsidRPr="006F6140">
        <w:t xml:space="preserve"> </w:t>
      </w:r>
    </w:p>
    <w:p w14:paraId="31325E07" w14:textId="73A1B7BD" w:rsidR="005158CC" w:rsidRDefault="006F6140" w:rsidP="005158CC">
      <w:r w:rsidRPr="006F6140">
        <w:t>The InterContinental Athenaeum Athens is considered one of the most elegant business event and convention venues in Greece, and we can use the event-feasibility frameworks to assess the venue's fit to host the R&amp;R Forum</w:t>
      </w:r>
      <w:r w:rsidR="0066685D">
        <w:t>,</w:t>
      </w:r>
      <w:r w:rsidRPr="006F6140">
        <w:t xml:space="preserve"> considering the </w:t>
      </w:r>
      <w:r w:rsidR="0066685D">
        <w:t>aspects</w:t>
      </w:r>
      <w:r w:rsidRPr="006F6140">
        <w:t xml:space="preserve"> of physical, financial, and technical feasibility.</w:t>
      </w:r>
    </w:p>
    <w:p w14:paraId="68EC0F2A" w14:textId="77777777" w:rsidR="00573997" w:rsidRDefault="00573997" w:rsidP="00C92A52">
      <w:pPr>
        <w:rPr>
          <w:b/>
          <w:bCs/>
        </w:rPr>
      </w:pPr>
    </w:p>
    <w:p w14:paraId="24B0E8F1" w14:textId="77777777" w:rsidR="00573997" w:rsidRDefault="00573997">
      <w:pPr>
        <w:spacing w:after="160" w:line="278" w:lineRule="auto"/>
        <w:jc w:val="left"/>
        <w:rPr>
          <w:b/>
          <w:bCs/>
        </w:rPr>
      </w:pPr>
      <w:r>
        <w:rPr>
          <w:b/>
          <w:bCs/>
        </w:rPr>
        <w:br w:type="page"/>
      </w:r>
    </w:p>
    <w:p w14:paraId="3225C578" w14:textId="049F7EE3" w:rsidR="00C92A52" w:rsidRPr="00243121" w:rsidRDefault="00573997" w:rsidP="00C92A52">
      <w:pPr>
        <w:rPr>
          <w:b/>
          <w:bCs/>
        </w:rPr>
      </w:pPr>
      <w:r>
        <w:rPr>
          <w:b/>
          <w:bCs/>
        </w:rPr>
        <w:lastRenderedPageBreak/>
        <w:t xml:space="preserve">1. </w:t>
      </w:r>
      <w:r w:rsidR="00C92A52" w:rsidRPr="00243121">
        <w:rPr>
          <w:b/>
          <w:bCs/>
        </w:rPr>
        <w:t>Facilities and Capabilities:</w:t>
      </w:r>
    </w:p>
    <w:p w14:paraId="318B29F9" w14:textId="68F8C5A6" w:rsidR="00C92A52" w:rsidRDefault="00C92A52" w:rsidP="00C92A52">
      <w:r>
        <w:t>The hotel has 35 suites and 543 guest rooms and more than 3,500 m² of flexible space for events</w:t>
      </w:r>
      <w:r w:rsidR="00912641">
        <w:t xml:space="preserve"> (</w:t>
      </w:r>
      <w:r w:rsidR="00912641" w:rsidRPr="00912641">
        <w:t>Omar,</w:t>
      </w:r>
      <w:r w:rsidR="00912641">
        <w:t xml:space="preserve"> </w:t>
      </w:r>
      <w:r w:rsidR="00912641" w:rsidRPr="00912641">
        <w:t>2021</w:t>
      </w:r>
      <w:r w:rsidR="00912641">
        <w:t>)</w:t>
      </w:r>
      <w:r w:rsidR="00912641" w:rsidRPr="00912641">
        <w:t>. </w:t>
      </w:r>
      <w:r>
        <w:t>The Athenaeum Ballroom can accommodate up to 1,200 delegates, and there are 35 breakout rooms for concurrent sessions and private meetings</w:t>
      </w:r>
      <w:r w:rsidR="00921186">
        <w:t>.</w:t>
      </w:r>
    </w:p>
    <w:p w14:paraId="1D1D029C" w14:textId="363ECEC4" w:rsidR="00C92A52" w:rsidRPr="00243121" w:rsidRDefault="00573997" w:rsidP="005158CC">
      <w:pPr>
        <w:rPr>
          <w:b/>
          <w:bCs/>
        </w:rPr>
      </w:pPr>
      <w:r>
        <w:rPr>
          <w:b/>
          <w:bCs/>
        </w:rPr>
        <w:t xml:space="preserve">2. </w:t>
      </w:r>
      <w:r w:rsidR="00C92A52" w:rsidRPr="00243121">
        <w:rPr>
          <w:b/>
          <w:bCs/>
        </w:rPr>
        <w:t>Infrastructure and Accessibility:</w:t>
      </w:r>
    </w:p>
    <w:p w14:paraId="6CCB94E7" w14:textId="1C22E027" w:rsidR="00C92A52" w:rsidRDefault="00C92A52" w:rsidP="005158CC">
      <w:r w:rsidRPr="00C92A52">
        <w:t xml:space="preserve">Located only 3 km from </w:t>
      </w:r>
      <w:r w:rsidR="0066685D">
        <w:t xml:space="preserve">the </w:t>
      </w:r>
      <w:r w:rsidRPr="00C92A52">
        <w:t xml:space="preserve">Athens city centre and approximately 35 minutes from the airport, the hotel takes advantage of outstanding transport facilities, including metro and motorway access. The hotel is also close to cultural highlights for the delegates. </w:t>
      </w:r>
    </w:p>
    <w:p w14:paraId="20A436C6" w14:textId="6380C3B8" w:rsidR="00C92A52" w:rsidRDefault="00573997" w:rsidP="005158CC">
      <w:pPr>
        <w:rPr>
          <w:b/>
          <w:bCs/>
        </w:rPr>
      </w:pPr>
      <w:r>
        <w:rPr>
          <w:b/>
          <w:bCs/>
        </w:rPr>
        <w:t xml:space="preserve">3. </w:t>
      </w:r>
      <w:r w:rsidR="00C92A52" w:rsidRPr="00243121">
        <w:rPr>
          <w:b/>
          <w:bCs/>
        </w:rPr>
        <w:t xml:space="preserve">Accommodation and Catering: </w:t>
      </w:r>
    </w:p>
    <w:p w14:paraId="5AFE7E57" w14:textId="6043DE25" w:rsidR="0075761D" w:rsidRPr="0075761D" w:rsidRDefault="0075761D" w:rsidP="005158CC">
      <w:r w:rsidRPr="0075761D">
        <w:t>The Mediterranean-inspired menu offerings, coupled with the elegance of the hotel's accommodations (Café Zoe and Premiere Restaurant), lends a familiarity and sense of cultural authenticity to the experience. The hotel is also concentrating on using local food products that are supported by those exploiting the business case for sustainable purchases for their hospitality operation (Thomas Francois Joppe, and von Massow, 2021).</w:t>
      </w:r>
    </w:p>
    <w:p w14:paraId="64B6D66F" w14:textId="7631DBB2" w:rsidR="00243121" w:rsidRDefault="00573997" w:rsidP="00DC02CF">
      <w:r>
        <w:rPr>
          <w:b/>
          <w:bCs/>
        </w:rPr>
        <w:t xml:space="preserve">4. </w:t>
      </w:r>
      <w:r w:rsidR="00C92A52" w:rsidRPr="00243121">
        <w:rPr>
          <w:b/>
          <w:bCs/>
        </w:rPr>
        <w:t>Future Growth Considerations:</w:t>
      </w:r>
      <w:r w:rsidR="00C92A52" w:rsidRPr="00C92A52">
        <w:t xml:space="preserve"> </w:t>
      </w:r>
    </w:p>
    <w:p w14:paraId="693B37D2" w14:textId="07F88945" w:rsidR="00C92A52" w:rsidRDefault="00C92A52" w:rsidP="00DC02CF">
      <w:r w:rsidRPr="00C92A52">
        <w:t>Although the venue can currently accommodate the forum’s expected growth in delegates, we must consider future iterations that may exceed 600–800 delegates, forcing us to either expand the venue or create a multi-venue plan. One venue worth mentioning is the Megaron Athens Concert Hall or the Athens Metropolitan Expo for parallel sessions</w:t>
      </w:r>
      <w:r w:rsidR="0066685D">
        <w:t>,</w:t>
      </w:r>
      <w:r w:rsidRPr="00C92A52">
        <w:t xml:space="preserve"> while the Intercontinental would remain the accommodation and hospitality centre.</w:t>
      </w:r>
    </w:p>
    <w:p w14:paraId="60723CFE" w14:textId="03D1953E" w:rsidR="0066685D" w:rsidRDefault="0066685D" w:rsidP="0066685D">
      <w:pPr>
        <w:pStyle w:val="Heading2"/>
      </w:pPr>
      <w:bookmarkStart w:id="12" w:name="_Toc212197956"/>
      <w:r w:rsidRPr="0066685D">
        <w:t>2.6 Hotel Sector Involvement</w:t>
      </w:r>
      <w:bookmarkEnd w:id="12"/>
    </w:p>
    <w:p w14:paraId="1A86FB30" w14:textId="4D6B5AA9" w:rsidR="0066685D" w:rsidRDefault="0066685D" w:rsidP="0066685D">
      <w:r w:rsidRPr="0066685D">
        <w:t>The role of hotels is important to the R&amp;R Forum's success and reputation, as both a direct supplier of the event and as a large economic stakeholder in the process's overall success. The relationship between hotels and event planners is illustrative of how mutually beneficial MICE events can be financially seen as the providers of infrastructure; they supply the meeting, lodging, catering, and concierge services</w:t>
      </w:r>
      <w:r w:rsidR="00243121">
        <w:t>,</w:t>
      </w:r>
      <w:r w:rsidRPr="0066685D">
        <w:t xml:space="preserve"> marketing through shared marketing, and economic benefits through a flow of revenue.</w:t>
      </w:r>
    </w:p>
    <w:p w14:paraId="30029B82" w14:textId="69B7F25F" w:rsidR="0066685D" w:rsidRPr="00243121" w:rsidRDefault="00573997" w:rsidP="0066685D">
      <w:pPr>
        <w:rPr>
          <w:b/>
          <w:bCs/>
        </w:rPr>
      </w:pPr>
      <w:r>
        <w:rPr>
          <w:b/>
          <w:bCs/>
        </w:rPr>
        <w:lastRenderedPageBreak/>
        <w:t xml:space="preserve">1. </w:t>
      </w:r>
      <w:r w:rsidR="0066685D" w:rsidRPr="00243121">
        <w:rPr>
          <w:b/>
          <w:bCs/>
        </w:rPr>
        <w:t>Integrated Venue Provision:</w:t>
      </w:r>
    </w:p>
    <w:p w14:paraId="58CA5407" w14:textId="1C5432E2" w:rsidR="0066685D" w:rsidRDefault="0066685D" w:rsidP="0066685D">
      <w:r w:rsidRPr="0066685D">
        <w:t>The InterContinental Athenaeum is both the venue and accommodation provider, therefore providing a vertically integrated event process, through the lodging, meeting venue, catering</w:t>
      </w:r>
      <w:r w:rsidR="00722581">
        <w:t>,</w:t>
      </w:r>
      <w:r w:rsidRPr="0066685D">
        <w:t xml:space="preserve"> and concierge service, all provided by a single management outlet; proven to be the operationally efficient method for hotels and </w:t>
      </w:r>
      <w:r w:rsidR="00722581">
        <w:t>maximising</w:t>
      </w:r>
      <w:r w:rsidRPr="0066685D">
        <w:t xml:space="preserve"> revenue per available space, the RevPAS, the most critical calculation for hotel profits</w:t>
      </w:r>
      <w:r w:rsidR="007422F5">
        <w:t>.</w:t>
      </w:r>
    </w:p>
    <w:p w14:paraId="6962D7DD" w14:textId="223DD34C" w:rsidR="0066685D" w:rsidRPr="00243121" w:rsidRDefault="00573997" w:rsidP="0066685D">
      <w:pPr>
        <w:rPr>
          <w:b/>
          <w:bCs/>
        </w:rPr>
      </w:pPr>
      <w:r>
        <w:rPr>
          <w:b/>
          <w:bCs/>
        </w:rPr>
        <w:t xml:space="preserve">2. </w:t>
      </w:r>
      <w:r w:rsidR="0066685D" w:rsidRPr="00243121">
        <w:rPr>
          <w:b/>
          <w:bCs/>
        </w:rPr>
        <w:t>Strategic Partners in Suites Hotel Configuration:</w:t>
      </w:r>
    </w:p>
    <w:p w14:paraId="5C694079" w14:textId="6CFBC3B1" w:rsidR="0066685D" w:rsidRDefault="0066685D" w:rsidP="0066685D">
      <w:r w:rsidRPr="0066685D">
        <w:t>Other local five-star hotel properties, the Grand Hyatt Athens, Electra Palace, and Divani Caravel</w:t>
      </w:r>
      <w:r w:rsidR="00243121">
        <w:t>,</w:t>
      </w:r>
      <w:r w:rsidRPr="0066685D">
        <w:t xml:space="preserve"> accommodate overflow delegates and are possible through private networking events. These hotels are an example of the superordinate concept of cooperative competition, "coopetition," because they work in </w:t>
      </w:r>
      <w:r w:rsidR="00243121">
        <w:t xml:space="preserve">a </w:t>
      </w:r>
      <w:r w:rsidRPr="0066685D">
        <w:t xml:space="preserve">competitive </w:t>
      </w:r>
      <w:r w:rsidR="00722581">
        <w:t>environment</w:t>
      </w:r>
      <w:r w:rsidRPr="0066685D">
        <w:t xml:space="preserve"> to enhance the cumulative destination capacity</w:t>
      </w:r>
      <w:r w:rsidR="00890639">
        <w:t xml:space="preserve"> (</w:t>
      </w:r>
      <w:r w:rsidR="00D4035C" w:rsidRPr="00890639">
        <w:t>Magnadi, 2025</w:t>
      </w:r>
      <w:r w:rsidR="00890639">
        <w:t>)</w:t>
      </w:r>
      <w:r w:rsidR="00890639" w:rsidRPr="00890639">
        <w:t>. </w:t>
      </w:r>
    </w:p>
    <w:p w14:paraId="0224EF82" w14:textId="6CC495B8" w:rsidR="0066685D" w:rsidRPr="00243121" w:rsidRDefault="00573997" w:rsidP="0066685D">
      <w:pPr>
        <w:rPr>
          <w:b/>
          <w:bCs/>
        </w:rPr>
      </w:pPr>
      <w:r>
        <w:rPr>
          <w:b/>
          <w:bCs/>
        </w:rPr>
        <w:t xml:space="preserve">3. </w:t>
      </w:r>
      <w:r w:rsidR="0066685D" w:rsidRPr="00243121">
        <w:rPr>
          <w:b/>
          <w:bCs/>
        </w:rPr>
        <w:t xml:space="preserve">Networking and Sponsorship Options: </w:t>
      </w:r>
    </w:p>
    <w:p w14:paraId="449791CB" w14:textId="00367EF1" w:rsidR="0066685D" w:rsidRDefault="0066685D" w:rsidP="0066685D">
      <w:r w:rsidRPr="0066685D">
        <w:t xml:space="preserve">Major hotel chains are usually sponsors and/or exhibitors at the forum. For example, Marriott International sponsored the 2023 Development Outlook panel to have its brand visible in front of possible investors. </w:t>
      </w:r>
    </w:p>
    <w:p w14:paraId="0DEB3C03" w14:textId="133054D0" w:rsidR="00243121" w:rsidRPr="00243121" w:rsidRDefault="00573997" w:rsidP="0066685D">
      <w:pPr>
        <w:rPr>
          <w:b/>
          <w:bCs/>
        </w:rPr>
      </w:pPr>
      <w:r>
        <w:rPr>
          <w:b/>
          <w:bCs/>
        </w:rPr>
        <w:t xml:space="preserve">4. </w:t>
      </w:r>
      <w:r w:rsidR="00243121" w:rsidRPr="00243121">
        <w:rPr>
          <w:b/>
          <w:bCs/>
        </w:rPr>
        <w:t xml:space="preserve">Economic and Destination Effect: </w:t>
      </w:r>
    </w:p>
    <w:p w14:paraId="3EE87E19" w14:textId="4B53B453" w:rsidR="00243121" w:rsidRDefault="00243121" w:rsidP="0066685D">
      <w:r w:rsidRPr="00243121">
        <w:t xml:space="preserve">The Athens Convention Bureau (2024) estimates international business delegates </w:t>
      </w:r>
      <w:r>
        <w:t>spend</w:t>
      </w:r>
      <w:r w:rsidRPr="00243121">
        <w:t xml:space="preserve"> approximately €350 per day on accommodation, food, and transportation. With approximately 400 delegates for three days, the R&amp;R Forum will have an approximate direct economic effect of €420,000 based on the approximately €350 spent, excluding indirect income from their experiences. </w:t>
      </w:r>
    </w:p>
    <w:p w14:paraId="7B00605E" w14:textId="31060791" w:rsidR="00243121" w:rsidRPr="00243121" w:rsidRDefault="00243121" w:rsidP="0066685D">
      <w:pPr>
        <w:rPr>
          <w:b/>
          <w:bCs/>
        </w:rPr>
      </w:pPr>
      <w:r w:rsidRPr="00243121">
        <w:rPr>
          <w:b/>
          <w:bCs/>
        </w:rPr>
        <w:t xml:space="preserve">Strategic Implications: Attendance </w:t>
      </w:r>
      <w:r>
        <w:rPr>
          <w:b/>
          <w:bCs/>
        </w:rPr>
        <w:t>at</w:t>
      </w:r>
      <w:r w:rsidRPr="00243121">
        <w:rPr>
          <w:b/>
          <w:bCs/>
        </w:rPr>
        <w:t xml:space="preserve"> events like these </w:t>
      </w:r>
      <w:r>
        <w:rPr>
          <w:b/>
          <w:bCs/>
        </w:rPr>
        <w:t>provides</w:t>
      </w:r>
      <w:r w:rsidRPr="00243121">
        <w:rPr>
          <w:b/>
          <w:bCs/>
        </w:rPr>
        <w:t xml:space="preserve"> the </w:t>
      </w:r>
      <w:r w:rsidR="007A39FB">
        <w:rPr>
          <w:b/>
          <w:bCs/>
        </w:rPr>
        <w:t>hotel with an</w:t>
      </w:r>
      <w:r w:rsidRPr="00243121">
        <w:rPr>
          <w:b/>
          <w:bCs/>
        </w:rPr>
        <w:t xml:space="preserve"> opportunity to: </w:t>
      </w:r>
    </w:p>
    <w:p w14:paraId="3AE42DE5" w14:textId="77777777" w:rsidR="00243121" w:rsidRDefault="00243121" w:rsidP="00243121">
      <w:pPr>
        <w:pStyle w:val="ListParagraph"/>
        <w:numPr>
          <w:ilvl w:val="0"/>
          <w:numId w:val="1"/>
        </w:numPr>
        <w:ind w:left="360"/>
      </w:pPr>
      <w:r w:rsidRPr="00243121">
        <w:t xml:space="preserve">Foster B2B relationships with investors and developers. </w:t>
      </w:r>
    </w:p>
    <w:p w14:paraId="40FB9831" w14:textId="29A74806" w:rsidR="00243121" w:rsidRDefault="00243121" w:rsidP="00243121">
      <w:pPr>
        <w:pStyle w:val="ListParagraph"/>
        <w:numPr>
          <w:ilvl w:val="0"/>
          <w:numId w:val="1"/>
        </w:numPr>
        <w:ind w:left="360"/>
      </w:pPr>
      <w:r w:rsidRPr="00243121">
        <w:t>Increase international visibility and awareness of the business on the quality of service.</w:t>
      </w:r>
    </w:p>
    <w:p w14:paraId="49F29061" w14:textId="76F83C93" w:rsidR="00243121" w:rsidRDefault="00243121" w:rsidP="00243121">
      <w:pPr>
        <w:pStyle w:val="ListParagraph"/>
        <w:numPr>
          <w:ilvl w:val="0"/>
          <w:numId w:val="1"/>
        </w:numPr>
        <w:ind w:left="360"/>
      </w:pPr>
      <w:r w:rsidRPr="00243121">
        <w:t xml:space="preserve">Collaborate in hosting upcoming events. </w:t>
      </w:r>
    </w:p>
    <w:p w14:paraId="6135B313" w14:textId="4F934B31" w:rsidR="00243121" w:rsidRDefault="00243121" w:rsidP="00243121">
      <w:r w:rsidRPr="00243121">
        <w:lastRenderedPageBreak/>
        <w:t>The downside of partnering with one host property comes with capacity and concentration risk; therefore, diversifying hotels and collaborating in a marketing platform that sells Athens, as an "Athens Hospitality Investment Alliance</w:t>
      </w:r>
      <w:r>
        <w:t>,</w:t>
      </w:r>
      <w:r w:rsidRPr="00243121">
        <w:t>" would mitigate risk and broaden delegate experience with pre-event and post-event packages.</w:t>
      </w:r>
    </w:p>
    <w:p w14:paraId="1D24C4B1" w14:textId="4471F3D6" w:rsidR="005117DE" w:rsidRDefault="00DF5D8E" w:rsidP="00243121">
      <w:r w:rsidRPr="00DF5D8E">
        <w:t>Utili</w:t>
      </w:r>
      <w:r w:rsidR="00B7396B">
        <w:t>s</w:t>
      </w:r>
      <w:r w:rsidRPr="00DF5D8E">
        <w:t>ing a legacy model (Getz &amp; Page, 2020), the Athens hotel industry can leverage the short-term benefits of MICE to cultivate long-term tourism growth by holding onto business visitors and reinforcing repeat visits.</w:t>
      </w:r>
      <w:r w:rsidR="00094815" w:rsidRPr="00094815">
        <w:t xml:space="preserve"> Thus, while the Forum encourages investment, it may also develop longer-term value for the communities of hotels in the city. </w:t>
      </w:r>
    </w:p>
    <w:p w14:paraId="150DB6E7" w14:textId="77777777" w:rsidR="00246640" w:rsidRDefault="00246640">
      <w:pPr>
        <w:spacing w:after="160" w:line="278" w:lineRule="auto"/>
        <w:jc w:val="left"/>
        <w:rPr>
          <w:rFonts w:eastAsiaTheme="majorEastAsia" w:cstheme="majorBidi"/>
          <w:b/>
          <w:color w:val="0D0D0D" w:themeColor="text1" w:themeTint="F2"/>
          <w:kern w:val="2"/>
          <w:sz w:val="36"/>
          <w:szCs w:val="32"/>
          <w14:ligatures w14:val="standardContextual"/>
        </w:rPr>
      </w:pPr>
      <w:r>
        <w:br w:type="page"/>
      </w:r>
    </w:p>
    <w:p w14:paraId="301F0FF2" w14:textId="777D17FA" w:rsidR="00DF5D8E" w:rsidRDefault="00AF2073" w:rsidP="00637C60">
      <w:pPr>
        <w:pStyle w:val="Heading1"/>
        <w:rPr>
          <w:lang w:val="en-GB"/>
        </w:rPr>
      </w:pPr>
      <w:bookmarkStart w:id="13" w:name="_Toc212197957"/>
      <w:r w:rsidRPr="00AF2073">
        <w:rPr>
          <w:lang w:val="en-GB"/>
        </w:rPr>
        <w:lastRenderedPageBreak/>
        <w:t>3. Conclusion</w:t>
      </w:r>
      <w:bookmarkEnd w:id="13"/>
    </w:p>
    <w:p w14:paraId="4876D0DB" w14:textId="791671B0" w:rsidR="00110289" w:rsidRPr="00110289" w:rsidRDefault="00110289" w:rsidP="00110289">
      <w:r w:rsidRPr="00110289">
        <w:t xml:space="preserve">The Resort &amp; Residential Hospitality Forum (R&amp;R Forum) at the InterContinental Athenaeum, Athens provides a useful point of view on how the MICE space is evolving to aggregate investment and innovation and sustainability practices under one strategic. The location of the event at the InterContinental Athenaeum, Athens also shapes the city narrative and brand, as it establishes a reputation as a destination for hospitality investment and conversation. A definitive strength of the R&amp;R Forum is it brings together such a range of stakeholders (developer/ investor/ hotel owners/ operators and policymakers) as they move toward and consider responsible development in a meaningful way that considers ESG as an umbrella. While the Forum stumbles on operational challenges on scalability, technology adoption and risk management in a competitive market. From a hotel sector </w:t>
      </w:r>
      <w:r w:rsidR="006F5DD4" w:rsidRPr="00110289">
        <w:t>standpoint,</w:t>
      </w:r>
      <w:r w:rsidRPr="00110289">
        <w:t xml:space="preserve"> the Forum provides genuine economic value, visibility and collaboration. If the momentum of the Forum is to be sustained, it will require the Forum to work closer with hotels; some more generations in hybrid - engagement design; and a deeper commitment to sustainability and legacies for destinations in global hospitality.</w:t>
      </w:r>
    </w:p>
    <w:p w14:paraId="6694DE7F" w14:textId="11B4519F" w:rsidR="00637C60" w:rsidRDefault="003548B2" w:rsidP="003548B2">
      <w:pPr>
        <w:pStyle w:val="Heading1"/>
      </w:pPr>
      <w:bookmarkStart w:id="14" w:name="_Toc212197958"/>
      <w:r w:rsidRPr="003548B2">
        <w:t>4. Recommendations</w:t>
      </w:r>
      <w:bookmarkEnd w:id="14"/>
    </w:p>
    <w:p w14:paraId="6C5070E1" w14:textId="77777777" w:rsidR="000F57D2" w:rsidRDefault="000F57D2" w:rsidP="000F57D2">
      <w:pPr>
        <w:keepNext/>
        <w:jc w:val="center"/>
      </w:pPr>
      <w:r>
        <w:rPr>
          <w:noProof/>
          <w:lang w:val="en-US"/>
          <w14:ligatures w14:val="standardContextual"/>
        </w:rPr>
        <w:drawing>
          <wp:inline distT="0" distB="0" distL="0" distR="0" wp14:anchorId="5786922B" wp14:editId="78817250">
            <wp:extent cx="3825973" cy="2736166"/>
            <wp:effectExtent l="0" t="38100" r="0" b="83820"/>
            <wp:docPr id="127483828"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4197508A" w14:textId="344810D3" w:rsidR="000F57D2" w:rsidRPr="000F57D2" w:rsidRDefault="000F57D2" w:rsidP="000F57D2">
      <w:pPr>
        <w:pStyle w:val="Caption"/>
        <w:jc w:val="center"/>
        <w:rPr>
          <w:i w:val="0"/>
          <w:iCs w:val="0"/>
        </w:rPr>
      </w:pPr>
      <w:bookmarkStart w:id="15" w:name="_Toc212199523"/>
      <w:r w:rsidRPr="000F57D2">
        <w:rPr>
          <w:i w:val="0"/>
          <w:iCs w:val="0"/>
        </w:rPr>
        <w:t xml:space="preserve">Figure </w:t>
      </w:r>
      <w:r w:rsidRPr="000F57D2">
        <w:rPr>
          <w:i w:val="0"/>
          <w:iCs w:val="0"/>
        </w:rPr>
        <w:fldChar w:fldCharType="begin"/>
      </w:r>
      <w:r w:rsidRPr="000F57D2">
        <w:rPr>
          <w:i w:val="0"/>
          <w:iCs w:val="0"/>
        </w:rPr>
        <w:instrText xml:space="preserve"> SEQ Figure \* ARABIC </w:instrText>
      </w:r>
      <w:r w:rsidRPr="000F57D2">
        <w:rPr>
          <w:i w:val="0"/>
          <w:iCs w:val="0"/>
        </w:rPr>
        <w:fldChar w:fldCharType="separate"/>
      </w:r>
      <w:r w:rsidR="00B64FF5">
        <w:rPr>
          <w:i w:val="0"/>
          <w:iCs w:val="0"/>
          <w:noProof/>
        </w:rPr>
        <w:t>5</w:t>
      </w:r>
      <w:r w:rsidRPr="000F57D2">
        <w:rPr>
          <w:i w:val="0"/>
          <w:iCs w:val="0"/>
        </w:rPr>
        <w:fldChar w:fldCharType="end"/>
      </w:r>
      <w:r w:rsidRPr="000F57D2">
        <w:rPr>
          <w:i w:val="0"/>
          <w:iCs w:val="0"/>
        </w:rPr>
        <w:t>: Recommendations for Event Organisers (Questex Hospitality Group)</w:t>
      </w:r>
      <w:bookmarkEnd w:id="15"/>
    </w:p>
    <w:p w14:paraId="3BA67CD2" w14:textId="0284F428" w:rsidR="000F57D2" w:rsidRPr="000F57D2" w:rsidRDefault="000F57D2" w:rsidP="000F57D2">
      <w:pPr>
        <w:pStyle w:val="Caption"/>
        <w:jc w:val="center"/>
        <w:rPr>
          <w:i w:val="0"/>
          <w:iCs w:val="0"/>
        </w:rPr>
      </w:pPr>
      <w:r w:rsidRPr="000F57D2">
        <w:rPr>
          <w:i w:val="0"/>
          <w:iCs w:val="0"/>
          <w:noProof/>
        </w:rPr>
        <w:t xml:space="preserve"> (Source: Author, 2025)</w:t>
      </w:r>
    </w:p>
    <w:p w14:paraId="1E46F0BF" w14:textId="77777777" w:rsidR="000F57D2" w:rsidRDefault="000F57D2">
      <w:pPr>
        <w:spacing w:after="160" w:line="278" w:lineRule="auto"/>
        <w:jc w:val="left"/>
        <w:rPr>
          <w:b/>
          <w:bCs/>
          <w:lang w:val="en-US"/>
        </w:rPr>
      </w:pPr>
      <w:r>
        <w:rPr>
          <w:b/>
          <w:bCs/>
          <w:lang w:val="en-US"/>
        </w:rPr>
        <w:br w:type="page"/>
      </w:r>
    </w:p>
    <w:p w14:paraId="3D5247BA" w14:textId="192AE95A" w:rsidR="00F53791" w:rsidRPr="00F53791" w:rsidRDefault="00F53791" w:rsidP="00F53791">
      <w:pPr>
        <w:rPr>
          <w:b/>
          <w:bCs/>
          <w:lang w:val="en-US"/>
        </w:rPr>
      </w:pPr>
      <w:r w:rsidRPr="00F53791">
        <w:rPr>
          <w:b/>
          <w:bCs/>
          <w:lang w:val="en-US"/>
        </w:rPr>
        <w:lastRenderedPageBreak/>
        <w:t>For Event Organisers (Questex Hospitality Group)</w:t>
      </w:r>
    </w:p>
    <w:p w14:paraId="18967919" w14:textId="77777777" w:rsidR="00F53791" w:rsidRDefault="00F53791" w:rsidP="00F53791">
      <w:pPr>
        <w:rPr>
          <w:b/>
          <w:bCs/>
          <w:lang w:val="en-US"/>
        </w:rPr>
      </w:pPr>
      <w:r w:rsidRPr="00F53791">
        <w:rPr>
          <w:b/>
          <w:bCs/>
          <w:lang w:val="en-US"/>
        </w:rPr>
        <w:t>1. Develop a Comprehensive Risk-Management Framework:</w:t>
      </w:r>
    </w:p>
    <w:p w14:paraId="327F76B0" w14:textId="056CAF3A" w:rsidR="007248E2" w:rsidRPr="007248E2" w:rsidRDefault="007248E2" w:rsidP="00F53791">
      <w:pPr>
        <w:rPr>
          <w:lang w:val="en-US"/>
        </w:rPr>
      </w:pPr>
      <w:proofErr w:type="spellStart"/>
      <w:r w:rsidRPr="007248E2">
        <w:t>Questex</w:t>
      </w:r>
      <w:proofErr w:type="spellEnd"/>
      <w:r w:rsidRPr="007248E2">
        <w:t xml:space="preserve"> should develop a risk register process based on the ISO 31000 principles, which includes identifying likelihood, impact, and mitigation for operational, technological, and reputational risks. In turn, this will enhance established habits of resilience, business continuity, and stakeholder confidence through the online/hybrid model established by the forum (Parrott et al., 2021).</w:t>
      </w:r>
    </w:p>
    <w:p w14:paraId="5B539612" w14:textId="7652A1D2" w:rsidR="00862E49" w:rsidRDefault="005E3659" w:rsidP="00F53791">
      <w:pPr>
        <w:rPr>
          <w:b/>
          <w:bCs/>
        </w:rPr>
      </w:pPr>
      <w:r w:rsidRPr="005E3659">
        <w:rPr>
          <w:b/>
          <w:bCs/>
        </w:rPr>
        <w:t xml:space="preserve">2. </w:t>
      </w:r>
      <w:r w:rsidR="00862E49" w:rsidRPr="005E3659">
        <w:rPr>
          <w:b/>
          <w:bCs/>
        </w:rPr>
        <w:t>Expanding Hybrid and AI-Enabled Capabilities</w:t>
      </w:r>
      <w:r>
        <w:rPr>
          <w:b/>
          <w:bCs/>
        </w:rPr>
        <w:t>:</w:t>
      </w:r>
    </w:p>
    <w:p w14:paraId="2A575669" w14:textId="35BE0499" w:rsidR="002275F9" w:rsidRPr="002275F9" w:rsidRDefault="002275F9" w:rsidP="00F53791">
      <w:proofErr w:type="spellStart"/>
      <w:r w:rsidRPr="002275F9">
        <w:t>Questex</w:t>
      </w:r>
      <w:proofErr w:type="spellEnd"/>
      <w:r w:rsidRPr="002275F9">
        <w:t xml:space="preserve"> should consider investing in AI-enabled network and data analytics tools that will provide a more effective approach to matchmaking investors and developers and ultimately lead to higher delegate engagement and ROI.</w:t>
      </w:r>
    </w:p>
    <w:p w14:paraId="53F8093D" w14:textId="77777777" w:rsidR="00A34515" w:rsidRDefault="005E3659" w:rsidP="00A34515">
      <w:pPr>
        <w:spacing w:after="160" w:line="278" w:lineRule="auto"/>
        <w:jc w:val="left"/>
        <w:rPr>
          <w:b/>
          <w:bCs/>
        </w:rPr>
      </w:pPr>
      <w:r w:rsidRPr="005E3659">
        <w:rPr>
          <w:b/>
          <w:bCs/>
        </w:rPr>
        <w:t xml:space="preserve">3. Broaden Sponsorship and Regional Editions: </w:t>
      </w:r>
    </w:p>
    <w:p w14:paraId="160C8D01" w14:textId="484375B9" w:rsidR="00222045" w:rsidRPr="00222045" w:rsidRDefault="00222045" w:rsidP="00222045">
      <w:pPr>
        <w:spacing w:after="160"/>
      </w:pPr>
      <w:r w:rsidRPr="00222045">
        <w:t xml:space="preserve">To lessen the consequences of being overly reliant on European-based destinations, </w:t>
      </w:r>
      <w:proofErr w:type="spellStart"/>
      <w:r w:rsidRPr="00222045">
        <w:t>Questex</w:t>
      </w:r>
      <w:proofErr w:type="spellEnd"/>
      <w:r w:rsidRPr="00222045">
        <w:t xml:space="preserve"> should publish ancillary editions in Mediterranean or Gulf destinations (e.g., Portugal, Croatia, UAE). </w:t>
      </w:r>
    </w:p>
    <w:p w14:paraId="092592FB" w14:textId="157F6951" w:rsidR="001C6838" w:rsidRDefault="001C6838" w:rsidP="00A34515">
      <w:pPr>
        <w:spacing w:after="160" w:line="278" w:lineRule="auto"/>
        <w:jc w:val="left"/>
        <w:rPr>
          <w:b/>
          <w:bCs/>
        </w:rPr>
      </w:pPr>
      <w:r w:rsidRPr="00C851AB">
        <w:rPr>
          <w:b/>
          <w:bCs/>
        </w:rPr>
        <w:t>4. Improve Sustainability Reporting:</w:t>
      </w:r>
    </w:p>
    <w:p w14:paraId="7D7E4ED7" w14:textId="5A8B7B64" w:rsidR="002D5AA6" w:rsidRPr="004A21DF" w:rsidRDefault="004A21DF" w:rsidP="00A34515">
      <w:pPr>
        <w:spacing w:after="160" w:line="278" w:lineRule="auto"/>
        <w:jc w:val="left"/>
      </w:pPr>
      <w:r w:rsidRPr="004A21DF">
        <w:t xml:space="preserve">Event organizers should publish a sustainability and impact report once annually, measuring their carbon footprint, waste reduction, and local community sourcing. </w:t>
      </w:r>
    </w:p>
    <w:p w14:paraId="3AFBB0FC" w14:textId="77777777" w:rsidR="00B52C8E" w:rsidRDefault="00B52C8E" w:rsidP="00B52C8E">
      <w:pPr>
        <w:keepNext/>
        <w:jc w:val="center"/>
      </w:pPr>
      <w:r>
        <w:rPr>
          <w:noProof/>
          <w14:ligatures w14:val="standardContextual"/>
        </w:rPr>
        <w:lastRenderedPageBreak/>
        <w:drawing>
          <wp:inline distT="0" distB="0" distL="0" distR="0" wp14:anchorId="4A5D7D91" wp14:editId="7A4D9B58">
            <wp:extent cx="3759421" cy="2776662"/>
            <wp:effectExtent l="0" t="38100" r="0" b="81280"/>
            <wp:docPr id="2086850047"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5A1A5DAC" w14:textId="3EE1D2C3" w:rsidR="00B52C8E" w:rsidRDefault="00B52C8E" w:rsidP="00B52C8E">
      <w:pPr>
        <w:pStyle w:val="Caption"/>
        <w:jc w:val="center"/>
      </w:pPr>
      <w:bookmarkStart w:id="16" w:name="_Toc212199524"/>
      <w:r>
        <w:t xml:space="preserve">Figure </w:t>
      </w:r>
      <w:r>
        <w:fldChar w:fldCharType="begin"/>
      </w:r>
      <w:r>
        <w:instrText xml:space="preserve"> SEQ Figure \* ARABIC </w:instrText>
      </w:r>
      <w:r>
        <w:fldChar w:fldCharType="separate"/>
      </w:r>
      <w:r w:rsidR="00B64FF5">
        <w:rPr>
          <w:noProof/>
        </w:rPr>
        <w:t>6</w:t>
      </w:r>
      <w:r>
        <w:fldChar w:fldCharType="end"/>
      </w:r>
      <w:r>
        <w:t xml:space="preserve">: </w:t>
      </w:r>
      <w:r w:rsidRPr="003548B2">
        <w:t>Recommendations</w:t>
      </w:r>
      <w:r>
        <w:t xml:space="preserve"> </w:t>
      </w:r>
      <w:r w:rsidRPr="0054562E">
        <w:t>for Local Hotels (Intercontinental &amp; Partners)</w:t>
      </w:r>
      <w:bookmarkEnd w:id="16"/>
    </w:p>
    <w:p w14:paraId="53DFA02F" w14:textId="65A3DB21" w:rsidR="000F57D2" w:rsidRDefault="00B52C8E" w:rsidP="00B52C8E">
      <w:pPr>
        <w:pStyle w:val="Caption"/>
        <w:jc w:val="center"/>
      </w:pPr>
      <w:r w:rsidRPr="0054562E">
        <w:t xml:space="preserve"> </w:t>
      </w:r>
      <w:r>
        <w:t>(Source: Author, 2025)</w:t>
      </w:r>
    </w:p>
    <w:p w14:paraId="7AD297DC" w14:textId="12CEC6B0" w:rsidR="0068641F" w:rsidRPr="00C20A6D" w:rsidRDefault="0068641F" w:rsidP="004A21DF">
      <w:pPr>
        <w:spacing w:after="160" w:line="278" w:lineRule="auto"/>
        <w:jc w:val="left"/>
        <w:rPr>
          <w:b/>
          <w:bCs/>
        </w:rPr>
      </w:pPr>
      <w:r w:rsidRPr="00C20A6D">
        <w:rPr>
          <w:b/>
          <w:bCs/>
        </w:rPr>
        <w:t xml:space="preserve">For Local Hotels (Intercontinental &amp; Partners) </w:t>
      </w:r>
    </w:p>
    <w:p w14:paraId="29553681" w14:textId="4541D5B7" w:rsidR="00C20A6D" w:rsidRDefault="00C20A6D" w:rsidP="00C20A6D">
      <w:pPr>
        <w:rPr>
          <w:b/>
          <w:bCs/>
        </w:rPr>
      </w:pPr>
      <w:r w:rsidRPr="00C20A6D">
        <w:rPr>
          <w:b/>
          <w:bCs/>
        </w:rPr>
        <w:t xml:space="preserve">1. </w:t>
      </w:r>
      <w:r w:rsidR="0068641F" w:rsidRPr="00C20A6D">
        <w:rPr>
          <w:b/>
          <w:bCs/>
        </w:rPr>
        <w:t xml:space="preserve">Formalise “R&amp;R Athens Alliance”: </w:t>
      </w:r>
    </w:p>
    <w:p w14:paraId="350BB26A" w14:textId="005A03C5" w:rsidR="003951DA" w:rsidRPr="003951DA" w:rsidRDefault="003951DA" w:rsidP="00C20A6D">
      <w:r w:rsidRPr="003951DA">
        <w:t>Regional hotels may wish to consider working together on delegate packages, airport transfers, and agreed service levels. This partnership would facilitate enhanced capacity management, increased delegate satisfaction, and reduce rivalry in the marketplace.</w:t>
      </w:r>
    </w:p>
    <w:p w14:paraId="7A786034" w14:textId="77777777" w:rsidR="00C20A6D" w:rsidRDefault="00C20A6D" w:rsidP="00C20A6D">
      <w:pPr>
        <w:rPr>
          <w:b/>
          <w:bCs/>
        </w:rPr>
      </w:pPr>
      <w:r w:rsidRPr="00C20A6D">
        <w:rPr>
          <w:b/>
          <w:bCs/>
        </w:rPr>
        <w:t xml:space="preserve">2. </w:t>
      </w:r>
      <w:r w:rsidR="0068641F" w:rsidRPr="00C20A6D">
        <w:rPr>
          <w:b/>
          <w:bCs/>
        </w:rPr>
        <w:t>Take Advantage of Event Legacy Opportunities:</w:t>
      </w:r>
    </w:p>
    <w:p w14:paraId="6567714C" w14:textId="583FA901" w:rsidR="00A80345" w:rsidRPr="00A80345" w:rsidRDefault="00A80345" w:rsidP="00C20A6D">
      <w:r w:rsidRPr="00A80345">
        <w:t>Create dedicated post-event tours or site visits to investment destinations, cultural organisations, or educational workshops in hospitality design, making delegates stay longer thus assisting with the reinforcement of Athens as a community to innovate in sustainable hospitality design.</w:t>
      </w:r>
    </w:p>
    <w:p w14:paraId="032261C1" w14:textId="77777777" w:rsidR="00C20A6D" w:rsidRDefault="00F00663" w:rsidP="00C20A6D">
      <w:pPr>
        <w:rPr>
          <w:b/>
          <w:bCs/>
        </w:rPr>
      </w:pPr>
      <w:r w:rsidRPr="00C20A6D">
        <w:rPr>
          <w:b/>
          <w:bCs/>
        </w:rPr>
        <w:t xml:space="preserve">3. Commit to Smart Meeting Technologies: </w:t>
      </w:r>
    </w:p>
    <w:p w14:paraId="6DCFF859" w14:textId="60405E48" w:rsidR="004A21DF" w:rsidRPr="00BA47E4" w:rsidRDefault="00BA47E4" w:rsidP="00BA47E4">
      <w:pPr>
        <w:spacing w:after="160"/>
      </w:pPr>
      <w:r w:rsidRPr="00BA47E4">
        <w:t>While adopting 5G framework and technology, including digital check-in and energy efficient signage or lighting, may be less appealing in the event experience itself, it’s another way to save costs and emissions (</w:t>
      </w:r>
      <w:proofErr w:type="spellStart"/>
      <w:r w:rsidRPr="00BA47E4">
        <w:t>Trianni</w:t>
      </w:r>
      <w:proofErr w:type="spellEnd"/>
      <w:r w:rsidRPr="00BA47E4">
        <w:t>, Bennett, and Lindsay, 2022).</w:t>
      </w:r>
      <w:r w:rsidR="004A21DF" w:rsidRPr="00BA47E4">
        <w:br w:type="page"/>
      </w:r>
    </w:p>
    <w:p w14:paraId="7989155B" w14:textId="21A90FCD" w:rsidR="009032C2" w:rsidRDefault="009A1EF1" w:rsidP="00C20A6D">
      <w:pPr>
        <w:rPr>
          <w:b/>
          <w:bCs/>
        </w:rPr>
      </w:pPr>
      <w:r w:rsidRPr="00664E94">
        <w:rPr>
          <w:b/>
          <w:bCs/>
        </w:rPr>
        <w:lastRenderedPageBreak/>
        <w:t>4. Enhancing Collaboration on Marketing:</w:t>
      </w:r>
    </w:p>
    <w:p w14:paraId="5270E06D" w14:textId="77777777" w:rsidR="00B75E9B" w:rsidRDefault="00B75E9B" w:rsidP="008D0095">
      <w:pPr>
        <w:spacing w:after="160"/>
        <w:jc w:val="left"/>
      </w:pPr>
      <w:bookmarkStart w:id="17" w:name="_Toc212197959"/>
      <w:r w:rsidRPr="00B75E9B">
        <w:t>Joint marketing initiatives with the R&amp;R Forum, Visit Greece, and Athens Convention Bureau should rebrand Athens as the hospitality investment capital of the Mediterranean.</w:t>
      </w:r>
    </w:p>
    <w:p w14:paraId="3744343A" w14:textId="32C714BF" w:rsidR="000F57D2" w:rsidRDefault="00B75E9B" w:rsidP="008D0095">
      <w:pPr>
        <w:spacing w:after="160"/>
        <w:jc w:val="left"/>
        <w:rPr>
          <w:rFonts w:eastAsiaTheme="majorEastAsia" w:cstheme="majorBidi"/>
          <w:b/>
          <w:color w:val="0D0D0D" w:themeColor="text1" w:themeTint="F2"/>
          <w:kern w:val="2"/>
          <w:sz w:val="36"/>
          <w:szCs w:val="32"/>
          <w:lang w:val="en-US"/>
          <w14:ligatures w14:val="standardContextual"/>
        </w:rPr>
      </w:pPr>
      <w:r w:rsidRPr="00B75E9B">
        <w:t>This effort will allow the event and hotels to operate long-term and sustainably and continue to remain in the global leadership position as a premier destination to attend the and R&amp;R Forum.</w:t>
      </w:r>
      <w:r w:rsidR="000F57D2">
        <w:br w:type="page"/>
      </w:r>
    </w:p>
    <w:p w14:paraId="68018F4A" w14:textId="3A85BA2D" w:rsidR="0066685D" w:rsidRDefault="00FC464C" w:rsidP="00FC464C">
      <w:pPr>
        <w:pStyle w:val="Heading1"/>
      </w:pPr>
      <w:r>
        <w:lastRenderedPageBreak/>
        <w:t>References</w:t>
      </w:r>
      <w:bookmarkEnd w:id="17"/>
    </w:p>
    <w:p w14:paraId="35B9B5FF" w14:textId="77777777" w:rsidR="00DD0223" w:rsidRDefault="00DD0223" w:rsidP="004134C3">
      <w:r w:rsidRPr="00EF0225">
        <w:t xml:space="preserve">Alteri, S., </w:t>
      </w:r>
      <w:r>
        <w:t>(</w:t>
      </w:r>
      <w:r w:rsidRPr="00EF0225">
        <w:t>2024</w:t>
      </w:r>
      <w:r>
        <w:t>)</w:t>
      </w:r>
      <w:r w:rsidRPr="00EF0225">
        <w:t>. </w:t>
      </w:r>
      <w:r w:rsidRPr="00EF0225">
        <w:rPr>
          <w:i/>
          <w:iCs/>
        </w:rPr>
        <w:t>A comprehensive framework for enhancing large-scale event security</w:t>
      </w:r>
      <w:r w:rsidRPr="00EF0225">
        <w:t> (Doctoral dissertation, Purdue University).</w:t>
      </w:r>
    </w:p>
    <w:p w14:paraId="3087C9D6" w14:textId="77777777" w:rsidR="00DD0223" w:rsidRDefault="00DD0223" w:rsidP="004134C3">
      <w:r w:rsidRPr="004B6BC6">
        <w:t xml:space="preserve">AlWaer, H., Rintoul, S. and Cooper, I., </w:t>
      </w:r>
      <w:r>
        <w:t>(</w:t>
      </w:r>
      <w:r w:rsidRPr="004B6BC6">
        <w:t>2021</w:t>
      </w:r>
      <w:r>
        <w:t>)</w:t>
      </w:r>
      <w:r w:rsidRPr="004B6BC6">
        <w:t>. Design-led events in collaborative planning: improving post-event planning and delivery. </w:t>
      </w:r>
      <w:r w:rsidRPr="004B6BC6">
        <w:rPr>
          <w:i/>
          <w:iCs/>
        </w:rPr>
        <w:t>Archnet-IJAR: International Journal of Architectural Research</w:t>
      </w:r>
      <w:r w:rsidRPr="004B6BC6">
        <w:t>, </w:t>
      </w:r>
      <w:r w:rsidRPr="004B6BC6">
        <w:rPr>
          <w:i/>
          <w:iCs/>
        </w:rPr>
        <w:t>15</w:t>
      </w:r>
      <w:r w:rsidRPr="004B6BC6">
        <w:t>(3), pp.774-799.</w:t>
      </w:r>
    </w:p>
    <w:p w14:paraId="6456D42E" w14:textId="77777777" w:rsidR="00DD0223" w:rsidRDefault="00DD0223" w:rsidP="004134C3">
      <w:r w:rsidRPr="0056322F">
        <w:t xml:space="preserve">Bowdin, G.A., Allen, J., Harris, R., Jago, L., O'Toole, W. and McDonnell, I., </w:t>
      </w:r>
      <w:r>
        <w:t>(</w:t>
      </w:r>
      <w:r w:rsidRPr="0056322F">
        <w:t>2023</w:t>
      </w:r>
      <w:r>
        <w:t>)</w:t>
      </w:r>
      <w:r w:rsidRPr="0056322F">
        <w:t>. </w:t>
      </w:r>
      <w:r w:rsidRPr="0056322F">
        <w:rPr>
          <w:i/>
          <w:iCs/>
        </w:rPr>
        <w:t>Events management</w:t>
      </w:r>
      <w:r w:rsidRPr="0056322F">
        <w:t>. Routledge.</w:t>
      </w:r>
    </w:p>
    <w:p w14:paraId="7216E6D0" w14:textId="77777777" w:rsidR="00DD0223" w:rsidRDefault="00DD0223" w:rsidP="004134C3">
      <w:r w:rsidRPr="00600772">
        <w:t xml:space="preserve">Fotis, D., </w:t>
      </w:r>
      <w:r>
        <w:t>(</w:t>
      </w:r>
      <w:r w:rsidRPr="00600772">
        <w:t>2025</w:t>
      </w:r>
      <w:r>
        <w:t>)</w:t>
      </w:r>
      <w:r w:rsidRPr="00600772">
        <w:t>. Tourism, competitiveness and economic growth in the EU and Greece.</w:t>
      </w:r>
    </w:p>
    <w:p w14:paraId="73A1AE4C" w14:textId="77777777" w:rsidR="00DD0223" w:rsidRDefault="00DD0223" w:rsidP="004134C3">
      <w:r w:rsidRPr="0001732F">
        <w:t xml:space="preserve">Higham, J., Font, X. and Wu, J., </w:t>
      </w:r>
      <w:r>
        <w:t>(</w:t>
      </w:r>
      <w:r w:rsidRPr="0001732F">
        <w:t>2021</w:t>
      </w:r>
      <w:r>
        <w:t>)</w:t>
      </w:r>
      <w:r w:rsidRPr="0001732F">
        <w:t>. Code red for sustainable tourism. </w:t>
      </w:r>
      <w:r w:rsidRPr="0001732F">
        <w:rPr>
          <w:i/>
          <w:iCs/>
        </w:rPr>
        <w:t>Journal of Sustainable Tourism</w:t>
      </w:r>
      <w:r w:rsidRPr="0001732F">
        <w:t>, </w:t>
      </w:r>
      <w:r w:rsidRPr="0001732F">
        <w:rPr>
          <w:i/>
          <w:iCs/>
        </w:rPr>
        <w:t>30</w:t>
      </w:r>
      <w:r w:rsidRPr="0001732F">
        <w:t>(1), pp.1-13.</w:t>
      </w:r>
    </w:p>
    <w:p w14:paraId="1CA899D0" w14:textId="77777777" w:rsidR="00DD0223" w:rsidRDefault="00DD0223" w:rsidP="004134C3">
      <w:r w:rsidRPr="0086788A">
        <w:t xml:space="preserve">Kabil, M., AbdAlmoity, M., Molnar, C. and Dávid, L., </w:t>
      </w:r>
      <w:r>
        <w:t>(</w:t>
      </w:r>
      <w:r w:rsidRPr="0086788A">
        <w:t>2024</w:t>
      </w:r>
      <w:r>
        <w:t>)</w:t>
      </w:r>
      <w:r w:rsidRPr="0086788A">
        <w:t>. Critical success factors in integrated tourism development projects: A thematic analysis of major tourism investors’ perspectives in the Red Sea, Egypt. </w:t>
      </w:r>
      <w:r w:rsidRPr="0086788A">
        <w:rPr>
          <w:i/>
          <w:iCs/>
        </w:rPr>
        <w:t>Journal of Infrastructure, Policy and Development</w:t>
      </w:r>
      <w:r w:rsidRPr="0086788A">
        <w:t>, </w:t>
      </w:r>
      <w:r w:rsidRPr="0086788A">
        <w:rPr>
          <w:i/>
          <w:iCs/>
        </w:rPr>
        <w:t>8</w:t>
      </w:r>
      <w:r w:rsidRPr="0086788A">
        <w:t>(15), p.9393.</w:t>
      </w:r>
    </w:p>
    <w:p w14:paraId="0B219250" w14:textId="77777777" w:rsidR="00DD0223" w:rsidRDefault="00DD0223" w:rsidP="004134C3">
      <w:r w:rsidRPr="007C39EA">
        <w:t xml:space="preserve">Khaing, P.T., </w:t>
      </w:r>
      <w:r>
        <w:t>(</w:t>
      </w:r>
      <w:r w:rsidRPr="007C39EA">
        <w:t>2024</w:t>
      </w:r>
      <w:r>
        <w:t>)</w:t>
      </w:r>
      <w:r w:rsidRPr="007C39EA">
        <w:t>. </w:t>
      </w:r>
      <w:r w:rsidRPr="007C39EA">
        <w:rPr>
          <w:i/>
          <w:iCs/>
        </w:rPr>
        <w:t>The Impact of COVID–19 Pandemic on Thailand’s MICE Industry and the Adaptive Strategies</w:t>
      </w:r>
      <w:r w:rsidRPr="007C39EA">
        <w:t> (Doctoral dissertation, SIAM UNIVERSITY).</w:t>
      </w:r>
    </w:p>
    <w:p w14:paraId="21F6C10F" w14:textId="77777777" w:rsidR="00DD0223" w:rsidRDefault="00DD0223" w:rsidP="004134C3">
      <w:proofErr w:type="spellStart"/>
      <w:r w:rsidRPr="00890639">
        <w:t>Magnadi</w:t>
      </w:r>
      <w:proofErr w:type="spellEnd"/>
      <w:r w:rsidRPr="00890639">
        <w:t xml:space="preserve">, R.H., </w:t>
      </w:r>
      <w:r>
        <w:t>(</w:t>
      </w:r>
      <w:r w:rsidRPr="00890639">
        <w:t>2025</w:t>
      </w:r>
      <w:r>
        <w:t>)</w:t>
      </w:r>
      <w:r w:rsidRPr="00890639">
        <w:t>. </w:t>
      </w:r>
      <w:r w:rsidRPr="00890639">
        <w:rPr>
          <w:i/>
          <w:iCs/>
        </w:rPr>
        <w:t>Multi-stakeholder market orientation and museum performance: the role of innovation</w:t>
      </w:r>
      <w:r w:rsidRPr="00890639">
        <w:t> (Doctoral dissertation, University of Glasgow).</w:t>
      </w:r>
    </w:p>
    <w:p w14:paraId="1259268E" w14:textId="77777777" w:rsidR="00DD0223" w:rsidRDefault="00DD0223" w:rsidP="004134C3">
      <w:r w:rsidRPr="001229F6">
        <w:t xml:space="preserve">Mikama, C., </w:t>
      </w:r>
      <w:r>
        <w:t>(</w:t>
      </w:r>
      <w:r w:rsidRPr="001229F6">
        <w:t>2025</w:t>
      </w:r>
      <w:r>
        <w:t>)</w:t>
      </w:r>
      <w:r w:rsidRPr="001229F6">
        <w:t>. Foresight and Stakeholder Involvement in Cultivating Organisational Thought Leadership.</w:t>
      </w:r>
    </w:p>
    <w:p w14:paraId="0128E1B8" w14:textId="77777777" w:rsidR="00DD0223" w:rsidRDefault="00DD0223" w:rsidP="004134C3">
      <w:r w:rsidRPr="00912641">
        <w:t xml:space="preserve">Omar, Q.M.H.A., </w:t>
      </w:r>
      <w:r>
        <w:t>(</w:t>
      </w:r>
      <w:r w:rsidRPr="00912641">
        <w:t>2021</w:t>
      </w:r>
      <w:r>
        <w:t>)</w:t>
      </w:r>
      <w:r w:rsidRPr="00912641">
        <w:t>. </w:t>
      </w:r>
      <w:r w:rsidRPr="00912641">
        <w:rPr>
          <w:i/>
          <w:iCs/>
        </w:rPr>
        <w:t>Flexibility as a Tool to Improve Functionality and Comfort Level of the Five Star Hotel Standard Rooms, A Case Study of the Hotels at South-East Coast of North Cyprus</w:t>
      </w:r>
      <w:r w:rsidRPr="00912641">
        <w:t> (master’s thesis, Eastern Mediterranean University (EMU)-Doğu Akdeniz Üniversitesi (DAÜ)).</w:t>
      </w:r>
    </w:p>
    <w:p w14:paraId="1867F1F0" w14:textId="77777777" w:rsidR="00DD0223" w:rsidRDefault="00DD0223" w:rsidP="004134C3">
      <w:r w:rsidRPr="00134A09">
        <w:t xml:space="preserve">Pappas, D., </w:t>
      </w:r>
      <w:r>
        <w:t>(</w:t>
      </w:r>
      <w:r w:rsidRPr="00134A09">
        <w:t>2021</w:t>
      </w:r>
      <w:r>
        <w:t>)</w:t>
      </w:r>
      <w:r w:rsidRPr="00134A09">
        <w:t>. </w:t>
      </w:r>
      <w:r w:rsidRPr="00134A09">
        <w:rPr>
          <w:i/>
          <w:iCs/>
        </w:rPr>
        <w:t>Partners in Pleasure: State and Private Capital in the Making of Modern Mediterranean Tourism</w:t>
      </w:r>
      <w:r w:rsidRPr="00134A09">
        <w:t> (Doctoral dissertation, University of Miami).</w:t>
      </w:r>
    </w:p>
    <w:p w14:paraId="66B95077" w14:textId="77777777" w:rsidR="00DD0223" w:rsidRDefault="00DD0223" w:rsidP="004134C3">
      <w:r w:rsidRPr="00755565">
        <w:lastRenderedPageBreak/>
        <w:t xml:space="preserve">Parrott, J., Armstrong, L.L., Watt, E., Fabes, R. and Timlin, B., </w:t>
      </w:r>
      <w:r>
        <w:t>(</w:t>
      </w:r>
      <w:r w:rsidRPr="00755565">
        <w:t>2021</w:t>
      </w:r>
      <w:r>
        <w:t>)</w:t>
      </w:r>
      <w:r w:rsidRPr="00755565">
        <w:t>. Building resilience during COVID-19: recommendations for adapting the DREAM program–live edition to an online-live hybrid model for in-person and virtual classrooms. </w:t>
      </w:r>
      <w:r w:rsidRPr="00755565">
        <w:rPr>
          <w:i/>
          <w:iCs/>
        </w:rPr>
        <w:t>Frontiers in Psychology</w:t>
      </w:r>
      <w:r w:rsidRPr="00755565">
        <w:t>, </w:t>
      </w:r>
      <w:r w:rsidRPr="00755565">
        <w:rPr>
          <w:i/>
          <w:iCs/>
        </w:rPr>
        <w:t>12</w:t>
      </w:r>
      <w:r w:rsidRPr="00755565">
        <w:t>, p.647420.</w:t>
      </w:r>
    </w:p>
    <w:p w14:paraId="6E50C71F" w14:textId="77777777" w:rsidR="00DD0223" w:rsidRDefault="00DD0223" w:rsidP="004134C3">
      <w:r w:rsidRPr="00555BD8">
        <w:t xml:space="preserve">Rankine, D. and Giberti, M., </w:t>
      </w:r>
      <w:r>
        <w:t>(</w:t>
      </w:r>
      <w:r w:rsidRPr="00555BD8">
        <w:t>2020</w:t>
      </w:r>
      <w:r>
        <w:t>)</w:t>
      </w:r>
      <w:r w:rsidRPr="00555BD8">
        <w:t>. </w:t>
      </w:r>
      <w:r w:rsidRPr="00555BD8">
        <w:rPr>
          <w:i/>
          <w:iCs/>
        </w:rPr>
        <w:t>Reinventing live: The always-on future of events</w:t>
      </w:r>
      <w:r w:rsidRPr="00555BD8">
        <w:t>. Anthem Press.</w:t>
      </w:r>
    </w:p>
    <w:p w14:paraId="2BF3E959" w14:textId="77777777" w:rsidR="00DD0223" w:rsidRDefault="00DD0223" w:rsidP="004134C3">
      <w:r w:rsidRPr="004134C3">
        <w:t xml:space="preserve">Saiz, A., </w:t>
      </w:r>
      <w:r>
        <w:t>(</w:t>
      </w:r>
      <w:r w:rsidRPr="004134C3">
        <w:t>2024</w:t>
      </w:r>
      <w:r>
        <w:t>)</w:t>
      </w:r>
      <w:r w:rsidRPr="004134C3">
        <w:t>. </w:t>
      </w:r>
      <w:r w:rsidRPr="004134C3">
        <w:rPr>
          <w:i/>
          <w:iCs/>
        </w:rPr>
        <w:t>Negotiating ROI (Return on Investment) for ROI (Return on Impact) A Pre-Feasibility Study of Socio-Eco Resort Development in Eastern Indonesia</w:t>
      </w:r>
      <w:r w:rsidRPr="004134C3">
        <w:t> (Doctoral dissertation, Massachusetts Institute of Technology).</w:t>
      </w:r>
    </w:p>
    <w:p w14:paraId="474BC330" w14:textId="77777777" w:rsidR="00DD0223" w:rsidRDefault="00DD0223" w:rsidP="004134C3">
      <w:r w:rsidRPr="00AB196C">
        <w:t>Santos, J.A.C., Fernández-</w:t>
      </w:r>
      <w:proofErr w:type="spellStart"/>
      <w:r w:rsidRPr="00AB196C">
        <w:t>Gámez</w:t>
      </w:r>
      <w:proofErr w:type="spellEnd"/>
      <w:r w:rsidRPr="00AB196C">
        <w:t xml:space="preserve">, M.A., Puig-Cabrera, M. and Santos, M.C., </w:t>
      </w:r>
      <w:r>
        <w:t>(</w:t>
      </w:r>
      <w:r w:rsidRPr="00AB196C">
        <w:t>2024</w:t>
      </w:r>
      <w:r>
        <w:t>)</w:t>
      </w:r>
      <w:r w:rsidRPr="00AB196C">
        <w:t>. Sustainability in business events: How hybrid formats shape attendee decision-making. </w:t>
      </w:r>
      <w:r w:rsidRPr="00AB196C">
        <w:rPr>
          <w:i/>
          <w:iCs/>
        </w:rPr>
        <w:t>Journal of Tourism and Services</w:t>
      </w:r>
      <w:r w:rsidRPr="00AB196C">
        <w:t>, </w:t>
      </w:r>
      <w:r w:rsidRPr="00AB196C">
        <w:rPr>
          <w:i/>
          <w:iCs/>
        </w:rPr>
        <w:t>15</w:t>
      </w:r>
      <w:r w:rsidRPr="00AB196C">
        <w:t>(29), pp.320-348.</w:t>
      </w:r>
    </w:p>
    <w:p w14:paraId="408BE9B2" w14:textId="77777777" w:rsidR="00DD0223" w:rsidRDefault="00DD0223" w:rsidP="004134C3">
      <w:r w:rsidRPr="00A32F82">
        <w:t xml:space="preserve">Thomas-Francois, K., Joppe, M. and von Massow, M., </w:t>
      </w:r>
      <w:r>
        <w:t>(</w:t>
      </w:r>
      <w:r w:rsidRPr="00A32F82">
        <w:t>2021</w:t>
      </w:r>
      <w:r>
        <w:t>)</w:t>
      </w:r>
      <w:r w:rsidRPr="00A32F82">
        <w:t>. The impact of customer engagement and service leadership on the local food value chain of hotels. </w:t>
      </w:r>
      <w:r w:rsidRPr="00A32F82">
        <w:rPr>
          <w:i/>
          <w:iCs/>
        </w:rPr>
        <w:t>Journal of Hospitality and Tourism Insights</w:t>
      </w:r>
      <w:r w:rsidRPr="00A32F82">
        <w:t>, </w:t>
      </w:r>
      <w:r w:rsidRPr="00A32F82">
        <w:rPr>
          <w:i/>
          <w:iCs/>
        </w:rPr>
        <w:t>4</w:t>
      </w:r>
      <w:r w:rsidRPr="00A32F82">
        <w:t>(1), pp.35-58.</w:t>
      </w:r>
    </w:p>
    <w:p w14:paraId="529122A9" w14:textId="77777777" w:rsidR="00DD0223" w:rsidRPr="004134C3" w:rsidRDefault="00DD0223" w:rsidP="004134C3">
      <w:pPr>
        <w:rPr>
          <w:lang w:val="en-US"/>
        </w:rPr>
      </w:pPr>
      <w:proofErr w:type="spellStart"/>
      <w:r w:rsidRPr="00106CAC">
        <w:t>Trianni</w:t>
      </w:r>
      <w:proofErr w:type="spellEnd"/>
      <w:r w:rsidRPr="00106CAC">
        <w:t xml:space="preserve">, A., Bennett, N. and Lindsay, D., </w:t>
      </w:r>
      <w:r>
        <w:t>(</w:t>
      </w:r>
      <w:r w:rsidRPr="00106CAC">
        <w:t>2022</w:t>
      </w:r>
      <w:r>
        <w:t>)</w:t>
      </w:r>
      <w:r w:rsidRPr="00106CAC">
        <w:t>. Industry 4.0 for energy productivity–Opportunity Assessment for Research Theme B2, Final Report.</w:t>
      </w:r>
    </w:p>
    <w:p w14:paraId="24EB94CC" w14:textId="77777777" w:rsidR="00DD0223" w:rsidRDefault="00DD0223" w:rsidP="004134C3">
      <w:proofErr w:type="spellStart"/>
      <w:r w:rsidRPr="00CB7A1C">
        <w:t>Tsoumakas</w:t>
      </w:r>
      <w:proofErr w:type="spellEnd"/>
      <w:r w:rsidRPr="00CB7A1C">
        <w:t xml:space="preserve">, K., </w:t>
      </w:r>
      <w:r>
        <w:t>(</w:t>
      </w:r>
      <w:r w:rsidRPr="00CB7A1C">
        <w:t>2025</w:t>
      </w:r>
      <w:r>
        <w:t>)</w:t>
      </w:r>
      <w:r w:rsidRPr="00CB7A1C">
        <w:t>. Enhancing guest experience of business travelers in Greece by implementing local hospitality traits.</w:t>
      </w:r>
    </w:p>
    <w:p w14:paraId="3442C197" w14:textId="77777777" w:rsidR="00FC464C" w:rsidRDefault="00FC464C" w:rsidP="00DC02CF">
      <w:pPr>
        <w:rPr>
          <w:lang w:val="en-US"/>
        </w:rPr>
      </w:pPr>
    </w:p>
    <w:p w14:paraId="69747355" w14:textId="77777777" w:rsidR="00DC02CF" w:rsidRDefault="00DC02CF" w:rsidP="00DC02CF">
      <w:pPr>
        <w:rPr>
          <w:lang w:val="en-US"/>
        </w:rPr>
      </w:pPr>
    </w:p>
    <w:p w14:paraId="54CA8DF6" w14:textId="77777777" w:rsidR="00DC02CF" w:rsidRDefault="00DC02CF" w:rsidP="00DC02CF">
      <w:pPr>
        <w:rPr>
          <w:lang w:val="en-US"/>
        </w:rPr>
      </w:pPr>
    </w:p>
    <w:p w14:paraId="6CF91EA5" w14:textId="77777777" w:rsidR="00DC02CF" w:rsidRPr="00DC02CF" w:rsidRDefault="00DC02CF" w:rsidP="00DC02CF">
      <w:pPr>
        <w:rPr>
          <w:lang w:val="en-US"/>
        </w:rPr>
      </w:pPr>
    </w:p>
    <w:p w14:paraId="5A81F53C" w14:textId="77777777" w:rsidR="00DC02CF" w:rsidRDefault="00DC02CF" w:rsidP="00DC02CF"/>
    <w:sectPr w:rsidR="00DC02CF">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ADC4E" w14:textId="77777777" w:rsidR="00C1195C" w:rsidRDefault="00C1195C" w:rsidP="007A39FB">
      <w:pPr>
        <w:spacing w:after="0" w:line="240" w:lineRule="auto"/>
      </w:pPr>
      <w:r>
        <w:separator/>
      </w:r>
    </w:p>
  </w:endnote>
  <w:endnote w:type="continuationSeparator" w:id="0">
    <w:p w14:paraId="5A68D174" w14:textId="77777777" w:rsidR="00C1195C" w:rsidRDefault="00C1195C" w:rsidP="007A3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546333"/>
      <w:docPartObj>
        <w:docPartGallery w:val="Page Numbers (Bottom of Page)"/>
        <w:docPartUnique/>
      </w:docPartObj>
    </w:sdtPr>
    <w:sdtEndPr>
      <w:rPr>
        <w:noProof/>
      </w:rPr>
    </w:sdtEndPr>
    <w:sdtContent>
      <w:p w14:paraId="5EF2AC1E" w14:textId="3715D8C5" w:rsidR="007A39FB" w:rsidRDefault="007A39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020B2F" w14:textId="77777777" w:rsidR="007A39FB" w:rsidRDefault="007A3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BF722" w14:textId="77777777" w:rsidR="00C1195C" w:rsidRDefault="00C1195C" w:rsidP="007A39FB">
      <w:pPr>
        <w:spacing w:after="0" w:line="240" w:lineRule="auto"/>
      </w:pPr>
      <w:r>
        <w:separator/>
      </w:r>
    </w:p>
  </w:footnote>
  <w:footnote w:type="continuationSeparator" w:id="0">
    <w:p w14:paraId="59DA3107" w14:textId="77777777" w:rsidR="00C1195C" w:rsidRDefault="00C1195C" w:rsidP="007A39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468F"/>
    <w:multiLevelType w:val="hybridMultilevel"/>
    <w:tmpl w:val="41DE50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3D308BC"/>
    <w:multiLevelType w:val="hybridMultilevel"/>
    <w:tmpl w:val="A044F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DB2D8F"/>
    <w:multiLevelType w:val="hybridMultilevel"/>
    <w:tmpl w:val="9E5A8D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4349343">
    <w:abstractNumId w:val="1"/>
  </w:num>
  <w:num w:numId="2" w16cid:durableId="798645919">
    <w:abstractNumId w:val="2"/>
  </w:num>
  <w:num w:numId="3" w16cid:durableId="2057925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625"/>
    <w:rsid w:val="00001218"/>
    <w:rsid w:val="000151C8"/>
    <w:rsid w:val="0001732F"/>
    <w:rsid w:val="000215A7"/>
    <w:rsid w:val="000246FE"/>
    <w:rsid w:val="00041869"/>
    <w:rsid w:val="00047B79"/>
    <w:rsid w:val="00054CE3"/>
    <w:rsid w:val="00077F7C"/>
    <w:rsid w:val="00081609"/>
    <w:rsid w:val="0008741E"/>
    <w:rsid w:val="00090D68"/>
    <w:rsid w:val="0009402B"/>
    <w:rsid w:val="00094815"/>
    <w:rsid w:val="000A3137"/>
    <w:rsid w:val="000B3CCF"/>
    <w:rsid w:val="000B6490"/>
    <w:rsid w:val="000F2F3C"/>
    <w:rsid w:val="000F57D2"/>
    <w:rsid w:val="00106CAC"/>
    <w:rsid w:val="00107ECA"/>
    <w:rsid w:val="00110289"/>
    <w:rsid w:val="001229F6"/>
    <w:rsid w:val="00134A09"/>
    <w:rsid w:val="00135087"/>
    <w:rsid w:val="00187C82"/>
    <w:rsid w:val="001B015D"/>
    <w:rsid w:val="001C6838"/>
    <w:rsid w:val="001E2389"/>
    <w:rsid w:val="001E3A41"/>
    <w:rsid w:val="001F3C63"/>
    <w:rsid w:val="001F6396"/>
    <w:rsid w:val="00222045"/>
    <w:rsid w:val="002275F9"/>
    <w:rsid w:val="00243121"/>
    <w:rsid w:val="00246640"/>
    <w:rsid w:val="002523DA"/>
    <w:rsid w:val="002747E7"/>
    <w:rsid w:val="00280412"/>
    <w:rsid w:val="0028724A"/>
    <w:rsid w:val="002B3492"/>
    <w:rsid w:val="002B4960"/>
    <w:rsid w:val="002D5AA6"/>
    <w:rsid w:val="002E5B72"/>
    <w:rsid w:val="002F5C62"/>
    <w:rsid w:val="002F77C9"/>
    <w:rsid w:val="00313075"/>
    <w:rsid w:val="00313833"/>
    <w:rsid w:val="00317174"/>
    <w:rsid w:val="0032627F"/>
    <w:rsid w:val="003548B2"/>
    <w:rsid w:val="003617C4"/>
    <w:rsid w:val="00364902"/>
    <w:rsid w:val="00370EBA"/>
    <w:rsid w:val="0039410F"/>
    <w:rsid w:val="003951DA"/>
    <w:rsid w:val="003A1F73"/>
    <w:rsid w:val="003A6B9F"/>
    <w:rsid w:val="003C0B2C"/>
    <w:rsid w:val="003E787A"/>
    <w:rsid w:val="00400D31"/>
    <w:rsid w:val="004134C3"/>
    <w:rsid w:val="004310CD"/>
    <w:rsid w:val="00440CB8"/>
    <w:rsid w:val="004505A1"/>
    <w:rsid w:val="00453A69"/>
    <w:rsid w:val="00454DE6"/>
    <w:rsid w:val="00472AB3"/>
    <w:rsid w:val="004807AA"/>
    <w:rsid w:val="0048433B"/>
    <w:rsid w:val="004905A2"/>
    <w:rsid w:val="004A21DF"/>
    <w:rsid w:val="004B6BC6"/>
    <w:rsid w:val="004D1751"/>
    <w:rsid w:val="004D4A67"/>
    <w:rsid w:val="004E397F"/>
    <w:rsid w:val="005117DE"/>
    <w:rsid w:val="00515625"/>
    <w:rsid w:val="005158CC"/>
    <w:rsid w:val="00526C58"/>
    <w:rsid w:val="00540A3D"/>
    <w:rsid w:val="00555BD8"/>
    <w:rsid w:val="0056322F"/>
    <w:rsid w:val="00566A41"/>
    <w:rsid w:val="00573997"/>
    <w:rsid w:val="005C7D94"/>
    <w:rsid w:val="005E3659"/>
    <w:rsid w:val="005E7FE3"/>
    <w:rsid w:val="005F72E3"/>
    <w:rsid w:val="00600772"/>
    <w:rsid w:val="00623ACC"/>
    <w:rsid w:val="00637C60"/>
    <w:rsid w:val="00641CA8"/>
    <w:rsid w:val="00656A32"/>
    <w:rsid w:val="00664E94"/>
    <w:rsid w:val="0066685D"/>
    <w:rsid w:val="0068641F"/>
    <w:rsid w:val="00692F82"/>
    <w:rsid w:val="006B0CC7"/>
    <w:rsid w:val="006D4DA8"/>
    <w:rsid w:val="006F3F8D"/>
    <w:rsid w:val="006F5DD4"/>
    <w:rsid w:val="006F6140"/>
    <w:rsid w:val="00717B4E"/>
    <w:rsid w:val="00722581"/>
    <w:rsid w:val="007247B9"/>
    <w:rsid w:val="007248E2"/>
    <w:rsid w:val="00727B0E"/>
    <w:rsid w:val="007422F5"/>
    <w:rsid w:val="00745D06"/>
    <w:rsid w:val="007505C8"/>
    <w:rsid w:val="00755565"/>
    <w:rsid w:val="007571D7"/>
    <w:rsid w:val="0075761D"/>
    <w:rsid w:val="007A0D76"/>
    <w:rsid w:val="007A2FC3"/>
    <w:rsid w:val="007A39FB"/>
    <w:rsid w:val="007B1705"/>
    <w:rsid w:val="007B57C4"/>
    <w:rsid w:val="007C39EA"/>
    <w:rsid w:val="007C6901"/>
    <w:rsid w:val="007E1849"/>
    <w:rsid w:val="00837FC6"/>
    <w:rsid w:val="0084278B"/>
    <w:rsid w:val="00850EAA"/>
    <w:rsid w:val="00855B78"/>
    <w:rsid w:val="00857A02"/>
    <w:rsid w:val="00861AD7"/>
    <w:rsid w:val="00862E49"/>
    <w:rsid w:val="0086788A"/>
    <w:rsid w:val="00870142"/>
    <w:rsid w:val="008711EC"/>
    <w:rsid w:val="0087180D"/>
    <w:rsid w:val="00890639"/>
    <w:rsid w:val="008909F9"/>
    <w:rsid w:val="008A2C3E"/>
    <w:rsid w:val="008C1499"/>
    <w:rsid w:val="008D0095"/>
    <w:rsid w:val="008D2E9D"/>
    <w:rsid w:val="008E0802"/>
    <w:rsid w:val="008E1A19"/>
    <w:rsid w:val="009032C2"/>
    <w:rsid w:val="009053B6"/>
    <w:rsid w:val="00912641"/>
    <w:rsid w:val="00921186"/>
    <w:rsid w:val="00931260"/>
    <w:rsid w:val="00944D5D"/>
    <w:rsid w:val="00972F8B"/>
    <w:rsid w:val="0097408E"/>
    <w:rsid w:val="009914F0"/>
    <w:rsid w:val="009A1EF1"/>
    <w:rsid w:val="009A381B"/>
    <w:rsid w:val="009A5AB5"/>
    <w:rsid w:val="009A5DBD"/>
    <w:rsid w:val="009C1C27"/>
    <w:rsid w:val="009C4E7E"/>
    <w:rsid w:val="009E6BA2"/>
    <w:rsid w:val="009F39E3"/>
    <w:rsid w:val="00A0545A"/>
    <w:rsid w:val="00A32F82"/>
    <w:rsid w:val="00A34515"/>
    <w:rsid w:val="00A366F9"/>
    <w:rsid w:val="00A404B3"/>
    <w:rsid w:val="00A40A88"/>
    <w:rsid w:val="00A415DF"/>
    <w:rsid w:val="00A80345"/>
    <w:rsid w:val="00A87EAB"/>
    <w:rsid w:val="00AB196C"/>
    <w:rsid w:val="00AB4E51"/>
    <w:rsid w:val="00AB6DBD"/>
    <w:rsid w:val="00AD40AA"/>
    <w:rsid w:val="00AF2073"/>
    <w:rsid w:val="00AF4484"/>
    <w:rsid w:val="00AF7AD8"/>
    <w:rsid w:val="00B52C8E"/>
    <w:rsid w:val="00B57532"/>
    <w:rsid w:val="00B64FF5"/>
    <w:rsid w:val="00B71F6C"/>
    <w:rsid w:val="00B7328E"/>
    <w:rsid w:val="00B7396B"/>
    <w:rsid w:val="00B75E9B"/>
    <w:rsid w:val="00B879A5"/>
    <w:rsid w:val="00B9150F"/>
    <w:rsid w:val="00B9370F"/>
    <w:rsid w:val="00BA4758"/>
    <w:rsid w:val="00BA47E4"/>
    <w:rsid w:val="00BC1B20"/>
    <w:rsid w:val="00BE7473"/>
    <w:rsid w:val="00BF7BFB"/>
    <w:rsid w:val="00C01919"/>
    <w:rsid w:val="00C055C1"/>
    <w:rsid w:val="00C1195C"/>
    <w:rsid w:val="00C20A6D"/>
    <w:rsid w:val="00C457AE"/>
    <w:rsid w:val="00C46783"/>
    <w:rsid w:val="00C61549"/>
    <w:rsid w:val="00C72CF0"/>
    <w:rsid w:val="00C74D43"/>
    <w:rsid w:val="00C75211"/>
    <w:rsid w:val="00C851AB"/>
    <w:rsid w:val="00C92A52"/>
    <w:rsid w:val="00CA65EB"/>
    <w:rsid w:val="00CB7A1C"/>
    <w:rsid w:val="00CD5F07"/>
    <w:rsid w:val="00CE2D85"/>
    <w:rsid w:val="00D176F6"/>
    <w:rsid w:val="00D30465"/>
    <w:rsid w:val="00D311E0"/>
    <w:rsid w:val="00D4035C"/>
    <w:rsid w:val="00D41A07"/>
    <w:rsid w:val="00D56D65"/>
    <w:rsid w:val="00D64924"/>
    <w:rsid w:val="00D65159"/>
    <w:rsid w:val="00D72984"/>
    <w:rsid w:val="00D92C65"/>
    <w:rsid w:val="00DA1DE2"/>
    <w:rsid w:val="00DC02CF"/>
    <w:rsid w:val="00DD0223"/>
    <w:rsid w:val="00DF5D8E"/>
    <w:rsid w:val="00E35039"/>
    <w:rsid w:val="00E36AF7"/>
    <w:rsid w:val="00E74C47"/>
    <w:rsid w:val="00E80920"/>
    <w:rsid w:val="00EF0225"/>
    <w:rsid w:val="00F00663"/>
    <w:rsid w:val="00F04303"/>
    <w:rsid w:val="00F13449"/>
    <w:rsid w:val="00F53791"/>
    <w:rsid w:val="00F6590D"/>
    <w:rsid w:val="00F6733B"/>
    <w:rsid w:val="00F75638"/>
    <w:rsid w:val="00F769A3"/>
    <w:rsid w:val="00F80BC2"/>
    <w:rsid w:val="00F84290"/>
    <w:rsid w:val="00F84325"/>
    <w:rsid w:val="00F9372C"/>
    <w:rsid w:val="00FA4C22"/>
    <w:rsid w:val="00FC464C"/>
    <w:rsid w:val="00FC67CF"/>
    <w:rsid w:val="00FD04AF"/>
    <w:rsid w:val="00FF1477"/>
    <w:rsid w:val="00FF7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A3585D"/>
  <w15:chartTrackingRefBased/>
  <w15:docId w15:val="{BB2CA6A1-9D98-49D9-B351-E004901D9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7AE"/>
    <w:pPr>
      <w:spacing w:after="200" w:line="360" w:lineRule="auto"/>
      <w:jc w:val="both"/>
    </w:pPr>
    <w:rPr>
      <w:rFonts w:ascii="Times New Roman" w:hAnsi="Times New Roman"/>
      <w:kern w:val="0"/>
      <w:szCs w:val="22"/>
      <w:lang w:val="en-GB"/>
      <w14:ligatures w14:val="none"/>
    </w:rPr>
  </w:style>
  <w:style w:type="paragraph" w:styleId="Heading1">
    <w:name w:val="heading 1"/>
    <w:basedOn w:val="Normal"/>
    <w:next w:val="Normal"/>
    <w:link w:val="Heading1Char"/>
    <w:uiPriority w:val="9"/>
    <w:qFormat/>
    <w:rsid w:val="00C457AE"/>
    <w:pPr>
      <w:keepNext/>
      <w:keepLines/>
      <w:spacing w:before="240" w:after="0"/>
      <w:outlineLvl w:val="0"/>
    </w:pPr>
    <w:rPr>
      <w:rFonts w:eastAsiaTheme="majorEastAsia" w:cstheme="majorBidi"/>
      <w:b/>
      <w:color w:val="0D0D0D" w:themeColor="text1" w:themeTint="F2"/>
      <w:kern w:val="2"/>
      <w:sz w:val="36"/>
      <w:szCs w:val="32"/>
      <w:lang w:val="en-US"/>
      <w14:ligatures w14:val="standardContextual"/>
    </w:rPr>
  </w:style>
  <w:style w:type="paragraph" w:styleId="Heading2">
    <w:name w:val="heading 2"/>
    <w:basedOn w:val="Normal"/>
    <w:next w:val="Normal"/>
    <w:link w:val="Heading2Char"/>
    <w:uiPriority w:val="9"/>
    <w:unhideWhenUsed/>
    <w:qFormat/>
    <w:rsid w:val="00DA1DE2"/>
    <w:pPr>
      <w:keepNext/>
      <w:keepLines/>
      <w:spacing w:before="40" w:after="0"/>
      <w:outlineLvl w:val="1"/>
    </w:pPr>
    <w:rPr>
      <w:rFonts w:eastAsiaTheme="majorEastAsia" w:cstheme="majorBidi"/>
      <w:b/>
      <w:color w:val="0D0D0D" w:themeColor="text1" w:themeTint="F2"/>
      <w:kern w:val="2"/>
      <w:sz w:val="32"/>
      <w:szCs w:val="26"/>
      <w:lang w:val="en-US"/>
      <w14:ligatures w14:val="standardContextual"/>
    </w:rPr>
  </w:style>
  <w:style w:type="paragraph" w:styleId="Heading3">
    <w:name w:val="heading 3"/>
    <w:basedOn w:val="Normal"/>
    <w:next w:val="Normal"/>
    <w:link w:val="Heading3Char"/>
    <w:uiPriority w:val="9"/>
    <w:semiHidden/>
    <w:unhideWhenUsed/>
    <w:qFormat/>
    <w:rsid w:val="0051562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62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1562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1562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1562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1562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1562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7AE"/>
    <w:rPr>
      <w:rFonts w:ascii="Times New Roman" w:eastAsiaTheme="majorEastAsia" w:hAnsi="Times New Roman" w:cstheme="majorBidi"/>
      <w:b/>
      <w:color w:val="0D0D0D" w:themeColor="text1" w:themeTint="F2"/>
      <w:sz w:val="36"/>
      <w:szCs w:val="32"/>
    </w:rPr>
  </w:style>
  <w:style w:type="character" w:customStyle="1" w:styleId="Heading2Char">
    <w:name w:val="Heading 2 Char"/>
    <w:basedOn w:val="DefaultParagraphFont"/>
    <w:link w:val="Heading2"/>
    <w:uiPriority w:val="9"/>
    <w:rsid w:val="00DA1DE2"/>
    <w:rPr>
      <w:rFonts w:ascii="Times New Roman" w:eastAsiaTheme="majorEastAsia" w:hAnsi="Times New Roman" w:cstheme="majorBidi"/>
      <w:b/>
      <w:color w:val="0D0D0D" w:themeColor="text1" w:themeTint="F2"/>
      <w:sz w:val="32"/>
      <w:szCs w:val="26"/>
    </w:rPr>
  </w:style>
  <w:style w:type="paragraph" w:styleId="Title">
    <w:name w:val="Title"/>
    <w:basedOn w:val="Normal"/>
    <w:next w:val="Normal"/>
    <w:link w:val="TitleChar"/>
    <w:uiPriority w:val="10"/>
    <w:qFormat/>
    <w:rsid w:val="00454DE6"/>
    <w:pPr>
      <w:spacing w:after="8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54DE6"/>
    <w:rPr>
      <w:rFonts w:ascii="Times New Roman" w:eastAsiaTheme="majorEastAsia" w:hAnsi="Times New Roman" w:cstheme="majorBidi"/>
      <w:b/>
      <w:spacing w:val="-10"/>
      <w:kern w:val="28"/>
      <w:sz w:val="56"/>
      <w:szCs w:val="56"/>
      <w:lang w:val="en-GB"/>
      <w14:ligatures w14:val="none"/>
    </w:rPr>
  </w:style>
  <w:style w:type="character" w:customStyle="1" w:styleId="Heading3Char">
    <w:name w:val="Heading 3 Char"/>
    <w:basedOn w:val="DefaultParagraphFont"/>
    <w:link w:val="Heading3"/>
    <w:uiPriority w:val="9"/>
    <w:semiHidden/>
    <w:rsid w:val="00515625"/>
    <w:rPr>
      <w:rFonts w:eastAsiaTheme="majorEastAsia"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515625"/>
    <w:rPr>
      <w:rFonts w:eastAsiaTheme="majorEastAsia" w:cstheme="majorBidi"/>
      <w:i/>
      <w:iCs/>
      <w:color w:val="0F4761"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515625"/>
    <w:rPr>
      <w:rFonts w:eastAsiaTheme="majorEastAsia" w:cstheme="majorBidi"/>
      <w:color w:val="0F4761"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515625"/>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515625"/>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515625"/>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515625"/>
    <w:rPr>
      <w:rFonts w:eastAsiaTheme="majorEastAsia" w:cstheme="majorBidi"/>
      <w:color w:val="272727" w:themeColor="text1" w:themeTint="D8"/>
      <w:kern w:val="0"/>
      <w:szCs w:val="22"/>
      <w:lang w:val="en-GB"/>
      <w14:ligatures w14:val="none"/>
    </w:rPr>
  </w:style>
  <w:style w:type="paragraph" w:styleId="Subtitle">
    <w:name w:val="Subtitle"/>
    <w:basedOn w:val="Normal"/>
    <w:next w:val="Normal"/>
    <w:link w:val="SubtitleChar"/>
    <w:uiPriority w:val="11"/>
    <w:qFormat/>
    <w:rsid w:val="0051562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625"/>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5156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15625"/>
    <w:rPr>
      <w:rFonts w:ascii="Times New Roman" w:hAnsi="Times New Roman"/>
      <w:i/>
      <w:iCs/>
      <w:color w:val="404040" w:themeColor="text1" w:themeTint="BF"/>
      <w:kern w:val="0"/>
      <w:szCs w:val="22"/>
      <w:lang w:val="en-GB"/>
      <w14:ligatures w14:val="none"/>
    </w:rPr>
  </w:style>
  <w:style w:type="paragraph" w:styleId="ListParagraph">
    <w:name w:val="List Paragraph"/>
    <w:basedOn w:val="Normal"/>
    <w:uiPriority w:val="34"/>
    <w:qFormat/>
    <w:rsid w:val="00515625"/>
    <w:pPr>
      <w:ind w:left="720"/>
      <w:contextualSpacing/>
    </w:pPr>
  </w:style>
  <w:style w:type="character" w:styleId="IntenseEmphasis">
    <w:name w:val="Intense Emphasis"/>
    <w:basedOn w:val="DefaultParagraphFont"/>
    <w:uiPriority w:val="21"/>
    <w:qFormat/>
    <w:rsid w:val="00515625"/>
    <w:rPr>
      <w:i/>
      <w:iCs/>
      <w:color w:val="0F4761" w:themeColor="accent1" w:themeShade="BF"/>
    </w:rPr>
  </w:style>
  <w:style w:type="paragraph" w:styleId="IntenseQuote">
    <w:name w:val="Intense Quote"/>
    <w:basedOn w:val="Normal"/>
    <w:next w:val="Normal"/>
    <w:link w:val="IntenseQuoteChar"/>
    <w:uiPriority w:val="30"/>
    <w:qFormat/>
    <w:rsid w:val="005156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625"/>
    <w:rPr>
      <w:rFonts w:ascii="Times New Roman" w:hAnsi="Times New Roman"/>
      <w:i/>
      <w:iCs/>
      <w:color w:val="0F4761" w:themeColor="accent1" w:themeShade="BF"/>
      <w:kern w:val="0"/>
      <w:szCs w:val="22"/>
      <w:lang w:val="en-GB"/>
      <w14:ligatures w14:val="none"/>
    </w:rPr>
  </w:style>
  <w:style w:type="character" w:styleId="IntenseReference">
    <w:name w:val="Intense Reference"/>
    <w:basedOn w:val="DefaultParagraphFont"/>
    <w:uiPriority w:val="32"/>
    <w:qFormat/>
    <w:rsid w:val="00515625"/>
    <w:rPr>
      <w:b/>
      <w:bCs/>
      <w:smallCaps/>
      <w:color w:val="0F4761" w:themeColor="accent1" w:themeShade="BF"/>
      <w:spacing w:val="5"/>
    </w:rPr>
  </w:style>
  <w:style w:type="paragraph" w:styleId="Header">
    <w:name w:val="header"/>
    <w:basedOn w:val="Normal"/>
    <w:link w:val="HeaderChar"/>
    <w:uiPriority w:val="99"/>
    <w:unhideWhenUsed/>
    <w:rsid w:val="007A39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39FB"/>
    <w:rPr>
      <w:rFonts w:ascii="Times New Roman" w:hAnsi="Times New Roman"/>
      <w:kern w:val="0"/>
      <w:szCs w:val="22"/>
      <w:lang w:val="en-GB"/>
      <w14:ligatures w14:val="none"/>
    </w:rPr>
  </w:style>
  <w:style w:type="paragraph" w:styleId="Footer">
    <w:name w:val="footer"/>
    <w:basedOn w:val="Normal"/>
    <w:link w:val="FooterChar"/>
    <w:uiPriority w:val="99"/>
    <w:unhideWhenUsed/>
    <w:rsid w:val="007A39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39FB"/>
    <w:rPr>
      <w:rFonts w:ascii="Times New Roman" w:hAnsi="Times New Roman"/>
      <w:kern w:val="0"/>
      <w:szCs w:val="22"/>
      <w:lang w:val="en-GB"/>
      <w14:ligatures w14:val="none"/>
    </w:rPr>
  </w:style>
  <w:style w:type="paragraph" w:styleId="TOCHeading">
    <w:name w:val="TOC Heading"/>
    <w:basedOn w:val="Heading1"/>
    <w:next w:val="Normal"/>
    <w:uiPriority w:val="39"/>
    <w:unhideWhenUsed/>
    <w:qFormat/>
    <w:rsid w:val="007E1849"/>
    <w:pPr>
      <w:spacing w:line="259" w:lineRule="auto"/>
      <w:jc w:val="left"/>
      <w:outlineLvl w:val="9"/>
    </w:pPr>
    <w:rPr>
      <w:rFonts w:asciiTheme="majorHAnsi" w:hAnsiTheme="majorHAnsi"/>
      <w:b w:val="0"/>
      <w:color w:val="0F4761" w:themeColor="accent1" w:themeShade="BF"/>
      <w:kern w:val="0"/>
      <w:sz w:val="32"/>
      <w14:ligatures w14:val="none"/>
    </w:rPr>
  </w:style>
  <w:style w:type="paragraph" w:styleId="TOC1">
    <w:name w:val="toc 1"/>
    <w:basedOn w:val="Normal"/>
    <w:next w:val="Normal"/>
    <w:autoRedefine/>
    <w:uiPriority w:val="39"/>
    <w:unhideWhenUsed/>
    <w:rsid w:val="007E1849"/>
    <w:pPr>
      <w:spacing w:after="100"/>
    </w:pPr>
  </w:style>
  <w:style w:type="paragraph" w:styleId="TOC2">
    <w:name w:val="toc 2"/>
    <w:basedOn w:val="Normal"/>
    <w:next w:val="Normal"/>
    <w:autoRedefine/>
    <w:uiPriority w:val="39"/>
    <w:unhideWhenUsed/>
    <w:rsid w:val="007E1849"/>
    <w:pPr>
      <w:spacing w:after="100"/>
      <w:ind w:left="240"/>
    </w:pPr>
  </w:style>
  <w:style w:type="character" w:styleId="Hyperlink">
    <w:name w:val="Hyperlink"/>
    <w:basedOn w:val="DefaultParagraphFont"/>
    <w:uiPriority w:val="99"/>
    <w:unhideWhenUsed/>
    <w:rsid w:val="007E1849"/>
    <w:rPr>
      <w:color w:val="467886" w:themeColor="hyperlink"/>
      <w:u w:val="single"/>
    </w:rPr>
  </w:style>
  <w:style w:type="paragraph" w:styleId="Caption">
    <w:name w:val="caption"/>
    <w:basedOn w:val="Normal"/>
    <w:next w:val="Normal"/>
    <w:uiPriority w:val="35"/>
    <w:unhideWhenUsed/>
    <w:qFormat/>
    <w:rsid w:val="00F9372C"/>
    <w:pPr>
      <w:spacing w:line="240" w:lineRule="auto"/>
    </w:pPr>
    <w:rPr>
      <w:i/>
      <w:iCs/>
      <w:color w:val="0E2841" w:themeColor="text2"/>
      <w:sz w:val="18"/>
      <w:szCs w:val="18"/>
    </w:rPr>
  </w:style>
  <w:style w:type="paragraph" w:styleId="TableofFigures">
    <w:name w:val="table of figures"/>
    <w:basedOn w:val="Normal"/>
    <w:next w:val="Normal"/>
    <w:uiPriority w:val="99"/>
    <w:unhideWhenUsed/>
    <w:rsid w:val="00A40A8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fontTable" Target="fontTable.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E7A3BC-5F24-43B1-A811-EE687DE9926F}" type="doc">
      <dgm:prSet loTypeId="urn:microsoft.com/office/officeart/2005/8/layout/radial1" loCatId="cycle" qsTypeId="urn:microsoft.com/office/officeart/2005/8/quickstyle/simple5" qsCatId="simple" csTypeId="urn:microsoft.com/office/officeart/2005/8/colors/accent0_3" csCatId="mainScheme" phldr="1"/>
      <dgm:spPr/>
      <dgm:t>
        <a:bodyPr/>
        <a:lstStyle/>
        <a:p>
          <a:endParaRPr lang="en-US"/>
        </a:p>
      </dgm:t>
    </dgm:pt>
    <dgm:pt modelId="{AE42735C-8120-4EDF-A84C-41B16AAFB652}">
      <dgm:prSet phldrT="[Text]"/>
      <dgm:spPr/>
      <dgm:t>
        <a:bodyPr/>
        <a:lstStyle/>
        <a:p>
          <a:pPr algn="ctr">
            <a:buNone/>
          </a:pPr>
          <a:r>
            <a:rPr lang="en-GB">
              <a:latin typeface="Times New Roman" panose="02020603050405020304" pitchFamily="18" charset="0"/>
              <a:cs typeface="Times New Roman" panose="02020603050405020304" pitchFamily="18" charset="0"/>
            </a:rPr>
            <a:t>Event Overview and Stakeholders</a:t>
          </a:r>
          <a:endParaRPr lang="en-US">
            <a:latin typeface="Times New Roman" panose="02020603050405020304" pitchFamily="18" charset="0"/>
            <a:cs typeface="Times New Roman" panose="02020603050405020304" pitchFamily="18" charset="0"/>
          </a:endParaRPr>
        </a:p>
      </dgm:t>
    </dgm:pt>
    <dgm:pt modelId="{229648EE-F602-49C1-82E5-EDA7CEACA887}" type="parTrans" cxnId="{3F248C48-3F8F-40FD-B65A-EEE7F817D957}">
      <dgm:prSet/>
      <dgm:spPr/>
      <dgm:t>
        <a:bodyPr/>
        <a:lstStyle/>
        <a:p>
          <a:endParaRPr lang="en-US"/>
        </a:p>
      </dgm:t>
    </dgm:pt>
    <dgm:pt modelId="{1E0950DB-FC19-466C-8CF9-8DCD7A9557CB}" type="sibTrans" cxnId="{3F248C48-3F8F-40FD-B65A-EEE7F817D957}">
      <dgm:prSet/>
      <dgm:spPr/>
      <dgm:t>
        <a:bodyPr/>
        <a:lstStyle/>
        <a:p>
          <a:endParaRPr lang="en-US"/>
        </a:p>
      </dgm:t>
    </dgm:pt>
    <dgm:pt modelId="{676CA1BE-CBB2-486A-B009-F5CDD1486E14}">
      <dgm:prSet phldrT="[Text]"/>
      <dgm:spPr/>
      <dgm:t>
        <a:bodyPr/>
        <a:lstStyle/>
        <a:p>
          <a:pPr>
            <a:buNone/>
          </a:pPr>
          <a:r>
            <a:rPr lang="en-GB" b="1">
              <a:latin typeface="Times New Roman" panose="02020603050405020304" pitchFamily="18" charset="0"/>
              <a:cs typeface="Times New Roman" panose="02020603050405020304" pitchFamily="18" charset="0"/>
            </a:rPr>
            <a:t>Organisers:</a:t>
          </a:r>
          <a:r>
            <a:rPr lang="en-GB">
              <a:latin typeface="Times New Roman" panose="02020603050405020304" pitchFamily="18" charset="0"/>
              <a:cs typeface="Times New Roman" panose="02020603050405020304" pitchFamily="18" charset="0"/>
            </a:rPr>
            <a:t> </a:t>
          </a:r>
          <a:endParaRPr lang="en-US">
            <a:latin typeface="Times New Roman" panose="02020603050405020304" pitchFamily="18" charset="0"/>
            <a:cs typeface="Times New Roman" panose="02020603050405020304" pitchFamily="18" charset="0"/>
          </a:endParaRPr>
        </a:p>
      </dgm:t>
    </dgm:pt>
    <dgm:pt modelId="{80812705-AE18-4D8A-A9F0-59D12B2E0113}" type="parTrans" cxnId="{BD797D7F-6667-411B-8B33-23C42CE66CA8}">
      <dgm:prSet/>
      <dgm:spPr/>
      <dgm:t>
        <a:bodyPr/>
        <a:lstStyle/>
        <a:p>
          <a:endParaRPr lang="en-US"/>
        </a:p>
      </dgm:t>
    </dgm:pt>
    <dgm:pt modelId="{E47A7928-1CCE-442E-8E96-2546E2554710}" type="sibTrans" cxnId="{BD797D7F-6667-411B-8B33-23C42CE66CA8}">
      <dgm:prSet/>
      <dgm:spPr/>
      <dgm:t>
        <a:bodyPr/>
        <a:lstStyle/>
        <a:p>
          <a:endParaRPr lang="en-US"/>
        </a:p>
      </dgm:t>
    </dgm:pt>
    <dgm:pt modelId="{80542FA2-3077-4A73-B0B1-43C68D52BF25}">
      <dgm:prSet phldrT="[Text]"/>
      <dgm:spPr/>
      <dgm:t>
        <a:bodyPr/>
        <a:lstStyle/>
        <a:p>
          <a:pPr>
            <a:buNone/>
          </a:pPr>
          <a:r>
            <a:rPr lang="en-GB" b="1">
              <a:latin typeface="Times New Roman" panose="02020603050405020304" pitchFamily="18" charset="0"/>
              <a:cs typeface="Times New Roman" panose="02020603050405020304" pitchFamily="18" charset="0"/>
            </a:rPr>
            <a:t>Sponsors and Exhibitors:</a:t>
          </a:r>
          <a:r>
            <a:rPr lang="en-GB">
              <a:latin typeface="Times New Roman" panose="02020603050405020304" pitchFamily="18" charset="0"/>
              <a:cs typeface="Times New Roman" panose="02020603050405020304" pitchFamily="18" charset="0"/>
            </a:rPr>
            <a:t> </a:t>
          </a:r>
          <a:endParaRPr lang="en-US">
            <a:latin typeface="Times New Roman" panose="02020603050405020304" pitchFamily="18" charset="0"/>
            <a:cs typeface="Times New Roman" panose="02020603050405020304" pitchFamily="18" charset="0"/>
          </a:endParaRPr>
        </a:p>
      </dgm:t>
    </dgm:pt>
    <dgm:pt modelId="{162BD8B9-FA5B-4B98-A1E1-B78A37BCC785}" type="parTrans" cxnId="{64BFEA38-0AAE-4F9B-B41F-91BC8429D406}">
      <dgm:prSet/>
      <dgm:spPr/>
      <dgm:t>
        <a:bodyPr/>
        <a:lstStyle/>
        <a:p>
          <a:endParaRPr lang="en-US"/>
        </a:p>
      </dgm:t>
    </dgm:pt>
    <dgm:pt modelId="{1B605EAC-56E7-4889-9B8C-6CC323BDA240}" type="sibTrans" cxnId="{64BFEA38-0AAE-4F9B-B41F-91BC8429D406}">
      <dgm:prSet/>
      <dgm:spPr/>
      <dgm:t>
        <a:bodyPr/>
        <a:lstStyle/>
        <a:p>
          <a:endParaRPr lang="en-US"/>
        </a:p>
      </dgm:t>
    </dgm:pt>
    <dgm:pt modelId="{A98C1069-0A8F-4F97-8713-AA722F45141B}">
      <dgm:prSet phldrT="[Text]"/>
      <dgm:spPr/>
      <dgm:t>
        <a:bodyPr/>
        <a:lstStyle/>
        <a:p>
          <a:pPr>
            <a:buNone/>
          </a:pPr>
          <a:r>
            <a:rPr lang="en-GB" b="1">
              <a:latin typeface="Times New Roman" panose="02020603050405020304" pitchFamily="18" charset="0"/>
              <a:cs typeface="Times New Roman" panose="02020603050405020304" pitchFamily="18" charset="0"/>
            </a:rPr>
            <a:t>Delegates:</a:t>
          </a:r>
          <a:r>
            <a:rPr lang="en-GB">
              <a:latin typeface="Times New Roman" panose="02020603050405020304" pitchFamily="18" charset="0"/>
              <a:cs typeface="Times New Roman" panose="02020603050405020304" pitchFamily="18" charset="0"/>
            </a:rPr>
            <a:t> </a:t>
          </a:r>
          <a:endParaRPr lang="en-US">
            <a:latin typeface="Times New Roman" panose="02020603050405020304" pitchFamily="18" charset="0"/>
            <a:cs typeface="Times New Roman" panose="02020603050405020304" pitchFamily="18" charset="0"/>
          </a:endParaRPr>
        </a:p>
      </dgm:t>
    </dgm:pt>
    <dgm:pt modelId="{09DDF756-96E6-4133-8CA0-5FE66DE56DD3}" type="parTrans" cxnId="{27314840-E19B-4967-84E5-1C8B80B14DB3}">
      <dgm:prSet/>
      <dgm:spPr/>
      <dgm:t>
        <a:bodyPr/>
        <a:lstStyle/>
        <a:p>
          <a:endParaRPr lang="en-US"/>
        </a:p>
      </dgm:t>
    </dgm:pt>
    <dgm:pt modelId="{1DFB2F21-8B53-435E-B10A-0398B4085E49}" type="sibTrans" cxnId="{27314840-E19B-4967-84E5-1C8B80B14DB3}">
      <dgm:prSet/>
      <dgm:spPr/>
      <dgm:t>
        <a:bodyPr/>
        <a:lstStyle/>
        <a:p>
          <a:endParaRPr lang="en-US"/>
        </a:p>
      </dgm:t>
    </dgm:pt>
    <dgm:pt modelId="{35129C8C-DF58-4306-A2F3-E5F313D2D192}">
      <dgm:prSet phldrT="[Text]"/>
      <dgm:spPr/>
      <dgm:t>
        <a:bodyPr/>
        <a:lstStyle/>
        <a:p>
          <a:pPr>
            <a:buNone/>
          </a:pPr>
          <a:r>
            <a:rPr lang="en-GB" b="1">
              <a:latin typeface="Times New Roman" panose="02020603050405020304" pitchFamily="18" charset="0"/>
              <a:cs typeface="Times New Roman" panose="02020603050405020304" pitchFamily="18" charset="0"/>
            </a:rPr>
            <a:t>Destination Authorities</a:t>
          </a:r>
          <a:endParaRPr lang="en-US">
            <a:latin typeface="Times New Roman" panose="02020603050405020304" pitchFamily="18" charset="0"/>
            <a:cs typeface="Times New Roman" panose="02020603050405020304" pitchFamily="18" charset="0"/>
          </a:endParaRPr>
        </a:p>
      </dgm:t>
    </dgm:pt>
    <dgm:pt modelId="{5EA6D9E8-C8F7-4C71-94D8-8CE3D1B3FF4A}" type="parTrans" cxnId="{1BC38EE6-9AD2-4146-963D-2187784B93CC}">
      <dgm:prSet/>
      <dgm:spPr/>
      <dgm:t>
        <a:bodyPr/>
        <a:lstStyle/>
        <a:p>
          <a:endParaRPr lang="en-US"/>
        </a:p>
      </dgm:t>
    </dgm:pt>
    <dgm:pt modelId="{A6169D98-F425-4BE0-8219-1395BFC4000D}" type="sibTrans" cxnId="{1BC38EE6-9AD2-4146-963D-2187784B93CC}">
      <dgm:prSet/>
      <dgm:spPr/>
      <dgm:t>
        <a:bodyPr/>
        <a:lstStyle/>
        <a:p>
          <a:endParaRPr lang="en-US"/>
        </a:p>
      </dgm:t>
    </dgm:pt>
    <dgm:pt modelId="{951A604F-38B6-4EED-8FF3-524D7B890CAF}">
      <dgm:prSet/>
      <dgm:spPr/>
      <dgm:t>
        <a:bodyPr/>
        <a:lstStyle/>
        <a:p>
          <a:pPr>
            <a:buNone/>
          </a:pPr>
          <a:r>
            <a:rPr lang="en-GB" b="1">
              <a:latin typeface="Times New Roman" panose="02020603050405020304" pitchFamily="18" charset="0"/>
              <a:cs typeface="Times New Roman" panose="02020603050405020304" pitchFamily="18" charset="0"/>
            </a:rPr>
            <a:t>Partner in the venue</a:t>
          </a:r>
          <a:endParaRPr lang="en-US">
            <a:latin typeface="Times New Roman" panose="02020603050405020304" pitchFamily="18" charset="0"/>
            <a:cs typeface="Times New Roman" panose="02020603050405020304" pitchFamily="18" charset="0"/>
          </a:endParaRPr>
        </a:p>
      </dgm:t>
    </dgm:pt>
    <dgm:pt modelId="{CB0FAD93-DB76-4679-A09F-B44F07611B30}" type="parTrans" cxnId="{FE05AC6E-A0D3-4511-A317-671C2E931198}">
      <dgm:prSet/>
      <dgm:spPr/>
      <dgm:t>
        <a:bodyPr/>
        <a:lstStyle/>
        <a:p>
          <a:endParaRPr lang="en-US"/>
        </a:p>
      </dgm:t>
    </dgm:pt>
    <dgm:pt modelId="{CC408A76-EAF2-4103-B8CE-838BE3E9A32F}" type="sibTrans" cxnId="{FE05AC6E-A0D3-4511-A317-671C2E931198}">
      <dgm:prSet/>
      <dgm:spPr/>
      <dgm:t>
        <a:bodyPr/>
        <a:lstStyle/>
        <a:p>
          <a:endParaRPr lang="en-US"/>
        </a:p>
      </dgm:t>
    </dgm:pt>
    <dgm:pt modelId="{0C1AEEBA-89C0-4945-820B-500B9BF850DF}" type="pres">
      <dgm:prSet presAssocID="{02E7A3BC-5F24-43B1-A811-EE687DE9926F}" presName="cycle" presStyleCnt="0">
        <dgm:presLayoutVars>
          <dgm:chMax val="1"/>
          <dgm:dir/>
          <dgm:animLvl val="ctr"/>
          <dgm:resizeHandles val="exact"/>
        </dgm:presLayoutVars>
      </dgm:prSet>
      <dgm:spPr/>
    </dgm:pt>
    <dgm:pt modelId="{34EEAACA-CF74-4C04-805A-243AF546C3EC}" type="pres">
      <dgm:prSet presAssocID="{AE42735C-8120-4EDF-A84C-41B16AAFB652}" presName="centerShape" presStyleLbl="node0" presStyleIdx="0" presStyleCnt="1"/>
      <dgm:spPr/>
    </dgm:pt>
    <dgm:pt modelId="{E5CC30D2-1ED2-4C35-A0C3-768F2703ABB2}" type="pres">
      <dgm:prSet presAssocID="{80812705-AE18-4D8A-A9F0-59D12B2E0113}" presName="Name9" presStyleLbl="parChTrans1D2" presStyleIdx="0" presStyleCnt="5"/>
      <dgm:spPr/>
    </dgm:pt>
    <dgm:pt modelId="{47E88901-6816-4FF6-BDAA-117B9BBE5CAD}" type="pres">
      <dgm:prSet presAssocID="{80812705-AE18-4D8A-A9F0-59D12B2E0113}" presName="connTx" presStyleLbl="parChTrans1D2" presStyleIdx="0" presStyleCnt="5"/>
      <dgm:spPr/>
    </dgm:pt>
    <dgm:pt modelId="{133A217D-6282-4D8C-86FF-9182BAF5D44E}" type="pres">
      <dgm:prSet presAssocID="{676CA1BE-CBB2-486A-B009-F5CDD1486E14}" presName="node" presStyleLbl="node1" presStyleIdx="0" presStyleCnt="5">
        <dgm:presLayoutVars>
          <dgm:bulletEnabled val="1"/>
        </dgm:presLayoutVars>
      </dgm:prSet>
      <dgm:spPr/>
    </dgm:pt>
    <dgm:pt modelId="{31F11E8F-7C02-414B-BF84-699CF107F6B0}" type="pres">
      <dgm:prSet presAssocID="{162BD8B9-FA5B-4B98-A1E1-B78A37BCC785}" presName="Name9" presStyleLbl="parChTrans1D2" presStyleIdx="1" presStyleCnt="5"/>
      <dgm:spPr/>
    </dgm:pt>
    <dgm:pt modelId="{CBFCA94D-1EA5-4877-805B-7E569F44E33D}" type="pres">
      <dgm:prSet presAssocID="{162BD8B9-FA5B-4B98-A1E1-B78A37BCC785}" presName="connTx" presStyleLbl="parChTrans1D2" presStyleIdx="1" presStyleCnt="5"/>
      <dgm:spPr/>
    </dgm:pt>
    <dgm:pt modelId="{FB5E8867-311B-4549-9070-314E7DDCFD4B}" type="pres">
      <dgm:prSet presAssocID="{80542FA2-3077-4A73-B0B1-43C68D52BF25}" presName="node" presStyleLbl="node1" presStyleIdx="1" presStyleCnt="5">
        <dgm:presLayoutVars>
          <dgm:bulletEnabled val="1"/>
        </dgm:presLayoutVars>
      </dgm:prSet>
      <dgm:spPr/>
    </dgm:pt>
    <dgm:pt modelId="{5A7B8D44-15B8-404A-A4EF-8EFB94D7FDCB}" type="pres">
      <dgm:prSet presAssocID="{09DDF756-96E6-4133-8CA0-5FE66DE56DD3}" presName="Name9" presStyleLbl="parChTrans1D2" presStyleIdx="2" presStyleCnt="5"/>
      <dgm:spPr/>
    </dgm:pt>
    <dgm:pt modelId="{685FC71C-6064-4C7C-858D-0CE1AE9F23D1}" type="pres">
      <dgm:prSet presAssocID="{09DDF756-96E6-4133-8CA0-5FE66DE56DD3}" presName="connTx" presStyleLbl="parChTrans1D2" presStyleIdx="2" presStyleCnt="5"/>
      <dgm:spPr/>
    </dgm:pt>
    <dgm:pt modelId="{1FAE62F2-E328-4E5C-80DB-465D241E7CD0}" type="pres">
      <dgm:prSet presAssocID="{A98C1069-0A8F-4F97-8713-AA722F45141B}" presName="node" presStyleLbl="node1" presStyleIdx="2" presStyleCnt="5">
        <dgm:presLayoutVars>
          <dgm:bulletEnabled val="1"/>
        </dgm:presLayoutVars>
      </dgm:prSet>
      <dgm:spPr/>
    </dgm:pt>
    <dgm:pt modelId="{937FA260-3F82-45AC-B6F3-0184BEFD31A0}" type="pres">
      <dgm:prSet presAssocID="{5EA6D9E8-C8F7-4C71-94D8-8CE3D1B3FF4A}" presName="Name9" presStyleLbl="parChTrans1D2" presStyleIdx="3" presStyleCnt="5"/>
      <dgm:spPr/>
    </dgm:pt>
    <dgm:pt modelId="{20594E99-BFD9-49CC-8DDF-FC149BE0D777}" type="pres">
      <dgm:prSet presAssocID="{5EA6D9E8-C8F7-4C71-94D8-8CE3D1B3FF4A}" presName="connTx" presStyleLbl="parChTrans1D2" presStyleIdx="3" presStyleCnt="5"/>
      <dgm:spPr/>
    </dgm:pt>
    <dgm:pt modelId="{29F135CE-F271-4D8B-9DE3-996D4DE5CDF5}" type="pres">
      <dgm:prSet presAssocID="{35129C8C-DF58-4306-A2F3-E5F313D2D192}" presName="node" presStyleLbl="node1" presStyleIdx="3" presStyleCnt="5">
        <dgm:presLayoutVars>
          <dgm:bulletEnabled val="1"/>
        </dgm:presLayoutVars>
      </dgm:prSet>
      <dgm:spPr/>
    </dgm:pt>
    <dgm:pt modelId="{82CAEC57-E2BA-48D0-AE00-FAD32DD6D7DA}" type="pres">
      <dgm:prSet presAssocID="{CB0FAD93-DB76-4679-A09F-B44F07611B30}" presName="Name9" presStyleLbl="parChTrans1D2" presStyleIdx="4" presStyleCnt="5"/>
      <dgm:spPr/>
    </dgm:pt>
    <dgm:pt modelId="{2CCF1E92-157D-486C-BE2C-9CF21E431E5E}" type="pres">
      <dgm:prSet presAssocID="{CB0FAD93-DB76-4679-A09F-B44F07611B30}" presName="connTx" presStyleLbl="parChTrans1D2" presStyleIdx="4" presStyleCnt="5"/>
      <dgm:spPr/>
    </dgm:pt>
    <dgm:pt modelId="{6A559155-426C-4D76-BDC7-EBD2491D9DD3}" type="pres">
      <dgm:prSet presAssocID="{951A604F-38B6-4EED-8FF3-524D7B890CAF}" presName="node" presStyleLbl="node1" presStyleIdx="4" presStyleCnt="5">
        <dgm:presLayoutVars>
          <dgm:bulletEnabled val="1"/>
        </dgm:presLayoutVars>
      </dgm:prSet>
      <dgm:spPr/>
    </dgm:pt>
  </dgm:ptLst>
  <dgm:cxnLst>
    <dgm:cxn modelId="{30FC5507-5CA8-4B7E-8362-35136C76EC3D}" type="presOf" srcId="{80542FA2-3077-4A73-B0B1-43C68D52BF25}" destId="{FB5E8867-311B-4549-9070-314E7DDCFD4B}" srcOrd="0" destOrd="0" presId="urn:microsoft.com/office/officeart/2005/8/layout/radial1"/>
    <dgm:cxn modelId="{28A28F18-1EFC-4F94-B1B8-61DCD4F5259B}" type="presOf" srcId="{35129C8C-DF58-4306-A2F3-E5F313D2D192}" destId="{29F135CE-F271-4D8B-9DE3-996D4DE5CDF5}" srcOrd="0" destOrd="0" presId="urn:microsoft.com/office/officeart/2005/8/layout/radial1"/>
    <dgm:cxn modelId="{66DC2221-D2FC-4294-99F5-F43BF05491B8}" type="presOf" srcId="{CB0FAD93-DB76-4679-A09F-B44F07611B30}" destId="{82CAEC57-E2BA-48D0-AE00-FAD32DD6D7DA}" srcOrd="0" destOrd="0" presId="urn:microsoft.com/office/officeart/2005/8/layout/radial1"/>
    <dgm:cxn modelId="{74239C2E-E0FF-451E-ABBC-B4E6CB2393B6}" type="presOf" srcId="{80812705-AE18-4D8A-A9F0-59D12B2E0113}" destId="{47E88901-6816-4FF6-BDAA-117B9BBE5CAD}" srcOrd="1" destOrd="0" presId="urn:microsoft.com/office/officeart/2005/8/layout/radial1"/>
    <dgm:cxn modelId="{64BFEA38-0AAE-4F9B-B41F-91BC8429D406}" srcId="{AE42735C-8120-4EDF-A84C-41B16AAFB652}" destId="{80542FA2-3077-4A73-B0B1-43C68D52BF25}" srcOrd="1" destOrd="0" parTransId="{162BD8B9-FA5B-4B98-A1E1-B78A37BCC785}" sibTransId="{1B605EAC-56E7-4889-9B8C-6CC323BDA240}"/>
    <dgm:cxn modelId="{27314840-E19B-4967-84E5-1C8B80B14DB3}" srcId="{AE42735C-8120-4EDF-A84C-41B16AAFB652}" destId="{A98C1069-0A8F-4F97-8713-AA722F45141B}" srcOrd="2" destOrd="0" parTransId="{09DDF756-96E6-4133-8CA0-5FE66DE56DD3}" sibTransId="{1DFB2F21-8B53-435E-B10A-0398B4085E49}"/>
    <dgm:cxn modelId="{BFE9A244-82F3-475F-A6D4-8FB7AFED99DB}" type="presOf" srcId="{5EA6D9E8-C8F7-4C71-94D8-8CE3D1B3FF4A}" destId="{937FA260-3F82-45AC-B6F3-0184BEFD31A0}" srcOrd="0" destOrd="0" presId="urn:microsoft.com/office/officeart/2005/8/layout/radial1"/>
    <dgm:cxn modelId="{8D501267-CDEE-4624-A618-7C7E063D4822}" type="presOf" srcId="{162BD8B9-FA5B-4B98-A1E1-B78A37BCC785}" destId="{CBFCA94D-1EA5-4877-805B-7E569F44E33D}" srcOrd="1" destOrd="0" presId="urn:microsoft.com/office/officeart/2005/8/layout/radial1"/>
    <dgm:cxn modelId="{3F248C48-3F8F-40FD-B65A-EEE7F817D957}" srcId="{02E7A3BC-5F24-43B1-A811-EE687DE9926F}" destId="{AE42735C-8120-4EDF-A84C-41B16AAFB652}" srcOrd="0" destOrd="0" parTransId="{229648EE-F602-49C1-82E5-EDA7CEACA887}" sibTransId="{1E0950DB-FC19-466C-8CF9-8DCD7A9557CB}"/>
    <dgm:cxn modelId="{33DA234E-A08A-437F-B51D-B36CF08C1ACF}" type="presOf" srcId="{676CA1BE-CBB2-486A-B009-F5CDD1486E14}" destId="{133A217D-6282-4D8C-86FF-9182BAF5D44E}" srcOrd="0" destOrd="0" presId="urn:microsoft.com/office/officeart/2005/8/layout/radial1"/>
    <dgm:cxn modelId="{FE05AC6E-A0D3-4511-A317-671C2E931198}" srcId="{AE42735C-8120-4EDF-A84C-41B16AAFB652}" destId="{951A604F-38B6-4EED-8FF3-524D7B890CAF}" srcOrd="4" destOrd="0" parTransId="{CB0FAD93-DB76-4679-A09F-B44F07611B30}" sibTransId="{CC408A76-EAF2-4103-B8CE-838BE3E9A32F}"/>
    <dgm:cxn modelId="{4F074771-D3E9-45B9-944E-871CB2BFC430}" type="presOf" srcId="{80812705-AE18-4D8A-A9F0-59D12B2E0113}" destId="{E5CC30D2-1ED2-4C35-A0C3-768F2703ABB2}" srcOrd="0" destOrd="0" presId="urn:microsoft.com/office/officeart/2005/8/layout/radial1"/>
    <dgm:cxn modelId="{2F540B59-4B05-478E-9796-AA276B37E7F3}" type="presOf" srcId="{09DDF756-96E6-4133-8CA0-5FE66DE56DD3}" destId="{5A7B8D44-15B8-404A-A4EF-8EFB94D7FDCB}" srcOrd="0" destOrd="0" presId="urn:microsoft.com/office/officeart/2005/8/layout/radial1"/>
    <dgm:cxn modelId="{AF1D607A-2BCF-4255-9EB1-2FBFEFF3D07E}" type="presOf" srcId="{951A604F-38B6-4EED-8FF3-524D7B890CAF}" destId="{6A559155-426C-4D76-BDC7-EBD2491D9DD3}" srcOrd="0" destOrd="0" presId="urn:microsoft.com/office/officeart/2005/8/layout/radial1"/>
    <dgm:cxn modelId="{BD797D7F-6667-411B-8B33-23C42CE66CA8}" srcId="{AE42735C-8120-4EDF-A84C-41B16AAFB652}" destId="{676CA1BE-CBB2-486A-B009-F5CDD1486E14}" srcOrd="0" destOrd="0" parTransId="{80812705-AE18-4D8A-A9F0-59D12B2E0113}" sibTransId="{E47A7928-1CCE-442E-8E96-2546E2554710}"/>
    <dgm:cxn modelId="{B5649F8A-FBBD-492F-A7F7-7E5920EC90F9}" type="presOf" srcId="{5EA6D9E8-C8F7-4C71-94D8-8CE3D1B3FF4A}" destId="{20594E99-BFD9-49CC-8DDF-FC149BE0D777}" srcOrd="1" destOrd="0" presId="urn:microsoft.com/office/officeart/2005/8/layout/radial1"/>
    <dgm:cxn modelId="{FB58428D-BA3A-4982-92B6-2EF49DFC6AE0}" type="presOf" srcId="{A98C1069-0A8F-4F97-8713-AA722F45141B}" destId="{1FAE62F2-E328-4E5C-80DB-465D241E7CD0}" srcOrd="0" destOrd="0" presId="urn:microsoft.com/office/officeart/2005/8/layout/radial1"/>
    <dgm:cxn modelId="{9A0DF0A5-2023-4DDE-83D3-1B4C0404BBF0}" type="presOf" srcId="{CB0FAD93-DB76-4679-A09F-B44F07611B30}" destId="{2CCF1E92-157D-486C-BE2C-9CF21E431E5E}" srcOrd="1" destOrd="0" presId="urn:microsoft.com/office/officeart/2005/8/layout/radial1"/>
    <dgm:cxn modelId="{EE4D6AC5-7C76-4B4D-B2DA-8D950D51BA36}" type="presOf" srcId="{162BD8B9-FA5B-4B98-A1E1-B78A37BCC785}" destId="{31F11E8F-7C02-414B-BF84-699CF107F6B0}" srcOrd="0" destOrd="0" presId="urn:microsoft.com/office/officeart/2005/8/layout/radial1"/>
    <dgm:cxn modelId="{CF5BE5C9-E6FB-46E8-8DBC-442F4FE2D3FA}" type="presOf" srcId="{09DDF756-96E6-4133-8CA0-5FE66DE56DD3}" destId="{685FC71C-6064-4C7C-858D-0CE1AE9F23D1}" srcOrd="1" destOrd="0" presId="urn:microsoft.com/office/officeart/2005/8/layout/radial1"/>
    <dgm:cxn modelId="{2E7313D9-008B-49FA-8B12-EE80C71C334E}" type="presOf" srcId="{AE42735C-8120-4EDF-A84C-41B16AAFB652}" destId="{34EEAACA-CF74-4C04-805A-243AF546C3EC}" srcOrd="0" destOrd="0" presId="urn:microsoft.com/office/officeart/2005/8/layout/radial1"/>
    <dgm:cxn modelId="{1BC38EE6-9AD2-4146-963D-2187784B93CC}" srcId="{AE42735C-8120-4EDF-A84C-41B16AAFB652}" destId="{35129C8C-DF58-4306-A2F3-E5F313D2D192}" srcOrd="3" destOrd="0" parTransId="{5EA6D9E8-C8F7-4C71-94D8-8CE3D1B3FF4A}" sibTransId="{A6169D98-F425-4BE0-8219-1395BFC4000D}"/>
    <dgm:cxn modelId="{013D7FFD-486E-4BEF-8418-997F11000361}" type="presOf" srcId="{02E7A3BC-5F24-43B1-A811-EE687DE9926F}" destId="{0C1AEEBA-89C0-4945-820B-500B9BF850DF}" srcOrd="0" destOrd="0" presId="urn:microsoft.com/office/officeart/2005/8/layout/radial1"/>
    <dgm:cxn modelId="{2D25EE29-54B1-4255-B6B1-9DBE548A4E57}" type="presParOf" srcId="{0C1AEEBA-89C0-4945-820B-500B9BF850DF}" destId="{34EEAACA-CF74-4C04-805A-243AF546C3EC}" srcOrd="0" destOrd="0" presId="urn:microsoft.com/office/officeart/2005/8/layout/radial1"/>
    <dgm:cxn modelId="{9AFEB972-CED3-438D-9452-1F30E77AF423}" type="presParOf" srcId="{0C1AEEBA-89C0-4945-820B-500B9BF850DF}" destId="{E5CC30D2-1ED2-4C35-A0C3-768F2703ABB2}" srcOrd="1" destOrd="0" presId="urn:microsoft.com/office/officeart/2005/8/layout/radial1"/>
    <dgm:cxn modelId="{C09D045A-113B-47BC-8B67-C2CBBDDD79D5}" type="presParOf" srcId="{E5CC30D2-1ED2-4C35-A0C3-768F2703ABB2}" destId="{47E88901-6816-4FF6-BDAA-117B9BBE5CAD}" srcOrd="0" destOrd="0" presId="urn:microsoft.com/office/officeart/2005/8/layout/radial1"/>
    <dgm:cxn modelId="{0AC4621F-3D81-43B2-B727-A84F0E0D00EA}" type="presParOf" srcId="{0C1AEEBA-89C0-4945-820B-500B9BF850DF}" destId="{133A217D-6282-4D8C-86FF-9182BAF5D44E}" srcOrd="2" destOrd="0" presId="urn:microsoft.com/office/officeart/2005/8/layout/radial1"/>
    <dgm:cxn modelId="{B262864B-3BB5-4FC5-ADCD-2ADD529E9EE6}" type="presParOf" srcId="{0C1AEEBA-89C0-4945-820B-500B9BF850DF}" destId="{31F11E8F-7C02-414B-BF84-699CF107F6B0}" srcOrd="3" destOrd="0" presId="urn:microsoft.com/office/officeart/2005/8/layout/radial1"/>
    <dgm:cxn modelId="{29D38BA7-1F55-411A-9E87-1AC7DD6DE248}" type="presParOf" srcId="{31F11E8F-7C02-414B-BF84-699CF107F6B0}" destId="{CBFCA94D-1EA5-4877-805B-7E569F44E33D}" srcOrd="0" destOrd="0" presId="urn:microsoft.com/office/officeart/2005/8/layout/radial1"/>
    <dgm:cxn modelId="{91A006CB-D89C-43E8-85DE-D0F7A83CE0DF}" type="presParOf" srcId="{0C1AEEBA-89C0-4945-820B-500B9BF850DF}" destId="{FB5E8867-311B-4549-9070-314E7DDCFD4B}" srcOrd="4" destOrd="0" presId="urn:microsoft.com/office/officeart/2005/8/layout/radial1"/>
    <dgm:cxn modelId="{EF780C25-E876-4CBB-9B36-6102DF968486}" type="presParOf" srcId="{0C1AEEBA-89C0-4945-820B-500B9BF850DF}" destId="{5A7B8D44-15B8-404A-A4EF-8EFB94D7FDCB}" srcOrd="5" destOrd="0" presId="urn:microsoft.com/office/officeart/2005/8/layout/radial1"/>
    <dgm:cxn modelId="{08B15ECF-608B-4212-BC3E-58636982B230}" type="presParOf" srcId="{5A7B8D44-15B8-404A-A4EF-8EFB94D7FDCB}" destId="{685FC71C-6064-4C7C-858D-0CE1AE9F23D1}" srcOrd="0" destOrd="0" presId="urn:microsoft.com/office/officeart/2005/8/layout/radial1"/>
    <dgm:cxn modelId="{AEBFC17E-0D71-4205-A256-88680FEE1022}" type="presParOf" srcId="{0C1AEEBA-89C0-4945-820B-500B9BF850DF}" destId="{1FAE62F2-E328-4E5C-80DB-465D241E7CD0}" srcOrd="6" destOrd="0" presId="urn:microsoft.com/office/officeart/2005/8/layout/radial1"/>
    <dgm:cxn modelId="{893492C2-4D64-4667-99CA-7FFF18C50030}" type="presParOf" srcId="{0C1AEEBA-89C0-4945-820B-500B9BF850DF}" destId="{937FA260-3F82-45AC-B6F3-0184BEFD31A0}" srcOrd="7" destOrd="0" presId="urn:microsoft.com/office/officeart/2005/8/layout/radial1"/>
    <dgm:cxn modelId="{6FA99A91-3D23-44AE-8C9C-B784BA58E34A}" type="presParOf" srcId="{937FA260-3F82-45AC-B6F3-0184BEFD31A0}" destId="{20594E99-BFD9-49CC-8DDF-FC149BE0D777}" srcOrd="0" destOrd="0" presId="urn:microsoft.com/office/officeart/2005/8/layout/radial1"/>
    <dgm:cxn modelId="{04207886-7707-437D-A284-CB19B46826B6}" type="presParOf" srcId="{0C1AEEBA-89C0-4945-820B-500B9BF850DF}" destId="{29F135CE-F271-4D8B-9DE3-996D4DE5CDF5}" srcOrd="8" destOrd="0" presId="urn:microsoft.com/office/officeart/2005/8/layout/radial1"/>
    <dgm:cxn modelId="{17FFD7D9-7BC0-47DE-8A5D-DDBF930A3295}" type="presParOf" srcId="{0C1AEEBA-89C0-4945-820B-500B9BF850DF}" destId="{82CAEC57-E2BA-48D0-AE00-FAD32DD6D7DA}" srcOrd="9" destOrd="0" presId="urn:microsoft.com/office/officeart/2005/8/layout/radial1"/>
    <dgm:cxn modelId="{1B761CDD-5D4D-4A4D-99FE-24CB7B077125}" type="presParOf" srcId="{82CAEC57-E2BA-48D0-AE00-FAD32DD6D7DA}" destId="{2CCF1E92-157D-486C-BE2C-9CF21E431E5E}" srcOrd="0" destOrd="0" presId="urn:microsoft.com/office/officeart/2005/8/layout/radial1"/>
    <dgm:cxn modelId="{17D339BE-20E3-4394-A048-246EC5F068A7}" type="presParOf" srcId="{0C1AEEBA-89C0-4945-820B-500B9BF850DF}" destId="{6A559155-426C-4D76-BDC7-EBD2491D9DD3}" srcOrd="10"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2E1839-88E8-44BC-852F-38C798E40802}" type="doc">
      <dgm:prSet loTypeId="urn:microsoft.com/office/officeart/2005/8/layout/radial5" loCatId="cycle" qsTypeId="urn:microsoft.com/office/officeart/2005/8/quickstyle/simple5" qsCatId="simple" csTypeId="urn:microsoft.com/office/officeart/2005/8/colors/accent2_4" csCatId="accent2" phldr="1"/>
      <dgm:spPr/>
      <dgm:t>
        <a:bodyPr/>
        <a:lstStyle/>
        <a:p>
          <a:endParaRPr lang="en-US"/>
        </a:p>
      </dgm:t>
    </dgm:pt>
    <dgm:pt modelId="{6111DD44-9A1D-423F-B4E4-3BFB75714F0B}">
      <dgm:prSet phldrT="[Text]"/>
      <dgm:spPr/>
      <dgm:t>
        <a:bodyPr/>
        <a:lstStyle/>
        <a:p>
          <a:pPr>
            <a:buNone/>
          </a:pPr>
          <a:r>
            <a:rPr lang="en-GB"/>
            <a:t>Trends and Innovation</a:t>
          </a:r>
          <a:endParaRPr lang="en-US"/>
        </a:p>
      </dgm:t>
    </dgm:pt>
    <dgm:pt modelId="{89054DBD-591D-4C45-B0A6-553CD7A8CAC0}" type="parTrans" cxnId="{E0F47F58-86BF-4C47-8E92-269E414B8761}">
      <dgm:prSet/>
      <dgm:spPr/>
      <dgm:t>
        <a:bodyPr/>
        <a:lstStyle/>
        <a:p>
          <a:endParaRPr lang="en-US"/>
        </a:p>
      </dgm:t>
    </dgm:pt>
    <dgm:pt modelId="{BF5B0D30-6017-4A8E-A4C6-1812FA161764}" type="sibTrans" cxnId="{E0F47F58-86BF-4C47-8E92-269E414B8761}">
      <dgm:prSet/>
      <dgm:spPr/>
      <dgm:t>
        <a:bodyPr/>
        <a:lstStyle/>
        <a:p>
          <a:endParaRPr lang="en-US"/>
        </a:p>
      </dgm:t>
    </dgm:pt>
    <dgm:pt modelId="{B0425EA1-1A3E-4964-8EC9-9D69680A43F5}">
      <dgm:prSet phldrT="[Text]"/>
      <dgm:spPr/>
      <dgm:t>
        <a:bodyPr/>
        <a:lstStyle/>
        <a:p>
          <a:pPr>
            <a:buNone/>
          </a:pPr>
          <a:r>
            <a:rPr lang="en-GB" b="1">
              <a:latin typeface="Times New Roman" panose="02020603050405020304" pitchFamily="18" charset="0"/>
              <a:cs typeface="Times New Roman" panose="02020603050405020304" pitchFamily="18" charset="0"/>
            </a:rPr>
            <a:t>1. Technology and Hybridisation</a:t>
          </a:r>
          <a:endParaRPr lang="en-US">
            <a:latin typeface="Times New Roman" panose="02020603050405020304" pitchFamily="18" charset="0"/>
            <a:cs typeface="Times New Roman" panose="02020603050405020304" pitchFamily="18" charset="0"/>
          </a:endParaRPr>
        </a:p>
      </dgm:t>
    </dgm:pt>
    <dgm:pt modelId="{646FDBB8-9A6F-4D84-8565-1454C2CB55A0}" type="parTrans" cxnId="{75535C86-7144-4105-871D-68F85F34A6EF}">
      <dgm:prSet/>
      <dgm:spPr/>
      <dgm:t>
        <a:bodyPr/>
        <a:lstStyle/>
        <a:p>
          <a:endParaRPr lang="en-US"/>
        </a:p>
      </dgm:t>
    </dgm:pt>
    <dgm:pt modelId="{9F463E49-C459-4416-B431-E00B5E54046A}" type="sibTrans" cxnId="{75535C86-7144-4105-871D-68F85F34A6EF}">
      <dgm:prSet/>
      <dgm:spPr/>
      <dgm:t>
        <a:bodyPr/>
        <a:lstStyle/>
        <a:p>
          <a:endParaRPr lang="en-US"/>
        </a:p>
      </dgm:t>
    </dgm:pt>
    <dgm:pt modelId="{91B7759C-98E5-431E-B7A9-8DBE244F56E9}">
      <dgm:prSet phldrT="[Text]"/>
      <dgm:spPr/>
      <dgm:t>
        <a:bodyPr/>
        <a:lstStyle/>
        <a:p>
          <a:pPr>
            <a:buNone/>
          </a:pPr>
          <a:r>
            <a:rPr lang="en-GB" b="1">
              <a:latin typeface="Times New Roman" panose="02020603050405020304" pitchFamily="18" charset="0"/>
              <a:cs typeface="Times New Roman" panose="02020603050405020304" pitchFamily="18" charset="0"/>
            </a:rPr>
            <a:t>2. Sustainability and ESG Focus</a:t>
          </a:r>
          <a:endParaRPr lang="en-US">
            <a:latin typeface="Times New Roman" panose="02020603050405020304" pitchFamily="18" charset="0"/>
            <a:cs typeface="Times New Roman" panose="02020603050405020304" pitchFamily="18" charset="0"/>
          </a:endParaRPr>
        </a:p>
      </dgm:t>
    </dgm:pt>
    <dgm:pt modelId="{DA31BBC5-CE7D-4C17-BBC0-9508F06981CD}" type="parTrans" cxnId="{92C4581B-F07C-46B6-BC2F-DDB1627E2E6A}">
      <dgm:prSet/>
      <dgm:spPr/>
      <dgm:t>
        <a:bodyPr/>
        <a:lstStyle/>
        <a:p>
          <a:endParaRPr lang="en-US"/>
        </a:p>
      </dgm:t>
    </dgm:pt>
    <dgm:pt modelId="{BEF4851F-422C-4720-A523-09D7B4F16555}" type="sibTrans" cxnId="{92C4581B-F07C-46B6-BC2F-DDB1627E2E6A}">
      <dgm:prSet/>
      <dgm:spPr/>
      <dgm:t>
        <a:bodyPr/>
        <a:lstStyle/>
        <a:p>
          <a:endParaRPr lang="en-US"/>
        </a:p>
      </dgm:t>
    </dgm:pt>
    <dgm:pt modelId="{B0053545-D6E1-4D55-9A41-FA26F7DB2039}">
      <dgm:prSet phldrT="[Text]"/>
      <dgm:spPr/>
      <dgm:t>
        <a:bodyPr/>
        <a:lstStyle/>
        <a:p>
          <a:pPr>
            <a:buNone/>
          </a:pPr>
          <a:r>
            <a:rPr lang="en-GB" b="1">
              <a:latin typeface="Times New Roman" panose="02020603050405020304" pitchFamily="18" charset="0"/>
              <a:cs typeface="Times New Roman" panose="02020603050405020304" pitchFamily="18" charset="0"/>
            </a:rPr>
            <a:t>3. Personalisation and Experiential Design</a:t>
          </a:r>
          <a:endParaRPr lang="en-US">
            <a:latin typeface="Times New Roman" panose="02020603050405020304" pitchFamily="18" charset="0"/>
            <a:cs typeface="Times New Roman" panose="02020603050405020304" pitchFamily="18" charset="0"/>
          </a:endParaRPr>
        </a:p>
      </dgm:t>
    </dgm:pt>
    <dgm:pt modelId="{679D6022-612F-4152-B80B-9D21495F957F}" type="parTrans" cxnId="{61E3AAF1-992E-4CB9-98F5-5A1878A3DA9B}">
      <dgm:prSet/>
      <dgm:spPr/>
      <dgm:t>
        <a:bodyPr/>
        <a:lstStyle/>
        <a:p>
          <a:endParaRPr lang="en-US"/>
        </a:p>
      </dgm:t>
    </dgm:pt>
    <dgm:pt modelId="{6AAA2B9F-8F89-407F-8832-663B4731462C}" type="sibTrans" cxnId="{61E3AAF1-992E-4CB9-98F5-5A1878A3DA9B}">
      <dgm:prSet/>
      <dgm:spPr/>
      <dgm:t>
        <a:bodyPr/>
        <a:lstStyle/>
        <a:p>
          <a:endParaRPr lang="en-US"/>
        </a:p>
      </dgm:t>
    </dgm:pt>
    <dgm:pt modelId="{4C824A12-1BB2-4705-90C5-7E74883981AB}">
      <dgm:prSet phldrT="[Text]"/>
      <dgm:spPr/>
      <dgm:t>
        <a:bodyPr/>
        <a:lstStyle/>
        <a:p>
          <a:pPr>
            <a:buNone/>
          </a:pPr>
          <a:r>
            <a:rPr lang="en-GB" b="1">
              <a:latin typeface="Times New Roman" panose="02020603050405020304" pitchFamily="18" charset="0"/>
              <a:cs typeface="Times New Roman" panose="02020603050405020304" pitchFamily="18" charset="0"/>
            </a:rPr>
            <a:t>4. Wellness and Work–Life Balance</a:t>
          </a:r>
          <a:endParaRPr lang="en-US">
            <a:latin typeface="Times New Roman" panose="02020603050405020304" pitchFamily="18" charset="0"/>
            <a:cs typeface="Times New Roman" panose="02020603050405020304" pitchFamily="18" charset="0"/>
          </a:endParaRPr>
        </a:p>
      </dgm:t>
    </dgm:pt>
    <dgm:pt modelId="{4111B81C-9BC3-4ACD-909B-F4051108FC04}" type="parTrans" cxnId="{3B402021-B894-4829-A9D9-E1AB115C10D2}">
      <dgm:prSet/>
      <dgm:spPr/>
      <dgm:t>
        <a:bodyPr/>
        <a:lstStyle/>
        <a:p>
          <a:endParaRPr lang="en-US"/>
        </a:p>
      </dgm:t>
    </dgm:pt>
    <dgm:pt modelId="{3C69E092-C600-4180-AC0A-F834EBC89A52}" type="sibTrans" cxnId="{3B402021-B894-4829-A9D9-E1AB115C10D2}">
      <dgm:prSet/>
      <dgm:spPr/>
      <dgm:t>
        <a:bodyPr/>
        <a:lstStyle/>
        <a:p>
          <a:endParaRPr lang="en-US"/>
        </a:p>
      </dgm:t>
    </dgm:pt>
    <dgm:pt modelId="{0671FBED-8BB7-4A62-B427-A803E84510DA}" type="pres">
      <dgm:prSet presAssocID="{122E1839-88E8-44BC-852F-38C798E40802}" presName="Name0" presStyleCnt="0">
        <dgm:presLayoutVars>
          <dgm:chMax val="1"/>
          <dgm:dir/>
          <dgm:animLvl val="ctr"/>
          <dgm:resizeHandles val="exact"/>
        </dgm:presLayoutVars>
      </dgm:prSet>
      <dgm:spPr/>
    </dgm:pt>
    <dgm:pt modelId="{DEE26977-2424-4567-9C73-79BA22B37C9F}" type="pres">
      <dgm:prSet presAssocID="{6111DD44-9A1D-423F-B4E4-3BFB75714F0B}" presName="centerShape" presStyleLbl="node0" presStyleIdx="0" presStyleCnt="1"/>
      <dgm:spPr/>
    </dgm:pt>
    <dgm:pt modelId="{776100A0-A98B-4C08-9405-94E7F84AA35A}" type="pres">
      <dgm:prSet presAssocID="{646FDBB8-9A6F-4D84-8565-1454C2CB55A0}" presName="parTrans" presStyleLbl="sibTrans2D1" presStyleIdx="0" presStyleCnt="4"/>
      <dgm:spPr/>
    </dgm:pt>
    <dgm:pt modelId="{D6D82EC7-9B36-4080-883F-556A3D08339D}" type="pres">
      <dgm:prSet presAssocID="{646FDBB8-9A6F-4D84-8565-1454C2CB55A0}" presName="connectorText" presStyleLbl="sibTrans2D1" presStyleIdx="0" presStyleCnt="4"/>
      <dgm:spPr/>
    </dgm:pt>
    <dgm:pt modelId="{4ABEC2ED-4744-4F63-AA46-7D28E9DAC968}" type="pres">
      <dgm:prSet presAssocID="{B0425EA1-1A3E-4964-8EC9-9D69680A43F5}" presName="node" presStyleLbl="node1" presStyleIdx="0" presStyleCnt="4">
        <dgm:presLayoutVars>
          <dgm:bulletEnabled val="1"/>
        </dgm:presLayoutVars>
      </dgm:prSet>
      <dgm:spPr/>
    </dgm:pt>
    <dgm:pt modelId="{158D938D-7C4C-42AC-B717-AD363C7DC419}" type="pres">
      <dgm:prSet presAssocID="{DA31BBC5-CE7D-4C17-BBC0-9508F06981CD}" presName="parTrans" presStyleLbl="sibTrans2D1" presStyleIdx="1" presStyleCnt="4"/>
      <dgm:spPr/>
    </dgm:pt>
    <dgm:pt modelId="{4493A880-9E16-4B2A-B40B-EC98178BFE52}" type="pres">
      <dgm:prSet presAssocID="{DA31BBC5-CE7D-4C17-BBC0-9508F06981CD}" presName="connectorText" presStyleLbl="sibTrans2D1" presStyleIdx="1" presStyleCnt="4"/>
      <dgm:spPr/>
    </dgm:pt>
    <dgm:pt modelId="{B84B2D02-1E26-4B85-84C7-D833B2A3EC5A}" type="pres">
      <dgm:prSet presAssocID="{91B7759C-98E5-431E-B7A9-8DBE244F56E9}" presName="node" presStyleLbl="node1" presStyleIdx="1" presStyleCnt="4">
        <dgm:presLayoutVars>
          <dgm:bulletEnabled val="1"/>
        </dgm:presLayoutVars>
      </dgm:prSet>
      <dgm:spPr/>
    </dgm:pt>
    <dgm:pt modelId="{A001116F-9830-44A6-8E8A-0C584B9A0D68}" type="pres">
      <dgm:prSet presAssocID="{679D6022-612F-4152-B80B-9D21495F957F}" presName="parTrans" presStyleLbl="sibTrans2D1" presStyleIdx="2" presStyleCnt="4"/>
      <dgm:spPr/>
    </dgm:pt>
    <dgm:pt modelId="{FA31B9FD-07D3-47BC-B988-403D61186809}" type="pres">
      <dgm:prSet presAssocID="{679D6022-612F-4152-B80B-9D21495F957F}" presName="connectorText" presStyleLbl="sibTrans2D1" presStyleIdx="2" presStyleCnt="4"/>
      <dgm:spPr/>
    </dgm:pt>
    <dgm:pt modelId="{A6F170BF-EECC-4F01-9D21-6D9A09180821}" type="pres">
      <dgm:prSet presAssocID="{B0053545-D6E1-4D55-9A41-FA26F7DB2039}" presName="node" presStyleLbl="node1" presStyleIdx="2" presStyleCnt="4">
        <dgm:presLayoutVars>
          <dgm:bulletEnabled val="1"/>
        </dgm:presLayoutVars>
      </dgm:prSet>
      <dgm:spPr/>
    </dgm:pt>
    <dgm:pt modelId="{A5C85B4E-A093-48B6-B373-D5D3592CBC12}" type="pres">
      <dgm:prSet presAssocID="{4111B81C-9BC3-4ACD-909B-F4051108FC04}" presName="parTrans" presStyleLbl="sibTrans2D1" presStyleIdx="3" presStyleCnt="4"/>
      <dgm:spPr/>
    </dgm:pt>
    <dgm:pt modelId="{E56A0FE7-B2F3-4B52-9B7F-8D5B97DE4FA7}" type="pres">
      <dgm:prSet presAssocID="{4111B81C-9BC3-4ACD-909B-F4051108FC04}" presName="connectorText" presStyleLbl="sibTrans2D1" presStyleIdx="3" presStyleCnt="4"/>
      <dgm:spPr/>
    </dgm:pt>
    <dgm:pt modelId="{D126E827-2E2F-4445-8FBF-D65EC4C35CA9}" type="pres">
      <dgm:prSet presAssocID="{4C824A12-1BB2-4705-90C5-7E74883981AB}" presName="node" presStyleLbl="node1" presStyleIdx="3" presStyleCnt="4">
        <dgm:presLayoutVars>
          <dgm:bulletEnabled val="1"/>
        </dgm:presLayoutVars>
      </dgm:prSet>
      <dgm:spPr/>
    </dgm:pt>
  </dgm:ptLst>
  <dgm:cxnLst>
    <dgm:cxn modelId="{09F1AB10-A0A1-43F5-90BA-143D6EC8DB7A}" type="presOf" srcId="{679D6022-612F-4152-B80B-9D21495F957F}" destId="{A001116F-9830-44A6-8E8A-0C584B9A0D68}" srcOrd="0" destOrd="0" presId="urn:microsoft.com/office/officeart/2005/8/layout/radial5"/>
    <dgm:cxn modelId="{92C4581B-F07C-46B6-BC2F-DDB1627E2E6A}" srcId="{6111DD44-9A1D-423F-B4E4-3BFB75714F0B}" destId="{91B7759C-98E5-431E-B7A9-8DBE244F56E9}" srcOrd="1" destOrd="0" parTransId="{DA31BBC5-CE7D-4C17-BBC0-9508F06981CD}" sibTransId="{BEF4851F-422C-4720-A523-09D7B4F16555}"/>
    <dgm:cxn modelId="{3B402021-B894-4829-A9D9-E1AB115C10D2}" srcId="{6111DD44-9A1D-423F-B4E4-3BFB75714F0B}" destId="{4C824A12-1BB2-4705-90C5-7E74883981AB}" srcOrd="3" destOrd="0" parTransId="{4111B81C-9BC3-4ACD-909B-F4051108FC04}" sibTransId="{3C69E092-C600-4180-AC0A-F834EBC89A52}"/>
    <dgm:cxn modelId="{85C4F923-67E2-4DAC-87F5-3230E278D6B5}" type="presOf" srcId="{646FDBB8-9A6F-4D84-8565-1454C2CB55A0}" destId="{D6D82EC7-9B36-4080-883F-556A3D08339D}" srcOrd="1" destOrd="0" presId="urn:microsoft.com/office/officeart/2005/8/layout/radial5"/>
    <dgm:cxn modelId="{67E0693E-2932-4D5D-97CE-2E65061BF954}" type="presOf" srcId="{122E1839-88E8-44BC-852F-38C798E40802}" destId="{0671FBED-8BB7-4A62-B427-A803E84510DA}" srcOrd="0" destOrd="0" presId="urn:microsoft.com/office/officeart/2005/8/layout/radial5"/>
    <dgm:cxn modelId="{3776AF43-A5C7-4004-9362-C074F746C637}" type="presOf" srcId="{B0425EA1-1A3E-4964-8EC9-9D69680A43F5}" destId="{4ABEC2ED-4744-4F63-AA46-7D28E9DAC968}" srcOrd="0" destOrd="0" presId="urn:microsoft.com/office/officeart/2005/8/layout/radial5"/>
    <dgm:cxn modelId="{E0F47F58-86BF-4C47-8E92-269E414B8761}" srcId="{122E1839-88E8-44BC-852F-38C798E40802}" destId="{6111DD44-9A1D-423F-B4E4-3BFB75714F0B}" srcOrd="0" destOrd="0" parTransId="{89054DBD-591D-4C45-B0A6-553CD7A8CAC0}" sibTransId="{BF5B0D30-6017-4A8E-A4C6-1812FA161764}"/>
    <dgm:cxn modelId="{C845F758-64EA-405C-81BC-78E0774EF7B1}" type="presOf" srcId="{91B7759C-98E5-431E-B7A9-8DBE244F56E9}" destId="{B84B2D02-1E26-4B85-84C7-D833B2A3EC5A}" srcOrd="0" destOrd="0" presId="urn:microsoft.com/office/officeart/2005/8/layout/radial5"/>
    <dgm:cxn modelId="{EECB827D-584A-492C-A364-401F332EA72C}" type="presOf" srcId="{6111DD44-9A1D-423F-B4E4-3BFB75714F0B}" destId="{DEE26977-2424-4567-9C73-79BA22B37C9F}" srcOrd="0" destOrd="0" presId="urn:microsoft.com/office/officeart/2005/8/layout/radial5"/>
    <dgm:cxn modelId="{75535C86-7144-4105-871D-68F85F34A6EF}" srcId="{6111DD44-9A1D-423F-B4E4-3BFB75714F0B}" destId="{B0425EA1-1A3E-4964-8EC9-9D69680A43F5}" srcOrd="0" destOrd="0" parTransId="{646FDBB8-9A6F-4D84-8565-1454C2CB55A0}" sibTransId="{9F463E49-C459-4416-B431-E00B5E54046A}"/>
    <dgm:cxn modelId="{0C06459B-3785-4A05-99B5-3971FCA894F9}" type="presOf" srcId="{679D6022-612F-4152-B80B-9D21495F957F}" destId="{FA31B9FD-07D3-47BC-B988-403D61186809}" srcOrd="1" destOrd="0" presId="urn:microsoft.com/office/officeart/2005/8/layout/radial5"/>
    <dgm:cxn modelId="{D1F20AA7-0BC6-4059-AFD9-547623381CFD}" type="presOf" srcId="{4C824A12-1BB2-4705-90C5-7E74883981AB}" destId="{D126E827-2E2F-4445-8FBF-D65EC4C35CA9}" srcOrd="0" destOrd="0" presId="urn:microsoft.com/office/officeart/2005/8/layout/radial5"/>
    <dgm:cxn modelId="{7A4C33A9-A3EC-4A68-BA7B-766F678E86E4}" type="presOf" srcId="{4111B81C-9BC3-4ACD-909B-F4051108FC04}" destId="{A5C85B4E-A093-48B6-B373-D5D3592CBC12}" srcOrd="0" destOrd="0" presId="urn:microsoft.com/office/officeart/2005/8/layout/radial5"/>
    <dgm:cxn modelId="{7FE559BA-4ED9-404B-8E4A-3A97A7B22841}" type="presOf" srcId="{DA31BBC5-CE7D-4C17-BBC0-9508F06981CD}" destId="{4493A880-9E16-4B2A-B40B-EC98178BFE52}" srcOrd="1" destOrd="0" presId="urn:microsoft.com/office/officeart/2005/8/layout/radial5"/>
    <dgm:cxn modelId="{37947EE2-7677-4883-8186-B5934416CD68}" type="presOf" srcId="{646FDBB8-9A6F-4D84-8565-1454C2CB55A0}" destId="{776100A0-A98B-4C08-9405-94E7F84AA35A}" srcOrd="0" destOrd="0" presId="urn:microsoft.com/office/officeart/2005/8/layout/radial5"/>
    <dgm:cxn modelId="{C4F534E8-FA95-4190-8883-5D07D0FF21E6}" type="presOf" srcId="{4111B81C-9BC3-4ACD-909B-F4051108FC04}" destId="{E56A0FE7-B2F3-4B52-9B7F-8D5B97DE4FA7}" srcOrd="1" destOrd="0" presId="urn:microsoft.com/office/officeart/2005/8/layout/radial5"/>
    <dgm:cxn modelId="{DC4A51E8-7E39-40F7-8AA6-DD98F555A1CF}" type="presOf" srcId="{DA31BBC5-CE7D-4C17-BBC0-9508F06981CD}" destId="{158D938D-7C4C-42AC-B717-AD363C7DC419}" srcOrd="0" destOrd="0" presId="urn:microsoft.com/office/officeart/2005/8/layout/radial5"/>
    <dgm:cxn modelId="{26B724F0-FCE6-415F-8AC3-1A4E94ACC2D8}" type="presOf" srcId="{B0053545-D6E1-4D55-9A41-FA26F7DB2039}" destId="{A6F170BF-EECC-4F01-9D21-6D9A09180821}" srcOrd="0" destOrd="0" presId="urn:microsoft.com/office/officeart/2005/8/layout/radial5"/>
    <dgm:cxn modelId="{61E3AAF1-992E-4CB9-98F5-5A1878A3DA9B}" srcId="{6111DD44-9A1D-423F-B4E4-3BFB75714F0B}" destId="{B0053545-D6E1-4D55-9A41-FA26F7DB2039}" srcOrd="2" destOrd="0" parTransId="{679D6022-612F-4152-B80B-9D21495F957F}" sibTransId="{6AAA2B9F-8F89-407F-8832-663B4731462C}"/>
    <dgm:cxn modelId="{BF2BDB69-5CFF-4C05-A437-CC70BE0774D7}" type="presParOf" srcId="{0671FBED-8BB7-4A62-B427-A803E84510DA}" destId="{DEE26977-2424-4567-9C73-79BA22B37C9F}" srcOrd="0" destOrd="0" presId="urn:microsoft.com/office/officeart/2005/8/layout/radial5"/>
    <dgm:cxn modelId="{97FFA1A4-4AF1-4356-9F93-6772DADC060E}" type="presParOf" srcId="{0671FBED-8BB7-4A62-B427-A803E84510DA}" destId="{776100A0-A98B-4C08-9405-94E7F84AA35A}" srcOrd="1" destOrd="0" presId="urn:microsoft.com/office/officeart/2005/8/layout/radial5"/>
    <dgm:cxn modelId="{45B37493-96B6-4B16-BE08-9024F2A05C30}" type="presParOf" srcId="{776100A0-A98B-4C08-9405-94E7F84AA35A}" destId="{D6D82EC7-9B36-4080-883F-556A3D08339D}" srcOrd="0" destOrd="0" presId="urn:microsoft.com/office/officeart/2005/8/layout/radial5"/>
    <dgm:cxn modelId="{DCF9359E-4409-46FD-971A-0669192423D7}" type="presParOf" srcId="{0671FBED-8BB7-4A62-B427-A803E84510DA}" destId="{4ABEC2ED-4744-4F63-AA46-7D28E9DAC968}" srcOrd="2" destOrd="0" presId="urn:microsoft.com/office/officeart/2005/8/layout/radial5"/>
    <dgm:cxn modelId="{6FDC3EBB-685A-4651-9249-FEFC36DF864C}" type="presParOf" srcId="{0671FBED-8BB7-4A62-B427-A803E84510DA}" destId="{158D938D-7C4C-42AC-B717-AD363C7DC419}" srcOrd="3" destOrd="0" presId="urn:microsoft.com/office/officeart/2005/8/layout/radial5"/>
    <dgm:cxn modelId="{887247B8-882C-4528-93B5-579855E11CDF}" type="presParOf" srcId="{158D938D-7C4C-42AC-B717-AD363C7DC419}" destId="{4493A880-9E16-4B2A-B40B-EC98178BFE52}" srcOrd="0" destOrd="0" presId="urn:microsoft.com/office/officeart/2005/8/layout/radial5"/>
    <dgm:cxn modelId="{1AA424C5-6FC5-4990-BA77-5ACA86ED5F38}" type="presParOf" srcId="{0671FBED-8BB7-4A62-B427-A803E84510DA}" destId="{B84B2D02-1E26-4B85-84C7-D833B2A3EC5A}" srcOrd="4" destOrd="0" presId="urn:microsoft.com/office/officeart/2005/8/layout/radial5"/>
    <dgm:cxn modelId="{BF09B27B-A693-4E9C-A612-7B718BD5290C}" type="presParOf" srcId="{0671FBED-8BB7-4A62-B427-A803E84510DA}" destId="{A001116F-9830-44A6-8E8A-0C584B9A0D68}" srcOrd="5" destOrd="0" presId="urn:microsoft.com/office/officeart/2005/8/layout/radial5"/>
    <dgm:cxn modelId="{B9A9A0B8-4ADD-4995-96EE-DF80BBCB77DB}" type="presParOf" srcId="{A001116F-9830-44A6-8E8A-0C584B9A0D68}" destId="{FA31B9FD-07D3-47BC-B988-403D61186809}" srcOrd="0" destOrd="0" presId="urn:microsoft.com/office/officeart/2005/8/layout/radial5"/>
    <dgm:cxn modelId="{5BAFB424-8F86-4964-AE72-D28286998EDA}" type="presParOf" srcId="{0671FBED-8BB7-4A62-B427-A803E84510DA}" destId="{A6F170BF-EECC-4F01-9D21-6D9A09180821}" srcOrd="6" destOrd="0" presId="urn:microsoft.com/office/officeart/2005/8/layout/radial5"/>
    <dgm:cxn modelId="{5C027332-4FA7-459C-9EC5-3AEB78BC09ED}" type="presParOf" srcId="{0671FBED-8BB7-4A62-B427-A803E84510DA}" destId="{A5C85B4E-A093-48B6-B373-D5D3592CBC12}" srcOrd="7" destOrd="0" presId="urn:microsoft.com/office/officeart/2005/8/layout/radial5"/>
    <dgm:cxn modelId="{E01C8A49-011B-4517-AD98-3ACD36E7D9E3}" type="presParOf" srcId="{A5C85B4E-A093-48B6-B373-D5D3592CBC12}" destId="{E56A0FE7-B2F3-4B52-9B7F-8D5B97DE4FA7}" srcOrd="0" destOrd="0" presId="urn:microsoft.com/office/officeart/2005/8/layout/radial5"/>
    <dgm:cxn modelId="{7EB923A9-EFC2-49D3-9840-35AB6406532A}" type="presParOf" srcId="{0671FBED-8BB7-4A62-B427-A803E84510DA}" destId="{D126E827-2E2F-4445-8FBF-D65EC4C35CA9}" srcOrd="8" destOrd="0" presId="urn:microsoft.com/office/officeart/2005/8/layout/radial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B9D018E-0888-43ED-93B8-D501EE1EE560}" type="doc">
      <dgm:prSet loTypeId="urn:microsoft.com/office/officeart/2005/8/layout/radial3" loCatId="cycle" qsTypeId="urn:microsoft.com/office/officeart/2005/8/quickstyle/simple5" qsCatId="simple" csTypeId="urn:microsoft.com/office/officeart/2005/8/colors/colorful5" csCatId="colorful" phldr="1"/>
      <dgm:spPr/>
      <dgm:t>
        <a:bodyPr/>
        <a:lstStyle/>
        <a:p>
          <a:endParaRPr lang="en-US"/>
        </a:p>
      </dgm:t>
    </dgm:pt>
    <dgm:pt modelId="{7EE0A7A9-4818-40E4-834A-6F21015A2C4B}">
      <dgm:prSet phldrT="[Text]"/>
      <dgm:spPr/>
      <dgm:t>
        <a:bodyPr/>
        <a:lstStyle/>
        <a:p>
          <a:pPr>
            <a:buNone/>
          </a:pPr>
          <a:r>
            <a:rPr lang="en-GB">
              <a:latin typeface="Times New Roman" panose="02020603050405020304" pitchFamily="18" charset="0"/>
              <a:cs typeface="Times New Roman" panose="02020603050405020304" pitchFamily="18" charset="0"/>
            </a:rPr>
            <a:t>Operational Challenges, Risks, and Legal Considerations</a:t>
          </a:r>
          <a:endParaRPr lang="en-US">
            <a:latin typeface="Times New Roman" panose="02020603050405020304" pitchFamily="18" charset="0"/>
            <a:cs typeface="Times New Roman" panose="02020603050405020304" pitchFamily="18" charset="0"/>
          </a:endParaRPr>
        </a:p>
      </dgm:t>
    </dgm:pt>
    <dgm:pt modelId="{09F73835-B05A-4E84-944B-37E989DF51D9}" type="parTrans" cxnId="{0AB3FD79-9073-4A78-BC76-7F3A69F68E9D}">
      <dgm:prSet/>
      <dgm:spPr/>
      <dgm:t>
        <a:bodyPr/>
        <a:lstStyle/>
        <a:p>
          <a:endParaRPr lang="en-US"/>
        </a:p>
      </dgm:t>
    </dgm:pt>
    <dgm:pt modelId="{88CA6B75-B6E2-490A-9EC3-019CE1D429EF}" type="sibTrans" cxnId="{0AB3FD79-9073-4A78-BC76-7F3A69F68E9D}">
      <dgm:prSet/>
      <dgm:spPr/>
      <dgm:t>
        <a:bodyPr/>
        <a:lstStyle/>
        <a:p>
          <a:endParaRPr lang="en-US"/>
        </a:p>
      </dgm:t>
    </dgm:pt>
    <dgm:pt modelId="{9EBB8E0D-25BB-4B0E-AE6E-7DFCAA0AA1AE}">
      <dgm:prSet phldrT="[Text]"/>
      <dgm:spPr/>
      <dgm:t>
        <a:bodyPr/>
        <a:lstStyle/>
        <a:p>
          <a:pPr>
            <a:buNone/>
          </a:pPr>
          <a:r>
            <a:rPr lang="en-GB" b="1">
              <a:latin typeface="Times New Roman" panose="02020603050405020304" pitchFamily="18" charset="0"/>
              <a:cs typeface="Times New Roman" panose="02020603050405020304" pitchFamily="18" charset="0"/>
            </a:rPr>
            <a:t>Logistics and Staffing:</a:t>
          </a:r>
          <a:endParaRPr lang="en-US">
            <a:latin typeface="Times New Roman" panose="02020603050405020304" pitchFamily="18" charset="0"/>
            <a:cs typeface="Times New Roman" panose="02020603050405020304" pitchFamily="18" charset="0"/>
          </a:endParaRPr>
        </a:p>
      </dgm:t>
    </dgm:pt>
    <dgm:pt modelId="{9951BD1D-607A-4C8A-B569-4A3B32E04B9E}" type="parTrans" cxnId="{511D1665-4C1B-447D-BE8A-11CECEA51A7D}">
      <dgm:prSet/>
      <dgm:spPr/>
      <dgm:t>
        <a:bodyPr/>
        <a:lstStyle/>
        <a:p>
          <a:endParaRPr lang="en-US"/>
        </a:p>
      </dgm:t>
    </dgm:pt>
    <dgm:pt modelId="{5D4F8C70-1E37-4897-B576-891800168D1D}" type="sibTrans" cxnId="{511D1665-4C1B-447D-BE8A-11CECEA51A7D}">
      <dgm:prSet/>
      <dgm:spPr/>
      <dgm:t>
        <a:bodyPr/>
        <a:lstStyle/>
        <a:p>
          <a:endParaRPr lang="en-US"/>
        </a:p>
      </dgm:t>
    </dgm:pt>
    <dgm:pt modelId="{95C4CA2C-D8D6-4A96-8949-04FC19FCE322}">
      <dgm:prSet phldrT="[Text]"/>
      <dgm:spPr/>
      <dgm:t>
        <a:bodyPr/>
        <a:lstStyle/>
        <a:p>
          <a:pPr>
            <a:buNone/>
          </a:pPr>
          <a:r>
            <a:rPr lang="en-GB" b="1">
              <a:latin typeface="Times New Roman" panose="02020603050405020304" pitchFamily="18" charset="0"/>
              <a:cs typeface="Times New Roman" panose="02020603050405020304" pitchFamily="18" charset="0"/>
            </a:rPr>
            <a:t>Health, Safety, and Security:</a:t>
          </a:r>
          <a:endParaRPr lang="en-US">
            <a:latin typeface="Times New Roman" panose="02020603050405020304" pitchFamily="18" charset="0"/>
            <a:cs typeface="Times New Roman" panose="02020603050405020304" pitchFamily="18" charset="0"/>
          </a:endParaRPr>
        </a:p>
      </dgm:t>
    </dgm:pt>
    <dgm:pt modelId="{4F661856-9526-47BB-AFA1-F982E7526923}" type="parTrans" cxnId="{85844A33-7F3F-41E7-971D-A04532C0D508}">
      <dgm:prSet/>
      <dgm:spPr/>
      <dgm:t>
        <a:bodyPr/>
        <a:lstStyle/>
        <a:p>
          <a:endParaRPr lang="en-US"/>
        </a:p>
      </dgm:t>
    </dgm:pt>
    <dgm:pt modelId="{5EA5DC04-981F-409C-8E93-D3A8B8091AE7}" type="sibTrans" cxnId="{85844A33-7F3F-41E7-971D-A04532C0D508}">
      <dgm:prSet/>
      <dgm:spPr/>
      <dgm:t>
        <a:bodyPr/>
        <a:lstStyle/>
        <a:p>
          <a:endParaRPr lang="en-US"/>
        </a:p>
      </dgm:t>
    </dgm:pt>
    <dgm:pt modelId="{D1531B07-4D65-4FB4-AE2E-6BCF3153A66A}">
      <dgm:prSet phldrT="[Text]"/>
      <dgm:spPr/>
      <dgm:t>
        <a:bodyPr/>
        <a:lstStyle/>
        <a:p>
          <a:pPr>
            <a:buNone/>
          </a:pPr>
          <a:r>
            <a:rPr lang="en-GB" b="1">
              <a:latin typeface="Times New Roman" panose="02020603050405020304" pitchFamily="18" charset="0"/>
              <a:cs typeface="Times New Roman" panose="02020603050405020304" pitchFamily="18" charset="0"/>
            </a:rPr>
            <a:t>Legal and Financial Risk:</a:t>
          </a:r>
          <a:endParaRPr lang="en-US">
            <a:latin typeface="Times New Roman" panose="02020603050405020304" pitchFamily="18" charset="0"/>
            <a:cs typeface="Times New Roman" panose="02020603050405020304" pitchFamily="18" charset="0"/>
          </a:endParaRPr>
        </a:p>
      </dgm:t>
    </dgm:pt>
    <dgm:pt modelId="{5F27E66E-1BC4-4047-AD56-A6C71311DC91}" type="parTrans" cxnId="{CD675D98-B1F6-4057-98E3-80F508A13769}">
      <dgm:prSet/>
      <dgm:spPr/>
      <dgm:t>
        <a:bodyPr/>
        <a:lstStyle/>
        <a:p>
          <a:endParaRPr lang="en-US"/>
        </a:p>
      </dgm:t>
    </dgm:pt>
    <dgm:pt modelId="{476385C0-7FB4-4AE6-9889-E6ECFC2361A9}" type="sibTrans" cxnId="{CD675D98-B1F6-4057-98E3-80F508A13769}">
      <dgm:prSet/>
      <dgm:spPr/>
      <dgm:t>
        <a:bodyPr/>
        <a:lstStyle/>
        <a:p>
          <a:endParaRPr lang="en-US"/>
        </a:p>
      </dgm:t>
    </dgm:pt>
    <dgm:pt modelId="{D1EF0430-8752-4CAE-B7A3-5FB63F28CA3C}">
      <dgm:prSet phldrT="[Text]"/>
      <dgm:spPr/>
      <dgm:t>
        <a:bodyPr/>
        <a:lstStyle/>
        <a:p>
          <a:pPr>
            <a:buNone/>
          </a:pPr>
          <a:r>
            <a:rPr lang="en-GB" b="1">
              <a:latin typeface="Times New Roman" panose="02020603050405020304" pitchFamily="18" charset="0"/>
              <a:cs typeface="Times New Roman" panose="02020603050405020304" pitchFamily="18" charset="0"/>
            </a:rPr>
            <a:t>Reputational and Environmental Risks:</a:t>
          </a:r>
          <a:endParaRPr lang="en-US">
            <a:latin typeface="Times New Roman" panose="02020603050405020304" pitchFamily="18" charset="0"/>
            <a:cs typeface="Times New Roman" panose="02020603050405020304" pitchFamily="18" charset="0"/>
          </a:endParaRPr>
        </a:p>
      </dgm:t>
    </dgm:pt>
    <dgm:pt modelId="{DD6FD774-EF7B-4B68-AB73-45F3D2B1B108}" type="parTrans" cxnId="{85502324-9E7B-4932-A118-6F2997F03CF0}">
      <dgm:prSet/>
      <dgm:spPr/>
      <dgm:t>
        <a:bodyPr/>
        <a:lstStyle/>
        <a:p>
          <a:endParaRPr lang="en-US"/>
        </a:p>
      </dgm:t>
    </dgm:pt>
    <dgm:pt modelId="{3B34467B-311D-4A38-9E6D-4C966B9CFBB3}" type="sibTrans" cxnId="{85502324-9E7B-4932-A118-6F2997F03CF0}">
      <dgm:prSet/>
      <dgm:spPr/>
      <dgm:t>
        <a:bodyPr/>
        <a:lstStyle/>
        <a:p>
          <a:endParaRPr lang="en-US"/>
        </a:p>
      </dgm:t>
    </dgm:pt>
    <dgm:pt modelId="{0967C93A-813C-4EB9-A89F-489ABA7EA1C7}">
      <dgm:prSet/>
      <dgm:spPr/>
      <dgm:t>
        <a:bodyPr/>
        <a:lstStyle/>
        <a:p>
          <a:pPr>
            <a:buNone/>
          </a:pPr>
          <a:r>
            <a:rPr lang="en-GB" b="1"/>
            <a:t>Tech Risks: </a:t>
          </a:r>
          <a:endParaRPr lang="en-US"/>
        </a:p>
      </dgm:t>
    </dgm:pt>
    <dgm:pt modelId="{BDC67513-6C0D-45F2-84C7-498FAE0E9103}" type="parTrans" cxnId="{CA972378-6029-4915-B131-DD369A7BECD9}">
      <dgm:prSet/>
      <dgm:spPr/>
      <dgm:t>
        <a:bodyPr/>
        <a:lstStyle/>
        <a:p>
          <a:endParaRPr lang="en-US"/>
        </a:p>
      </dgm:t>
    </dgm:pt>
    <dgm:pt modelId="{352AF129-CD7C-4D2E-B5A6-2CF9DEC00D59}" type="sibTrans" cxnId="{CA972378-6029-4915-B131-DD369A7BECD9}">
      <dgm:prSet/>
      <dgm:spPr/>
      <dgm:t>
        <a:bodyPr/>
        <a:lstStyle/>
        <a:p>
          <a:endParaRPr lang="en-US"/>
        </a:p>
      </dgm:t>
    </dgm:pt>
    <dgm:pt modelId="{61B5E506-4B95-40D3-9E01-9DADE228C463}" type="pres">
      <dgm:prSet presAssocID="{5B9D018E-0888-43ED-93B8-D501EE1EE560}" presName="composite" presStyleCnt="0">
        <dgm:presLayoutVars>
          <dgm:chMax val="1"/>
          <dgm:dir/>
          <dgm:resizeHandles val="exact"/>
        </dgm:presLayoutVars>
      </dgm:prSet>
      <dgm:spPr/>
    </dgm:pt>
    <dgm:pt modelId="{63CD6A65-BD4C-493F-9EE5-D9B6D80BCD4F}" type="pres">
      <dgm:prSet presAssocID="{5B9D018E-0888-43ED-93B8-D501EE1EE560}" presName="radial" presStyleCnt="0">
        <dgm:presLayoutVars>
          <dgm:animLvl val="ctr"/>
        </dgm:presLayoutVars>
      </dgm:prSet>
      <dgm:spPr/>
    </dgm:pt>
    <dgm:pt modelId="{FFE943C6-5E39-419A-B7AE-7C2768205DC2}" type="pres">
      <dgm:prSet presAssocID="{7EE0A7A9-4818-40E4-834A-6F21015A2C4B}" presName="centerShape" presStyleLbl="vennNode1" presStyleIdx="0" presStyleCnt="6"/>
      <dgm:spPr/>
    </dgm:pt>
    <dgm:pt modelId="{6A1259B6-2CC4-4D60-8A9D-0725A4219BBD}" type="pres">
      <dgm:prSet presAssocID="{9EBB8E0D-25BB-4B0E-AE6E-7DFCAA0AA1AE}" presName="node" presStyleLbl="vennNode1" presStyleIdx="1" presStyleCnt="6">
        <dgm:presLayoutVars>
          <dgm:bulletEnabled val="1"/>
        </dgm:presLayoutVars>
      </dgm:prSet>
      <dgm:spPr/>
    </dgm:pt>
    <dgm:pt modelId="{DEAE614F-133A-4E9B-8DC5-DDB18E8D597F}" type="pres">
      <dgm:prSet presAssocID="{95C4CA2C-D8D6-4A96-8949-04FC19FCE322}" presName="node" presStyleLbl="vennNode1" presStyleIdx="2" presStyleCnt="6">
        <dgm:presLayoutVars>
          <dgm:bulletEnabled val="1"/>
        </dgm:presLayoutVars>
      </dgm:prSet>
      <dgm:spPr/>
    </dgm:pt>
    <dgm:pt modelId="{37AA7B80-B84B-4846-A40D-FAF0E6143638}" type="pres">
      <dgm:prSet presAssocID="{D1531B07-4D65-4FB4-AE2E-6BCF3153A66A}" presName="node" presStyleLbl="vennNode1" presStyleIdx="3" presStyleCnt="6">
        <dgm:presLayoutVars>
          <dgm:bulletEnabled val="1"/>
        </dgm:presLayoutVars>
      </dgm:prSet>
      <dgm:spPr/>
    </dgm:pt>
    <dgm:pt modelId="{66B20488-AF8E-4288-8825-23088D29DA8A}" type="pres">
      <dgm:prSet presAssocID="{D1EF0430-8752-4CAE-B7A3-5FB63F28CA3C}" presName="node" presStyleLbl="vennNode1" presStyleIdx="4" presStyleCnt="6">
        <dgm:presLayoutVars>
          <dgm:bulletEnabled val="1"/>
        </dgm:presLayoutVars>
      </dgm:prSet>
      <dgm:spPr/>
    </dgm:pt>
    <dgm:pt modelId="{3224657A-30B5-48DC-9200-13075321E7A1}" type="pres">
      <dgm:prSet presAssocID="{0967C93A-813C-4EB9-A89F-489ABA7EA1C7}" presName="node" presStyleLbl="vennNode1" presStyleIdx="5" presStyleCnt="6">
        <dgm:presLayoutVars>
          <dgm:bulletEnabled val="1"/>
        </dgm:presLayoutVars>
      </dgm:prSet>
      <dgm:spPr/>
    </dgm:pt>
  </dgm:ptLst>
  <dgm:cxnLst>
    <dgm:cxn modelId="{DC82FB1D-F12B-4C0B-BF4C-401010F2A5C9}" type="presOf" srcId="{5B9D018E-0888-43ED-93B8-D501EE1EE560}" destId="{61B5E506-4B95-40D3-9E01-9DADE228C463}" srcOrd="0" destOrd="0" presId="urn:microsoft.com/office/officeart/2005/8/layout/radial3"/>
    <dgm:cxn modelId="{85502324-9E7B-4932-A118-6F2997F03CF0}" srcId="{7EE0A7A9-4818-40E4-834A-6F21015A2C4B}" destId="{D1EF0430-8752-4CAE-B7A3-5FB63F28CA3C}" srcOrd="3" destOrd="0" parTransId="{DD6FD774-EF7B-4B68-AB73-45F3D2B1B108}" sibTransId="{3B34467B-311D-4A38-9E6D-4C966B9CFBB3}"/>
    <dgm:cxn modelId="{6AC1E832-921F-4FB7-B05B-290F54785672}" type="presOf" srcId="{0967C93A-813C-4EB9-A89F-489ABA7EA1C7}" destId="{3224657A-30B5-48DC-9200-13075321E7A1}" srcOrd="0" destOrd="0" presId="urn:microsoft.com/office/officeart/2005/8/layout/radial3"/>
    <dgm:cxn modelId="{85844A33-7F3F-41E7-971D-A04532C0D508}" srcId="{7EE0A7A9-4818-40E4-834A-6F21015A2C4B}" destId="{95C4CA2C-D8D6-4A96-8949-04FC19FCE322}" srcOrd="1" destOrd="0" parTransId="{4F661856-9526-47BB-AFA1-F982E7526923}" sibTransId="{5EA5DC04-981F-409C-8E93-D3A8B8091AE7}"/>
    <dgm:cxn modelId="{93AC625B-B3AB-4EB3-9206-A8B75B995678}" type="presOf" srcId="{9EBB8E0D-25BB-4B0E-AE6E-7DFCAA0AA1AE}" destId="{6A1259B6-2CC4-4D60-8A9D-0725A4219BBD}" srcOrd="0" destOrd="0" presId="urn:microsoft.com/office/officeart/2005/8/layout/radial3"/>
    <dgm:cxn modelId="{511D1665-4C1B-447D-BE8A-11CECEA51A7D}" srcId="{7EE0A7A9-4818-40E4-834A-6F21015A2C4B}" destId="{9EBB8E0D-25BB-4B0E-AE6E-7DFCAA0AA1AE}" srcOrd="0" destOrd="0" parTransId="{9951BD1D-607A-4C8A-B569-4A3B32E04B9E}" sibTransId="{5D4F8C70-1E37-4897-B576-891800168D1D}"/>
    <dgm:cxn modelId="{25D00A6F-7CB8-4F55-88ED-ACD1A66339DE}" type="presOf" srcId="{D1531B07-4D65-4FB4-AE2E-6BCF3153A66A}" destId="{37AA7B80-B84B-4846-A40D-FAF0E6143638}" srcOrd="0" destOrd="0" presId="urn:microsoft.com/office/officeart/2005/8/layout/radial3"/>
    <dgm:cxn modelId="{CA972378-6029-4915-B131-DD369A7BECD9}" srcId="{7EE0A7A9-4818-40E4-834A-6F21015A2C4B}" destId="{0967C93A-813C-4EB9-A89F-489ABA7EA1C7}" srcOrd="4" destOrd="0" parTransId="{BDC67513-6C0D-45F2-84C7-498FAE0E9103}" sibTransId="{352AF129-CD7C-4D2E-B5A6-2CF9DEC00D59}"/>
    <dgm:cxn modelId="{0AB3FD79-9073-4A78-BC76-7F3A69F68E9D}" srcId="{5B9D018E-0888-43ED-93B8-D501EE1EE560}" destId="{7EE0A7A9-4818-40E4-834A-6F21015A2C4B}" srcOrd="0" destOrd="0" parTransId="{09F73835-B05A-4E84-944B-37E989DF51D9}" sibTransId="{88CA6B75-B6E2-490A-9EC3-019CE1D429EF}"/>
    <dgm:cxn modelId="{CD675D98-B1F6-4057-98E3-80F508A13769}" srcId="{7EE0A7A9-4818-40E4-834A-6F21015A2C4B}" destId="{D1531B07-4D65-4FB4-AE2E-6BCF3153A66A}" srcOrd="2" destOrd="0" parTransId="{5F27E66E-1BC4-4047-AD56-A6C71311DC91}" sibTransId="{476385C0-7FB4-4AE6-9889-E6ECFC2361A9}"/>
    <dgm:cxn modelId="{63A5B8C3-E0DB-4B2C-90E1-882D0FBD1513}" type="presOf" srcId="{95C4CA2C-D8D6-4A96-8949-04FC19FCE322}" destId="{DEAE614F-133A-4E9B-8DC5-DDB18E8D597F}" srcOrd="0" destOrd="0" presId="urn:microsoft.com/office/officeart/2005/8/layout/radial3"/>
    <dgm:cxn modelId="{11DE48E2-6E92-4690-BB96-FD6FD51329C1}" type="presOf" srcId="{D1EF0430-8752-4CAE-B7A3-5FB63F28CA3C}" destId="{66B20488-AF8E-4288-8825-23088D29DA8A}" srcOrd="0" destOrd="0" presId="urn:microsoft.com/office/officeart/2005/8/layout/radial3"/>
    <dgm:cxn modelId="{66646EE2-75A3-44B4-93EE-982D4284DDB8}" type="presOf" srcId="{7EE0A7A9-4818-40E4-834A-6F21015A2C4B}" destId="{FFE943C6-5E39-419A-B7AE-7C2768205DC2}" srcOrd="0" destOrd="0" presId="urn:microsoft.com/office/officeart/2005/8/layout/radial3"/>
    <dgm:cxn modelId="{821B4413-2A3C-4873-9EA4-B588B9E04ABF}" type="presParOf" srcId="{61B5E506-4B95-40D3-9E01-9DADE228C463}" destId="{63CD6A65-BD4C-493F-9EE5-D9B6D80BCD4F}" srcOrd="0" destOrd="0" presId="urn:microsoft.com/office/officeart/2005/8/layout/radial3"/>
    <dgm:cxn modelId="{D8067BE3-2848-4F96-BAF8-EF5E30F0E84E}" type="presParOf" srcId="{63CD6A65-BD4C-493F-9EE5-D9B6D80BCD4F}" destId="{FFE943C6-5E39-419A-B7AE-7C2768205DC2}" srcOrd="0" destOrd="0" presId="urn:microsoft.com/office/officeart/2005/8/layout/radial3"/>
    <dgm:cxn modelId="{451C2C14-991D-4407-BED2-C44285349F63}" type="presParOf" srcId="{63CD6A65-BD4C-493F-9EE5-D9B6D80BCD4F}" destId="{6A1259B6-2CC4-4D60-8A9D-0725A4219BBD}" srcOrd="1" destOrd="0" presId="urn:microsoft.com/office/officeart/2005/8/layout/radial3"/>
    <dgm:cxn modelId="{9E03FFD1-9B69-4EFD-B856-F3414CCD8A54}" type="presParOf" srcId="{63CD6A65-BD4C-493F-9EE5-D9B6D80BCD4F}" destId="{DEAE614F-133A-4E9B-8DC5-DDB18E8D597F}" srcOrd="2" destOrd="0" presId="urn:microsoft.com/office/officeart/2005/8/layout/radial3"/>
    <dgm:cxn modelId="{A43A942E-9BA2-4AAA-B617-0E14D7054075}" type="presParOf" srcId="{63CD6A65-BD4C-493F-9EE5-D9B6D80BCD4F}" destId="{37AA7B80-B84B-4846-A40D-FAF0E6143638}" srcOrd="3" destOrd="0" presId="urn:microsoft.com/office/officeart/2005/8/layout/radial3"/>
    <dgm:cxn modelId="{09E80935-EF05-49EC-B93D-B2BF4C02F513}" type="presParOf" srcId="{63CD6A65-BD4C-493F-9EE5-D9B6D80BCD4F}" destId="{66B20488-AF8E-4288-8825-23088D29DA8A}" srcOrd="4" destOrd="0" presId="urn:microsoft.com/office/officeart/2005/8/layout/radial3"/>
    <dgm:cxn modelId="{F78F237B-69F9-4A63-9281-9162FC2955EB}" type="presParOf" srcId="{63CD6A65-BD4C-493F-9EE5-D9B6D80BCD4F}" destId="{3224657A-30B5-48DC-9200-13075321E7A1}" srcOrd="5" destOrd="0" presId="urn:microsoft.com/office/officeart/2005/8/layout/radial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A3124F8-F7FD-4934-AAA3-7E3D0E4F93DA}" type="doc">
      <dgm:prSet loTypeId="urn:microsoft.com/office/officeart/2005/8/layout/radial6" loCatId="cycle" qsTypeId="urn:microsoft.com/office/officeart/2005/8/quickstyle/simple5" qsCatId="simple" csTypeId="urn:microsoft.com/office/officeart/2005/8/colors/colorful1" csCatId="colorful" phldr="1"/>
      <dgm:spPr/>
      <dgm:t>
        <a:bodyPr/>
        <a:lstStyle/>
        <a:p>
          <a:endParaRPr lang="en-US"/>
        </a:p>
      </dgm:t>
    </dgm:pt>
    <dgm:pt modelId="{1E8AA4E9-74A3-454B-A803-B9601839B4F2}">
      <dgm:prSet phldrT="[Text]"/>
      <dgm:spPr/>
      <dgm:t>
        <a:bodyPr/>
        <a:lstStyle/>
        <a:p>
          <a:pPr>
            <a:buNone/>
          </a:pPr>
          <a:r>
            <a:rPr lang="en-GB">
              <a:latin typeface="Times New Roman" panose="02020603050405020304" pitchFamily="18" charset="0"/>
              <a:cs typeface="Times New Roman" panose="02020603050405020304" pitchFamily="18" charset="0"/>
            </a:rPr>
            <a:t>Recommendations</a:t>
          </a:r>
          <a:br>
            <a:rPr lang="en-GB">
              <a:latin typeface="Times New Roman" panose="02020603050405020304" pitchFamily="18" charset="0"/>
              <a:cs typeface="Times New Roman" panose="02020603050405020304" pitchFamily="18" charset="0"/>
            </a:rPr>
          </a:br>
          <a:r>
            <a:rPr lang="en-US" b="1">
              <a:latin typeface="Times New Roman" panose="02020603050405020304" pitchFamily="18" charset="0"/>
              <a:cs typeface="Times New Roman" panose="02020603050405020304" pitchFamily="18" charset="0"/>
            </a:rPr>
            <a:t>For Event Organisers (Questex Hospitality Group)</a:t>
          </a:r>
          <a:br>
            <a:rPr lang="en-GB"/>
          </a:br>
          <a:endParaRPr lang="en-US"/>
        </a:p>
      </dgm:t>
    </dgm:pt>
    <dgm:pt modelId="{A3F9D715-CC4A-4246-BE19-FFCDFB0CB722}" type="parTrans" cxnId="{45DCC647-B974-467E-8362-CDE7E24FB2FB}">
      <dgm:prSet/>
      <dgm:spPr/>
      <dgm:t>
        <a:bodyPr/>
        <a:lstStyle/>
        <a:p>
          <a:endParaRPr lang="en-US"/>
        </a:p>
      </dgm:t>
    </dgm:pt>
    <dgm:pt modelId="{C98A3840-1836-48E4-A245-8073B2B26607}" type="sibTrans" cxnId="{45DCC647-B974-467E-8362-CDE7E24FB2FB}">
      <dgm:prSet/>
      <dgm:spPr/>
      <dgm:t>
        <a:bodyPr/>
        <a:lstStyle/>
        <a:p>
          <a:endParaRPr lang="en-US"/>
        </a:p>
      </dgm:t>
    </dgm:pt>
    <dgm:pt modelId="{D5FF5924-682D-4AB2-854C-F54221E93989}">
      <dgm:prSet phldrT="[Text]"/>
      <dgm:spPr/>
      <dgm:t>
        <a:bodyPr/>
        <a:lstStyle/>
        <a:p>
          <a:pPr>
            <a:buNone/>
          </a:pPr>
          <a:r>
            <a:rPr lang="en-US" b="1">
              <a:latin typeface="Times New Roman" panose="02020603050405020304" pitchFamily="18" charset="0"/>
              <a:cs typeface="Times New Roman" panose="02020603050405020304" pitchFamily="18" charset="0"/>
            </a:rPr>
            <a:t>1. Develop a Comprehensive Risk-Management Framework:</a:t>
          </a:r>
          <a:endParaRPr lang="en-US">
            <a:latin typeface="Times New Roman" panose="02020603050405020304" pitchFamily="18" charset="0"/>
            <a:cs typeface="Times New Roman" panose="02020603050405020304" pitchFamily="18" charset="0"/>
          </a:endParaRPr>
        </a:p>
      </dgm:t>
    </dgm:pt>
    <dgm:pt modelId="{C123D7C5-829E-4941-94BF-30EA94ACE64E}" type="parTrans" cxnId="{D41BAF68-AADE-45A0-BC3B-C637F5069625}">
      <dgm:prSet/>
      <dgm:spPr/>
      <dgm:t>
        <a:bodyPr/>
        <a:lstStyle/>
        <a:p>
          <a:endParaRPr lang="en-US"/>
        </a:p>
      </dgm:t>
    </dgm:pt>
    <dgm:pt modelId="{6236C660-5D1C-4F01-A104-B959E0087312}" type="sibTrans" cxnId="{D41BAF68-AADE-45A0-BC3B-C637F5069625}">
      <dgm:prSet/>
      <dgm:spPr/>
      <dgm:t>
        <a:bodyPr/>
        <a:lstStyle/>
        <a:p>
          <a:endParaRPr lang="en-US"/>
        </a:p>
      </dgm:t>
    </dgm:pt>
    <dgm:pt modelId="{EE16EB70-254A-467B-984E-B3066989318B}">
      <dgm:prSet phldrT="[Text]"/>
      <dgm:spPr/>
      <dgm:t>
        <a:bodyPr/>
        <a:lstStyle/>
        <a:p>
          <a:pPr>
            <a:buNone/>
          </a:pPr>
          <a:r>
            <a:rPr lang="en-GB" b="1">
              <a:latin typeface="Times New Roman" panose="02020603050405020304" pitchFamily="18" charset="0"/>
              <a:cs typeface="Times New Roman" panose="02020603050405020304" pitchFamily="18" charset="0"/>
            </a:rPr>
            <a:t>2. Expanding Hybrid and AI-Enabled Capabilities</a:t>
          </a:r>
          <a:endParaRPr lang="en-US">
            <a:latin typeface="Times New Roman" panose="02020603050405020304" pitchFamily="18" charset="0"/>
            <a:cs typeface="Times New Roman" panose="02020603050405020304" pitchFamily="18" charset="0"/>
          </a:endParaRPr>
        </a:p>
      </dgm:t>
    </dgm:pt>
    <dgm:pt modelId="{976C287A-41AA-44D8-A080-E3C430E285CA}" type="parTrans" cxnId="{CF0B0E6A-ABC0-4684-9C0E-67FE1BBC9B97}">
      <dgm:prSet/>
      <dgm:spPr/>
      <dgm:t>
        <a:bodyPr/>
        <a:lstStyle/>
        <a:p>
          <a:endParaRPr lang="en-US"/>
        </a:p>
      </dgm:t>
    </dgm:pt>
    <dgm:pt modelId="{D0CB5F86-FCD2-4982-9644-EF15DB772B74}" type="sibTrans" cxnId="{CF0B0E6A-ABC0-4684-9C0E-67FE1BBC9B97}">
      <dgm:prSet/>
      <dgm:spPr/>
      <dgm:t>
        <a:bodyPr/>
        <a:lstStyle/>
        <a:p>
          <a:endParaRPr lang="en-US"/>
        </a:p>
      </dgm:t>
    </dgm:pt>
    <dgm:pt modelId="{1C46C98E-DD8A-4C5B-B6BB-69D22AA7CD10}">
      <dgm:prSet phldrT="[Text]"/>
      <dgm:spPr/>
      <dgm:t>
        <a:bodyPr/>
        <a:lstStyle/>
        <a:p>
          <a:pPr>
            <a:buNone/>
          </a:pPr>
          <a:r>
            <a:rPr lang="en-GB" b="1">
              <a:latin typeface="Times New Roman" panose="02020603050405020304" pitchFamily="18" charset="0"/>
              <a:cs typeface="Times New Roman" panose="02020603050405020304" pitchFamily="18" charset="0"/>
            </a:rPr>
            <a:t>3. Broaden Sponsorship and Regional Editions</a:t>
          </a:r>
          <a:endParaRPr lang="en-US">
            <a:latin typeface="Times New Roman" panose="02020603050405020304" pitchFamily="18" charset="0"/>
            <a:cs typeface="Times New Roman" panose="02020603050405020304" pitchFamily="18" charset="0"/>
          </a:endParaRPr>
        </a:p>
      </dgm:t>
    </dgm:pt>
    <dgm:pt modelId="{79F2F79E-1F76-44BD-90DF-FBBCC9ED60E7}" type="parTrans" cxnId="{EEED64A7-0AA3-4901-A84E-EB64C5D40406}">
      <dgm:prSet/>
      <dgm:spPr/>
      <dgm:t>
        <a:bodyPr/>
        <a:lstStyle/>
        <a:p>
          <a:endParaRPr lang="en-US"/>
        </a:p>
      </dgm:t>
    </dgm:pt>
    <dgm:pt modelId="{3AAEA479-AD51-40CC-B3DD-34F71838F1BC}" type="sibTrans" cxnId="{EEED64A7-0AA3-4901-A84E-EB64C5D40406}">
      <dgm:prSet/>
      <dgm:spPr/>
      <dgm:t>
        <a:bodyPr/>
        <a:lstStyle/>
        <a:p>
          <a:endParaRPr lang="en-US"/>
        </a:p>
      </dgm:t>
    </dgm:pt>
    <dgm:pt modelId="{D5793BCA-3D21-41B0-90DE-8C2899912AE1}">
      <dgm:prSet phldrT="[Text]"/>
      <dgm:spPr/>
      <dgm:t>
        <a:bodyPr/>
        <a:lstStyle/>
        <a:p>
          <a:pPr>
            <a:buNone/>
          </a:pPr>
          <a:r>
            <a:rPr lang="en-GB" b="1">
              <a:latin typeface="Times New Roman" panose="02020603050405020304" pitchFamily="18" charset="0"/>
              <a:cs typeface="Times New Roman" panose="02020603050405020304" pitchFamily="18" charset="0"/>
            </a:rPr>
            <a:t>4. Improve Sustainability Reporting:</a:t>
          </a:r>
          <a:endParaRPr lang="en-US">
            <a:latin typeface="Times New Roman" panose="02020603050405020304" pitchFamily="18" charset="0"/>
            <a:cs typeface="Times New Roman" panose="02020603050405020304" pitchFamily="18" charset="0"/>
          </a:endParaRPr>
        </a:p>
      </dgm:t>
    </dgm:pt>
    <dgm:pt modelId="{F33E5FD1-BAD6-4696-94B0-E14E0302BCE9}" type="parTrans" cxnId="{9A625C32-0703-4130-ABF6-315750CE7225}">
      <dgm:prSet/>
      <dgm:spPr/>
      <dgm:t>
        <a:bodyPr/>
        <a:lstStyle/>
        <a:p>
          <a:endParaRPr lang="en-US"/>
        </a:p>
      </dgm:t>
    </dgm:pt>
    <dgm:pt modelId="{BC71D5EF-9EDD-4E24-9514-99C2E49598E5}" type="sibTrans" cxnId="{9A625C32-0703-4130-ABF6-315750CE7225}">
      <dgm:prSet/>
      <dgm:spPr/>
      <dgm:t>
        <a:bodyPr/>
        <a:lstStyle/>
        <a:p>
          <a:endParaRPr lang="en-US"/>
        </a:p>
      </dgm:t>
    </dgm:pt>
    <dgm:pt modelId="{038F6E8C-FDD7-4064-9D3F-8B76094452EF}" type="pres">
      <dgm:prSet presAssocID="{3A3124F8-F7FD-4934-AAA3-7E3D0E4F93DA}" presName="Name0" presStyleCnt="0">
        <dgm:presLayoutVars>
          <dgm:chMax val="1"/>
          <dgm:dir/>
          <dgm:animLvl val="ctr"/>
          <dgm:resizeHandles val="exact"/>
        </dgm:presLayoutVars>
      </dgm:prSet>
      <dgm:spPr/>
    </dgm:pt>
    <dgm:pt modelId="{3046D56A-F3B0-4885-BE56-674BDAA8C7FE}" type="pres">
      <dgm:prSet presAssocID="{1E8AA4E9-74A3-454B-A803-B9601839B4F2}" presName="centerShape" presStyleLbl="node0" presStyleIdx="0" presStyleCnt="1"/>
      <dgm:spPr/>
    </dgm:pt>
    <dgm:pt modelId="{B6C0E215-7D05-4E2E-AD5C-2455D67C5C0C}" type="pres">
      <dgm:prSet presAssocID="{D5FF5924-682D-4AB2-854C-F54221E93989}" presName="node" presStyleLbl="node1" presStyleIdx="0" presStyleCnt="4">
        <dgm:presLayoutVars>
          <dgm:bulletEnabled val="1"/>
        </dgm:presLayoutVars>
      </dgm:prSet>
      <dgm:spPr/>
    </dgm:pt>
    <dgm:pt modelId="{87AA17FD-3E77-4562-B669-766BEEEB9B9E}" type="pres">
      <dgm:prSet presAssocID="{D5FF5924-682D-4AB2-854C-F54221E93989}" presName="dummy" presStyleCnt="0"/>
      <dgm:spPr/>
    </dgm:pt>
    <dgm:pt modelId="{035BAA31-BE64-4E85-A9EF-356A50439B36}" type="pres">
      <dgm:prSet presAssocID="{6236C660-5D1C-4F01-A104-B959E0087312}" presName="sibTrans" presStyleLbl="sibTrans2D1" presStyleIdx="0" presStyleCnt="4"/>
      <dgm:spPr/>
    </dgm:pt>
    <dgm:pt modelId="{35D5364B-EC4C-4D34-8457-C46A6D6B665A}" type="pres">
      <dgm:prSet presAssocID="{EE16EB70-254A-467B-984E-B3066989318B}" presName="node" presStyleLbl="node1" presStyleIdx="1" presStyleCnt="4">
        <dgm:presLayoutVars>
          <dgm:bulletEnabled val="1"/>
        </dgm:presLayoutVars>
      </dgm:prSet>
      <dgm:spPr/>
    </dgm:pt>
    <dgm:pt modelId="{DB71A5BF-4A9B-436E-AE53-5E08E68B8803}" type="pres">
      <dgm:prSet presAssocID="{EE16EB70-254A-467B-984E-B3066989318B}" presName="dummy" presStyleCnt="0"/>
      <dgm:spPr/>
    </dgm:pt>
    <dgm:pt modelId="{C8DEDB63-35B3-4852-891B-F252CC895034}" type="pres">
      <dgm:prSet presAssocID="{D0CB5F86-FCD2-4982-9644-EF15DB772B74}" presName="sibTrans" presStyleLbl="sibTrans2D1" presStyleIdx="1" presStyleCnt="4"/>
      <dgm:spPr/>
    </dgm:pt>
    <dgm:pt modelId="{41819AB4-68F8-4268-A324-4B76ED61CE1B}" type="pres">
      <dgm:prSet presAssocID="{1C46C98E-DD8A-4C5B-B6BB-69D22AA7CD10}" presName="node" presStyleLbl="node1" presStyleIdx="2" presStyleCnt="4">
        <dgm:presLayoutVars>
          <dgm:bulletEnabled val="1"/>
        </dgm:presLayoutVars>
      </dgm:prSet>
      <dgm:spPr/>
    </dgm:pt>
    <dgm:pt modelId="{55DAAAF9-110F-4CAE-8444-E64911C21CF7}" type="pres">
      <dgm:prSet presAssocID="{1C46C98E-DD8A-4C5B-B6BB-69D22AA7CD10}" presName="dummy" presStyleCnt="0"/>
      <dgm:spPr/>
    </dgm:pt>
    <dgm:pt modelId="{D302E3A7-ECEB-456B-89E1-151C48FAA566}" type="pres">
      <dgm:prSet presAssocID="{3AAEA479-AD51-40CC-B3DD-34F71838F1BC}" presName="sibTrans" presStyleLbl="sibTrans2D1" presStyleIdx="2" presStyleCnt="4"/>
      <dgm:spPr/>
    </dgm:pt>
    <dgm:pt modelId="{2F64025B-A8C6-4269-B7A0-CC0C1999B549}" type="pres">
      <dgm:prSet presAssocID="{D5793BCA-3D21-41B0-90DE-8C2899912AE1}" presName="node" presStyleLbl="node1" presStyleIdx="3" presStyleCnt="4">
        <dgm:presLayoutVars>
          <dgm:bulletEnabled val="1"/>
        </dgm:presLayoutVars>
      </dgm:prSet>
      <dgm:spPr/>
    </dgm:pt>
    <dgm:pt modelId="{E80118A0-8123-4459-B4D3-660371976D32}" type="pres">
      <dgm:prSet presAssocID="{D5793BCA-3D21-41B0-90DE-8C2899912AE1}" presName="dummy" presStyleCnt="0"/>
      <dgm:spPr/>
    </dgm:pt>
    <dgm:pt modelId="{CD03DF93-23D4-4510-A086-F4E3FDA6E8FF}" type="pres">
      <dgm:prSet presAssocID="{BC71D5EF-9EDD-4E24-9514-99C2E49598E5}" presName="sibTrans" presStyleLbl="sibTrans2D1" presStyleIdx="3" presStyleCnt="4"/>
      <dgm:spPr/>
    </dgm:pt>
  </dgm:ptLst>
  <dgm:cxnLst>
    <dgm:cxn modelId="{FC24DF13-C5DC-4292-A1D7-96B1545C5331}" type="presOf" srcId="{3AAEA479-AD51-40CC-B3DD-34F71838F1BC}" destId="{D302E3A7-ECEB-456B-89E1-151C48FAA566}" srcOrd="0" destOrd="0" presId="urn:microsoft.com/office/officeart/2005/8/layout/radial6"/>
    <dgm:cxn modelId="{B521B71A-F351-49AE-85E4-86159E3B860A}" type="presOf" srcId="{1E8AA4E9-74A3-454B-A803-B9601839B4F2}" destId="{3046D56A-F3B0-4885-BE56-674BDAA8C7FE}" srcOrd="0" destOrd="0" presId="urn:microsoft.com/office/officeart/2005/8/layout/radial6"/>
    <dgm:cxn modelId="{9A625C32-0703-4130-ABF6-315750CE7225}" srcId="{1E8AA4E9-74A3-454B-A803-B9601839B4F2}" destId="{D5793BCA-3D21-41B0-90DE-8C2899912AE1}" srcOrd="3" destOrd="0" parTransId="{F33E5FD1-BAD6-4696-94B0-E14E0302BCE9}" sibTransId="{BC71D5EF-9EDD-4E24-9514-99C2E49598E5}"/>
    <dgm:cxn modelId="{2AEA335E-CE63-4BE5-9B6C-B4F9D41349E1}" type="presOf" srcId="{D5793BCA-3D21-41B0-90DE-8C2899912AE1}" destId="{2F64025B-A8C6-4269-B7A0-CC0C1999B549}" srcOrd="0" destOrd="0" presId="urn:microsoft.com/office/officeart/2005/8/layout/radial6"/>
    <dgm:cxn modelId="{45DCC647-B974-467E-8362-CDE7E24FB2FB}" srcId="{3A3124F8-F7FD-4934-AAA3-7E3D0E4F93DA}" destId="{1E8AA4E9-74A3-454B-A803-B9601839B4F2}" srcOrd="0" destOrd="0" parTransId="{A3F9D715-CC4A-4246-BE19-FFCDFB0CB722}" sibTransId="{C98A3840-1836-48E4-A245-8073B2B26607}"/>
    <dgm:cxn modelId="{D41BAF68-AADE-45A0-BC3B-C637F5069625}" srcId="{1E8AA4E9-74A3-454B-A803-B9601839B4F2}" destId="{D5FF5924-682D-4AB2-854C-F54221E93989}" srcOrd="0" destOrd="0" parTransId="{C123D7C5-829E-4941-94BF-30EA94ACE64E}" sibTransId="{6236C660-5D1C-4F01-A104-B959E0087312}"/>
    <dgm:cxn modelId="{19BCCB69-B1D8-479A-97F3-1C980A42890E}" type="presOf" srcId="{D5FF5924-682D-4AB2-854C-F54221E93989}" destId="{B6C0E215-7D05-4E2E-AD5C-2455D67C5C0C}" srcOrd="0" destOrd="0" presId="urn:microsoft.com/office/officeart/2005/8/layout/radial6"/>
    <dgm:cxn modelId="{CF0B0E6A-ABC0-4684-9C0E-67FE1BBC9B97}" srcId="{1E8AA4E9-74A3-454B-A803-B9601839B4F2}" destId="{EE16EB70-254A-467B-984E-B3066989318B}" srcOrd="1" destOrd="0" parTransId="{976C287A-41AA-44D8-A080-E3C430E285CA}" sibTransId="{D0CB5F86-FCD2-4982-9644-EF15DB772B74}"/>
    <dgm:cxn modelId="{69EF3B4C-2F62-472D-9D51-0E533376EA84}" type="presOf" srcId="{BC71D5EF-9EDD-4E24-9514-99C2E49598E5}" destId="{CD03DF93-23D4-4510-A086-F4E3FDA6E8FF}" srcOrd="0" destOrd="0" presId="urn:microsoft.com/office/officeart/2005/8/layout/radial6"/>
    <dgm:cxn modelId="{0D152B91-8DB9-4B92-A29B-C5D9F19B9F49}" type="presOf" srcId="{6236C660-5D1C-4F01-A104-B959E0087312}" destId="{035BAA31-BE64-4E85-A9EF-356A50439B36}" srcOrd="0" destOrd="0" presId="urn:microsoft.com/office/officeart/2005/8/layout/radial6"/>
    <dgm:cxn modelId="{EEED64A7-0AA3-4901-A84E-EB64C5D40406}" srcId="{1E8AA4E9-74A3-454B-A803-B9601839B4F2}" destId="{1C46C98E-DD8A-4C5B-B6BB-69D22AA7CD10}" srcOrd="2" destOrd="0" parTransId="{79F2F79E-1F76-44BD-90DF-FBBCC9ED60E7}" sibTransId="{3AAEA479-AD51-40CC-B3DD-34F71838F1BC}"/>
    <dgm:cxn modelId="{3BC89FBD-780B-4019-AC1C-F29C77DAC81A}" type="presOf" srcId="{3A3124F8-F7FD-4934-AAA3-7E3D0E4F93DA}" destId="{038F6E8C-FDD7-4064-9D3F-8B76094452EF}" srcOrd="0" destOrd="0" presId="urn:microsoft.com/office/officeart/2005/8/layout/radial6"/>
    <dgm:cxn modelId="{BD407EC9-BCAD-43E9-A365-BAECDE9C08A5}" type="presOf" srcId="{D0CB5F86-FCD2-4982-9644-EF15DB772B74}" destId="{C8DEDB63-35B3-4852-891B-F252CC895034}" srcOrd="0" destOrd="0" presId="urn:microsoft.com/office/officeart/2005/8/layout/radial6"/>
    <dgm:cxn modelId="{C559A1E0-5949-4B96-BB3B-BFD2A7D5CBA9}" type="presOf" srcId="{1C46C98E-DD8A-4C5B-B6BB-69D22AA7CD10}" destId="{41819AB4-68F8-4268-A324-4B76ED61CE1B}" srcOrd="0" destOrd="0" presId="urn:microsoft.com/office/officeart/2005/8/layout/radial6"/>
    <dgm:cxn modelId="{1A82DBE2-DECF-44E0-A5D5-B20AA44182B4}" type="presOf" srcId="{EE16EB70-254A-467B-984E-B3066989318B}" destId="{35D5364B-EC4C-4D34-8457-C46A6D6B665A}" srcOrd="0" destOrd="0" presId="urn:microsoft.com/office/officeart/2005/8/layout/radial6"/>
    <dgm:cxn modelId="{2CB2FA60-D938-4297-93E7-E50D1A38F1F6}" type="presParOf" srcId="{038F6E8C-FDD7-4064-9D3F-8B76094452EF}" destId="{3046D56A-F3B0-4885-BE56-674BDAA8C7FE}" srcOrd="0" destOrd="0" presId="urn:microsoft.com/office/officeart/2005/8/layout/radial6"/>
    <dgm:cxn modelId="{8689BAF4-3A08-48F7-96A9-16579DE58A29}" type="presParOf" srcId="{038F6E8C-FDD7-4064-9D3F-8B76094452EF}" destId="{B6C0E215-7D05-4E2E-AD5C-2455D67C5C0C}" srcOrd="1" destOrd="0" presId="urn:microsoft.com/office/officeart/2005/8/layout/radial6"/>
    <dgm:cxn modelId="{412EF5FB-77B5-434D-BE6A-12C3AE3E4D96}" type="presParOf" srcId="{038F6E8C-FDD7-4064-9D3F-8B76094452EF}" destId="{87AA17FD-3E77-4562-B669-766BEEEB9B9E}" srcOrd="2" destOrd="0" presId="urn:microsoft.com/office/officeart/2005/8/layout/radial6"/>
    <dgm:cxn modelId="{EAC1DEE1-3DE9-47B9-A80F-4852E549FF73}" type="presParOf" srcId="{038F6E8C-FDD7-4064-9D3F-8B76094452EF}" destId="{035BAA31-BE64-4E85-A9EF-356A50439B36}" srcOrd="3" destOrd="0" presId="urn:microsoft.com/office/officeart/2005/8/layout/radial6"/>
    <dgm:cxn modelId="{D219C57B-7D84-4B52-9B80-7211AD7C4984}" type="presParOf" srcId="{038F6E8C-FDD7-4064-9D3F-8B76094452EF}" destId="{35D5364B-EC4C-4D34-8457-C46A6D6B665A}" srcOrd="4" destOrd="0" presId="urn:microsoft.com/office/officeart/2005/8/layout/radial6"/>
    <dgm:cxn modelId="{275FF7FE-8FE6-4639-92C6-A0E11DA6678A}" type="presParOf" srcId="{038F6E8C-FDD7-4064-9D3F-8B76094452EF}" destId="{DB71A5BF-4A9B-436E-AE53-5E08E68B8803}" srcOrd="5" destOrd="0" presId="urn:microsoft.com/office/officeart/2005/8/layout/radial6"/>
    <dgm:cxn modelId="{F0AEF40B-F24E-449C-A2E4-5A3F6CAA6855}" type="presParOf" srcId="{038F6E8C-FDD7-4064-9D3F-8B76094452EF}" destId="{C8DEDB63-35B3-4852-891B-F252CC895034}" srcOrd="6" destOrd="0" presId="urn:microsoft.com/office/officeart/2005/8/layout/radial6"/>
    <dgm:cxn modelId="{4839B69C-70DF-42BD-8885-DF84324B9822}" type="presParOf" srcId="{038F6E8C-FDD7-4064-9D3F-8B76094452EF}" destId="{41819AB4-68F8-4268-A324-4B76ED61CE1B}" srcOrd="7" destOrd="0" presId="urn:microsoft.com/office/officeart/2005/8/layout/radial6"/>
    <dgm:cxn modelId="{73E62424-A9F8-4EE9-BBC4-8DC125150690}" type="presParOf" srcId="{038F6E8C-FDD7-4064-9D3F-8B76094452EF}" destId="{55DAAAF9-110F-4CAE-8444-E64911C21CF7}" srcOrd="8" destOrd="0" presId="urn:microsoft.com/office/officeart/2005/8/layout/radial6"/>
    <dgm:cxn modelId="{CBC864B8-0001-4C3A-9619-FB176BFA8FF8}" type="presParOf" srcId="{038F6E8C-FDD7-4064-9D3F-8B76094452EF}" destId="{D302E3A7-ECEB-456B-89E1-151C48FAA566}" srcOrd="9" destOrd="0" presId="urn:microsoft.com/office/officeart/2005/8/layout/radial6"/>
    <dgm:cxn modelId="{BA9FC005-0818-4C9B-B24C-83FEA2477240}" type="presParOf" srcId="{038F6E8C-FDD7-4064-9D3F-8B76094452EF}" destId="{2F64025B-A8C6-4269-B7A0-CC0C1999B549}" srcOrd="10" destOrd="0" presId="urn:microsoft.com/office/officeart/2005/8/layout/radial6"/>
    <dgm:cxn modelId="{613508C0-7401-42DE-8E57-35BE5373F3CC}" type="presParOf" srcId="{038F6E8C-FDD7-4064-9D3F-8B76094452EF}" destId="{E80118A0-8123-4459-B4D3-660371976D32}" srcOrd="11" destOrd="0" presId="urn:microsoft.com/office/officeart/2005/8/layout/radial6"/>
    <dgm:cxn modelId="{D79017F5-104D-4389-90CA-95F6F40D6E38}" type="presParOf" srcId="{038F6E8C-FDD7-4064-9D3F-8B76094452EF}" destId="{CD03DF93-23D4-4510-A086-F4E3FDA6E8FF}" srcOrd="12" destOrd="0" presId="urn:microsoft.com/office/officeart/2005/8/layout/radial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E81A111-4128-4921-B2CA-920E83B998C1}" type="doc">
      <dgm:prSet loTypeId="urn:microsoft.com/office/officeart/2005/8/layout/radial3" loCatId="cycle" qsTypeId="urn:microsoft.com/office/officeart/2005/8/quickstyle/simple5" qsCatId="simple" csTypeId="urn:microsoft.com/office/officeart/2005/8/colors/colorful1" csCatId="colorful" phldr="1"/>
      <dgm:spPr/>
      <dgm:t>
        <a:bodyPr/>
        <a:lstStyle/>
        <a:p>
          <a:endParaRPr lang="en-US"/>
        </a:p>
      </dgm:t>
    </dgm:pt>
    <dgm:pt modelId="{6BB7F493-E0C8-4799-89F5-C176BF301564}">
      <dgm:prSet phldrT="[Text]"/>
      <dgm:spPr/>
      <dgm:t>
        <a:bodyPr/>
        <a:lstStyle/>
        <a:p>
          <a:pPr>
            <a:buNone/>
          </a:pPr>
          <a:r>
            <a:rPr lang="en-GB" b="1">
              <a:latin typeface="Times New Roman" panose="02020603050405020304" pitchFamily="18" charset="0"/>
              <a:cs typeface="Times New Roman" panose="02020603050405020304" pitchFamily="18" charset="0"/>
            </a:rPr>
            <a:t>For Local Hotels (Intercontinental &amp; Partners) </a:t>
          </a:r>
          <a:endParaRPr lang="en-US">
            <a:latin typeface="Times New Roman" panose="02020603050405020304" pitchFamily="18" charset="0"/>
            <a:cs typeface="Times New Roman" panose="02020603050405020304" pitchFamily="18" charset="0"/>
          </a:endParaRPr>
        </a:p>
      </dgm:t>
    </dgm:pt>
    <dgm:pt modelId="{855FD122-35D5-4C4F-B74C-73F457B69335}" type="parTrans" cxnId="{FB349303-CDD8-461C-AF8A-853D71276502}">
      <dgm:prSet/>
      <dgm:spPr/>
      <dgm:t>
        <a:bodyPr/>
        <a:lstStyle/>
        <a:p>
          <a:endParaRPr lang="en-US"/>
        </a:p>
      </dgm:t>
    </dgm:pt>
    <dgm:pt modelId="{F7657799-B7BB-4525-AA14-5C89EE0CF27D}" type="sibTrans" cxnId="{FB349303-CDD8-461C-AF8A-853D71276502}">
      <dgm:prSet/>
      <dgm:spPr/>
      <dgm:t>
        <a:bodyPr/>
        <a:lstStyle/>
        <a:p>
          <a:endParaRPr lang="en-US"/>
        </a:p>
      </dgm:t>
    </dgm:pt>
    <dgm:pt modelId="{F44ADF9F-8FA9-45E6-A28B-4690F2CEB355}">
      <dgm:prSet phldrT="[Text]"/>
      <dgm:spPr/>
      <dgm:t>
        <a:bodyPr/>
        <a:lstStyle/>
        <a:p>
          <a:pPr>
            <a:buNone/>
          </a:pPr>
          <a:r>
            <a:rPr lang="en-GB" b="1">
              <a:latin typeface="Times New Roman" panose="02020603050405020304" pitchFamily="18" charset="0"/>
              <a:cs typeface="Times New Roman" panose="02020603050405020304" pitchFamily="18" charset="0"/>
            </a:rPr>
            <a:t>1. Formalise “R&amp;R Athens Alliance”: </a:t>
          </a:r>
          <a:endParaRPr lang="en-US">
            <a:latin typeface="Times New Roman" panose="02020603050405020304" pitchFamily="18" charset="0"/>
            <a:cs typeface="Times New Roman" panose="02020603050405020304" pitchFamily="18" charset="0"/>
          </a:endParaRPr>
        </a:p>
      </dgm:t>
    </dgm:pt>
    <dgm:pt modelId="{1D3F556E-9111-43A6-83B6-7512A8CB3185}" type="parTrans" cxnId="{B1CA2E04-9BB3-4688-88E5-226E8952F86F}">
      <dgm:prSet/>
      <dgm:spPr/>
      <dgm:t>
        <a:bodyPr/>
        <a:lstStyle/>
        <a:p>
          <a:endParaRPr lang="en-US"/>
        </a:p>
      </dgm:t>
    </dgm:pt>
    <dgm:pt modelId="{CEB9B020-4070-4F25-9F7D-2AE1C56F4218}" type="sibTrans" cxnId="{B1CA2E04-9BB3-4688-88E5-226E8952F86F}">
      <dgm:prSet/>
      <dgm:spPr/>
      <dgm:t>
        <a:bodyPr/>
        <a:lstStyle/>
        <a:p>
          <a:endParaRPr lang="en-US"/>
        </a:p>
      </dgm:t>
    </dgm:pt>
    <dgm:pt modelId="{8C088C65-D0C5-4777-94B1-117A75A674DE}">
      <dgm:prSet phldrT="[Text]"/>
      <dgm:spPr/>
      <dgm:t>
        <a:bodyPr/>
        <a:lstStyle/>
        <a:p>
          <a:pPr>
            <a:buNone/>
          </a:pPr>
          <a:r>
            <a:rPr lang="en-GB" b="1">
              <a:latin typeface="Times New Roman" panose="02020603050405020304" pitchFamily="18" charset="0"/>
              <a:cs typeface="Times New Roman" panose="02020603050405020304" pitchFamily="18" charset="0"/>
            </a:rPr>
            <a:t>2. Take Advantage of Event Legacy Opportunities:</a:t>
          </a:r>
          <a:endParaRPr lang="en-US">
            <a:latin typeface="Times New Roman" panose="02020603050405020304" pitchFamily="18" charset="0"/>
            <a:cs typeface="Times New Roman" panose="02020603050405020304" pitchFamily="18" charset="0"/>
          </a:endParaRPr>
        </a:p>
      </dgm:t>
    </dgm:pt>
    <dgm:pt modelId="{725AD72D-7DF3-4C50-82CB-CB8CB13B03BA}" type="parTrans" cxnId="{3285D8BC-EA82-45FE-A650-8C273C3E9945}">
      <dgm:prSet/>
      <dgm:spPr/>
      <dgm:t>
        <a:bodyPr/>
        <a:lstStyle/>
        <a:p>
          <a:endParaRPr lang="en-US"/>
        </a:p>
      </dgm:t>
    </dgm:pt>
    <dgm:pt modelId="{620E4421-091F-4BE3-8516-7C00F8F69B81}" type="sibTrans" cxnId="{3285D8BC-EA82-45FE-A650-8C273C3E9945}">
      <dgm:prSet/>
      <dgm:spPr/>
      <dgm:t>
        <a:bodyPr/>
        <a:lstStyle/>
        <a:p>
          <a:endParaRPr lang="en-US"/>
        </a:p>
      </dgm:t>
    </dgm:pt>
    <dgm:pt modelId="{66769664-39FE-4A48-8EE0-7251CD49C9B4}">
      <dgm:prSet phldrT="[Text]"/>
      <dgm:spPr/>
      <dgm:t>
        <a:bodyPr/>
        <a:lstStyle/>
        <a:p>
          <a:pPr>
            <a:buNone/>
          </a:pPr>
          <a:r>
            <a:rPr lang="en-GB" b="1">
              <a:latin typeface="Times New Roman" panose="02020603050405020304" pitchFamily="18" charset="0"/>
              <a:cs typeface="Times New Roman" panose="02020603050405020304" pitchFamily="18" charset="0"/>
            </a:rPr>
            <a:t>3. Commit to Smart Meeting Technologies: </a:t>
          </a:r>
          <a:endParaRPr lang="en-US">
            <a:latin typeface="Times New Roman" panose="02020603050405020304" pitchFamily="18" charset="0"/>
            <a:cs typeface="Times New Roman" panose="02020603050405020304" pitchFamily="18" charset="0"/>
          </a:endParaRPr>
        </a:p>
      </dgm:t>
    </dgm:pt>
    <dgm:pt modelId="{6F970E50-DA3F-440C-AF57-005374A58979}" type="parTrans" cxnId="{F5849B6C-330D-4F9C-97AC-E61A6D3A9A1E}">
      <dgm:prSet/>
      <dgm:spPr/>
      <dgm:t>
        <a:bodyPr/>
        <a:lstStyle/>
        <a:p>
          <a:endParaRPr lang="en-US"/>
        </a:p>
      </dgm:t>
    </dgm:pt>
    <dgm:pt modelId="{D89C3E2E-661B-45CD-9728-F34455947530}" type="sibTrans" cxnId="{F5849B6C-330D-4F9C-97AC-E61A6D3A9A1E}">
      <dgm:prSet/>
      <dgm:spPr/>
      <dgm:t>
        <a:bodyPr/>
        <a:lstStyle/>
        <a:p>
          <a:endParaRPr lang="en-US"/>
        </a:p>
      </dgm:t>
    </dgm:pt>
    <dgm:pt modelId="{0BC9C844-5DE1-430E-97D8-CE951ABEC32D}">
      <dgm:prSet phldrT="[Text]"/>
      <dgm:spPr/>
      <dgm:t>
        <a:bodyPr/>
        <a:lstStyle/>
        <a:p>
          <a:pPr>
            <a:buNone/>
          </a:pPr>
          <a:r>
            <a:rPr lang="en-GB" b="1">
              <a:latin typeface="Times New Roman" panose="02020603050405020304" pitchFamily="18" charset="0"/>
              <a:cs typeface="Times New Roman" panose="02020603050405020304" pitchFamily="18" charset="0"/>
            </a:rPr>
            <a:t>4. Enhancing Collaboration on Marketing:</a:t>
          </a:r>
          <a:endParaRPr lang="en-US">
            <a:latin typeface="Times New Roman" panose="02020603050405020304" pitchFamily="18" charset="0"/>
            <a:cs typeface="Times New Roman" panose="02020603050405020304" pitchFamily="18" charset="0"/>
          </a:endParaRPr>
        </a:p>
      </dgm:t>
    </dgm:pt>
    <dgm:pt modelId="{F4906769-4D8C-4AE2-B42A-6DA0A77C04D7}" type="parTrans" cxnId="{E3090B41-A63C-4067-BA86-E70FBC9FCF45}">
      <dgm:prSet/>
      <dgm:spPr/>
      <dgm:t>
        <a:bodyPr/>
        <a:lstStyle/>
        <a:p>
          <a:endParaRPr lang="en-US"/>
        </a:p>
      </dgm:t>
    </dgm:pt>
    <dgm:pt modelId="{324C8D03-F21F-4FD9-99AD-931639896C7A}" type="sibTrans" cxnId="{E3090B41-A63C-4067-BA86-E70FBC9FCF45}">
      <dgm:prSet/>
      <dgm:spPr/>
      <dgm:t>
        <a:bodyPr/>
        <a:lstStyle/>
        <a:p>
          <a:endParaRPr lang="en-US"/>
        </a:p>
      </dgm:t>
    </dgm:pt>
    <dgm:pt modelId="{6767EBED-B608-484C-9D7D-4CF4FFCA8DD9}" type="pres">
      <dgm:prSet presAssocID="{2E81A111-4128-4921-B2CA-920E83B998C1}" presName="composite" presStyleCnt="0">
        <dgm:presLayoutVars>
          <dgm:chMax val="1"/>
          <dgm:dir/>
          <dgm:resizeHandles val="exact"/>
        </dgm:presLayoutVars>
      </dgm:prSet>
      <dgm:spPr/>
    </dgm:pt>
    <dgm:pt modelId="{1E4BF8FA-EB74-4A9E-9D83-9FFA5A353039}" type="pres">
      <dgm:prSet presAssocID="{2E81A111-4128-4921-B2CA-920E83B998C1}" presName="radial" presStyleCnt="0">
        <dgm:presLayoutVars>
          <dgm:animLvl val="ctr"/>
        </dgm:presLayoutVars>
      </dgm:prSet>
      <dgm:spPr/>
    </dgm:pt>
    <dgm:pt modelId="{487B8CE9-2889-4A6C-B142-ECD185A9E301}" type="pres">
      <dgm:prSet presAssocID="{6BB7F493-E0C8-4799-89F5-C176BF301564}" presName="centerShape" presStyleLbl="vennNode1" presStyleIdx="0" presStyleCnt="5"/>
      <dgm:spPr/>
    </dgm:pt>
    <dgm:pt modelId="{640CB635-F330-4B1A-9C73-54F4343D7A65}" type="pres">
      <dgm:prSet presAssocID="{F44ADF9F-8FA9-45E6-A28B-4690F2CEB355}" presName="node" presStyleLbl="vennNode1" presStyleIdx="1" presStyleCnt="5">
        <dgm:presLayoutVars>
          <dgm:bulletEnabled val="1"/>
        </dgm:presLayoutVars>
      </dgm:prSet>
      <dgm:spPr/>
    </dgm:pt>
    <dgm:pt modelId="{094DFEF4-3408-487C-9251-4F2EB0E5303D}" type="pres">
      <dgm:prSet presAssocID="{8C088C65-D0C5-4777-94B1-117A75A674DE}" presName="node" presStyleLbl="vennNode1" presStyleIdx="2" presStyleCnt="5">
        <dgm:presLayoutVars>
          <dgm:bulletEnabled val="1"/>
        </dgm:presLayoutVars>
      </dgm:prSet>
      <dgm:spPr/>
    </dgm:pt>
    <dgm:pt modelId="{46ABD5A5-E4DC-4F09-A894-39AE1D1BF9C2}" type="pres">
      <dgm:prSet presAssocID="{66769664-39FE-4A48-8EE0-7251CD49C9B4}" presName="node" presStyleLbl="vennNode1" presStyleIdx="3" presStyleCnt="5">
        <dgm:presLayoutVars>
          <dgm:bulletEnabled val="1"/>
        </dgm:presLayoutVars>
      </dgm:prSet>
      <dgm:spPr/>
    </dgm:pt>
    <dgm:pt modelId="{9D7E25A1-2E8B-4088-9034-DD2A43E6EBDF}" type="pres">
      <dgm:prSet presAssocID="{0BC9C844-5DE1-430E-97D8-CE951ABEC32D}" presName="node" presStyleLbl="vennNode1" presStyleIdx="4" presStyleCnt="5">
        <dgm:presLayoutVars>
          <dgm:bulletEnabled val="1"/>
        </dgm:presLayoutVars>
      </dgm:prSet>
      <dgm:spPr/>
    </dgm:pt>
  </dgm:ptLst>
  <dgm:cxnLst>
    <dgm:cxn modelId="{FB349303-CDD8-461C-AF8A-853D71276502}" srcId="{2E81A111-4128-4921-B2CA-920E83B998C1}" destId="{6BB7F493-E0C8-4799-89F5-C176BF301564}" srcOrd="0" destOrd="0" parTransId="{855FD122-35D5-4C4F-B74C-73F457B69335}" sibTransId="{F7657799-B7BB-4525-AA14-5C89EE0CF27D}"/>
    <dgm:cxn modelId="{B1CA2E04-9BB3-4688-88E5-226E8952F86F}" srcId="{6BB7F493-E0C8-4799-89F5-C176BF301564}" destId="{F44ADF9F-8FA9-45E6-A28B-4690F2CEB355}" srcOrd="0" destOrd="0" parTransId="{1D3F556E-9111-43A6-83B6-7512A8CB3185}" sibTransId="{CEB9B020-4070-4F25-9F7D-2AE1C56F4218}"/>
    <dgm:cxn modelId="{E3090B41-A63C-4067-BA86-E70FBC9FCF45}" srcId="{6BB7F493-E0C8-4799-89F5-C176BF301564}" destId="{0BC9C844-5DE1-430E-97D8-CE951ABEC32D}" srcOrd="3" destOrd="0" parTransId="{F4906769-4D8C-4AE2-B42A-6DA0A77C04D7}" sibTransId="{324C8D03-F21F-4FD9-99AD-931639896C7A}"/>
    <dgm:cxn modelId="{F5849B6C-330D-4F9C-97AC-E61A6D3A9A1E}" srcId="{6BB7F493-E0C8-4799-89F5-C176BF301564}" destId="{66769664-39FE-4A48-8EE0-7251CD49C9B4}" srcOrd="2" destOrd="0" parTransId="{6F970E50-DA3F-440C-AF57-005374A58979}" sibTransId="{D89C3E2E-661B-45CD-9728-F34455947530}"/>
    <dgm:cxn modelId="{9ECAE857-3144-4A04-8602-760D96E6C0FF}" type="presOf" srcId="{8C088C65-D0C5-4777-94B1-117A75A674DE}" destId="{094DFEF4-3408-487C-9251-4F2EB0E5303D}" srcOrd="0" destOrd="0" presId="urn:microsoft.com/office/officeart/2005/8/layout/radial3"/>
    <dgm:cxn modelId="{01B98E89-6E5F-43EA-AD94-8808082F5317}" type="presOf" srcId="{0BC9C844-5DE1-430E-97D8-CE951ABEC32D}" destId="{9D7E25A1-2E8B-4088-9034-DD2A43E6EBDF}" srcOrd="0" destOrd="0" presId="urn:microsoft.com/office/officeart/2005/8/layout/radial3"/>
    <dgm:cxn modelId="{77D2BC99-9ABE-478F-9D2F-71298EB1B0B4}" type="presOf" srcId="{6BB7F493-E0C8-4799-89F5-C176BF301564}" destId="{487B8CE9-2889-4A6C-B142-ECD185A9E301}" srcOrd="0" destOrd="0" presId="urn:microsoft.com/office/officeart/2005/8/layout/radial3"/>
    <dgm:cxn modelId="{56D620A1-9204-46DD-A717-5B122E88F1CC}" type="presOf" srcId="{66769664-39FE-4A48-8EE0-7251CD49C9B4}" destId="{46ABD5A5-E4DC-4F09-A894-39AE1D1BF9C2}" srcOrd="0" destOrd="0" presId="urn:microsoft.com/office/officeart/2005/8/layout/radial3"/>
    <dgm:cxn modelId="{306B81AF-1BE6-4E9C-B2CB-13A16200C3B1}" type="presOf" srcId="{F44ADF9F-8FA9-45E6-A28B-4690F2CEB355}" destId="{640CB635-F330-4B1A-9C73-54F4343D7A65}" srcOrd="0" destOrd="0" presId="urn:microsoft.com/office/officeart/2005/8/layout/radial3"/>
    <dgm:cxn modelId="{3285D8BC-EA82-45FE-A650-8C273C3E9945}" srcId="{6BB7F493-E0C8-4799-89F5-C176BF301564}" destId="{8C088C65-D0C5-4777-94B1-117A75A674DE}" srcOrd="1" destOrd="0" parTransId="{725AD72D-7DF3-4C50-82CB-CB8CB13B03BA}" sibTransId="{620E4421-091F-4BE3-8516-7C00F8F69B81}"/>
    <dgm:cxn modelId="{8E7C3CE6-90F7-47F0-BF9E-1B13A921806F}" type="presOf" srcId="{2E81A111-4128-4921-B2CA-920E83B998C1}" destId="{6767EBED-B608-484C-9D7D-4CF4FFCA8DD9}" srcOrd="0" destOrd="0" presId="urn:microsoft.com/office/officeart/2005/8/layout/radial3"/>
    <dgm:cxn modelId="{103848FC-EE2D-4A27-A07F-244C2340369F}" type="presParOf" srcId="{6767EBED-B608-484C-9D7D-4CF4FFCA8DD9}" destId="{1E4BF8FA-EB74-4A9E-9D83-9FFA5A353039}" srcOrd="0" destOrd="0" presId="urn:microsoft.com/office/officeart/2005/8/layout/radial3"/>
    <dgm:cxn modelId="{7D9BBA2A-9D65-4B52-A3C9-8C97286219C4}" type="presParOf" srcId="{1E4BF8FA-EB74-4A9E-9D83-9FFA5A353039}" destId="{487B8CE9-2889-4A6C-B142-ECD185A9E301}" srcOrd="0" destOrd="0" presId="urn:microsoft.com/office/officeart/2005/8/layout/radial3"/>
    <dgm:cxn modelId="{DA8C76D9-4717-4D2C-BB72-5AE7C3D44192}" type="presParOf" srcId="{1E4BF8FA-EB74-4A9E-9D83-9FFA5A353039}" destId="{640CB635-F330-4B1A-9C73-54F4343D7A65}" srcOrd="1" destOrd="0" presId="urn:microsoft.com/office/officeart/2005/8/layout/radial3"/>
    <dgm:cxn modelId="{E65F02EB-6C90-42E9-AD58-4A58EE60B8B7}" type="presParOf" srcId="{1E4BF8FA-EB74-4A9E-9D83-9FFA5A353039}" destId="{094DFEF4-3408-487C-9251-4F2EB0E5303D}" srcOrd="2" destOrd="0" presId="urn:microsoft.com/office/officeart/2005/8/layout/radial3"/>
    <dgm:cxn modelId="{DEBB8BDF-8305-4B66-9164-52C7C2DDA9EA}" type="presParOf" srcId="{1E4BF8FA-EB74-4A9E-9D83-9FFA5A353039}" destId="{46ABD5A5-E4DC-4F09-A894-39AE1D1BF9C2}" srcOrd="3" destOrd="0" presId="urn:microsoft.com/office/officeart/2005/8/layout/radial3"/>
    <dgm:cxn modelId="{3671387C-A2F6-4D5A-A38F-57A9164A8A96}" type="presParOf" srcId="{1E4BF8FA-EB74-4A9E-9D83-9FFA5A353039}" destId="{9D7E25A1-2E8B-4088-9034-DD2A43E6EBDF}" srcOrd="4" destOrd="0" presId="urn:microsoft.com/office/officeart/2005/8/layout/radial3"/>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EEAACA-CF74-4C04-805A-243AF546C3EC}">
      <dsp:nvSpPr>
        <dsp:cNvPr id="0" name=""/>
        <dsp:cNvSpPr/>
      </dsp:nvSpPr>
      <dsp:spPr>
        <a:xfrm>
          <a:off x="1402755" y="916963"/>
          <a:ext cx="704377" cy="704377"/>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Times New Roman" panose="02020603050405020304" pitchFamily="18" charset="0"/>
              <a:cs typeface="Times New Roman" panose="02020603050405020304" pitchFamily="18" charset="0"/>
            </a:rPr>
            <a:t>Event Overview and Stakeholders</a:t>
          </a:r>
          <a:endParaRPr lang="en-US" sz="700" kern="1200">
            <a:latin typeface="Times New Roman" panose="02020603050405020304" pitchFamily="18" charset="0"/>
            <a:cs typeface="Times New Roman" panose="02020603050405020304" pitchFamily="18" charset="0"/>
          </a:endParaRPr>
        </a:p>
      </dsp:txBody>
      <dsp:txXfrm>
        <a:off x="1505909" y="1020117"/>
        <a:ext cx="498069" cy="498069"/>
      </dsp:txXfrm>
    </dsp:sp>
    <dsp:sp modelId="{E5CC30D2-1ED2-4C35-A0C3-768F2703ABB2}">
      <dsp:nvSpPr>
        <dsp:cNvPr id="0" name=""/>
        <dsp:cNvSpPr/>
      </dsp:nvSpPr>
      <dsp:spPr>
        <a:xfrm rot="16200000">
          <a:off x="1649156" y="793113"/>
          <a:ext cx="211575" cy="36123"/>
        </a:xfrm>
        <a:custGeom>
          <a:avLst/>
          <a:gdLst/>
          <a:ahLst/>
          <a:cxnLst/>
          <a:rect l="0" t="0" r="0" b="0"/>
          <a:pathLst>
            <a:path>
              <a:moveTo>
                <a:pt x="0" y="18061"/>
              </a:moveTo>
              <a:lnTo>
                <a:pt x="211575" y="18061"/>
              </a:lnTo>
            </a:path>
          </a:pathLst>
        </a:custGeom>
        <a:noFill/>
        <a:ln w="1905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49655" y="805885"/>
        <a:ext cx="10578" cy="10578"/>
      </dsp:txXfrm>
    </dsp:sp>
    <dsp:sp modelId="{133A217D-6282-4D8C-86FF-9182BAF5D44E}">
      <dsp:nvSpPr>
        <dsp:cNvPr id="0" name=""/>
        <dsp:cNvSpPr/>
      </dsp:nvSpPr>
      <dsp:spPr>
        <a:xfrm>
          <a:off x="1402755" y="1010"/>
          <a:ext cx="704377" cy="704377"/>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Times New Roman" panose="02020603050405020304" pitchFamily="18" charset="0"/>
              <a:cs typeface="Times New Roman" panose="02020603050405020304" pitchFamily="18" charset="0"/>
            </a:rPr>
            <a:t>Organisers:</a:t>
          </a:r>
          <a:r>
            <a:rPr lang="en-GB" sz="700" kern="1200">
              <a:latin typeface="Times New Roman" panose="02020603050405020304" pitchFamily="18" charset="0"/>
              <a:cs typeface="Times New Roman" panose="02020603050405020304" pitchFamily="18" charset="0"/>
            </a:rPr>
            <a:t> </a:t>
          </a:r>
          <a:endParaRPr lang="en-US" sz="700" kern="1200">
            <a:latin typeface="Times New Roman" panose="02020603050405020304" pitchFamily="18" charset="0"/>
            <a:cs typeface="Times New Roman" panose="02020603050405020304" pitchFamily="18" charset="0"/>
          </a:endParaRPr>
        </a:p>
      </dsp:txBody>
      <dsp:txXfrm>
        <a:off x="1505909" y="104164"/>
        <a:ext cx="498069" cy="498069"/>
      </dsp:txXfrm>
    </dsp:sp>
    <dsp:sp modelId="{31F11E8F-7C02-414B-BF84-699CF107F6B0}">
      <dsp:nvSpPr>
        <dsp:cNvPr id="0" name=""/>
        <dsp:cNvSpPr/>
      </dsp:nvSpPr>
      <dsp:spPr>
        <a:xfrm rot="20520000">
          <a:off x="2084718" y="1109567"/>
          <a:ext cx="211575" cy="36123"/>
        </a:xfrm>
        <a:custGeom>
          <a:avLst/>
          <a:gdLst/>
          <a:ahLst/>
          <a:cxnLst/>
          <a:rect l="0" t="0" r="0" b="0"/>
          <a:pathLst>
            <a:path>
              <a:moveTo>
                <a:pt x="0" y="18061"/>
              </a:moveTo>
              <a:lnTo>
                <a:pt x="211575" y="18061"/>
              </a:lnTo>
            </a:path>
          </a:pathLst>
        </a:custGeom>
        <a:noFill/>
        <a:ln w="1905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85216" y="1122339"/>
        <a:ext cx="10578" cy="10578"/>
      </dsp:txXfrm>
    </dsp:sp>
    <dsp:sp modelId="{FB5E8867-311B-4549-9070-314E7DDCFD4B}">
      <dsp:nvSpPr>
        <dsp:cNvPr id="0" name=""/>
        <dsp:cNvSpPr/>
      </dsp:nvSpPr>
      <dsp:spPr>
        <a:xfrm>
          <a:off x="2273879" y="633918"/>
          <a:ext cx="704377" cy="704377"/>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Times New Roman" panose="02020603050405020304" pitchFamily="18" charset="0"/>
              <a:cs typeface="Times New Roman" panose="02020603050405020304" pitchFamily="18" charset="0"/>
            </a:rPr>
            <a:t>Sponsors and Exhibitors:</a:t>
          </a:r>
          <a:r>
            <a:rPr lang="en-GB" sz="700" kern="1200">
              <a:latin typeface="Times New Roman" panose="02020603050405020304" pitchFamily="18" charset="0"/>
              <a:cs typeface="Times New Roman" panose="02020603050405020304" pitchFamily="18" charset="0"/>
            </a:rPr>
            <a:t> </a:t>
          </a:r>
          <a:endParaRPr lang="en-US" sz="700" kern="1200">
            <a:latin typeface="Times New Roman" panose="02020603050405020304" pitchFamily="18" charset="0"/>
            <a:cs typeface="Times New Roman" panose="02020603050405020304" pitchFamily="18" charset="0"/>
          </a:endParaRPr>
        </a:p>
      </dsp:txBody>
      <dsp:txXfrm>
        <a:off x="2377033" y="737072"/>
        <a:ext cx="498069" cy="498069"/>
      </dsp:txXfrm>
    </dsp:sp>
    <dsp:sp modelId="{5A7B8D44-15B8-404A-A4EF-8EFB94D7FDCB}">
      <dsp:nvSpPr>
        <dsp:cNvPr id="0" name=""/>
        <dsp:cNvSpPr/>
      </dsp:nvSpPr>
      <dsp:spPr>
        <a:xfrm rot="3240000">
          <a:off x="1918348" y="1621601"/>
          <a:ext cx="211575" cy="36123"/>
        </a:xfrm>
        <a:custGeom>
          <a:avLst/>
          <a:gdLst/>
          <a:ahLst/>
          <a:cxnLst/>
          <a:rect l="0" t="0" r="0" b="0"/>
          <a:pathLst>
            <a:path>
              <a:moveTo>
                <a:pt x="0" y="18061"/>
              </a:moveTo>
              <a:lnTo>
                <a:pt x="211575" y="18061"/>
              </a:lnTo>
            </a:path>
          </a:pathLst>
        </a:custGeom>
        <a:noFill/>
        <a:ln w="1905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018846" y="1634373"/>
        <a:ext cx="10578" cy="10578"/>
      </dsp:txXfrm>
    </dsp:sp>
    <dsp:sp modelId="{1FAE62F2-E328-4E5C-80DB-465D241E7CD0}">
      <dsp:nvSpPr>
        <dsp:cNvPr id="0" name=""/>
        <dsp:cNvSpPr/>
      </dsp:nvSpPr>
      <dsp:spPr>
        <a:xfrm>
          <a:off x="1941139" y="1657984"/>
          <a:ext cx="704377" cy="704377"/>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Times New Roman" panose="02020603050405020304" pitchFamily="18" charset="0"/>
              <a:cs typeface="Times New Roman" panose="02020603050405020304" pitchFamily="18" charset="0"/>
            </a:rPr>
            <a:t>Delegates:</a:t>
          </a:r>
          <a:r>
            <a:rPr lang="en-GB" sz="700" kern="1200">
              <a:latin typeface="Times New Roman" panose="02020603050405020304" pitchFamily="18" charset="0"/>
              <a:cs typeface="Times New Roman" panose="02020603050405020304" pitchFamily="18" charset="0"/>
            </a:rPr>
            <a:t> </a:t>
          </a:r>
          <a:endParaRPr lang="en-US" sz="700" kern="1200">
            <a:latin typeface="Times New Roman" panose="02020603050405020304" pitchFamily="18" charset="0"/>
            <a:cs typeface="Times New Roman" panose="02020603050405020304" pitchFamily="18" charset="0"/>
          </a:endParaRPr>
        </a:p>
      </dsp:txBody>
      <dsp:txXfrm>
        <a:off x="2044293" y="1761138"/>
        <a:ext cx="498069" cy="498069"/>
      </dsp:txXfrm>
    </dsp:sp>
    <dsp:sp modelId="{937FA260-3F82-45AC-B6F3-0184BEFD31A0}">
      <dsp:nvSpPr>
        <dsp:cNvPr id="0" name=""/>
        <dsp:cNvSpPr/>
      </dsp:nvSpPr>
      <dsp:spPr>
        <a:xfrm rot="7560000">
          <a:off x="1379964" y="1621601"/>
          <a:ext cx="211575" cy="36123"/>
        </a:xfrm>
        <a:custGeom>
          <a:avLst/>
          <a:gdLst/>
          <a:ahLst/>
          <a:cxnLst/>
          <a:rect l="0" t="0" r="0" b="0"/>
          <a:pathLst>
            <a:path>
              <a:moveTo>
                <a:pt x="0" y="18061"/>
              </a:moveTo>
              <a:lnTo>
                <a:pt x="211575" y="18061"/>
              </a:lnTo>
            </a:path>
          </a:pathLst>
        </a:custGeom>
        <a:noFill/>
        <a:ln w="1905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480463" y="1634373"/>
        <a:ext cx="10578" cy="10578"/>
      </dsp:txXfrm>
    </dsp:sp>
    <dsp:sp modelId="{29F135CE-F271-4D8B-9DE3-996D4DE5CDF5}">
      <dsp:nvSpPr>
        <dsp:cNvPr id="0" name=""/>
        <dsp:cNvSpPr/>
      </dsp:nvSpPr>
      <dsp:spPr>
        <a:xfrm>
          <a:off x="864372" y="1657984"/>
          <a:ext cx="704377" cy="704377"/>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Times New Roman" panose="02020603050405020304" pitchFamily="18" charset="0"/>
              <a:cs typeface="Times New Roman" panose="02020603050405020304" pitchFamily="18" charset="0"/>
            </a:rPr>
            <a:t>Destination Authorities</a:t>
          </a:r>
          <a:endParaRPr lang="en-US" sz="700" kern="1200">
            <a:latin typeface="Times New Roman" panose="02020603050405020304" pitchFamily="18" charset="0"/>
            <a:cs typeface="Times New Roman" panose="02020603050405020304" pitchFamily="18" charset="0"/>
          </a:endParaRPr>
        </a:p>
      </dsp:txBody>
      <dsp:txXfrm>
        <a:off x="967526" y="1761138"/>
        <a:ext cx="498069" cy="498069"/>
      </dsp:txXfrm>
    </dsp:sp>
    <dsp:sp modelId="{82CAEC57-E2BA-48D0-AE00-FAD32DD6D7DA}">
      <dsp:nvSpPr>
        <dsp:cNvPr id="0" name=""/>
        <dsp:cNvSpPr/>
      </dsp:nvSpPr>
      <dsp:spPr>
        <a:xfrm rot="11880000">
          <a:off x="1213594" y="1109567"/>
          <a:ext cx="211575" cy="36123"/>
        </a:xfrm>
        <a:custGeom>
          <a:avLst/>
          <a:gdLst/>
          <a:ahLst/>
          <a:cxnLst/>
          <a:rect l="0" t="0" r="0" b="0"/>
          <a:pathLst>
            <a:path>
              <a:moveTo>
                <a:pt x="0" y="18061"/>
              </a:moveTo>
              <a:lnTo>
                <a:pt x="211575" y="18061"/>
              </a:lnTo>
            </a:path>
          </a:pathLst>
        </a:custGeom>
        <a:noFill/>
        <a:ln w="1905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314093" y="1122339"/>
        <a:ext cx="10578" cy="10578"/>
      </dsp:txXfrm>
    </dsp:sp>
    <dsp:sp modelId="{6A559155-426C-4D76-BDC7-EBD2491D9DD3}">
      <dsp:nvSpPr>
        <dsp:cNvPr id="0" name=""/>
        <dsp:cNvSpPr/>
      </dsp:nvSpPr>
      <dsp:spPr>
        <a:xfrm>
          <a:off x="531632" y="633918"/>
          <a:ext cx="704377" cy="704377"/>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b="1" kern="1200">
              <a:latin typeface="Times New Roman" panose="02020603050405020304" pitchFamily="18" charset="0"/>
              <a:cs typeface="Times New Roman" panose="02020603050405020304" pitchFamily="18" charset="0"/>
            </a:rPr>
            <a:t>Partner in the venue</a:t>
          </a:r>
          <a:endParaRPr lang="en-US" sz="700" kern="1200">
            <a:latin typeface="Times New Roman" panose="02020603050405020304" pitchFamily="18" charset="0"/>
            <a:cs typeface="Times New Roman" panose="02020603050405020304" pitchFamily="18" charset="0"/>
          </a:endParaRPr>
        </a:p>
      </dsp:txBody>
      <dsp:txXfrm>
        <a:off x="634786" y="737072"/>
        <a:ext cx="498069" cy="49806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E26977-2424-4567-9C73-79BA22B37C9F}">
      <dsp:nvSpPr>
        <dsp:cNvPr id="0" name=""/>
        <dsp:cNvSpPr/>
      </dsp:nvSpPr>
      <dsp:spPr>
        <a:xfrm>
          <a:off x="1731342" y="880247"/>
          <a:ext cx="532539" cy="532539"/>
        </a:xfrm>
        <a:prstGeom prst="ellipse">
          <a:avLst/>
        </a:prstGeom>
        <a:gradFill rotWithShape="0">
          <a:gsLst>
            <a:gs pos="0">
              <a:schemeClr val="accent2">
                <a:shade val="60000"/>
                <a:hueOff val="0"/>
                <a:satOff val="0"/>
                <a:lumOff val="0"/>
                <a:alphaOff val="0"/>
                <a:satMod val="103000"/>
                <a:lumMod val="102000"/>
                <a:tint val="94000"/>
              </a:schemeClr>
            </a:gs>
            <a:gs pos="50000">
              <a:schemeClr val="accent2">
                <a:shade val="60000"/>
                <a:hueOff val="0"/>
                <a:satOff val="0"/>
                <a:lumOff val="0"/>
                <a:alphaOff val="0"/>
                <a:satMod val="110000"/>
                <a:lumMod val="100000"/>
                <a:shade val="100000"/>
              </a:schemeClr>
            </a:gs>
            <a:gs pos="100000">
              <a:schemeClr val="accent2">
                <a:shade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Trends and Innovation</a:t>
          </a:r>
          <a:endParaRPr lang="en-US" sz="600" kern="1200"/>
        </a:p>
      </dsp:txBody>
      <dsp:txXfrm>
        <a:off x="1809331" y="958236"/>
        <a:ext cx="376561" cy="376561"/>
      </dsp:txXfrm>
    </dsp:sp>
    <dsp:sp modelId="{776100A0-A98B-4C08-9405-94E7F84AA35A}">
      <dsp:nvSpPr>
        <dsp:cNvPr id="0" name=""/>
        <dsp:cNvSpPr/>
      </dsp:nvSpPr>
      <dsp:spPr>
        <a:xfrm rot="16200000">
          <a:off x="1941032" y="695941"/>
          <a:ext cx="113160" cy="161506"/>
        </a:xfrm>
        <a:prstGeom prst="rightArrow">
          <a:avLst>
            <a:gd name="adj1" fmla="val 60000"/>
            <a:gd name="adj2" fmla="val 50000"/>
          </a:avLst>
        </a:prstGeom>
        <a:gradFill rotWithShape="0">
          <a:gsLst>
            <a:gs pos="0">
              <a:schemeClr val="accent2">
                <a:shade val="90000"/>
                <a:hueOff val="0"/>
                <a:satOff val="0"/>
                <a:lumOff val="0"/>
                <a:alphaOff val="0"/>
                <a:satMod val="103000"/>
                <a:lumMod val="102000"/>
                <a:tint val="94000"/>
              </a:schemeClr>
            </a:gs>
            <a:gs pos="50000">
              <a:schemeClr val="accent2">
                <a:shade val="90000"/>
                <a:hueOff val="0"/>
                <a:satOff val="0"/>
                <a:lumOff val="0"/>
                <a:alphaOff val="0"/>
                <a:satMod val="110000"/>
                <a:lumMod val="100000"/>
                <a:shade val="100000"/>
              </a:schemeClr>
            </a:gs>
            <a:gs pos="100000">
              <a:schemeClr val="accent2">
                <a:shade val="9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958006" y="745216"/>
        <a:ext cx="79212" cy="96904"/>
      </dsp:txXfrm>
    </dsp:sp>
    <dsp:sp modelId="{4ABEC2ED-4744-4F63-AA46-7D28E9DAC968}">
      <dsp:nvSpPr>
        <dsp:cNvPr id="0" name=""/>
        <dsp:cNvSpPr/>
      </dsp:nvSpPr>
      <dsp:spPr>
        <a:xfrm>
          <a:off x="1664775" y="1061"/>
          <a:ext cx="665674" cy="665674"/>
        </a:xfrm>
        <a:prstGeom prst="ellipse">
          <a:avLst/>
        </a:prstGeom>
        <a:gradFill rotWithShape="0">
          <a:gsLst>
            <a:gs pos="0">
              <a:schemeClr val="accent2">
                <a:shade val="50000"/>
                <a:hueOff val="0"/>
                <a:satOff val="0"/>
                <a:lumOff val="0"/>
                <a:alphaOff val="0"/>
                <a:satMod val="103000"/>
                <a:lumMod val="102000"/>
                <a:tint val="94000"/>
              </a:schemeClr>
            </a:gs>
            <a:gs pos="50000">
              <a:schemeClr val="accent2">
                <a:shade val="50000"/>
                <a:hueOff val="0"/>
                <a:satOff val="0"/>
                <a:lumOff val="0"/>
                <a:alphaOff val="0"/>
                <a:satMod val="110000"/>
                <a:lumMod val="100000"/>
                <a:shade val="100000"/>
              </a:schemeClr>
            </a:gs>
            <a:gs pos="100000">
              <a:schemeClr val="accent2">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1. Technology and Hybridisation</a:t>
          </a:r>
          <a:endParaRPr lang="en-US" sz="500" kern="1200">
            <a:latin typeface="Times New Roman" panose="02020603050405020304" pitchFamily="18" charset="0"/>
            <a:cs typeface="Times New Roman" panose="02020603050405020304" pitchFamily="18" charset="0"/>
          </a:endParaRPr>
        </a:p>
      </dsp:txBody>
      <dsp:txXfrm>
        <a:off x="1762261" y="98547"/>
        <a:ext cx="470702" cy="470702"/>
      </dsp:txXfrm>
    </dsp:sp>
    <dsp:sp modelId="{158D938D-7C4C-42AC-B717-AD363C7DC419}">
      <dsp:nvSpPr>
        <dsp:cNvPr id="0" name=""/>
        <dsp:cNvSpPr/>
      </dsp:nvSpPr>
      <dsp:spPr>
        <a:xfrm>
          <a:off x="2310854" y="1065763"/>
          <a:ext cx="113160" cy="161506"/>
        </a:xfrm>
        <a:prstGeom prst="rightArrow">
          <a:avLst>
            <a:gd name="adj1" fmla="val 60000"/>
            <a:gd name="adj2" fmla="val 50000"/>
          </a:avLst>
        </a:prstGeom>
        <a:gradFill rotWithShape="0">
          <a:gsLst>
            <a:gs pos="0">
              <a:schemeClr val="accent2">
                <a:shade val="90000"/>
                <a:hueOff val="-267410"/>
                <a:satOff val="-568"/>
                <a:lumOff val="16162"/>
                <a:alphaOff val="0"/>
                <a:satMod val="103000"/>
                <a:lumMod val="102000"/>
                <a:tint val="94000"/>
              </a:schemeClr>
            </a:gs>
            <a:gs pos="50000">
              <a:schemeClr val="accent2">
                <a:shade val="90000"/>
                <a:hueOff val="-267410"/>
                <a:satOff val="-568"/>
                <a:lumOff val="16162"/>
                <a:alphaOff val="0"/>
                <a:satMod val="110000"/>
                <a:lumMod val="100000"/>
                <a:shade val="100000"/>
              </a:schemeClr>
            </a:gs>
            <a:gs pos="100000">
              <a:schemeClr val="accent2">
                <a:shade val="90000"/>
                <a:hueOff val="-267410"/>
                <a:satOff val="-568"/>
                <a:lumOff val="1616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10854" y="1098064"/>
        <a:ext cx="79212" cy="96904"/>
      </dsp:txXfrm>
    </dsp:sp>
    <dsp:sp modelId="{B84B2D02-1E26-4B85-84C7-D833B2A3EC5A}">
      <dsp:nvSpPr>
        <dsp:cNvPr id="0" name=""/>
        <dsp:cNvSpPr/>
      </dsp:nvSpPr>
      <dsp:spPr>
        <a:xfrm>
          <a:off x="2477392" y="813679"/>
          <a:ext cx="665674" cy="665674"/>
        </a:xfrm>
        <a:prstGeom prst="ellipse">
          <a:avLst/>
        </a:prstGeom>
        <a:gradFill rotWithShape="0">
          <a:gsLst>
            <a:gs pos="0">
              <a:schemeClr val="accent2">
                <a:shade val="50000"/>
                <a:hueOff val="-274425"/>
                <a:satOff val="2186"/>
                <a:lumOff val="23372"/>
                <a:alphaOff val="0"/>
                <a:satMod val="103000"/>
                <a:lumMod val="102000"/>
                <a:tint val="94000"/>
              </a:schemeClr>
            </a:gs>
            <a:gs pos="50000">
              <a:schemeClr val="accent2">
                <a:shade val="50000"/>
                <a:hueOff val="-274425"/>
                <a:satOff val="2186"/>
                <a:lumOff val="23372"/>
                <a:alphaOff val="0"/>
                <a:satMod val="110000"/>
                <a:lumMod val="100000"/>
                <a:shade val="100000"/>
              </a:schemeClr>
            </a:gs>
            <a:gs pos="100000">
              <a:schemeClr val="accent2">
                <a:shade val="50000"/>
                <a:hueOff val="-274425"/>
                <a:satOff val="2186"/>
                <a:lumOff val="2337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2. Sustainability and ESG Focus</a:t>
          </a:r>
          <a:endParaRPr lang="en-US" sz="500" kern="1200">
            <a:latin typeface="Times New Roman" panose="02020603050405020304" pitchFamily="18" charset="0"/>
            <a:cs typeface="Times New Roman" panose="02020603050405020304" pitchFamily="18" charset="0"/>
          </a:endParaRPr>
        </a:p>
      </dsp:txBody>
      <dsp:txXfrm>
        <a:off x="2574878" y="911165"/>
        <a:ext cx="470702" cy="470702"/>
      </dsp:txXfrm>
    </dsp:sp>
    <dsp:sp modelId="{A001116F-9830-44A6-8E8A-0C584B9A0D68}">
      <dsp:nvSpPr>
        <dsp:cNvPr id="0" name=""/>
        <dsp:cNvSpPr/>
      </dsp:nvSpPr>
      <dsp:spPr>
        <a:xfrm rot="5400000">
          <a:off x="1941032" y="1435586"/>
          <a:ext cx="113160" cy="161506"/>
        </a:xfrm>
        <a:prstGeom prst="rightArrow">
          <a:avLst>
            <a:gd name="adj1" fmla="val 60000"/>
            <a:gd name="adj2" fmla="val 50000"/>
          </a:avLst>
        </a:prstGeom>
        <a:gradFill rotWithShape="0">
          <a:gsLst>
            <a:gs pos="0">
              <a:schemeClr val="accent2">
                <a:shade val="90000"/>
                <a:hueOff val="-534820"/>
                <a:satOff val="-1136"/>
                <a:lumOff val="32325"/>
                <a:alphaOff val="0"/>
                <a:satMod val="103000"/>
                <a:lumMod val="102000"/>
                <a:tint val="94000"/>
              </a:schemeClr>
            </a:gs>
            <a:gs pos="50000">
              <a:schemeClr val="accent2">
                <a:shade val="90000"/>
                <a:hueOff val="-534820"/>
                <a:satOff val="-1136"/>
                <a:lumOff val="32325"/>
                <a:alphaOff val="0"/>
                <a:satMod val="110000"/>
                <a:lumMod val="100000"/>
                <a:shade val="100000"/>
              </a:schemeClr>
            </a:gs>
            <a:gs pos="100000">
              <a:schemeClr val="accent2">
                <a:shade val="90000"/>
                <a:hueOff val="-534820"/>
                <a:satOff val="-1136"/>
                <a:lumOff val="3232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958006" y="1450913"/>
        <a:ext cx="79212" cy="96904"/>
      </dsp:txXfrm>
    </dsp:sp>
    <dsp:sp modelId="{A6F170BF-EECC-4F01-9D21-6D9A09180821}">
      <dsp:nvSpPr>
        <dsp:cNvPr id="0" name=""/>
        <dsp:cNvSpPr/>
      </dsp:nvSpPr>
      <dsp:spPr>
        <a:xfrm>
          <a:off x="1664775" y="1626297"/>
          <a:ext cx="665674" cy="665674"/>
        </a:xfrm>
        <a:prstGeom prst="ellipse">
          <a:avLst/>
        </a:prstGeom>
        <a:gradFill rotWithShape="0">
          <a:gsLst>
            <a:gs pos="0">
              <a:schemeClr val="accent2">
                <a:shade val="50000"/>
                <a:hueOff val="-548849"/>
                <a:satOff val="4372"/>
                <a:lumOff val="46744"/>
                <a:alphaOff val="0"/>
                <a:satMod val="103000"/>
                <a:lumMod val="102000"/>
                <a:tint val="94000"/>
              </a:schemeClr>
            </a:gs>
            <a:gs pos="50000">
              <a:schemeClr val="accent2">
                <a:shade val="50000"/>
                <a:hueOff val="-548849"/>
                <a:satOff val="4372"/>
                <a:lumOff val="46744"/>
                <a:alphaOff val="0"/>
                <a:satMod val="110000"/>
                <a:lumMod val="100000"/>
                <a:shade val="100000"/>
              </a:schemeClr>
            </a:gs>
            <a:gs pos="100000">
              <a:schemeClr val="accent2">
                <a:shade val="50000"/>
                <a:hueOff val="-548849"/>
                <a:satOff val="4372"/>
                <a:lumOff val="4674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3. Personalisation and Experiential Design</a:t>
          </a:r>
          <a:endParaRPr lang="en-US" sz="500" kern="1200">
            <a:latin typeface="Times New Roman" panose="02020603050405020304" pitchFamily="18" charset="0"/>
            <a:cs typeface="Times New Roman" panose="02020603050405020304" pitchFamily="18" charset="0"/>
          </a:endParaRPr>
        </a:p>
      </dsp:txBody>
      <dsp:txXfrm>
        <a:off x="1762261" y="1723783"/>
        <a:ext cx="470702" cy="470702"/>
      </dsp:txXfrm>
    </dsp:sp>
    <dsp:sp modelId="{A5C85B4E-A093-48B6-B373-D5D3592CBC12}">
      <dsp:nvSpPr>
        <dsp:cNvPr id="0" name=""/>
        <dsp:cNvSpPr/>
      </dsp:nvSpPr>
      <dsp:spPr>
        <a:xfrm rot="10800000">
          <a:off x="1571209" y="1065763"/>
          <a:ext cx="113160" cy="161506"/>
        </a:xfrm>
        <a:prstGeom prst="rightArrow">
          <a:avLst>
            <a:gd name="adj1" fmla="val 60000"/>
            <a:gd name="adj2" fmla="val 50000"/>
          </a:avLst>
        </a:prstGeom>
        <a:gradFill rotWithShape="0">
          <a:gsLst>
            <a:gs pos="0">
              <a:schemeClr val="accent2">
                <a:shade val="90000"/>
                <a:hueOff val="-267410"/>
                <a:satOff val="-568"/>
                <a:lumOff val="16162"/>
                <a:alphaOff val="0"/>
                <a:satMod val="103000"/>
                <a:lumMod val="102000"/>
                <a:tint val="94000"/>
              </a:schemeClr>
            </a:gs>
            <a:gs pos="50000">
              <a:schemeClr val="accent2">
                <a:shade val="90000"/>
                <a:hueOff val="-267410"/>
                <a:satOff val="-568"/>
                <a:lumOff val="16162"/>
                <a:alphaOff val="0"/>
                <a:satMod val="110000"/>
                <a:lumMod val="100000"/>
                <a:shade val="100000"/>
              </a:schemeClr>
            </a:gs>
            <a:gs pos="100000">
              <a:schemeClr val="accent2">
                <a:shade val="90000"/>
                <a:hueOff val="-267410"/>
                <a:satOff val="-568"/>
                <a:lumOff val="1616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605157" y="1098064"/>
        <a:ext cx="79212" cy="96904"/>
      </dsp:txXfrm>
    </dsp:sp>
    <dsp:sp modelId="{D126E827-2E2F-4445-8FBF-D65EC4C35CA9}">
      <dsp:nvSpPr>
        <dsp:cNvPr id="0" name=""/>
        <dsp:cNvSpPr/>
      </dsp:nvSpPr>
      <dsp:spPr>
        <a:xfrm>
          <a:off x="852157" y="813679"/>
          <a:ext cx="665674" cy="665674"/>
        </a:xfrm>
        <a:prstGeom prst="ellipse">
          <a:avLst/>
        </a:prstGeom>
        <a:gradFill rotWithShape="0">
          <a:gsLst>
            <a:gs pos="0">
              <a:schemeClr val="accent2">
                <a:shade val="50000"/>
                <a:hueOff val="-274425"/>
                <a:satOff val="2186"/>
                <a:lumOff val="23372"/>
                <a:alphaOff val="0"/>
                <a:satMod val="103000"/>
                <a:lumMod val="102000"/>
                <a:tint val="94000"/>
              </a:schemeClr>
            </a:gs>
            <a:gs pos="50000">
              <a:schemeClr val="accent2">
                <a:shade val="50000"/>
                <a:hueOff val="-274425"/>
                <a:satOff val="2186"/>
                <a:lumOff val="23372"/>
                <a:alphaOff val="0"/>
                <a:satMod val="110000"/>
                <a:lumMod val="100000"/>
                <a:shade val="100000"/>
              </a:schemeClr>
            </a:gs>
            <a:gs pos="100000">
              <a:schemeClr val="accent2">
                <a:shade val="50000"/>
                <a:hueOff val="-274425"/>
                <a:satOff val="2186"/>
                <a:lumOff val="2337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4. Wellness and Work–Life Balance</a:t>
          </a:r>
          <a:endParaRPr lang="en-US" sz="500" kern="1200">
            <a:latin typeface="Times New Roman" panose="02020603050405020304" pitchFamily="18" charset="0"/>
            <a:cs typeface="Times New Roman" panose="02020603050405020304" pitchFamily="18" charset="0"/>
          </a:endParaRPr>
        </a:p>
      </dsp:txBody>
      <dsp:txXfrm>
        <a:off x="949643" y="911165"/>
        <a:ext cx="470702" cy="47070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E943C6-5E39-419A-B7AE-7C2768205DC2}">
      <dsp:nvSpPr>
        <dsp:cNvPr id="0" name=""/>
        <dsp:cNvSpPr/>
      </dsp:nvSpPr>
      <dsp:spPr>
        <a:xfrm>
          <a:off x="1243048" y="614358"/>
          <a:ext cx="1424134" cy="1424134"/>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Operational Challenges, Risks, and Legal Considerations</a:t>
          </a:r>
          <a:endParaRPr lang="en-US" sz="1200" kern="1200">
            <a:latin typeface="Times New Roman" panose="02020603050405020304" pitchFamily="18" charset="0"/>
            <a:cs typeface="Times New Roman" panose="02020603050405020304" pitchFamily="18" charset="0"/>
          </a:endParaRPr>
        </a:p>
      </dsp:txBody>
      <dsp:txXfrm>
        <a:off x="1451608" y="822918"/>
        <a:ext cx="1007014" cy="1007014"/>
      </dsp:txXfrm>
    </dsp:sp>
    <dsp:sp modelId="{6A1259B6-2CC4-4D60-8A9D-0725A4219BBD}">
      <dsp:nvSpPr>
        <dsp:cNvPr id="0" name=""/>
        <dsp:cNvSpPr/>
      </dsp:nvSpPr>
      <dsp:spPr>
        <a:xfrm>
          <a:off x="1599082" y="43937"/>
          <a:ext cx="712067" cy="712067"/>
        </a:xfrm>
        <a:prstGeom prst="ellipse">
          <a:avLst/>
        </a:prstGeom>
        <a:gradFill rotWithShape="0">
          <a:gsLst>
            <a:gs pos="0">
              <a:schemeClr val="accent5">
                <a:alpha val="50000"/>
                <a:hueOff val="-2430430"/>
                <a:satOff val="-165"/>
                <a:lumOff val="392"/>
                <a:alphaOff val="0"/>
                <a:satMod val="103000"/>
                <a:lumMod val="102000"/>
                <a:tint val="94000"/>
              </a:schemeClr>
            </a:gs>
            <a:gs pos="50000">
              <a:schemeClr val="accent5">
                <a:alpha val="50000"/>
                <a:hueOff val="-2430430"/>
                <a:satOff val="-165"/>
                <a:lumOff val="392"/>
                <a:alphaOff val="0"/>
                <a:satMod val="110000"/>
                <a:lumMod val="100000"/>
                <a:shade val="100000"/>
              </a:schemeClr>
            </a:gs>
            <a:gs pos="100000">
              <a:schemeClr val="accent5">
                <a:alpha val="50000"/>
                <a:hueOff val="-2430430"/>
                <a:satOff val="-165"/>
                <a:lumOff val="39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Logistics and Staffing:</a:t>
          </a:r>
          <a:endParaRPr lang="en-US" sz="500" kern="1200">
            <a:latin typeface="Times New Roman" panose="02020603050405020304" pitchFamily="18" charset="0"/>
            <a:cs typeface="Times New Roman" panose="02020603050405020304" pitchFamily="18" charset="0"/>
          </a:endParaRPr>
        </a:p>
      </dsp:txBody>
      <dsp:txXfrm>
        <a:off x="1703362" y="148217"/>
        <a:ext cx="503507" cy="503507"/>
      </dsp:txXfrm>
    </dsp:sp>
    <dsp:sp modelId="{DEAE614F-133A-4E9B-8DC5-DDB18E8D597F}">
      <dsp:nvSpPr>
        <dsp:cNvPr id="0" name=""/>
        <dsp:cNvSpPr/>
      </dsp:nvSpPr>
      <dsp:spPr>
        <a:xfrm>
          <a:off x="2480192" y="684101"/>
          <a:ext cx="712067" cy="712067"/>
        </a:xfrm>
        <a:prstGeom prst="ellipse">
          <a:avLst/>
        </a:prstGeom>
        <a:gradFill rotWithShape="0">
          <a:gsLst>
            <a:gs pos="0">
              <a:schemeClr val="accent5">
                <a:alpha val="50000"/>
                <a:hueOff val="-4860860"/>
                <a:satOff val="-330"/>
                <a:lumOff val="784"/>
                <a:alphaOff val="0"/>
                <a:satMod val="103000"/>
                <a:lumMod val="102000"/>
                <a:tint val="94000"/>
              </a:schemeClr>
            </a:gs>
            <a:gs pos="50000">
              <a:schemeClr val="accent5">
                <a:alpha val="50000"/>
                <a:hueOff val="-4860860"/>
                <a:satOff val="-330"/>
                <a:lumOff val="784"/>
                <a:alphaOff val="0"/>
                <a:satMod val="110000"/>
                <a:lumMod val="100000"/>
                <a:shade val="100000"/>
              </a:schemeClr>
            </a:gs>
            <a:gs pos="100000">
              <a:schemeClr val="accent5">
                <a:alpha val="50000"/>
                <a:hueOff val="-4860860"/>
                <a:satOff val="-330"/>
                <a:lumOff val="78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Health, Safety, and Security:</a:t>
          </a:r>
          <a:endParaRPr lang="en-US" sz="500" kern="1200">
            <a:latin typeface="Times New Roman" panose="02020603050405020304" pitchFamily="18" charset="0"/>
            <a:cs typeface="Times New Roman" panose="02020603050405020304" pitchFamily="18" charset="0"/>
          </a:endParaRPr>
        </a:p>
      </dsp:txBody>
      <dsp:txXfrm>
        <a:off x="2584472" y="788381"/>
        <a:ext cx="503507" cy="503507"/>
      </dsp:txXfrm>
    </dsp:sp>
    <dsp:sp modelId="{37AA7B80-B84B-4846-A40D-FAF0E6143638}">
      <dsp:nvSpPr>
        <dsp:cNvPr id="0" name=""/>
        <dsp:cNvSpPr/>
      </dsp:nvSpPr>
      <dsp:spPr>
        <a:xfrm>
          <a:off x="2143638" y="1719909"/>
          <a:ext cx="712067" cy="712067"/>
        </a:xfrm>
        <a:prstGeom prst="ellipse">
          <a:avLst/>
        </a:prstGeom>
        <a:gradFill rotWithShape="0">
          <a:gsLst>
            <a:gs pos="0">
              <a:schemeClr val="accent5">
                <a:alpha val="50000"/>
                <a:hueOff val="-7291290"/>
                <a:satOff val="-496"/>
                <a:lumOff val="1177"/>
                <a:alphaOff val="0"/>
                <a:satMod val="103000"/>
                <a:lumMod val="102000"/>
                <a:tint val="94000"/>
              </a:schemeClr>
            </a:gs>
            <a:gs pos="50000">
              <a:schemeClr val="accent5">
                <a:alpha val="50000"/>
                <a:hueOff val="-7291290"/>
                <a:satOff val="-496"/>
                <a:lumOff val="1177"/>
                <a:alphaOff val="0"/>
                <a:satMod val="110000"/>
                <a:lumMod val="100000"/>
                <a:shade val="100000"/>
              </a:schemeClr>
            </a:gs>
            <a:gs pos="100000">
              <a:schemeClr val="accent5">
                <a:alpha val="50000"/>
                <a:hueOff val="-7291290"/>
                <a:satOff val="-496"/>
                <a:lumOff val="117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Legal and Financial Risk:</a:t>
          </a:r>
          <a:endParaRPr lang="en-US" sz="500" kern="1200">
            <a:latin typeface="Times New Roman" panose="02020603050405020304" pitchFamily="18" charset="0"/>
            <a:cs typeface="Times New Roman" panose="02020603050405020304" pitchFamily="18" charset="0"/>
          </a:endParaRPr>
        </a:p>
      </dsp:txBody>
      <dsp:txXfrm>
        <a:off x="2247918" y="1824189"/>
        <a:ext cx="503507" cy="503507"/>
      </dsp:txXfrm>
    </dsp:sp>
    <dsp:sp modelId="{66B20488-AF8E-4288-8825-23088D29DA8A}">
      <dsp:nvSpPr>
        <dsp:cNvPr id="0" name=""/>
        <dsp:cNvSpPr/>
      </dsp:nvSpPr>
      <dsp:spPr>
        <a:xfrm>
          <a:off x="1054526" y="1719909"/>
          <a:ext cx="712067" cy="712067"/>
        </a:xfrm>
        <a:prstGeom prst="ellipse">
          <a:avLst/>
        </a:prstGeom>
        <a:gradFill rotWithShape="0">
          <a:gsLst>
            <a:gs pos="0">
              <a:schemeClr val="accent5">
                <a:alpha val="50000"/>
                <a:hueOff val="-9721720"/>
                <a:satOff val="-661"/>
                <a:lumOff val="1569"/>
                <a:alphaOff val="0"/>
                <a:satMod val="103000"/>
                <a:lumMod val="102000"/>
                <a:tint val="94000"/>
              </a:schemeClr>
            </a:gs>
            <a:gs pos="50000">
              <a:schemeClr val="accent5">
                <a:alpha val="50000"/>
                <a:hueOff val="-9721720"/>
                <a:satOff val="-661"/>
                <a:lumOff val="1569"/>
                <a:alphaOff val="0"/>
                <a:satMod val="110000"/>
                <a:lumMod val="100000"/>
                <a:shade val="100000"/>
              </a:schemeClr>
            </a:gs>
            <a:gs pos="100000">
              <a:schemeClr val="accent5">
                <a:alpha val="50000"/>
                <a:hueOff val="-9721720"/>
                <a:satOff val="-661"/>
                <a:lumOff val="156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Reputational and Environmental Risks:</a:t>
          </a:r>
          <a:endParaRPr lang="en-US" sz="500" kern="1200">
            <a:latin typeface="Times New Roman" panose="02020603050405020304" pitchFamily="18" charset="0"/>
            <a:cs typeface="Times New Roman" panose="02020603050405020304" pitchFamily="18" charset="0"/>
          </a:endParaRPr>
        </a:p>
      </dsp:txBody>
      <dsp:txXfrm>
        <a:off x="1158806" y="1824189"/>
        <a:ext cx="503507" cy="503507"/>
      </dsp:txXfrm>
    </dsp:sp>
    <dsp:sp modelId="{3224657A-30B5-48DC-9200-13075321E7A1}">
      <dsp:nvSpPr>
        <dsp:cNvPr id="0" name=""/>
        <dsp:cNvSpPr/>
      </dsp:nvSpPr>
      <dsp:spPr>
        <a:xfrm>
          <a:off x="717972" y="684101"/>
          <a:ext cx="712067" cy="712067"/>
        </a:xfrm>
        <a:prstGeom prst="ellipse">
          <a:avLst/>
        </a:prstGeom>
        <a:gradFill rotWithShape="0">
          <a:gsLst>
            <a:gs pos="0">
              <a:schemeClr val="accent5">
                <a:alpha val="50000"/>
                <a:hueOff val="-12152150"/>
                <a:satOff val="-826"/>
                <a:lumOff val="1961"/>
                <a:alphaOff val="0"/>
                <a:satMod val="103000"/>
                <a:lumMod val="102000"/>
                <a:tint val="94000"/>
              </a:schemeClr>
            </a:gs>
            <a:gs pos="50000">
              <a:schemeClr val="accent5">
                <a:alpha val="50000"/>
                <a:hueOff val="-12152150"/>
                <a:satOff val="-826"/>
                <a:lumOff val="1961"/>
                <a:alphaOff val="0"/>
                <a:satMod val="110000"/>
                <a:lumMod val="100000"/>
                <a:shade val="100000"/>
              </a:schemeClr>
            </a:gs>
            <a:gs pos="100000">
              <a:schemeClr val="accent5">
                <a:alpha val="50000"/>
                <a:hueOff val="-12152150"/>
                <a:satOff val="-826"/>
                <a:lumOff val="196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t>Tech Risks: </a:t>
          </a:r>
          <a:endParaRPr lang="en-US" sz="500" kern="1200"/>
        </a:p>
      </dsp:txBody>
      <dsp:txXfrm>
        <a:off x="822252" y="788381"/>
        <a:ext cx="503507" cy="50350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03DF93-23D4-4510-A086-F4E3FDA6E8FF}">
      <dsp:nvSpPr>
        <dsp:cNvPr id="0" name=""/>
        <dsp:cNvSpPr/>
      </dsp:nvSpPr>
      <dsp:spPr>
        <a:xfrm>
          <a:off x="859889" y="314985"/>
          <a:ext cx="2106194" cy="2106194"/>
        </a:xfrm>
        <a:prstGeom prst="blockArc">
          <a:avLst>
            <a:gd name="adj1" fmla="val 10800000"/>
            <a:gd name="adj2" fmla="val 16200000"/>
            <a:gd name="adj3" fmla="val 4631"/>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D302E3A7-ECEB-456B-89E1-151C48FAA566}">
      <dsp:nvSpPr>
        <dsp:cNvPr id="0" name=""/>
        <dsp:cNvSpPr/>
      </dsp:nvSpPr>
      <dsp:spPr>
        <a:xfrm>
          <a:off x="859889" y="314985"/>
          <a:ext cx="2106194" cy="2106194"/>
        </a:xfrm>
        <a:prstGeom prst="blockArc">
          <a:avLst>
            <a:gd name="adj1" fmla="val 5400000"/>
            <a:gd name="adj2" fmla="val 10800000"/>
            <a:gd name="adj3" fmla="val 4631"/>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C8DEDB63-35B3-4852-891B-F252CC895034}">
      <dsp:nvSpPr>
        <dsp:cNvPr id="0" name=""/>
        <dsp:cNvSpPr/>
      </dsp:nvSpPr>
      <dsp:spPr>
        <a:xfrm>
          <a:off x="859889" y="314985"/>
          <a:ext cx="2106194" cy="2106194"/>
        </a:xfrm>
        <a:prstGeom prst="blockArc">
          <a:avLst>
            <a:gd name="adj1" fmla="val 0"/>
            <a:gd name="adj2" fmla="val 5400000"/>
            <a:gd name="adj3" fmla="val 4631"/>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035BAA31-BE64-4E85-A9EF-356A50439B36}">
      <dsp:nvSpPr>
        <dsp:cNvPr id="0" name=""/>
        <dsp:cNvSpPr/>
      </dsp:nvSpPr>
      <dsp:spPr>
        <a:xfrm>
          <a:off x="859889" y="314985"/>
          <a:ext cx="2106194" cy="2106194"/>
        </a:xfrm>
        <a:prstGeom prst="blockArc">
          <a:avLst>
            <a:gd name="adj1" fmla="val 16200000"/>
            <a:gd name="adj2" fmla="val 0"/>
            <a:gd name="adj3" fmla="val 4631"/>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3046D56A-F3B0-4885-BE56-674BDAA8C7FE}">
      <dsp:nvSpPr>
        <dsp:cNvPr id="0" name=""/>
        <dsp:cNvSpPr/>
      </dsp:nvSpPr>
      <dsp:spPr>
        <a:xfrm>
          <a:off x="1429135" y="884231"/>
          <a:ext cx="967702" cy="967702"/>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latin typeface="Times New Roman" panose="02020603050405020304" pitchFamily="18" charset="0"/>
              <a:cs typeface="Times New Roman" panose="02020603050405020304" pitchFamily="18" charset="0"/>
            </a:rPr>
            <a:t>Recommendations</a:t>
          </a:r>
          <a:br>
            <a:rPr lang="en-GB" sz="700" kern="1200">
              <a:latin typeface="Times New Roman" panose="02020603050405020304" pitchFamily="18" charset="0"/>
              <a:cs typeface="Times New Roman" panose="02020603050405020304" pitchFamily="18" charset="0"/>
            </a:rPr>
          </a:br>
          <a:r>
            <a:rPr lang="en-US" sz="700" b="1" kern="1200">
              <a:latin typeface="Times New Roman" panose="02020603050405020304" pitchFamily="18" charset="0"/>
              <a:cs typeface="Times New Roman" panose="02020603050405020304" pitchFamily="18" charset="0"/>
            </a:rPr>
            <a:t>For Event Organisers (Questex Hospitality Group)</a:t>
          </a:r>
          <a:br>
            <a:rPr lang="en-GB" sz="700" kern="1200"/>
          </a:br>
          <a:endParaRPr lang="en-US" sz="700" kern="1200"/>
        </a:p>
      </dsp:txBody>
      <dsp:txXfrm>
        <a:off x="1570852" y="1025948"/>
        <a:ext cx="684268" cy="684268"/>
      </dsp:txXfrm>
    </dsp:sp>
    <dsp:sp modelId="{B6C0E215-7D05-4E2E-AD5C-2455D67C5C0C}">
      <dsp:nvSpPr>
        <dsp:cNvPr id="0" name=""/>
        <dsp:cNvSpPr/>
      </dsp:nvSpPr>
      <dsp:spPr>
        <a:xfrm>
          <a:off x="1574290" y="676"/>
          <a:ext cx="677391" cy="677391"/>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b="1" kern="1200">
              <a:latin typeface="Times New Roman" panose="02020603050405020304" pitchFamily="18" charset="0"/>
              <a:cs typeface="Times New Roman" panose="02020603050405020304" pitchFamily="18" charset="0"/>
            </a:rPr>
            <a:t>1. Develop a Comprehensive Risk-Management Framework:</a:t>
          </a:r>
          <a:endParaRPr lang="en-US" sz="500" kern="1200">
            <a:latin typeface="Times New Roman" panose="02020603050405020304" pitchFamily="18" charset="0"/>
            <a:cs typeface="Times New Roman" panose="02020603050405020304" pitchFamily="18" charset="0"/>
          </a:endParaRPr>
        </a:p>
      </dsp:txBody>
      <dsp:txXfrm>
        <a:off x="1673492" y="99878"/>
        <a:ext cx="478987" cy="478987"/>
      </dsp:txXfrm>
    </dsp:sp>
    <dsp:sp modelId="{35D5364B-EC4C-4D34-8457-C46A6D6B665A}">
      <dsp:nvSpPr>
        <dsp:cNvPr id="0" name=""/>
        <dsp:cNvSpPr/>
      </dsp:nvSpPr>
      <dsp:spPr>
        <a:xfrm>
          <a:off x="2603001" y="1029387"/>
          <a:ext cx="677391" cy="677391"/>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2. Expanding Hybrid and AI-Enabled Capabilities</a:t>
          </a:r>
          <a:endParaRPr lang="en-US" sz="500" kern="1200">
            <a:latin typeface="Times New Roman" panose="02020603050405020304" pitchFamily="18" charset="0"/>
            <a:cs typeface="Times New Roman" panose="02020603050405020304" pitchFamily="18" charset="0"/>
          </a:endParaRPr>
        </a:p>
      </dsp:txBody>
      <dsp:txXfrm>
        <a:off x="2702203" y="1128589"/>
        <a:ext cx="478987" cy="478987"/>
      </dsp:txXfrm>
    </dsp:sp>
    <dsp:sp modelId="{41819AB4-68F8-4268-A324-4B76ED61CE1B}">
      <dsp:nvSpPr>
        <dsp:cNvPr id="0" name=""/>
        <dsp:cNvSpPr/>
      </dsp:nvSpPr>
      <dsp:spPr>
        <a:xfrm>
          <a:off x="1574290" y="2058098"/>
          <a:ext cx="677391" cy="677391"/>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3. Broaden Sponsorship and Regional Editions</a:t>
          </a:r>
          <a:endParaRPr lang="en-US" sz="500" kern="1200">
            <a:latin typeface="Times New Roman" panose="02020603050405020304" pitchFamily="18" charset="0"/>
            <a:cs typeface="Times New Roman" panose="02020603050405020304" pitchFamily="18" charset="0"/>
          </a:endParaRPr>
        </a:p>
      </dsp:txBody>
      <dsp:txXfrm>
        <a:off x="1673492" y="2157300"/>
        <a:ext cx="478987" cy="478987"/>
      </dsp:txXfrm>
    </dsp:sp>
    <dsp:sp modelId="{2F64025B-A8C6-4269-B7A0-CC0C1999B549}">
      <dsp:nvSpPr>
        <dsp:cNvPr id="0" name=""/>
        <dsp:cNvSpPr/>
      </dsp:nvSpPr>
      <dsp:spPr>
        <a:xfrm>
          <a:off x="545579" y="1029387"/>
          <a:ext cx="677391" cy="677391"/>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latin typeface="Times New Roman" panose="02020603050405020304" pitchFamily="18" charset="0"/>
              <a:cs typeface="Times New Roman" panose="02020603050405020304" pitchFamily="18" charset="0"/>
            </a:rPr>
            <a:t>4. Improve Sustainability Reporting:</a:t>
          </a:r>
          <a:endParaRPr lang="en-US" sz="500" kern="1200">
            <a:latin typeface="Times New Roman" panose="02020603050405020304" pitchFamily="18" charset="0"/>
            <a:cs typeface="Times New Roman" panose="02020603050405020304" pitchFamily="18" charset="0"/>
          </a:endParaRPr>
        </a:p>
      </dsp:txBody>
      <dsp:txXfrm>
        <a:off x="644781" y="1128589"/>
        <a:ext cx="478987" cy="47898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7B8CE9-2889-4A6C-B142-ECD185A9E301}">
      <dsp:nvSpPr>
        <dsp:cNvPr id="0" name=""/>
        <dsp:cNvSpPr/>
      </dsp:nvSpPr>
      <dsp:spPr>
        <a:xfrm>
          <a:off x="1109620" y="618241"/>
          <a:ext cx="1540179" cy="1540179"/>
        </a:xfrm>
        <a:prstGeom prst="ellipse">
          <a:avLst/>
        </a:prstGeom>
        <a:gradFill rotWithShape="0">
          <a:gsLst>
            <a:gs pos="0">
              <a:schemeClr val="accent2">
                <a:alpha val="50000"/>
                <a:hueOff val="0"/>
                <a:satOff val="0"/>
                <a:lumOff val="0"/>
                <a:alphaOff val="0"/>
                <a:satMod val="103000"/>
                <a:lumMod val="102000"/>
                <a:tint val="94000"/>
              </a:schemeClr>
            </a:gs>
            <a:gs pos="50000">
              <a:schemeClr val="accent2">
                <a:alpha val="50000"/>
                <a:hueOff val="0"/>
                <a:satOff val="0"/>
                <a:lumOff val="0"/>
                <a:alphaOff val="0"/>
                <a:satMod val="110000"/>
                <a:lumMod val="100000"/>
                <a:shade val="100000"/>
              </a:schemeClr>
            </a:gs>
            <a:gs pos="100000">
              <a:schemeClr val="accent2">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anose="02020603050405020304" pitchFamily="18" charset="0"/>
              <a:cs typeface="Times New Roman" panose="02020603050405020304" pitchFamily="18" charset="0"/>
            </a:rPr>
            <a:t>For Local Hotels (Intercontinental &amp; Partners) </a:t>
          </a:r>
          <a:endParaRPr lang="en-US" sz="1100" kern="1200">
            <a:latin typeface="Times New Roman" panose="02020603050405020304" pitchFamily="18" charset="0"/>
            <a:cs typeface="Times New Roman" panose="02020603050405020304" pitchFamily="18" charset="0"/>
          </a:endParaRPr>
        </a:p>
      </dsp:txBody>
      <dsp:txXfrm>
        <a:off x="1335174" y="843795"/>
        <a:ext cx="1089071" cy="1089071"/>
      </dsp:txXfrm>
    </dsp:sp>
    <dsp:sp modelId="{640CB635-F330-4B1A-9C73-54F4343D7A65}">
      <dsp:nvSpPr>
        <dsp:cNvPr id="0" name=""/>
        <dsp:cNvSpPr/>
      </dsp:nvSpPr>
      <dsp:spPr>
        <a:xfrm>
          <a:off x="1494665" y="274"/>
          <a:ext cx="770089" cy="770089"/>
        </a:xfrm>
        <a:prstGeom prst="ellipse">
          <a:avLst/>
        </a:prstGeom>
        <a:gradFill rotWithShape="0">
          <a:gsLst>
            <a:gs pos="0">
              <a:schemeClr val="accent3">
                <a:alpha val="50000"/>
                <a:hueOff val="0"/>
                <a:satOff val="0"/>
                <a:lumOff val="0"/>
                <a:alphaOff val="0"/>
                <a:satMod val="103000"/>
                <a:lumMod val="102000"/>
                <a:tint val="94000"/>
              </a:schemeClr>
            </a:gs>
            <a:gs pos="50000">
              <a:schemeClr val="accent3">
                <a:alpha val="50000"/>
                <a:hueOff val="0"/>
                <a:satOff val="0"/>
                <a:lumOff val="0"/>
                <a:alphaOff val="0"/>
                <a:satMod val="110000"/>
                <a:lumMod val="100000"/>
                <a:shade val="100000"/>
              </a:schemeClr>
            </a:gs>
            <a:gs pos="100000">
              <a:schemeClr val="accent3">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latin typeface="Times New Roman" panose="02020603050405020304" pitchFamily="18" charset="0"/>
              <a:cs typeface="Times New Roman" panose="02020603050405020304" pitchFamily="18" charset="0"/>
            </a:rPr>
            <a:t>1. Formalise “R&amp;R Athens Alliance”: </a:t>
          </a:r>
          <a:endParaRPr lang="en-US" sz="600" kern="1200">
            <a:latin typeface="Times New Roman" panose="02020603050405020304" pitchFamily="18" charset="0"/>
            <a:cs typeface="Times New Roman" panose="02020603050405020304" pitchFamily="18" charset="0"/>
          </a:endParaRPr>
        </a:p>
      </dsp:txBody>
      <dsp:txXfrm>
        <a:off x="1607442" y="113051"/>
        <a:ext cx="544535" cy="544535"/>
      </dsp:txXfrm>
    </dsp:sp>
    <dsp:sp modelId="{094DFEF4-3408-487C-9251-4F2EB0E5303D}">
      <dsp:nvSpPr>
        <dsp:cNvPr id="0" name=""/>
        <dsp:cNvSpPr/>
      </dsp:nvSpPr>
      <dsp:spPr>
        <a:xfrm>
          <a:off x="2497676" y="1003286"/>
          <a:ext cx="770089" cy="770089"/>
        </a:xfrm>
        <a:prstGeom prst="ellipse">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latin typeface="Times New Roman" panose="02020603050405020304" pitchFamily="18" charset="0"/>
              <a:cs typeface="Times New Roman" panose="02020603050405020304" pitchFamily="18" charset="0"/>
            </a:rPr>
            <a:t>2. Take Advantage of Event Legacy Opportunities:</a:t>
          </a:r>
          <a:endParaRPr lang="en-US" sz="600" kern="1200">
            <a:latin typeface="Times New Roman" panose="02020603050405020304" pitchFamily="18" charset="0"/>
            <a:cs typeface="Times New Roman" panose="02020603050405020304" pitchFamily="18" charset="0"/>
          </a:endParaRPr>
        </a:p>
      </dsp:txBody>
      <dsp:txXfrm>
        <a:off x="2610453" y="1116063"/>
        <a:ext cx="544535" cy="544535"/>
      </dsp:txXfrm>
    </dsp:sp>
    <dsp:sp modelId="{46ABD5A5-E4DC-4F09-A894-39AE1D1BF9C2}">
      <dsp:nvSpPr>
        <dsp:cNvPr id="0" name=""/>
        <dsp:cNvSpPr/>
      </dsp:nvSpPr>
      <dsp:spPr>
        <a:xfrm>
          <a:off x="1494665" y="2006297"/>
          <a:ext cx="770089" cy="770089"/>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latin typeface="Times New Roman" panose="02020603050405020304" pitchFamily="18" charset="0"/>
              <a:cs typeface="Times New Roman" panose="02020603050405020304" pitchFamily="18" charset="0"/>
            </a:rPr>
            <a:t>3. Commit to Smart Meeting Technologies: </a:t>
          </a:r>
          <a:endParaRPr lang="en-US" sz="600" kern="1200">
            <a:latin typeface="Times New Roman" panose="02020603050405020304" pitchFamily="18" charset="0"/>
            <a:cs typeface="Times New Roman" panose="02020603050405020304" pitchFamily="18" charset="0"/>
          </a:endParaRPr>
        </a:p>
      </dsp:txBody>
      <dsp:txXfrm>
        <a:off x="1607442" y="2119074"/>
        <a:ext cx="544535" cy="544535"/>
      </dsp:txXfrm>
    </dsp:sp>
    <dsp:sp modelId="{9D7E25A1-2E8B-4088-9034-DD2A43E6EBDF}">
      <dsp:nvSpPr>
        <dsp:cNvPr id="0" name=""/>
        <dsp:cNvSpPr/>
      </dsp:nvSpPr>
      <dsp:spPr>
        <a:xfrm>
          <a:off x="491654" y="1003286"/>
          <a:ext cx="770089" cy="770089"/>
        </a:xfrm>
        <a:prstGeom prst="ellipse">
          <a:avLst/>
        </a:prstGeom>
        <a:gradFill rotWithShape="0">
          <a:gsLst>
            <a:gs pos="0">
              <a:schemeClr val="accent6">
                <a:alpha val="50000"/>
                <a:hueOff val="0"/>
                <a:satOff val="0"/>
                <a:lumOff val="0"/>
                <a:alphaOff val="0"/>
                <a:satMod val="103000"/>
                <a:lumMod val="102000"/>
                <a:tint val="94000"/>
              </a:schemeClr>
            </a:gs>
            <a:gs pos="50000">
              <a:schemeClr val="accent6">
                <a:alpha val="50000"/>
                <a:hueOff val="0"/>
                <a:satOff val="0"/>
                <a:lumOff val="0"/>
                <a:alphaOff val="0"/>
                <a:satMod val="110000"/>
                <a:lumMod val="100000"/>
                <a:shade val="100000"/>
              </a:schemeClr>
            </a:gs>
            <a:gs pos="100000">
              <a:schemeClr val="accent6">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latin typeface="Times New Roman" panose="02020603050405020304" pitchFamily="18" charset="0"/>
              <a:cs typeface="Times New Roman" panose="02020603050405020304" pitchFamily="18" charset="0"/>
            </a:rPr>
            <a:t>4. Enhancing Collaboration on Marketing:</a:t>
          </a:r>
          <a:endParaRPr lang="en-US" sz="600" kern="1200">
            <a:latin typeface="Times New Roman" panose="02020603050405020304" pitchFamily="18" charset="0"/>
            <a:cs typeface="Times New Roman" panose="02020603050405020304" pitchFamily="18" charset="0"/>
          </a:endParaRPr>
        </a:p>
      </dsp:txBody>
      <dsp:txXfrm>
        <a:off x="604431" y="1116063"/>
        <a:ext cx="544535" cy="54453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E2742-5CDD-4B57-95D3-ACA929BE2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19</Pages>
  <Words>3679</Words>
  <Characters>20975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khushi rawat</dc:creator>
  <cp:keywords/>
  <dc:description/>
  <cp:lastModifiedBy>hanna hailemariam</cp:lastModifiedBy>
  <cp:revision>57</cp:revision>
  <dcterms:created xsi:type="dcterms:W3CDTF">2025-12-12T19:15:00Z</dcterms:created>
  <dcterms:modified xsi:type="dcterms:W3CDTF">2026-01-15T22:51:00Z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16959709-b6f8-4d49-ac7f-ef884435e6e3</vt:lpwstr>
  </property>
</Properties>
</file>