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656876273"/>
        <w:docPartObj>
          <w:docPartGallery w:val="Cover Pages"/>
          <w:docPartUnique/>
        </w:docPartObj>
      </w:sdtPr>
      <w:sdtEndPr>
        <w:rPr>
          <w:rFonts w:ascii="Open Sans" w:eastAsia="Open Sans" w:hAnsi="Open Sans" w:cs="Open Sans"/>
          <w:color w:val="000000" w:themeColor="text1"/>
          <w:sz w:val="24"/>
          <w:szCs w:val="24"/>
          <w:lang w:eastAsia="ja-JP"/>
        </w:rPr>
      </w:sdtEndPr>
      <w:sdtContent>
        <w:p w14:paraId="61E0D062" w14:textId="29CCD055" w:rsidR="007F2263" w:rsidRDefault="007F2263">
          <w:pPr>
            <w:pStyle w:val="NoSpacing"/>
            <w:rPr>
              <w:sz w:val="2"/>
            </w:rPr>
          </w:pPr>
        </w:p>
        <w:p w14:paraId="08A737DD" w14:textId="77777777" w:rsidR="007F2263" w:rsidRDefault="007F2263">
          <w:r>
            <w:rPr>
              <w:noProof/>
            </w:rPr>
            <mc:AlternateContent>
              <mc:Choice Requires="wps">
                <w:drawing>
                  <wp:anchor distT="0" distB="0" distL="114300" distR="114300" simplePos="0" relativeHeight="251661312" behindDoc="0" locked="0" layoutInCell="1" allowOverlap="1" wp14:anchorId="1216E138" wp14:editId="12CAE335">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B6CCCA2" w14:textId="44437DA4" w:rsidR="007F2263" w:rsidRDefault="007F2263">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Evaluate the balance of both the victim and the witness journey through the criminal justice process</w:t>
                                    </w:r>
                                  </w:p>
                                </w:sdtContent>
                              </w:sdt>
                              <w:p w14:paraId="47F35E2F" w14:textId="198538D5" w:rsidR="007F2263" w:rsidRDefault="007F2263">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By Cody Peacey</w:t>
                                    </w:r>
                                  </w:sdtContent>
                                </w:sdt>
                                <w:r>
                                  <w:t xml:space="preserve"> </w:t>
                                </w:r>
                              </w:p>
                              <w:p w14:paraId="5E710A50" w14:textId="77777777" w:rsidR="007F2263" w:rsidRDefault="007F22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216E138"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B6CCCA2" w14:textId="44437DA4" w:rsidR="007F2263" w:rsidRDefault="007F2263">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Evaluate the balance of both the victim and the witness journey through the criminal justice process</w:t>
                              </w:r>
                            </w:p>
                          </w:sdtContent>
                        </w:sdt>
                        <w:p w14:paraId="47F35E2F" w14:textId="198538D5" w:rsidR="007F2263" w:rsidRDefault="007F2263">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By Cody Peacey</w:t>
                              </w:r>
                            </w:sdtContent>
                          </w:sdt>
                          <w:r>
                            <w:t xml:space="preserve"> </w:t>
                          </w:r>
                        </w:p>
                        <w:p w14:paraId="5E710A50" w14:textId="77777777" w:rsidR="007F2263" w:rsidRDefault="007F2263"/>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0C7B3522" wp14:editId="6DB21AC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84B845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4B99AA2" wp14:editId="3F6E12FE">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07917A" w14:textId="66654894" w:rsidR="007F2263" w:rsidRDefault="007F2263">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BMPL4017</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B64C08C" w14:textId="1B291C3F" w:rsidR="007F2263" w:rsidRDefault="007F2263">
                                    <w:pPr>
                                      <w:pStyle w:val="NoSpacing"/>
                                      <w:jc w:val="right"/>
                                      <w:rPr>
                                        <w:color w:val="156082" w:themeColor="accent1"/>
                                        <w:sz w:val="36"/>
                                        <w:szCs w:val="36"/>
                                      </w:rPr>
                                    </w:pPr>
                                    <w:r>
                                      <w:rPr>
                                        <w:color w:val="156082" w:themeColor="accent1"/>
                                        <w:sz w:val="36"/>
                                        <w:szCs w:val="36"/>
                                      </w:rPr>
                                      <w:t>2404220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4B99AA2"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607917A" w14:textId="66654894" w:rsidR="007F2263" w:rsidRDefault="007F2263">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BMPL4017</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B64C08C" w14:textId="1B291C3F" w:rsidR="007F2263" w:rsidRDefault="007F2263">
                              <w:pPr>
                                <w:pStyle w:val="NoSpacing"/>
                                <w:jc w:val="right"/>
                                <w:rPr>
                                  <w:color w:val="156082" w:themeColor="accent1"/>
                                  <w:sz w:val="36"/>
                                  <w:szCs w:val="36"/>
                                </w:rPr>
                              </w:pPr>
                              <w:r>
                                <w:rPr>
                                  <w:color w:val="156082" w:themeColor="accent1"/>
                                  <w:sz w:val="36"/>
                                  <w:szCs w:val="36"/>
                                </w:rPr>
                                <w:t>2404220</w:t>
                              </w:r>
                            </w:p>
                          </w:sdtContent>
                        </w:sdt>
                      </w:txbxContent>
                    </v:textbox>
                    <w10:wrap anchorx="page" anchory="margin"/>
                  </v:shape>
                </w:pict>
              </mc:Fallback>
            </mc:AlternateContent>
          </w:r>
        </w:p>
        <w:p w14:paraId="318BA2BC" w14:textId="7CDB6174" w:rsidR="007F2263" w:rsidRDefault="007F2263">
          <w:pPr>
            <w:rPr>
              <w:rFonts w:ascii="Open Sans" w:eastAsia="Open Sans" w:hAnsi="Open Sans" w:cs="Open Sans"/>
              <w:color w:val="000000" w:themeColor="text1"/>
            </w:rPr>
          </w:pPr>
          <w:r>
            <w:rPr>
              <w:rFonts w:ascii="Open Sans" w:eastAsia="Open Sans" w:hAnsi="Open Sans" w:cs="Open Sans"/>
              <w:color w:val="000000" w:themeColor="text1"/>
            </w:rPr>
            <w:br w:type="page"/>
          </w:r>
        </w:p>
      </w:sdtContent>
    </w:sdt>
    <w:p w14:paraId="70BB6640" w14:textId="3FA4D4FC" w:rsidR="00897D63" w:rsidRDefault="47B585ED" w:rsidP="7DA1E2A8">
      <w:pPr>
        <w:rPr>
          <w:rFonts w:ascii="Open Sans" w:eastAsia="Open Sans" w:hAnsi="Open Sans" w:cs="Open Sans"/>
          <w:color w:val="000000" w:themeColor="text1"/>
        </w:rPr>
      </w:pPr>
      <w:r w:rsidRPr="7DA1E2A8">
        <w:rPr>
          <w:rFonts w:ascii="Open Sans" w:eastAsia="Open Sans" w:hAnsi="Open Sans" w:cs="Open Sans"/>
          <w:color w:val="000000" w:themeColor="text1"/>
        </w:rPr>
        <w:lastRenderedPageBreak/>
        <w:t>The criminal justice process for victims and suspects is a very complex institution requiring many factors in hope to deliver justice to those who are victims of crime.</w:t>
      </w:r>
      <w:r w:rsidR="1CFC2266" w:rsidRPr="7DA1E2A8">
        <w:rPr>
          <w:rFonts w:ascii="Open Sans" w:eastAsia="Open Sans" w:hAnsi="Open Sans" w:cs="Open Sans"/>
          <w:color w:val="000000" w:themeColor="text1"/>
        </w:rPr>
        <w:t xml:space="preserve"> At </w:t>
      </w:r>
      <w:r w:rsidR="39B836A6" w:rsidRPr="7DA1E2A8">
        <w:rPr>
          <w:rFonts w:ascii="Open Sans" w:eastAsia="Open Sans" w:hAnsi="Open Sans" w:cs="Open Sans"/>
          <w:color w:val="000000" w:themeColor="text1"/>
        </w:rPr>
        <w:t>the core of the criminal justice system are two main factors which are the vic</w:t>
      </w:r>
      <w:r w:rsidR="0138176A" w:rsidRPr="7DA1E2A8">
        <w:rPr>
          <w:rFonts w:ascii="Open Sans" w:eastAsia="Open Sans" w:hAnsi="Open Sans" w:cs="Open Sans"/>
          <w:color w:val="000000" w:themeColor="text1"/>
        </w:rPr>
        <w:t xml:space="preserve">tims and suspects, </w:t>
      </w:r>
      <w:r w:rsidR="07685CF5" w:rsidRPr="7DA1E2A8">
        <w:rPr>
          <w:rFonts w:ascii="Open Sans" w:eastAsia="Open Sans" w:hAnsi="Open Sans" w:cs="Open Sans"/>
          <w:color w:val="000000" w:themeColor="text1"/>
        </w:rPr>
        <w:t xml:space="preserve">both will experience different processes through different legislation, practices and social values. Historically the </w:t>
      </w:r>
      <w:r w:rsidR="4484FBC9" w:rsidRPr="7DA1E2A8">
        <w:rPr>
          <w:rFonts w:ascii="Open Sans" w:eastAsia="Open Sans" w:hAnsi="Open Sans" w:cs="Open Sans"/>
          <w:color w:val="000000" w:themeColor="text1"/>
        </w:rPr>
        <w:t>focus</w:t>
      </w:r>
      <w:r w:rsidR="07685CF5" w:rsidRPr="7DA1E2A8">
        <w:rPr>
          <w:rFonts w:ascii="Open Sans" w:eastAsia="Open Sans" w:hAnsi="Open Sans" w:cs="Open Sans"/>
          <w:color w:val="000000" w:themeColor="text1"/>
        </w:rPr>
        <w:t xml:space="preserve"> of the criminal justice process was the rights of the sus</w:t>
      </w:r>
      <w:r w:rsidR="3C74411C" w:rsidRPr="7DA1E2A8">
        <w:rPr>
          <w:rFonts w:ascii="Open Sans" w:eastAsia="Open Sans" w:hAnsi="Open Sans" w:cs="Open Sans"/>
          <w:color w:val="000000" w:themeColor="text1"/>
        </w:rPr>
        <w:t>pect, however in the modern day there is more interest in the concern of needs and rights for the victims.</w:t>
      </w:r>
      <w:r w:rsidR="248237C1" w:rsidRPr="7DA1E2A8">
        <w:rPr>
          <w:rFonts w:ascii="Open Sans" w:eastAsia="Open Sans" w:hAnsi="Open Sans" w:cs="Open Sans"/>
          <w:color w:val="000000" w:themeColor="text1"/>
        </w:rPr>
        <w:t xml:space="preserve"> Within this essay there will be a critical evaluation of the balance between the victim and the suspects, thro</w:t>
      </w:r>
      <w:r w:rsidR="62F93C49" w:rsidRPr="7DA1E2A8">
        <w:rPr>
          <w:rFonts w:ascii="Open Sans" w:eastAsia="Open Sans" w:hAnsi="Open Sans" w:cs="Open Sans"/>
          <w:color w:val="000000" w:themeColor="text1"/>
        </w:rPr>
        <w:t>ugh the evaluation there will be the examination of different key stages of this process including factors like, investigation, court trials and post court trial outcomes.</w:t>
      </w:r>
      <w:r w:rsidR="461E46FA" w:rsidRPr="7DA1E2A8">
        <w:rPr>
          <w:rFonts w:ascii="Open Sans" w:eastAsia="Open Sans" w:hAnsi="Open Sans" w:cs="Open Sans"/>
          <w:color w:val="000000" w:themeColor="text1"/>
        </w:rPr>
        <w:t xml:space="preserve"> There will also be a consideration over the legal protection of victims and witnesses, rights of the victim and suspect and the fairness of the criminal justice system.</w:t>
      </w:r>
    </w:p>
    <w:p w14:paraId="121146DB" w14:textId="667BA5DB" w:rsidR="00897D63" w:rsidRDefault="202B8D8E" w:rsidP="7DA1E2A8">
      <w:pPr>
        <w:rPr>
          <w:rFonts w:ascii="Open Sans" w:eastAsia="Open Sans" w:hAnsi="Open Sans" w:cs="Open Sans"/>
          <w:color w:val="000000" w:themeColor="text1"/>
        </w:rPr>
      </w:pPr>
      <w:r w:rsidRPr="7DA1E2A8">
        <w:rPr>
          <w:rFonts w:ascii="Open Sans" w:eastAsia="Open Sans" w:hAnsi="Open Sans" w:cs="Open Sans"/>
          <w:color w:val="000000" w:themeColor="text1"/>
        </w:rPr>
        <w:t>The suspects experience of the criminal justice process has been influenced through legal protection founded by the principles of the criminal process. The main ri</w:t>
      </w:r>
      <w:r w:rsidR="4318E423" w:rsidRPr="7DA1E2A8">
        <w:rPr>
          <w:rFonts w:ascii="Open Sans" w:eastAsia="Open Sans" w:hAnsi="Open Sans" w:cs="Open Sans"/>
          <w:color w:val="000000" w:themeColor="text1"/>
        </w:rPr>
        <w:t>ghts during this process are the rights to be presumed innocent, right to a fair trial and the right to freedom from arbitrary detention. These are the key rights in most countries including England and Wales</w:t>
      </w:r>
      <w:r w:rsidR="42D7209E" w:rsidRPr="7DA1E2A8">
        <w:rPr>
          <w:rFonts w:ascii="Open Sans" w:eastAsia="Open Sans" w:hAnsi="Open Sans" w:cs="Open Sans"/>
          <w:color w:val="000000" w:themeColor="text1"/>
        </w:rPr>
        <w:t xml:space="preserve">, these protections began mainly from the need to avoid abuses from legal matters and to prevent the innocent from an </w:t>
      </w:r>
      <w:r w:rsidR="51BF3022" w:rsidRPr="7DA1E2A8">
        <w:rPr>
          <w:rFonts w:ascii="Open Sans" w:eastAsia="Open Sans" w:hAnsi="Open Sans" w:cs="Open Sans"/>
          <w:color w:val="000000" w:themeColor="text1"/>
        </w:rPr>
        <w:t>in just</w:t>
      </w:r>
      <w:r w:rsidR="42D7209E" w:rsidRPr="7DA1E2A8">
        <w:rPr>
          <w:rFonts w:ascii="Open Sans" w:eastAsia="Open Sans" w:hAnsi="Open Sans" w:cs="Open Sans"/>
          <w:color w:val="000000" w:themeColor="text1"/>
        </w:rPr>
        <w:t xml:space="preserve"> conviction (Ashworth, 2010)</w:t>
      </w:r>
      <w:r w:rsidR="7A098EE5" w:rsidRPr="7DA1E2A8">
        <w:rPr>
          <w:rFonts w:ascii="Open Sans" w:eastAsia="Open Sans" w:hAnsi="Open Sans" w:cs="Open Sans"/>
          <w:color w:val="000000" w:themeColor="text1"/>
        </w:rPr>
        <w:t>.</w:t>
      </w:r>
      <w:r w:rsidR="0165C504" w:rsidRPr="7DA1E2A8">
        <w:rPr>
          <w:rFonts w:ascii="Open Sans" w:eastAsia="Open Sans" w:hAnsi="Open Sans" w:cs="Open Sans"/>
          <w:color w:val="000000" w:themeColor="text1"/>
        </w:rPr>
        <w:t xml:space="preserve"> The European Convention on human rights also provides the principles of these rights under both Article 5 and 6 explaining the right to security and a fair hearing in court.</w:t>
      </w:r>
      <w:r w:rsidR="43E21A1A" w:rsidRPr="7DA1E2A8">
        <w:rPr>
          <w:rFonts w:ascii="Open Sans" w:eastAsia="Open Sans" w:hAnsi="Open Sans" w:cs="Open Sans"/>
          <w:color w:val="000000" w:themeColor="text1"/>
        </w:rPr>
        <w:t xml:space="preserve"> </w:t>
      </w:r>
      <w:r w:rsidR="27BACC14" w:rsidRPr="7DA1E2A8">
        <w:rPr>
          <w:rFonts w:ascii="Open Sans" w:eastAsia="Open Sans" w:hAnsi="Open Sans" w:cs="Open Sans"/>
          <w:color w:val="000000" w:themeColor="text1"/>
        </w:rPr>
        <w:t xml:space="preserve">All suspects are provided with the right to legal representation, access to any evidence and the right to remain silence from the time of arrest to the time they appear in court for sentencing. In </w:t>
      </w:r>
      <w:r w:rsidR="49FFE039" w:rsidRPr="7DA1E2A8">
        <w:rPr>
          <w:rFonts w:ascii="Open Sans" w:eastAsia="Open Sans" w:hAnsi="Open Sans" w:cs="Open Sans"/>
          <w:color w:val="000000" w:themeColor="text1"/>
        </w:rPr>
        <w:t xml:space="preserve">England and Wales these rights are governed by the Police and Criminal Evidence Act 1984, this is what provides suspect to be treated fairly through all legal proceedings and to be </w:t>
      </w:r>
      <w:r w:rsidR="17139275" w:rsidRPr="7DA1E2A8">
        <w:rPr>
          <w:rFonts w:ascii="Open Sans" w:eastAsia="Open Sans" w:hAnsi="Open Sans" w:cs="Open Sans"/>
          <w:color w:val="000000" w:themeColor="text1"/>
        </w:rPr>
        <w:t>informed with all legal rights.</w:t>
      </w:r>
    </w:p>
    <w:p w14:paraId="08928F8D" w14:textId="26AF64BA" w:rsidR="00897D63" w:rsidRDefault="36622A8A" w:rsidP="7DA1E2A8">
      <w:pPr>
        <w:rPr>
          <w:rFonts w:ascii="Open Sans" w:eastAsia="Open Sans" w:hAnsi="Open Sans" w:cs="Open Sans"/>
          <w:color w:val="000000" w:themeColor="text1"/>
        </w:rPr>
      </w:pPr>
      <w:r w:rsidRPr="7DA1E2A8">
        <w:rPr>
          <w:rFonts w:ascii="Open Sans" w:eastAsia="Open Sans" w:hAnsi="Open Sans" w:cs="Open Sans"/>
          <w:color w:val="000000" w:themeColor="text1"/>
        </w:rPr>
        <w:t xml:space="preserve">On the other hand, victims were primarily viewed as playing the role of the witness with very little to no concern of their emotional or psychological interests. Rock (2004) </w:t>
      </w:r>
      <w:r w:rsidR="4631DC03" w:rsidRPr="7DA1E2A8">
        <w:rPr>
          <w:rFonts w:ascii="Open Sans" w:eastAsia="Open Sans" w:hAnsi="Open Sans" w:cs="Open Sans"/>
          <w:color w:val="000000" w:themeColor="text1"/>
        </w:rPr>
        <w:t>suggests victims were routinely pushed to the periphery once they had reported a crime with little scope for participation in proceedings or decision making.</w:t>
      </w:r>
      <w:r w:rsidR="7EE10D58" w:rsidRPr="7DA1E2A8">
        <w:rPr>
          <w:rFonts w:ascii="Open Sans" w:eastAsia="Open Sans" w:hAnsi="Open Sans" w:cs="Open Sans"/>
          <w:color w:val="000000" w:themeColor="text1"/>
        </w:rPr>
        <w:t xml:space="preserve"> This exclusion reflects the controversial nature o</w:t>
      </w:r>
      <w:r w:rsidR="1EA9882C" w:rsidRPr="7DA1E2A8">
        <w:rPr>
          <w:rFonts w:ascii="Open Sans" w:eastAsia="Open Sans" w:hAnsi="Open Sans" w:cs="Open Sans"/>
          <w:color w:val="000000" w:themeColor="text1"/>
        </w:rPr>
        <w:t>f</w:t>
      </w:r>
      <w:r w:rsidR="7EE10D58" w:rsidRPr="7DA1E2A8">
        <w:rPr>
          <w:rFonts w:ascii="Open Sans" w:eastAsia="Open Sans" w:hAnsi="Open Sans" w:cs="Open Sans"/>
          <w:color w:val="000000" w:themeColor="text1"/>
        </w:rPr>
        <w:t xml:space="preserve"> the law systems within the UK where the suspect will be prosecuted but no further action or help for the victim</w:t>
      </w:r>
      <w:r w:rsidR="64BC5739" w:rsidRPr="7DA1E2A8">
        <w:rPr>
          <w:rFonts w:ascii="Open Sans" w:eastAsia="Open Sans" w:hAnsi="Open Sans" w:cs="Open Sans"/>
          <w:color w:val="000000" w:themeColor="text1"/>
        </w:rPr>
        <w:t>. The more traditional view of this w</w:t>
      </w:r>
      <w:r w:rsidR="66FC4ED2" w:rsidRPr="7DA1E2A8">
        <w:rPr>
          <w:rFonts w:ascii="Open Sans" w:eastAsia="Open Sans" w:hAnsi="Open Sans" w:cs="Open Sans"/>
          <w:color w:val="000000" w:themeColor="text1"/>
        </w:rPr>
        <w:t>as that justice is more served as an objective and is more prioritised over emotional investment (Doak, 2008).</w:t>
      </w:r>
      <w:r w:rsidR="1F14FCE9" w:rsidRPr="7DA1E2A8">
        <w:rPr>
          <w:rFonts w:ascii="Open Sans" w:eastAsia="Open Sans" w:hAnsi="Open Sans" w:cs="Open Sans"/>
          <w:color w:val="000000" w:themeColor="text1"/>
        </w:rPr>
        <w:t xml:space="preserve"> This then can lead to a bad perception from the public over the </w:t>
      </w:r>
      <w:r w:rsidR="1F14FCE9" w:rsidRPr="7DA1E2A8">
        <w:rPr>
          <w:rFonts w:ascii="Open Sans" w:eastAsia="Open Sans" w:hAnsi="Open Sans" w:cs="Open Sans"/>
          <w:color w:val="000000" w:themeColor="text1"/>
        </w:rPr>
        <w:lastRenderedPageBreak/>
        <w:t>criminal justice process within the UK.</w:t>
      </w:r>
      <w:r w:rsidR="6936DD4F" w:rsidRPr="7DA1E2A8">
        <w:rPr>
          <w:rFonts w:ascii="Open Sans" w:eastAsia="Open Sans" w:hAnsi="Open Sans" w:cs="Open Sans"/>
          <w:color w:val="000000" w:themeColor="text1"/>
        </w:rPr>
        <w:t xml:space="preserve"> In the past recent decades, there has been a notable change in the policy for an increased role of victims in the criminal justice system.</w:t>
      </w:r>
      <w:r w:rsidR="36F3013C" w:rsidRPr="7DA1E2A8">
        <w:rPr>
          <w:rFonts w:ascii="Open Sans" w:eastAsia="Open Sans" w:hAnsi="Open Sans" w:cs="Open Sans"/>
          <w:color w:val="000000" w:themeColor="text1"/>
        </w:rPr>
        <w:t xml:space="preserve"> The introduction of the Victims code of practice and the specialist victim support services shows the growing recognition of </w:t>
      </w:r>
      <w:r w:rsidR="4FF72E83" w:rsidRPr="7DA1E2A8">
        <w:rPr>
          <w:rFonts w:ascii="Open Sans" w:eastAsia="Open Sans" w:hAnsi="Open Sans" w:cs="Open Sans"/>
          <w:color w:val="000000" w:themeColor="text1"/>
        </w:rPr>
        <w:t>victims' rights</w:t>
      </w:r>
      <w:r w:rsidR="36F3013C" w:rsidRPr="7DA1E2A8">
        <w:rPr>
          <w:rFonts w:ascii="Open Sans" w:eastAsia="Open Sans" w:hAnsi="Open Sans" w:cs="Open Sans"/>
          <w:color w:val="000000" w:themeColor="text1"/>
        </w:rPr>
        <w:t xml:space="preserve"> </w:t>
      </w:r>
      <w:r w:rsidR="7C418999" w:rsidRPr="7DA1E2A8">
        <w:rPr>
          <w:rFonts w:ascii="Open Sans" w:eastAsia="Open Sans" w:hAnsi="Open Sans" w:cs="Open Sans"/>
          <w:color w:val="000000" w:themeColor="text1"/>
        </w:rPr>
        <w:t>and needs.</w:t>
      </w:r>
      <w:r w:rsidR="7A8C8211" w:rsidRPr="7DA1E2A8">
        <w:rPr>
          <w:rFonts w:ascii="Open Sans" w:eastAsia="Open Sans" w:hAnsi="Open Sans" w:cs="Open Sans"/>
          <w:color w:val="000000" w:themeColor="text1"/>
        </w:rPr>
        <w:t xml:space="preserve"> For example, in England and Wales </w:t>
      </w:r>
      <w:r w:rsidR="5E4E4FB6" w:rsidRPr="7DA1E2A8">
        <w:rPr>
          <w:rFonts w:ascii="Open Sans" w:eastAsia="Open Sans" w:hAnsi="Open Sans" w:cs="Open Sans"/>
          <w:color w:val="000000" w:themeColor="text1"/>
        </w:rPr>
        <w:t>the victims code entitles the victim to be kept informed of the criminal case and to have the right access to victim support material</w:t>
      </w:r>
      <w:r w:rsidR="0D25AE4C" w:rsidRPr="7DA1E2A8">
        <w:rPr>
          <w:rFonts w:ascii="Open Sans" w:eastAsia="Open Sans" w:hAnsi="Open Sans" w:cs="Open Sans"/>
          <w:color w:val="000000" w:themeColor="text1"/>
        </w:rPr>
        <w:t xml:space="preserve"> also to be questioned on decisions like whether to prosecute the suspect or not (Ministry of Justice, 2020).</w:t>
      </w:r>
      <w:r w:rsidR="4BB1A1E4" w:rsidRPr="7DA1E2A8">
        <w:rPr>
          <w:rFonts w:ascii="Open Sans" w:eastAsia="Open Sans" w:hAnsi="Open Sans" w:cs="Open Sans"/>
          <w:color w:val="000000" w:themeColor="text1"/>
        </w:rPr>
        <w:t xml:space="preserve"> In addition to this victim impact statement will allow the victim to provide the personal impacts the crime has had upon them during the sentencing in cour</w:t>
      </w:r>
      <w:r w:rsidR="1A6B3795" w:rsidRPr="7DA1E2A8">
        <w:rPr>
          <w:rFonts w:ascii="Open Sans" w:eastAsia="Open Sans" w:hAnsi="Open Sans" w:cs="Open Sans"/>
          <w:color w:val="000000" w:themeColor="text1"/>
        </w:rPr>
        <w:t xml:space="preserve">t, even though the personal statement may not be detriment to the sentences they will have the potential to influence judicial </w:t>
      </w:r>
      <w:r w:rsidR="5F6CCD5F" w:rsidRPr="7DA1E2A8">
        <w:rPr>
          <w:rFonts w:ascii="Open Sans" w:eastAsia="Open Sans" w:hAnsi="Open Sans" w:cs="Open Sans"/>
          <w:color w:val="000000" w:themeColor="text1"/>
        </w:rPr>
        <w:t xml:space="preserve">decisions and give victims </w:t>
      </w:r>
      <w:r w:rsidR="14F440AF" w:rsidRPr="7DA1E2A8">
        <w:rPr>
          <w:rFonts w:ascii="Open Sans" w:eastAsia="Open Sans" w:hAnsi="Open Sans" w:cs="Open Sans"/>
          <w:color w:val="000000" w:themeColor="text1"/>
        </w:rPr>
        <w:t xml:space="preserve">the closure they need (Roberts &amp; </w:t>
      </w:r>
      <w:bookmarkStart w:id="0" w:name="_Int_zPcNBhL3"/>
      <w:proofErr w:type="spellStart"/>
      <w:r w:rsidR="14F440AF" w:rsidRPr="7DA1E2A8">
        <w:rPr>
          <w:rFonts w:ascii="Open Sans" w:eastAsia="Open Sans" w:hAnsi="Open Sans" w:cs="Open Sans"/>
          <w:color w:val="000000" w:themeColor="text1"/>
        </w:rPr>
        <w:t>Manikis</w:t>
      </w:r>
      <w:bookmarkEnd w:id="0"/>
      <w:proofErr w:type="spellEnd"/>
      <w:r w:rsidR="14F440AF" w:rsidRPr="7DA1E2A8">
        <w:rPr>
          <w:rFonts w:ascii="Open Sans" w:eastAsia="Open Sans" w:hAnsi="Open Sans" w:cs="Open Sans"/>
          <w:color w:val="000000" w:themeColor="text1"/>
        </w:rPr>
        <w:t>, 2013)</w:t>
      </w:r>
      <w:r w:rsidR="51BB7F6C" w:rsidRPr="7DA1E2A8">
        <w:rPr>
          <w:rFonts w:ascii="Open Sans" w:eastAsia="Open Sans" w:hAnsi="Open Sans" w:cs="Open Sans"/>
          <w:color w:val="000000" w:themeColor="text1"/>
        </w:rPr>
        <w:t>.</w:t>
      </w:r>
      <w:r w:rsidR="36AE67EF" w:rsidRPr="7DA1E2A8">
        <w:rPr>
          <w:rFonts w:ascii="Open Sans" w:eastAsia="Open Sans" w:hAnsi="Open Sans" w:cs="Open Sans"/>
          <w:color w:val="000000" w:themeColor="text1"/>
        </w:rPr>
        <w:t xml:space="preserve"> However, these critics have argued that these reforms in the </w:t>
      </w:r>
      <w:r w:rsidR="59BB270A" w:rsidRPr="7DA1E2A8">
        <w:rPr>
          <w:rFonts w:ascii="Open Sans" w:eastAsia="Open Sans" w:hAnsi="Open Sans" w:cs="Open Sans"/>
          <w:color w:val="000000" w:themeColor="text1"/>
        </w:rPr>
        <w:t>victims'</w:t>
      </w:r>
      <w:r w:rsidR="36AE67EF" w:rsidRPr="7DA1E2A8">
        <w:rPr>
          <w:rFonts w:ascii="Open Sans" w:eastAsia="Open Sans" w:hAnsi="Open Sans" w:cs="Open Sans"/>
          <w:color w:val="000000" w:themeColor="text1"/>
        </w:rPr>
        <w:t xml:space="preserve"> code have been </w:t>
      </w:r>
      <w:r w:rsidR="3DD06CF2" w:rsidRPr="7DA1E2A8">
        <w:rPr>
          <w:rFonts w:ascii="Open Sans" w:eastAsia="Open Sans" w:hAnsi="Open Sans" w:cs="Open Sans"/>
          <w:color w:val="000000" w:themeColor="text1"/>
        </w:rPr>
        <w:t>insufficient,</w:t>
      </w:r>
      <w:r w:rsidR="36AE67EF" w:rsidRPr="7DA1E2A8">
        <w:rPr>
          <w:rFonts w:ascii="Open Sans" w:eastAsia="Open Sans" w:hAnsi="Open Sans" w:cs="Open Sans"/>
          <w:color w:val="000000" w:themeColor="text1"/>
        </w:rPr>
        <w:t xml:space="preserve"> and too many victims are still reporting to have poor treatments</w:t>
      </w:r>
      <w:r w:rsidR="7EF936E5" w:rsidRPr="7DA1E2A8">
        <w:rPr>
          <w:rFonts w:ascii="Open Sans" w:eastAsia="Open Sans" w:hAnsi="Open Sans" w:cs="Open Sans"/>
          <w:color w:val="000000" w:themeColor="text1"/>
        </w:rPr>
        <w:t>, little communication and no support</w:t>
      </w:r>
      <w:r w:rsidR="36AE67EF" w:rsidRPr="7DA1E2A8">
        <w:rPr>
          <w:rFonts w:ascii="Open Sans" w:eastAsia="Open Sans" w:hAnsi="Open Sans" w:cs="Open Sans"/>
          <w:color w:val="000000" w:themeColor="text1"/>
        </w:rPr>
        <w:t xml:space="preserve"> whilst going through the criminal justice process</w:t>
      </w:r>
      <w:r w:rsidR="32EF1906" w:rsidRPr="7DA1E2A8">
        <w:rPr>
          <w:rFonts w:ascii="Open Sans" w:eastAsia="Open Sans" w:hAnsi="Open Sans" w:cs="Open Sans"/>
          <w:color w:val="000000" w:themeColor="text1"/>
        </w:rPr>
        <w:t xml:space="preserve"> (Victims’ Commissioner, 2021).</w:t>
      </w:r>
      <w:r w:rsidR="543E15DA" w:rsidRPr="7DA1E2A8">
        <w:rPr>
          <w:rFonts w:ascii="Open Sans" w:eastAsia="Open Sans" w:hAnsi="Open Sans" w:cs="Open Sans"/>
          <w:color w:val="000000" w:themeColor="text1"/>
        </w:rPr>
        <w:t xml:space="preserve"> Aswell as this the discretion given to the police and prosecutors often leads the views of the victim not being central to the decision making of the crime especially with the low-risk cases.</w:t>
      </w:r>
    </w:p>
    <w:p w14:paraId="11908037" w14:textId="36C0FDEA" w:rsidR="00897D63" w:rsidRDefault="5E77E6F7" w:rsidP="7DA1E2A8">
      <w:pPr>
        <w:rPr>
          <w:rFonts w:ascii="Open Sans" w:eastAsia="Open Sans" w:hAnsi="Open Sans" w:cs="Open Sans"/>
          <w:color w:val="000000" w:themeColor="text1"/>
        </w:rPr>
      </w:pPr>
      <w:r w:rsidRPr="7DA1E2A8">
        <w:rPr>
          <w:rFonts w:ascii="Open Sans" w:eastAsia="Open Sans" w:hAnsi="Open Sans" w:cs="Open Sans"/>
          <w:color w:val="000000" w:themeColor="text1"/>
        </w:rPr>
        <w:t xml:space="preserve">The concept of balance within the criminal justice system relies on legal justice and the suspects and victims are both entitled to be treated equally with respect and neutrality. </w:t>
      </w:r>
      <w:r w:rsidR="254A9CD0" w:rsidRPr="7DA1E2A8">
        <w:rPr>
          <w:rFonts w:ascii="Open Sans" w:eastAsia="Open Sans" w:hAnsi="Open Sans" w:cs="Open Sans"/>
          <w:color w:val="000000" w:themeColor="text1"/>
        </w:rPr>
        <w:t xml:space="preserve">However, the adversarial model will often mean that if one is protected then the other often won't be. For example, </w:t>
      </w:r>
      <w:r w:rsidR="7CF4FC5A" w:rsidRPr="7DA1E2A8">
        <w:rPr>
          <w:rFonts w:ascii="Open Sans" w:eastAsia="Open Sans" w:hAnsi="Open Sans" w:cs="Open Sans"/>
          <w:color w:val="000000" w:themeColor="text1"/>
        </w:rPr>
        <w:t xml:space="preserve">cross examination is re traumatizing for victims mostly in cases which involve sexual violence. The use of </w:t>
      </w:r>
      <w:r w:rsidR="3113CD3F" w:rsidRPr="7DA1E2A8">
        <w:rPr>
          <w:rFonts w:ascii="Open Sans" w:eastAsia="Open Sans" w:hAnsi="Open Sans" w:cs="Open Sans"/>
          <w:color w:val="000000" w:themeColor="text1"/>
        </w:rPr>
        <w:t>pre-recorded</w:t>
      </w:r>
      <w:r w:rsidR="7CF4FC5A" w:rsidRPr="7DA1E2A8">
        <w:rPr>
          <w:rFonts w:ascii="Open Sans" w:eastAsia="Open Sans" w:hAnsi="Open Sans" w:cs="Open Sans"/>
          <w:color w:val="000000" w:themeColor="text1"/>
        </w:rPr>
        <w:t xml:space="preserve"> video evidence through court can assis</w:t>
      </w:r>
      <w:r w:rsidR="075AFC41" w:rsidRPr="7DA1E2A8">
        <w:rPr>
          <w:rFonts w:ascii="Open Sans" w:eastAsia="Open Sans" w:hAnsi="Open Sans" w:cs="Open Sans"/>
          <w:color w:val="000000" w:themeColor="text1"/>
        </w:rPr>
        <w:t xml:space="preserve">t in reducing this trauma, </w:t>
      </w:r>
      <w:r w:rsidR="5458214D" w:rsidRPr="7DA1E2A8">
        <w:rPr>
          <w:rFonts w:ascii="Open Sans" w:eastAsia="Open Sans" w:hAnsi="Open Sans" w:cs="Open Sans"/>
          <w:color w:val="000000" w:themeColor="text1"/>
        </w:rPr>
        <w:t>however</w:t>
      </w:r>
      <w:r w:rsidR="254A9CD0" w:rsidRPr="7DA1E2A8">
        <w:rPr>
          <w:rFonts w:ascii="Open Sans" w:eastAsia="Open Sans" w:hAnsi="Open Sans" w:cs="Open Sans"/>
          <w:color w:val="000000" w:themeColor="text1"/>
        </w:rPr>
        <w:t xml:space="preserve"> </w:t>
      </w:r>
      <w:r w:rsidR="1917BB62" w:rsidRPr="7DA1E2A8">
        <w:rPr>
          <w:rFonts w:ascii="Open Sans" w:eastAsia="Open Sans" w:hAnsi="Open Sans" w:cs="Open Sans"/>
          <w:color w:val="000000" w:themeColor="text1"/>
        </w:rPr>
        <w:t xml:space="preserve">debates persist as to whether such provisions compromise the right for the suspect to challenge the evidence </w:t>
      </w:r>
      <w:r w:rsidR="051CA08C" w:rsidRPr="7DA1E2A8">
        <w:rPr>
          <w:rFonts w:ascii="Open Sans" w:eastAsia="Open Sans" w:hAnsi="Open Sans" w:cs="Open Sans"/>
          <w:color w:val="000000" w:themeColor="text1"/>
        </w:rPr>
        <w:t>(Ellison</w:t>
      </w:r>
      <w:r w:rsidR="1917BB62" w:rsidRPr="7DA1E2A8">
        <w:rPr>
          <w:rFonts w:ascii="Open Sans" w:eastAsia="Open Sans" w:hAnsi="Open Sans" w:cs="Open Sans"/>
          <w:color w:val="000000" w:themeColor="text1"/>
        </w:rPr>
        <w:t xml:space="preserve"> &amp; Munro, 2014)</w:t>
      </w:r>
      <w:r w:rsidR="12A93ABF" w:rsidRPr="7DA1E2A8">
        <w:rPr>
          <w:rFonts w:ascii="Open Sans" w:eastAsia="Open Sans" w:hAnsi="Open Sans" w:cs="Open Sans"/>
          <w:color w:val="000000" w:themeColor="text1"/>
        </w:rPr>
        <w:t>. Similarly, the expansion of special measures and anonymity safeguards for victims whils</w:t>
      </w:r>
      <w:r w:rsidR="7196D621" w:rsidRPr="7DA1E2A8">
        <w:rPr>
          <w:rFonts w:ascii="Open Sans" w:eastAsia="Open Sans" w:hAnsi="Open Sans" w:cs="Open Sans"/>
          <w:color w:val="000000" w:themeColor="text1"/>
        </w:rPr>
        <w:t>t it is necessary to be able to report a crime it can raise worries about the transparency within the justice system. The balance therefore needs to navigate between both the pressure of suspect fairness and victim sensitivity.</w:t>
      </w:r>
      <w:r w:rsidR="15EA3A49" w:rsidRPr="7DA1E2A8">
        <w:rPr>
          <w:rFonts w:ascii="Open Sans" w:eastAsia="Open Sans" w:hAnsi="Open Sans" w:cs="Open Sans"/>
          <w:color w:val="000000" w:themeColor="text1"/>
        </w:rPr>
        <w:t xml:space="preserve"> One of the key areas of imbalance in the criminal justice system is the access to justice. While suspects can have the rights to</w:t>
      </w:r>
      <w:r w:rsidR="45D4FF7F" w:rsidRPr="7DA1E2A8">
        <w:rPr>
          <w:rFonts w:ascii="Open Sans" w:eastAsia="Open Sans" w:hAnsi="Open Sans" w:cs="Open Sans"/>
          <w:color w:val="000000" w:themeColor="text1"/>
        </w:rPr>
        <w:t xml:space="preserve"> have legal aid and representation whilst the victims would struggle more to receive the same amount of assistance.</w:t>
      </w:r>
      <w:r w:rsidR="17198D19" w:rsidRPr="7DA1E2A8">
        <w:rPr>
          <w:rFonts w:ascii="Open Sans" w:eastAsia="Open Sans" w:hAnsi="Open Sans" w:cs="Open Sans"/>
          <w:color w:val="000000" w:themeColor="text1"/>
        </w:rPr>
        <w:t xml:space="preserve"> Agencies like the Victim support and the Witness Service do provide emotional and practical assistance however there is no right to legal rep</w:t>
      </w:r>
      <w:r w:rsidR="7FC9B642" w:rsidRPr="7DA1E2A8">
        <w:rPr>
          <w:rFonts w:ascii="Open Sans" w:eastAsia="Open Sans" w:hAnsi="Open Sans" w:cs="Open Sans"/>
          <w:color w:val="000000" w:themeColor="text1"/>
        </w:rPr>
        <w:t xml:space="preserve">resentations for </w:t>
      </w:r>
      <w:r w:rsidR="7FC9B642" w:rsidRPr="7DA1E2A8">
        <w:rPr>
          <w:rFonts w:ascii="Open Sans" w:eastAsia="Open Sans" w:hAnsi="Open Sans" w:cs="Open Sans"/>
          <w:color w:val="000000" w:themeColor="text1"/>
        </w:rPr>
        <w:lastRenderedPageBreak/>
        <w:t>victims even when the victim would be interested in that aspect</w:t>
      </w:r>
      <w:r w:rsidR="7309EFCB" w:rsidRPr="7DA1E2A8">
        <w:rPr>
          <w:rFonts w:ascii="Open Sans" w:eastAsia="Open Sans" w:hAnsi="Open Sans" w:cs="Open Sans"/>
          <w:color w:val="000000" w:themeColor="text1"/>
        </w:rPr>
        <w:t xml:space="preserve"> </w:t>
      </w:r>
      <w:r w:rsidR="7FC9B642" w:rsidRPr="7DA1E2A8">
        <w:rPr>
          <w:rFonts w:ascii="Open Sans" w:eastAsia="Open Sans" w:hAnsi="Open Sans" w:cs="Open Sans"/>
          <w:color w:val="000000" w:themeColor="text1"/>
        </w:rPr>
        <w:t xml:space="preserve">(McGlynn &amp; </w:t>
      </w:r>
      <w:bookmarkStart w:id="1" w:name="_Int_rTqiT2fx"/>
      <w:proofErr w:type="spellStart"/>
      <w:r w:rsidR="7FC9B642" w:rsidRPr="7DA1E2A8">
        <w:rPr>
          <w:rFonts w:ascii="Open Sans" w:eastAsia="Open Sans" w:hAnsi="Open Sans" w:cs="Open Sans"/>
          <w:color w:val="000000" w:themeColor="text1"/>
        </w:rPr>
        <w:t>Westmarland</w:t>
      </w:r>
      <w:bookmarkEnd w:id="1"/>
      <w:proofErr w:type="spellEnd"/>
      <w:r w:rsidR="7FC9B642" w:rsidRPr="7DA1E2A8">
        <w:rPr>
          <w:rFonts w:ascii="Open Sans" w:eastAsia="Open Sans" w:hAnsi="Open Sans" w:cs="Open Sans"/>
          <w:color w:val="000000" w:themeColor="text1"/>
        </w:rPr>
        <w:t>, 2019)</w:t>
      </w:r>
      <w:r w:rsidR="440639BC" w:rsidRPr="7DA1E2A8">
        <w:rPr>
          <w:rFonts w:ascii="Open Sans" w:eastAsia="Open Sans" w:hAnsi="Open Sans" w:cs="Open Sans"/>
          <w:color w:val="000000" w:themeColor="text1"/>
        </w:rPr>
        <w:t>.</w:t>
      </w:r>
      <w:r w:rsidR="5520023F" w:rsidRPr="7DA1E2A8">
        <w:rPr>
          <w:rFonts w:ascii="Open Sans" w:eastAsia="Open Sans" w:hAnsi="Open Sans" w:cs="Open Sans"/>
          <w:color w:val="000000" w:themeColor="text1"/>
        </w:rPr>
        <w:t xml:space="preserve"> Additionally, inequalities add negativity to these imbalances because victims who are in the </w:t>
      </w:r>
      <w:r w:rsidR="5F494B31" w:rsidRPr="7DA1E2A8">
        <w:rPr>
          <w:rFonts w:ascii="Open Sans" w:eastAsia="Open Sans" w:hAnsi="Open Sans" w:cs="Open Sans"/>
          <w:color w:val="000000" w:themeColor="text1"/>
        </w:rPr>
        <w:t xml:space="preserve">marginalized communities like the disabled or ethnic minority will also face more barriers such as language </w:t>
      </w:r>
      <w:r w:rsidR="6A0B7322" w:rsidRPr="7DA1E2A8">
        <w:rPr>
          <w:rFonts w:ascii="Open Sans" w:eastAsia="Open Sans" w:hAnsi="Open Sans" w:cs="Open Sans"/>
          <w:color w:val="000000" w:themeColor="text1"/>
        </w:rPr>
        <w:t>barriers, discrimination</w:t>
      </w:r>
      <w:r w:rsidR="5F494B31" w:rsidRPr="7DA1E2A8">
        <w:rPr>
          <w:rFonts w:ascii="Open Sans" w:eastAsia="Open Sans" w:hAnsi="Open Sans" w:cs="Open Sans"/>
          <w:color w:val="000000" w:themeColor="text1"/>
        </w:rPr>
        <w:t xml:space="preserve"> and cultural sensitivity</w:t>
      </w:r>
      <w:r w:rsidR="12832C9A" w:rsidRPr="7DA1E2A8">
        <w:rPr>
          <w:rFonts w:ascii="Open Sans" w:eastAsia="Open Sans" w:hAnsi="Open Sans" w:cs="Open Sans"/>
          <w:color w:val="000000" w:themeColor="text1"/>
        </w:rPr>
        <w:t xml:space="preserve"> (</w:t>
      </w:r>
      <w:bookmarkStart w:id="2" w:name="_Int_A2JS3Cl3"/>
      <w:proofErr w:type="spellStart"/>
      <w:r w:rsidR="12832C9A" w:rsidRPr="7DA1E2A8">
        <w:rPr>
          <w:rFonts w:ascii="Open Sans" w:eastAsia="Open Sans" w:hAnsi="Open Sans" w:cs="Open Sans"/>
          <w:color w:val="000000" w:themeColor="text1"/>
        </w:rPr>
        <w:t>Walklate</w:t>
      </w:r>
      <w:bookmarkEnd w:id="2"/>
      <w:proofErr w:type="spellEnd"/>
      <w:r w:rsidR="12832C9A" w:rsidRPr="7DA1E2A8">
        <w:rPr>
          <w:rFonts w:ascii="Open Sans" w:eastAsia="Open Sans" w:hAnsi="Open Sans" w:cs="Open Sans"/>
          <w:color w:val="000000" w:themeColor="text1"/>
        </w:rPr>
        <w:t xml:space="preserve">, 2007). Similarly, </w:t>
      </w:r>
      <w:r w:rsidR="5769602D" w:rsidRPr="7DA1E2A8">
        <w:rPr>
          <w:rFonts w:ascii="Open Sans" w:eastAsia="Open Sans" w:hAnsi="Open Sans" w:cs="Open Sans"/>
          <w:color w:val="000000" w:themeColor="text1"/>
        </w:rPr>
        <w:t>suspects in this matter can also experience unequal treatment due to bias or inadequate resources</w:t>
      </w:r>
      <w:r w:rsidR="32CFD233" w:rsidRPr="7DA1E2A8">
        <w:rPr>
          <w:rFonts w:ascii="Open Sans" w:eastAsia="Open Sans" w:hAnsi="Open Sans" w:cs="Open Sans"/>
          <w:color w:val="000000" w:themeColor="text1"/>
        </w:rPr>
        <w:t>, although the legal system will offer some help to those of disadvantaged groups.</w:t>
      </w:r>
    </w:p>
    <w:p w14:paraId="56988A31" w14:textId="5FADFC14" w:rsidR="00897D63" w:rsidRDefault="00897D63" w:rsidP="7DA1E2A8">
      <w:pPr>
        <w:rPr>
          <w:rFonts w:ascii="Open Sans" w:eastAsia="Open Sans" w:hAnsi="Open Sans" w:cs="Open Sans"/>
          <w:color w:val="000000" w:themeColor="text1"/>
        </w:rPr>
      </w:pPr>
    </w:p>
    <w:p w14:paraId="11F58B16" w14:textId="6350719E" w:rsidR="00897D63" w:rsidRDefault="4673C9AA" w:rsidP="7DA1E2A8">
      <w:pPr>
        <w:rPr>
          <w:rFonts w:ascii="Open Sans" w:eastAsia="Open Sans" w:hAnsi="Open Sans" w:cs="Open Sans"/>
          <w:color w:val="000000" w:themeColor="text1"/>
        </w:rPr>
      </w:pPr>
      <w:r w:rsidRPr="7DA1E2A8">
        <w:rPr>
          <w:rFonts w:ascii="Open Sans" w:eastAsia="Open Sans" w:hAnsi="Open Sans" w:cs="Open Sans"/>
          <w:color w:val="000000" w:themeColor="text1"/>
        </w:rPr>
        <w:t>Following the trial the victim and the suspects criminal justice journey will differentiate. For the victims the sentencing and conviction can bring them a s</w:t>
      </w:r>
      <w:r w:rsidR="76A96B5A" w:rsidRPr="7DA1E2A8">
        <w:rPr>
          <w:rFonts w:ascii="Open Sans" w:eastAsia="Open Sans" w:hAnsi="Open Sans" w:cs="Open Sans"/>
          <w:color w:val="000000" w:themeColor="text1"/>
        </w:rPr>
        <w:t xml:space="preserve">ense of closure but that does not mean the trauma has been removed. Many victims of crime report long term psychological harm and dissatisfaction of the outcome of the sentence is </w:t>
      </w:r>
      <w:r w:rsidR="56E334CF" w:rsidRPr="7DA1E2A8">
        <w:rPr>
          <w:rFonts w:ascii="Open Sans" w:eastAsia="Open Sans" w:hAnsi="Open Sans" w:cs="Open Sans"/>
          <w:color w:val="000000" w:themeColor="text1"/>
        </w:rPr>
        <w:t>perceived</w:t>
      </w:r>
      <w:r w:rsidR="76A96B5A" w:rsidRPr="7DA1E2A8">
        <w:rPr>
          <w:rFonts w:ascii="Open Sans" w:eastAsia="Open Sans" w:hAnsi="Open Sans" w:cs="Open Sans"/>
          <w:color w:val="000000" w:themeColor="text1"/>
        </w:rPr>
        <w:t xml:space="preserve"> as too lenient</w:t>
      </w:r>
      <w:r w:rsidR="6E21C124" w:rsidRPr="7DA1E2A8">
        <w:rPr>
          <w:rFonts w:ascii="Open Sans" w:eastAsia="Open Sans" w:hAnsi="Open Sans" w:cs="Open Sans"/>
          <w:color w:val="000000" w:themeColor="text1"/>
        </w:rPr>
        <w:t xml:space="preserve"> (Spencer &amp; </w:t>
      </w:r>
      <w:bookmarkStart w:id="3" w:name="_Int_JAXUm8w8"/>
      <w:proofErr w:type="spellStart"/>
      <w:r w:rsidR="6E21C124" w:rsidRPr="7DA1E2A8">
        <w:rPr>
          <w:rFonts w:ascii="Open Sans" w:eastAsia="Open Sans" w:hAnsi="Open Sans" w:cs="Open Sans"/>
          <w:color w:val="000000" w:themeColor="text1"/>
        </w:rPr>
        <w:t>Walklate</w:t>
      </w:r>
      <w:bookmarkEnd w:id="3"/>
      <w:proofErr w:type="spellEnd"/>
      <w:r w:rsidR="6E21C124" w:rsidRPr="7DA1E2A8">
        <w:rPr>
          <w:rFonts w:ascii="Open Sans" w:eastAsia="Open Sans" w:hAnsi="Open Sans" w:cs="Open Sans"/>
          <w:color w:val="000000" w:themeColor="text1"/>
        </w:rPr>
        <w:t>, 2016).</w:t>
      </w:r>
      <w:r w:rsidR="4D4E2F56" w:rsidRPr="7DA1E2A8">
        <w:rPr>
          <w:rFonts w:ascii="Open Sans" w:eastAsia="Open Sans" w:hAnsi="Open Sans" w:cs="Open Sans"/>
          <w:color w:val="000000" w:themeColor="text1"/>
        </w:rPr>
        <w:t xml:space="preserve"> For the suspects who have been through the process the reputational damage is prominent in the effect it has upon them even when they still </w:t>
      </w:r>
      <w:r w:rsidR="1F9A06BD" w:rsidRPr="7DA1E2A8">
        <w:rPr>
          <w:rFonts w:ascii="Open Sans" w:eastAsia="Open Sans" w:hAnsi="Open Sans" w:cs="Open Sans"/>
          <w:color w:val="000000" w:themeColor="text1"/>
        </w:rPr>
        <w:t>haven't</w:t>
      </w:r>
      <w:r w:rsidR="4D4E2F56" w:rsidRPr="7DA1E2A8">
        <w:rPr>
          <w:rFonts w:ascii="Open Sans" w:eastAsia="Open Sans" w:hAnsi="Open Sans" w:cs="Open Sans"/>
          <w:color w:val="000000" w:themeColor="text1"/>
        </w:rPr>
        <w:t xml:space="preserve"> been convi</w:t>
      </w:r>
      <w:r w:rsidR="12B63928" w:rsidRPr="7DA1E2A8">
        <w:rPr>
          <w:rFonts w:ascii="Open Sans" w:eastAsia="Open Sans" w:hAnsi="Open Sans" w:cs="Open Sans"/>
          <w:color w:val="000000" w:themeColor="text1"/>
        </w:rPr>
        <w:t>cted</w:t>
      </w:r>
      <w:r w:rsidR="31D0DF55" w:rsidRPr="7DA1E2A8">
        <w:rPr>
          <w:rFonts w:ascii="Open Sans" w:eastAsia="Open Sans" w:hAnsi="Open Sans" w:cs="Open Sans"/>
          <w:color w:val="000000" w:themeColor="text1"/>
        </w:rPr>
        <w:t>. However, for those who have been convicted, after prison life is a challenge to go back into society how it was prior to conviction, with struggles for housing and employment. Even th</w:t>
      </w:r>
      <w:r w:rsidR="22251F80" w:rsidRPr="7DA1E2A8">
        <w:rPr>
          <w:rFonts w:ascii="Open Sans" w:eastAsia="Open Sans" w:hAnsi="Open Sans" w:cs="Open Sans"/>
          <w:color w:val="000000" w:themeColor="text1"/>
        </w:rPr>
        <w:t>ough rehabilitation programs are available for them support is typically limited.</w:t>
      </w:r>
      <w:r w:rsidR="007F2263">
        <w:br/>
      </w:r>
      <w:r w:rsidR="007F2263">
        <w:br/>
      </w:r>
      <w:r w:rsidR="1194DEF9" w:rsidRPr="7DA1E2A8">
        <w:rPr>
          <w:rFonts w:ascii="Open Sans" w:eastAsia="Open Sans" w:hAnsi="Open Sans" w:cs="Open Sans"/>
          <w:color w:val="000000" w:themeColor="text1"/>
        </w:rPr>
        <w:t xml:space="preserve">Significantly, restorative justice schemes have </w:t>
      </w:r>
      <w:r w:rsidR="110C2E5E" w:rsidRPr="7DA1E2A8">
        <w:rPr>
          <w:rFonts w:ascii="Open Sans" w:eastAsia="Open Sans" w:hAnsi="Open Sans" w:cs="Open Sans"/>
          <w:color w:val="000000" w:themeColor="text1"/>
        </w:rPr>
        <w:t>proven</w:t>
      </w:r>
      <w:r w:rsidR="1194DEF9" w:rsidRPr="7DA1E2A8">
        <w:rPr>
          <w:rFonts w:ascii="Open Sans" w:eastAsia="Open Sans" w:hAnsi="Open Sans" w:cs="Open Sans"/>
          <w:color w:val="000000" w:themeColor="text1"/>
        </w:rPr>
        <w:t xml:space="preserve"> to be leading in the right direction for </w:t>
      </w:r>
      <w:r w:rsidR="775F2CA2" w:rsidRPr="7DA1E2A8">
        <w:rPr>
          <w:rFonts w:ascii="Open Sans" w:eastAsia="Open Sans" w:hAnsi="Open Sans" w:cs="Open Sans"/>
          <w:color w:val="000000" w:themeColor="text1"/>
        </w:rPr>
        <w:t>post-conviction</w:t>
      </w:r>
      <w:r w:rsidR="1194DEF9" w:rsidRPr="7DA1E2A8">
        <w:rPr>
          <w:rFonts w:ascii="Open Sans" w:eastAsia="Open Sans" w:hAnsi="Open Sans" w:cs="Open Sans"/>
          <w:color w:val="000000" w:themeColor="text1"/>
        </w:rPr>
        <w:t xml:space="preserve"> between both the victim and the suspect during </w:t>
      </w:r>
      <w:r w:rsidR="43D2061C" w:rsidRPr="7DA1E2A8">
        <w:rPr>
          <w:rFonts w:ascii="Open Sans" w:eastAsia="Open Sans" w:hAnsi="Open Sans" w:cs="Open Sans"/>
          <w:color w:val="000000" w:themeColor="text1"/>
        </w:rPr>
        <w:t xml:space="preserve">the criminal </w:t>
      </w:r>
      <w:r w:rsidR="6E148A35" w:rsidRPr="7DA1E2A8">
        <w:rPr>
          <w:rFonts w:ascii="Open Sans" w:eastAsia="Open Sans" w:hAnsi="Open Sans" w:cs="Open Sans"/>
          <w:color w:val="000000" w:themeColor="text1"/>
        </w:rPr>
        <w:t>justice</w:t>
      </w:r>
      <w:r w:rsidR="43D2061C" w:rsidRPr="7DA1E2A8">
        <w:rPr>
          <w:rFonts w:ascii="Open Sans" w:eastAsia="Open Sans" w:hAnsi="Open Sans" w:cs="Open Sans"/>
          <w:color w:val="000000" w:themeColor="text1"/>
        </w:rPr>
        <w:t xml:space="preserve"> process. The restorative justice schemes </w:t>
      </w:r>
      <w:bookmarkStart w:id="4" w:name="_Int_sS9Dtwcq"/>
      <w:proofErr w:type="gramStart"/>
      <w:r w:rsidR="43D2061C" w:rsidRPr="7DA1E2A8">
        <w:rPr>
          <w:rFonts w:ascii="Open Sans" w:eastAsia="Open Sans" w:hAnsi="Open Sans" w:cs="Open Sans"/>
          <w:color w:val="000000" w:themeColor="text1"/>
        </w:rPr>
        <w:t>have the ability to</w:t>
      </w:r>
      <w:bookmarkEnd w:id="4"/>
      <w:proofErr w:type="gramEnd"/>
      <w:r w:rsidR="43D2061C" w:rsidRPr="7DA1E2A8">
        <w:rPr>
          <w:rFonts w:ascii="Open Sans" w:eastAsia="Open Sans" w:hAnsi="Open Sans" w:cs="Open Sans"/>
          <w:color w:val="000000" w:themeColor="text1"/>
        </w:rPr>
        <w:t xml:space="preserve"> bring both the suspect and victim in contact with each other </w:t>
      </w:r>
      <w:r w:rsidR="7CD73A46" w:rsidRPr="7DA1E2A8">
        <w:rPr>
          <w:rFonts w:ascii="Open Sans" w:eastAsia="Open Sans" w:hAnsi="Open Sans" w:cs="Open Sans"/>
          <w:color w:val="000000" w:themeColor="text1"/>
        </w:rPr>
        <w:t xml:space="preserve">which can eventually lead to a mutual understanding and accountability for </w:t>
      </w:r>
      <w:r w:rsidR="26E89EAC" w:rsidRPr="7DA1E2A8">
        <w:rPr>
          <w:rFonts w:ascii="Open Sans" w:eastAsia="Open Sans" w:hAnsi="Open Sans" w:cs="Open Sans"/>
          <w:color w:val="000000" w:themeColor="text1"/>
        </w:rPr>
        <w:t>actions but</w:t>
      </w:r>
      <w:r w:rsidR="7CD73A46" w:rsidRPr="7DA1E2A8">
        <w:rPr>
          <w:rFonts w:ascii="Open Sans" w:eastAsia="Open Sans" w:hAnsi="Open Sans" w:cs="Open Sans"/>
          <w:color w:val="000000" w:themeColor="text1"/>
        </w:rPr>
        <w:t xml:space="preserve"> also healing for the victim to have that reassurance they might have needed. This is proven through research conducted by </w:t>
      </w:r>
      <w:r w:rsidR="53326EAB" w:rsidRPr="7DA1E2A8">
        <w:rPr>
          <w:rFonts w:ascii="Open Sans" w:eastAsia="Open Sans" w:hAnsi="Open Sans" w:cs="Open Sans"/>
          <w:color w:val="000000" w:themeColor="text1"/>
        </w:rPr>
        <w:t>Sherman and Strang (2007</w:t>
      </w:r>
      <w:r w:rsidR="3E6640F2" w:rsidRPr="7DA1E2A8">
        <w:rPr>
          <w:rFonts w:ascii="Open Sans" w:eastAsia="Open Sans" w:hAnsi="Open Sans" w:cs="Open Sans"/>
          <w:color w:val="000000" w:themeColor="text1"/>
        </w:rPr>
        <w:t>).</w:t>
      </w:r>
    </w:p>
    <w:p w14:paraId="4ED5737B" w14:textId="3FFC6930" w:rsidR="00897D63" w:rsidRDefault="644CECE0" w:rsidP="7DA1E2A8">
      <w:pPr>
        <w:rPr>
          <w:rFonts w:ascii="Open Sans" w:eastAsia="Open Sans" w:hAnsi="Open Sans" w:cs="Open Sans"/>
          <w:color w:val="000000" w:themeColor="text1"/>
        </w:rPr>
      </w:pPr>
      <w:r w:rsidRPr="7DA1E2A8">
        <w:rPr>
          <w:rFonts w:ascii="Open Sans" w:eastAsia="Open Sans" w:hAnsi="Open Sans" w:cs="Open Sans"/>
          <w:color w:val="000000" w:themeColor="text1"/>
        </w:rPr>
        <w:t>To conclude, the equality</w:t>
      </w:r>
      <w:r w:rsidR="3F398E65" w:rsidRPr="7DA1E2A8">
        <w:rPr>
          <w:rFonts w:ascii="Open Sans" w:eastAsia="Open Sans" w:hAnsi="Open Sans" w:cs="Open Sans"/>
          <w:color w:val="000000" w:themeColor="text1"/>
        </w:rPr>
        <w:t xml:space="preserve"> between victims and suspects in the criminal justice process is a </w:t>
      </w:r>
      <w:r w:rsidR="2660F3B6" w:rsidRPr="7DA1E2A8">
        <w:rPr>
          <w:rFonts w:ascii="Open Sans" w:eastAsia="Open Sans" w:hAnsi="Open Sans" w:cs="Open Sans"/>
          <w:color w:val="000000" w:themeColor="text1"/>
        </w:rPr>
        <w:t>complex situation.</w:t>
      </w:r>
      <w:r w:rsidR="3F398E65" w:rsidRPr="7DA1E2A8">
        <w:rPr>
          <w:rFonts w:ascii="Open Sans" w:eastAsia="Open Sans" w:hAnsi="Open Sans" w:cs="Open Sans"/>
          <w:color w:val="000000" w:themeColor="text1"/>
        </w:rPr>
        <w:t xml:space="preserve"> On one hand, the rights of suspects are </w:t>
      </w:r>
      <w:r w:rsidR="69C22228" w:rsidRPr="7DA1E2A8">
        <w:rPr>
          <w:rFonts w:ascii="Open Sans" w:eastAsia="Open Sans" w:hAnsi="Open Sans" w:cs="Open Sans"/>
          <w:color w:val="000000" w:themeColor="text1"/>
        </w:rPr>
        <w:t>secure</w:t>
      </w:r>
      <w:r w:rsidR="3F398E65" w:rsidRPr="7DA1E2A8">
        <w:rPr>
          <w:rFonts w:ascii="Open Sans" w:eastAsia="Open Sans" w:hAnsi="Open Sans" w:cs="Open Sans"/>
          <w:color w:val="000000" w:themeColor="text1"/>
        </w:rPr>
        <w:t>, offering a vital safeguard against miscarriages of justice. On the other hand, the victim has traditionally been neglected, though recent measures have sought to redress the imbalance.</w:t>
      </w:r>
      <w:r w:rsidR="4A3E7122" w:rsidRPr="7DA1E2A8">
        <w:rPr>
          <w:rFonts w:ascii="Open Sans" w:eastAsia="Open Sans" w:hAnsi="Open Sans" w:cs="Open Sans"/>
          <w:color w:val="000000" w:themeColor="text1"/>
        </w:rPr>
        <w:t xml:space="preserve"> Despite this, ensuring optimum balance </w:t>
      </w:r>
      <w:r w:rsidR="38C95869" w:rsidRPr="7DA1E2A8">
        <w:rPr>
          <w:rFonts w:ascii="Open Sans" w:eastAsia="Open Sans" w:hAnsi="Open Sans" w:cs="Open Sans"/>
          <w:color w:val="000000" w:themeColor="text1"/>
        </w:rPr>
        <w:t>remains</w:t>
      </w:r>
      <w:r w:rsidR="4A3E7122" w:rsidRPr="7DA1E2A8">
        <w:rPr>
          <w:rFonts w:ascii="Open Sans" w:eastAsia="Open Sans" w:hAnsi="Open Sans" w:cs="Open Sans"/>
          <w:color w:val="000000" w:themeColor="text1"/>
        </w:rPr>
        <w:t xml:space="preserve"> a major part of the criminal justice process</w:t>
      </w:r>
      <w:r w:rsidR="4DBC5242" w:rsidRPr="7DA1E2A8">
        <w:rPr>
          <w:rFonts w:ascii="Open Sans" w:eastAsia="Open Sans" w:hAnsi="Open Sans" w:cs="Open Sans"/>
          <w:color w:val="000000" w:themeColor="text1"/>
        </w:rPr>
        <w:t xml:space="preserve">, however from research previously discussed it is clear to see that the justice system is more favouring over the legal process </w:t>
      </w:r>
      <w:r w:rsidR="4DBC5242" w:rsidRPr="7DA1E2A8">
        <w:rPr>
          <w:rFonts w:ascii="Open Sans" w:eastAsia="Open Sans" w:hAnsi="Open Sans" w:cs="Open Sans"/>
          <w:color w:val="000000" w:themeColor="text1"/>
        </w:rPr>
        <w:lastRenderedPageBreak/>
        <w:t>of the system rather than the victim's empowerment. Although there is a progress towa</w:t>
      </w:r>
      <w:r w:rsidR="565DDFB6" w:rsidRPr="7DA1E2A8">
        <w:rPr>
          <w:rFonts w:ascii="Open Sans" w:eastAsia="Open Sans" w:hAnsi="Open Sans" w:cs="Open Sans"/>
          <w:color w:val="000000" w:themeColor="text1"/>
        </w:rPr>
        <w:t>rds attempting to enhance the victim</w:t>
      </w:r>
      <w:r w:rsidR="4B20FB4B" w:rsidRPr="7DA1E2A8">
        <w:rPr>
          <w:rFonts w:ascii="Open Sans" w:eastAsia="Open Sans" w:hAnsi="Open Sans" w:cs="Open Sans"/>
          <w:color w:val="000000" w:themeColor="text1"/>
        </w:rPr>
        <w:t>’</w:t>
      </w:r>
      <w:r w:rsidR="565DDFB6" w:rsidRPr="7DA1E2A8">
        <w:rPr>
          <w:rFonts w:ascii="Open Sans" w:eastAsia="Open Sans" w:hAnsi="Open Sans" w:cs="Open Sans"/>
          <w:color w:val="000000" w:themeColor="text1"/>
        </w:rPr>
        <w:t xml:space="preserve">s rights and creating a more supported foundation, it will require reforming to achieve </w:t>
      </w:r>
      <w:r w:rsidR="7238F701" w:rsidRPr="7DA1E2A8">
        <w:rPr>
          <w:rFonts w:ascii="Open Sans" w:eastAsia="Open Sans" w:hAnsi="Open Sans" w:cs="Open Sans"/>
          <w:color w:val="000000" w:themeColor="text1"/>
        </w:rPr>
        <w:t>victim empowerment. This reform can be achieved through creating a fairer system for the victim going through the process and making sure there is a commi</w:t>
      </w:r>
      <w:r w:rsidR="3BDA542D" w:rsidRPr="7DA1E2A8">
        <w:rPr>
          <w:rFonts w:ascii="Open Sans" w:eastAsia="Open Sans" w:hAnsi="Open Sans" w:cs="Open Sans"/>
          <w:color w:val="000000" w:themeColor="text1"/>
        </w:rPr>
        <w:t xml:space="preserve">tment to procedural justice. This justice does not include taking away any of the suspects </w:t>
      </w:r>
      <w:r w:rsidR="698F6797" w:rsidRPr="7DA1E2A8">
        <w:rPr>
          <w:rFonts w:ascii="Open Sans" w:eastAsia="Open Sans" w:hAnsi="Open Sans" w:cs="Open Sans"/>
          <w:color w:val="000000" w:themeColor="text1"/>
        </w:rPr>
        <w:t>rights,</w:t>
      </w:r>
      <w:r w:rsidR="3BDA542D" w:rsidRPr="7DA1E2A8">
        <w:rPr>
          <w:rFonts w:ascii="Open Sans" w:eastAsia="Open Sans" w:hAnsi="Open Sans" w:cs="Open Sans"/>
          <w:color w:val="000000" w:themeColor="text1"/>
        </w:rPr>
        <w:t xml:space="preserve"> but it can be created more equally for a more legit criminal justice system.</w:t>
      </w:r>
    </w:p>
    <w:p w14:paraId="347A406F" w14:textId="77777777" w:rsidR="007F2263" w:rsidRDefault="007F2263" w:rsidP="7DA1E2A8">
      <w:pPr>
        <w:rPr>
          <w:rFonts w:ascii="Open Sans" w:eastAsia="Open Sans" w:hAnsi="Open Sans" w:cs="Open Sans"/>
          <w:color w:val="000000" w:themeColor="text1"/>
        </w:rPr>
      </w:pPr>
    </w:p>
    <w:p w14:paraId="07CCC732" w14:textId="39F517BC" w:rsidR="007F2263" w:rsidRDefault="007F2263" w:rsidP="007F2263">
      <w:pPr>
        <w:rPr>
          <w:rFonts w:ascii="Open Sans" w:eastAsia="Open Sans" w:hAnsi="Open Sans" w:cs="Open Sans"/>
          <w:b/>
          <w:bCs/>
          <w:color w:val="000000" w:themeColor="text1"/>
        </w:rPr>
      </w:pPr>
      <w:r>
        <w:rPr>
          <w:rFonts w:ascii="Open Sans" w:eastAsia="Open Sans" w:hAnsi="Open Sans" w:cs="Open Sans"/>
          <w:b/>
          <w:bCs/>
          <w:color w:val="000000" w:themeColor="text1"/>
        </w:rPr>
        <w:t>Reference List</w:t>
      </w:r>
    </w:p>
    <w:p w14:paraId="05EF1141" w14:textId="77777777" w:rsidR="007F2263" w:rsidRPr="007F2263" w:rsidRDefault="007F2263" w:rsidP="007F2263">
      <w:pPr>
        <w:rPr>
          <w:rFonts w:ascii="Open Sans" w:eastAsia="Open Sans" w:hAnsi="Open Sans" w:cs="Open Sans"/>
          <w:color w:val="000000" w:themeColor="text1"/>
        </w:rPr>
      </w:pPr>
      <w:r w:rsidRPr="007F2263">
        <w:rPr>
          <w:rFonts w:ascii="Open Sans" w:eastAsia="Open Sans" w:hAnsi="Open Sans" w:cs="Open Sans"/>
          <w:color w:val="000000" w:themeColor="text1"/>
        </w:rPr>
        <w:t>Ashworth, A. (2010). Sentencing and Criminal Justice. Cambridge University Press.</w:t>
      </w:r>
    </w:p>
    <w:p w14:paraId="577AFABB" w14:textId="77777777" w:rsidR="007F2263" w:rsidRDefault="007F2263" w:rsidP="007F2263">
      <w:pPr>
        <w:rPr>
          <w:rFonts w:ascii="Open Sans" w:eastAsia="Open Sans" w:hAnsi="Open Sans" w:cs="Open Sans"/>
          <w:color w:val="000000" w:themeColor="text1"/>
        </w:rPr>
      </w:pPr>
      <w:r w:rsidRPr="007F2263">
        <w:rPr>
          <w:rFonts w:ascii="Open Sans" w:eastAsia="Open Sans" w:hAnsi="Open Sans" w:cs="Open Sans"/>
          <w:color w:val="000000" w:themeColor="text1"/>
        </w:rPr>
        <w:t xml:space="preserve">Doak, J. (2008). Victims’ Rights, Human Rights and Criminal Justice: Reconceiving the Role of Third Parties. Hart </w:t>
      </w:r>
      <w:proofErr w:type="spellStart"/>
      <w:r w:rsidRPr="007F2263">
        <w:rPr>
          <w:rFonts w:ascii="Open Sans" w:eastAsia="Open Sans" w:hAnsi="Open Sans" w:cs="Open Sans"/>
          <w:color w:val="000000" w:themeColor="text1"/>
        </w:rPr>
        <w:t>Publishing.Ellison</w:t>
      </w:r>
      <w:proofErr w:type="spellEnd"/>
      <w:r w:rsidRPr="007F2263">
        <w:rPr>
          <w:rFonts w:ascii="Open Sans" w:eastAsia="Open Sans" w:hAnsi="Open Sans" w:cs="Open Sans"/>
          <w:color w:val="000000" w:themeColor="text1"/>
        </w:rPr>
        <w:t xml:space="preserve">, </w:t>
      </w:r>
    </w:p>
    <w:p w14:paraId="7AF74C76" w14:textId="1AA80A3C" w:rsidR="007F2263" w:rsidRPr="007F2263" w:rsidRDefault="007F2263" w:rsidP="007F2263">
      <w:pPr>
        <w:rPr>
          <w:rFonts w:ascii="Open Sans" w:eastAsia="Open Sans" w:hAnsi="Open Sans" w:cs="Open Sans"/>
          <w:color w:val="000000" w:themeColor="text1"/>
        </w:rPr>
      </w:pPr>
      <w:r w:rsidRPr="007F2263">
        <w:rPr>
          <w:rFonts w:ascii="Open Sans" w:eastAsia="Open Sans" w:hAnsi="Open Sans" w:cs="Open Sans"/>
          <w:color w:val="000000" w:themeColor="text1"/>
        </w:rPr>
        <w:t xml:space="preserve">L., &amp; Munro, V. E. (2014). Better the Devil You Know? ‘Real Rape’ Stereotypes and the Relevance of a Previous Relationship in (Mock) Juror Deliberations. International Journal of Evidence and Proof, 18(4), </w:t>
      </w:r>
      <w:r>
        <w:rPr>
          <w:rFonts w:ascii="Open Sans" w:eastAsia="Open Sans" w:hAnsi="Open Sans" w:cs="Open Sans"/>
          <w:color w:val="000000" w:themeColor="text1"/>
        </w:rPr>
        <w:t>p.</w:t>
      </w:r>
      <w:r w:rsidRPr="007F2263">
        <w:rPr>
          <w:rFonts w:ascii="Open Sans" w:eastAsia="Open Sans" w:hAnsi="Open Sans" w:cs="Open Sans"/>
          <w:color w:val="000000" w:themeColor="text1"/>
        </w:rPr>
        <w:t>299–329.</w:t>
      </w:r>
    </w:p>
    <w:p w14:paraId="3565A3DC" w14:textId="77777777" w:rsidR="007F2263" w:rsidRDefault="007F2263" w:rsidP="007F2263">
      <w:pPr>
        <w:rPr>
          <w:rFonts w:ascii="Open Sans" w:eastAsia="Open Sans" w:hAnsi="Open Sans" w:cs="Open Sans"/>
          <w:color w:val="000000" w:themeColor="text1"/>
        </w:rPr>
      </w:pPr>
      <w:r w:rsidRPr="007F2263">
        <w:rPr>
          <w:rFonts w:ascii="Open Sans" w:eastAsia="Open Sans" w:hAnsi="Open Sans" w:cs="Open Sans"/>
          <w:color w:val="000000" w:themeColor="text1"/>
        </w:rPr>
        <w:t xml:space="preserve">McGlynn, C., &amp; </w:t>
      </w:r>
      <w:proofErr w:type="spellStart"/>
      <w:r w:rsidRPr="007F2263">
        <w:rPr>
          <w:rFonts w:ascii="Open Sans" w:eastAsia="Open Sans" w:hAnsi="Open Sans" w:cs="Open Sans"/>
          <w:color w:val="000000" w:themeColor="text1"/>
        </w:rPr>
        <w:t>Westmarland</w:t>
      </w:r>
      <w:proofErr w:type="spellEnd"/>
      <w:r w:rsidRPr="007F2263">
        <w:rPr>
          <w:rFonts w:ascii="Open Sans" w:eastAsia="Open Sans" w:hAnsi="Open Sans" w:cs="Open Sans"/>
          <w:color w:val="000000" w:themeColor="text1"/>
        </w:rPr>
        <w:t xml:space="preserve">, N. (2019). Kaleidoscopic Justice: Sexual Violence </w:t>
      </w:r>
    </w:p>
    <w:p w14:paraId="5536B191" w14:textId="1DEC71F7" w:rsidR="007F2263" w:rsidRPr="007F2263" w:rsidRDefault="007F2263" w:rsidP="007F2263">
      <w:pPr>
        <w:rPr>
          <w:rFonts w:ascii="Open Sans" w:eastAsia="Open Sans" w:hAnsi="Open Sans" w:cs="Open Sans"/>
          <w:color w:val="000000" w:themeColor="text1"/>
        </w:rPr>
      </w:pPr>
      <w:r w:rsidRPr="007F2263">
        <w:rPr>
          <w:rFonts w:ascii="Open Sans" w:eastAsia="Open Sans" w:hAnsi="Open Sans" w:cs="Open Sans"/>
          <w:color w:val="000000" w:themeColor="text1"/>
        </w:rPr>
        <w:t xml:space="preserve">and Victim-Survivors’ Perceptions of Justice. Social &amp; Legal Studies, 28(2), </w:t>
      </w:r>
      <w:r>
        <w:rPr>
          <w:rFonts w:ascii="Open Sans" w:eastAsia="Open Sans" w:hAnsi="Open Sans" w:cs="Open Sans"/>
          <w:color w:val="000000" w:themeColor="text1"/>
        </w:rPr>
        <w:t>p.</w:t>
      </w:r>
      <w:r w:rsidRPr="007F2263">
        <w:rPr>
          <w:rFonts w:ascii="Open Sans" w:eastAsia="Open Sans" w:hAnsi="Open Sans" w:cs="Open Sans"/>
          <w:color w:val="000000" w:themeColor="text1"/>
        </w:rPr>
        <w:t>179–201.</w:t>
      </w:r>
    </w:p>
    <w:p w14:paraId="154A1B25" w14:textId="3D8A9275" w:rsidR="007F2263" w:rsidRDefault="007F2263" w:rsidP="007F2263">
      <w:pPr>
        <w:rPr>
          <w:rFonts w:ascii="Open Sans" w:eastAsia="Open Sans" w:hAnsi="Open Sans" w:cs="Open Sans"/>
          <w:color w:val="000000" w:themeColor="text1"/>
        </w:rPr>
      </w:pPr>
      <w:r w:rsidRPr="007F2263">
        <w:rPr>
          <w:rFonts w:ascii="Open Sans" w:eastAsia="Open Sans" w:hAnsi="Open Sans" w:cs="Open Sans"/>
          <w:color w:val="000000" w:themeColor="text1"/>
        </w:rPr>
        <w:t xml:space="preserve">Ministry of Justice. (2020). Code of Practice for Victims of Crime in England and Wales (Victims’ Code). </w:t>
      </w:r>
      <w:r>
        <w:rPr>
          <w:rFonts w:ascii="Open Sans" w:eastAsia="Open Sans" w:hAnsi="Open Sans" w:cs="Open Sans"/>
          <w:color w:val="000000" w:themeColor="text1"/>
        </w:rPr>
        <w:t xml:space="preserve">Find at: </w:t>
      </w:r>
      <w:r w:rsidRPr="007F2263">
        <w:rPr>
          <w:rFonts w:ascii="Open Sans" w:eastAsia="Open Sans" w:hAnsi="Open Sans" w:cs="Open Sans"/>
          <w:color w:val="000000" w:themeColor="text1"/>
        </w:rPr>
        <w:t xml:space="preserve"> </w:t>
      </w:r>
      <w:hyperlink r:id="rId5" w:history="1">
        <w:r w:rsidRPr="00314244">
          <w:rPr>
            <w:rStyle w:val="Hyperlink"/>
            <w:rFonts w:ascii="Open Sans" w:eastAsia="Open Sans" w:hAnsi="Open Sans" w:cs="Open Sans"/>
          </w:rPr>
          <w:t>https://www.gov.uk/government/publications/the-code-of-practice-for-victims-of-crime</w:t>
        </w:r>
      </w:hyperlink>
    </w:p>
    <w:p w14:paraId="0EC87BB4" w14:textId="77777777" w:rsidR="007F2263" w:rsidRPr="007F2263" w:rsidRDefault="007F2263" w:rsidP="007F2263">
      <w:pPr>
        <w:rPr>
          <w:rFonts w:ascii="Open Sans" w:eastAsia="Open Sans" w:hAnsi="Open Sans" w:cs="Open Sans"/>
          <w:color w:val="000000" w:themeColor="text1"/>
        </w:rPr>
      </w:pPr>
    </w:p>
    <w:p w14:paraId="1C6CFA55" w14:textId="0F2C19EF" w:rsidR="007F2263" w:rsidRPr="007F2263" w:rsidRDefault="007F2263" w:rsidP="007F2263">
      <w:pPr>
        <w:rPr>
          <w:rFonts w:ascii="Open Sans" w:eastAsia="Open Sans" w:hAnsi="Open Sans" w:cs="Open Sans"/>
          <w:color w:val="000000" w:themeColor="text1"/>
        </w:rPr>
      </w:pPr>
      <w:r w:rsidRPr="007F2263">
        <w:rPr>
          <w:rFonts w:ascii="Open Sans" w:eastAsia="Open Sans" w:hAnsi="Open Sans" w:cs="Open Sans"/>
          <w:color w:val="000000" w:themeColor="text1"/>
        </w:rPr>
        <w:t xml:space="preserve">Roberts, J. V., &amp; </w:t>
      </w:r>
      <w:proofErr w:type="spellStart"/>
      <w:r w:rsidRPr="007F2263">
        <w:rPr>
          <w:rFonts w:ascii="Open Sans" w:eastAsia="Open Sans" w:hAnsi="Open Sans" w:cs="Open Sans"/>
          <w:color w:val="000000" w:themeColor="text1"/>
        </w:rPr>
        <w:t>Manikis</w:t>
      </w:r>
      <w:proofErr w:type="spellEnd"/>
      <w:r w:rsidRPr="007F2263">
        <w:rPr>
          <w:rFonts w:ascii="Open Sans" w:eastAsia="Open Sans" w:hAnsi="Open Sans" w:cs="Open Sans"/>
          <w:color w:val="000000" w:themeColor="text1"/>
        </w:rPr>
        <w:t xml:space="preserve">, M. (2013). Victim Personal Statements: A Review of Empirical Research. Victims &amp; Offenders, 8(3), </w:t>
      </w:r>
      <w:r>
        <w:rPr>
          <w:rFonts w:ascii="Open Sans" w:eastAsia="Open Sans" w:hAnsi="Open Sans" w:cs="Open Sans"/>
          <w:color w:val="000000" w:themeColor="text1"/>
        </w:rPr>
        <w:t>p.</w:t>
      </w:r>
      <w:r w:rsidRPr="007F2263">
        <w:rPr>
          <w:rFonts w:ascii="Open Sans" w:eastAsia="Open Sans" w:hAnsi="Open Sans" w:cs="Open Sans"/>
          <w:color w:val="000000" w:themeColor="text1"/>
        </w:rPr>
        <w:t>276–289.</w:t>
      </w:r>
    </w:p>
    <w:p w14:paraId="0B029638" w14:textId="7146EC3B" w:rsidR="007F2263" w:rsidRPr="007F2263" w:rsidRDefault="007F2263" w:rsidP="007F2263">
      <w:pPr>
        <w:rPr>
          <w:rFonts w:ascii="Open Sans" w:eastAsia="Open Sans" w:hAnsi="Open Sans" w:cs="Open Sans"/>
          <w:color w:val="000000" w:themeColor="text1"/>
        </w:rPr>
      </w:pPr>
      <w:r w:rsidRPr="007F2263">
        <w:rPr>
          <w:rFonts w:ascii="Open Sans" w:eastAsia="Open Sans" w:hAnsi="Open Sans" w:cs="Open Sans"/>
          <w:color w:val="000000" w:themeColor="text1"/>
        </w:rPr>
        <w:t xml:space="preserve">Rock, P. (2004). Constructing Victims’ Rights: The Home Office, New Labour, and Victims. Oxford Journal of Legal Studies, 24(4), </w:t>
      </w:r>
      <w:r>
        <w:rPr>
          <w:rFonts w:ascii="Open Sans" w:eastAsia="Open Sans" w:hAnsi="Open Sans" w:cs="Open Sans"/>
          <w:color w:val="000000" w:themeColor="text1"/>
        </w:rPr>
        <w:t>p.</w:t>
      </w:r>
      <w:r w:rsidRPr="007F2263">
        <w:rPr>
          <w:rFonts w:ascii="Open Sans" w:eastAsia="Open Sans" w:hAnsi="Open Sans" w:cs="Open Sans"/>
          <w:color w:val="000000" w:themeColor="text1"/>
        </w:rPr>
        <w:t>533–558.</w:t>
      </w:r>
    </w:p>
    <w:p w14:paraId="0B4787FD" w14:textId="77777777" w:rsidR="007F2263" w:rsidRPr="007F2263" w:rsidRDefault="007F2263" w:rsidP="007F2263">
      <w:pPr>
        <w:rPr>
          <w:rFonts w:ascii="Open Sans" w:eastAsia="Open Sans" w:hAnsi="Open Sans" w:cs="Open Sans"/>
          <w:color w:val="000000" w:themeColor="text1"/>
        </w:rPr>
      </w:pPr>
      <w:r w:rsidRPr="007F2263">
        <w:rPr>
          <w:rFonts w:ascii="Open Sans" w:eastAsia="Open Sans" w:hAnsi="Open Sans" w:cs="Open Sans"/>
          <w:color w:val="000000" w:themeColor="text1"/>
        </w:rPr>
        <w:t>Sherman, L. W., &amp; Strang, H. (2007). Restorative Justice: The Evidence. Smith Institute.</w:t>
      </w:r>
    </w:p>
    <w:p w14:paraId="71684723" w14:textId="77777777" w:rsidR="007F2263" w:rsidRDefault="007F2263" w:rsidP="007F2263">
      <w:pPr>
        <w:rPr>
          <w:rFonts w:ascii="Open Sans" w:eastAsia="Open Sans" w:hAnsi="Open Sans" w:cs="Open Sans"/>
          <w:color w:val="000000" w:themeColor="text1"/>
        </w:rPr>
      </w:pPr>
      <w:r w:rsidRPr="007F2263">
        <w:rPr>
          <w:rFonts w:ascii="Open Sans" w:eastAsia="Open Sans" w:hAnsi="Open Sans" w:cs="Open Sans"/>
          <w:color w:val="000000" w:themeColor="text1"/>
        </w:rPr>
        <w:lastRenderedPageBreak/>
        <w:t xml:space="preserve">Spencer, J., &amp; </w:t>
      </w:r>
      <w:proofErr w:type="spellStart"/>
      <w:r w:rsidRPr="007F2263">
        <w:rPr>
          <w:rFonts w:ascii="Open Sans" w:eastAsia="Open Sans" w:hAnsi="Open Sans" w:cs="Open Sans"/>
          <w:color w:val="000000" w:themeColor="text1"/>
        </w:rPr>
        <w:t>Walklate</w:t>
      </w:r>
      <w:proofErr w:type="spellEnd"/>
      <w:r w:rsidRPr="007F2263">
        <w:rPr>
          <w:rFonts w:ascii="Open Sans" w:eastAsia="Open Sans" w:hAnsi="Open Sans" w:cs="Open Sans"/>
          <w:color w:val="000000" w:themeColor="text1"/>
        </w:rPr>
        <w:t>, S. (2016). Victims and the Criminal Justice System. In Criminal Justice: An Introduction to Philosophies, Theories and Practice. Routledge.</w:t>
      </w:r>
    </w:p>
    <w:p w14:paraId="0FBA3379" w14:textId="1C4FE27C" w:rsidR="007F2263" w:rsidRPr="007F2263" w:rsidRDefault="007F2263" w:rsidP="007F2263">
      <w:pPr>
        <w:rPr>
          <w:rFonts w:ascii="Open Sans" w:eastAsia="Open Sans" w:hAnsi="Open Sans" w:cs="Open Sans"/>
          <w:color w:val="000000" w:themeColor="text1"/>
        </w:rPr>
      </w:pPr>
      <w:r w:rsidRPr="007F2263">
        <w:rPr>
          <w:rFonts w:ascii="Open Sans" w:eastAsia="Open Sans" w:hAnsi="Open Sans" w:cs="Open Sans"/>
          <w:color w:val="000000" w:themeColor="text1"/>
        </w:rPr>
        <w:t>Victims’ Commissioner. (2021). Victims’ Experience of the Criminal Justice System: A Review.</w:t>
      </w:r>
      <w:r>
        <w:rPr>
          <w:rFonts w:ascii="Open Sans" w:eastAsia="Open Sans" w:hAnsi="Open Sans" w:cs="Open Sans"/>
          <w:color w:val="000000" w:themeColor="text1"/>
        </w:rPr>
        <w:t xml:space="preserve"> Find at:</w:t>
      </w:r>
      <w:r w:rsidRPr="007F2263">
        <w:rPr>
          <w:rFonts w:ascii="Open Sans" w:eastAsia="Open Sans" w:hAnsi="Open Sans" w:cs="Open Sans"/>
          <w:color w:val="000000" w:themeColor="text1"/>
        </w:rPr>
        <w:t xml:space="preserve"> </w:t>
      </w:r>
      <w:hyperlink r:id="rId6" w:history="1">
        <w:r w:rsidRPr="007F2263">
          <w:rPr>
            <w:rStyle w:val="Hyperlink"/>
            <w:rFonts w:ascii="Open Sans" w:eastAsia="Open Sans" w:hAnsi="Open Sans" w:cs="Open Sans"/>
          </w:rPr>
          <w:t>Home - Victims Commissioner</w:t>
        </w:r>
      </w:hyperlink>
    </w:p>
    <w:p w14:paraId="2B8995EC" w14:textId="680411C5" w:rsidR="007F2263" w:rsidRPr="007F2263" w:rsidRDefault="007F2263" w:rsidP="007F2263">
      <w:pPr>
        <w:rPr>
          <w:rFonts w:ascii="Open Sans" w:eastAsia="Open Sans" w:hAnsi="Open Sans" w:cs="Open Sans"/>
          <w:color w:val="000000" w:themeColor="text1"/>
        </w:rPr>
      </w:pPr>
      <w:proofErr w:type="spellStart"/>
      <w:r w:rsidRPr="007F2263">
        <w:rPr>
          <w:rFonts w:ascii="Open Sans" w:eastAsia="Open Sans" w:hAnsi="Open Sans" w:cs="Open Sans"/>
          <w:color w:val="000000" w:themeColor="text1"/>
        </w:rPr>
        <w:t>Walklate</w:t>
      </w:r>
      <w:proofErr w:type="spellEnd"/>
      <w:r w:rsidRPr="007F2263">
        <w:rPr>
          <w:rFonts w:ascii="Open Sans" w:eastAsia="Open Sans" w:hAnsi="Open Sans" w:cs="Open Sans"/>
          <w:color w:val="000000" w:themeColor="text1"/>
        </w:rPr>
        <w:t>, S. (2007). Imagining the Victim of Crime. Open University Press.</w:t>
      </w:r>
    </w:p>
    <w:p w14:paraId="62123F42" w14:textId="344850B5" w:rsidR="00897D63" w:rsidRDefault="00897D63" w:rsidP="7DA1E2A8">
      <w:pPr>
        <w:rPr>
          <w:rFonts w:ascii="Open Sans" w:eastAsia="Open Sans" w:hAnsi="Open Sans" w:cs="Open Sans"/>
          <w:color w:val="000000" w:themeColor="text1"/>
        </w:rPr>
      </w:pPr>
    </w:p>
    <w:p w14:paraId="5E5787A5" w14:textId="13EB508F" w:rsidR="00897D63" w:rsidRDefault="00897D63" w:rsidP="7DA1E2A8"/>
    <w:sectPr w:rsidR="00897D63" w:rsidSect="007F2263">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JAXUm8w8" int2:invalidationBookmarkName="" int2:hashCode="7CCwrGsEqB6RwR" int2:id="ILvJVPur">
      <int2:state int2:value="Rejected" int2:type="AugLoop_Text_Critique"/>
    </int2:bookmark>
    <int2:bookmark int2:bookmarkName="_Int_A2JS3Cl3" int2:invalidationBookmarkName="" int2:hashCode="7CCwrGsEqB6RwR" int2:id="Hdg0cP71">
      <int2:state int2:value="Rejected" int2:type="AugLoop_Text_Critique"/>
    </int2:bookmark>
    <int2:bookmark int2:bookmarkName="_Int_rTqiT2fx" int2:invalidationBookmarkName="" int2:hashCode="mWJC9nULcq8S8m" int2:id="7PpImVOO">
      <int2:state int2:value="Rejected" int2:type="AugLoop_Text_Critique"/>
    </int2:bookmark>
    <int2:bookmark int2:bookmarkName="_Int_zPcNBhL3" int2:invalidationBookmarkName="" int2:hashCode="7yXAQOuX8BbIZy" int2:id="bjo3kxCc">
      <int2:state int2:value="Rejected" int2:type="AugLoop_Text_Critique"/>
    </int2:bookmark>
    <int2:bookmark int2:bookmarkName="_Int_sS9Dtwcq" int2:invalidationBookmarkName="" int2:hashCode="gGjVY9pZaSGLMg" int2:id="Gt2WOvve">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5988D0"/>
    <w:rsid w:val="00175CBD"/>
    <w:rsid w:val="007F2263"/>
    <w:rsid w:val="00897D63"/>
    <w:rsid w:val="0138176A"/>
    <w:rsid w:val="0165C504"/>
    <w:rsid w:val="025ED4D0"/>
    <w:rsid w:val="0355D460"/>
    <w:rsid w:val="0475210F"/>
    <w:rsid w:val="04EA29AF"/>
    <w:rsid w:val="051CA08C"/>
    <w:rsid w:val="05D9AF38"/>
    <w:rsid w:val="075AFC41"/>
    <w:rsid w:val="07685CF5"/>
    <w:rsid w:val="078F8B31"/>
    <w:rsid w:val="07B94936"/>
    <w:rsid w:val="082C1A07"/>
    <w:rsid w:val="09F81AA6"/>
    <w:rsid w:val="0AC35760"/>
    <w:rsid w:val="0C1E3B6D"/>
    <w:rsid w:val="0CC57B40"/>
    <w:rsid w:val="0CD41DA4"/>
    <w:rsid w:val="0D25AE4C"/>
    <w:rsid w:val="0F2E87DE"/>
    <w:rsid w:val="0F5B23E7"/>
    <w:rsid w:val="10134BFA"/>
    <w:rsid w:val="110C2E5E"/>
    <w:rsid w:val="113CF2E0"/>
    <w:rsid w:val="114FA87B"/>
    <w:rsid w:val="1194DEF9"/>
    <w:rsid w:val="12832C9A"/>
    <w:rsid w:val="128B0B3E"/>
    <w:rsid w:val="12A93ABF"/>
    <w:rsid w:val="12AA4E68"/>
    <w:rsid w:val="12B63928"/>
    <w:rsid w:val="1498CA1D"/>
    <w:rsid w:val="14F440AF"/>
    <w:rsid w:val="15EA3A49"/>
    <w:rsid w:val="16140DC2"/>
    <w:rsid w:val="16213366"/>
    <w:rsid w:val="16FAD4F3"/>
    <w:rsid w:val="17139275"/>
    <w:rsid w:val="17198D19"/>
    <w:rsid w:val="17C2E20A"/>
    <w:rsid w:val="181039F8"/>
    <w:rsid w:val="18186212"/>
    <w:rsid w:val="18D9BF02"/>
    <w:rsid w:val="1917BB62"/>
    <w:rsid w:val="1A6B3795"/>
    <w:rsid w:val="1B52192C"/>
    <w:rsid w:val="1B8A76ED"/>
    <w:rsid w:val="1B9BE303"/>
    <w:rsid w:val="1BB1CF6E"/>
    <w:rsid w:val="1C662942"/>
    <w:rsid w:val="1C702F6F"/>
    <w:rsid w:val="1C9EDDD7"/>
    <w:rsid w:val="1CFC2266"/>
    <w:rsid w:val="1D998075"/>
    <w:rsid w:val="1E3F2184"/>
    <w:rsid w:val="1EA9882C"/>
    <w:rsid w:val="1EDFF9DC"/>
    <w:rsid w:val="1F14FCE9"/>
    <w:rsid w:val="1F2B139C"/>
    <w:rsid w:val="1F86FE1C"/>
    <w:rsid w:val="1F9A06BD"/>
    <w:rsid w:val="1FCF4D20"/>
    <w:rsid w:val="202B8D8E"/>
    <w:rsid w:val="2159DFAE"/>
    <w:rsid w:val="2193D096"/>
    <w:rsid w:val="22251F80"/>
    <w:rsid w:val="2239C299"/>
    <w:rsid w:val="232E6D22"/>
    <w:rsid w:val="23EF2DC0"/>
    <w:rsid w:val="2425B05E"/>
    <w:rsid w:val="2452A7B2"/>
    <w:rsid w:val="248237C1"/>
    <w:rsid w:val="24E5E93E"/>
    <w:rsid w:val="254A9CD0"/>
    <w:rsid w:val="257D1A9B"/>
    <w:rsid w:val="25FAF210"/>
    <w:rsid w:val="2660F3B6"/>
    <w:rsid w:val="26E89EAC"/>
    <w:rsid w:val="273DEEF3"/>
    <w:rsid w:val="279C4CBC"/>
    <w:rsid w:val="27BACC14"/>
    <w:rsid w:val="293DF187"/>
    <w:rsid w:val="29D67686"/>
    <w:rsid w:val="2A589502"/>
    <w:rsid w:val="2BC22B3F"/>
    <w:rsid w:val="2BD368D6"/>
    <w:rsid w:val="2C1EE601"/>
    <w:rsid w:val="2C22EE61"/>
    <w:rsid w:val="2C5DF902"/>
    <w:rsid w:val="2C70CE42"/>
    <w:rsid w:val="2DCEACD2"/>
    <w:rsid w:val="2E054DDF"/>
    <w:rsid w:val="2E8F4472"/>
    <w:rsid w:val="2E994A6B"/>
    <w:rsid w:val="2F19AABC"/>
    <w:rsid w:val="303981CA"/>
    <w:rsid w:val="3113CD3F"/>
    <w:rsid w:val="31D0DF55"/>
    <w:rsid w:val="32078637"/>
    <w:rsid w:val="32CFD233"/>
    <w:rsid w:val="32EF1906"/>
    <w:rsid w:val="330AE213"/>
    <w:rsid w:val="3316DE0E"/>
    <w:rsid w:val="332A7047"/>
    <w:rsid w:val="334FB92C"/>
    <w:rsid w:val="3499DFFC"/>
    <w:rsid w:val="34B9BF5D"/>
    <w:rsid w:val="34E704E9"/>
    <w:rsid w:val="36622A8A"/>
    <w:rsid w:val="36AE67EF"/>
    <w:rsid w:val="36EDC60F"/>
    <w:rsid w:val="36F3013C"/>
    <w:rsid w:val="38698B13"/>
    <w:rsid w:val="38C71F49"/>
    <w:rsid w:val="38C95869"/>
    <w:rsid w:val="39B836A6"/>
    <w:rsid w:val="3A04E7F0"/>
    <w:rsid w:val="3AF05885"/>
    <w:rsid w:val="3B44326F"/>
    <w:rsid w:val="3BDA542D"/>
    <w:rsid w:val="3C568A6E"/>
    <w:rsid w:val="3C74411C"/>
    <w:rsid w:val="3C9359A2"/>
    <w:rsid w:val="3DD06CF2"/>
    <w:rsid w:val="3E6640F2"/>
    <w:rsid w:val="3EB7C03F"/>
    <w:rsid w:val="3F398E65"/>
    <w:rsid w:val="3F813997"/>
    <w:rsid w:val="4083CD7A"/>
    <w:rsid w:val="40F421F5"/>
    <w:rsid w:val="425B5705"/>
    <w:rsid w:val="42D7209E"/>
    <w:rsid w:val="4318E423"/>
    <w:rsid w:val="43D2061C"/>
    <w:rsid w:val="43E21A1A"/>
    <w:rsid w:val="440639BC"/>
    <w:rsid w:val="4484FBC9"/>
    <w:rsid w:val="448ACE34"/>
    <w:rsid w:val="44DF2B01"/>
    <w:rsid w:val="450784D5"/>
    <w:rsid w:val="452AFF64"/>
    <w:rsid w:val="4540E296"/>
    <w:rsid w:val="457F540F"/>
    <w:rsid w:val="45D4FF7F"/>
    <w:rsid w:val="461E46FA"/>
    <w:rsid w:val="462316E2"/>
    <w:rsid w:val="4631DC03"/>
    <w:rsid w:val="4673C9AA"/>
    <w:rsid w:val="46B43947"/>
    <w:rsid w:val="47B585ED"/>
    <w:rsid w:val="48A3607B"/>
    <w:rsid w:val="495988D0"/>
    <w:rsid w:val="4971B10F"/>
    <w:rsid w:val="49B5610C"/>
    <w:rsid w:val="49FFE039"/>
    <w:rsid w:val="4A3E7122"/>
    <w:rsid w:val="4B20FB4B"/>
    <w:rsid w:val="4B51D7DA"/>
    <w:rsid w:val="4BB1A1E4"/>
    <w:rsid w:val="4C7071F2"/>
    <w:rsid w:val="4C9541D1"/>
    <w:rsid w:val="4C9F93D4"/>
    <w:rsid w:val="4CA66A82"/>
    <w:rsid w:val="4D4E2F56"/>
    <w:rsid w:val="4DBC5242"/>
    <w:rsid w:val="4EC03264"/>
    <w:rsid w:val="4F2DF617"/>
    <w:rsid w:val="4F340369"/>
    <w:rsid w:val="4FF72E83"/>
    <w:rsid w:val="5062D6F1"/>
    <w:rsid w:val="50EC7DAE"/>
    <w:rsid w:val="50F38FA1"/>
    <w:rsid w:val="51BB7F6C"/>
    <w:rsid w:val="51BF3022"/>
    <w:rsid w:val="521BE56A"/>
    <w:rsid w:val="53326EAB"/>
    <w:rsid w:val="543E15DA"/>
    <w:rsid w:val="5458214D"/>
    <w:rsid w:val="54871FC2"/>
    <w:rsid w:val="5520023F"/>
    <w:rsid w:val="55C1B32A"/>
    <w:rsid w:val="5605A13A"/>
    <w:rsid w:val="5617E461"/>
    <w:rsid w:val="56298F63"/>
    <w:rsid w:val="565DDFB6"/>
    <w:rsid w:val="56E334CF"/>
    <w:rsid w:val="5769602D"/>
    <w:rsid w:val="57B1B0F9"/>
    <w:rsid w:val="581D53B0"/>
    <w:rsid w:val="5831D7F5"/>
    <w:rsid w:val="5865F233"/>
    <w:rsid w:val="58E5E3CD"/>
    <w:rsid w:val="58EE1249"/>
    <w:rsid w:val="5979404C"/>
    <w:rsid w:val="59BB270A"/>
    <w:rsid w:val="59C901E9"/>
    <w:rsid w:val="5A85C21A"/>
    <w:rsid w:val="5A8AEECF"/>
    <w:rsid w:val="5B80D76B"/>
    <w:rsid w:val="5C88B226"/>
    <w:rsid w:val="5CB5DDF4"/>
    <w:rsid w:val="5E272229"/>
    <w:rsid w:val="5E4E4FB6"/>
    <w:rsid w:val="5E77E6F7"/>
    <w:rsid w:val="5EDA17EF"/>
    <w:rsid w:val="5F11510D"/>
    <w:rsid w:val="5F494B31"/>
    <w:rsid w:val="5F6CCD5F"/>
    <w:rsid w:val="5FDC38B4"/>
    <w:rsid w:val="608190EE"/>
    <w:rsid w:val="60F9F612"/>
    <w:rsid w:val="6108AEB1"/>
    <w:rsid w:val="62F93C49"/>
    <w:rsid w:val="6401A882"/>
    <w:rsid w:val="64188DED"/>
    <w:rsid w:val="6426EDB9"/>
    <w:rsid w:val="644CECE0"/>
    <w:rsid w:val="64B10E63"/>
    <w:rsid w:val="64BC5739"/>
    <w:rsid w:val="64DCEF7C"/>
    <w:rsid w:val="655421AA"/>
    <w:rsid w:val="662A7D75"/>
    <w:rsid w:val="66E52E4D"/>
    <w:rsid w:val="66FC4ED2"/>
    <w:rsid w:val="6786A72A"/>
    <w:rsid w:val="68B36DF5"/>
    <w:rsid w:val="6936DD4F"/>
    <w:rsid w:val="698F6797"/>
    <w:rsid w:val="69AE9CC2"/>
    <w:rsid w:val="69C22228"/>
    <w:rsid w:val="6A0B7322"/>
    <w:rsid w:val="6A2F6F99"/>
    <w:rsid w:val="6C032CD6"/>
    <w:rsid w:val="6D2B3D51"/>
    <w:rsid w:val="6E148A35"/>
    <w:rsid w:val="6E21C124"/>
    <w:rsid w:val="6E60F4FC"/>
    <w:rsid w:val="6E85FE15"/>
    <w:rsid w:val="6ED67F7C"/>
    <w:rsid w:val="6F8BA47D"/>
    <w:rsid w:val="7196D621"/>
    <w:rsid w:val="7238F701"/>
    <w:rsid w:val="727A7812"/>
    <w:rsid w:val="72919B38"/>
    <w:rsid w:val="73047FC7"/>
    <w:rsid w:val="7309EFCB"/>
    <w:rsid w:val="75D721FE"/>
    <w:rsid w:val="76A96B5A"/>
    <w:rsid w:val="7740BDD9"/>
    <w:rsid w:val="775F2CA2"/>
    <w:rsid w:val="77A24E92"/>
    <w:rsid w:val="797B29F5"/>
    <w:rsid w:val="7A08D2FC"/>
    <w:rsid w:val="7A098EE5"/>
    <w:rsid w:val="7A8C8211"/>
    <w:rsid w:val="7B363476"/>
    <w:rsid w:val="7B77AA66"/>
    <w:rsid w:val="7C418999"/>
    <w:rsid w:val="7C97FC70"/>
    <w:rsid w:val="7CBF2E15"/>
    <w:rsid w:val="7CD73A46"/>
    <w:rsid w:val="7CE8E2D1"/>
    <w:rsid w:val="7CF4FC5A"/>
    <w:rsid w:val="7D6386E0"/>
    <w:rsid w:val="7DA1E2A8"/>
    <w:rsid w:val="7EE10D58"/>
    <w:rsid w:val="7EF936E5"/>
    <w:rsid w:val="7F6AF704"/>
    <w:rsid w:val="7FC9B642"/>
    <w:rsid w:val="7FE0F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988D0"/>
  <w15:chartTrackingRefBased/>
  <w15:docId w15:val="{A7CC46C2-0FFF-451C-9550-8BF9FB654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7F2263"/>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7F2263"/>
    <w:rPr>
      <w:sz w:val="22"/>
      <w:szCs w:val="22"/>
      <w:lang w:eastAsia="en-GB"/>
    </w:rPr>
  </w:style>
  <w:style w:type="character" w:styleId="Hyperlink">
    <w:name w:val="Hyperlink"/>
    <w:basedOn w:val="DefaultParagraphFont"/>
    <w:uiPriority w:val="99"/>
    <w:unhideWhenUsed/>
    <w:rsid w:val="007F2263"/>
    <w:rPr>
      <w:color w:val="467886" w:themeColor="hyperlink"/>
      <w:u w:val="single"/>
    </w:rPr>
  </w:style>
  <w:style w:type="character" w:styleId="UnresolvedMention">
    <w:name w:val="Unresolved Mention"/>
    <w:basedOn w:val="DefaultParagraphFont"/>
    <w:uiPriority w:val="99"/>
    <w:semiHidden/>
    <w:unhideWhenUsed/>
    <w:rsid w:val="007F22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victimscommissioner.org.uk/" TargetMode="External"/><Relationship Id="rId5" Type="http://schemas.openxmlformats.org/officeDocument/2006/relationships/hyperlink" Target="https://www.gov.uk/government/publications/the-code-of-practice-for-victims-of-crime" TargetMode="Externa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991793-29D6-468D-811D-595FB516A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1542</Words>
  <Characters>8795</Characters>
  <Application>Microsoft Office Word</Application>
  <DocSecurity>0</DocSecurity>
  <Lines>73</Lines>
  <Paragraphs>20</Paragraphs>
  <ScaleCrop>false</ScaleCrop>
  <Company>BMPL4017</Company>
  <LinksUpToDate>false</LinksUpToDate>
  <CharactersWithSpaces>10317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balance of both the victim and the witness journey through the criminal justice process</dc:title>
  <dc:subject>By Cody Peacey</dc:subject>
  <dc:creator>Cody Peacey (2404220)</dc:creator>
  <cp:keywords/>
  <dc:description/>
  <cp:lastModifiedBy>Cody Peacey</cp:lastModifiedBy>
  <cp:revision>2</cp:revision>
  <dcterms:created xsi:type="dcterms:W3CDTF">2025-05-01T12:56:00Z</dcterms:created>
  <dcterms:modified xsi:type="dcterms:W3CDTF">2025-05-01T12:56:00Z</dcterms:modified>
  <cp:category>2404220</cp:category>
</cp:coreProperties>
</file>