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1FC61" w14:textId="7BD0B63B" w:rsidR="008D734F" w:rsidRDefault="00061C52" w:rsidP="00321020">
      <w:pPr>
        <w:rPr>
          <w:rFonts w:ascii="Times New Roman" w:hAnsi="Times New Roman" w:cs="Times New Roman"/>
          <w:b/>
          <w:bCs/>
          <w:u w:val="single"/>
        </w:rPr>
      </w:pPr>
      <w:r w:rsidRPr="00061C52">
        <w:rPr>
          <w:rFonts w:ascii="Times New Roman" w:hAnsi="Times New Roman" w:cs="Times New Roman"/>
          <w:b/>
          <w:bCs/>
          <w:u w:val="single"/>
        </w:rPr>
        <w:t>Design, conduct and critically evaluate a close-to-practice research project focusing on the model of the transformative teacher in developing practice that has a positive impact on the learner.</w:t>
      </w:r>
    </w:p>
    <w:p w14:paraId="5D84C130" w14:textId="77777777" w:rsidR="00061C52" w:rsidRDefault="00061C52" w:rsidP="00321020">
      <w:pPr>
        <w:rPr>
          <w:rFonts w:ascii="Times New Roman" w:hAnsi="Times New Roman" w:cs="Times New Roman"/>
          <w:b/>
          <w:bCs/>
          <w:u w:val="single"/>
        </w:rPr>
      </w:pPr>
    </w:p>
    <w:p w14:paraId="5B9A07DE" w14:textId="55072F3B" w:rsidR="00061C52" w:rsidRPr="00A72389" w:rsidRDefault="00061C52" w:rsidP="00321020">
      <w:pPr>
        <w:rPr>
          <w:rFonts w:ascii="Times New Roman" w:hAnsi="Times New Roman" w:cs="Times New Roman"/>
          <w:b/>
          <w:bCs/>
          <w:u w:val="single"/>
        </w:rPr>
      </w:pPr>
      <w:r w:rsidRPr="00A72389">
        <w:rPr>
          <w:rFonts w:ascii="Times New Roman" w:hAnsi="Times New Roman" w:cs="Times New Roman"/>
          <w:b/>
          <w:bCs/>
          <w:u w:val="single"/>
        </w:rPr>
        <w:t>“</w:t>
      </w:r>
      <w:r w:rsidR="00A72389" w:rsidRPr="00A72389">
        <w:rPr>
          <w:rFonts w:ascii="Times New Roman" w:hAnsi="Times New Roman" w:cs="Times New Roman"/>
          <w:u w:val="single"/>
        </w:rPr>
        <w:t>How do Year One pupils perceive mindfulness and its relation to engagement?</w:t>
      </w:r>
    </w:p>
    <w:p w14:paraId="448123A0" w14:textId="77777777" w:rsidR="008D734F" w:rsidRDefault="008D734F" w:rsidP="00321020">
      <w:pPr>
        <w:rPr>
          <w:rFonts w:ascii="Times New Roman" w:hAnsi="Times New Roman" w:cs="Times New Roman"/>
          <w:b/>
          <w:bCs/>
          <w:u w:val="single"/>
        </w:rPr>
      </w:pPr>
    </w:p>
    <w:p w14:paraId="2E5BFDAB" w14:textId="77777777" w:rsidR="008D734F" w:rsidRDefault="008D734F" w:rsidP="00321020">
      <w:pPr>
        <w:rPr>
          <w:rFonts w:ascii="Times New Roman" w:hAnsi="Times New Roman" w:cs="Times New Roman"/>
          <w:b/>
          <w:bCs/>
          <w:u w:val="single"/>
        </w:rPr>
      </w:pPr>
    </w:p>
    <w:p w14:paraId="0AEFF47E" w14:textId="294099E0" w:rsidR="00E231E3" w:rsidRPr="001F670F" w:rsidRDefault="00B95793" w:rsidP="00321020">
      <w:pPr>
        <w:rPr>
          <w:rFonts w:ascii="Times New Roman" w:hAnsi="Times New Roman" w:cs="Times New Roman"/>
          <w:b/>
          <w:bCs/>
          <w:u w:val="single"/>
        </w:rPr>
      </w:pPr>
      <w:r w:rsidRPr="001F670F">
        <w:rPr>
          <w:rFonts w:ascii="Times New Roman" w:hAnsi="Times New Roman" w:cs="Times New Roman"/>
          <w:b/>
          <w:bCs/>
          <w:u w:val="single"/>
        </w:rPr>
        <w:t xml:space="preserve">Introduction </w:t>
      </w:r>
    </w:p>
    <w:p w14:paraId="3741FF86" w14:textId="77777777" w:rsidR="00B95793" w:rsidRPr="001F670F" w:rsidRDefault="00B95793" w:rsidP="00A572F7">
      <w:pPr>
        <w:spacing w:line="360" w:lineRule="auto"/>
        <w:rPr>
          <w:rFonts w:ascii="Times New Roman" w:hAnsi="Times New Roman" w:cs="Times New Roman"/>
          <w:b/>
          <w:bCs/>
          <w:u w:val="single"/>
        </w:rPr>
      </w:pPr>
    </w:p>
    <w:p w14:paraId="4F38AD66" w14:textId="38AAA4A6" w:rsidR="00B95793" w:rsidRPr="001F670F" w:rsidRDefault="00B95793" w:rsidP="00A572F7">
      <w:pPr>
        <w:spacing w:line="360" w:lineRule="auto"/>
        <w:rPr>
          <w:rFonts w:ascii="Times New Roman" w:hAnsi="Times New Roman" w:cs="Times New Roman"/>
        </w:rPr>
      </w:pPr>
      <w:r w:rsidRPr="001F670F">
        <w:rPr>
          <w:rFonts w:ascii="Times New Roman" w:hAnsi="Times New Roman" w:cs="Times New Roman"/>
        </w:rPr>
        <w:t>In the landscape of education, fostering student engagement stands as a paramount objective for educators. As a prospective teacher pursuing a Postgraduate Certificate in Education, delving into the realm of student engagement has been a focal point of my academic journey. Rooted in this pursuit is an exploration of mindfulness and its perceived correlation with student engagement. This research essay aims to unravel the relationship between mindfulness practices and student engagement through the lens of pupil perception.</w:t>
      </w:r>
    </w:p>
    <w:p w14:paraId="40DFE407" w14:textId="05744AC8" w:rsidR="00B95793" w:rsidRPr="001F670F" w:rsidRDefault="00B95793" w:rsidP="00A572F7">
      <w:pPr>
        <w:spacing w:line="360" w:lineRule="auto"/>
        <w:rPr>
          <w:rFonts w:ascii="Times New Roman" w:hAnsi="Times New Roman" w:cs="Times New Roman"/>
        </w:rPr>
      </w:pPr>
      <w:r w:rsidRPr="001F670F">
        <w:rPr>
          <w:rFonts w:ascii="Times New Roman" w:hAnsi="Times New Roman" w:cs="Times New Roman"/>
        </w:rPr>
        <w:t>Th</w:t>
      </w:r>
      <w:r w:rsidR="00FA331F" w:rsidRPr="001F670F">
        <w:rPr>
          <w:rFonts w:ascii="Times New Roman" w:hAnsi="Times New Roman" w:cs="Times New Roman"/>
        </w:rPr>
        <w:t xml:space="preserve">e interest in this </w:t>
      </w:r>
      <w:r w:rsidRPr="001F670F">
        <w:rPr>
          <w:rFonts w:ascii="Times New Roman" w:hAnsi="Times New Roman" w:cs="Times New Roman"/>
        </w:rPr>
        <w:t xml:space="preserve">research project stemmed from a keen observation of the evolving educational paradigms and the emerging discourse surrounding the integration of mindfulness practices within educational settings. In particular, the question that ignited this inquiry was: How do </w:t>
      </w:r>
      <w:r w:rsidR="00A72389">
        <w:rPr>
          <w:rFonts w:ascii="Times New Roman" w:hAnsi="Times New Roman" w:cs="Times New Roman"/>
        </w:rPr>
        <w:t xml:space="preserve">Year One </w:t>
      </w:r>
      <w:r w:rsidRPr="001F670F">
        <w:rPr>
          <w:rFonts w:ascii="Times New Roman" w:hAnsi="Times New Roman" w:cs="Times New Roman"/>
        </w:rPr>
        <w:t>pupils perceive mindfulness and its relation to engagement? This inquiry was sparked by a genuine curiosity to understand the nuances of student experiences and their perspectives on mindfulness as a potential catalyst for enhancing engagement in learning processes.</w:t>
      </w:r>
    </w:p>
    <w:p w14:paraId="14F9E952" w14:textId="11831754" w:rsidR="001F66BD" w:rsidRPr="001F670F" w:rsidRDefault="001F66BD" w:rsidP="00A572F7">
      <w:pPr>
        <w:spacing w:line="360" w:lineRule="auto"/>
        <w:rPr>
          <w:rFonts w:ascii="Times New Roman" w:hAnsi="Times New Roman" w:cs="Times New Roman"/>
        </w:rPr>
      </w:pPr>
      <w:r w:rsidRPr="001F670F">
        <w:rPr>
          <w:rFonts w:ascii="Times New Roman" w:hAnsi="Times New Roman" w:cs="Times New Roman"/>
        </w:rPr>
        <w:t>Moreover, the research question was influenced by Graham Donaldson's 'Successful Futures' report on education in Wales, which emphasizes the importance of holistic education and the integration of well-being within the curriculum</w:t>
      </w:r>
      <w:r w:rsidR="00E00E70" w:rsidRPr="001F670F">
        <w:rPr>
          <w:rFonts w:ascii="Times New Roman" w:hAnsi="Times New Roman" w:cs="Times New Roman"/>
        </w:rPr>
        <w:t xml:space="preserve"> (Donaldson, 20</w:t>
      </w:r>
      <w:r w:rsidR="001A4B56" w:rsidRPr="001F670F">
        <w:rPr>
          <w:rFonts w:ascii="Times New Roman" w:hAnsi="Times New Roman" w:cs="Times New Roman"/>
        </w:rPr>
        <w:t>15)</w:t>
      </w:r>
      <w:r w:rsidRPr="001F670F">
        <w:rPr>
          <w:rFonts w:ascii="Times New Roman" w:hAnsi="Times New Roman" w:cs="Times New Roman"/>
        </w:rPr>
        <w:t>. This report underscored the significance of nurturing students' emotional well-being alongside their academic development, further highlighting the relevance of exploring mindfulness within educational contexts.</w:t>
      </w:r>
    </w:p>
    <w:p w14:paraId="3BF38555" w14:textId="39CE7954" w:rsidR="0088302D" w:rsidRPr="001F670F" w:rsidRDefault="00B95793" w:rsidP="00A572F7">
      <w:pPr>
        <w:spacing w:line="360" w:lineRule="auto"/>
        <w:rPr>
          <w:rFonts w:ascii="Times New Roman" w:hAnsi="Times New Roman" w:cs="Times New Roman"/>
        </w:rPr>
      </w:pPr>
      <w:r w:rsidRPr="001F670F">
        <w:rPr>
          <w:rFonts w:ascii="Times New Roman" w:hAnsi="Times New Roman" w:cs="Times New Roman"/>
        </w:rPr>
        <w:t xml:space="preserve">This research inquiry </w:t>
      </w:r>
      <w:r w:rsidR="00FA331F" w:rsidRPr="001F670F">
        <w:rPr>
          <w:rFonts w:ascii="Times New Roman" w:hAnsi="Times New Roman" w:cs="Times New Roman"/>
        </w:rPr>
        <w:t>links</w:t>
      </w:r>
      <w:r w:rsidRPr="001F670F">
        <w:rPr>
          <w:rFonts w:ascii="Times New Roman" w:hAnsi="Times New Roman" w:cs="Times New Roman"/>
        </w:rPr>
        <w:t xml:space="preserve"> with my Personal Learning Plan (PLP) as it aligns with my overarching goal as an educator: to create inclusive and enriching learning environments that empower students to actively engage with their learning journey. Mindfulness, with its potential to cultivate awareness, resilience, and emotional regulation, presents itself as a promising avenue to foster such environments. By exploring the intersection of mindfulness and engagement, this research </w:t>
      </w:r>
      <w:r w:rsidR="00BD7BC4" w:rsidRPr="001F670F">
        <w:rPr>
          <w:rFonts w:ascii="Times New Roman" w:hAnsi="Times New Roman" w:cs="Times New Roman"/>
        </w:rPr>
        <w:t>endeavours</w:t>
      </w:r>
      <w:r w:rsidRPr="001F670F">
        <w:rPr>
          <w:rFonts w:ascii="Times New Roman" w:hAnsi="Times New Roman" w:cs="Times New Roman"/>
        </w:rPr>
        <w:t xml:space="preserve"> to contribute insights that can inform pedagogical practices and enhance student experiences within the classroom.</w:t>
      </w:r>
    </w:p>
    <w:p w14:paraId="235C747F" w14:textId="2DBEE12C" w:rsidR="00AF5188" w:rsidRPr="00AF5188" w:rsidRDefault="00AF5188" w:rsidP="00A572F7">
      <w:pPr>
        <w:spacing w:line="360" w:lineRule="auto"/>
        <w:rPr>
          <w:rFonts w:ascii="Times New Roman" w:hAnsi="Times New Roman" w:cs="Times New Roman"/>
        </w:rPr>
      </w:pPr>
      <w:r w:rsidRPr="001F670F">
        <w:rPr>
          <w:rFonts w:ascii="Times New Roman" w:hAnsi="Times New Roman" w:cs="Times New Roman"/>
        </w:rPr>
        <w:lastRenderedPageBreak/>
        <w:t>S</w:t>
      </w:r>
      <w:r w:rsidRPr="00AF5188">
        <w:rPr>
          <w:rFonts w:ascii="Times New Roman" w:hAnsi="Times New Roman" w:cs="Times New Roman"/>
        </w:rPr>
        <w:t>ituated in a city in South Wales, the school serves as a microcosm of diversity, encompassing students from varied socio-economic backgrounds and cultural identities. With a student body of 246 pupils, the class of 24 students comprises a mix of 8 boys and 16 girls. Notably, while the class does not include pupils with Additional Learning Needs (ALN), the diverse range of learning styles and personalities present within the classroom underscores the importance of adopting inclusive and differentiated pedagogical approaches.</w:t>
      </w:r>
    </w:p>
    <w:p w14:paraId="2CEDFAE3" w14:textId="7DB2FB69" w:rsidR="00AF5188" w:rsidRPr="00AF5188" w:rsidRDefault="00AF5188" w:rsidP="00A572F7">
      <w:pPr>
        <w:spacing w:line="360" w:lineRule="auto"/>
        <w:rPr>
          <w:rFonts w:ascii="Times New Roman" w:hAnsi="Times New Roman" w:cs="Times New Roman"/>
        </w:rPr>
      </w:pPr>
      <w:r w:rsidRPr="001F670F">
        <w:rPr>
          <w:rFonts w:ascii="Times New Roman" w:hAnsi="Times New Roman" w:cs="Times New Roman"/>
        </w:rPr>
        <w:t>I</w:t>
      </w:r>
      <w:r w:rsidRPr="00AF5188">
        <w:rPr>
          <w:rFonts w:ascii="Times New Roman" w:hAnsi="Times New Roman" w:cs="Times New Roman"/>
        </w:rPr>
        <w:t xml:space="preserve">t is hoped that this research essay not only sheds light on the perceptions of pupils regarding mindfulness but also serves as a catalyst for meaningful discussions and pedagogical innovations aimed at fostering holistic student development and engagement in educational settings. Through collaborative inquiry and reflection, there is an </w:t>
      </w:r>
      <w:r w:rsidRPr="001F670F">
        <w:rPr>
          <w:rFonts w:ascii="Times New Roman" w:hAnsi="Times New Roman" w:cs="Times New Roman"/>
        </w:rPr>
        <w:t>aim</w:t>
      </w:r>
      <w:r w:rsidRPr="00AF5188">
        <w:rPr>
          <w:rFonts w:ascii="Times New Roman" w:hAnsi="Times New Roman" w:cs="Times New Roman"/>
        </w:rPr>
        <w:t xml:space="preserve"> to create learning environments that nurture the mind</w:t>
      </w:r>
      <w:r w:rsidRPr="001F670F">
        <w:rPr>
          <w:rFonts w:ascii="Times New Roman" w:hAnsi="Times New Roman" w:cs="Times New Roman"/>
        </w:rPr>
        <w:t xml:space="preserve"> </w:t>
      </w:r>
      <w:r w:rsidRPr="00AF5188">
        <w:rPr>
          <w:rFonts w:ascii="Times New Roman" w:hAnsi="Times New Roman" w:cs="Times New Roman"/>
        </w:rPr>
        <w:t>of every learner, fostering a culture of curiosity, resilience, and lifelong learning.</w:t>
      </w:r>
    </w:p>
    <w:p w14:paraId="40BEACA2" w14:textId="77777777" w:rsidR="00AF5188" w:rsidRPr="00AF5188" w:rsidRDefault="00AF5188" w:rsidP="00A572F7">
      <w:pPr>
        <w:spacing w:line="360" w:lineRule="auto"/>
        <w:rPr>
          <w:rFonts w:ascii="Times New Roman" w:hAnsi="Times New Roman" w:cs="Times New Roman"/>
          <w:vanish/>
        </w:rPr>
      </w:pPr>
      <w:r w:rsidRPr="00AF5188">
        <w:rPr>
          <w:rFonts w:ascii="Times New Roman" w:hAnsi="Times New Roman" w:cs="Times New Roman"/>
          <w:vanish/>
        </w:rPr>
        <w:t>Top of Form</w:t>
      </w:r>
    </w:p>
    <w:p w14:paraId="03027A9A" w14:textId="77777777" w:rsidR="00AF5188" w:rsidRPr="001F670F" w:rsidRDefault="00AF5188" w:rsidP="00A572F7">
      <w:pPr>
        <w:spacing w:line="360" w:lineRule="auto"/>
        <w:rPr>
          <w:rFonts w:ascii="Times New Roman" w:hAnsi="Times New Roman" w:cs="Times New Roman"/>
        </w:rPr>
      </w:pPr>
    </w:p>
    <w:p w14:paraId="57E5B0CD" w14:textId="5651973F" w:rsidR="003A1F60" w:rsidRPr="001F670F" w:rsidRDefault="003A1F60" w:rsidP="00A572F7">
      <w:pPr>
        <w:spacing w:line="360" w:lineRule="auto"/>
        <w:rPr>
          <w:rFonts w:ascii="Times New Roman" w:hAnsi="Times New Roman" w:cs="Times New Roman"/>
          <w:b/>
          <w:bCs/>
          <w:u w:val="single"/>
        </w:rPr>
      </w:pPr>
      <w:r w:rsidRPr="001F670F">
        <w:rPr>
          <w:rFonts w:ascii="Times New Roman" w:hAnsi="Times New Roman" w:cs="Times New Roman"/>
          <w:b/>
          <w:bCs/>
          <w:u w:val="single"/>
        </w:rPr>
        <w:t xml:space="preserve">Literature review </w:t>
      </w:r>
    </w:p>
    <w:p w14:paraId="776A6FEE" w14:textId="34032BD1" w:rsidR="003A1F60" w:rsidRPr="001F670F" w:rsidRDefault="003A1F60"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The incorporation of mindfulness practices within educational settings has gained momentum in recent years. Kabat-Zinn (2003) defines mindfulness as the awareness that emerges through paying attention, on purpose, in the present moment, non-judgmentally. This definition forms the basis for understanding mindfulness within educational contexts. Researchers such as Jennings and Greenberg (2009) argue that mindfulness practices can promote attention regulation, emotional regulation, and overall well-being among students. Furthermore, Roeser et al. (2012) highlight the potential of mindfulness interventions to reduce stress and enhance socio-emotional competencies, thus positively impacting student engagement.</w:t>
      </w:r>
    </w:p>
    <w:p w14:paraId="1CE89255" w14:textId="0AB41A8B" w:rsidR="009D63D1" w:rsidRPr="001F670F" w:rsidRDefault="009D63D1"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 xml:space="preserve">Student engagement is a multifaceted construct encompassing </w:t>
      </w:r>
      <w:proofErr w:type="spellStart"/>
      <w:r w:rsidRPr="001F670F">
        <w:rPr>
          <w:rFonts w:ascii="Times New Roman" w:hAnsi="Times New Roman" w:cs="Times New Roman"/>
          <w:color w:val="0D0D0D"/>
          <w:shd w:val="clear" w:color="auto" w:fill="FFFFFF"/>
        </w:rPr>
        <w:t>behavioral</w:t>
      </w:r>
      <w:proofErr w:type="spellEnd"/>
      <w:r w:rsidRPr="001F670F">
        <w:rPr>
          <w:rFonts w:ascii="Times New Roman" w:hAnsi="Times New Roman" w:cs="Times New Roman"/>
          <w:color w:val="0D0D0D"/>
          <w:shd w:val="clear" w:color="auto" w:fill="FFFFFF"/>
        </w:rPr>
        <w:t xml:space="preserve">, emotional, and cognitive dimensions (Fredricks et al., 2004). </w:t>
      </w:r>
      <w:r w:rsidR="005F129C" w:rsidRPr="001F670F">
        <w:rPr>
          <w:rFonts w:ascii="Times New Roman" w:hAnsi="Times New Roman" w:cs="Times New Roman"/>
          <w:color w:val="0D0D0D"/>
          <w:shd w:val="clear" w:color="auto" w:fill="FFFFFF"/>
        </w:rPr>
        <w:t>Qiao and Schaufeli</w:t>
      </w:r>
      <w:r w:rsidR="005F129C" w:rsidRPr="001F670F">
        <w:rPr>
          <w:rFonts w:ascii="Times New Roman" w:hAnsi="Times New Roman" w:cs="Times New Roman"/>
          <w:color w:val="0D0D0D"/>
          <w:shd w:val="clear" w:color="auto" w:fill="FFFFFF"/>
        </w:rPr>
        <w:t xml:space="preserve"> (</w:t>
      </w:r>
      <w:r w:rsidR="005F129C" w:rsidRPr="001F670F">
        <w:rPr>
          <w:rFonts w:ascii="Times New Roman" w:hAnsi="Times New Roman" w:cs="Times New Roman"/>
          <w:color w:val="0D0D0D"/>
          <w:shd w:val="clear" w:color="auto" w:fill="FFFFFF"/>
        </w:rPr>
        <w:t>2010)</w:t>
      </w:r>
      <w:r w:rsidRPr="001F670F">
        <w:rPr>
          <w:rFonts w:ascii="Times New Roman" w:hAnsi="Times New Roman" w:cs="Times New Roman"/>
          <w:color w:val="0D0D0D"/>
          <w:shd w:val="clear" w:color="auto" w:fill="FFFFFF"/>
        </w:rPr>
        <w:t xml:space="preserve"> define engagement as a positive, fulfilling, work-related state of mind characterized by </w:t>
      </w:r>
      <w:proofErr w:type="spellStart"/>
      <w:r w:rsidRPr="001F670F">
        <w:rPr>
          <w:rFonts w:ascii="Times New Roman" w:hAnsi="Times New Roman" w:cs="Times New Roman"/>
          <w:color w:val="0D0D0D"/>
          <w:shd w:val="clear" w:color="auto" w:fill="FFFFFF"/>
        </w:rPr>
        <w:t>vigor</w:t>
      </w:r>
      <w:proofErr w:type="spellEnd"/>
      <w:r w:rsidRPr="001F670F">
        <w:rPr>
          <w:rFonts w:ascii="Times New Roman" w:hAnsi="Times New Roman" w:cs="Times New Roman"/>
          <w:color w:val="0D0D0D"/>
          <w:shd w:val="clear" w:color="auto" w:fill="FFFFFF"/>
        </w:rPr>
        <w:t xml:space="preserve">, dedication, and absorption. Research suggests that engaged students are more likely to demonstrate higher academic achievement, persistence, and satisfaction with learning experiences (Finn &amp; Zimmer, 2012). However, </w:t>
      </w:r>
      <w:proofErr w:type="gramStart"/>
      <w:r w:rsidRPr="001F670F">
        <w:rPr>
          <w:rFonts w:ascii="Times New Roman" w:hAnsi="Times New Roman" w:cs="Times New Roman"/>
          <w:color w:val="0D0D0D"/>
          <w:shd w:val="clear" w:color="auto" w:fill="FFFFFF"/>
        </w:rPr>
        <w:t>fostering</w:t>
      </w:r>
      <w:proofErr w:type="gramEnd"/>
      <w:r w:rsidRPr="001F670F">
        <w:rPr>
          <w:rFonts w:ascii="Times New Roman" w:hAnsi="Times New Roman" w:cs="Times New Roman"/>
          <w:color w:val="0D0D0D"/>
          <w:shd w:val="clear" w:color="auto" w:fill="FFFFFF"/>
        </w:rPr>
        <w:t xml:space="preserve"> and sustaining student engagement remains a complex challenge for educators.</w:t>
      </w:r>
    </w:p>
    <w:p w14:paraId="139E35E3" w14:textId="356C46F0" w:rsidR="006133D5" w:rsidRPr="001F670F" w:rsidRDefault="006133D5"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Numerous studies have explored the relationship between mindfulness practices and student engagement, shedding light on various facets of this. Black and Fernando (201</w:t>
      </w:r>
      <w:r w:rsidR="00535CCF" w:rsidRPr="001F670F">
        <w:rPr>
          <w:rFonts w:ascii="Times New Roman" w:hAnsi="Times New Roman" w:cs="Times New Roman"/>
          <w:color w:val="0D0D0D"/>
          <w:shd w:val="clear" w:color="auto" w:fill="FFFFFF"/>
        </w:rPr>
        <w:t>3</w:t>
      </w:r>
      <w:r w:rsidRPr="001F670F">
        <w:rPr>
          <w:rFonts w:ascii="Times New Roman" w:hAnsi="Times New Roman" w:cs="Times New Roman"/>
          <w:color w:val="0D0D0D"/>
          <w:shd w:val="clear" w:color="auto" w:fill="FFFFFF"/>
        </w:rPr>
        <w:t xml:space="preserve">) conducted a longitudinal study in Australian schools and found that mindfulness interventions were associated with increased student engagement, as evidenced by higher levels of attentiveness, participation, and enthusiasm in learning activities. Similarly, Maynard et al. (2017) conducted qualitative research in a secondary school setting and discovered that students who regularly practiced mindfulness reported </w:t>
      </w:r>
      <w:r w:rsidRPr="001F670F">
        <w:rPr>
          <w:rFonts w:ascii="Times New Roman" w:hAnsi="Times New Roman" w:cs="Times New Roman"/>
          <w:color w:val="0D0D0D"/>
          <w:shd w:val="clear" w:color="auto" w:fill="FFFFFF"/>
        </w:rPr>
        <w:lastRenderedPageBreak/>
        <w:t>feeling more connected to their learning experiences, leading to greater motivation and effort in academic pursuits.</w:t>
      </w:r>
    </w:p>
    <w:p w14:paraId="37860DEC" w14:textId="77777777" w:rsidR="006133D5" w:rsidRPr="001F670F" w:rsidRDefault="006133D5"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Moreover, the cultivation of mindfulness has been linked to improvements in emotional regulation, which in turn can influence student engagement. Kemeny et al. (2012) found that mindfulness training led to enhanced emotion regulation skills among adolescents, resulting in reduced anxiety and increased resilience in the face of academic challenges. This suggests that by developing skills to manage emotional responses, students may be better equipped to engage with learning tasks and navigate academic stressors effectively.</w:t>
      </w:r>
    </w:p>
    <w:p w14:paraId="2CD0E303" w14:textId="77777777" w:rsidR="006133D5" w:rsidRPr="001F670F" w:rsidRDefault="006133D5" w:rsidP="00A572F7">
      <w:pPr>
        <w:spacing w:line="360" w:lineRule="auto"/>
        <w:rPr>
          <w:rFonts w:ascii="Times New Roman" w:hAnsi="Times New Roman" w:cs="Times New Roman"/>
          <w:color w:val="0D0D0D"/>
          <w:shd w:val="clear" w:color="auto" w:fill="FFFFFF"/>
        </w:rPr>
      </w:pPr>
    </w:p>
    <w:p w14:paraId="64A1C07B" w14:textId="646FB330" w:rsidR="006133D5" w:rsidRPr="001F670F" w:rsidRDefault="006133D5"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Additionally, mindfulness practices have been shown to promote a positive classroom climate conducive to engagement. A study by Felver et al. (201</w:t>
      </w:r>
      <w:r w:rsidR="00985AB6" w:rsidRPr="001F670F">
        <w:rPr>
          <w:rFonts w:ascii="Times New Roman" w:hAnsi="Times New Roman" w:cs="Times New Roman"/>
          <w:color w:val="0D0D0D"/>
          <w:shd w:val="clear" w:color="auto" w:fill="FFFFFF"/>
        </w:rPr>
        <w:t>5</w:t>
      </w:r>
      <w:r w:rsidRPr="001F670F">
        <w:rPr>
          <w:rFonts w:ascii="Times New Roman" w:hAnsi="Times New Roman" w:cs="Times New Roman"/>
          <w:color w:val="0D0D0D"/>
          <w:shd w:val="clear" w:color="auto" w:fill="FFFFFF"/>
        </w:rPr>
        <w:t>) demonstrated that integrating mindfulness into the classroom environment was associated with improvements in teacher-student relationships and a sense of community among students. This supportive atmosphere, characterized by trust, respect, and collaboration, can foster a sense of belonging and motivation to participate actively in learning activities.</w:t>
      </w:r>
    </w:p>
    <w:p w14:paraId="2C621915" w14:textId="77777777" w:rsidR="006133D5" w:rsidRPr="001F670F" w:rsidRDefault="006133D5" w:rsidP="00A572F7">
      <w:pPr>
        <w:spacing w:line="360" w:lineRule="auto"/>
        <w:rPr>
          <w:rFonts w:ascii="Times New Roman" w:hAnsi="Times New Roman" w:cs="Times New Roman"/>
          <w:color w:val="0D0D0D"/>
          <w:shd w:val="clear" w:color="auto" w:fill="FFFFFF"/>
        </w:rPr>
      </w:pPr>
    </w:p>
    <w:p w14:paraId="3BDB95EC" w14:textId="6D5F1F4A" w:rsidR="006133D5" w:rsidRPr="001F670F" w:rsidRDefault="006133D5"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 xml:space="preserve">Furthermore, the benefits of mindfulness extend beyond individual students to the broader school community. A meta-analysis by </w:t>
      </w:r>
      <w:proofErr w:type="spellStart"/>
      <w:r w:rsidRPr="001F670F">
        <w:rPr>
          <w:rFonts w:ascii="Times New Roman" w:hAnsi="Times New Roman" w:cs="Times New Roman"/>
          <w:color w:val="0D0D0D"/>
          <w:shd w:val="clear" w:color="auto" w:fill="FFFFFF"/>
        </w:rPr>
        <w:t>Dariotis</w:t>
      </w:r>
      <w:proofErr w:type="spellEnd"/>
      <w:r w:rsidRPr="001F670F">
        <w:rPr>
          <w:rFonts w:ascii="Times New Roman" w:hAnsi="Times New Roman" w:cs="Times New Roman"/>
          <w:color w:val="0D0D0D"/>
          <w:shd w:val="clear" w:color="auto" w:fill="FFFFFF"/>
        </w:rPr>
        <w:t xml:space="preserve"> et al. (201</w:t>
      </w:r>
      <w:r w:rsidR="00D14701" w:rsidRPr="001F670F">
        <w:rPr>
          <w:rFonts w:ascii="Times New Roman" w:hAnsi="Times New Roman" w:cs="Times New Roman"/>
          <w:color w:val="0D0D0D"/>
          <w:shd w:val="clear" w:color="auto" w:fill="FFFFFF"/>
        </w:rPr>
        <w:t>6</w:t>
      </w:r>
      <w:r w:rsidRPr="001F670F">
        <w:rPr>
          <w:rFonts w:ascii="Times New Roman" w:hAnsi="Times New Roman" w:cs="Times New Roman"/>
          <w:color w:val="0D0D0D"/>
          <w:shd w:val="clear" w:color="auto" w:fill="FFFFFF"/>
        </w:rPr>
        <w:t>) examined the impact of mindfulness-based programs on school climate and found positive effects on indicators such as school connectedness, peer relationships, and overall well-being. These findings suggest that by promoting a culture of mindfulness within schools, educators can create an environment that nurtures student engagement and enhances the overall educational experience.</w:t>
      </w:r>
    </w:p>
    <w:p w14:paraId="6A651AA4" w14:textId="584523BC" w:rsidR="006133D5" w:rsidRPr="001F670F" w:rsidRDefault="006133D5"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However, it is essential to acknowledge potential challenges and limitations associated with implementing mindfulness practices in educational settings. Some researchers have raised concerns about the cultural appropriateness of mindfulness interventions and the need for careful adaptation to diverse student populations (Berila, 201</w:t>
      </w:r>
      <w:r w:rsidR="00234ACB" w:rsidRPr="001F670F">
        <w:rPr>
          <w:rFonts w:ascii="Times New Roman" w:hAnsi="Times New Roman" w:cs="Times New Roman"/>
          <w:color w:val="0D0D0D"/>
          <w:shd w:val="clear" w:color="auto" w:fill="FFFFFF"/>
        </w:rPr>
        <w:t>5</w:t>
      </w:r>
      <w:r w:rsidRPr="001F670F">
        <w:rPr>
          <w:rFonts w:ascii="Times New Roman" w:hAnsi="Times New Roman" w:cs="Times New Roman"/>
          <w:color w:val="0D0D0D"/>
          <w:shd w:val="clear" w:color="auto" w:fill="FFFFFF"/>
        </w:rPr>
        <w:t xml:space="preserve">). Additionally, the effectiveness of mindfulness programs may vary depending on factors such as </w:t>
      </w:r>
      <w:r w:rsidR="0067442E" w:rsidRPr="001F670F">
        <w:rPr>
          <w:rFonts w:ascii="Times New Roman" w:hAnsi="Times New Roman" w:cs="Times New Roman"/>
          <w:color w:val="0D0D0D"/>
          <w:shd w:val="clear" w:color="auto" w:fill="FFFFFF"/>
        </w:rPr>
        <w:t>frequency</w:t>
      </w:r>
      <w:r w:rsidRPr="001F670F">
        <w:rPr>
          <w:rFonts w:ascii="Times New Roman" w:hAnsi="Times New Roman" w:cs="Times New Roman"/>
          <w:color w:val="0D0D0D"/>
          <w:shd w:val="clear" w:color="auto" w:fill="FFFFFF"/>
        </w:rPr>
        <w:t>, delivery format, and teacher training (Durlak et al., 2011). Thus, while the literature highlights the potential of mindfulness to enhance student engagement, further research is needed to explore optimal implementation strategies and address potential barriers to effectiveness.</w:t>
      </w:r>
    </w:p>
    <w:p w14:paraId="59A8724D" w14:textId="77777777" w:rsidR="00912DAC" w:rsidRPr="001F670F" w:rsidRDefault="008969BC" w:rsidP="00A572F7">
      <w:pPr>
        <w:spacing w:line="360" w:lineRule="auto"/>
        <w:rPr>
          <w:rFonts w:ascii="Times New Roman" w:hAnsi="Times New Roman" w:cs="Times New Roman"/>
          <w:color w:val="0D0D0D"/>
          <w:shd w:val="clear" w:color="auto" w:fill="FFFFFF"/>
        </w:rPr>
      </w:pPr>
      <w:r w:rsidRPr="001F670F">
        <w:rPr>
          <w:rFonts w:ascii="Times New Roman" w:hAnsi="Times New Roman" w:cs="Times New Roman"/>
          <w:color w:val="0D0D0D"/>
          <w:shd w:val="clear" w:color="auto" w:fill="FFFFFF"/>
        </w:rPr>
        <w:t xml:space="preserve">This research aims to extend the work of previous scholars by examining mindfulness and engagement within the specific school and class context. By considering the unique demographic composition, classroom dynamics, and educational policies in Wales, this study seeks to provide contextually relevant insights that can inform practice and support the well-being and engagement of </w:t>
      </w:r>
      <w:r w:rsidRPr="001F670F">
        <w:rPr>
          <w:rFonts w:ascii="Times New Roman" w:hAnsi="Times New Roman" w:cs="Times New Roman"/>
          <w:color w:val="0D0D0D"/>
          <w:shd w:val="clear" w:color="auto" w:fill="FFFFFF"/>
        </w:rPr>
        <w:lastRenderedPageBreak/>
        <w:t>students. Moreover, by involving students as active participants in the research process, this study aims to empower them to voice their perspectives and contribute to the creation of a positive learning environment.</w:t>
      </w:r>
    </w:p>
    <w:p w14:paraId="64B78D1B" w14:textId="77777777" w:rsidR="00912DAC" w:rsidRPr="001F670F" w:rsidRDefault="00912DAC" w:rsidP="00A572F7">
      <w:pPr>
        <w:spacing w:line="360" w:lineRule="auto"/>
        <w:rPr>
          <w:rFonts w:ascii="Times New Roman" w:hAnsi="Times New Roman" w:cs="Times New Roman"/>
          <w:color w:val="0D0D0D"/>
          <w:shd w:val="clear" w:color="auto" w:fill="FFFFFF"/>
        </w:rPr>
      </w:pPr>
    </w:p>
    <w:p w14:paraId="7464AC04" w14:textId="0D0625C6" w:rsidR="00912DAC" w:rsidRPr="001F670F" w:rsidRDefault="00CB7F56" w:rsidP="00A572F7">
      <w:pPr>
        <w:spacing w:line="360" w:lineRule="auto"/>
        <w:rPr>
          <w:rFonts w:ascii="Times New Roman" w:hAnsi="Times New Roman" w:cs="Times New Roman"/>
          <w:b/>
          <w:bCs/>
          <w:u w:val="single"/>
        </w:rPr>
      </w:pPr>
      <w:r w:rsidRPr="001F670F">
        <w:rPr>
          <w:rFonts w:ascii="Times New Roman" w:hAnsi="Times New Roman" w:cs="Times New Roman"/>
          <w:b/>
          <w:bCs/>
          <w:u w:val="single"/>
        </w:rPr>
        <w:t xml:space="preserve">Explanation of case study </w:t>
      </w:r>
    </w:p>
    <w:p w14:paraId="24347B22" w14:textId="77777777" w:rsidR="00CB7F56" w:rsidRPr="001F670F" w:rsidRDefault="00CB7F56" w:rsidP="00A572F7">
      <w:pPr>
        <w:spacing w:line="360" w:lineRule="auto"/>
        <w:rPr>
          <w:rFonts w:ascii="Times New Roman" w:hAnsi="Times New Roman" w:cs="Times New Roman"/>
        </w:rPr>
      </w:pPr>
    </w:p>
    <w:p w14:paraId="0D3D3A7B" w14:textId="3AE401EA" w:rsidR="00912DAC" w:rsidRPr="001F670F" w:rsidRDefault="00912DAC" w:rsidP="00A572F7">
      <w:pPr>
        <w:spacing w:line="360" w:lineRule="auto"/>
        <w:rPr>
          <w:rFonts w:ascii="Times New Roman" w:hAnsi="Times New Roman" w:cs="Times New Roman"/>
        </w:rPr>
      </w:pPr>
      <w:r w:rsidRPr="001F670F">
        <w:rPr>
          <w:rFonts w:ascii="Times New Roman" w:hAnsi="Times New Roman" w:cs="Times New Roman"/>
        </w:rPr>
        <w:t>Case study research is a qualitative research method that involves an in-depth exploration of a specific phenomenon within its real-life context. This approach enables researchers to examine complex issues, processes, or experiences in detail, often focusing on a small number of cases</w:t>
      </w:r>
      <w:r w:rsidR="004D1539" w:rsidRPr="001F670F">
        <w:rPr>
          <w:rFonts w:ascii="Times New Roman" w:hAnsi="Times New Roman" w:cs="Times New Roman"/>
        </w:rPr>
        <w:t xml:space="preserve"> or group</w:t>
      </w:r>
      <w:r w:rsidRPr="001F670F">
        <w:rPr>
          <w:rFonts w:ascii="Times New Roman" w:hAnsi="Times New Roman" w:cs="Times New Roman"/>
        </w:rPr>
        <w:t xml:space="preserve">. In the context of education, case study research offers a valuable means of investigating multifaceted phenomena, such as student perceptions of mindfulness and its relation to engagement. </w:t>
      </w:r>
      <w:r w:rsidR="004D1539" w:rsidRPr="001F670F">
        <w:rPr>
          <w:rFonts w:ascii="Times New Roman" w:hAnsi="Times New Roman" w:cs="Times New Roman"/>
        </w:rPr>
        <w:t xml:space="preserve">It is vital when using a </w:t>
      </w:r>
      <w:r w:rsidR="008F1FAC" w:rsidRPr="001F670F">
        <w:rPr>
          <w:rFonts w:ascii="Times New Roman" w:hAnsi="Times New Roman" w:cs="Times New Roman"/>
        </w:rPr>
        <w:t xml:space="preserve">case study to understand it’s </w:t>
      </w:r>
      <w:r w:rsidRPr="001F670F">
        <w:rPr>
          <w:rFonts w:ascii="Times New Roman" w:hAnsi="Times New Roman" w:cs="Times New Roman"/>
        </w:rPr>
        <w:t>strengths and limitations, and considerations for participant selection within a case study involving eight individuals from a classroom setting.</w:t>
      </w:r>
    </w:p>
    <w:p w14:paraId="4A91C4E5" w14:textId="77777777" w:rsidR="00912DAC" w:rsidRPr="001F670F" w:rsidRDefault="00912DAC" w:rsidP="00A572F7">
      <w:pPr>
        <w:spacing w:line="360" w:lineRule="auto"/>
        <w:rPr>
          <w:rFonts w:ascii="Times New Roman" w:hAnsi="Times New Roman" w:cs="Times New Roman"/>
        </w:rPr>
      </w:pPr>
    </w:p>
    <w:p w14:paraId="553B69D2" w14:textId="77EAE4D0" w:rsidR="00912DAC" w:rsidRPr="001F670F" w:rsidRDefault="00912DAC" w:rsidP="00A572F7">
      <w:pPr>
        <w:spacing w:line="360" w:lineRule="auto"/>
        <w:rPr>
          <w:rFonts w:ascii="Times New Roman" w:eastAsia="Times New Roman" w:hAnsi="Times New Roman" w:cs="Times New Roman"/>
          <w:kern w:val="0"/>
          <w:lang w:eastAsia="en-GB"/>
          <w14:ligatures w14:val="none"/>
        </w:rPr>
      </w:pPr>
      <w:r w:rsidRPr="001F670F">
        <w:rPr>
          <w:rFonts w:ascii="Times New Roman" w:hAnsi="Times New Roman" w:cs="Times New Roman"/>
        </w:rPr>
        <w:t>The use of a case study approach serves several purposes in educational research. First and foremost, it allows researchers to gain rich, contextualized insights into specific phenomena within their natural settings (</w:t>
      </w:r>
      <w:proofErr w:type="spellStart"/>
      <w:r w:rsidR="00B634C0" w:rsidRPr="001F670F">
        <w:rPr>
          <w:rFonts w:ascii="Times New Roman" w:eastAsia="Times New Roman" w:hAnsi="Times New Roman" w:cs="Times New Roman"/>
          <w:kern w:val="0"/>
          <w:lang w:eastAsia="en-GB"/>
          <w14:ligatures w14:val="none"/>
        </w:rPr>
        <w:t>Hollweck</w:t>
      </w:r>
      <w:proofErr w:type="spellEnd"/>
      <w:r w:rsidR="00B634C0" w:rsidRPr="001F670F">
        <w:rPr>
          <w:rFonts w:ascii="Times New Roman" w:eastAsia="Times New Roman" w:hAnsi="Times New Roman" w:cs="Times New Roman"/>
          <w:kern w:val="0"/>
          <w:lang w:eastAsia="en-GB"/>
          <w14:ligatures w14:val="none"/>
        </w:rPr>
        <w:t>, 2016</w:t>
      </w:r>
      <w:r w:rsidRPr="001F670F">
        <w:rPr>
          <w:rFonts w:ascii="Times New Roman" w:hAnsi="Times New Roman" w:cs="Times New Roman"/>
        </w:rPr>
        <w:t xml:space="preserve">). In the case of exploring student perceptions of mindfulness and engagement, a case study approach </w:t>
      </w:r>
      <w:r w:rsidR="008F1FAC" w:rsidRPr="001F670F">
        <w:rPr>
          <w:rFonts w:ascii="Times New Roman" w:hAnsi="Times New Roman" w:cs="Times New Roman"/>
        </w:rPr>
        <w:t xml:space="preserve">may </w:t>
      </w:r>
      <w:r w:rsidRPr="001F670F">
        <w:rPr>
          <w:rFonts w:ascii="Times New Roman" w:hAnsi="Times New Roman" w:cs="Times New Roman"/>
        </w:rPr>
        <w:t>enable</w:t>
      </w:r>
      <w:r w:rsidR="008F1FAC" w:rsidRPr="001F670F">
        <w:rPr>
          <w:rFonts w:ascii="Times New Roman" w:hAnsi="Times New Roman" w:cs="Times New Roman"/>
        </w:rPr>
        <w:t xml:space="preserve"> the</w:t>
      </w:r>
      <w:r w:rsidRPr="001F670F">
        <w:rPr>
          <w:rFonts w:ascii="Times New Roman" w:hAnsi="Times New Roman" w:cs="Times New Roman"/>
        </w:rPr>
        <w:t xml:space="preserve"> researcher</w:t>
      </w:r>
      <w:r w:rsidR="008F1FAC" w:rsidRPr="001F670F">
        <w:rPr>
          <w:rFonts w:ascii="Times New Roman" w:hAnsi="Times New Roman" w:cs="Times New Roman"/>
        </w:rPr>
        <w:t xml:space="preserve"> </w:t>
      </w:r>
      <w:r w:rsidRPr="001F670F">
        <w:rPr>
          <w:rFonts w:ascii="Times New Roman" w:hAnsi="Times New Roman" w:cs="Times New Roman"/>
        </w:rPr>
        <w:t xml:space="preserve">to capture the intricacies of individual experiences, perspectives, and </w:t>
      </w:r>
      <w:r w:rsidR="008F1FAC" w:rsidRPr="001F670F">
        <w:rPr>
          <w:rFonts w:ascii="Times New Roman" w:hAnsi="Times New Roman" w:cs="Times New Roman"/>
        </w:rPr>
        <w:t>behaviours</w:t>
      </w:r>
      <w:r w:rsidRPr="001F670F">
        <w:rPr>
          <w:rFonts w:ascii="Times New Roman" w:hAnsi="Times New Roman" w:cs="Times New Roman"/>
        </w:rPr>
        <w:t xml:space="preserve"> within the classroom environment. By immersing themselves in the context and collecting data through various methods such as observations, interviews, and document analysis, researchers can uncover nuanced understandings that may not be accessible through quantitative approaches alone</w:t>
      </w:r>
      <w:r w:rsidR="00CE79BB" w:rsidRPr="001F670F">
        <w:rPr>
          <w:rFonts w:ascii="Times New Roman" w:hAnsi="Times New Roman" w:cs="Times New Roman"/>
        </w:rPr>
        <w:t xml:space="preserve"> </w:t>
      </w:r>
      <w:r w:rsidR="00CE79BB" w:rsidRPr="001F670F">
        <w:rPr>
          <w:rFonts w:ascii="Times New Roman" w:hAnsi="Times New Roman" w:cs="Times New Roman"/>
        </w:rPr>
        <w:t>(Tracy, 2019)</w:t>
      </w:r>
      <w:r w:rsidRPr="001F670F">
        <w:rPr>
          <w:rFonts w:ascii="Times New Roman" w:hAnsi="Times New Roman" w:cs="Times New Roman"/>
        </w:rPr>
        <w:t>.</w:t>
      </w:r>
    </w:p>
    <w:p w14:paraId="635774F4" w14:textId="77777777" w:rsidR="00912DAC" w:rsidRPr="001F670F" w:rsidRDefault="00912DAC" w:rsidP="00A572F7">
      <w:pPr>
        <w:spacing w:line="360" w:lineRule="auto"/>
        <w:rPr>
          <w:rFonts w:ascii="Times New Roman" w:hAnsi="Times New Roman" w:cs="Times New Roman"/>
        </w:rPr>
      </w:pPr>
    </w:p>
    <w:p w14:paraId="711973F4" w14:textId="6E2CCFEF" w:rsidR="00912DAC" w:rsidRPr="001F670F" w:rsidRDefault="00912DAC" w:rsidP="00A572F7">
      <w:pPr>
        <w:spacing w:line="360" w:lineRule="auto"/>
        <w:rPr>
          <w:rFonts w:ascii="Times New Roman" w:eastAsia="Times New Roman" w:hAnsi="Times New Roman" w:cs="Times New Roman"/>
          <w:kern w:val="0"/>
          <w:lang w:eastAsia="en-GB"/>
          <w14:ligatures w14:val="none"/>
        </w:rPr>
      </w:pPr>
      <w:r w:rsidRPr="001F670F">
        <w:rPr>
          <w:rFonts w:ascii="Times New Roman" w:hAnsi="Times New Roman" w:cs="Times New Roman"/>
        </w:rPr>
        <w:t xml:space="preserve">Furthermore, case study research facilitates the exploration of complex, multifaceted phenomena from multiple perspectives </w:t>
      </w:r>
      <w:r w:rsidR="00B5394A" w:rsidRPr="001F670F">
        <w:rPr>
          <w:rFonts w:ascii="Times New Roman" w:eastAsia="Times New Roman" w:hAnsi="Times New Roman" w:cs="Times New Roman"/>
          <w:kern w:val="0"/>
          <w:lang w:eastAsia="en-GB"/>
          <w14:ligatures w14:val="none"/>
        </w:rPr>
        <w:t>(Harrison et al., 2017)</w:t>
      </w:r>
      <w:r w:rsidRPr="001F670F">
        <w:rPr>
          <w:rFonts w:ascii="Times New Roman" w:hAnsi="Times New Roman" w:cs="Times New Roman"/>
        </w:rPr>
        <w:t>. In the context of investigating student perceptions of mindfulness and engagement, a case study approach allows researchers to consider the interplay of various factors, including individual differences, classroom dynamics, and contextual influences. By triangulating data from different sources and engaging with diverse stakeholders such as students, teachers, and parents, researchers can construct a comprehensive picture of the phenomenon under study.</w:t>
      </w:r>
    </w:p>
    <w:p w14:paraId="38127204" w14:textId="77777777" w:rsidR="00912DAC" w:rsidRPr="001F670F" w:rsidRDefault="00912DAC" w:rsidP="00A572F7">
      <w:pPr>
        <w:spacing w:line="360" w:lineRule="auto"/>
        <w:rPr>
          <w:rFonts w:ascii="Times New Roman" w:hAnsi="Times New Roman" w:cs="Times New Roman"/>
        </w:rPr>
      </w:pPr>
    </w:p>
    <w:p w14:paraId="36ACC637" w14:textId="7E183765" w:rsidR="00912DAC" w:rsidRPr="001F670F" w:rsidRDefault="00912DAC" w:rsidP="00A572F7">
      <w:pPr>
        <w:spacing w:line="360" w:lineRule="auto"/>
        <w:rPr>
          <w:rFonts w:ascii="Times New Roman" w:eastAsia="Times New Roman" w:hAnsi="Times New Roman" w:cs="Times New Roman"/>
          <w:kern w:val="0"/>
          <w:lang w:eastAsia="en-GB"/>
          <w14:ligatures w14:val="none"/>
        </w:rPr>
      </w:pPr>
      <w:r w:rsidRPr="001F670F">
        <w:rPr>
          <w:rFonts w:ascii="Times New Roman" w:hAnsi="Times New Roman" w:cs="Times New Roman"/>
        </w:rPr>
        <w:lastRenderedPageBreak/>
        <w:t xml:space="preserve">Case study research offers several strengths that make it well-suited for investigating complex educational phenomena. One of its primary strengths is its ability to provide rich, detailed descriptions of real-life situations </w:t>
      </w:r>
      <w:r w:rsidR="00321020" w:rsidRPr="001F670F">
        <w:rPr>
          <w:rFonts w:ascii="Times New Roman" w:hAnsi="Times New Roman" w:cs="Times New Roman"/>
        </w:rPr>
        <w:t xml:space="preserve">(Hancock and </w:t>
      </w:r>
      <w:proofErr w:type="spellStart"/>
      <w:r w:rsidR="00321020" w:rsidRPr="001F670F">
        <w:rPr>
          <w:rFonts w:ascii="Times New Roman" w:hAnsi="Times New Roman" w:cs="Times New Roman"/>
        </w:rPr>
        <w:t>Algozzine</w:t>
      </w:r>
      <w:proofErr w:type="spellEnd"/>
      <w:r w:rsidR="00321020" w:rsidRPr="001F670F">
        <w:rPr>
          <w:rFonts w:ascii="Times New Roman" w:hAnsi="Times New Roman" w:cs="Times New Roman"/>
        </w:rPr>
        <w:t>, 2021)</w:t>
      </w:r>
      <w:r w:rsidRPr="001F670F">
        <w:rPr>
          <w:rFonts w:ascii="Times New Roman" w:hAnsi="Times New Roman" w:cs="Times New Roman"/>
        </w:rPr>
        <w:t>. By closely examining the context, processes, and outcomes of a particular case, researchers can generate thick, descriptive data that capture the nuances and complexities of the phenomenon under investigation. This depth of understanding is particularly valuable in exploring topics such as student perceptions of mindfulness and engagement, which are influenced by a myriad of contextual factors.</w:t>
      </w:r>
    </w:p>
    <w:p w14:paraId="1D3CFFC1" w14:textId="77777777" w:rsidR="00912DAC" w:rsidRPr="001F670F" w:rsidRDefault="00912DAC" w:rsidP="00A572F7">
      <w:pPr>
        <w:spacing w:line="360" w:lineRule="auto"/>
        <w:rPr>
          <w:rFonts w:ascii="Times New Roman" w:hAnsi="Times New Roman" w:cs="Times New Roman"/>
        </w:rPr>
      </w:pPr>
    </w:p>
    <w:p w14:paraId="46D96841" w14:textId="7D19071A" w:rsidR="00912DAC" w:rsidRPr="001F670F" w:rsidRDefault="00912DAC" w:rsidP="00A572F7">
      <w:pPr>
        <w:spacing w:line="360" w:lineRule="auto"/>
        <w:rPr>
          <w:rFonts w:ascii="Times New Roman" w:hAnsi="Times New Roman" w:cs="Times New Roman"/>
        </w:rPr>
      </w:pPr>
      <w:r w:rsidRPr="001F670F">
        <w:rPr>
          <w:rFonts w:ascii="Times New Roman" w:hAnsi="Times New Roman" w:cs="Times New Roman"/>
        </w:rPr>
        <w:t xml:space="preserve">Moreover, case study research allows for flexibility and adaptability in data collection and analysis </w:t>
      </w:r>
      <w:r w:rsidR="000115F4" w:rsidRPr="001F670F">
        <w:rPr>
          <w:rFonts w:ascii="Times New Roman" w:hAnsi="Times New Roman" w:cs="Times New Roman"/>
        </w:rPr>
        <w:t>(Merriam and Grenier, 2019)</w:t>
      </w:r>
      <w:r w:rsidR="000115F4" w:rsidRPr="001F670F">
        <w:rPr>
          <w:rFonts w:ascii="Times New Roman" w:hAnsi="Times New Roman" w:cs="Times New Roman"/>
        </w:rPr>
        <w:t xml:space="preserve">. </w:t>
      </w:r>
      <w:r w:rsidRPr="001F670F">
        <w:rPr>
          <w:rFonts w:ascii="Times New Roman" w:hAnsi="Times New Roman" w:cs="Times New Roman"/>
        </w:rPr>
        <w:t xml:space="preserve">Unlike quantitative research methods that follow predetermined protocols, case studies afford researchers the freedom to adjust their approach based on emerging findings and contextual considerations. This flexibility enables researchers to explore unexpected avenues, delve into unanticipated themes, and pursue in-depth inquiries that may arise </w:t>
      </w:r>
      <w:proofErr w:type="gramStart"/>
      <w:r w:rsidRPr="001F670F">
        <w:rPr>
          <w:rFonts w:ascii="Times New Roman" w:hAnsi="Times New Roman" w:cs="Times New Roman"/>
        </w:rPr>
        <w:t>during the course of</w:t>
      </w:r>
      <w:proofErr w:type="gramEnd"/>
      <w:r w:rsidRPr="001F670F">
        <w:rPr>
          <w:rFonts w:ascii="Times New Roman" w:hAnsi="Times New Roman" w:cs="Times New Roman"/>
        </w:rPr>
        <w:t xml:space="preserve"> the study.</w:t>
      </w:r>
    </w:p>
    <w:p w14:paraId="44D50605" w14:textId="77777777" w:rsidR="00D20282" w:rsidRPr="001F670F" w:rsidRDefault="00D20282" w:rsidP="00A572F7">
      <w:pPr>
        <w:spacing w:line="360" w:lineRule="auto"/>
        <w:rPr>
          <w:rFonts w:ascii="Times New Roman" w:hAnsi="Times New Roman" w:cs="Times New Roman"/>
        </w:rPr>
      </w:pPr>
    </w:p>
    <w:p w14:paraId="1D816500" w14:textId="00A1B0E8" w:rsidR="00912DAC" w:rsidRPr="001F670F" w:rsidRDefault="00912DAC" w:rsidP="00A572F7">
      <w:pPr>
        <w:spacing w:line="360" w:lineRule="auto"/>
        <w:rPr>
          <w:rFonts w:ascii="Times New Roman" w:hAnsi="Times New Roman" w:cs="Times New Roman"/>
        </w:rPr>
      </w:pPr>
      <w:r w:rsidRPr="001F670F">
        <w:rPr>
          <w:rFonts w:ascii="Times New Roman" w:hAnsi="Times New Roman" w:cs="Times New Roman"/>
        </w:rPr>
        <w:t xml:space="preserve">Despite its strengths, case study research also has limitations that researchers must consider. One potential limitation is the challenge of generalizability </w:t>
      </w:r>
      <w:r w:rsidR="00B634C0" w:rsidRPr="001F670F">
        <w:rPr>
          <w:rFonts w:ascii="Times New Roman" w:hAnsi="Times New Roman" w:cs="Times New Roman"/>
        </w:rPr>
        <w:t>(</w:t>
      </w:r>
      <w:proofErr w:type="spellStart"/>
      <w:r w:rsidR="00B634C0" w:rsidRPr="001F670F">
        <w:rPr>
          <w:rFonts w:ascii="Times New Roman" w:hAnsi="Times New Roman" w:cs="Times New Roman"/>
        </w:rPr>
        <w:t>Hollweck</w:t>
      </w:r>
      <w:proofErr w:type="spellEnd"/>
      <w:r w:rsidR="00B634C0" w:rsidRPr="001F670F">
        <w:rPr>
          <w:rFonts w:ascii="Times New Roman" w:hAnsi="Times New Roman" w:cs="Times New Roman"/>
        </w:rPr>
        <w:t>, 2016)</w:t>
      </w:r>
      <w:r w:rsidRPr="001F670F">
        <w:rPr>
          <w:rFonts w:ascii="Times New Roman" w:hAnsi="Times New Roman" w:cs="Times New Roman"/>
        </w:rPr>
        <w:t>. Because case studies typically focus on a small number of cases or even a single case, the findings may not be easily generalizable to other contexts or populations. In the context of investigating student perceptions of mindfulness and engagement, the insights gained from a case study conducted in a specific classroom may not necessarily apply to students in different educational settings or cultural contexts.</w:t>
      </w:r>
    </w:p>
    <w:p w14:paraId="080C6D3F" w14:textId="77777777" w:rsidR="00912DAC" w:rsidRPr="001F670F" w:rsidRDefault="00912DAC" w:rsidP="00A572F7">
      <w:pPr>
        <w:spacing w:line="360" w:lineRule="auto"/>
        <w:rPr>
          <w:rFonts w:ascii="Times New Roman" w:hAnsi="Times New Roman" w:cs="Times New Roman"/>
        </w:rPr>
      </w:pPr>
    </w:p>
    <w:p w14:paraId="72A1DA78" w14:textId="57B66FC6" w:rsidR="00912DAC" w:rsidRPr="001F670F" w:rsidRDefault="00912DAC" w:rsidP="00A572F7">
      <w:pPr>
        <w:spacing w:line="360" w:lineRule="auto"/>
        <w:rPr>
          <w:rFonts w:ascii="Times New Roman" w:hAnsi="Times New Roman" w:cs="Times New Roman"/>
        </w:rPr>
      </w:pPr>
      <w:r w:rsidRPr="001F670F">
        <w:rPr>
          <w:rFonts w:ascii="Times New Roman" w:hAnsi="Times New Roman" w:cs="Times New Roman"/>
        </w:rPr>
        <w:t>Additionally, case study research can be resource-intensive and time-consuming (Merriam</w:t>
      </w:r>
      <w:r w:rsidR="000115F4" w:rsidRPr="001F670F">
        <w:rPr>
          <w:rFonts w:ascii="Times New Roman" w:hAnsi="Times New Roman" w:cs="Times New Roman"/>
        </w:rPr>
        <w:t xml:space="preserve"> and Griener,</w:t>
      </w:r>
      <w:r w:rsidRPr="001F670F">
        <w:rPr>
          <w:rFonts w:ascii="Times New Roman" w:hAnsi="Times New Roman" w:cs="Times New Roman"/>
        </w:rPr>
        <w:t xml:space="preserve"> 20</w:t>
      </w:r>
      <w:r w:rsidR="000115F4" w:rsidRPr="001F670F">
        <w:rPr>
          <w:rFonts w:ascii="Times New Roman" w:hAnsi="Times New Roman" w:cs="Times New Roman"/>
        </w:rPr>
        <w:t>1</w:t>
      </w:r>
      <w:r w:rsidRPr="001F670F">
        <w:rPr>
          <w:rFonts w:ascii="Times New Roman" w:hAnsi="Times New Roman" w:cs="Times New Roman"/>
        </w:rPr>
        <w:t xml:space="preserve">9). Collecting and </w:t>
      </w:r>
      <w:r w:rsidR="00FB7BA2" w:rsidRPr="001F670F">
        <w:rPr>
          <w:rFonts w:ascii="Times New Roman" w:hAnsi="Times New Roman" w:cs="Times New Roman"/>
        </w:rPr>
        <w:t>analysing</w:t>
      </w:r>
      <w:r w:rsidRPr="001F670F">
        <w:rPr>
          <w:rFonts w:ascii="Times New Roman" w:hAnsi="Times New Roman" w:cs="Times New Roman"/>
        </w:rPr>
        <w:t xml:space="preserve"> qualitative data require</w:t>
      </w:r>
      <w:r w:rsidR="0048768F" w:rsidRPr="001F670F">
        <w:rPr>
          <w:rFonts w:ascii="Times New Roman" w:hAnsi="Times New Roman" w:cs="Times New Roman"/>
        </w:rPr>
        <w:t>s a</w:t>
      </w:r>
      <w:r w:rsidRPr="001F670F">
        <w:rPr>
          <w:rFonts w:ascii="Times New Roman" w:hAnsi="Times New Roman" w:cs="Times New Roman"/>
        </w:rPr>
        <w:t xml:space="preserve"> considerable investment of time, effort, and resources. Researchers must carefully plan and execute their study, balancing the depth of inquiry with practical considerations such as access to participants, data collection methods, and ethical considerations. Moreover, the interpretive nature of case study research means that findings are subject to the biases and interpretations of the researcher, highlighting the importance of reflexivity and transparency in the research process.</w:t>
      </w:r>
    </w:p>
    <w:p w14:paraId="03D425AD" w14:textId="77777777" w:rsidR="00912DAC" w:rsidRPr="001F670F" w:rsidRDefault="00912DAC" w:rsidP="00A572F7">
      <w:pPr>
        <w:spacing w:line="360" w:lineRule="auto"/>
        <w:rPr>
          <w:rFonts w:ascii="Times New Roman" w:hAnsi="Times New Roman" w:cs="Times New Roman"/>
        </w:rPr>
      </w:pPr>
    </w:p>
    <w:p w14:paraId="46472601" w14:textId="351B41C6" w:rsidR="00912DAC" w:rsidRPr="001F670F" w:rsidRDefault="00912DAC" w:rsidP="00A572F7">
      <w:pPr>
        <w:spacing w:line="360" w:lineRule="auto"/>
        <w:rPr>
          <w:rFonts w:ascii="Times New Roman" w:hAnsi="Times New Roman" w:cs="Times New Roman"/>
        </w:rPr>
      </w:pPr>
      <w:r w:rsidRPr="001F670F">
        <w:rPr>
          <w:rFonts w:ascii="Times New Roman" w:hAnsi="Times New Roman" w:cs="Times New Roman"/>
        </w:rPr>
        <w:t>In designing a case study involving eight individuals from a classroom setting, careful consideration must be given to participant selection to ensure representativeness and diversity. Given that the class consists of 1</w:t>
      </w:r>
      <w:r w:rsidR="00742914" w:rsidRPr="001F670F">
        <w:rPr>
          <w:rFonts w:ascii="Times New Roman" w:hAnsi="Times New Roman" w:cs="Times New Roman"/>
        </w:rPr>
        <w:t>6</w:t>
      </w:r>
      <w:r w:rsidRPr="001F670F">
        <w:rPr>
          <w:rFonts w:ascii="Times New Roman" w:hAnsi="Times New Roman" w:cs="Times New Roman"/>
        </w:rPr>
        <w:t xml:space="preserve"> girls and 8 boys, a gender-based approach can be employed to ensure proportional </w:t>
      </w:r>
      <w:r w:rsidRPr="001F670F">
        <w:rPr>
          <w:rFonts w:ascii="Times New Roman" w:hAnsi="Times New Roman" w:cs="Times New Roman"/>
        </w:rPr>
        <w:lastRenderedPageBreak/>
        <w:t xml:space="preserve">representation within the case study sample. This involves selecting </w:t>
      </w:r>
      <w:r w:rsidR="00742914" w:rsidRPr="001F670F">
        <w:rPr>
          <w:rFonts w:ascii="Times New Roman" w:hAnsi="Times New Roman" w:cs="Times New Roman"/>
        </w:rPr>
        <w:t>six</w:t>
      </w:r>
      <w:r w:rsidRPr="001F670F">
        <w:rPr>
          <w:rFonts w:ascii="Times New Roman" w:hAnsi="Times New Roman" w:cs="Times New Roman"/>
        </w:rPr>
        <w:t xml:space="preserve"> girls and </w:t>
      </w:r>
      <w:r w:rsidR="00742914" w:rsidRPr="001F670F">
        <w:rPr>
          <w:rFonts w:ascii="Times New Roman" w:hAnsi="Times New Roman" w:cs="Times New Roman"/>
        </w:rPr>
        <w:t>two</w:t>
      </w:r>
      <w:r w:rsidRPr="001F670F">
        <w:rPr>
          <w:rFonts w:ascii="Times New Roman" w:hAnsi="Times New Roman" w:cs="Times New Roman"/>
        </w:rPr>
        <w:t xml:space="preserve"> boys as participants, reflecting the gender distribution observed in the classroom.</w:t>
      </w:r>
    </w:p>
    <w:p w14:paraId="3289CA4F" w14:textId="77777777" w:rsidR="00912DAC" w:rsidRPr="001F670F" w:rsidRDefault="00912DAC" w:rsidP="00A572F7">
      <w:pPr>
        <w:spacing w:line="360" w:lineRule="auto"/>
        <w:rPr>
          <w:rFonts w:ascii="Times New Roman" w:hAnsi="Times New Roman" w:cs="Times New Roman"/>
        </w:rPr>
      </w:pPr>
    </w:p>
    <w:p w14:paraId="6B22F949" w14:textId="0938AFDF" w:rsidR="00912DAC" w:rsidRPr="001F670F" w:rsidRDefault="00912DAC" w:rsidP="00A572F7">
      <w:pPr>
        <w:spacing w:line="360" w:lineRule="auto"/>
        <w:rPr>
          <w:rFonts w:ascii="Times New Roman" w:hAnsi="Times New Roman" w:cs="Times New Roman"/>
        </w:rPr>
      </w:pPr>
      <w:r w:rsidRPr="001F670F">
        <w:rPr>
          <w:rFonts w:ascii="Times New Roman" w:hAnsi="Times New Roman" w:cs="Times New Roman"/>
        </w:rPr>
        <w:t>To further enhance representativeness, additional criteria such as academic performance, socio-economic background, and cultural diversity may be considered. By purposively selecting participants who represent a range of backgrounds and experiences, researchers can capture a more comprehensive understanding of student perceptions of mindfulness and engagement within the classroom context. Moreover, maintaining transparency and documenting the rationale behind participant selection is essential for ensuring the credibility and trustworthiness of the study findings</w:t>
      </w:r>
      <w:r w:rsidR="00197166" w:rsidRPr="001F670F">
        <w:rPr>
          <w:rFonts w:ascii="Times New Roman" w:hAnsi="Times New Roman" w:cs="Times New Roman"/>
        </w:rPr>
        <w:t xml:space="preserve"> </w:t>
      </w:r>
      <w:r w:rsidR="00197166" w:rsidRPr="001F670F">
        <w:rPr>
          <w:rFonts w:ascii="Times New Roman" w:hAnsi="Times New Roman" w:cs="Times New Roman"/>
        </w:rPr>
        <w:t>(Shenton, 2004)</w:t>
      </w:r>
      <w:r w:rsidRPr="001F670F">
        <w:rPr>
          <w:rFonts w:ascii="Times New Roman" w:hAnsi="Times New Roman" w:cs="Times New Roman"/>
        </w:rPr>
        <w:t>.</w:t>
      </w:r>
    </w:p>
    <w:p w14:paraId="3CA3B3D6" w14:textId="77777777" w:rsidR="00912DAC" w:rsidRPr="001F670F" w:rsidRDefault="00912DAC" w:rsidP="00A572F7">
      <w:pPr>
        <w:spacing w:line="360" w:lineRule="auto"/>
        <w:rPr>
          <w:rFonts w:ascii="Times New Roman" w:hAnsi="Times New Roman" w:cs="Times New Roman"/>
          <w:b/>
          <w:bCs/>
          <w:u w:val="single"/>
        </w:rPr>
      </w:pPr>
    </w:p>
    <w:p w14:paraId="0046340D" w14:textId="6579893C" w:rsidR="001F05A1" w:rsidRPr="001F670F" w:rsidRDefault="004571EB" w:rsidP="00A572F7">
      <w:pPr>
        <w:spacing w:line="360" w:lineRule="auto"/>
        <w:rPr>
          <w:rFonts w:ascii="Times New Roman" w:hAnsi="Times New Roman" w:cs="Times New Roman"/>
          <w:b/>
          <w:bCs/>
          <w:u w:val="single"/>
        </w:rPr>
      </w:pPr>
      <w:r w:rsidRPr="001F670F">
        <w:rPr>
          <w:rFonts w:ascii="Times New Roman" w:hAnsi="Times New Roman" w:cs="Times New Roman"/>
          <w:b/>
          <w:bCs/>
          <w:u w:val="single"/>
        </w:rPr>
        <w:t xml:space="preserve">Research </w:t>
      </w:r>
      <w:r w:rsidR="001F05A1" w:rsidRPr="001F670F">
        <w:rPr>
          <w:rFonts w:ascii="Times New Roman" w:hAnsi="Times New Roman" w:cs="Times New Roman"/>
          <w:b/>
          <w:bCs/>
          <w:u w:val="single"/>
        </w:rPr>
        <w:t xml:space="preserve">Methods </w:t>
      </w:r>
    </w:p>
    <w:p w14:paraId="64A6B89A" w14:textId="4545BDFF" w:rsidR="001F05A1" w:rsidRPr="001F670F" w:rsidRDefault="00A45150" w:rsidP="00A572F7">
      <w:pPr>
        <w:spacing w:line="360" w:lineRule="auto"/>
        <w:rPr>
          <w:rFonts w:ascii="Times New Roman" w:hAnsi="Times New Roman" w:cs="Times New Roman"/>
        </w:rPr>
      </w:pPr>
      <w:r w:rsidRPr="001F670F">
        <w:rPr>
          <w:rFonts w:ascii="Times New Roman" w:hAnsi="Times New Roman" w:cs="Times New Roman"/>
        </w:rPr>
        <w:t>When c</w:t>
      </w:r>
      <w:r w:rsidR="001F05A1" w:rsidRPr="001F670F">
        <w:rPr>
          <w:rFonts w:ascii="Times New Roman" w:hAnsi="Times New Roman" w:cs="Times New Roman"/>
        </w:rPr>
        <w:t>onducting research on student perceptions of mindfulness and engagement, a variety of research methods were employed to gather rich and comprehensive data. This section discusses the chosen methods, including observation, interviews, and questionnaires, while considering relevant literature, strengths and limitations of each method, and their implementation within the research context. Additionally, the impact of pupil age and attainment on the research methods is addressed, drawing on insights from the literature and practical considerations.</w:t>
      </w:r>
    </w:p>
    <w:p w14:paraId="74FA279E" w14:textId="77777777" w:rsidR="00D14B98" w:rsidRPr="001F670F" w:rsidRDefault="00D14B98" w:rsidP="00A572F7">
      <w:pPr>
        <w:spacing w:line="360" w:lineRule="auto"/>
        <w:rPr>
          <w:rFonts w:ascii="Times New Roman" w:hAnsi="Times New Roman" w:cs="Times New Roman"/>
        </w:rPr>
      </w:pPr>
    </w:p>
    <w:p w14:paraId="6B04E88C" w14:textId="384D07A1"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 xml:space="preserve">Observation serves as a valuable method for capturing real-time </w:t>
      </w:r>
      <w:r w:rsidR="00A45150" w:rsidRPr="001F670F">
        <w:rPr>
          <w:rFonts w:ascii="Times New Roman" w:hAnsi="Times New Roman" w:cs="Times New Roman"/>
        </w:rPr>
        <w:t>behaviours</w:t>
      </w:r>
      <w:r w:rsidRPr="001F670F">
        <w:rPr>
          <w:rFonts w:ascii="Times New Roman" w:hAnsi="Times New Roman" w:cs="Times New Roman"/>
        </w:rPr>
        <w:t>, interactions, and engagement levels within the classroom environment (</w:t>
      </w:r>
      <w:r w:rsidR="004E3CA2" w:rsidRPr="001F670F">
        <w:rPr>
          <w:rFonts w:ascii="Times New Roman" w:hAnsi="Times New Roman" w:cs="Times New Roman"/>
        </w:rPr>
        <w:t>Creswell, 1996</w:t>
      </w:r>
      <w:r w:rsidRPr="001F670F">
        <w:rPr>
          <w:rFonts w:ascii="Times New Roman" w:hAnsi="Times New Roman" w:cs="Times New Roman"/>
        </w:rPr>
        <w:t xml:space="preserve">). Through systematic observation, researchers can gain insights into students' </w:t>
      </w:r>
      <w:r w:rsidR="00A45150" w:rsidRPr="001F670F">
        <w:rPr>
          <w:rFonts w:ascii="Times New Roman" w:hAnsi="Times New Roman" w:cs="Times New Roman"/>
        </w:rPr>
        <w:t>behaviours</w:t>
      </w:r>
      <w:r w:rsidRPr="001F670F">
        <w:rPr>
          <w:rFonts w:ascii="Times New Roman" w:hAnsi="Times New Roman" w:cs="Times New Roman"/>
        </w:rPr>
        <w:t xml:space="preserve">, responses to instructional strategies, and levels of engagement with mindfulness practices. The strengths of observation lie in its ability to provide rich, contextualized data and to capture non-verbal cues and interactions that may not be captured through other methods </w:t>
      </w:r>
      <w:r w:rsidR="00ED7A7B" w:rsidRPr="001F670F">
        <w:rPr>
          <w:rFonts w:ascii="Times New Roman" w:hAnsi="Times New Roman" w:cs="Times New Roman"/>
        </w:rPr>
        <w:t>(</w:t>
      </w:r>
      <w:proofErr w:type="spellStart"/>
      <w:r w:rsidR="00ED7A7B" w:rsidRPr="001F670F">
        <w:rPr>
          <w:rFonts w:ascii="Times New Roman" w:hAnsi="Times New Roman" w:cs="Times New Roman"/>
        </w:rPr>
        <w:t>Kouamé</w:t>
      </w:r>
      <w:proofErr w:type="spellEnd"/>
      <w:r w:rsidR="00ED7A7B" w:rsidRPr="001F670F">
        <w:rPr>
          <w:rFonts w:ascii="Times New Roman" w:hAnsi="Times New Roman" w:cs="Times New Roman"/>
        </w:rPr>
        <w:t xml:space="preserve"> and Liu, 2020)</w:t>
      </w:r>
      <w:r w:rsidRPr="001F670F">
        <w:rPr>
          <w:rFonts w:ascii="Times New Roman" w:hAnsi="Times New Roman" w:cs="Times New Roman"/>
        </w:rPr>
        <w:t xml:space="preserve">. However, limitations include the potential for observer bias and the challenge of interpreting observed </w:t>
      </w:r>
      <w:r w:rsidR="00A45150" w:rsidRPr="001F670F">
        <w:rPr>
          <w:rFonts w:ascii="Times New Roman" w:hAnsi="Times New Roman" w:cs="Times New Roman"/>
        </w:rPr>
        <w:t>behaviours</w:t>
      </w:r>
      <w:r w:rsidRPr="001F670F">
        <w:rPr>
          <w:rFonts w:ascii="Times New Roman" w:hAnsi="Times New Roman" w:cs="Times New Roman"/>
        </w:rPr>
        <w:t xml:space="preserve"> without additional context (Creswell, 2014).</w:t>
      </w:r>
    </w:p>
    <w:p w14:paraId="365A45AF" w14:textId="77777777" w:rsidR="001F05A1" w:rsidRPr="001F670F" w:rsidRDefault="001F05A1" w:rsidP="00A572F7">
      <w:pPr>
        <w:spacing w:line="360" w:lineRule="auto"/>
        <w:rPr>
          <w:rFonts w:ascii="Times New Roman" w:hAnsi="Times New Roman" w:cs="Times New Roman"/>
        </w:rPr>
      </w:pPr>
    </w:p>
    <w:p w14:paraId="40302A1C" w14:textId="59B4030F"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For this study, observation was conducted using the Leuven Scale of Engagement (LSOE), a widely used tool for assessing student engagement in the classroom (Reschly et al., 2008). The LSOE categorizes student engagement into four levels: on-task, off-task, disengaged, and disruptive. Observations were conducted over a week-long period, recording students' engagement levels during mindfulness activities and other instructional tasks</w:t>
      </w:r>
      <w:r w:rsidR="008A1636" w:rsidRPr="001F670F">
        <w:rPr>
          <w:rFonts w:ascii="Times New Roman" w:hAnsi="Times New Roman" w:cs="Times New Roman"/>
        </w:rPr>
        <w:t xml:space="preserve"> after mindfulness had been completed</w:t>
      </w:r>
      <w:r w:rsidRPr="001F670F">
        <w:rPr>
          <w:rFonts w:ascii="Times New Roman" w:hAnsi="Times New Roman" w:cs="Times New Roman"/>
        </w:rPr>
        <w:t>.</w:t>
      </w:r>
    </w:p>
    <w:p w14:paraId="29969115" w14:textId="77777777" w:rsidR="001F05A1" w:rsidRPr="001F670F" w:rsidRDefault="001F05A1" w:rsidP="00A572F7">
      <w:pPr>
        <w:spacing w:line="360" w:lineRule="auto"/>
        <w:rPr>
          <w:rFonts w:ascii="Times New Roman" w:hAnsi="Times New Roman" w:cs="Times New Roman"/>
        </w:rPr>
      </w:pPr>
    </w:p>
    <w:p w14:paraId="10489F49" w14:textId="2F51F6CA"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Interviews offer an opportunity for in-depth exploration of participants' perspectives, experiences, and attitudes (</w:t>
      </w:r>
      <w:r w:rsidR="00A846BA" w:rsidRPr="001F670F">
        <w:rPr>
          <w:rFonts w:ascii="Times New Roman" w:hAnsi="Times New Roman" w:cs="Times New Roman"/>
        </w:rPr>
        <w:t xml:space="preserve">Curry, </w:t>
      </w:r>
      <w:proofErr w:type="gramStart"/>
      <w:r w:rsidR="00A846BA" w:rsidRPr="001F670F">
        <w:rPr>
          <w:rFonts w:ascii="Times New Roman" w:hAnsi="Times New Roman" w:cs="Times New Roman"/>
        </w:rPr>
        <w:t>Nembhard</w:t>
      </w:r>
      <w:proofErr w:type="gramEnd"/>
      <w:r w:rsidR="00A846BA" w:rsidRPr="001F670F">
        <w:rPr>
          <w:rFonts w:ascii="Times New Roman" w:hAnsi="Times New Roman" w:cs="Times New Roman"/>
        </w:rPr>
        <w:t xml:space="preserve"> and Bradley, 2017</w:t>
      </w:r>
      <w:r w:rsidRPr="001F670F">
        <w:rPr>
          <w:rFonts w:ascii="Times New Roman" w:hAnsi="Times New Roman" w:cs="Times New Roman"/>
        </w:rPr>
        <w:t xml:space="preserve">). Through semi-structured interviews, </w:t>
      </w:r>
      <w:r w:rsidR="002D3EFE" w:rsidRPr="001F670F">
        <w:rPr>
          <w:rFonts w:ascii="Times New Roman" w:hAnsi="Times New Roman" w:cs="Times New Roman"/>
        </w:rPr>
        <w:t xml:space="preserve">the </w:t>
      </w:r>
      <w:r w:rsidRPr="001F670F">
        <w:rPr>
          <w:rFonts w:ascii="Times New Roman" w:hAnsi="Times New Roman" w:cs="Times New Roman"/>
        </w:rPr>
        <w:t xml:space="preserve">researcher can </w:t>
      </w:r>
      <w:r w:rsidR="00A846BA" w:rsidRPr="001F670F">
        <w:rPr>
          <w:rFonts w:ascii="Times New Roman" w:hAnsi="Times New Roman" w:cs="Times New Roman"/>
        </w:rPr>
        <w:t>gain insight into</w:t>
      </w:r>
      <w:r w:rsidRPr="001F670F">
        <w:rPr>
          <w:rFonts w:ascii="Times New Roman" w:hAnsi="Times New Roman" w:cs="Times New Roman"/>
        </w:rPr>
        <w:t xml:space="preserve"> participants' thoughts and feelings regarding mindfulness practices and their perceived impact on engagement. The strengths of interviews include their flexibility, allowing for follow-up questions and clarification, and their potential to uncover nuanced insights (Creswell, 2014). However, </w:t>
      </w:r>
      <w:r w:rsidR="00463485" w:rsidRPr="001F670F">
        <w:rPr>
          <w:rFonts w:ascii="Times New Roman" w:hAnsi="Times New Roman" w:cs="Times New Roman"/>
        </w:rPr>
        <w:t xml:space="preserve">a limitation surrounding questionnaires </w:t>
      </w:r>
      <w:r w:rsidRPr="001F670F">
        <w:rPr>
          <w:rFonts w:ascii="Times New Roman" w:hAnsi="Times New Roman" w:cs="Times New Roman"/>
        </w:rPr>
        <w:t xml:space="preserve">include the potential for interviewer bias and the reliance on participants' self-reporting, which may be influenced by </w:t>
      </w:r>
      <w:r w:rsidR="00A742B9" w:rsidRPr="001F670F">
        <w:rPr>
          <w:rFonts w:ascii="Times New Roman" w:hAnsi="Times New Roman" w:cs="Times New Roman"/>
        </w:rPr>
        <w:t>the want to appease the interviewer</w:t>
      </w:r>
      <w:r w:rsidRPr="001F670F">
        <w:rPr>
          <w:rFonts w:ascii="Times New Roman" w:hAnsi="Times New Roman" w:cs="Times New Roman"/>
        </w:rPr>
        <w:t xml:space="preserve"> (</w:t>
      </w:r>
      <w:r w:rsidR="00865595" w:rsidRPr="001F670F">
        <w:rPr>
          <w:rFonts w:ascii="Times New Roman" w:hAnsi="Times New Roman" w:cs="Times New Roman"/>
        </w:rPr>
        <w:t>Knox and Burkard, 2009</w:t>
      </w:r>
      <w:r w:rsidRPr="001F670F">
        <w:rPr>
          <w:rFonts w:ascii="Times New Roman" w:hAnsi="Times New Roman" w:cs="Times New Roman"/>
        </w:rPr>
        <w:t>).</w:t>
      </w:r>
    </w:p>
    <w:p w14:paraId="4D136007" w14:textId="77777777" w:rsidR="001F05A1" w:rsidRPr="001F670F" w:rsidRDefault="001F05A1" w:rsidP="00A572F7">
      <w:pPr>
        <w:spacing w:line="360" w:lineRule="auto"/>
        <w:rPr>
          <w:rFonts w:ascii="Times New Roman" w:hAnsi="Times New Roman" w:cs="Times New Roman"/>
        </w:rPr>
      </w:pPr>
    </w:p>
    <w:p w14:paraId="7B57C255" w14:textId="5F5CFAA1"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Interviews in this study were conducted using open-ended questions</w:t>
      </w:r>
      <w:r w:rsidR="00A45150" w:rsidRPr="001F670F">
        <w:rPr>
          <w:rFonts w:ascii="Times New Roman" w:hAnsi="Times New Roman" w:cs="Times New Roman"/>
        </w:rPr>
        <w:t xml:space="preserve"> written in </w:t>
      </w:r>
      <w:r w:rsidR="008A1636" w:rsidRPr="001F670F">
        <w:rPr>
          <w:rFonts w:ascii="Times New Roman" w:hAnsi="Times New Roman" w:cs="Times New Roman"/>
        </w:rPr>
        <w:t>easy-to-understand</w:t>
      </w:r>
      <w:r w:rsidR="00D14B98" w:rsidRPr="001F670F">
        <w:rPr>
          <w:rFonts w:ascii="Times New Roman" w:hAnsi="Times New Roman" w:cs="Times New Roman"/>
        </w:rPr>
        <w:t xml:space="preserve"> language</w:t>
      </w:r>
      <w:r w:rsidRPr="001F670F">
        <w:rPr>
          <w:rFonts w:ascii="Times New Roman" w:hAnsi="Times New Roman" w:cs="Times New Roman"/>
        </w:rPr>
        <w:t xml:space="preserve"> to encourage participants to elaborate on their experiences with mindfulness and engagement. Sample interview questions included:</w:t>
      </w:r>
    </w:p>
    <w:p w14:paraId="70C73641" w14:textId="77777777" w:rsidR="001F05A1" w:rsidRPr="001F670F" w:rsidRDefault="001F05A1" w:rsidP="00A572F7">
      <w:pPr>
        <w:spacing w:line="360" w:lineRule="auto"/>
        <w:rPr>
          <w:rFonts w:ascii="Times New Roman" w:hAnsi="Times New Roman" w:cs="Times New Roman"/>
        </w:rPr>
      </w:pPr>
    </w:p>
    <w:p w14:paraId="3A8DC0A4" w14:textId="77777777"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How do you feel when you participate in mindfulness exercises?</w:t>
      </w:r>
    </w:p>
    <w:p w14:paraId="3E6ACFC1" w14:textId="23A6B359" w:rsidR="001F05A1" w:rsidRPr="001F670F" w:rsidRDefault="0048768F" w:rsidP="00A572F7">
      <w:pPr>
        <w:spacing w:line="360" w:lineRule="auto"/>
        <w:rPr>
          <w:rFonts w:ascii="Times New Roman" w:hAnsi="Times New Roman" w:cs="Times New Roman"/>
        </w:rPr>
      </w:pPr>
      <w:r w:rsidRPr="001F670F">
        <w:rPr>
          <w:rFonts w:ascii="Times New Roman" w:hAnsi="Times New Roman" w:cs="Times New Roman"/>
        </w:rPr>
        <w:t xml:space="preserve">How do </w:t>
      </w:r>
      <w:r w:rsidR="001F05A1" w:rsidRPr="001F670F">
        <w:rPr>
          <w:rFonts w:ascii="Times New Roman" w:hAnsi="Times New Roman" w:cs="Times New Roman"/>
        </w:rPr>
        <w:t>you think mindfulness helps you to focus and stay engaged in learning activities?</w:t>
      </w:r>
    </w:p>
    <w:p w14:paraId="136EAF99" w14:textId="77777777" w:rsidR="00865595" w:rsidRPr="001F670F" w:rsidRDefault="00865595" w:rsidP="00A572F7">
      <w:pPr>
        <w:spacing w:line="360" w:lineRule="auto"/>
        <w:rPr>
          <w:rFonts w:ascii="Times New Roman" w:hAnsi="Times New Roman" w:cs="Times New Roman"/>
        </w:rPr>
      </w:pPr>
    </w:p>
    <w:p w14:paraId="22B0EED7" w14:textId="23848668"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 xml:space="preserve">Questionnaires provide a structured method for gathering data from participants and are particularly useful for assessing attitudes, beliefs, and </w:t>
      </w:r>
      <w:r w:rsidR="00A45150" w:rsidRPr="001F670F">
        <w:rPr>
          <w:rFonts w:ascii="Times New Roman" w:hAnsi="Times New Roman" w:cs="Times New Roman"/>
        </w:rPr>
        <w:t>behaviours</w:t>
      </w:r>
      <w:r w:rsidRPr="001F670F">
        <w:rPr>
          <w:rFonts w:ascii="Times New Roman" w:hAnsi="Times New Roman" w:cs="Times New Roman"/>
        </w:rPr>
        <w:t xml:space="preserve"> (Creswell, 2014). Closed-ended questionnaires with Likert-type scales or yes/no responses offer a quick and efficient way to collect quantitative data on participants' perceptions (</w:t>
      </w:r>
      <w:r w:rsidR="00865595" w:rsidRPr="001F670F">
        <w:rPr>
          <w:rFonts w:ascii="Times New Roman" w:hAnsi="Times New Roman" w:cs="Times New Roman"/>
        </w:rPr>
        <w:t>Knox and Burkard, 2009</w:t>
      </w:r>
      <w:r w:rsidRPr="001F670F">
        <w:rPr>
          <w:rFonts w:ascii="Times New Roman" w:hAnsi="Times New Roman" w:cs="Times New Roman"/>
        </w:rPr>
        <w:t>). The strengths of questionnaires include their ease of administration and analysis, as well as their potential for standardization and comparability across participants (Creswell, 2014). However, limitations include the potential for response bias and the inability to probe participants' responses in depth (</w:t>
      </w:r>
      <w:r w:rsidR="00865595" w:rsidRPr="001F670F">
        <w:rPr>
          <w:rFonts w:ascii="Times New Roman" w:hAnsi="Times New Roman" w:cs="Times New Roman"/>
        </w:rPr>
        <w:t>Knox and Burkard, 2009</w:t>
      </w:r>
      <w:r w:rsidRPr="001F670F">
        <w:rPr>
          <w:rFonts w:ascii="Times New Roman" w:hAnsi="Times New Roman" w:cs="Times New Roman"/>
        </w:rPr>
        <w:t>).</w:t>
      </w:r>
    </w:p>
    <w:p w14:paraId="78C76BC5" w14:textId="77777777" w:rsidR="001F05A1" w:rsidRPr="001F670F" w:rsidRDefault="001F05A1" w:rsidP="00A572F7">
      <w:pPr>
        <w:spacing w:line="360" w:lineRule="auto"/>
        <w:rPr>
          <w:rFonts w:ascii="Times New Roman" w:hAnsi="Times New Roman" w:cs="Times New Roman"/>
        </w:rPr>
      </w:pPr>
    </w:p>
    <w:p w14:paraId="157E5137" w14:textId="2414E0B0"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 xml:space="preserve">For this study, a questionnaire was administered to participants to assess their perceptions of mindfulness and engagement. The questionnaire included </w:t>
      </w:r>
      <w:r w:rsidR="00606511" w:rsidRPr="001F670F">
        <w:rPr>
          <w:rFonts w:ascii="Times New Roman" w:hAnsi="Times New Roman" w:cs="Times New Roman"/>
        </w:rPr>
        <w:t xml:space="preserve">5 </w:t>
      </w:r>
      <w:r w:rsidRPr="001F670F">
        <w:rPr>
          <w:rFonts w:ascii="Times New Roman" w:hAnsi="Times New Roman" w:cs="Times New Roman"/>
        </w:rPr>
        <w:t>closed-ended questions with tick boxes, utilizing a Likert-type scale based on the Leuven Scale of Engagement. Sample questionnaire items included:</w:t>
      </w:r>
    </w:p>
    <w:p w14:paraId="393DEF58" w14:textId="77777777" w:rsidR="00F847A5" w:rsidRPr="001F670F" w:rsidRDefault="00F847A5" w:rsidP="00A572F7">
      <w:pPr>
        <w:spacing w:line="360" w:lineRule="auto"/>
        <w:rPr>
          <w:rFonts w:ascii="Times New Roman" w:hAnsi="Times New Roman" w:cs="Times New Roman"/>
        </w:rPr>
      </w:pPr>
    </w:p>
    <w:p w14:paraId="4A7D2A4F" w14:textId="1FE898E3" w:rsidR="001F05A1" w:rsidRPr="001F670F" w:rsidRDefault="00D43881" w:rsidP="00A572F7">
      <w:pPr>
        <w:spacing w:line="360" w:lineRule="auto"/>
        <w:rPr>
          <w:rFonts w:ascii="Times New Roman" w:hAnsi="Times New Roman" w:cs="Times New Roman"/>
        </w:rPr>
      </w:pPr>
      <w:r w:rsidRPr="001F670F">
        <w:rPr>
          <w:rFonts w:ascii="Times New Roman" w:hAnsi="Times New Roman" w:cs="Times New Roman"/>
        </w:rPr>
        <w:t>Does mindfulness</w:t>
      </w:r>
      <w:r w:rsidR="001F05A1" w:rsidRPr="001F670F">
        <w:rPr>
          <w:rFonts w:ascii="Times New Roman" w:hAnsi="Times New Roman" w:cs="Times New Roman"/>
        </w:rPr>
        <w:t xml:space="preserve"> help</w:t>
      </w:r>
      <w:r w:rsidRPr="001F670F">
        <w:rPr>
          <w:rFonts w:ascii="Times New Roman" w:hAnsi="Times New Roman" w:cs="Times New Roman"/>
        </w:rPr>
        <w:t xml:space="preserve"> you t</w:t>
      </w:r>
      <w:r w:rsidR="001F05A1" w:rsidRPr="001F670F">
        <w:rPr>
          <w:rFonts w:ascii="Times New Roman" w:hAnsi="Times New Roman" w:cs="Times New Roman"/>
        </w:rPr>
        <w:t>o focus on</w:t>
      </w:r>
      <w:r w:rsidRPr="001F670F">
        <w:rPr>
          <w:rFonts w:ascii="Times New Roman" w:hAnsi="Times New Roman" w:cs="Times New Roman"/>
        </w:rPr>
        <w:t xml:space="preserve"> your lessons</w:t>
      </w:r>
      <w:r w:rsidR="001F05A1" w:rsidRPr="001F670F">
        <w:rPr>
          <w:rFonts w:ascii="Times New Roman" w:hAnsi="Times New Roman" w:cs="Times New Roman"/>
        </w:rPr>
        <w:t>. (Yes/No)</w:t>
      </w:r>
    </w:p>
    <w:p w14:paraId="62088CFB" w14:textId="4D3B2F4E" w:rsidR="001F05A1"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lastRenderedPageBreak/>
        <w:t>I enjoy participating in mindfulness. (Strongly Agree/Agree/Neutral/Disagree/Strongly Disagree)</w:t>
      </w:r>
    </w:p>
    <w:p w14:paraId="506F9F93" w14:textId="77777777" w:rsidR="00A97AF0" w:rsidRPr="001F670F" w:rsidRDefault="00A97AF0" w:rsidP="00A572F7">
      <w:pPr>
        <w:spacing w:line="360" w:lineRule="auto"/>
        <w:rPr>
          <w:rFonts w:ascii="Times New Roman" w:hAnsi="Times New Roman" w:cs="Times New Roman"/>
        </w:rPr>
      </w:pPr>
    </w:p>
    <w:p w14:paraId="3F97EFE4" w14:textId="3C1DF2DB" w:rsidR="008A1636" w:rsidRPr="001F670F" w:rsidRDefault="001F05A1" w:rsidP="00A572F7">
      <w:pPr>
        <w:spacing w:line="360" w:lineRule="auto"/>
        <w:rPr>
          <w:rFonts w:ascii="Times New Roman" w:hAnsi="Times New Roman" w:cs="Times New Roman"/>
        </w:rPr>
      </w:pPr>
      <w:r w:rsidRPr="001F670F">
        <w:rPr>
          <w:rFonts w:ascii="Times New Roman" w:hAnsi="Times New Roman" w:cs="Times New Roman"/>
        </w:rPr>
        <w:t xml:space="preserve">The age and attainment level of pupils can impact the choice and implementation of research methods. Younger pupils </w:t>
      </w:r>
      <w:r w:rsidR="00A45150" w:rsidRPr="001F670F">
        <w:rPr>
          <w:rFonts w:ascii="Times New Roman" w:hAnsi="Times New Roman" w:cs="Times New Roman"/>
        </w:rPr>
        <w:t xml:space="preserve">have more </w:t>
      </w:r>
      <w:r w:rsidRPr="001F670F">
        <w:rPr>
          <w:rFonts w:ascii="Times New Roman" w:hAnsi="Times New Roman" w:cs="Times New Roman"/>
        </w:rPr>
        <w:t>limited attention spans and verbal abilities, necessitating the use of age-appropriate language and simplified questions in interviews and questionnaires (Creswell, 2014). Additionally, pupils with lower attainment levels may require additional support and scaffolding to participate meaningfully in interviews and complete questionnaires (</w:t>
      </w:r>
      <w:r w:rsidR="00865595" w:rsidRPr="001F670F">
        <w:rPr>
          <w:rFonts w:ascii="Times New Roman" w:hAnsi="Times New Roman" w:cs="Times New Roman"/>
        </w:rPr>
        <w:t>Knox and Burkard, 2009</w:t>
      </w:r>
      <w:r w:rsidRPr="001F670F">
        <w:rPr>
          <w:rFonts w:ascii="Times New Roman" w:hAnsi="Times New Roman" w:cs="Times New Roman"/>
        </w:rPr>
        <w:t>).</w:t>
      </w:r>
      <w:r w:rsidR="00A97AF0" w:rsidRPr="001F670F">
        <w:rPr>
          <w:rFonts w:ascii="Times New Roman" w:hAnsi="Times New Roman" w:cs="Times New Roman"/>
        </w:rPr>
        <w:t xml:space="preserve"> </w:t>
      </w:r>
      <w:r w:rsidRPr="001F670F">
        <w:rPr>
          <w:rFonts w:ascii="Times New Roman" w:hAnsi="Times New Roman" w:cs="Times New Roman"/>
        </w:rPr>
        <w:t>In this study, the age of pupils (5 and 6 years old) influenced the design of interview questions and questionnaire items, ensuring they were developmentally appropriate and easy to understand. Additionally, researchers provided support and guidance to pupils during interviews and questionnaire administration to facilitate their participation and ensure accurate data collection.</w:t>
      </w:r>
    </w:p>
    <w:p w14:paraId="262EE2BC" w14:textId="77777777" w:rsidR="0061402F" w:rsidRPr="001F670F" w:rsidRDefault="0061402F" w:rsidP="00A572F7">
      <w:pPr>
        <w:spacing w:line="360" w:lineRule="auto"/>
        <w:rPr>
          <w:rFonts w:ascii="Times New Roman" w:hAnsi="Times New Roman" w:cs="Times New Roman"/>
        </w:rPr>
      </w:pPr>
    </w:p>
    <w:p w14:paraId="7226AD3D" w14:textId="2D2352B7" w:rsidR="0061402F" w:rsidRPr="001F670F" w:rsidRDefault="0061402F" w:rsidP="00A572F7">
      <w:pPr>
        <w:spacing w:line="360" w:lineRule="auto"/>
        <w:rPr>
          <w:rFonts w:ascii="Times New Roman" w:hAnsi="Times New Roman" w:cs="Times New Roman"/>
          <w:b/>
          <w:bCs/>
          <w:u w:val="single"/>
        </w:rPr>
      </w:pPr>
      <w:r w:rsidRPr="001F670F">
        <w:rPr>
          <w:rFonts w:ascii="Times New Roman" w:hAnsi="Times New Roman" w:cs="Times New Roman"/>
          <w:b/>
          <w:bCs/>
          <w:u w:val="single"/>
        </w:rPr>
        <w:t>Data Presentation and Analysis Methods</w:t>
      </w:r>
    </w:p>
    <w:p w14:paraId="50D0F977" w14:textId="6AD26767" w:rsidR="0061402F" w:rsidRPr="001F670F" w:rsidRDefault="0061402F" w:rsidP="00A572F7">
      <w:pPr>
        <w:spacing w:line="360" w:lineRule="auto"/>
        <w:rPr>
          <w:rFonts w:ascii="Times New Roman" w:hAnsi="Times New Roman" w:cs="Times New Roman"/>
        </w:rPr>
      </w:pPr>
      <w:r w:rsidRPr="001F670F">
        <w:rPr>
          <w:rFonts w:ascii="Times New Roman" w:hAnsi="Times New Roman" w:cs="Times New Roman"/>
        </w:rPr>
        <w:t>In reporting the findings of a study exploring student perceptions of mindfulness and engagement, graphs</w:t>
      </w:r>
      <w:r w:rsidR="00CA3ABC" w:rsidRPr="001F670F">
        <w:rPr>
          <w:rFonts w:ascii="Times New Roman" w:hAnsi="Times New Roman" w:cs="Times New Roman"/>
        </w:rPr>
        <w:t xml:space="preserve"> </w:t>
      </w:r>
      <w:r w:rsidRPr="001F670F">
        <w:rPr>
          <w:rFonts w:ascii="Times New Roman" w:hAnsi="Times New Roman" w:cs="Times New Roman"/>
        </w:rPr>
        <w:t xml:space="preserve">and </w:t>
      </w:r>
      <w:r w:rsidR="00CA3ABC" w:rsidRPr="001F670F">
        <w:rPr>
          <w:rFonts w:ascii="Times New Roman" w:hAnsi="Times New Roman" w:cs="Times New Roman"/>
        </w:rPr>
        <w:t xml:space="preserve">a </w:t>
      </w:r>
      <w:r w:rsidRPr="001F670F">
        <w:rPr>
          <w:rFonts w:ascii="Times New Roman" w:hAnsi="Times New Roman" w:cs="Times New Roman"/>
        </w:rPr>
        <w:t>narrative report will be employed to present the data in a comprehensive and accessible manner. This section discusses the rationale behind these methods, drawing on relevant literature to support the decisions, and addresses processes undertaken to ensure the trustworthiness of the findings.</w:t>
      </w:r>
    </w:p>
    <w:p w14:paraId="218570AD" w14:textId="77777777" w:rsidR="0061402F" w:rsidRPr="001F670F" w:rsidRDefault="0061402F" w:rsidP="00A572F7">
      <w:pPr>
        <w:spacing w:line="360" w:lineRule="auto"/>
        <w:rPr>
          <w:rFonts w:ascii="Times New Roman" w:hAnsi="Times New Roman" w:cs="Times New Roman"/>
        </w:rPr>
      </w:pPr>
    </w:p>
    <w:p w14:paraId="1740665B" w14:textId="77777777" w:rsidR="0061402F" w:rsidRPr="001F670F" w:rsidRDefault="0061402F" w:rsidP="00A572F7">
      <w:pPr>
        <w:spacing w:line="360" w:lineRule="auto"/>
        <w:rPr>
          <w:rFonts w:ascii="Times New Roman" w:hAnsi="Times New Roman" w:cs="Times New Roman"/>
        </w:rPr>
      </w:pPr>
      <w:r w:rsidRPr="001F670F">
        <w:rPr>
          <w:rFonts w:ascii="Times New Roman" w:hAnsi="Times New Roman" w:cs="Times New Roman"/>
        </w:rPr>
        <w:t>Graphs will be utilized to visually represent quantitative data obtained from closed-ended survey questions and observational data recorded using the Leuven Scale of Engagement. Graphs such as bar charts, line graphs, and pie charts can effectively illustrate trends, patterns, and relationships in the data, enhancing the clarity and accessibility of the findings (Bryman, 2016). For example, bar charts can be used to compare students' self-reported levels of engagement during mindfulness activities, while line graphs can depict changes in engagement levels over time.</w:t>
      </w:r>
    </w:p>
    <w:p w14:paraId="1CA36BCE" w14:textId="77777777" w:rsidR="0061402F" w:rsidRPr="001F670F" w:rsidRDefault="0061402F" w:rsidP="00A572F7">
      <w:pPr>
        <w:spacing w:line="360" w:lineRule="auto"/>
        <w:rPr>
          <w:rFonts w:ascii="Times New Roman" w:hAnsi="Times New Roman" w:cs="Times New Roman"/>
        </w:rPr>
      </w:pPr>
    </w:p>
    <w:p w14:paraId="14BE9DF2" w14:textId="16BFD05F" w:rsidR="0061402F" w:rsidRPr="001F670F" w:rsidRDefault="0061402F" w:rsidP="00A572F7">
      <w:pPr>
        <w:spacing w:line="360" w:lineRule="auto"/>
        <w:rPr>
          <w:rFonts w:ascii="Times New Roman" w:hAnsi="Times New Roman" w:cs="Times New Roman"/>
        </w:rPr>
      </w:pPr>
      <w:r w:rsidRPr="001F670F">
        <w:rPr>
          <w:rFonts w:ascii="Times New Roman" w:hAnsi="Times New Roman" w:cs="Times New Roman"/>
        </w:rPr>
        <w:t>The use of graphs is supported by the principles of data visualization, which emphasize the importance of presenting information in a visually appealing and intuitive manner (Tufte, 2001). Graphs can help researchers and readers to quickly grasp key findings, identify outliers or trends, and make comparisons between different groups or variables. Moreover, graphs can enhance the credibility and persuasiveness of the findings by providing visual evidence to support the interpretations drawn from the data (Bryman, 2016).</w:t>
      </w:r>
    </w:p>
    <w:p w14:paraId="6FBE1C69" w14:textId="77777777" w:rsidR="0061402F" w:rsidRPr="001F670F" w:rsidRDefault="0061402F" w:rsidP="00A572F7">
      <w:pPr>
        <w:spacing w:line="360" w:lineRule="auto"/>
        <w:rPr>
          <w:rFonts w:ascii="Times New Roman" w:hAnsi="Times New Roman" w:cs="Times New Roman"/>
        </w:rPr>
      </w:pPr>
    </w:p>
    <w:p w14:paraId="6B54DDA1" w14:textId="7E4D2858" w:rsidR="0061402F" w:rsidRPr="001F670F" w:rsidRDefault="00FB04CC" w:rsidP="00A572F7">
      <w:pPr>
        <w:spacing w:line="360" w:lineRule="auto"/>
        <w:rPr>
          <w:rFonts w:ascii="Times New Roman" w:hAnsi="Times New Roman" w:cs="Times New Roman"/>
        </w:rPr>
      </w:pPr>
      <w:r w:rsidRPr="001F670F">
        <w:rPr>
          <w:rFonts w:ascii="Times New Roman" w:hAnsi="Times New Roman" w:cs="Times New Roman"/>
        </w:rPr>
        <w:t>A n</w:t>
      </w:r>
      <w:r w:rsidR="0061402F" w:rsidRPr="001F670F">
        <w:rPr>
          <w:rFonts w:ascii="Times New Roman" w:hAnsi="Times New Roman" w:cs="Times New Roman"/>
        </w:rPr>
        <w:t>arrative report will be utilized to provide a detailed and contextualized account of the findings</w:t>
      </w:r>
      <w:r w:rsidRPr="001F670F">
        <w:rPr>
          <w:rFonts w:ascii="Times New Roman" w:hAnsi="Times New Roman" w:cs="Times New Roman"/>
        </w:rPr>
        <w:t xml:space="preserve"> of the </w:t>
      </w:r>
      <w:r w:rsidR="00B43B88" w:rsidRPr="001F670F">
        <w:rPr>
          <w:rFonts w:ascii="Times New Roman" w:hAnsi="Times New Roman" w:cs="Times New Roman"/>
        </w:rPr>
        <w:t xml:space="preserve">interviews and observations, </w:t>
      </w:r>
      <w:r w:rsidR="0061402F" w:rsidRPr="001F670F">
        <w:rPr>
          <w:rFonts w:ascii="Times New Roman" w:hAnsi="Times New Roman" w:cs="Times New Roman"/>
        </w:rPr>
        <w:t xml:space="preserve">Narrative reports </w:t>
      </w:r>
      <w:proofErr w:type="gramStart"/>
      <w:r w:rsidR="0061402F" w:rsidRPr="001F670F">
        <w:rPr>
          <w:rFonts w:ascii="Times New Roman" w:hAnsi="Times New Roman" w:cs="Times New Roman"/>
        </w:rPr>
        <w:t>allow  the</w:t>
      </w:r>
      <w:proofErr w:type="gramEnd"/>
      <w:r w:rsidR="0061402F" w:rsidRPr="001F670F">
        <w:rPr>
          <w:rFonts w:ascii="Times New Roman" w:hAnsi="Times New Roman" w:cs="Times New Roman"/>
        </w:rPr>
        <w:t xml:space="preserve"> various strands of the data </w:t>
      </w:r>
      <w:r w:rsidR="00043876" w:rsidRPr="001F670F">
        <w:rPr>
          <w:rFonts w:ascii="Times New Roman" w:hAnsi="Times New Roman" w:cs="Times New Roman"/>
        </w:rPr>
        <w:t>be brought together in a coherent report. This hopes to</w:t>
      </w:r>
      <w:r w:rsidR="0061402F" w:rsidRPr="001F670F">
        <w:rPr>
          <w:rFonts w:ascii="Times New Roman" w:hAnsi="Times New Roman" w:cs="Times New Roman"/>
        </w:rPr>
        <w:t xml:space="preserve"> offer insights into the complexities and nuances of the research topic (</w:t>
      </w:r>
      <w:proofErr w:type="spellStart"/>
      <w:r w:rsidR="0061402F" w:rsidRPr="001F670F">
        <w:rPr>
          <w:rFonts w:ascii="Times New Roman" w:hAnsi="Times New Roman" w:cs="Times New Roman"/>
        </w:rPr>
        <w:t>Riessman</w:t>
      </w:r>
      <w:proofErr w:type="spellEnd"/>
      <w:r w:rsidR="0061402F" w:rsidRPr="001F670F">
        <w:rPr>
          <w:rFonts w:ascii="Times New Roman" w:hAnsi="Times New Roman" w:cs="Times New Roman"/>
        </w:rPr>
        <w:t xml:space="preserve">, 2008). Through narrative synthesis, key themes, trends, and implications </w:t>
      </w:r>
      <w:r w:rsidR="00043876" w:rsidRPr="001F670F">
        <w:rPr>
          <w:rFonts w:ascii="Times New Roman" w:hAnsi="Times New Roman" w:cs="Times New Roman"/>
        </w:rPr>
        <w:t xml:space="preserve">may be spotted </w:t>
      </w:r>
      <w:r w:rsidR="0061402F" w:rsidRPr="001F670F">
        <w:rPr>
          <w:rFonts w:ascii="Times New Roman" w:hAnsi="Times New Roman" w:cs="Times New Roman"/>
        </w:rPr>
        <w:t>arising from the data, drawing connections between findings, and practice.</w:t>
      </w:r>
    </w:p>
    <w:p w14:paraId="31C76280" w14:textId="77777777" w:rsidR="0061402F" w:rsidRPr="001F670F" w:rsidRDefault="0061402F" w:rsidP="00A572F7">
      <w:pPr>
        <w:spacing w:line="360" w:lineRule="auto"/>
        <w:rPr>
          <w:rFonts w:ascii="Times New Roman" w:hAnsi="Times New Roman" w:cs="Times New Roman"/>
        </w:rPr>
      </w:pPr>
    </w:p>
    <w:p w14:paraId="342FEA7C" w14:textId="40D80FBB" w:rsidR="0061402F" w:rsidRPr="001F670F" w:rsidRDefault="0061402F" w:rsidP="00A572F7">
      <w:pPr>
        <w:spacing w:line="360" w:lineRule="auto"/>
        <w:rPr>
          <w:rFonts w:ascii="Times New Roman" w:eastAsia="Times New Roman" w:hAnsi="Times New Roman" w:cs="Times New Roman"/>
          <w:kern w:val="0"/>
          <w:lang w:eastAsia="en-GB"/>
          <w14:ligatures w14:val="none"/>
        </w:rPr>
      </w:pPr>
      <w:r w:rsidRPr="001F670F">
        <w:rPr>
          <w:rFonts w:ascii="Times New Roman" w:hAnsi="Times New Roman" w:cs="Times New Roman"/>
        </w:rPr>
        <w:t>The use of narrative reports is consistent with the qualitative tradition, which values the importance of narrative as a means of sense-making and knowledge construction (</w:t>
      </w:r>
      <w:proofErr w:type="spellStart"/>
      <w:r w:rsidRPr="001F670F">
        <w:rPr>
          <w:rFonts w:ascii="Times New Roman" w:hAnsi="Times New Roman" w:cs="Times New Roman"/>
        </w:rPr>
        <w:t>Clandinin</w:t>
      </w:r>
      <w:proofErr w:type="spellEnd"/>
      <w:r w:rsidRPr="001F670F">
        <w:rPr>
          <w:rFonts w:ascii="Times New Roman" w:hAnsi="Times New Roman" w:cs="Times New Roman"/>
        </w:rPr>
        <w:t xml:space="preserve"> &amp; Connelly, 2000). By crafting a narrative that unfolds logically and persuasively, researchers can engage readers in the research journey, inviting them to reflect on the findings and consider their implications for theory, policy, and practice. Moreover, narrative reports can enhance the transferability and dependability of the findings by providing rich descriptions and contextual details that enable readers to assess the relevance and applicability of the findings to their own contexts (</w:t>
      </w:r>
      <w:r w:rsidR="00FF4A3D" w:rsidRPr="001F670F">
        <w:rPr>
          <w:rFonts w:ascii="Times New Roman" w:eastAsia="Times New Roman" w:hAnsi="Times New Roman" w:cs="Times New Roman"/>
          <w:kern w:val="0"/>
          <w:lang w:eastAsia="en-GB"/>
          <w14:ligatures w14:val="none"/>
        </w:rPr>
        <w:t>Nowell et al., 2017</w:t>
      </w:r>
      <w:r w:rsidRPr="001F670F">
        <w:rPr>
          <w:rFonts w:ascii="Times New Roman" w:hAnsi="Times New Roman" w:cs="Times New Roman"/>
        </w:rPr>
        <w:t>).</w:t>
      </w:r>
    </w:p>
    <w:p w14:paraId="2D435BFB" w14:textId="77777777" w:rsidR="0061402F" w:rsidRPr="001F670F" w:rsidRDefault="0061402F" w:rsidP="00A572F7">
      <w:pPr>
        <w:spacing w:line="360" w:lineRule="auto"/>
        <w:rPr>
          <w:rFonts w:ascii="Times New Roman" w:hAnsi="Times New Roman" w:cs="Times New Roman"/>
        </w:rPr>
      </w:pPr>
    </w:p>
    <w:p w14:paraId="0C2C8A39" w14:textId="77777777" w:rsidR="0061402F" w:rsidRPr="001F670F" w:rsidRDefault="0061402F" w:rsidP="00A572F7">
      <w:pPr>
        <w:spacing w:line="360" w:lineRule="auto"/>
        <w:rPr>
          <w:rFonts w:ascii="Times New Roman" w:hAnsi="Times New Roman" w:cs="Times New Roman"/>
        </w:rPr>
      </w:pPr>
      <w:r w:rsidRPr="001F670F">
        <w:rPr>
          <w:rFonts w:ascii="Times New Roman" w:hAnsi="Times New Roman" w:cs="Times New Roman"/>
        </w:rPr>
        <w:t>To ensure the trustworthiness of the findings, several processes were undertaken throughout the research process. Credibility was enhanced through prolonged engagement with the data, member checking, and triangulation of data sources (Creswell &amp; Creswell, 2017). Transferability was addressed by providing detailed descriptions of the research context, participants, and methods, allowing readers to assess the applicability of the findings to other settings (Lincoln &amp; Guba, 1985). Dependability was ensured through transparent documentation of the research process, including data collection procedures, coding schemes, and analytical decisions (Creswell &amp; Creswell, 2017). Confirmability was addressed by maintaining reflexivity and transparency throughout the research process, acknowledging the researcher's role and potential biases, and providing evidence to support interpretations (Lincoln &amp; Guba, 1985).</w:t>
      </w:r>
    </w:p>
    <w:p w14:paraId="6FB53105" w14:textId="77777777" w:rsidR="00E00E70" w:rsidRPr="001F670F" w:rsidRDefault="00E00E70" w:rsidP="00A572F7">
      <w:pPr>
        <w:spacing w:line="360" w:lineRule="auto"/>
        <w:rPr>
          <w:rFonts w:ascii="Times New Roman" w:hAnsi="Times New Roman" w:cs="Times New Roman"/>
        </w:rPr>
      </w:pPr>
    </w:p>
    <w:p w14:paraId="6D653437" w14:textId="04A08A28" w:rsidR="00E00E70" w:rsidRPr="001F670F" w:rsidRDefault="00E00E70" w:rsidP="00A572F7">
      <w:pPr>
        <w:spacing w:line="360" w:lineRule="auto"/>
        <w:rPr>
          <w:rFonts w:ascii="Times New Roman" w:hAnsi="Times New Roman" w:cs="Times New Roman"/>
          <w:b/>
          <w:bCs/>
          <w:u w:val="single"/>
        </w:rPr>
      </w:pPr>
      <w:r w:rsidRPr="001F670F">
        <w:rPr>
          <w:rFonts w:ascii="Times New Roman" w:hAnsi="Times New Roman" w:cs="Times New Roman"/>
          <w:b/>
          <w:bCs/>
          <w:u w:val="single"/>
        </w:rPr>
        <w:t>Ethical Considerations</w:t>
      </w:r>
      <w:r w:rsidRPr="001F670F">
        <w:rPr>
          <w:rFonts w:ascii="Times New Roman" w:hAnsi="Times New Roman" w:cs="Times New Roman"/>
          <w:b/>
          <w:bCs/>
          <w:u w:val="single"/>
        </w:rPr>
        <w:t>/</w:t>
      </w:r>
      <w:r w:rsidRPr="001F670F">
        <w:rPr>
          <w:rFonts w:ascii="Times New Roman" w:hAnsi="Times New Roman" w:cs="Times New Roman"/>
          <w:b/>
          <w:bCs/>
          <w:u w:val="single"/>
        </w:rPr>
        <w:t>BERA ethical guidelines</w:t>
      </w:r>
    </w:p>
    <w:p w14:paraId="5E9114FE" w14:textId="77777777"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color w:val="0D0D0D"/>
          <w:shd w:val="clear" w:color="auto" w:fill="FFFFFF"/>
        </w:rPr>
        <w:t>Adhering to ethical guidelines and codes of practice in research is crucial for protecting participants' well-being, maintaining research integrity, and ensuring credibility. It helps prevent biases, gain ethical clearance, and consider impacts on vulnerable populations. Additionally, it promotes responsible conduct and fosters trust within the research community.</w:t>
      </w:r>
    </w:p>
    <w:p w14:paraId="7EDF4D94" w14:textId="6719CCEF"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rPr>
        <w:t>The BERA (British Educational Research Association) provides guidelines for ethics in educational research</w:t>
      </w:r>
      <w:r w:rsidR="00A572F7" w:rsidRPr="001F670F">
        <w:rPr>
          <w:rFonts w:ascii="Times New Roman" w:hAnsi="Times New Roman" w:cs="Times New Roman"/>
        </w:rPr>
        <w:t xml:space="preserve"> </w:t>
      </w:r>
      <w:r w:rsidR="00A572F7" w:rsidRPr="001F670F">
        <w:rPr>
          <w:rFonts w:ascii="Times New Roman" w:hAnsi="Times New Roman" w:cs="Times New Roman"/>
        </w:rPr>
        <w:t>(BERA, 2018)</w:t>
      </w:r>
      <w:r w:rsidRPr="001F670F">
        <w:rPr>
          <w:rFonts w:ascii="Times New Roman" w:hAnsi="Times New Roman" w:cs="Times New Roman"/>
        </w:rPr>
        <w:t xml:space="preserve">. The UWTSD code of practice provides guidelines for ethical conduct and </w:t>
      </w:r>
      <w:r w:rsidRPr="001F670F">
        <w:rPr>
          <w:rFonts w:ascii="Times New Roman" w:hAnsi="Times New Roman" w:cs="Times New Roman"/>
        </w:rPr>
        <w:lastRenderedPageBreak/>
        <w:t>professional behaviour in a specific field or industry. It outlines standards such as integrity, honesty, confidentiality, respect, and fairness. Adherence to a code of practice is typically voluntary but expected for professionals.</w:t>
      </w:r>
    </w:p>
    <w:p w14:paraId="57B029E4" w14:textId="77777777"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rPr>
        <w:t>The UWTSD guidelines for code of practice and the BERA guidelines for educational research both serve as frameworks for ethical conduct. The BERA guidelines specifically focus on research ethics in education, while a code of practice can apply to various professions.</w:t>
      </w:r>
    </w:p>
    <w:p w14:paraId="1C43E4E0" w14:textId="77777777"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rPr>
        <w:t>The BERA guidelines emphasize informed consent, confidentiality, and participant protection in educational research. Adherence to the BERA guidelines is voluntary.</w:t>
      </w:r>
    </w:p>
    <w:p w14:paraId="73B01F11" w14:textId="77777777" w:rsidR="00E00E70" w:rsidRPr="001F670F" w:rsidRDefault="00E00E70" w:rsidP="00A572F7">
      <w:pPr>
        <w:spacing w:line="360" w:lineRule="auto"/>
        <w:rPr>
          <w:rFonts w:ascii="Times New Roman" w:hAnsi="Times New Roman" w:cs="Times New Roman"/>
          <w:b/>
          <w:bCs/>
          <w:u w:val="single"/>
        </w:rPr>
      </w:pPr>
      <w:r w:rsidRPr="001F670F">
        <w:rPr>
          <w:rFonts w:ascii="Times New Roman" w:hAnsi="Times New Roman" w:cs="Times New Roman"/>
        </w:rPr>
        <w:t>Researchers should consider the impact of their research on participants' lives and workloads, especially vulnerable or over-researched populations. If unforeseen consequences arise, it may be appropriate to go back to the participants</w:t>
      </w:r>
      <w:r w:rsidRPr="001F670F">
        <w:rPr>
          <w:rFonts w:ascii="Times New Roman" w:hAnsi="Times New Roman" w:cs="Times New Roman"/>
          <w:b/>
          <w:bCs/>
          <w:u w:val="single"/>
        </w:rPr>
        <w:t xml:space="preserve">. </w:t>
      </w:r>
    </w:p>
    <w:p w14:paraId="46A4CA22" w14:textId="77777777"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rPr>
        <w:t>These guidelines also address issues such as the use of sensitive data, the involvement of vulnerable groups, and the need for ethical approval before conducting research. The BERA guidelines highlight the responsibility of researchers to ensure the ethical conduct of their research and to consider the potential impact of their work on participants and society. The guidelines also emphasize the importance of transparency, integrity, and the responsible dissemination of research findings.</w:t>
      </w:r>
    </w:p>
    <w:p w14:paraId="3AEB570A" w14:textId="77777777"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rPr>
        <w:t>Researchers are encouraged to familiarize themselves with the BERA guidelines and to seek ethical advice and support when needed.</w:t>
      </w:r>
    </w:p>
    <w:p w14:paraId="7176E88E" w14:textId="77777777" w:rsidR="00E00E70" w:rsidRPr="001F670F" w:rsidRDefault="00E00E70" w:rsidP="00A572F7">
      <w:pPr>
        <w:spacing w:line="360" w:lineRule="auto"/>
        <w:rPr>
          <w:rFonts w:ascii="Times New Roman" w:hAnsi="Times New Roman" w:cs="Times New Roman"/>
        </w:rPr>
      </w:pPr>
      <w:r w:rsidRPr="001F670F">
        <w:rPr>
          <w:rFonts w:ascii="Times New Roman" w:hAnsi="Times New Roman" w:cs="Times New Roman"/>
        </w:rPr>
        <w:t>Both the BERA guidelines and a code of practice serve as frameworks for ethical conduct in their respective domains. The BERA guidelines specifically focus on research ethics in the field of education, while a code of practice can apply to various professions or industries. The BERA guidelines are developed by the British Educational Research Association, while a code of practice is typically developed by professional organizations or regulatory bodies.</w:t>
      </w:r>
    </w:p>
    <w:p w14:paraId="7F42757F" w14:textId="77777777" w:rsidR="00E00E70" w:rsidRPr="001F670F" w:rsidRDefault="00E00E70" w:rsidP="00A572F7">
      <w:pPr>
        <w:spacing w:line="360" w:lineRule="auto"/>
        <w:rPr>
          <w:rFonts w:ascii="Times New Roman" w:hAnsi="Times New Roman" w:cs="Times New Roman"/>
        </w:rPr>
      </w:pPr>
    </w:p>
    <w:p w14:paraId="69AC6907" w14:textId="77777777" w:rsidR="001F05A1" w:rsidRPr="001F670F" w:rsidRDefault="001F05A1" w:rsidP="00A572F7">
      <w:pPr>
        <w:spacing w:line="360" w:lineRule="auto"/>
        <w:rPr>
          <w:rFonts w:ascii="Times New Roman" w:hAnsi="Times New Roman" w:cs="Times New Roman"/>
        </w:rPr>
      </w:pPr>
    </w:p>
    <w:p w14:paraId="16462802" w14:textId="1FD0951B" w:rsidR="001F05A1" w:rsidRPr="001F670F" w:rsidRDefault="00814D7E" w:rsidP="00A572F7">
      <w:pPr>
        <w:spacing w:line="360" w:lineRule="auto"/>
        <w:rPr>
          <w:rFonts w:ascii="Times New Roman" w:hAnsi="Times New Roman" w:cs="Times New Roman"/>
        </w:rPr>
      </w:pPr>
      <w:r w:rsidRPr="001F670F">
        <w:rPr>
          <w:rFonts w:ascii="Times New Roman" w:hAnsi="Times New Roman" w:cs="Times New Roman"/>
          <w:b/>
          <w:bCs/>
          <w:u w:val="single"/>
        </w:rPr>
        <w:t>Results / Analysis of results / Discussion</w:t>
      </w:r>
    </w:p>
    <w:p w14:paraId="1C798EE0" w14:textId="4035D7BA" w:rsidR="001F05A1" w:rsidRPr="001F670F" w:rsidRDefault="001F05A1" w:rsidP="00A572F7">
      <w:pPr>
        <w:spacing w:line="360" w:lineRule="auto"/>
        <w:rPr>
          <w:rFonts w:ascii="Times New Roman" w:hAnsi="Times New Roman" w:cs="Times New Roman"/>
        </w:rPr>
      </w:pPr>
    </w:p>
    <w:p w14:paraId="0FBE6475" w14:textId="2ECD2CFA" w:rsidR="00DB0390" w:rsidRPr="001F670F" w:rsidRDefault="00DB0390" w:rsidP="00A572F7">
      <w:pPr>
        <w:spacing w:line="360" w:lineRule="auto"/>
        <w:rPr>
          <w:rFonts w:ascii="Times New Roman" w:hAnsi="Times New Roman" w:cs="Times New Roman"/>
        </w:rPr>
      </w:pPr>
      <w:r w:rsidRPr="001F670F">
        <w:rPr>
          <w:rFonts w:ascii="Times New Roman" w:hAnsi="Times New Roman" w:cs="Times New Roman"/>
        </w:rPr>
        <w:t>Questionnaire Results</w:t>
      </w:r>
    </w:p>
    <w:p w14:paraId="4F6755AD" w14:textId="0F6EBC01" w:rsidR="001F05A1" w:rsidRPr="001F670F" w:rsidRDefault="00FA73AD" w:rsidP="00912DAC">
      <w:pPr>
        <w:rPr>
          <w:rFonts w:ascii="Times New Roman" w:hAnsi="Times New Roman" w:cs="Times New Roman"/>
        </w:rPr>
      </w:pPr>
      <w:r w:rsidRPr="001F670F">
        <w:rPr>
          <w:rFonts w:ascii="Times New Roman" w:hAnsi="Times New Roman" w:cs="Times New Roman"/>
          <w:noProof/>
        </w:rPr>
        <w:lastRenderedPageBreak/>
        <w:drawing>
          <wp:inline distT="0" distB="0" distL="0" distR="0" wp14:anchorId="262F338E" wp14:editId="53B76824">
            <wp:extent cx="5486400" cy="3200400"/>
            <wp:effectExtent l="0" t="0" r="0" b="0"/>
            <wp:docPr id="125923080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6EBB37F" w14:textId="62A1BA17" w:rsidR="00912DAC" w:rsidRPr="001F670F" w:rsidRDefault="002A7301" w:rsidP="00912DAC">
      <w:pPr>
        <w:rPr>
          <w:rFonts w:ascii="Times New Roman" w:hAnsi="Times New Roman" w:cs="Times New Roman"/>
        </w:rPr>
      </w:pPr>
      <w:r w:rsidRPr="001F670F">
        <w:rPr>
          <w:rFonts w:ascii="Times New Roman" w:hAnsi="Times New Roman" w:cs="Times New Roman"/>
          <w:noProof/>
        </w:rPr>
        <w:drawing>
          <wp:inline distT="0" distB="0" distL="0" distR="0" wp14:anchorId="716CFB1D" wp14:editId="75BEEF55">
            <wp:extent cx="5486400" cy="3200400"/>
            <wp:effectExtent l="0" t="0" r="0" b="0"/>
            <wp:docPr id="189768069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B51DB31" w14:textId="00EFE7F2" w:rsidR="00912DAC" w:rsidRPr="001F670F" w:rsidRDefault="00EB6561" w:rsidP="00912DAC">
      <w:pPr>
        <w:rPr>
          <w:rFonts w:ascii="Times New Roman" w:hAnsi="Times New Roman" w:cs="Times New Roman"/>
        </w:rPr>
      </w:pPr>
      <w:r w:rsidRPr="001F670F">
        <w:rPr>
          <w:rFonts w:ascii="Times New Roman" w:hAnsi="Times New Roman" w:cs="Times New Roman"/>
          <w:noProof/>
        </w:rPr>
        <w:lastRenderedPageBreak/>
        <w:drawing>
          <wp:inline distT="0" distB="0" distL="0" distR="0" wp14:anchorId="0EA1E46B" wp14:editId="4534ABD9">
            <wp:extent cx="5486400" cy="3200400"/>
            <wp:effectExtent l="0" t="0" r="0" b="0"/>
            <wp:docPr id="70427008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52A84A" w14:textId="77777777" w:rsidR="00912DAC" w:rsidRPr="001F670F" w:rsidRDefault="00912DAC" w:rsidP="00912DAC">
      <w:pPr>
        <w:rPr>
          <w:rFonts w:ascii="Times New Roman" w:hAnsi="Times New Roman" w:cs="Times New Roman"/>
        </w:rPr>
      </w:pPr>
    </w:p>
    <w:p w14:paraId="540EEF48" w14:textId="28D0E4A6" w:rsidR="00912DAC" w:rsidRPr="001F670F" w:rsidRDefault="00912DAC" w:rsidP="00912DAC">
      <w:pPr>
        <w:rPr>
          <w:rFonts w:ascii="Times New Roman" w:hAnsi="Times New Roman" w:cs="Times New Roman"/>
        </w:rPr>
      </w:pPr>
    </w:p>
    <w:p w14:paraId="3993CB38" w14:textId="6150D456" w:rsidR="003A1F60" w:rsidRPr="001F670F" w:rsidRDefault="00DD79D8">
      <w:pPr>
        <w:rPr>
          <w:rFonts w:ascii="Times New Roman" w:hAnsi="Times New Roman" w:cs="Times New Roman"/>
        </w:rPr>
      </w:pPr>
      <w:r w:rsidRPr="001F670F">
        <w:rPr>
          <w:rFonts w:ascii="Times New Roman" w:hAnsi="Times New Roman" w:cs="Times New Roman"/>
          <w:noProof/>
        </w:rPr>
        <w:drawing>
          <wp:inline distT="0" distB="0" distL="0" distR="0" wp14:anchorId="74EEDBD4" wp14:editId="0A744623">
            <wp:extent cx="5486400" cy="3200400"/>
            <wp:effectExtent l="0" t="0" r="0" b="0"/>
            <wp:docPr id="214747654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3A1F60" w:rsidRPr="001F670F">
        <w:rPr>
          <w:rFonts w:ascii="Times New Roman" w:hAnsi="Times New Roman" w:cs="Times New Roman"/>
        </w:rPr>
        <w:br w:type="page"/>
      </w:r>
    </w:p>
    <w:p w14:paraId="60504117" w14:textId="1FA00F15" w:rsidR="003A1F60" w:rsidRPr="001F670F" w:rsidRDefault="00DD79D8" w:rsidP="004C3255">
      <w:pPr>
        <w:rPr>
          <w:rFonts w:ascii="Times New Roman" w:hAnsi="Times New Roman" w:cs="Times New Roman"/>
        </w:rPr>
      </w:pPr>
      <w:r w:rsidRPr="001F670F">
        <w:rPr>
          <w:rFonts w:ascii="Times New Roman" w:hAnsi="Times New Roman" w:cs="Times New Roman"/>
          <w:noProof/>
        </w:rPr>
        <w:lastRenderedPageBreak/>
        <w:drawing>
          <wp:inline distT="0" distB="0" distL="0" distR="0" wp14:anchorId="5A6F5612" wp14:editId="476A62D5">
            <wp:extent cx="5486400" cy="3200400"/>
            <wp:effectExtent l="0" t="0" r="0" b="0"/>
            <wp:docPr id="184667769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67C831" w14:textId="77777777" w:rsidR="00CA3ABC" w:rsidRPr="001F670F" w:rsidRDefault="00CA3ABC" w:rsidP="00CA3ABC">
      <w:pPr>
        <w:rPr>
          <w:rFonts w:ascii="Times New Roman" w:hAnsi="Times New Roman" w:cs="Times New Roman"/>
        </w:rPr>
      </w:pPr>
    </w:p>
    <w:p w14:paraId="1001A1F1" w14:textId="77777777" w:rsidR="00CA3ABC" w:rsidRPr="001F670F" w:rsidRDefault="00CA3ABC" w:rsidP="00CA3ABC">
      <w:pPr>
        <w:rPr>
          <w:rFonts w:ascii="Times New Roman" w:hAnsi="Times New Roman" w:cs="Times New Roman"/>
          <w:u w:val="single"/>
        </w:rPr>
      </w:pPr>
    </w:p>
    <w:p w14:paraId="1DC381ED" w14:textId="5A5205FE" w:rsidR="00CA3ABC" w:rsidRPr="001F670F" w:rsidRDefault="00CA3ABC" w:rsidP="00321020">
      <w:pPr>
        <w:spacing w:line="360" w:lineRule="auto"/>
        <w:rPr>
          <w:rFonts w:ascii="Times New Roman" w:hAnsi="Times New Roman" w:cs="Times New Roman"/>
          <w:u w:val="single"/>
        </w:rPr>
      </w:pPr>
      <w:r w:rsidRPr="001F670F">
        <w:rPr>
          <w:rFonts w:ascii="Times New Roman" w:hAnsi="Times New Roman" w:cs="Times New Roman"/>
          <w:u w:val="single"/>
        </w:rPr>
        <w:t xml:space="preserve">Narrative report on </w:t>
      </w:r>
      <w:r w:rsidR="00C82433" w:rsidRPr="001F670F">
        <w:rPr>
          <w:rFonts w:ascii="Times New Roman" w:hAnsi="Times New Roman" w:cs="Times New Roman"/>
          <w:u w:val="single"/>
        </w:rPr>
        <w:t>the findings of the observations and interviews</w:t>
      </w:r>
    </w:p>
    <w:p w14:paraId="1A2A6F58" w14:textId="77777777" w:rsidR="000B5E06" w:rsidRPr="001F670F" w:rsidRDefault="000B5E06" w:rsidP="00321020">
      <w:pPr>
        <w:spacing w:line="360" w:lineRule="auto"/>
        <w:rPr>
          <w:rFonts w:ascii="Times New Roman" w:hAnsi="Times New Roman" w:cs="Times New Roman"/>
        </w:rPr>
      </w:pPr>
    </w:p>
    <w:p w14:paraId="68FE4042" w14:textId="77777777"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Narrative Report on Findings from Interviews and Observations</w:t>
      </w:r>
    </w:p>
    <w:p w14:paraId="7CF41424" w14:textId="77777777" w:rsidR="000B5E06" w:rsidRPr="001F670F" w:rsidRDefault="000B5E06" w:rsidP="00321020">
      <w:pPr>
        <w:spacing w:line="360" w:lineRule="auto"/>
        <w:rPr>
          <w:rFonts w:ascii="Times New Roman" w:hAnsi="Times New Roman" w:cs="Times New Roman"/>
        </w:rPr>
      </w:pPr>
    </w:p>
    <w:p w14:paraId="3B54D51B" w14:textId="6A937D70"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This narrative report presents the findings from interviews and observations conducted as part of a study exploring student perceptions of mindfulness and engagement. The observations took place daily at 1 pm, following afternoon playtime, with pupils engaging in a 10-minute regulatory mindfulness activity via watching a video incorporating body scanning and breathing exercises. The observations focused on eight pupils selected for the case study, using the Leuven Scale to assess engagement levels before and after the mindfulness activity. Additionally, interviews were conducted to gather insights into pupils' experiences and perceptions of mindfulness.</w:t>
      </w:r>
      <w:r w:rsidRPr="001F670F">
        <w:rPr>
          <w:rFonts w:ascii="Times New Roman" w:hAnsi="Times New Roman" w:cs="Times New Roman"/>
        </w:rPr>
        <w:t xml:space="preserve"> These interviews were scribed by the researcher.</w:t>
      </w:r>
    </w:p>
    <w:p w14:paraId="4080514A" w14:textId="77777777" w:rsidR="000B5E06" w:rsidRPr="001F670F" w:rsidRDefault="000B5E06" w:rsidP="00321020">
      <w:pPr>
        <w:spacing w:line="360" w:lineRule="auto"/>
        <w:rPr>
          <w:rFonts w:ascii="Times New Roman" w:hAnsi="Times New Roman" w:cs="Times New Roman"/>
        </w:rPr>
      </w:pPr>
    </w:p>
    <w:p w14:paraId="15BB4D9D" w14:textId="77777777"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Observations:</w:t>
      </w:r>
    </w:p>
    <w:p w14:paraId="4D9D4FAF" w14:textId="77777777" w:rsidR="000B5E06" w:rsidRPr="001F670F" w:rsidRDefault="000B5E06" w:rsidP="00321020">
      <w:pPr>
        <w:spacing w:line="360" w:lineRule="auto"/>
        <w:rPr>
          <w:rFonts w:ascii="Times New Roman" w:hAnsi="Times New Roman" w:cs="Times New Roman"/>
        </w:rPr>
      </w:pPr>
    </w:p>
    <w:p w14:paraId="2706C9A3" w14:textId="77777777"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 xml:space="preserve">Throughout the week-long observation period, a noticeable trend emerged in the engagement levels of the selected pupils during the mindfulness activity. On the first day, pupils appeared less receptive, </w:t>
      </w:r>
      <w:r w:rsidRPr="001F670F">
        <w:rPr>
          <w:rFonts w:ascii="Times New Roman" w:hAnsi="Times New Roman" w:cs="Times New Roman"/>
        </w:rPr>
        <w:lastRenderedPageBreak/>
        <w:t>with only five out of the eight pupils demonstrating engagement according to the Leuven Scale. However, as the week progressed, there was a significant improvement in engagement levels, with all eight pupils actively participating in the mindfulness activity by the fifth day.</w:t>
      </w:r>
    </w:p>
    <w:p w14:paraId="4A723C9E" w14:textId="77777777" w:rsidR="000B5E06" w:rsidRPr="001F670F" w:rsidRDefault="000B5E06" w:rsidP="00321020">
      <w:pPr>
        <w:spacing w:line="360" w:lineRule="auto"/>
        <w:rPr>
          <w:rFonts w:ascii="Times New Roman" w:hAnsi="Times New Roman" w:cs="Times New Roman"/>
        </w:rPr>
      </w:pPr>
    </w:p>
    <w:p w14:paraId="1B8C6167" w14:textId="77777777"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Moreover, observations of post-mindfulness engagement revealed a similar pattern of improvement, with pupils demonstrating increased focus and attentiveness in classroom activities. This positive shift in engagement levels suggests that regular exposure to mindfulness practices may have a beneficial impact on students' ability to regulate their emotions and sustain attention in learning tasks.</w:t>
      </w:r>
    </w:p>
    <w:p w14:paraId="73816463" w14:textId="77777777" w:rsidR="000B5E06" w:rsidRPr="001F670F" w:rsidRDefault="000B5E06" w:rsidP="00321020">
      <w:pPr>
        <w:spacing w:line="360" w:lineRule="auto"/>
        <w:rPr>
          <w:rFonts w:ascii="Times New Roman" w:hAnsi="Times New Roman" w:cs="Times New Roman"/>
        </w:rPr>
      </w:pPr>
    </w:p>
    <w:p w14:paraId="45F51E1B" w14:textId="77777777"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Interviews:</w:t>
      </w:r>
    </w:p>
    <w:p w14:paraId="6790BA43" w14:textId="77777777" w:rsidR="000B5E06" w:rsidRPr="001F670F" w:rsidRDefault="000B5E06" w:rsidP="00321020">
      <w:pPr>
        <w:spacing w:line="360" w:lineRule="auto"/>
        <w:rPr>
          <w:rFonts w:ascii="Times New Roman" w:hAnsi="Times New Roman" w:cs="Times New Roman"/>
        </w:rPr>
      </w:pPr>
    </w:p>
    <w:p w14:paraId="36468EFB" w14:textId="77777777"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The interviews provided further insights into pupils' experiences and perceptions of mindfulness. When asked about their feelings during mindfulness exercises, pupils expressed predominantly positive emotions, with one pupil stating, "I feel relaxed and happy when I do mindfulness." Another pupil highlighted the calming effect of mindfulness, stating, "It helped me not be upset about what happened at playtime."</w:t>
      </w:r>
    </w:p>
    <w:p w14:paraId="4BE80993" w14:textId="77777777" w:rsidR="000B5E06" w:rsidRPr="001F670F" w:rsidRDefault="000B5E06" w:rsidP="00321020">
      <w:pPr>
        <w:spacing w:line="360" w:lineRule="auto"/>
        <w:rPr>
          <w:rFonts w:ascii="Times New Roman" w:hAnsi="Times New Roman" w:cs="Times New Roman"/>
        </w:rPr>
      </w:pPr>
    </w:p>
    <w:p w14:paraId="45772D9D" w14:textId="030BBA11" w:rsidR="000B5E06"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Furthermore, when prompted about how mindfulness helps them to focus and stay engaged in learning activities, pupils identified benefits such as increased concentration and reduced stress. However, some pupils also noted areas for improvement, with one pupil suggesting that mindfulness sessions could be shortened to better align with their attention spans. Another pupil expressed a desire for more variety in mindfulness activities to maintain interest.</w:t>
      </w:r>
    </w:p>
    <w:p w14:paraId="030A0272" w14:textId="77777777" w:rsidR="00EB1788" w:rsidRPr="001F670F" w:rsidRDefault="00EB1788" w:rsidP="00321020">
      <w:pPr>
        <w:spacing w:line="360" w:lineRule="auto"/>
        <w:rPr>
          <w:rFonts w:ascii="Times New Roman" w:hAnsi="Times New Roman" w:cs="Times New Roman"/>
        </w:rPr>
      </w:pPr>
    </w:p>
    <w:p w14:paraId="3EC3D866" w14:textId="1F1E2D82" w:rsidR="001320B9" w:rsidRPr="001F670F" w:rsidRDefault="000B5E06" w:rsidP="00321020">
      <w:pPr>
        <w:spacing w:line="360" w:lineRule="auto"/>
        <w:rPr>
          <w:rFonts w:ascii="Times New Roman" w:hAnsi="Times New Roman" w:cs="Times New Roman"/>
        </w:rPr>
      </w:pPr>
      <w:r w:rsidRPr="001F670F">
        <w:rPr>
          <w:rFonts w:ascii="Times New Roman" w:hAnsi="Times New Roman" w:cs="Times New Roman"/>
        </w:rPr>
        <w:t>Overall, the interviews revealed a consistent theme of positive experiences with mindfulness among the selected pupils. The practice was perceived as beneficial for promoting emotional well-being, enhancing focus, and managing stress. However, there were also constructive suggestions for refinement, highlighting the importance of flexibility and adaptability in mindfulness implementation.</w:t>
      </w:r>
    </w:p>
    <w:p w14:paraId="7F6E8971" w14:textId="77777777" w:rsidR="001320B9" w:rsidRPr="001F670F" w:rsidRDefault="001320B9" w:rsidP="00321020">
      <w:pPr>
        <w:spacing w:line="360" w:lineRule="auto"/>
        <w:rPr>
          <w:rFonts w:ascii="Times New Roman" w:hAnsi="Times New Roman" w:cs="Times New Roman"/>
        </w:rPr>
      </w:pPr>
    </w:p>
    <w:p w14:paraId="45CF39D4" w14:textId="29667BDD" w:rsidR="001320B9" w:rsidRPr="001F670F" w:rsidRDefault="001320B9" w:rsidP="00321020">
      <w:pPr>
        <w:spacing w:line="360" w:lineRule="auto"/>
        <w:rPr>
          <w:rFonts w:ascii="Times New Roman" w:hAnsi="Times New Roman" w:cs="Times New Roman"/>
        </w:rPr>
      </w:pPr>
      <w:r w:rsidRPr="001F670F">
        <w:rPr>
          <w:rFonts w:ascii="Times New Roman" w:hAnsi="Times New Roman" w:cs="Times New Roman"/>
        </w:rPr>
        <w:t>The findings from the observations</w:t>
      </w:r>
      <w:r w:rsidRPr="001F670F">
        <w:rPr>
          <w:rFonts w:ascii="Times New Roman" w:hAnsi="Times New Roman" w:cs="Times New Roman"/>
        </w:rPr>
        <w:t>,</w:t>
      </w:r>
      <w:r w:rsidRPr="001F670F">
        <w:rPr>
          <w:rFonts w:ascii="Times New Roman" w:hAnsi="Times New Roman" w:cs="Times New Roman"/>
        </w:rPr>
        <w:t xml:space="preserve"> interviews </w:t>
      </w:r>
      <w:r w:rsidRPr="001F670F">
        <w:rPr>
          <w:rFonts w:ascii="Times New Roman" w:hAnsi="Times New Roman" w:cs="Times New Roman"/>
        </w:rPr>
        <w:t xml:space="preserve">and questionnaires </w:t>
      </w:r>
      <w:r w:rsidR="007B4A41" w:rsidRPr="001F670F">
        <w:rPr>
          <w:rFonts w:ascii="Times New Roman" w:hAnsi="Times New Roman" w:cs="Times New Roman"/>
        </w:rPr>
        <w:t xml:space="preserve">could </w:t>
      </w:r>
      <w:r w:rsidRPr="001F670F">
        <w:rPr>
          <w:rFonts w:ascii="Times New Roman" w:hAnsi="Times New Roman" w:cs="Times New Roman"/>
        </w:rPr>
        <w:t xml:space="preserve">hold several implications for the class, participants, and the </w:t>
      </w:r>
      <w:proofErr w:type="gramStart"/>
      <w:r w:rsidRPr="001F670F">
        <w:rPr>
          <w:rFonts w:ascii="Times New Roman" w:hAnsi="Times New Roman" w:cs="Times New Roman"/>
        </w:rPr>
        <w:t>school as a whole</w:t>
      </w:r>
      <w:proofErr w:type="gramEnd"/>
      <w:r w:rsidRPr="001F670F">
        <w:rPr>
          <w:rFonts w:ascii="Times New Roman" w:hAnsi="Times New Roman" w:cs="Times New Roman"/>
        </w:rPr>
        <w:t>.</w:t>
      </w:r>
    </w:p>
    <w:p w14:paraId="39EA423F" w14:textId="363BC2FB" w:rsidR="001320B9" w:rsidRPr="001F670F" w:rsidRDefault="001320B9" w:rsidP="00321020">
      <w:pPr>
        <w:spacing w:line="360" w:lineRule="auto"/>
        <w:rPr>
          <w:rFonts w:ascii="Times New Roman" w:hAnsi="Times New Roman" w:cs="Times New Roman"/>
        </w:rPr>
      </w:pPr>
      <w:r w:rsidRPr="001F670F">
        <w:rPr>
          <w:rFonts w:ascii="Times New Roman" w:hAnsi="Times New Roman" w:cs="Times New Roman"/>
        </w:rPr>
        <w:lastRenderedPageBreak/>
        <w:t>For the class and participants, the observed improvements in engagement levels</w:t>
      </w:r>
      <w:r w:rsidR="007B4A41" w:rsidRPr="001F670F">
        <w:rPr>
          <w:rFonts w:ascii="Times New Roman" w:hAnsi="Times New Roman" w:cs="Times New Roman"/>
        </w:rPr>
        <w:t xml:space="preserve"> in the case study group</w:t>
      </w:r>
      <w:r w:rsidRPr="001F670F">
        <w:rPr>
          <w:rFonts w:ascii="Times New Roman" w:hAnsi="Times New Roman" w:cs="Times New Roman"/>
        </w:rPr>
        <w:t xml:space="preserve"> following regular mindfulness practice suggest that integrating mindfulness activities into the daily routine c</w:t>
      </w:r>
      <w:r w:rsidR="007B4A41" w:rsidRPr="001F670F">
        <w:rPr>
          <w:rFonts w:ascii="Times New Roman" w:hAnsi="Times New Roman" w:cs="Times New Roman"/>
        </w:rPr>
        <w:t>ould</w:t>
      </w:r>
      <w:r w:rsidRPr="001F670F">
        <w:rPr>
          <w:rFonts w:ascii="Times New Roman" w:hAnsi="Times New Roman" w:cs="Times New Roman"/>
        </w:rPr>
        <w:t xml:space="preserve"> have tangible benefits for student well-being and academic performance. By providing students with tools to regulate their emotions and enhance their focus, mindfulness may contribute to a more positive and conducive learning environment. Additionally, the positive experiences reported by the participants highlight the importance of promoting mindfulness as a valuable skill for promoting mental health and resilience among students.</w:t>
      </w:r>
    </w:p>
    <w:p w14:paraId="6AFC489F" w14:textId="77777777" w:rsidR="001320B9" w:rsidRPr="001F670F" w:rsidRDefault="001320B9" w:rsidP="00321020">
      <w:pPr>
        <w:spacing w:line="360" w:lineRule="auto"/>
        <w:rPr>
          <w:rFonts w:ascii="Times New Roman" w:hAnsi="Times New Roman" w:cs="Times New Roman"/>
        </w:rPr>
      </w:pPr>
    </w:p>
    <w:p w14:paraId="6B7ADE84" w14:textId="7E8DAC22" w:rsidR="001320B9" w:rsidRPr="001F670F" w:rsidRDefault="001320B9" w:rsidP="00321020">
      <w:pPr>
        <w:spacing w:line="360" w:lineRule="auto"/>
        <w:rPr>
          <w:rFonts w:ascii="Times New Roman" w:hAnsi="Times New Roman" w:cs="Times New Roman"/>
        </w:rPr>
      </w:pPr>
      <w:r w:rsidRPr="001F670F">
        <w:rPr>
          <w:rFonts w:ascii="Times New Roman" w:hAnsi="Times New Roman" w:cs="Times New Roman"/>
        </w:rPr>
        <w:t xml:space="preserve">This linkage to the literature is supported by existing research that emphasizes the positive impact of mindfulness on student well-being and academic outcomes. Studies have shown that mindfulness interventions can lead to improvements in attention, self-regulation, and emotional resilience among students (Klingbeil et al., 2017; </w:t>
      </w:r>
      <w:proofErr w:type="spellStart"/>
      <w:r w:rsidRPr="001F670F">
        <w:rPr>
          <w:rFonts w:ascii="Times New Roman" w:hAnsi="Times New Roman" w:cs="Times New Roman"/>
        </w:rPr>
        <w:t>Zoogman</w:t>
      </w:r>
      <w:proofErr w:type="spellEnd"/>
      <w:r w:rsidRPr="001F670F">
        <w:rPr>
          <w:rFonts w:ascii="Times New Roman" w:hAnsi="Times New Roman" w:cs="Times New Roman"/>
        </w:rPr>
        <w:t xml:space="preserve"> et al., 2015). Moreover, research on school-based mindfulness programs has demonstrated reductions in stress, anxiety, and disruptive </w:t>
      </w:r>
      <w:r w:rsidRPr="001F670F">
        <w:rPr>
          <w:rFonts w:ascii="Times New Roman" w:hAnsi="Times New Roman" w:cs="Times New Roman"/>
        </w:rPr>
        <w:t>behaviour</w:t>
      </w:r>
      <w:r w:rsidRPr="001F670F">
        <w:rPr>
          <w:rFonts w:ascii="Times New Roman" w:hAnsi="Times New Roman" w:cs="Times New Roman"/>
        </w:rPr>
        <w:t>, as well as improvements in social-emotional skills and academic performance (Zenner et al., 2014; Felver et al., 2016). These findings align with the observed benefits of mindfulness reported by the participants in this study, highlighting the relevance and applicability of mindfulness practices in educational contexts.</w:t>
      </w:r>
    </w:p>
    <w:p w14:paraId="63B75760" w14:textId="77777777" w:rsidR="001320B9" w:rsidRPr="001F670F" w:rsidRDefault="001320B9" w:rsidP="00321020">
      <w:pPr>
        <w:spacing w:line="360" w:lineRule="auto"/>
        <w:rPr>
          <w:rFonts w:ascii="Times New Roman" w:hAnsi="Times New Roman" w:cs="Times New Roman"/>
        </w:rPr>
      </w:pPr>
    </w:p>
    <w:p w14:paraId="0B9FED99" w14:textId="77777777" w:rsidR="001320B9" w:rsidRPr="001F670F" w:rsidRDefault="001320B9" w:rsidP="00321020">
      <w:pPr>
        <w:spacing w:line="360" w:lineRule="auto"/>
        <w:rPr>
          <w:rFonts w:ascii="Times New Roman" w:hAnsi="Times New Roman" w:cs="Times New Roman"/>
        </w:rPr>
      </w:pPr>
      <w:r w:rsidRPr="001F670F">
        <w:rPr>
          <w:rFonts w:ascii="Times New Roman" w:hAnsi="Times New Roman" w:cs="Times New Roman"/>
        </w:rPr>
        <w:t>For the school, the findings underscore the potential value of integrating mindfulness initiatives into the broader school wellness program. By fostering a culture of mindfulness and well-being, schools can create environments that support students' holistic development and academic success. Furthermore, the positive outcomes associated with mindfulness may have ripple effects beyond the classroom, contributing to a positive school climate and enhancing relationships among students, teachers, and parents. This aligns with the recommendations of educational policymakers and frameworks such as Graham Donaldson's "Successful Futures" report, which emphasizes the importance of holistic approaches to education that prioritize student well-being and personal development (Welsh Government, 2015). By embracing mindfulness as a tool for promoting student engagement, emotional resilience, and academic achievement, schools can contribute to the cultivation of a supportive and thriving learning community.</w:t>
      </w:r>
    </w:p>
    <w:p w14:paraId="116AB364" w14:textId="77777777" w:rsidR="001320B9" w:rsidRPr="001F670F" w:rsidRDefault="001320B9" w:rsidP="00321020">
      <w:pPr>
        <w:spacing w:line="360" w:lineRule="auto"/>
        <w:rPr>
          <w:rFonts w:ascii="Times New Roman" w:hAnsi="Times New Roman" w:cs="Times New Roman"/>
          <w:b/>
          <w:bCs/>
          <w:u w:val="single"/>
        </w:rPr>
      </w:pPr>
    </w:p>
    <w:p w14:paraId="25F568C8" w14:textId="0F4B1A82" w:rsidR="001320B9" w:rsidRPr="001F670F" w:rsidRDefault="00814D7E" w:rsidP="00321020">
      <w:pPr>
        <w:spacing w:line="360" w:lineRule="auto"/>
        <w:rPr>
          <w:rFonts w:ascii="Times New Roman" w:hAnsi="Times New Roman" w:cs="Times New Roman"/>
          <w:b/>
          <w:bCs/>
          <w:u w:val="single"/>
        </w:rPr>
      </w:pPr>
      <w:r w:rsidRPr="001F670F">
        <w:rPr>
          <w:rFonts w:ascii="Times New Roman" w:hAnsi="Times New Roman" w:cs="Times New Roman"/>
          <w:b/>
          <w:bCs/>
          <w:u w:val="single"/>
        </w:rPr>
        <w:t>Conclusion and Recommendations</w:t>
      </w:r>
    </w:p>
    <w:p w14:paraId="50900E58" w14:textId="77777777" w:rsidR="00814D7E" w:rsidRPr="001F670F" w:rsidRDefault="00814D7E" w:rsidP="00321020">
      <w:pPr>
        <w:spacing w:line="360" w:lineRule="auto"/>
        <w:rPr>
          <w:rFonts w:ascii="Times New Roman" w:hAnsi="Times New Roman" w:cs="Times New Roman"/>
        </w:rPr>
      </w:pPr>
      <w:r w:rsidRPr="001F670F">
        <w:rPr>
          <w:rFonts w:ascii="Times New Roman" w:hAnsi="Times New Roman" w:cs="Times New Roman"/>
        </w:rPr>
        <w:t xml:space="preserve">Reflecting on the work undertaken in preparing for the research study, it is essential to critically examine the methods of data collection and their reliability, validity, and generalizability within the context. While the chosen methods, including observations, interviews, and questionnaires, provided </w:t>
      </w:r>
      <w:r w:rsidRPr="001F670F">
        <w:rPr>
          <w:rFonts w:ascii="Times New Roman" w:hAnsi="Times New Roman" w:cs="Times New Roman"/>
        </w:rPr>
        <w:lastRenderedPageBreak/>
        <w:t>valuable insights into student perceptions of mindfulness and engagement, there are considerations to be made regarding their applicability and robustness within the specific context.</w:t>
      </w:r>
    </w:p>
    <w:p w14:paraId="418316BE" w14:textId="77777777" w:rsidR="00814D7E" w:rsidRPr="001F670F" w:rsidRDefault="00814D7E" w:rsidP="00321020">
      <w:pPr>
        <w:spacing w:line="360" w:lineRule="auto"/>
        <w:rPr>
          <w:rFonts w:ascii="Times New Roman" w:hAnsi="Times New Roman" w:cs="Times New Roman"/>
        </w:rPr>
      </w:pPr>
    </w:p>
    <w:p w14:paraId="5D0C4985" w14:textId="77777777" w:rsidR="00814D7E" w:rsidRPr="001F670F" w:rsidRDefault="00814D7E" w:rsidP="00321020">
      <w:pPr>
        <w:spacing w:line="360" w:lineRule="auto"/>
        <w:rPr>
          <w:rFonts w:ascii="Times New Roman" w:hAnsi="Times New Roman" w:cs="Times New Roman"/>
        </w:rPr>
      </w:pPr>
      <w:r w:rsidRPr="001F670F">
        <w:rPr>
          <w:rFonts w:ascii="Times New Roman" w:hAnsi="Times New Roman" w:cs="Times New Roman"/>
        </w:rPr>
        <w:t>In terms of reliability, the daily observations conducted at a consistent time may have provided a reliable measure of engagement levels during mindfulness activities. However, variations in environmental factors and individual differences among participants could have influenced the observed outcomes. Similarly, the validity of the methods may be affected by factors such as the age of the participants and the subjective nature of self-report data collected through interviews and questionnaires.</w:t>
      </w:r>
    </w:p>
    <w:p w14:paraId="3B6D4CA2" w14:textId="77777777" w:rsidR="00814D7E" w:rsidRPr="001F670F" w:rsidRDefault="00814D7E" w:rsidP="00321020">
      <w:pPr>
        <w:spacing w:line="360" w:lineRule="auto"/>
        <w:rPr>
          <w:rFonts w:ascii="Times New Roman" w:hAnsi="Times New Roman" w:cs="Times New Roman"/>
        </w:rPr>
      </w:pPr>
    </w:p>
    <w:p w14:paraId="6B21AA1B" w14:textId="77777777" w:rsidR="00814D7E" w:rsidRPr="001F670F" w:rsidRDefault="00814D7E" w:rsidP="00321020">
      <w:pPr>
        <w:spacing w:line="360" w:lineRule="auto"/>
        <w:rPr>
          <w:rFonts w:ascii="Times New Roman" w:hAnsi="Times New Roman" w:cs="Times New Roman"/>
        </w:rPr>
      </w:pPr>
      <w:r w:rsidRPr="001F670F">
        <w:rPr>
          <w:rFonts w:ascii="Times New Roman" w:hAnsi="Times New Roman" w:cs="Times New Roman"/>
        </w:rPr>
        <w:t>Regarding generalizability, the findings of the study may be limited in their applicability to other contexts due to the specific characteristics of the sample and the nature of the intervention. While the study provides valuable insights into the experiences of a select group of pupils, further research with larger and more diverse samples is needed to establish the broader applicability of the findings.</w:t>
      </w:r>
    </w:p>
    <w:p w14:paraId="0587C40D" w14:textId="77777777" w:rsidR="00814D7E" w:rsidRPr="001F670F" w:rsidRDefault="00814D7E" w:rsidP="00321020">
      <w:pPr>
        <w:spacing w:line="360" w:lineRule="auto"/>
        <w:rPr>
          <w:rFonts w:ascii="Times New Roman" w:hAnsi="Times New Roman" w:cs="Times New Roman"/>
        </w:rPr>
      </w:pPr>
    </w:p>
    <w:p w14:paraId="4478CC1D" w14:textId="78212600" w:rsidR="00814D7E" w:rsidRPr="001F670F" w:rsidRDefault="00814D7E" w:rsidP="00321020">
      <w:pPr>
        <w:spacing w:line="360" w:lineRule="auto"/>
        <w:rPr>
          <w:rFonts w:ascii="Times New Roman" w:hAnsi="Times New Roman" w:cs="Times New Roman"/>
        </w:rPr>
      </w:pPr>
      <w:proofErr w:type="gramStart"/>
      <w:r w:rsidRPr="001F670F">
        <w:rPr>
          <w:rFonts w:ascii="Times New Roman" w:hAnsi="Times New Roman" w:cs="Times New Roman"/>
        </w:rPr>
        <w:t>Looking to the future, there</w:t>
      </w:r>
      <w:proofErr w:type="gramEnd"/>
      <w:r w:rsidRPr="001F670F">
        <w:rPr>
          <w:rFonts w:ascii="Times New Roman" w:hAnsi="Times New Roman" w:cs="Times New Roman"/>
        </w:rPr>
        <w:t xml:space="preserve"> is </w:t>
      </w:r>
      <w:r w:rsidR="00A572F7" w:rsidRPr="001F670F">
        <w:rPr>
          <w:rFonts w:ascii="Times New Roman" w:hAnsi="Times New Roman" w:cs="Times New Roman"/>
        </w:rPr>
        <w:t xml:space="preserve">an </w:t>
      </w:r>
      <w:r w:rsidRPr="001F670F">
        <w:rPr>
          <w:rFonts w:ascii="Times New Roman" w:hAnsi="Times New Roman" w:cs="Times New Roman"/>
        </w:rPr>
        <w:t>opportunity to build upon the findings of this research and inform further research and practice. One potential avenue for future research is to explore the effectiveness of varied mindfulness techniques and interventions in promoting student engagement and well-being. Additionally, further investigation into the role of teacher training and professional development in delivering mindfulness practices within educational settings could yield valuable insights.</w:t>
      </w:r>
    </w:p>
    <w:p w14:paraId="693B4083" w14:textId="77777777" w:rsidR="00814D7E" w:rsidRPr="001F670F" w:rsidRDefault="00814D7E" w:rsidP="00321020">
      <w:pPr>
        <w:spacing w:line="360" w:lineRule="auto"/>
        <w:rPr>
          <w:rFonts w:ascii="Times New Roman" w:hAnsi="Times New Roman" w:cs="Times New Roman"/>
        </w:rPr>
      </w:pPr>
    </w:p>
    <w:p w14:paraId="2126C279" w14:textId="77777777" w:rsidR="00814D7E" w:rsidRPr="001F670F" w:rsidRDefault="00814D7E" w:rsidP="00321020">
      <w:pPr>
        <w:spacing w:line="360" w:lineRule="auto"/>
        <w:rPr>
          <w:rFonts w:ascii="Times New Roman" w:hAnsi="Times New Roman" w:cs="Times New Roman"/>
        </w:rPr>
      </w:pPr>
      <w:r w:rsidRPr="001F670F">
        <w:rPr>
          <w:rFonts w:ascii="Times New Roman" w:hAnsi="Times New Roman" w:cs="Times New Roman"/>
        </w:rPr>
        <w:t>In terms of professional standards, the findings of the research study can be linked to the Professional Standards for Teachers by highlighting the importance of promoting student well-being, fostering a positive learning environment, and employing evidence-based practices to support student engagement and achievement. By integrating mindfulness practices into teaching practice, educators can contribute to the holistic development of their students and uphold the highest standards of professional practice.</w:t>
      </w:r>
    </w:p>
    <w:p w14:paraId="66FF7079" w14:textId="77777777" w:rsidR="00814D7E" w:rsidRPr="001F670F" w:rsidRDefault="00814D7E" w:rsidP="00321020">
      <w:pPr>
        <w:spacing w:line="360" w:lineRule="auto"/>
        <w:rPr>
          <w:rFonts w:ascii="Times New Roman" w:hAnsi="Times New Roman" w:cs="Times New Roman"/>
        </w:rPr>
      </w:pPr>
    </w:p>
    <w:p w14:paraId="708ACDF6" w14:textId="77777777" w:rsidR="00814D7E" w:rsidRPr="001F670F" w:rsidRDefault="00814D7E" w:rsidP="00321020">
      <w:pPr>
        <w:spacing w:line="360" w:lineRule="auto"/>
        <w:rPr>
          <w:rFonts w:ascii="Times New Roman" w:hAnsi="Times New Roman" w:cs="Times New Roman"/>
        </w:rPr>
      </w:pPr>
      <w:r w:rsidRPr="001F670F">
        <w:rPr>
          <w:rFonts w:ascii="Times New Roman" w:hAnsi="Times New Roman" w:cs="Times New Roman"/>
        </w:rPr>
        <w:t xml:space="preserve">Recommendations stemming from the research findings include the introduction of varied mindfulness techniques and the potential for teacher training to become a certified mindfulness practitioner. By expanding the repertoire of mindfulness practices and enhancing teachers' capacity to </w:t>
      </w:r>
      <w:r w:rsidRPr="001F670F">
        <w:rPr>
          <w:rFonts w:ascii="Times New Roman" w:hAnsi="Times New Roman" w:cs="Times New Roman"/>
        </w:rPr>
        <w:lastRenderedPageBreak/>
        <w:t>deliver mindfulness sessions effectively, schools can better support student well-being and academic success.</w:t>
      </w:r>
    </w:p>
    <w:p w14:paraId="180C47D0" w14:textId="77777777" w:rsidR="00814D7E" w:rsidRPr="001F670F" w:rsidRDefault="00814D7E" w:rsidP="00321020">
      <w:pPr>
        <w:spacing w:line="360" w:lineRule="auto"/>
        <w:rPr>
          <w:rFonts w:ascii="Times New Roman" w:hAnsi="Times New Roman" w:cs="Times New Roman"/>
        </w:rPr>
      </w:pPr>
    </w:p>
    <w:p w14:paraId="52588CF5" w14:textId="273BE14A" w:rsidR="00814D7E" w:rsidRPr="001F670F" w:rsidRDefault="00814D7E" w:rsidP="00321020">
      <w:pPr>
        <w:spacing w:line="360" w:lineRule="auto"/>
        <w:rPr>
          <w:rFonts w:ascii="Times New Roman" w:hAnsi="Times New Roman" w:cs="Times New Roman"/>
        </w:rPr>
      </w:pPr>
      <w:r w:rsidRPr="001F670F">
        <w:rPr>
          <w:rFonts w:ascii="Times New Roman" w:hAnsi="Times New Roman" w:cs="Times New Roman"/>
        </w:rPr>
        <w:t xml:space="preserve">Moving forward, the findings of the research </w:t>
      </w:r>
      <w:r w:rsidR="00A572F7" w:rsidRPr="001F670F">
        <w:rPr>
          <w:rFonts w:ascii="Times New Roman" w:hAnsi="Times New Roman" w:cs="Times New Roman"/>
        </w:rPr>
        <w:t>may</w:t>
      </w:r>
      <w:r w:rsidRPr="001F670F">
        <w:rPr>
          <w:rFonts w:ascii="Times New Roman" w:hAnsi="Times New Roman" w:cs="Times New Roman"/>
        </w:rPr>
        <w:t xml:space="preserve"> be used to inform further research and practice in the field of mindfulness and education. By sharing the insights gained from this study and collaborating with other researchers and practitioners, educators can continue to explore innovative approaches to promoting student well-being and engagement in learning. Ultimately, by leveraging the findings of this research, schools can create environments that foster a culture of mindfulness and support the holistic development of their students.</w:t>
      </w:r>
    </w:p>
    <w:p w14:paraId="06EC52DF" w14:textId="77777777" w:rsidR="00321020" w:rsidRPr="001F670F" w:rsidRDefault="00321020" w:rsidP="00321020">
      <w:pPr>
        <w:spacing w:line="360" w:lineRule="auto"/>
        <w:rPr>
          <w:rFonts w:ascii="Times New Roman" w:hAnsi="Times New Roman" w:cs="Times New Roman"/>
        </w:rPr>
      </w:pPr>
    </w:p>
    <w:p w14:paraId="672BEEF2" w14:textId="77777777" w:rsidR="00321020" w:rsidRPr="001F670F" w:rsidRDefault="00321020" w:rsidP="00321020">
      <w:pPr>
        <w:spacing w:line="360" w:lineRule="auto"/>
        <w:rPr>
          <w:rFonts w:ascii="Times New Roman" w:hAnsi="Times New Roman" w:cs="Times New Roman"/>
        </w:rPr>
      </w:pPr>
    </w:p>
    <w:p w14:paraId="4B3AC57D" w14:textId="77777777" w:rsidR="00321020" w:rsidRPr="001F670F" w:rsidRDefault="00321020" w:rsidP="00321020">
      <w:pPr>
        <w:spacing w:line="360" w:lineRule="auto"/>
        <w:rPr>
          <w:rFonts w:ascii="Times New Roman" w:hAnsi="Times New Roman" w:cs="Times New Roman"/>
        </w:rPr>
      </w:pPr>
    </w:p>
    <w:p w14:paraId="1537B771" w14:textId="77777777" w:rsidR="00321020" w:rsidRPr="001F670F" w:rsidRDefault="00321020" w:rsidP="00321020">
      <w:pPr>
        <w:spacing w:line="360" w:lineRule="auto"/>
        <w:rPr>
          <w:rFonts w:ascii="Times New Roman" w:hAnsi="Times New Roman" w:cs="Times New Roman"/>
        </w:rPr>
      </w:pPr>
    </w:p>
    <w:p w14:paraId="3131BA0A" w14:textId="77777777" w:rsidR="00321020" w:rsidRPr="001F670F" w:rsidRDefault="00321020" w:rsidP="00321020">
      <w:pPr>
        <w:spacing w:line="360" w:lineRule="auto"/>
        <w:rPr>
          <w:rFonts w:ascii="Times New Roman" w:hAnsi="Times New Roman" w:cs="Times New Roman"/>
        </w:rPr>
      </w:pPr>
    </w:p>
    <w:p w14:paraId="2CE852A1" w14:textId="77777777" w:rsidR="00321020" w:rsidRPr="001F670F" w:rsidRDefault="00321020" w:rsidP="00321020">
      <w:pPr>
        <w:spacing w:line="360" w:lineRule="auto"/>
        <w:rPr>
          <w:rFonts w:ascii="Times New Roman" w:hAnsi="Times New Roman" w:cs="Times New Roman"/>
        </w:rPr>
      </w:pPr>
    </w:p>
    <w:p w14:paraId="69855CF6" w14:textId="77777777" w:rsidR="00321020" w:rsidRPr="001F670F" w:rsidRDefault="00321020" w:rsidP="00321020">
      <w:pPr>
        <w:spacing w:line="360" w:lineRule="auto"/>
        <w:rPr>
          <w:rFonts w:ascii="Times New Roman" w:hAnsi="Times New Roman" w:cs="Times New Roman"/>
        </w:rPr>
      </w:pPr>
    </w:p>
    <w:p w14:paraId="5392D006" w14:textId="77777777" w:rsidR="00321020" w:rsidRPr="001F670F" w:rsidRDefault="00321020" w:rsidP="00321020">
      <w:pPr>
        <w:spacing w:line="360" w:lineRule="auto"/>
        <w:rPr>
          <w:rFonts w:ascii="Times New Roman" w:hAnsi="Times New Roman" w:cs="Times New Roman"/>
        </w:rPr>
      </w:pPr>
    </w:p>
    <w:p w14:paraId="2C6FD555" w14:textId="77777777" w:rsidR="00321020" w:rsidRPr="001F670F" w:rsidRDefault="00321020" w:rsidP="00321020">
      <w:pPr>
        <w:spacing w:line="360" w:lineRule="auto"/>
        <w:rPr>
          <w:rFonts w:ascii="Times New Roman" w:hAnsi="Times New Roman" w:cs="Times New Roman"/>
        </w:rPr>
      </w:pPr>
    </w:p>
    <w:p w14:paraId="1E2626C3" w14:textId="77777777" w:rsidR="00321020" w:rsidRPr="001F670F" w:rsidRDefault="00321020" w:rsidP="00321020">
      <w:pPr>
        <w:spacing w:line="360" w:lineRule="auto"/>
        <w:rPr>
          <w:rFonts w:ascii="Times New Roman" w:hAnsi="Times New Roman" w:cs="Times New Roman"/>
        </w:rPr>
      </w:pPr>
    </w:p>
    <w:p w14:paraId="72EBEAF1" w14:textId="77777777" w:rsidR="00292631" w:rsidRDefault="00292631" w:rsidP="001F670F">
      <w:pPr>
        <w:pStyle w:val="NormalWeb"/>
        <w:spacing w:before="0" w:beforeAutospacing="0" w:after="240" w:afterAutospacing="0" w:line="360" w:lineRule="auto"/>
        <w:rPr>
          <w:u w:val="single"/>
        </w:rPr>
      </w:pPr>
    </w:p>
    <w:p w14:paraId="41A29400" w14:textId="77777777" w:rsidR="00292631" w:rsidRDefault="00292631" w:rsidP="001F670F">
      <w:pPr>
        <w:pStyle w:val="NormalWeb"/>
        <w:spacing w:before="0" w:beforeAutospacing="0" w:after="240" w:afterAutospacing="0" w:line="360" w:lineRule="auto"/>
        <w:rPr>
          <w:u w:val="single"/>
        </w:rPr>
      </w:pPr>
    </w:p>
    <w:p w14:paraId="535CAE40" w14:textId="77777777" w:rsidR="00292631" w:rsidRDefault="00292631" w:rsidP="001F670F">
      <w:pPr>
        <w:pStyle w:val="NormalWeb"/>
        <w:spacing w:before="0" w:beforeAutospacing="0" w:after="240" w:afterAutospacing="0" w:line="360" w:lineRule="auto"/>
        <w:rPr>
          <w:u w:val="single"/>
        </w:rPr>
      </w:pPr>
    </w:p>
    <w:p w14:paraId="7A883FE5" w14:textId="77777777" w:rsidR="00292631" w:rsidRDefault="00292631" w:rsidP="001F670F">
      <w:pPr>
        <w:pStyle w:val="NormalWeb"/>
        <w:spacing w:before="0" w:beforeAutospacing="0" w:after="240" w:afterAutospacing="0" w:line="360" w:lineRule="auto"/>
        <w:rPr>
          <w:u w:val="single"/>
        </w:rPr>
      </w:pPr>
    </w:p>
    <w:p w14:paraId="4A791EEC" w14:textId="77777777" w:rsidR="00292631" w:rsidRDefault="00292631" w:rsidP="001F670F">
      <w:pPr>
        <w:pStyle w:val="NormalWeb"/>
        <w:spacing w:before="0" w:beforeAutospacing="0" w:after="240" w:afterAutospacing="0" w:line="360" w:lineRule="auto"/>
        <w:rPr>
          <w:u w:val="single"/>
        </w:rPr>
      </w:pPr>
    </w:p>
    <w:p w14:paraId="6B87F121" w14:textId="77777777" w:rsidR="00292631" w:rsidRDefault="00292631" w:rsidP="001F670F">
      <w:pPr>
        <w:pStyle w:val="NormalWeb"/>
        <w:spacing w:before="0" w:beforeAutospacing="0" w:after="240" w:afterAutospacing="0" w:line="360" w:lineRule="auto"/>
        <w:rPr>
          <w:u w:val="single"/>
        </w:rPr>
      </w:pPr>
    </w:p>
    <w:p w14:paraId="33B2B209" w14:textId="77777777" w:rsidR="00292631" w:rsidRDefault="00292631" w:rsidP="001F670F">
      <w:pPr>
        <w:pStyle w:val="NormalWeb"/>
        <w:spacing w:before="0" w:beforeAutospacing="0" w:after="240" w:afterAutospacing="0" w:line="360" w:lineRule="auto"/>
        <w:rPr>
          <w:u w:val="single"/>
        </w:rPr>
      </w:pPr>
    </w:p>
    <w:p w14:paraId="7C117417" w14:textId="15D05500" w:rsidR="001F670F" w:rsidRPr="00C468A7" w:rsidRDefault="001F670F" w:rsidP="001F670F">
      <w:pPr>
        <w:pStyle w:val="NormalWeb"/>
        <w:spacing w:before="0" w:beforeAutospacing="0" w:after="240" w:afterAutospacing="0" w:line="360" w:lineRule="auto"/>
        <w:rPr>
          <w:u w:val="single"/>
        </w:rPr>
      </w:pPr>
      <w:r w:rsidRPr="001F670F">
        <w:rPr>
          <w:u w:val="single"/>
        </w:rPr>
        <w:lastRenderedPageBreak/>
        <w:t>References</w:t>
      </w:r>
    </w:p>
    <w:p w14:paraId="6D20BEE6" w14:textId="03E82649" w:rsidR="001F670F" w:rsidRPr="001F670F" w:rsidRDefault="001F670F" w:rsidP="001F670F">
      <w:pPr>
        <w:pStyle w:val="NormalWeb"/>
        <w:spacing w:before="0" w:beforeAutospacing="0" w:after="240" w:afterAutospacing="0" w:line="360" w:lineRule="auto"/>
      </w:pPr>
      <w:r w:rsidRPr="001F670F">
        <w:t xml:space="preserve">BERA (2018). </w:t>
      </w:r>
      <w:r w:rsidRPr="001F670F">
        <w:rPr>
          <w:i/>
          <w:iCs/>
        </w:rPr>
        <w:t>Ethical Guidelines for Educational Research, fourth edition (2018)</w:t>
      </w:r>
      <w:r w:rsidRPr="001F670F">
        <w:t>. [online] Bera.ac.uk. Available at: https://www.bera.ac.uk/publication/ethical-guidelines-for-educational-research-2018.</w:t>
      </w:r>
    </w:p>
    <w:p w14:paraId="1C487452" w14:textId="77777777" w:rsidR="001F670F" w:rsidRPr="001F670F" w:rsidRDefault="001F670F" w:rsidP="001F670F">
      <w:pPr>
        <w:pStyle w:val="NormalWeb"/>
        <w:spacing w:before="0" w:beforeAutospacing="0" w:after="240" w:afterAutospacing="0" w:line="360" w:lineRule="auto"/>
      </w:pPr>
      <w:r w:rsidRPr="001F670F">
        <w:t xml:space="preserve">Berila, B. (2015). </w:t>
      </w:r>
      <w:r w:rsidRPr="001F670F">
        <w:rPr>
          <w:i/>
          <w:iCs/>
        </w:rPr>
        <w:t>Integrating Mindfulness into Anti-Oppression Pedagogy</w:t>
      </w:r>
      <w:r w:rsidRPr="001F670F">
        <w:t>. Routledge.</w:t>
      </w:r>
    </w:p>
    <w:p w14:paraId="22A31D85" w14:textId="77777777" w:rsidR="001F670F" w:rsidRPr="001F670F" w:rsidRDefault="001F670F" w:rsidP="001F670F">
      <w:pPr>
        <w:pStyle w:val="NormalWeb"/>
        <w:spacing w:before="0" w:beforeAutospacing="0" w:after="240" w:afterAutospacing="0" w:line="360" w:lineRule="auto"/>
      </w:pPr>
      <w:r w:rsidRPr="001F670F">
        <w:t xml:space="preserve">Black, D.S. and Fernando, R. (2013). Mindfulness Training and Classroom </w:t>
      </w:r>
      <w:proofErr w:type="spellStart"/>
      <w:r w:rsidRPr="001F670F">
        <w:t>Behavior</w:t>
      </w:r>
      <w:proofErr w:type="spellEnd"/>
      <w:r w:rsidRPr="001F670F">
        <w:t xml:space="preserve"> Among Lower-Income and Ethnic Minority Elementary School Children. </w:t>
      </w:r>
      <w:r w:rsidRPr="001F670F">
        <w:rPr>
          <w:i/>
          <w:iCs/>
        </w:rPr>
        <w:t>Journal of Child and Family Studies</w:t>
      </w:r>
      <w:r w:rsidRPr="001F670F">
        <w:t xml:space="preserve">, 23(7), pp.1242–1246. </w:t>
      </w:r>
      <w:proofErr w:type="spellStart"/>
      <w:proofErr w:type="gramStart"/>
      <w:r w:rsidRPr="001F670F">
        <w:t>doi:https</w:t>
      </w:r>
      <w:proofErr w:type="spellEnd"/>
      <w:r w:rsidRPr="001F670F">
        <w:t>://doi.org/10.1007/s10826-013-9784-4</w:t>
      </w:r>
      <w:proofErr w:type="gramEnd"/>
      <w:r w:rsidRPr="001F670F">
        <w:t>.</w:t>
      </w:r>
    </w:p>
    <w:p w14:paraId="66B045D7" w14:textId="77777777" w:rsidR="001F670F" w:rsidRPr="001F670F" w:rsidRDefault="001F670F" w:rsidP="001F670F">
      <w:pPr>
        <w:pStyle w:val="NormalWeb"/>
        <w:spacing w:before="0" w:beforeAutospacing="0" w:after="240" w:afterAutospacing="0" w:line="360" w:lineRule="auto"/>
      </w:pPr>
      <w:r w:rsidRPr="001F670F">
        <w:t xml:space="preserve">Bryman, A. (2016). </w:t>
      </w:r>
      <w:r w:rsidRPr="001F670F">
        <w:rPr>
          <w:i/>
          <w:iCs/>
        </w:rPr>
        <w:t>Social Research Methods</w:t>
      </w:r>
      <w:r w:rsidRPr="001F670F">
        <w:t>. 5th ed. [online] Oxford: Oxford University Press. Available at: https://ktpu.kpi.ua/wp-content/uploads/2014/02/social-research-methods-alan-bryman.pdf.</w:t>
      </w:r>
    </w:p>
    <w:p w14:paraId="137430BC" w14:textId="77777777" w:rsidR="001F670F" w:rsidRPr="001F670F" w:rsidRDefault="001F670F" w:rsidP="001F670F">
      <w:pPr>
        <w:pStyle w:val="NormalWeb"/>
        <w:spacing w:before="0" w:beforeAutospacing="0" w:after="240" w:afterAutospacing="0" w:line="360" w:lineRule="auto"/>
      </w:pPr>
      <w:r w:rsidRPr="001F670F">
        <w:t xml:space="preserve">Catherine Kohler </w:t>
      </w:r>
      <w:proofErr w:type="spellStart"/>
      <w:r w:rsidRPr="001F670F">
        <w:t>Riessman</w:t>
      </w:r>
      <w:proofErr w:type="spellEnd"/>
      <w:r w:rsidRPr="001F670F">
        <w:t xml:space="preserve"> (2008). </w:t>
      </w:r>
      <w:r w:rsidRPr="001F670F">
        <w:rPr>
          <w:i/>
          <w:iCs/>
        </w:rPr>
        <w:t>Narrative methods for the human sciences</w:t>
      </w:r>
      <w:r w:rsidRPr="001F670F">
        <w:t>. Los Angeles, Calif.: Sage.</w:t>
      </w:r>
    </w:p>
    <w:p w14:paraId="6B7E57CA" w14:textId="77777777" w:rsidR="001F670F" w:rsidRPr="001F670F" w:rsidRDefault="001F670F" w:rsidP="001F670F">
      <w:pPr>
        <w:pStyle w:val="NormalWeb"/>
        <w:spacing w:before="0" w:beforeAutospacing="0" w:after="240" w:afterAutospacing="0" w:line="360" w:lineRule="auto"/>
      </w:pPr>
      <w:proofErr w:type="spellStart"/>
      <w:r w:rsidRPr="001F670F">
        <w:t>Clandinin</w:t>
      </w:r>
      <w:proofErr w:type="spellEnd"/>
      <w:r w:rsidRPr="001F670F">
        <w:t xml:space="preserve">, D.J. and Connelly, F.M. (2000). </w:t>
      </w:r>
      <w:r w:rsidRPr="001F670F">
        <w:rPr>
          <w:i/>
          <w:iCs/>
        </w:rPr>
        <w:t xml:space="preserve">Narrative </w:t>
      </w:r>
      <w:proofErr w:type="gramStart"/>
      <w:r w:rsidRPr="001F670F">
        <w:rPr>
          <w:i/>
          <w:iCs/>
        </w:rPr>
        <w:t>inquiry :</w:t>
      </w:r>
      <w:proofErr w:type="gramEnd"/>
      <w:r w:rsidRPr="001F670F">
        <w:rPr>
          <w:i/>
          <w:iCs/>
        </w:rPr>
        <w:t xml:space="preserve"> Experience and story in qualitative research</w:t>
      </w:r>
      <w:r w:rsidRPr="001F670F">
        <w:t>. San Francisco: Jossey-Bass Publishers.</w:t>
      </w:r>
    </w:p>
    <w:p w14:paraId="68FAC2C3" w14:textId="77777777" w:rsidR="001F670F" w:rsidRPr="001F670F" w:rsidRDefault="001F670F" w:rsidP="001F670F">
      <w:pPr>
        <w:pStyle w:val="NormalWeb"/>
        <w:spacing w:before="0" w:beforeAutospacing="0" w:after="240" w:afterAutospacing="0" w:line="360" w:lineRule="auto"/>
      </w:pPr>
      <w:r w:rsidRPr="001F670F">
        <w:t xml:space="preserve">Creswell, J.W. (1996). Research Design: Qualitative and Quantitative Approaches. </w:t>
      </w:r>
      <w:r w:rsidRPr="001F670F">
        <w:rPr>
          <w:i/>
          <w:iCs/>
        </w:rPr>
        <w:t>Journal of Marketing Research</w:t>
      </w:r>
      <w:r w:rsidRPr="001F670F">
        <w:t xml:space="preserve">, 33(2), p.252. </w:t>
      </w:r>
      <w:proofErr w:type="spellStart"/>
      <w:proofErr w:type="gramStart"/>
      <w:r w:rsidRPr="001F670F">
        <w:t>doi:https</w:t>
      </w:r>
      <w:proofErr w:type="spellEnd"/>
      <w:r w:rsidRPr="001F670F">
        <w:t>://doi.org/10.2307/3152153</w:t>
      </w:r>
      <w:proofErr w:type="gramEnd"/>
      <w:r w:rsidRPr="001F670F">
        <w:t>.</w:t>
      </w:r>
    </w:p>
    <w:p w14:paraId="770E9FB5" w14:textId="77777777" w:rsidR="001F670F" w:rsidRPr="001F670F" w:rsidRDefault="001F670F" w:rsidP="001F670F">
      <w:pPr>
        <w:pStyle w:val="NormalWeb"/>
        <w:spacing w:before="0" w:beforeAutospacing="0" w:after="240" w:afterAutospacing="0" w:line="360" w:lineRule="auto"/>
      </w:pPr>
      <w:r w:rsidRPr="001F670F">
        <w:t xml:space="preserve">Curry, L.A., Nembhard, I.M. and Bradley, E.H. (2017). Qualitative and Mixed Methods Provide Unique Contributions to Outcomes Research. </w:t>
      </w:r>
      <w:r w:rsidRPr="001F670F">
        <w:rPr>
          <w:i/>
          <w:iCs/>
        </w:rPr>
        <w:t>Circulation</w:t>
      </w:r>
      <w:r w:rsidRPr="001F670F">
        <w:t>, 119(10), pp.1442–1452.</w:t>
      </w:r>
    </w:p>
    <w:p w14:paraId="0711E00A" w14:textId="77777777" w:rsidR="001F670F" w:rsidRPr="001F670F" w:rsidRDefault="001F670F" w:rsidP="001F670F">
      <w:pPr>
        <w:pStyle w:val="NormalWeb"/>
        <w:spacing w:before="0" w:beforeAutospacing="0" w:after="240" w:afterAutospacing="0" w:line="360" w:lineRule="auto"/>
      </w:pPr>
      <w:proofErr w:type="spellStart"/>
      <w:r w:rsidRPr="001F670F">
        <w:t>Dariotis</w:t>
      </w:r>
      <w:proofErr w:type="spellEnd"/>
      <w:r w:rsidRPr="001F670F">
        <w:t xml:space="preserve">, J.K., Mirabal-Beltran, R., Cluxton-Keller, F., Feagans Gould, L., Greenberg, M.T. and Mendelson, T. (2016). A QUALITATIVE EXPLORATION OF IMPLEMENTATION FACTORS IN A SCHOOL-BASED MINDFULNESS AND YOGA PROGRAM: LESSONS LEARNED FROM STUDENTS AND TEACHERS. </w:t>
      </w:r>
      <w:r w:rsidRPr="001F670F">
        <w:rPr>
          <w:i/>
          <w:iCs/>
        </w:rPr>
        <w:t>Psychology in the Schools</w:t>
      </w:r>
      <w:r w:rsidRPr="001F670F">
        <w:t xml:space="preserve">, 54(1), pp.53–69. </w:t>
      </w:r>
      <w:proofErr w:type="spellStart"/>
      <w:proofErr w:type="gramStart"/>
      <w:r w:rsidRPr="001F670F">
        <w:t>doi:https</w:t>
      </w:r>
      <w:proofErr w:type="spellEnd"/>
      <w:r w:rsidRPr="001F670F">
        <w:t>://doi.org/10.1002/pits.21979</w:t>
      </w:r>
      <w:proofErr w:type="gramEnd"/>
      <w:r w:rsidRPr="001F670F">
        <w:t>.</w:t>
      </w:r>
    </w:p>
    <w:p w14:paraId="53CC87B8" w14:textId="77777777" w:rsidR="001F670F" w:rsidRPr="001F670F" w:rsidRDefault="001F670F" w:rsidP="001F670F">
      <w:pPr>
        <w:pStyle w:val="NormalWeb"/>
        <w:spacing w:before="0" w:beforeAutospacing="0" w:after="240" w:afterAutospacing="0" w:line="360" w:lineRule="auto"/>
      </w:pPr>
      <w:r w:rsidRPr="001F670F">
        <w:t xml:space="preserve">Darke, P., Shanks, G. and Broadbent, M. (1998). Successfully completing case study research: combining rigour, </w:t>
      </w:r>
      <w:proofErr w:type="gramStart"/>
      <w:r w:rsidRPr="001F670F">
        <w:t>relevance</w:t>
      </w:r>
      <w:proofErr w:type="gramEnd"/>
      <w:r w:rsidRPr="001F670F">
        <w:t xml:space="preserve"> and pragmatism. </w:t>
      </w:r>
      <w:r w:rsidRPr="001F670F">
        <w:rPr>
          <w:i/>
          <w:iCs/>
        </w:rPr>
        <w:t>Information Systems Journal</w:t>
      </w:r>
      <w:r w:rsidRPr="001F670F">
        <w:t xml:space="preserve">, [online] 8(4), pp.273–289. </w:t>
      </w:r>
      <w:proofErr w:type="spellStart"/>
      <w:proofErr w:type="gramStart"/>
      <w:r w:rsidRPr="001F670F">
        <w:t>doi:https</w:t>
      </w:r>
      <w:proofErr w:type="spellEnd"/>
      <w:r w:rsidRPr="001F670F">
        <w:t>://doi.org/10.1046/j.1365-2575.1998.00040.x</w:t>
      </w:r>
      <w:proofErr w:type="gramEnd"/>
      <w:r w:rsidRPr="001F670F">
        <w:t>.</w:t>
      </w:r>
    </w:p>
    <w:p w14:paraId="687F7E80" w14:textId="77777777" w:rsidR="001F670F" w:rsidRPr="001F670F" w:rsidRDefault="001F670F" w:rsidP="001F670F">
      <w:pPr>
        <w:pStyle w:val="NormalWeb"/>
        <w:spacing w:before="0" w:beforeAutospacing="0" w:after="240" w:afterAutospacing="0" w:line="360" w:lineRule="auto"/>
      </w:pPr>
      <w:r w:rsidRPr="001F670F">
        <w:lastRenderedPageBreak/>
        <w:t xml:space="preserve">Durlak, J.A., Weissberg, R.P., </w:t>
      </w:r>
      <w:proofErr w:type="spellStart"/>
      <w:r w:rsidRPr="001F670F">
        <w:t>Dymnicki</w:t>
      </w:r>
      <w:proofErr w:type="spellEnd"/>
      <w:r w:rsidRPr="001F670F">
        <w:t xml:space="preserve">, A.B., Taylor, </w:t>
      </w:r>
      <w:proofErr w:type="gramStart"/>
      <w:r w:rsidRPr="001F670F">
        <w:t>R.D.</w:t>
      </w:r>
      <w:proofErr w:type="gramEnd"/>
      <w:r w:rsidRPr="001F670F">
        <w:t xml:space="preserve"> and Schellinger, K.B. (2011). The impact of enhancing students’ social and emotional learning: A meta-analysis of school-based universal interventions. </w:t>
      </w:r>
      <w:r w:rsidRPr="001F670F">
        <w:rPr>
          <w:i/>
          <w:iCs/>
        </w:rPr>
        <w:t>Child Development</w:t>
      </w:r>
      <w:r w:rsidRPr="001F670F">
        <w:t xml:space="preserve">, 82(1), pp.405–432. </w:t>
      </w:r>
      <w:proofErr w:type="spellStart"/>
      <w:proofErr w:type="gramStart"/>
      <w:r w:rsidRPr="001F670F">
        <w:t>doi:https</w:t>
      </w:r>
      <w:proofErr w:type="spellEnd"/>
      <w:r w:rsidRPr="001F670F">
        <w:t>://doi.org/10.1111/j.1467-8624.2010.01564.x</w:t>
      </w:r>
      <w:proofErr w:type="gramEnd"/>
      <w:r w:rsidRPr="001F670F">
        <w:t>.</w:t>
      </w:r>
    </w:p>
    <w:p w14:paraId="7E24DA79" w14:textId="77777777" w:rsidR="001F670F" w:rsidRPr="001F670F" w:rsidRDefault="001F670F" w:rsidP="001F670F">
      <w:pPr>
        <w:pStyle w:val="NormalWeb"/>
        <w:spacing w:before="0" w:beforeAutospacing="0" w:after="240" w:afterAutospacing="0" w:line="360" w:lineRule="auto"/>
      </w:pPr>
      <w:r w:rsidRPr="001F670F">
        <w:t xml:space="preserve">Felver, J.C., Celis-de Hoyos, C.E., </w:t>
      </w:r>
      <w:proofErr w:type="spellStart"/>
      <w:r w:rsidRPr="001F670F">
        <w:t>Tezanos</w:t>
      </w:r>
      <w:proofErr w:type="spellEnd"/>
      <w:r w:rsidRPr="001F670F">
        <w:t xml:space="preserve">, K. and Singh, N.N. (2015). A Systematic Review of Mindfulness-Based Interventions for Youth in School Settings. </w:t>
      </w:r>
      <w:r w:rsidRPr="001F670F">
        <w:rPr>
          <w:i/>
          <w:iCs/>
        </w:rPr>
        <w:t>Mindfulness</w:t>
      </w:r>
      <w:r w:rsidRPr="001F670F">
        <w:t xml:space="preserve">, [online] 7(1), pp.34–45. </w:t>
      </w:r>
      <w:proofErr w:type="spellStart"/>
      <w:proofErr w:type="gramStart"/>
      <w:r w:rsidRPr="001F670F">
        <w:t>doi:https</w:t>
      </w:r>
      <w:proofErr w:type="spellEnd"/>
      <w:r w:rsidRPr="001F670F">
        <w:t>://doi.org/10.1007/s12671-015-0389-4</w:t>
      </w:r>
      <w:proofErr w:type="gramEnd"/>
      <w:r w:rsidRPr="001F670F">
        <w:t>.</w:t>
      </w:r>
    </w:p>
    <w:p w14:paraId="66DE5C53" w14:textId="77777777" w:rsidR="001F670F" w:rsidRPr="001F670F" w:rsidRDefault="001F670F" w:rsidP="001F670F">
      <w:pPr>
        <w:pStyle w:val="NormalWeb"/>
        <w:spacing w:before="0" w:beforeAutospacing="0" w:after="240" w:afterAutospacing="0" w:line="360" w:lineRule="auto"/>
      </w:pPr>
      <w:r w:rsidRPr="001F670F">
        <w:t xml:space="preserve">Finn, </w:t>
      </w:r>
      <w:proofErr w:type="gramStart"/>
      <w:r w:rsidRPr="001F670F">
        <w:t>J.D.</w:t>
      </w:r>
      <w:proofErr w:type="gramEnd"/>
      <w:r w:rsidRPr="001F670F">
        <w:t xml:space="preserve"> and Zimmer, K.S. (2012). Student Engagement: What Is It? Why Does It Matter? </w:t>
      </w:r>
      <w:r w:rsidRPr="001F670F">
        <w:rPr>
          <w:i/>
          <w:iCs/>
        </w:rPr>
        <w:t>Handbook of Research on Student Engagement</w:t>
      </w:r>
      <w:r w:rsidRPr="001F670F">
        <w:t xml:space="preserve">, [online] pp.97–131. </w:t>
      </w:r>
      <w:proofErr w:type="spellStart"/>
      <w:proofErr w:type="gramStart"/>
      <w:r w:rsidRPr="001F670F">
        <w:t>doi:https</w:t>
      </w:r>
      <w:proofErr w:type="spellEnd"/>
      <w:r w:rsidRPr="001F670F">
        <w:t>://doi.org/10.1007/978-1-4614-2018-7_5</w:t>
      </w:r>
      <w:proofErr w:type="gramEnd"/>
      <w:r w:rsidRPr="001F670F">
        <w:t>.</w:t>
      </w:r>
    </w:p>
    <w:p w14:paraId="7B88CC77" w14:textId="77777777" w:rsidR="001F670F" w:rsidRPr="001F670F" w:rsidRDefault="001F670F" w:rsidP="001F670F">
      <w:pPr>
        <w:pStyle w:val="NormalWeb"/>
        <w:spacing w:before="0" w:beforeAutospacing="0" w:after="240" w:afterAutospacing="0" w:line="360" w:lineRule="auto"/>
      </w:pPr>
      <w:r w:rsidRPr="001F670F">
        <w:t xml:space="preserve">Fredricks, J.A., Blumenfeld, P.C. and Paris, A.H. (2004). School Engagement: Potential of the Concept, State of the Evidence. </w:t>
      </w:r>
      <w:r w:rsidRPr="001F670F">
        <w:rPr>
          <w:i/>
          <w:iCs/>
        </w:rPr>
        <w:t>Review of Educational Research</w:t>
      </w:r>
      <w:r w:rsidRPr="001F670F">
        <w:t xml:space="preserve">, [online] 74(1), pp.59–109. </w:t>
      </w:r>
      <w:proofErr w:type="spellStart"/>
      <w:proofErr w:type="gramStart"/>
      <w:r w:rsidRPr="001F670F">
        <w:t>doi:https</w:t>
      </w:r>
      <w:proofErr w:type="spellEnd"/>
      <w:r w:rsidRPr="001F670F">
        <w:t>://doi.org/10.3102/00346543074001059</w:t>
      </w:r>
      <w:proofErr w:type="gramEnd"/>
      <w:r w:rsidRPr="001F670F">
        <w:t>.</w:t>
      </w:r>
    </w:p>
    <w:p w14:paraId="4A18FC26" w14:textId="77777777" w:rsidR="001F670F" w:rsidRPr="001F670F" w:rsidRDefault="001F670F" w:rsidP="001F670F">
      <w:pPr>
        <w:pStyle w:val="NormalWeb"/>
        <w:spacing w:before="0" w:beforeAutospacing="0" w:after="240" w:afterAutospacing="0" w:line="360" w:lineRule="auto"/>
      </w:pPr>
      <w:r w:rsidRPr="001F670F">
        <w:t xml:space="preserve">Hancock, D.R. and </w:t>
      </w:r>
      <w:proofErr w:type="spellStart"/>
      <w:r w:rsidRPr="001F670F">
        <w:t>Algozzine</w:t>
      </w:r>
      <w:proofErr w:type="spellEnd"/>
      <w:r w:rsidRPr="001F670F">
        <w:t xml:space="preserve">, R. (2021). </w:t>
      </w:r>
      <w:r w:rsidRPr="001F670F">
        <w:rPr>
          <w:i/>
          <w:iCs/>
        </w:rPr>
        <w:t xml:space="preserve">Doing case study </w:t>
      </w:r>
      <w:proofErr w:type="gramStart"/>
      <w:r w:rsidRPr="001F670F">
        <w:rPr>
          <w:i/>
          <w:iCs/>
        </w:rPr>
        <w:t>research :</w:t>
      </w:r>
      <w:proofErr w:type="gramEnd"/>
      <w:r w:rsidRPr="001F670F">
        <w:rPr>
          <w:i/>
          <w:iCs/>
        </w:rPr>
        <w:t xml:space="preserve"> a practical guide for beginning researchers</w:t>
      </w:r>
      <w:r w:rsidRPr="001F670F">
        <w:t xml:space="preserve">. New </w:t>
      </w:r>
      <w:proofErr w:type="gramStart"/>
      <w:r w:rsidRPr="001F670F">
        <w:t>York ;</w:t>
      </w:r>
      <w:proofErr w:type="gramEnd"/>
      <w:r w:rsidRPr="001F670F">
        <w:t xml:space="preserve"> London: Teachers College Press.</w:t>
      </w:r>
    </w:p>
    <w:p w14:paraId="3B8E0EA7" w14:textId="77777777" w:rsidR="001F670F" w:rsidRPr="001F670F" w:rsidRDefault="001F670F" w:rsidP="001F670F">
      <w:pPr>
        <w:pStyle w:val="NormalWeb"/>
        <w:spacing w:before="0" w:beforeAutospacing="0" w:after="240" w:afterAutospacing="0" w:line="360" w:lineRule="auto"/>
      </w:pPr>
      <w:r w:rsidRPr="001F670F">
        <w:t xml:space="preserve">Harrison, H., Birks, M., Franklin, R. and Mills, J. (2017). Case Study Research: Foundations and Methodological Orientations. </w:t>
      </w:r>
      <w:r w:rsidRPr="001F670F">
        <w:rPr>
          <w:i/>
          <w:iCs/>
        </w:rPr>
        <w:t>Forum: Qualitative Social Research</w:t>
      </w:r>
      <w:r w:rsidRPr="001F670F">
        <w:t xml:space="preserve">, 18(1). </w:t>
      </w:r>
      <w:proofErr w:type="spellStart"/>
      <w:proofErr w:type="gramStart"/>
      <w:r w:rsidRPr="001F670F">
        <w:t>doi:https</w:t>
      </w:r>
      <w:proofErr w:type="spellEnd"/>
      <w:r w:rsidRPr="001F670F">
        <w:t>://doi.org/10.17169/fqs-18.1.2655</w:t>
      </w:r>
      <w:proofErr w:type="gramEnd"/>
      <w:r w:rsidRPr="001F670F">
        <w:t>.</w:t>
      </w:r>
    </w:p>
    <w:p w14:paraId="53D4F622" w14:textId="77777777" w:rsidR="001F670F" w:rsidRPr="001F670F" w:rsidRDefault="001F670F" w:rsidP="001F670F">
      <w:pPr>
        <w:pStyle w:val="NormalWeb"/>
        <w:spacing w:before="0" w:beforeAutospacing="0" w:after="240" w:afterAutospacing="0" w:line="360" w:lineRule="auto"/>
      </w:pPr>
      <w:proofErr w:type="spellStart"/>
      <w:r w:rsidRPr="001F670F">
        <w:t>Hollweck</w:t>
      </w:r>
      <w:proofErr w:type="spellEnd"/>
      <w:r w:rsidRPr="001F670F">
        <w:t xml:space="preserve">, T. (2016). Robert K. Yin. (2014). Case Study Research Design and Methods (5th ed.). Thousand Oaks, CA: Sage. 282 pages. </w:t>
      </w:r>
      <w:r w:rsidRPr="001F670F">
        <w:rPr>
          <w:i/>
          <w:iCs/>
        </w:rPr>
        <w:t>The Canadian Journal of Program Evaluation</w:t>
      </w:r>
      <w:r w:rsidRPr="001F670F">
        <w:t xml:space="preserve">, [online] 30(1). </w:t>
      </w:r>
      <w:proofErr w:type="spellStart"/>
      <w:proofErr w:type="gramStart"/>
      <w:r w:rsidRPr="001F670F">
        <w:t>doi:https</w:t>
      </w:r>
      <w:proofErr w:type="spellEnd"/>
      <w:r w:rsidRPr="001F670F">
        <w:t>://doi.org/10.3138/cjpe.30.1.108</w:t>
      </w:r>
      <w:proofErr w:type="gramEnd"/>
      <w:r w:rsidRPr="001F670F">
        <w:t>.</w:t>
      </w:r>
    </w:p>
    <w:p w14:paraId="2BF34B8C" w14:textId="77777777" w:rsidR="001F670F" w:rsidRPr="001F670F" w:rsidRDefault="001F670F" w:rsidP="001F670F">
      <w:pPr>
        <w:pStyle w:val="NormalWeb"/>
        <w:spacing w:before="0" w:beforeAutospacing="0" w:after="240" w:afterAutospacing="0" w:line="360" w:lineRule="auto"/>
      </w:pPr>
      <w:r w:rsidRPr="001F670F">
        <w:t xml:space="preserve">Jennings, </w:t>
      </w:r>
      <w:proofErr w:type="gramStart"/>
      <w:r w:rsidRPr="001F670F">
        <w:t>P.A.</w:t>
      </w:r>
      <w:proofErr w:type="gramEnd"/>
      <w:r w:rsidRPr="001F670F">
        <w:t xml:space="preserve"> and Greenberg, M.T. (2009). The Prosocial Classroom: Teacher Social and Emotional Competence in Relation to Student and Classroom Outcomes. </w:t>
      </w:r>
      <w:r w:rsidRPr="001F670F">
        <w:rPr>
          <w:i/>
          <w:iCs/>
        </w:rPr>
        <w:t>Review of Educational Research</w:t>
      </w:r>
      <w:r w:rsidRPr="001F670F">
        <w:t xml:space="preserve">, 79(1), pp.491–525. </w:t>
      </w:r>
      <w:proofErr w:type="spellStart"/>
      <w:proofErr w:type="gramStart"/>
      <w:r w:rsidRPr="001F670F">
        <w:t>doi:https</w:t>
      </w:r>
      <w:proofErr w:type="spellEnd"/>
      <w:r w:rsidRPr="001F670F">
        <w:t>://doi.org/10.3102/0034654308325693</w:t>
      </w:r>
      <w:proofErr w:type="gramEnd"/>
      <w:r w:rsidRPr="001F670F">
        <w:t>.</w:t>
      </w:r>
    </w:p>
    <w:p w14:paraId="2FA6017E" w14:textId="77777777" w:rsidR="001F670F" w:rsidRPr="001F670F" w:rsidRDefault="001F670F" w:rsidP="001F670F">
      <w:pPr>
        <w:pStyle w:val="NormalWeb"/>
        <w:spacing w:before="0" w:beforeAutospacing="0" w:after="240" w:afterAutospacing="0" w:line="360" w:lineRule="auto"/>
      </w:pPr>
      <w:r w:rsidRPr="001F670F">
        <w:t xml:space="preserve">Kabat-Zinn, J. (2003). Mindfulness-Based interventions in context: Past, present, and future. </w:t>
      </w:r>
      <w:r w:rsidRPr="001F670F">
        <w:rPr>
          <w:i/>
          <w:iCs/>
        </w:rPr>
        <w:t>Clinical Psychology: Science and Practice</w:t>
      </w:r>
      <w:r w:rsidRPr="001F670F">
        <w:t xml:space="preserve">, 10(2), pp.144–156. </w:t>
      </w:r>
      <w:proofErr w:type="spellStart"/>
      <w:proofErr w:type="gramStart"/>
      <w:r w:rsidRPr="001F670F">
        <w:t>doi:https</w:t>
      </w:r>
      <w:proofErr w:type="spellEnd"/>
      <w:r w:rsidRPr="001F670F">
        <w:t>://doi.org/10.1093/</w:t>
      </w:r>
      <w:proofErr w:type="spellStart"/>
      <w:r w:rsidRPr="001F670F">
        <w:t>clipsy</w:t>
      </w:r>
      <w:proofErr w:type="spellEnd"/>
      <w:r w:rsidRPr="001F670F">
        <w:t>/bpg016</w:t>
      </w:r>
      <w:proofErr w:type="gramEnd"/>
      <w:r w:rsidRPr="001F670F">
        <w:t>.</w:t>
      </w:r>
    </w:p>
    <w:p w14:paraId="0E940B21" w14:textId="77777777" w:rsidR="001F670F" w:rsidRPr="001F670F" w:rsidRDefault="001F670F" w:rsidP="001F670F">
      <w:pPr>
        <w:pStyle w:val="NormalWeb"/>
        <w:spacing w:before="0" w:beforeAutospacing="0" w:after="240" w:afterAutospacing="0" w:line="360" w:lineRule="auto"/>
      </w:pPr>
      <w:r w:rsidRPr="001F670F">
        <w:lastRenderedPageBreak/>
        <w:t xml:space="preserve">Kemeny, M.E., Foltz, C., Cavanagh, J.F., Cullen, M., Giese-Davis, J., Jennings, P., Rosenberg, E.L., </w:t>
      </w:r>
      <w:proofErr w:type="spellStart"/>
      <w:r w:rsidRPr="001F670F">
        <w:t>Gillath</w:t>
      </w:r>
      <w:proofErr w:type="spellEnd"/>
      <w:r w:rsidRPr="001F670F">
        <w:t xml:space="preserve">, O., Shaver, P.R., Wallace, B.A. and Ekman, P. (2012). Contemplative/emotion training reduces negative emotional </w:t>
      </w:r>
      <w:proofErr w:type="spellStart"/>
      <w:r w:rsidRPr="001F670F">
        <w:t>behavior</w:t>
      </w:r>
      <w:proofErr w:type="spellEnd"/>
      <w:r w:rsidRPr="001F670F">
        <w:t xml:space="preserve"> and promotes prosocial responses. </w:t>
      </w:r>
      <w:r w:rsidRPr="001F670F">
        <w:rPr>
          <w:i/>
          <w:iCs/>
        </w:rPr>
        <w:t>Emotion</w:t>
      </w:r>
      <w:r w:rsidRPr="001F670F">
        <w:t xml:space="preserve">, 12(2), pp.338–350. </w:t>
      </w:r>
      <w:proofErr w:type="spellStart"/>
      <w:proofErr w:type="gramStart"/>
      <w:r w:rsidRPr="001F670F">
        <w:t>doi:https</w:t>
      </w:r>
      <w:proofErr w:type="spellEnd"/>
      <w:r w:rsidRPr="001F670F">
        <w:t>://doi.org/10.1037/a0026118</w:t>
      </w:r>
      <w:proofErr w:type="gramEnd"/>
      <w:r w:rsidRPr="001F670F">
        <w:t>.</w:t>
      </w:r>
    </w:p>
    <w:p w14:paraId="607BA7FC" w14:textId="77777777" w:rsidR="001F670F" w:rsidRPr="001F670F" w:rsidRDefault="001F670F" w:rsidP="001F670F">
      <w:pPr>
        <w:pStyle w:val="NormalWeb"/>
        <w:spacing w:before="0" w:beforeAutospacing="0" w:after="240" w:afterAutospacing="0" w:line="360" w:lineRule="auto"/>
      </w:pPr>
      <w:r w:rsidRPr="001F670F">
        <w:t xml:space="preserve">Knox, </w:t>
      </w:r>
      <w:proofErr w:type="gramStart"/>
      <w:r w:rsidRPr="001F670F">
        <w:t>S.</w:t>
      </w:r>
      <w:proofErr w:type="gramEnd"/>
      <w:r w:rsidRPr="001F670F">
        <w:t xml:space="preserve"> and Burkard, A.W. (2009). Qualitative research interviews. </w:t>
      </w:r>
      <w:r w:rsidRPr="001F670F">
        <w:rPr>
          <w:i/>
          <w:iCs/>
        </w:rPr>
        <w:t>Psychotherapy Research</w:t>
      </w:r>
      <w:r w:rsidRPr="001F670F">
        <w:t xml:space="preserve">, [online] 19(4-5), pp.566–575. </w:t>
      </w:r>
      <w:proofErr w:type="spellStart"/>
      <w:proofErr w:type="gramStart"/>
      <w:r w:rsidRPr="001F670F">
        <w:t>doi:https</w:t>
      </w:r>
      <w:proofErr w:type="spellEnd"/>
      <w:r w:rsidRPr="001F670F">
        <w:t>://doi.org/10.1080/10503300802702105</w:t>
      </w:r>
      <w:proofErr w:type="gramEnd"/>
      <w:r w:rsidRPr="001F670F">
        <w:t>.</w:t>
      </w:r>
    </w:p>
    <w:p w14:paraId="02E854D4" w14:textId="77777777" w:rsidR="001F670F" w:rsidRPr="001F670F" w:rsidRDefault="001F670F" w:rsidP="001F670F">
      <w:pPr>
        <w:pStyle w:val="NormalWeb"/>
        <w:spacing w:before="0" w:beforeAutospacing="0" w:after="240" w:afterAutospacing="0" w:line="360" w:lineRule="auto"/>
      </w:pPr>
      <w:proofErr w:type="spellStart"/>
      <w:r w:rsidRPr="001F670F">
        <w:t>Kouamé</w:t>
      </w:r>
      <w:proofErr w:type="spellEnd"/>
      <w:r w:rsidRPr="001F670F">
        <w:t xml:space="preserve">, S. and Liu, F. (2020). Capturing emotions in qualitative strategic organization research. </w:t>
      </w:r>
      <w:r w:rsidRPr="001F670F">
        <w:rPr>
          <w:i/>
          <w:iCs/>
        </w:rPr>
        <w:t>Strategic Organization</w:t>
      </w:r>
      <w:r w:rsidRPr="001F670F">
        <w:t xml:space="preserve">, 19(1), p.147612702093544. </w:t>
      </w:r>
      <w:proofErr w:type="spellStart"/>
      <w:proofErr w:type="gramStart"/>
      <w:r w:rsidRPr="001F670F">
        <w:t>doi:https</w:t>
      </w:r>
      <w:proofErr w:type="spellEnd"/>
      <w:r w:rsidRPr="001F670F">
        <w:t>://doi.org/10.1177/1476127020935449</w:t>
      </w:r>
      <w:proofErr w:type="gramEnd"/>
      <w:r w:rsidRPr="001F670F">
        <w:t>.</w:t>
      </w:r>
    </w:p>
    <w:p w14:paraId="260AFA2C" w14:textId="77777777" w:rsidR="001F670F" w:rsidRPr="001F670F" w:rsidRDefault="001F670F" w:rsidP="001F670F">
      <w:pPr>
        <w:pStyle w:val="NormalWeb"/>
        <w:spacing w:before="0" w:beforeAutospacing="0" w:after="240" w:afterAutospacing="0" w:line="360" w:lineRule="auto"/>
      </w:pPr>
      <w:r w:rsidRPr="001F670F">
        <w:t xml:space="preserve">Maynard, B.R., Solis, M.R., Miller, V.L. and Brendel, K.E. (2017). Mindfulness‐based interventions for improving cognition, academic achievement, </w:t>
      </w:r>
      <w:proofErr w:type="spellStart"/>
      <w:r w:rsidRPr="001F670F">
        <w:t>behavior</w:t>
      </w:r>
      <w:proofErr w:type="spellEnd"/>
      <w:r w:rsidRPr="001F670F">
        <w:t xml:space="preserve">, and socioemotional functioning of primary and secondary school students. </w:t>
      </w:r>
      <w:r w:rsidRPr="001F670F">
        <w:rPr>
          <w:i/>
          <w:iCs/>
        </w:rPr>
        <w:t>Campbell Systematic Reviews</w:t>
      </w:r>
      <w:r w:rsidRPr="001F670F">
        <w:t xml:space="preserve">, 13(1), pp.1–144. </w:t>
      </w:r>
      <w:proofErr w:type="spellStart"/>
      <w:proofErr w:type="gramStart"/>
      <w:r w:rsidRPr="001F670F">
        <w:t>doi:https</w:t>
      </w:r>
      <w:proofErr w:type="spellEnd"/>
      <w:r w:rsidRPr="001F670F">
        <w:t>://doi.org/10.4073/csr.2017.5</w:t>
      </w:r>
      <w:proofErr w:type="gramEnd"/>
      <w:r w:rsidRPr="001F670F">
        <w:t>.</w:t>
      </w:r>
    </w:p>
    <w:p w14:paraId="0E2C2376" w14:textId="77777777" w:rsidR="001F670F" w:rsidRPr="001F670F" w:rsidRDefault="001F670F" w:rsidP="001F670F">
      <w:pPr>
        <w:pStyle w:val="NormalWeb"/>
        <w:spacing w:before="0" w:beforeAutospacing="0" w:after="240" w:afterAutospacing="0" w:line="360" w:lineRule="auto"/>
      </w:pPr>
      <w:r w:rsidRPr="001F670F">
        <w:t xml:space="preserve">Merriam, S.B. and Grenier, R.S. (2019). </w:t>
      </w:r>
      <w:r w:rsidRPr="001F670F">
        <w:rPr>
          <w:i/>
          <w:iCs/>
        </w:rPr>
        <w:t>Qualitative research in practice: Examples for discussion and analysis</w:t>
      </w:r>
      <w:r w:rsidRPr="001F670F">
        <w:t>. 2nd ed. San Francisco, CA: Jossey-Bass.</w:t>
      </w:r>
    </w:p>
    <w:p w14:paraId="4E591632" w14:textId="77777777" w:rsidR="001F670F" w:rsidRPr="001F670F" w:rsidRDefault="001F670F" w:rsidP="001F670F">
      <w:pPr>
        <w:pStyle w:val="NormalWeb"/>
        <w:spacing w:before="0" w:beforeAutospacing="0" w:after="240" w:afterAutospacing="0" w:line="360" w:lineRule="auto"/>
      </w:pPr>
      <w:r w:rsidRPr="001F670F">
        <w:t xml:space="preserve">Nowell, L.S., Norris, J.M., White, D.E. and Moules, N.J. (2017). Thematic analysis: Striving to Meet the Trustworthiness Criteria. </w:t>
      </w:r>
      <w:r w:rsidRPr="001F670F">
        <w:rPr>
          <w:i/>
          <w:iCs/>
        </w:rPr>
        <w:t>International Journal of Qualitative Methods</w:t>
      </w:r>
      <w:r w:rsidRPr="001F670F">
        <w:t xml:space="preserve">, 16(1), pp.1–13. </w:t>
      </w:r>
      <w:proofErr w:type="spellStart"/>
      <w:proofErr w:type="gramStart"/>
      <w:r w:rsidRPr="001F670F">
        <w:t>doi:https</w:t>
      </w:r>
      <w:proofErr w:type="spellEnd"/>
      <w:r w:rsidRPr="001F670F">
        <w:t>://doi.org/10.1177/1609406917733847</w:t>
      </w:r>
      <w:proofErr w:type="gramEnd"/>
      <w:r w:rsidRPr="001F670F">
        <w:t>.</w:t>
      </w:r>
    </w:p>
    <w:p w14:paraId="4AB55C12" w14:textId="77777777" w:rsidR="001F670F" w:rsidRPr="001F670F" w:rsidRDefault="001F670F" w:rsidP="001F670F">
      <w:pPr>
        <w:pStyle w:val="NormalWeb"/>
        <w:spacing w:before="0" w:beforeAutospacing="0" w:after="240" w:afterAutospacing="0" w:line="360" w:lineRule="auto"/>
      </w:pPr>
      <w:r w:rsidRPr="001F670F">
        <w:t xml:space="preserve">Qiao, H. and Schaufeli, W.B. (2010). The Convergent Validity of Four Burnout Measures in a Chinese Sample: A Confirmatory Factor-Analytic Approach. </w:t>
      </w:r>
      <w:r w:rsidRPr="001F670F">
        <w:rPr>
          <w:i/>
          <w:iCs/>
        </w:rPr>
        <w:t>Applied Psychology</w:t>
      </w:r>
      <w:r w:rsidRPr="001F670F">
        <w:t xml:space="preserve">, 60(1), pp.87–111. </w:t>
      </w:r>
      <w:proofErr w:type="spellStart"/>
      <w:proofErr w:type="gramStart"/>
      <w:r w:rsidRPr="001F670F">
        <w:t>doi:https</w:t>
      </w:r>
      <w:proofErr w:type="spellEnd"/>
      <w:r w:rsidRPr="001F670F">
        <w:t>://doi.org/10.1111/j.1464-0597.2010.00428.x</w:t>
      </w:r>
      <w:proofErr w:type="gramEnd"/>
      <w:r w:rsidRPr="001F670F">
        <w:t>.</w:t>
      </w:r>
    </w:p>
    <w:p w14:paraId="2A9A0B90" w14:textId="77777777" w:rsidR="001F670F" w:rsidRPr="001F670F" w:rsidRDefault="001F670F" w:rsidP="001F670F">
      <w:pPr>
        <w:pStyle w:val="NormalWeb"/>
        <w:spacing w:before="0" w:beforeAutospacing="0" w:after="240" w:afterAutospacing="0" w:line="360" w:lineRule="auto"/>
      </w:pPr>
      <w:r w:rsidRPr="001F670F">
        <w:t xml:space="preserve">Reschly, A.L., Huebner, E.S., Appleton, J.J. and Antaramian, S. (2008). Engagement as flourishing: The contribution of positive emotions and coping to adolescents’ engagement at school and with learning. </w:t>
      </w:r>
      <w:r w:rsidRPr="001F670F">
        <w:rPr>
          <w:i/>
          <w:iCs/>
        </w:rPr>
        <w:t>Psychology in the Schools</w:t>
      </w:r>
      <w:r w:rsidRPr="001F670F">
        <w:t xml:space="preserve">, 45(5), pp.419–431. </w:t>
      </w:r>
      <w:proofErr w:type="spellStart"/>
      <w:proofErr w:type="gramStart"/>
      <w:r w:rsidRPr="001F670F">
        <w:t>doi:https</w:t>
      </w:r>
      <w:proofErr w:type="spellEnd"/>
      <w:r w:rsidRPr="001F670F">
        <w:t>://doi.org/10.1002/pits.20306</w:t>
      </w:r>
      <w:proofErr w:type="gramEnd"/>
      <w:r w:rsidRPr="001F670F">
        <w:t>.</w:t>
      </w:r>
    </w:p>
    <w:p w14:paraId="72BA51CD" w14:textId="77777777" w:rsidR="001F670F" w:rsidRPr="001F670F" w:rsidRDefault="001F670F" w:rsidP="001F670F">
      <w:pPr>
        <w:pStyle w:val="NormalWeb"/>
        <w:spacing w:before="0" w:beforeAutospacing="0" w:after="240" w:afterAutospacing="0" w:line="360" w:lineRule="auto"/>
      </w:pPr>
      <w:r w:rsidRPr="001F670F">
        <w:t xml:space="preserve">Roeser, R.W., Skinner, E., Beers, J. and Jennings, P.A. (2012). Mindfulness Training and Teachers’ Professional Development: An Emerging Area of Research and Practice. </w:t>
      </w:r>
      <w:r w:rsidRPr="001F670F">
        <w:rPr>
          <w:i/>
          <w:iCs/>
        </w:rPr>
        <w:t>Child Development Perspectives</w:t>
      </w:r>
      <w:r w:rsidRPr="001F670F">
        <w:t xml:space="preserve">, [online] 6(2), pp.167–173. </w:t>
      </w:r>
      <w:proofErr w:type="spellStart"/>
      <w:proofErr w:type="gramStart"/>
      <w:r w:rsidRPr="001F670F">
        <w:t>doi:https</w:t>
      </w:r>
      <w:proofErr w:type="spellEnd"/>
      <w:r w:rsidRPr="001F670F">
        <w:t>://doi.org/10.1111/j.1750-8606.2012.00238.x</w:t>
      </w:r>
      <w:proofErr w:type="gramEnd"/>
      <w:r w:rsidRPr="001F670F">
        <w:t>.</w:t>
      </w:r>
    </w:p>
    <w:p w14:paraId="70E1120B" w14:textId="77777777" w:rsidR="001F670F" w:rsidRPr="001F670F" w:rsidRDefault="001F670F" w:rsidP="001F670F">
      <w:pPr>
        <w:pStyle w:val="NormalWeb"/>
        <w:spacing w:before="0" w:beforeAutospacing="0" w:after="240" w:afterAutospacing="0" w:line="360" w:lineRule="auto"/>
      </w:pPr>
      <w:r w:rsidRPr="001F670F">
        <w:lastRenderedPageBreak/>
        <w:t xml:space="preserve">Shenton, A.K. (2004). Strategies for Ensuring Trustworthiness in Qualitative Research Projects. </w:t>
      </w:r>
      <w:r w:rsidRPr="001F670F">
        <w:rPr>
          <w:i/>
          <w:iCs/>
        </w:rPr>
        <w:t>Education for Information</w:t>
      </w:r>
      <w:r w:rsidRPr="001F670F">
        <w:t xml:space="preserve">, 22(2), pp.63–75. </w:t>
      </w:r>
      <w:proofErr w:type="spellStart"/>
      <w:proofErr w:type="gramStart"/>
      <w:r w:rsidRPr="001F670F">
        <w:t>doi:https</w:t>
      </w:r>
      <w:proofErr w:type="spellEnd"/>
      <w:r w:rsidRPr="001F670F">
        <w:t>://doi.org/10.3233/EFI-2004-22201</w:t>
      </w:r>
      <w:proofErr w:type="gramEnd"/>
      <w:r w:rsidRPr="001F670F">
        <w:t>.</w:t>
      </w:r>
    </w:p>
    <w:p w14:paraId="057E117B" w14:textId="77777777" w:rsidR="001F670F" w:rsidRPr="001F670F" w:rsidRDefault="001F670F" w:rsidP="001F670F">
      <w:pPr>
        <w:pStyle w:val="NormalWeb"/>
        <w:spacing w:before="0" w:beforeAutospacing="0" w:after="240" w:afterAutospacing="0" w:line="360" w:lineRule="auto"/>
      </w:pPr>
      <w:r w:rsidRPr="001F670F">
        <w:t xml:space="preserve">Tracy, S.K. (2019). </w:t>
      </w:r>
      <w:r w:rsidRPr="001F670F">
        <w:rPr>
          <w:i/>
          <w:iCs/>
        </w:rPr>
        <w:t>Qualitative Research Methods: Collecting Evidence, Crafting Analysis, Communicating Impact</w:t>
      </w:r>
      <w:r w:rsidRPr="001F670F">
        <w:t>. Chichester: Wiley-Blackwell.</w:t>
      </w:r>
    </w:p>
    <w:p w14:paraId="50715B4C" w14:textId="77777777" w:rsidR="001F670F" w:rsidRPr="001F670F" w:rsidRDefault="001F670F" w:rsidP="001F670F">
      <w:pPr>
        <w:pStyle w:val="NormalWeb"/>
        <w:spacing w:before="0" w:beforeAutospacing="0" w:after="240" w:afterAutospacing="0" w:line="360" w:lineRule="auto"/>
      </w:pPr>
      <w:r w:rsidRPr="001F670F">
        <w:t xml:space="preserve">Tufte, E.R. (2001). </w:t>
      </w:r>
      <w:r w:rsidRPr="001F670F">
        <w:rPr>
          <w:i/>
          <w:iCs/>
        </w:rPr>
        <w:t>Teaching Collection (Political Science / PUBLGC32) Graphical integrity</w:t>
      </w:r>
      <w:r w:rsidRPr="001F670F">
        <w:t>. Graphics Press.</w:t>
      </w:r>
    </w:p>
    <w:p w14:paraId="626346D6" w14:textId="77777777" w:rsidR="00321020" w:rsidRPr="00A572F7" w:rsidRDefault="00321020" w:rsidP="00321020">
      <w:pPr>
        <w:spacing w:line="360" w:lineRule="auto"/>
        <w:rPr>
          <w:rFonts w:ascii="Calibri" w:hAnsi="Calibri" w:cs="Calibri"/>
        </w:rPr>
      </w:pPr>
    </w:p>
    <w:sectPr w:rsidR="00321020" w:rsidRPr="00A57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01D79"/>
    <w:multiLevelType w:val="hybridMultilevel"/>
    <w:tmpl w:val="9C920178"/>
    <w:lvl w:ilvl="0" w:tplc="37BC87F0">
      <w:start w:val="7004"/>
      <w:numFmt w:val="bullet"/>
      <w:lvlText w:val=""/>
      <w:lvlJc w:val="left"/>
      <w:pPr>
        <w:ind w:left="405" w:hanging="360"/>
      </w:pPr>
      <w:rPr>
        <w:rFonts w:ascii="Wingdings" w:eastAsiaTheme="minorHAnsi" w:hAnsi="Wingding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665465E0"/>
    <w:multiLevelType w:val="hybridMultilevel"/>
    <w:tmpl w:val="12D6F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E6456E"/>
    <w:multiLevelType w:val="hybridMultilevel"/>
    <w:tmpl w:val="730E6AF0"/>
    <w:lvl w:ilvl="0" w:tplc="236E7D04">
      <w:start w:val="7004"/>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713A003F"/>
    <w:multiLevelType w:val="hybridMultilevel"/>
    <w:tmpl w:val="16E002C2"/>
    <w:lvl w:ilvl="0" w:tplc="987AFF26">
      <w:start w:val="700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8333240">
    <w:abstractNumId w:val="3"/>
  </w:num>
  <w:num w:numId="2" w16cid:durableId="1480145080">
    <w:abstractNumId w:val="0"/>
  </w:num>
  <w:num w:numId="3" w16cid:durableId="521431761">
    <w:abstractNumId w:val="2"/>
  </w:num>
  <w:num w:numId="4" w16cid:durableId="1696928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94"/>
    <w:rsid w:val="000115F4"/>
    <w:rsid w:val="00043876"/>
    <w:rsid w:val="00061C52"/>
    <w:rsid w:val="00062EA4"/>
    <w:rsid w:val="00071A93"/>
    <w:rsid w:val="00075072"/>
    <w:rsid w:val="000B5E06"/>
    <w:rsid w:val="000E2D48"/>
    <w:rsid w:val="001320B9"/>
    <w:rsid w:val="00133F23"/>
    <w:rsid w:val="0016404B"/>
    <w:rsid w:val="00186C49"/>
    <w:rsid w:val="00197166"/>
    <w:rsid w:val="001A4B56"/>
    <w:rsid w:val="001A6511"/>
    <w:rsid w:val="001B3545"/>
    <w:rsid w:val="001F05A1"/>
    <w:rsid w:val="001F66BD"/>
    <w:rsid w:val="001F670F"/>
    <w:rsid w:val="00201CF7"/>
    <w:rsid w:val="00231D34"/>
    <w:rsid w:val="00234ACB"/>
    <w:rsid w:val="00292631"/>
    <w:rsid w:val="002A0AB3"/>
    <w:rsid w:val="002A3071"/>
    <w:rsid w:val="002A7301"/>
    <w:rsid w:val="002C67BE"/>
    <w:rsid w:val="002D3EFE"/>
    <w:rsid w:val="00321020"/>
    <w:rsid w:val="0033730A"/>
    <w:rsid w:val="003549C8"/>
    <w:rsid w:val="003759D1"/>
    <w:rsid w:val="003936B6"/>
    <w:rsid w:val="003A1D3D"/>
    <w:rsid w:val="003A1F60"/>
    <w:rsid w:val="003B2CFB"/>
    <w:rsid w:val="003C19AC"/>
    <w:rsid w:val="003D245E"/>
    <w:rsid w:val="004336B6"/>
    <w:rsid w:val="004571EB"/>
    <w:rsid w:val="00463485"/>
    <w:rsid w:val="0048768F"/>
    <w:rsid w:val="004C3255"/>
    <w:rsid w:val="004D1539"/>
    <w:rsid w:val="004E3CA2"/>
    <w:rsid w:val="004E53B9"/>
    <w:rsid w:val="005250E9"/>
    <w:rsid w:val="00535CCF"/>
    <w:rsid w:val="005362CE"/>
    <w:rsid w:val="005471D1"/>
    <w:rsid w:val="00590566"/>
    <w:rsid w:val="0059380C"/>
    <w:rsid w:val="005B60EF"/>
    <w:rsid w:val="005C3694"/>
    <w:rsid w:val="005F129C"/>
    <w:rsid w:val="00606511"/>
    <w:rsid w:val="006133D5"/>
    <w:rsid w:val="0061402F"/>
    <w:rsid w:val="0067442E"/>
    <w:rsid w:val="00675ED8"/>
    <w:rsid w:val="006C2321"/>
    <w:rsid w:val="006D45B4"/>
    <w:rsid w:val="00742914"/>
    <w:rsid w:val="00753665"/>
    <w:rsid w:val="007A240B"/>
    <w:rsid w:val="007A684C"/>
    <w:rsid w:val="007B4A41"/>
    <w:rsid w:val="00814D7E"/>
    <w:rsid w:val="00815013"/>
    <w:rsid w:val="00831842"/>
    <w:rsid w:val="00844957"/>
    <w:rsid w:val="008604D9"/>
    <w:rsid w:val="00864269"/>
    <w:rsid w:val="00865595"/>
    <w:rsid w:val="00867A89"/>
    <w:rsid w:val="00880096"/>
    <w:rsid w:val="00881C44"/>
    <w:rsid w:val="0088302D"/>
    <w:rsid w:val="008969BC"/>
    <w:rsid w:val="008A1636"/>
    <w:rsid w:val="008A280F"/>
    <w:rsid w:val="008A5374"/>
    <w:rsid w:val="008B384A"/>
    <w:rsid w:val="008C4F72"/>
    <w:rsid w:val="008D734F"/>
    <w:rsid w:val="008F1FAC"/>
    <w:rsid w:val="00904D80"/>
    <w:rsid w:val="00912DAC"/>
    <w:rsid w:val="0091576B"/>
    <w:rsid w:val="00945894"/>
    <w:rsid w:val="00980609"/>
    <w:rsid w:val="00985AB6"/>
    <w:rsid w:val="009B517C"/>
    <w:rsid w:val="009C0A8B"/>
    <w:rsid w:val="009D63D1"/>
    <w:rsid w:val="00A45150"/>
    <w:rsid w:val="00A572F7"/>
    <w:rsid w:val="00A72389"/>
    <w:rsid w:val="00A742B9"/>
    <w:rsid w:val="00A846BA"/>
    <w:rsid w:val="00A97AF0"/>
    <w:rsid w:val="00AA0939"/>
    <w:rsid w:val="00AE5587"/>
    <w:rsid w:val="00AF5188"/>
    <w:rsid w:val="00B43B88"/>
    <w:rsid w:val="00B5394A"/>
    <w:rsid w:val="00B634C0"/>
    <w:rsid w:val="00B86819"/>
    <w:rsid w:val="00B95793"/>
    <w:rsid w:val="00B95D89"/>
    <w:rsid w:val="00BA61F7"/>
    <w:rsid w:val="00BD7BC4"/>
    <w:rsid w:val="00BF1AD8"/>
    <w:rsid w:val="00C356CB"/>
    <w:rsid w:val="00C468A7"/>
    <w:rsid w:val="00C6311B"/>
    <w:rsid w:val="00C7009F"/>
    <w:rsid w:val="00C82433"/>
    <w:rsid w:val="00CA3ABC"/>
    <w:rsid w:val="00CA3C44"/>
    <w:rsid w:val="00CA58F4"/>
    <w:rsid w:val="00CB7F56"/>
    <w:rsid w:val="00CE79BB"/>
    <w:rsid w:val="00D14701"/>
    <w:rsid w:val="00D14B98"/>
    <w:rsid w:val="00D20282"/>
    <w:rsid w:val="00D42615"/>
    <w:rsid w:val="00D43881"/>
    <w:rsid w:val="00D66A68"/>
    <w:rsid w:val="00D93265"/>
    <w:rsid w:val="00DB0390"/>
    <w:rsid w:val="00DC044C"/>
    <w:rsid w:val="00DC5EC2"/>
    <w:rsid w:val="00DD79D8"/>
    <w:rsid w:val="00DF5C3B"/>
    <w:rsid w:val="00DF7E49"/>
    <w:rsid w:val="00E00E70"/>
    <w:rsid w:val="00E231E3"/>
    <w:rsid w:val="00E40306"/>
    <w:rsid w:val="00E55B80"/>
    <w:rsid w:val="00E60948"/>
    <w:rsid w:val="00E70DCF"/>
    <w:rsid w:val="00EA4538"/>
    <w:rsid w:val="00EB1788"/>
    <w:rsid w:val="00EB6561"/>
    <w:rsid w:val="00ED5A1F"/>
    <w:rsid w:val="00ED7A7B"/>
    <w:rsid w:val="00EE7585"/>
    <w:rsid w:val="00F00BF9"/>
    <w:rsid w:val="00F061EE"/>
    <w:rsid w:val="00F715BD"/>
    <w:rsid w:val="00F847A5"/>
    <w:rsid w:val="00FA331F"/>
    <w:rsid w:val="00FA73AD"/>
    <w:rsid w:val="00FB04CC"/>
    <w:rsid w:val="00FB70D6"/>
    <w:rsid w:val="00FB7BA2"/>
    <w:rsid w:val="00FF4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1F0D0"/>
  <w15:docId w15:val="{18BD472C-4F19-45A2-A30C-FD06CEC2E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694"/>
    <w:pPr>
      <w:ind w:left="720"/>
      <w:contextualSpacing/>
    </w:pPr>
  </w:style>
  <w:style w:type="paragraph" w:styleId="NormalWeb">
    <w:name w:val="Normal (Web)"/>
    <w:basedOn w:val="Normal"/>
    <w:uiPriority w:val="99"/>
    <w:semiHidden/>
    <w:unhideWhenUsed/>
    <w:rsid w:val="001F670F"/>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839801">
      <w:bodyDiv w:val="1"/>
      <w:marLeft w:val="0"/>
      <w:marRight w:val="0"/>
      <w:marTop w:val="0"/>
      <w:marBottom w:val="0"/>
      <w:divBdr>
        <w:top w:val="none" w:sz="0" w:space="0" w:color="auto"/>
        <w:left w:val="none" w:sz="0" w:space="0" w:color="auto"/>
        <w:bottom w:val="none" w:sz="0" w:space="0" w:color="auto"/>
        <w:right w:val="none" w:sz="0" w:space="0" w:color="auto"/>
      </w:divBdr>
    </w:div>
    <w:div w:id="201482403">
      <w:bodyDiv w:val="1"/>
      <w:marLeft w:val="0"/>
      <w:marRight w:val="0"/>
      <w:marTop w:val="0"/>
      <w:marBottom w:val="0"/>
      <w:divBdr>
        <w:top w:val="none" w:sz="0" w:space="0" w:color="auto"/>
        <w:left w:val="none" w:sz="0" w:space="0" w:color="auto"/>
        <w:bottom w:val="none" w:sz="0" w:space="0" w:color="auto"/>
        <w:right w:val="none" w:sz="0" w:space="0" w:color="auto"/>
      </w:divBdr>
    </w:div>
    <w:div w:id="260652809">
      <w:bodyDiv w:val="1"/>
      <w:marLeft w:val="0"/>
      <w:marRight w:val="0"/>
      <w:marTop w:val="0"/>
      <w:marBottom w:val="0"/>
      <w:divBdr>
        <w:top w:val="none" w:sz="0" w:space="0" w:color="auto"/>
        <w:left w:val="none" w:sz="0" w:space="0" w:color="auto"/>
        <w:bottom w:val="none" w:sz="0" w:space="0" w:color="auto"/>
        <w:right w:val="none" w:sz="0" w:space="0" w:color="auto"/>
      </w:divBdr>
    </w:div>
    <w:div w:id="270940988">
      <w:bodyDiv w:val="1"/>
      <w:marLeft w:val="0"/>
      <w:marRight w:val="0"/>
      <w:marTop w:val="0"/>
      <w:marBottom w:val="0"/>
      <w:divBdr>
        <w:top w:val="none" w:sz="0" w:space="0" w:color="auto"/>
        <w:left w:val="none" w:sz="0" w:space="0" w:color="auto"/>
        <w:bottom w:val="none" w:sz="0" w:space="0" w:color="auto"/>
        <w:right w:val="none" w:sz="0" w:space="0" w:color="auto"/>
      </w:divBdr>
    </w:div>
    <w:div w:id="271330082">
      <w:bodyDiv w:val="1"/>
      <w:marLeft w:val="0"/>
      <w:marRight w:val="0"/>
      <w:marTop w:val="0"/>
      <w:marBottom w:val="0"/>
      <w:divBdr>
        <w:top w:val="none" w:sz="0" w:space="0" w:color="auto"/>
        <w:left w:val="none" w:sz="0" w:space="0" w:color="auto"/>
        <w:bottom w:val="none" w:sz="0" w:space="0" w:color="auto"/>
        <w:right w:val="none" w:sz="0" w:space="0" w:color="auto"/>
      </w:divBdr>
      <w:divsChild>
        <w:div w:id="1794789329">
          <w:marLeft w:val="0"/>
          <w:marRight w:val="0"/>
          <w:marTop w:val="0"/>
          <w:marBottom w:val="0"/>
          <w:divBdr>
            <w:top w:val="single" w:sz="2" w:space="0" w:color="E3E3E3"/>
            <w:left w:val="single" w:sz="2" w:space="0" w:color="E3E3E3"/>
            <w:bottom w:val="single" w:sz="2" w:space="0" w:color="E3E3E3"/>
            <w:right w:val="single" w:sz="2" w:space="0" w:color="E3E3E3"/>
          </w:divBdr>
          <w:divsChild>
            <w:div w:id="756171266">
              <w:marLeft w:val="0"/>
              <w:marRight w:val="0"/>
              <w:marTop w:val="0"/>
              <w:marBottom w:val="0"/>
              <w:divBdr>
                <w:top w:val="single" w:sz="2" w:space="0" w:color="E3E3E3"/>
                <w:left w:val="single" w:sz="2" w:space="0" w:color="E3E3E3"/>
                <w:bottom w:val="single" w:sz="2" w:space="0" w:color="E3E3E3"/>
                <w:right w:val="single" w:sz="2" w:space="0" w:color="E3E3E3"/>
              </w:divBdr>
              <w:divsChild>
                <w:div w:id="882785919">
                  <w:marLeft w:val="0"/>
                  <w:marRight w:val="0"/>
                  <w:marTop w:val="0"/>
                  <w:marBottom w:val="0"/>
                  <w:divBdr>
                    <w:top w:val="single" w:sz="2" w:space="0" w:color="E3E3E3"/>
                    <w:left w:val="single" w:sz="2" w:space="0" w:color="E3E3E3"/>
                    <w:bottom w:val="single" w:sz="2" w:space="0" w:color="E3E3E3"/>
                    <w:right w:val="single" w:sz="2" w:space="0" w:color="E3E3E3"/>
                  </w:divBdr>
                  <w:divsChild>
                    <w:div w:id="2133550679">
                      <w:marLeft w:val="0"/>
                      <w:marRight w:val="0"/>
                      <w:marTop w:val="0"/>
                      <w:marBottom w:val="0"/>
                      <w:divBdr>
                        <w:top w:val="single" w:sz="2" w:space="0" w:color="E3E3E3"/>
                        <w:left w:val="single" w:sz="2" w:space="0" w:color="E3E3E3"/>
                        <w:bottom w:val="single" w:sz="2" w:space="0" w:color="E3E3E3"/>
                        <w:right w:val="single" w:sz="2" w:space="0" w:color="E3E3E3"/>
                      </w:divBdr>
                      <w:divsChild>
                        <w:div w:id="540021875">
                          <w:marLeft w:val="0"/>
                          <w:marRight w:val="0"/>
                          <w:marTop w:val="0"/>
                          <w:marBottom w:val="0"/>
                          <w:divBdr>
                            <w:top w:val="single" w:sz="2" w:space="0" w:color="E3E3E3"/>
                            <w:left w:val="single" w:sz="2" w:space="0" w:color="E3E3E3"/>
                            <w:bottom w:val="single" w:sz="2" w:space="0" w:color="E3E3E3"/>
                            <w:right w:val="single" w:sz="2" w:space="0" w:color="E3E3E3"/>
                          </w:divBdr>
                          <w:divsChild>
                            <w:div w:id="1643148804">
                              <w:marLeft w:val="0"/>
                              <w:marRight w:val="0"/>
                              <w:marTop w:val="0"/>
                              <w:marBottom w:val="0"/>
                              <w:divBdr>
                                <w:top w:val="single" w:sz="2" w:space="0" w:color="E3E3E3"/>
                                <w:left w:val="single" w:sz="2" w:space="0" w:color="E3E3E3"/>
                                <w:bottom w:val="single" w:sz="2" w:space="0" w:color="E3E3E3"/>
                                <w:right w:val="single" w:sz="2" w:space="0" w:color="E3E3E3"/>
                              </w:divBdr>
                              <w:divsChild>
                                <w:div w:id="216091622">
                                  <w:marLeft w:val="0"/>
                                  <w:marRight w:val="0"/>
                                  <w:marTop w:val="100"/>
                                  <w:marBottom w:val="100"/>
                                  <w:divBdr>
                                    <w:top w:val="single" w:sz="2" w:space="0" w:color="E3E3E3"/>
                                    <w:left w:val="single" w:sz="2" w:space="0" w:color="E3E3E3"/>
                                    <w:bottom w:val="single" w:sz="2" w:space="0" w:color="E3E3E3"/>
                                    <w:right w:val="single" w:sz="2" w:space="0" w:color="E3E3E3"/>
                                  </w:divBdr>
                                  <w:divsChild>
                                    <w:div w:id="885601184">
                                      <w:marLeft w:val="0"/>
                                      <w:marRight w:val="0"/>
                                      <w:marTop w:val="0"/>
                                      <w:marBottom w:val="0"/>
                                      <w:divBdr>
                                        <w:top w:val="single" w:sz="2" w:space="0" w:color="E3E3E3"/>
                                        <w:left w:val="single" w:sz="2" w:space="0" w:color="E3E3E3"/>
                                        <w:bottom w:val="single" w:sz="2" w:space="0" w:color="E3E3E3"/>
                                        <w:right w:val="single" w:sz="2" w:space="0" w:color="E3E3E3"/>
                                      </w:divBdr>
                                      <w:divsChild>
                                        <w:div w:id="1200968608">
                                          <w:marLeft w:val="0"/>
                                          <w:marRight w:val="0"/>
                                          <w:marTop w:val="0"/>
                                          <w:marBottom w:val="0"/>
                                          <w:divBdr>
                                            <w:top w:val="single" w:sz="2" w:space="0" w:color="E3E3E3"/>
                                            <w:left w:val="single" w:sz="2" w:space="0" w:color="E3E3E3"/>
                                            <w:bottom w:val="single" w:sz="2" w:space="0" w:color="E3E3E3"/>
                                            <w:right w:val="single" w:sz="2" w:space="0" w:color="E3E3E3"/>
                                          </w:divBdr>
                                          <w:divsChild>
                                            <w:div w:id="394545596">
                                              <w:marLeft w:val="0"/>
                                              <w:marRight w:val="0"/>
                                              <w:marTop w:val="0"/>
                                              <w:marBottom w:val="0"/>
                                              <w:divBdr>
                                                <w:top w:val="single" w:sz="2" w:space="0" w:color="E3E3E3"/>
                                                <w:left w:val="single" w:sz="2" w:space="0" w:color="E3E3E3"/>
                                                <w:bottom w:val="single" w:sz="2" w:space="0" w:color="E3E3E3"/>
                                                <w:right w:val="single" w:sz="2" w:space="0" w:color="E3E3E3"/>
                                              </w:divBdr>
                                              <w:divsChild>
                                                <w:div w:id="225341608">
                                                  <w:marLeft w:val="0"/>
                                                  <w:marRight w:val="0"/>
                                                  <w:marTop w:val="0"/>
                                                  <w:marBottom w:val="0"/>
                                                  <w:divBdr>
                                                    <w:top w:val="single" w:sz="2" w:space="0" w:color="E3E3E3"/>
                                                    <w:left w:val="single" w:sz="2" w:space="0" w:color="E3E3E3"/>
                                                    <w:bottom w:val="single" w:sz="2" w:space="0" w:color="E3E3E3"/>
                                                    <w:right w:val="single" w:sz="2" w:space="0" w:color="E3E3E3"/>
                                                  </w:divBdr>
                                                  <w:divsChild>
                                                    <w:div w:id="805045786">
                                                      <w:marLeft w:val="0"/>
                                                      <w:marRight w:val="0"/>
                                                      <w:marTop w:val="0"/>
                                                      <w:marBottom w:val="0"/>
                                                      <w:divBdr>
                                                        <w:top w:val="single" w:sz="2" w:space="0" w:color="E3E3E3"/>
                                                        <w:left w:val="single" w:sz="2" w:space="0" w:color="E3E3E3"/>
                                                        <w:bottom w:val="single" w:sz="2" w:space="0" w:color="E3E3E3"/>
                                                        <w:right w:val="single" w:sz="2" w:space="0" w:color="E3E3E3"/>
                                                      </w:divBdr>
                                                      <w:divsChild>
                                                        <w:div w:id="315651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56341937">
          <w:marLeft w:val="0"/>
          <w:marRight w:val="0"/>
          <w:marTop w:val="0"/>
          <w:marBottom w:val="0"/>
          <w:divBdr>
            <w:top w:val="none" w:sz="0" w:space="0" w:color="auto"/>
            <w:left w:val="none" w:sz="0" w:space="0" w:color="auto"/>
            <w:bottom w:val="none" w:sz="0" w:space="0" w:color="auto"/>
            <w:right w:val="none" w:sz="0" w:space="0" w:color="auto"/>
          </w:divBdr>
          <w:divsChild>
            <w:div w:id="1184320049">
              <w:marLeft w:val="0"/>
              <w:marRight w:val="0"/>
              <w:marTop w:val="100"/>
              <w:marBottom w:val="100"/>
              <w:divBdr>
                <w:top w:val="single" w:sz="2" w:space="0" w:color="E3E3E3"/>
                <w:left w:val="single" w:sz="2" w:space="0" w:color="E3E3E3"/>
                <w:bottom w:val="single" w:sz="2" w:space="0" w:color="E3E3E3"/>
                <w:right w:val="single" w:sz="2" w:space="0" w:color="E3E3E3"/>
              </w:divBdr>
              <w:divsChild>
                <w:div w:id="91435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71715330">
      <w:bodyDiv w:val="1"/>
      <w:marLeft w:val="0"/>
      <w:marRight w:val="0"/>
      <w:marTop w:val="0"/>
      <w:marBottom w:val="0"/>
      <w:divBdr>
        <w:top w:val="none" w:sz="0" w:space="0" w:color="auto"/>
        <w:left w:val="none" w:sz="0" w:space="0" w:color="auto"/>
        <w:bottom w:val="none" w:sz="0" w:space="0" w:color="auto"/>
        <w:right w:val="none" w:sz="0" w:space="0" w:color="auto"/>
      </w:divBdr>
      <w:divsChild>
        <w:div w:id="1059792733">
          <w:marLeft w:val="0"/>
          <w:marRight w:val="0"/>
          <w:marTop w:val="0"/>
          <w:marBottom w:val="0"/>
          <w:divBdr>
            <w:top w:val="single" w:sz="2" w:space="0" w:color="E3E3E3"/>
            <w:left w:val="single" w:sz="2" w:space="0" w:color="E3E3E3"/>
            <w:bottom w:val="single" w:sz="2" w:space="0" w:color="E3E3E3"/>
            <w:right w:val="single" w:sz="2" w:space="0" w:color="E3E3E3"/>
          </w:divBdr>
          <w:divsChild>
            <w:div w:id="122433744">
              <w:marLeft w:val="0"/>
              <w:marRight w:val="0"/>
              <w:marTop w:val="0"/>
              <w:marBottom w:val="0"/>
              <w:divBdr>
                <w:top w:val="single" w:sz="2" w:space="0" w:color="E3E3E3"/>
                <w:left w:val="single" w:sz="2" w:space="0" w:color="E3E3E3"/>
                <w:bottom w:val="single" w:sz="2" w:space="0" w:color="E3E3E3"/>
                <w:right w:val="single" w:sz="2" w:space="0" w:color="E3E3E3"/>
              </w:divBdr>
              <w:divsChild>
                <w:div w:id="688916784">
                  <w:marLeft w:val="0"/>
                  <w:marRight w:val="0"/>
                  <w:marTop w:val="0"/>
                  <w:marBottom w:val="0"/>
                  <w:divBdr>
                    <w:top w:val="single" w:sz="2" w:space="0" w:color="E3E3E3"/>
                    <w:left w:val="single" w:sz="2" w:space="0" w:color="E3E3E3"/>
                    <w:bottom w:val="single" w:sz="2" w:space="0" w:color="E3E3E3"/>
                    <w:right w:val="single" w:sz="2" w:space="0" w:color="E3E3E3"/>
                  </w:divBdr>
                  <w:divsChild>
                    <w:div w:id="1676106419">
                      <w:marLeft w:val="0"/>
                      <w:marRight w:val="0"/>
                      <w:marTop w:val="0"/>
                      <w:marBottom w:val="0"/>
                      <w:divBdr>
                        <w:top w:val="single" w:sz="2" w:space="0" w:color="E3E3E3"/>
                        <w:left w:val="single" w:sz="2" w:space="0" w:color="E3E3E3"/>
                        <w:bottom w:val="single" w:sz="2" w:space="0" w:color="E3E3E3"/>
                        <w:right w:val="single" w:sz="2" w:space="0" w:color="E3E3E3"/>
                      </w:divBdr>
                      <w:divsChild>
                        <w:div w:id="164322880">
                          <w:marLeft w:val="0"/>
                          <w:marRight w:val="0"/>
                          <w:marTop w:val="0"/>
                          <w:marBottom w:val="0"/>
                          <w:divBdr>
                            <w:top w:val="single" w:sz="2" w:space="0" w:color="E3E3E3"/>
                            <w:left w:val="single" w:sz="2" w:space="0" w:color="E3E3E3"/>
                            <w:bottom w:val="single" w:sz="2" w:space="0" w:color="E3E3E3"/>
                            <w:right w:val="single" w:sz="2" w:space="0" w:color="E3E3E3"/>
                          </w:divBdr>
                          <w:divsChild>
                            <w:div w:id="2119984155">
                              <w:marLeft w:val="0"/>
                              <w:marRight w:val="0"/>
                              <w:marTop w:val="0"/>
                              <w:marBottom w:val="0"/>
                              <w:divBdr>
                                <w:top w:val="single" w:sz="2" w:space="0" w:color="E3E3E3"/>
                                <w:left w:val="single" w:sz="2" w:space="0" w:color="E3E3E3"/>
                                <w:bottom w:val="single" w:sz="2" w:space="0" w:color="E3E3E3"/>
                                <w:right w:val="single" w:sz="2" w:space="0" w:color="E3E3E3"/>
                              </w:divBdr>
                              <w:divsChild>
                                <w:div w:id="672490566">
                                  <w:marLeft w:val="0"/>
                                  <w:marRight w:val="0"/>
                                  <w:marTop w:val="100"/>
                                  <w:marBottom w:val="100"/>
                                  <w:divBdr>
                                    <w:top w:val="single" w:sz="2" w:space="0" w:color="E3E3E3"/>
                                    <w:left w:val="single" w:sz="2" w:space="0" w:color="E3E3E3"/>
                                    <w:bottom w:val="single" w:sz="2" w:space="0" w:color="E3E3E3"/>
                                    <w:right w:val="single" w:sz="2" w:space="0" w:color="E3E3E3"/>
                                  </w:divBdr>
                                  <w:divsChild>
                                    <w:div w:id="375012040">
                                      <w:marLeft w:val="0"/>
                                      <w:marRight w:val="0"/>
                                      <w:marTop w:val="0"/>
                                      <w:marBottom w:val="0"/>
                                      <w:divBdr>
                                        <w:top w:val="single" w:sz="2" w:space="0" w:color="E3E3E3"/>
                                        <w:left w:val="single" w:sz="2" w:space="0" w:color="E3E3E3"/>
                                        <w:bottom w:val="single" w:sz="2" w:space="0" w:color="E3E3E3"/>
                                        <w:right w:val="single" w:sz="2" w:space="0" w:color="E3E3E3"/>
                                      </w:divBdr>
                                      <w:divsChild>
                                        <w:div w:id="1050501271">
                                          <w:marLeft w:val="0"/>
                                          <w:marRight w:val="0"/>
                                          <w:marTop w:val="0"/>
                                          <w:marBottom w:val="0"/>
                                          <w:divBdr>
                                            <w:top w:val="single" w:sz="2" w:space="0" w:color="E3E3E3"/>
                                            <w:left w:val="single" w:sz="2" w:space="0" w:color="E3E3E3"/>
                                            <w:bottom w:val="single" w:sz="2" w:space="0" w:color="E3E3E3"/>
                                            <w:right w:val="single" w:sz="2" w:space="0" w:color="E3E3E3"/>
                                          </w:divBdr>
                                          <w:divsChild>
                                            <w:div w:id="1854028459">
                                              <w:marLeft w:val="0"/>
                                              <w:marRight w:val="0"/>
                                              <w:marTop w:val="0"/>
                                              <w:marBottom w:val="0"/>
                                              <w:divBdr>
                                                <w:top w:val="single" w:sz="2" w:space="0" w:color="E3E3E3"/>
                                                <w:left w:val="single" w:sz="2" w:space="0" w:color="E3E3E3"/>
                                                <w:bottom w:val="single" w:sz="2" w:space="0" w:color="E3E3E3"/>
                                                <w:right w:val="single" w:sz="2" w:space="0" w:color="E3E3E3"/>
                                              </w:divBdr>
                                              <w:divsChild>
                                                <w:div w:id="1904103516">
                                                  <w:marLeft w:val="0"/>
                                                  <w:marRight w:val="0"/>
                                                  <w:marTop w:val="0"/>
                                                  <w:marBottom w:val="0"/>
                                                  <w:divBdr>
                                                    <w:top w:val="single" w:sz="2" w:space="0" w:color="E3E3E3"/>
                                                    <w:left w:val="single" w:sz="2" w:space="0" w:color="E3E3E3"/>
                                                    <w:bottom w:val="single" w:sz="2" w:space="0" w:color="E3E3E3"/>
                                                    <w:right w:val="single" w:sz="2" w:space="0" w:color="E3E3E3"/>
                                                  </w:divBdr>
                                                  <w:divsChild>
                                                    <w:div w:id="1403992815">
                                                      <w:marLeft w:val="0"/>
                                                      <w:marRight w:val="0"/>
                                                      <w:marTop w:val="0"/>
                                                      <w:marBottom w:val="0"/>
                                                      <w:divBdr>
                                                        <w:top w:val="single" w:sz="2" w:space="0" w:color="E3E3E3"/>
                                                        <w:left w:val="single" w:sz="2" w:space="0" w:color="E3E3E3"/>
                                                        <w:bottom w:val="single" w:sz="2" w:space="0" w:color="E3E3E3"/>
                                                        <w:right w:val="single" w:sz="2" w:space="0" w:color="E3E3E3"/>
                                                      </w:divBdr>
                                                      <w:divsChild>
                                                        <w:div w:id="1574587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66306609">
          <w:marLeft w:val="0"/>
          <w:marRight w:val="0"/>
          <w:marTop w:val="0"/>
          <w:marBottom w:val="0"/>
          <w:divBdr>
            <w:top w:val="none" w:sz="0" w:space="0" w:color="auto"/>
            <w:left w:val="none" w:sz="0" w:space="0" w:color="auto"/>
            <w:bottom w:val="none" w:sz="0" w:space="0" w:color="auto"/>
            <w:right w:val="none" w:sz="0" w:space="0" w:color="auto"/>
          </w:divBdr>
          <w:divsChild>
            <w:div w:id="470056011">
              <w:marLeft w:val="0"/>
              <w:marRight w:val="0"/>
              <w:marTop w:val="100"/>
              <w:marBottom w:val="100"/>
              <w:divBdr>
                <w:top w:val="single" w:sz="2" w:space="0" w:color="E3E3E3"/>
                <w:left w:val="single" w:sz="2" w:space="0" w:color="E3E3E3"/>
                <w:bottom w:val="single" w:sz="2" w:space="0" w:color="E3E3E3"/>
                <w:right w:val="single" w:sz="2" w:space="0" w:color="E3E3E3"/>
              </w:divBdr>
              <w:divsChild>
                <w:div w:id="1013189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40746129">
      <w:bodyDiv w:val="1"/>
      <w:marLeft w:val="0"/>
      <w:marRight w:val="0"/>
      <w:marTop w:val="0"/>
      <w:marBottom w:val="0"/>
      <w:divBdr>
        <w:top w:val="none" w:sz="0" w:space="0" w:color="auto"/>
        <w:left w:val="none" w:sz="0" w:space="0" w:color="auto"/>
        <w:bottom w:val="none" w:sz="0" w:space="0" w:color="auto"/>
        <w:right w:val="none" w:sz="0" w:space="0" w:color="auto"/>
      </w:divBdr>
    </w:div>
    <w:div w:id="466512568">
      <w:bodyDiv w:val="1"/>
      <w:marLeft w:val="0"/>
      <w:marRight w:val="0"/>
      <w:marTop w:val="0"/>
      <w:marBottom w:val="0"/>
      <w:divBdr>
        <w:top w:val="none" w:sz="0" w:space="0" w:color="auto"/>
        <w:left w:val="none" w:sz="0" w:space="0" w:color="auto"/>
        <w:bottom w:val="none" w:sz="0" w:space="0" w:color="auto"/>
        <w:right w:val="none" w:sz="0" w:space="0" w:color="auto"/>
      </w:divBdr>
    </w:div>
    <w:div w:id="480536522">
      <w:bodyDiv w:val="1"/>
      <w:marLeft w:val="0"/>
      <w:marRight w:val="0"/>
      <w:marTop w:val="0"/>
      <w:marBottom w:val="0"/>
      <w:divBdr>
        <w:top w:val="none" w:sz="0" w:space="0" w:color="auto"/>
        <w:left w:val="none" w:sz="0" w:space="0" w:color="auto"/>
        <w:bottom w:val="none" w:sz="0" w:space="0" w:color="auto"/>
        <w:right w:val="none" w:sz="0" w:space="0" w:color="auto"/>
      </w:divBdr>
    </w:div>
    <w:div w:id="493301927">
      <w:bodyDiv w:val="1"/>
      <w:marLeft w:val="0"/>
      <w:marRight w:val="0"/>
      <w:marTop w:val="0"/>
      <w:marBottom w:val="0"/>
      <w:divBdr>
        <w:top w:val="none" w:sz="0" w:space="0" w:color="auto"/>
        <w:left w:val="none" w:sz="0" w:space="0" w:color="auto"/>
        <w:bottom w:val="none" w:sz="0" w:space="0" w:color="auto"/>
        <w:right w:val="none" w:sz="0" w:space="0" w:color="auto"/>
      </w:divBdr>
    </w:div>
    <w:div w:id="611060782">
      <w:bodyDiv w:val="1"/>
      <w:marLeft w:val="0"/>
      <w:marRight w:val="0"/>
      <w:marTop w:val="0"/>
      <w:marBottom w:val="0"/>
      <w:divBdr>
        <w:top w:val="none" w:sz="0" w:space="0" w:color="auto"/>
        <w:left w:val="none" w:sz="0" w:space="0" w:color="auto"/>
        <w:bottom w:val="none" w:sz="0" w:space="0" w:color="auto"/>
        <w:right w:val="none" w:sz="0" w:space="0" w:color="auto"/>
      </w:divBdr>
    </w:div>
    <w:div w:id="678702304">
      <w:bodyDiv w:val="1"/>
      <w:marLeft w:val="0"/>
      <w:marRight w:val="0"/>
      <w:marTop w:val="0"/>
      <w:marBottom w:val="0"/>
      <w:divBdr>
        <w:top w:val="none" w:sz="0" w:space="0" w:color="auto"/>
        <w:left w:val="none" w:sz="0" w:space="0" w:color="auto"/>
        <w:bottom w:val="none" w:sz="0" w:space="0" w:color="auto"/>
        <w:right w:val="none" w:sz="0" w:space="0" w:color="auto"/>
      </w:divBdr>
    </w:div>
    <w:div w:id="737559707">
      <w:bodyDiv w:val="1"/>
      <w:marLeft w:val="0"/>
      <w:marRight w:val="0"/>
      <w:marTop w:val="0"/>
      <w:marBottom w:val="0"/>
      <w:divBdr>
        <w:top w:val="none" w:sz="0" w:space="0" w:color="auto"/>
        <w:left w:val="none" w:sz="0" w:space="0" w:color="auto"/>
        <w:bottom w:val="none" w:sz="0" w:space="0" w:color="auto"/>
        <w:right w:val="none" w:sz="0" w:space="0" w:color="auto"/>
      </w:divBdr>
    </w:div>
    <w:div w:id="741756437">
      <w:bodyDiv w:val="1"/>
      <w:marLeft w:val="0"/>
      <w:marRight w:val="0"/>
      <w:marTop w:val="0"/>
      <w:marBottom w:val="0"/>
      <w:divBdr>
        <w:top w:val="none" w:sz="0" w:space="0" w:color="auto"/>
        <w:left w:val="none" w:sz="0" w:space="0" w:color="auto"/>
        <w:bottom w:val="none" w:sz="0" w:space="0" w:color="auto"/>
        <w:right w:val="none" w:sz="0" w:space="0" w:color="auto"/>
      </w:divBdr>
    </w:div>
    <w:div w:id="908341538">
      <w:bodyDiv w:val="1"/>
      <w:marLeft w:val="0"/>
      <w:marRight w:val="0"/>
      <w:marTop w:val="0"/>
      <w:marBottom w:val="0"/>
      <w:divBdr>
        <w:top w:val="none" w:sz="0" w:space="0" w:color="auto"/>
        <w:left w:val="none" w:sz="0" w:space="0" w:color="auto"/>
        <w:bottom w:val="none" w:sz="0" w:space="0" w:color="auto"/>
        <w:right w:val="none" w:sz="0" w:space="0" w:color="auto"/>
      </w:divBdr>
      <w:divsChild>
        <w:div w:id="23942044">
          <w:marLeft w:val="0"/>
          <w:marRight w:val="0"/>
          <w:marTop w:val="0"/>
          <w:marBottom w:val="0"/>
          <w:divBdr>
            <w:top w:val="none" w:sz="0" w:space="0" w:color="auto"/>
            <w:left w:val="none" w:sz="0" w:space="0" w:color="auto"/>
            <w:bottom w:val="none" w:sz="0" w:space="0" w:color="auto"/>
            <w:right w:val="none" w:sz="0" w:space="0" w:color="auto"/>
          </w:divBdr>
        </w:div>
      </w:divsChild>
    </w:div>
    <w:div w:id="1081441590">
      <w:bodyDiv w:val="1"/>
      <w:marLeft w:val="0"/>
      <w:marRight w:val="0"/>
      <w:marTop w:val="0"/>
      <w:marBottom w:val="0"/>
      <w:divBdr>
        <w:top w:val="none" w:sz="0" w:space="0" w:color="auto"/>
        <w:left w:val="none" w:sz="0" w:space="0" w:color="auto"/>
        <w:bottom w:val="none" w:sz="0" w:space="0" w:color="auto"/>
        <w:right w:val="none" w:sz="0" w:space="0" w:color="auto"/>
      </w:divBdr>
    </w:div>
    <w:div w:id="1100641045">
      <w:bodyDiv w:val="1"/>
      <w:marLeft w:val="0"/>
      <w:marRight w:val="0"/>
      <w:marTop w:val="0"/>
      <w:marBottom w:val="0"/>
      <w:divBdr>
        <w:top w:val="none" w:sz="0" w:space="0" w:color="auto"/>
        <w:left w:val="none" w:sz="0" w:space="0" w:color="auto"/>
        <w:bottom w:val="none" w:sz="0" w:space="0" w:color="auto"/>
        <w:right w:val="none" w:sz="0" w:space="0" w:color="auto"/>
      </w:divBdr>
    </w:div>
    <w:div w:id="1127509759">
      <w:bodyDiv w:val="1"/>
      <w:marLeft w:val="0"/>
      <w:marRight w:val="0"/>
      <w:marTop w:val="0"/>
      <w:marBottom w:val="0"/>
      <w:divBdr>
        <w:top w:val="none" w:sz="0" w:space="0" w:color="auto"/>
        <w:left w:val="none" w:sz="0" w:space="0" w:color="auto"/>
        <w:bottom w:val="none" w:sz="0" w:space="0" w:color="auto"/>
        <w:right w:val="none" w:sz="0" w:space="0" w:color="auto"/>
      </w:divBdr>
    </w:div>
    <w:div w:id="1189368601">
      <w:bodyDiv w:val="1"/>
      <w:marLeft w:val="0"/>
      <w:marRight w:val="0"/>
      <w:marTop w:val="0"/>
      <w:marBottom w:val="0"/>
      <w:divBdr>
        <w:top w:val="none" w:sz="0" w:space="0" w:color="auto"/>
        <w:left w:val="none" w:sz="0" w:space="0" w:color="auto"/>
        <w:bottom w:val="none" w:sz="0" w:space="0" w:color="auto"/>
        <w:right w:val="none" w:sz="0" w:space="0" w:color="auto"/>
      </w:divBdr>
    </w:div>
    <w:div w:id="1191722166">
      <w:bodyDiv w:val="1"/>
      <w:marLeft w:val="0"/>
      <w:marRight w:val="0"/>
      <w:marTop w:val="0"/>
      <w:marBottom w:val="0"/>
      <w:divBdr>
        <w:top w:val="none" w:sz="0" w:space="0" w:color="auto"/>
        <w:left w:val="none" w:sz="0" w:space="0" w:color="auto"/>
        <w:bottom w:val="none" w:sz="0" w:space="0" w:color="auto"/>
        <w:right w:val="none" w:sz="0" w:space="0" w:color="auto"/>
      </w:divBdr>
    </w:div>
    <w:div w:id="1385836968">
      <w:bodyDiv w:val="1"/>
      <w:marLeft w:val="0"/>
      <w:marRight w:val="0"/>
      <w:marTop w:val="0"/>
      <w:marBottom w:val="0"/>
      <w:divBdr>
        <w:top w:val="none" w:sz="0" w:space="0" w:color="auto"/>
        <w:left w:val="none" w:sz="0" w:space="0" w:color="auto"/>
        <w:bottom w:val="none" w:sz="0" w:space="0" w:color="auto"/>
        <w:right w:val="none" w:sz="0" w:space="0" w:color="auto"/>
      </w:divBdr>
    </w:div>
    <w:div w:id="1474181541">
      <w:bodyDiv w:val="1"/>
      <w:marLeft w:val="0"/>
      <w:marRight w:val="0"/>
      <w:marTop w:val="0"/>
      <w:marBottom w:val="0"/>
      <w:divBdr>
        <w:top w:val="none" w:sz="0" w:space="0" w:color="auto"/>
        <w:left w:val="none" w:sz="0" w:space="0" w:color="auto"/>
        <w:bottom w:val="none" w:sz="0" w:space="0" w:color="auto"/>
        <w:right w:val="none" w:sz="0" w:space="0" w:color="auto"/>
      </w:divBdr>
    </w:div>
    <w:div w:id="1628200358">
      <w:bodyDiv w:val="1"/>
      <w:marLeft w:val="0"/>
      <w:marRight w:val="0"/>
      <w:marTop w:val="0"/>
      <w:marBottom w:val="0"/>
      <w:divBdr>
        <w:top w:val="none" w:sz="0" w:space="0" w:color="auto"/>
        <w:left w:val="none" w:sz="0" w:space="0" w:color="auto"/>
        <w:bottom w:val="none" w:sz="0" w:space="0" w:color="auto"/>
        <w:right w:val="none" w:sz="0" w:space="0" w:color="auto"/>
      </w:divBdr>
    </w:div>
    <w:div w:id="1737898875">
      <w:bodyDiv w:val="1"/>
      <w:marLeft w:val="0"/>
      <w:marRight w:val="0"/>
      <w:marTop w:val="0"/>
      <w:marBottom w:val="0"/>
      <w:divBdr>
        <w:top w:val="none" w:sz="0" w:space="0" w:color="auto"/>
        <w:left w:val="none" w:sz="0" w:space="0" w:color="auto"/>
        <w:bottom w:val="none" w:sz="0" w:space="0" w:color="auto"/>
        <w:right w:val="none" w:sz="0" w:space="0" w:color="auto"/>
      </w:divBdr>
      <w:divsChild>
        <w:div w:id="707221968">
          <w:marLeft w:val="0"/>
          <w:marRight w:val="0"/>
          <w:marTop w:val="0"/>
          <w:marBottom w:val="0"/>
          <w:divBdr>
            <w:top w:val="single" w:sz="2" w:space="0" w:color="E3E3E3"/>
            <w:left w:val="single" w:sz="2" w:space="0" w:color="E3E3E3"/>
            <w:bottom w:val="single" w:sz="2" w:space="0" w:color="E3E3E3"/>
            <w:right w:val="single" w:sz="2" w:space="0" w:color="E3E3E3"/>
          </w:divBdr>
          <w:divsChild>
            <w:div w:id="135535772">
              <w:marLeft w:val="0"/>
              <w:marRight w:val="0"/>
              <w:marTop w:val="0"/>
              <w:marBottom w:val="0"/>
              <w:divBdr>
                <w:top w:val="single" w:sz="2" w:space="0" w:color="E3E3E3"/>
                <w:left w:val="single" w:sz="2" w:space="0" w:color="E3E3E3"/>
                <w:bottom w:val="single" w:sz="2" w:space="0" w:color="E3E3E3"/>
                <w:right w:val="single" w:sz="2" w:space="0" w:color="E3E3E3"/>
              </w:divBdr>
              <w:divsChild>
                <w:div w:id="775249523">
                  <w:marLeft w:val="0"/>
                  <w:marRight w:val="0"/>
                  <w:marTop w:val="0"/>
                  <w:marBottom w:val="0"/>
                  <w:divBdr>
                    <w:top w:val="single" w:sz="2" w:space="0" w:color="E3E3E3"/>
                    <w:left w:val="single" w:sz="2" w:space="0" w:color="E3E3E3"/>
                    <w:bottom w:val="single" w:sz="2" w:space="0" w:color="E3E3E3"/>
                    <w:right w:val="single" w:sz="2" w:space="0" w:color="E3E3E3"/>
                  </w:divBdr>
                  <w:divsChild>
                    <w:div w:id="801725814">
                      <w:marLeft w:val="0"/>
                      <w:marRight w:val="0"/>
                      <w:marTop w:val="0"/>
                      <w:marBottom w:val="0"/>
                      <w:divBdr>
                        <w:top w:val="single" w:sz="2" w:space="0" w:color="E3E3E3"/>
                        <w:left w:val="single" w:sz="2" w:space="0" w:color="E3E3E3"/>
                        <w:bottom w:val="single" w:sz="2" w:space="0" w:color="E3E3E3"/>
                        <w:right w:val="single" w:sz="2" w:space="0" w:color="E3E3E3"/>
                      </w:divBdr>
                      <w:divsChild>
                        <w:div w:id="699012809">
                          <w:marLeft w:val="0"/>
                          <w:marRight w:val="0"/>
                          <w:marTop w:val="0"/>
                          <w:marBottom w:val="0"/>
                          <w:divBdr>
                            <w:top w:val="single" w:sz="2" w:space="0" w:color="E3E3E3"/>
                            <w:left w:val="single" w:sz="2" w:space="0" w:color="E3E3E3"/>
                            <w:bottom w:val="single" w:sz="2" w:space="0" w:color="E3E3E3"/>
                            <w:right w:val="single" w:sz="2" w:space="0" w:color="E3E3E3"/>
                          </w:divBdr>
                          <w:divsChild>
                            <w:div w:id="1500538688">
                              <w:marLeft w:val="0"/>
                              <w:marRight w:val="0"/>
                              <w:marTop w:val="0"/>
                              <w:marBottom w:val="0"/>
                              <w:divBdr>
                                <w:top w:val="single" w:sz="2" w:space="0" w:color="E3E3E3"/>
                                <w:left w:val="single" w:sz="2" w:space="0" w:color="E3E3E3"/>
                                <w:bottom w:val="single" w:sz="2" w:space="0" w:color="E3E3E3"/>
                                <w:right w:val="single" w:sz="2" w:space="0" w:color="E3E3E3"/>
                              </w:divBdr>
                              <w:divsChild>
                                <w:div w:id="1919169835">
                                  <w:marLeft w:val="0"/>
                                  <w:marRight w:val="0"/>
                                  <w:marTop w:val="100"/>
                                  <w:marBottom w:val="100"/>
                                  <w:divBdr>
                                    <w:top w:val="single" w:sz="2" w:space="0" w:color="E3E3E3"/>
                                    <w:left w:val="single" w:sz="2" w:space="0" w:color="E3E3E3"/>
                                    <w:bottom w:val="single" w:sz="2" w:space="0" w:color="E3E3E3"/>
                                    <w:right w:val="single" w:sz="2" w:space="0" w:color="E3E3E3"/>
                                  </w:divBdr>
                                  <w:divsChild>
                                    <w:div w:id="392432373">
                                      <w:marLeft w:val="0"/>
                                      <w:marRight w:val="0"/>
                                      <w:marTop w:val="0"/>
                                      <w:marBottom w:val="0"/>
                                      <w:divBdr>
                                        <w:top w:val="single" w:sz="2" w:space="0" w:color="E3E3E3"/>
                                        <w:left w:val="single" w:sz="2" w:space="0" w:color="E3E3E3"/>
                                        <w:bottom w:val="single" w:sz="2" w:space="0" w:color="E3E3E3"/>
                                        <w:right w:val="single" w:sz="2" w:space="0" w:color="E3E3E3"/>
                                      </w:divBdr>
                                      <w:divsChild>
                                        <w:div w:id="353919954">
                                          <w:marLeft w:val="0"/>
                                          <w:marRight w:val="0"/>
                                          <w:marTop w:val="0"/>
                                          <w:marBottom w:val="0"/>
                                          <w:divBdr>
                                            <w:top w:val="single" w:sz="2" w:space="0" w:color="E3E3E3"/>
                                            <w:left w:val="single" w:sz="2" w:space="0" w:color="E3E3E3"/>
                                            <w:bottom w:val="single" w:sz="2" w:space="0" w:color="E3E3E3"/>
                                            <w:right w:val="single" w:sz="2" w:space="0" w:color="E3E3E3"/>
                                          </w:divBdr>
                                          <w:divsChild>
                                            <w:div w:id="1475491381">
                                              <w:marLeft w:val="0"/>
                                              <w:marRight w:val="0"/>
                                              <w:marTop w:val="0"/>
                                              <w:marBottom w:val="0"/>
                                              <w:divBdr>
                                                <w:top w:val="single" w:sz="2" w:space="0" w:color="E3E3E3"/>
                                                <w:left w:val="single" w:sz="2" w:space="0" w:color="E3E3E3"/>
                                                <w:bottom w:val="single" w:sz="2" w:space="0" w:color="E3E3E3"/>
                                                <w:right w:val="single" w:sz="2" w:space="0" w:color="E3E3E3"/>
                                              </w:divBdr>
                                              <w:divsChild>
                                                <w:div w:id="512377549">
                                                  <w:marLeft w:val="0"/>
                                                  <w:marRight w:val="0"/>
                                                  <w:marTop w:val="0"/>
                                                  <w:marBottom w:val="0"/>
                                                  <w:divBdr>
                                                    <w:top w:val="single" w:sz="2" w:space="0" w:color="E3E3E3"/>
                                                    <w:left w:val="single" w:sz="2" w:space="0" w:color="E3E3E3"/>
                                                    <w:bottom w:val="single" w:sz="2" w:space="0" w:color="E3E3E3"/>
                                                    <w:right w:val="single" w:sz="2" w:space="0" w:color="E3E3E3"/>
                                                  </w:divBdr>
                                                  <w:divsChild>
                                                    <w:div w:id="1175262303">
                                                      <w:marLeft w:val="0"/>
                                                      <w:marRight w:val="0"/>
                                                      <w:marTop w:val="0"/>
                                                      <w:marBottom w:val="0"/>
                                                      <w:divBdr>
                                                        <w:top w:val="single" w:sz="2" w:space="0" w:color="E3E3E3"/>
                                                        <w:left w:val="single" w:sz="2" w:space="0" w:color="E3E3E3"/>
                                                        <w:bottom w:val="single" w:sz="2" w:space="0" w:color="E3E3E3"/>
                                                        <w:right w:val="single" w:sz="2" w:space="0" w:color="E3E3E3"/>
                                                      </w:divBdr>
                                                      <w:divsChild>
                                                        <w:div w:id="2087725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24698685">
          <w:marLeft w:val="0"/>
          <w:marRight w:val="0"/>
          <w:marTop w:val="0"/>
          <w:marBottom w:val="0"/>
          <w:divBdr>
            <w:top w:val="none" w:sz="0" w:space="0" w:color="auto"/>
            <w:left w:val="none" w:sz="0" w:space="0" w:color="auto"/>
            <w:bottom w:val="none" w:sz="0" w:space="0" w:color="auto"/>
            <w:right w:val="none" w:sz="0" w:space="0" w:color="auto"/>
          </w:divBdr>
          <w:divsChild>
            <w:div w:id="321739844">
              <w:marLeft w:val="0"/>
              <w:marRight w:val="0"/>
              <w:marTop w:val="100"/>
              <w:marBottom w:val="100"/>
              <w:divBdr>
                <w:top w:val="single" w:sz="2" w:space="0" w:color="E3E3E3"/>
                <w:left w:val="single" w:sz="2" w:space="0" w:color="E3E3E3"/>
                <w:bottom w:val="single" w:sz="2" w:space="0" w:color="E3E3E3"/>
                <w:right w:val="single" w:sz="2" w:space="0" w:color="E3E3E3"/>
              </w:divBdr>
              <w:divsChild>
                <w:div w:id="1935476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80030286">
      <w:bodyDiv w:val="1"/>
      <w:marLeft w:val="0"/>
      <w:marRight w:val="0"/>
      <w:marTop w:val="0"/>
      <w:marBottom w:val="0"/>
      <w:divBdr>
        <w:top w:val="none" w:sz="0" w:space="0" w:color="auto"/>
        <w:left w:val="none" w:sz="0" w:space="0" w:color="auto"/>
        <w:bottom w:val="none" w:sz="0" w:space="0" w:color="auto"/>
        <w:right w:val="none" w:sz="0" w:space="0" w:color="auto"/>
      </w:divBdr>
    </w:div>
    <w:div w:id="1813252941">
      <w:bodyDiv w:val="1"/>
      <w:marLeft w:val="0"/>
      <w:marRight w:val="0"/>
      <w:marTop w:val="0"/>
      <w:marBottom w:val="0"/>
      <w:divBdr>
        <w:top w:val="none" w:sz="0" w:space="0" w:color="auto"/>
        <w:left w:val="none" w:sz="0" w:space="0" w:color="auto"/>
        <w:bottom w:val="none" w:sz="0" w:space="0" w:color="auto"/>
        <w:right w:val="none" w:sz="0" w:space="0" w:color="auto"/>
      </w:divBdr>
    </w:div>
    <w:div w:id="1919096426">
      <w:bodyDiv w:val="1"/>
      <w:marLeft w:val="0"/>
      <w:marRight w:val="0"/>
      <w:marTop w:val="0"/>
      <w:marBottom w:val="0"/>
      <w:divBdr>
        <w:top w:val="none" w:sz="0" w:space="0" w:color="auto"/>
        <w:left w:val="none" w:sz="0" w:space="0" w:color="auto"/>
        <w:bottom w:val="none" w:sz="0" w:space="0" w:color="auto"/>
        <w:right w:val="none" w:sz="0" w:space="0" w:color="auto"/>
      </w:divBdr>
      <w:divsChild>
        <w:div w:id="1566143825">
          <w:marLeft w:val="0"/>
          <w:marRight w:val="0"/>
          <w:marTop w:val="0"/>
          <w:marBottom w:val="0"/>
          <w:divBdr>
            <w:top w:val="single" w:sz="2" w:space="0" w:color="E3E3E3"/>
            <w:left w:val="single" w:sz="2" w:space="0" w:color="E3E3E3"/>
            <w:bottom w:val="single" w:sz="2" w:space="0" w:color="E3E3E3"/>
            <w:right w:val="single" w:sz="2" w:space="0" w:color="E3E3E3"/>
          </w:divBdr>
          <w:divsChild>
            <w:div w:id="651956294">
              <w:marLeft w:val="0"/>
              <w:marRight w:val="0"/>
              <w:marTop w:val="0"/>
              <w:marBottom w:val="0"/>
              <w:divBdr>
                <w:top w:val="single" w:sz="2" w:space="0" w:color="E3E3E3"/>
                <w:left w:val="single" w:sz="2" w:space="0" w:color="E3E3E3"/>
                <w:bottom w:val="single" w:sz="2" w:space="0" w:color="E3E3E3"/>
                <w:right w:val="single" w:sz="2" w:space="0" w:color="E3E3E3"/>
              </w:divBdr>
              <w:divsChild>
                <w:div w:id="1425371398">
                  <w:marLeft w:val="0"/>
                  <w:marRight w:val="0"/>
                  <w:marTop w:val="0"/>
                  <w:marBottom w:val="0"/>
                  <w:divBdr>
                    <w:top w:val="single" w:sz="2" w:space="0" w:color="E3E3E3"/>
                    <w:left w:val="single" w:sz="2" w:space="0" w:color="E3E3E3"/>
                    <w:bottom w:val="single" w:sz="2" w:space="0" w:color="E3E3E3"/>
                    <w:right w:val="single" w:sz="2" w:space="0" w:color="E3E3E3"/>
                  </w:divBdr>
                  <w:divsChild>
                    <w:div w:id="259293025">
                      <w:marLeft w:val="0"/>
                      <w:marRight w:val="0"/>
                      <w:marTop w:val="0"/>
                      <w:marBottom w:val="0"/>
                      <w:divBdr>
                        <w:top w:val="single" w:sz="2" w:space="0" w:color="E3E3E3"/>
                        <w:left w:val="single" w:sz="2" w:space="0" w:color="E3E3E3"/>
                        <w:bottom w:val="single" w:sz="2" w:space="0" w:color="E3E3E3"/>
                        <w:right w:val="single" w:sz="2" w:space="0" w:color="E3E3E3"/>
                      </w:divBdr>
                      <w:divsChild>
                        <w:div w:id="1979533447">
                          <w:marLeft w:val="0"/>
                          <w:marRight w:val="0"/>
                          <w:marTop w:val="0"/>
                          <w:marBottom w:val="0"/>
                          <w:divBdr>
                            <w:top w:val="single" w:sz="2" w:space="0" w:color="E3E3E3"/>
                            <w:left w:val="single" w:sz="2" w:space="0" w:color="E3E3E3"/>
                            <w:bottom w:val="single" w:sz="2" w:space="0" w:color="E3E3E3"/>
                            <w:right w:val="single" w:sz="2" w:space="0" w:color="E3E3E3"/>
                          </w:divBdr>
                          <w:divsChild>
                            <w:div w:id="787041845">
                              <w:marLeft w:val="0"/>
                              <w:marRight w:val="0"/>
                              <w:marTop w:val="0"/>
                              <w:marBottom w:val="0"/>
                              <w:divBdr>
                                <w:top w:val="single" w:sz="2" w:space="0" w:color="E3E3E3"/>
                                <w:left w:val="single" w:sz="2" w:space="0" w:color="E3E3E3"/>
                                <w:bottom w:val="single" w:sz="2" w:space="0" w:color="E3E3E3"/>
                                <w:right w:val="single" w:sz="2" w:space="0" w:color="E3E3E3"/>
                              </w:divBdr>
                              <w:divsChild>
                                <w:div w:id="991638793">
                                  <w:marLeft w:val="0"/>
                                  <w:marRight w:val="0"/>
                                  <w:marTop w:val="100"/>
                                  <w:marBottom w:val="100"/>
                                  <w:divBdr>
                                    <w:top w:val="single" w:sz="2" w:space="0" w:color="E3E3E3"/>
                                    <w:left w:val="single" w:sz="2" w:space="0" w:color="E3E3E3"/>
                                    <w:bottom w:val="single" w:sz="2" w:space="0" w:color="E3E3E3"/>
                                    <w:right w:val="single" w:sz="2" w:space="0" w:color="E3E3E3"/>
                                  </w:divBdr>
                                  <w:divsChild>
                                    <w:div w:id="337930062">
                                      <w:marLeft w:val="0"/>
                                      <w:marRight w:val="0"/>
                                      <w:marTop w:val="0"/>
                                      <w:marBottom w:val="0"/>
                                      <w:divBdr>
                                        <w:top w:val="single" w:sz="2" w:space="0" w:color="E3E3E3"/>
                                        <w:left w:val="single" w:sz="2" w:space="0" w:color="E3E3E3"/>
                                        <w:bottom w:val="single" w:sz="2" w:space="0" w:color="E3E3E3"/>
                                        <w:right w:val="single" w:sz="2" w:space="0" w:color="E3E3E3"/>
                                      </w:divBdr>
                                      <w:divsChild>
                                        <w:div w:id="343283420">
                                          <w:marLeft w:val="0"/>
                                          <w:marRight w:val="0"/>
                                          <w:marTop w:val="0"/>
                                          <w:marBottom w:val="0"/>
                                          <w:divBdr>
                                            <w:top w:val="single" w:sz="2" w:space="0" w:color="E3E3E3"/>
                                            <w:left w:val="single" w:sz="2" w:space="0" w:color="E3E3E3"/>
                                            <w:bottom w:val="single" w:sz="2" w:space="0" w:color="E3E3E3"/>
                                            <w:right w:val="single" w:sz="2" w:space="0" w:color="E3E3E3"/>
                                          </w:divBdr>
                                          <w:divsChild>
                                            <w:div w:id="786654759">
                                              <w:marLeft w:val="0"/>
                                              <w:marRight w:val="0"/>
                                              <w:marTop w:val="0"/>
                                              <w:marBottom w:val="0"/>
                                              <w:divBdr>
                                                <w:top w:val="single" w:sz="2" w:space="0" w:color="E3E3E3"/>
                                                <w:left w:val="single" w:sz="2" w:space="0" w:color="E3E3E3"/>
                                                <w:bottom w:val="single" w:sz="2" w:space="0" w:color="E3E3E3"/>
                                                <w:right w:val="single" w:sz="2" w:space="0" w:color="E3E3E3"/>
                                              </w:divBdr>
                                              <w:divsChild>
                                                <w:div w:id="369456985">
                                                  <w:marLeft w:val="0"/>
                                                  <w:marRight w:val="0"/>
                                                  <w:marTop w:val="0"/>
                                                  <w:marBottom w:val="0"/>
                                                  <w:divBdr>
                                                    <w:top w:val="single" w:sz="2" w:space="0" w:color="E3E3E3"/>
                                                    <w:left w:val="single" w:sz="2" w:space="0" w:color="E3E3E3"/>
                                                    <w:bottom w:val="single" w:sz="2" w:space="0" w:color="E3E3E3"/>
                                                    <w:right w:val="single" w:sz="2" w:space="0" w:color="E3E3E3"/>
                                                  </w:divBdr>
                                                  <w:divsChild>
                                                    <w:div w:id="1823348408">
                                                      <w:marLeft w:val="0"/>
                                                      <w:marRight w:val="0"/>
                                                      <w:marTop w:val="0"/>
                                                      <w:marBottom w:val="0"/>
                                                      <w:divBdr>
                                                        <w:top w:val="single" w:sz="2" w:space="0" w:color="E3E3E3"/>
                                                        <w:left w:val="single" w:sz="2" w:space="0" w:color="E3E3E3"/>
                                                        <w:bottom w:val="single" w:sz="2" w:space="0" w:color="E3E3E3"/>
                                                        <w:right w:val="single" w:sz="2" w:space="0" w:color="E3E3E3"/>
                                                      </w:divBdr>
                                                      <w:divsChild>
                                                        <w:div w:id="2819653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36817764">
          <w:marLeft w:val="0"/>
          <w:marRight w:val="0"/>
          <w:marTop w:val="0"/>
          <w:marBottom w:val="0"/>
          <w:divBdr>
            <w:top w:val="none" w:sz="0" w:space="0" w:color="auto"/>
            <w:left w:val="none" w:sz="0" w:space="0" w:color="auto"/>
            <w:bottom w:val="none" w:sz="0" w:space="0" w:color="auto"/>
            <w:right w:val="none" w:sz="0" w:space="0" w:color="auto"/>
          </w:divBdr>
          <w:divsChild>
            <w:div w:id="328950421">
              <w:marLeft w:val="0"/>
              <w:marRight w:val="0"/>
              <w:marTop w:val="100"/>
              <w:marBottom w:val="100"/>
              <w:divBdr>
                <w:top w:val="single" w:sz="2" w:space="0" w:color="E3E3E3"/>
                <w:left w:val="single" w:sz="2" w:space="0" w:color="E3E3E3"/>
                <w:bottom w:val="single" w:sz="2" w:space="0" w:color="E3E3E3"/>
                <w:right w:val="single" w:sz="2" w:space="0" w:color="E3E3E3"/>
              </w:divBdr>
              <w:divsChild>
                <w:div w:id="7367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89090527">
      <w:bodyDiv w:val="1"/>
      <w:marLeft w:val="0"/>
      <w:marRight w:val="0"/>
      <w:marTop w:val="0"/>
      <w:marBottom w:val="0"/>
      <w:divBdr>
        <w:top w:val="none" w:sz="0" w:space="0" w:color="auto"/>
        <w:left w:val="none" w:sz="0" w:space="0" w:color="auto"/>
        <w:bottom w:val="none" w:sz="0" w:space="0" w:color="auto"/>
        <w:right w:val="none" w:sz="0" w:space="0" w:color="auto"/>
      </w:divBdr>
    </w:div>
    <w:div w:id="2025160159">
      <w:bodyDiv w:val="1"/>
      <w:marLeft w:val="0"/>
      <w:marRight w:val="0"/>
      <w:marTop w:val="0"/>
      <w:marBottom w:val="0"/>
      <w:divBdr>
        <w:top w:val="none" w:sz="0" w:space="0" w:color="auto"/>
        <w:left w:val="none" w:sz="0" w:space="0" w:color="auto"/>
        <w:bottom w:val="none" w:sz="0" w:space="0" w:color="auto"/>
        <w:right w:val="none" w:sz="0" w:space="0" w:color="auto"/>
      </w:divBdr>
    </w:div>
    <w:div w:id="2025477378">
      <w:bodyDiv w:val="1"/>
      <w:marLeft w:val="0"/>
      <w:marRight w:val="0"/>
      <w:marTop w:val="0"/>
      <w:marBottom w:val="0"/>
      <w:divBdr>
        <w:top w:val="none" w:sz="0" w:space="0" w:color="auto"/>
        <w:left w:val="none" w:sz="0" w:space="0" w:color="auto"/>
        <w:bottom w:val="none" w:sz="0" w:space="0" w:color="auto"/>
        <w:right w:val="none" w:sz="0" w:space="0" w:color="auto"/>
      </w:divBdr>
      <w:divsChild>
        <w:div w:id="1732533215">
          <w:marLeft w:val="0"/>
          <w:marRight w:val="0"/>
          <w:marTop w:val="0"/>
          <w:marBottom w:val="0"/>
          <w:divBdr>
            <w:top w:val="single" w:sz="2" w:space="0" w:color="E3E3E3"/>
            <w:left w:val="single" w:sz="2" w:space="0" w:color="E3E3E3"/>
            <w:bottom w:val="single" w:sz="2" w:space="0" w:color="E3E3E3"/>
            <w:right w:val="single" w:sz="2" w:space="0" w:color="E3E3E3"/>
          </w:divBdr>
          <w:divsChild>
            <w:div w:id="1719624183">
              <w:marLeft w:val="0"/>
              <w:marRight w:val="0"/>
              <w:marTop w:val="0"/>
              <w:marBottom w:val="0"/>
              <w:divBdr>
                <w:top w:val="single" w:sz="2" w:space="0" w:color="E3E3E3"/>
                <w:left w:val="single" w:sz="2" w:space="0" w:color="E3E3E3"/>
                <w:bottom w:val="single" w:sz="2" w:space="0" w:color="E3E3E3"/>
                <w:right w:val="single" w:sz="2" w:space="0" w:color="E3E3E3"/>
              </w:divBdr>
              <w:divsChild>
                <w:div w:id="720983045">
                  <w:marLeft w:val="0"/>
                  <w:marRight w:val="0"/>
                  <w:marTop w:val="0"/>
                  <w:marBottom w:val="0"/>
                  <w:divBdr>
                    <w:top w:val="single" w:sz="2" w:space="0" w:color="E3E3E3"/>
                    <w:left w:val="single" w:sz="2" w:space="0" w:color="E3E3E3"/>
                    <w:bottom w:val="single" w:sz="2" w:space="0" w:color="E3E3E3"/>
                    <w:right w:val="single" w:sz="2" w:space="0" w:color="E3E3E3"/>
                  </w:divBdr>
                  <w:divsChild>
                    <w:div w:id="1091437349">
                      <w:marLeft w:val="0"/>
                      <w:marRight w:val="0"/>
                      <w:marTop w:val="0"/>
                      <w:marBottom w:val="0"/>
                      <w:divBdr>
                        <w:top w:val="single" w:sz="2" w:space="0" w:color="E3E3E3"/>
                        <w:left w:val="single" w:sz="2" w:space="0" w:color="E3E3E3"/>
                        <w:bottom w:val="single" w:sz="2" w:space="0" w:color="E3E3E3"/>
                        <w:right w:val="single" w:sz="2" w:space="0" w:color="E3E3E3"/>
                      </w:divBdr>
                      <w:divsChild>
                        <w:div w:id="969628803">
                          <w:marLeft w:val="0"/>
                          <w:marRight w:val="0"/>
                          <w:marTop w:val="0"/>
                          <w:marBottom w:val="0"/>
                          <w:divBdr>
                            <w:top w:val="single" w:sz="2" w:space="0" w:color="E3E3E3"/>
                            <w:left w:val="single" w:sz="2" w:space="0" w:color="E3E3E3"/>
                            <w:bottom w:val="single" w:sz="2" w:space="0" w:color="E3E3E3"/>
                            <w:right w:val="single" w:sz="2" w:space="0" w:color="E3E3E3"/>
                          </w:divBdr>
                          <w:divsChild>
                            <w:div w:id="1282758463">
                              <w:marLeft w:val="0"/>
                              <w:marRight w:val="0"/>
                              <w:marTop w:val="0"/>
                              <w:marBottom w:val="0"/>
                              <w:divBdr>
                                <w:top w:val="single" w:sz="2" w:space="0" w:color="E3E3E3"/>
                                <w:left w:val="single" w:sz="2" w:space="0" w:color="E3E3E3"/>
                                <w:bottom w:val="single" w:sz="2" w:space="0" w:color="E3E3E3"/>
                                <w:right w:val="single" w:sz="2" w:space="0" w:color="E3E3E3"/>
                              </w:divBdr>
                              <w:divsChild>
                                <w:div w:id="1137919767">
                                  <w:marLeft w:val="0"/>
                                  <w:marRight w:val="0"/>
                                  <w:marTop w:val="100"/>
                                  <w:marBottom w:val="100"/>
                                  <w:divBdr>
                                    <w:top w:val="single" w:sz="2" w:space="0" w:color="E3E3E3"/>
                                    <w:left w:val="single" w:sz="2" w:space="0" w:color="E3E3E3"/>
                                    <w:bottom w:val="single" w:sz="2" w:space="0" w:color="E3E3E3"/>
                                    <w:right w:val="single" w:sz="2" w:space="0" w:color="E3E3E3"/>
                                  </w:divBdr>
                                  <w:divsChild>
                                    <w:div w:id="870847037">
                                      <w:marLeft w:val="0"/>
                                      <w:marRight w:val="0"/>
                                      <w:marTop w:val="0"/>
                                      <w:marBottom w:val="0"/>
                                      <w:divBdr>
                                        <w:top w:val="single" w:sz="2" w:space="0" w:color="E3E3E3"/>
                                        <w:left w:val="single" w:sz="2" w:space="0" w:color="E3E3E3"/>
                                        <w:bottom w:val="single" w:sz="2" w:space="0" w:color="E3E3E3"/>
                                        <w:right w:val="single" w:sz="2" w:space="0" w:color="E3E3E3"/>
                                      </w:divBdr>
                                      <w:divsChild>
                                        <w:div w:id="1018971766">
                                          <w:marLeft w:val="0"/>
                                          <w:marRight w:val="0"/>
                                          <w:marTop w:val="0"/>
                                          <w:marBottom w:val="0"/>
                                          <w:divBdr>
                                            <w:top w:val="single" w:sz="2" w:space="0" w:color="E3E3E3"/>
                                            <w:left w:val="single" w:sz="2" w:space="0" w:color="E3E3E3"/>
                                            <w:bottom w:val="single" w:sz="2" w:space="0" w:color="E3E3E3"/>
                                            <w:right w:val="single" w:sz="2" w:space="0" w:color="E3E3E3"/>
                                          </w:divBdr>
                                          <w:divsChild>
                                            <w:div w:id="572737312">
                                              <w:marLeft w:val="0"/>
                                              <w:marRight w:val="0"/>
                                              <w:marTop w:val="0"/>
                                              <w:marBottom w:val="0"/>
                                              <w:divBdr>
                                                <w:top w:val="single" w:sz="2" w:space="0" w:color="E3E3E3"/>
                                                <w:left w:val="single" w:sz="2" w:space="0" w:color="E3E3E3"/>
                                                <w:bottom w:val="single" w:sz="2" w:space="0" w:color="E3E3E3"/>
                                                <w:right w:val="single" w:sz="2" w:space="0" w:color="E3E3E3"/>
                                              </w:divBdr>
                                              <w:divsChild>
                                                <w:div w:id="692262794">
                                                  <w:marLeft w:val="0"/>
                                                  <w:marRight w:val="0"/>
                                                  <w:marTop w:val="0"/>
                                                  <w:marBottom w:val="0"/>
                                                  <w:divBdr>
                                                    <w:top w:val="single" w:sz="2" w:space="0" w:color="E3E3E3"/>
                                                    <w:left w:val="single" w:sz="2" w:space="0" w:color="E3E3E3"/>
                                                    <w:bottom w:val="single" w:sz="2" w:space="0" w:color="E3E3E3"/>
                                                    <w:right w:val="single" w:sz="2" w:space="0" w:color="E3E3E3"/>
                                                  </w:divBdr>
                                                  <w:divsChild>
                                                    <w:div w:id="982083726">
                                                      <w:marLeft w:val="0"/>
                                                      <w:marRight w:val="0"/>
                                                      <w:marTop w:val="0"/>
                                                      <w:marBottom w:val="0"/>
                                                      <w:divBdr>
                                                        <w:top w:val="single" w:sz="2" w:space="0" w:color="E3E3E3"/>
                                                        <w:left w:val="single" w:sz="2" w:space="0" w:color="E3E3E3"/>
                                                        <w:bottom w:val="single" w:sz="2" w:space="0" w:color="E3E3E3"/>
                                                        <w:right w:val="single" w:sz="2" w:space="0" w:color="E3E3E3"/>
                                                      </w:divBdr>
                                                      <w:divsChild>
                                                        <w:div w:id="14214128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5139283">
          <w:marLeft w:val="0"/>
          <w:marRight w:val="0"/>
          <w:marTop w:val="0"/>
          <w:marBottom w:val="0"/>
          <w:divBdr>
            <w:top w:val="none" w:sz="0" w:space="0" w:color="auto"/>
            <w:left w:val="none" w:sz="0" w:space="0" w:color="auto"/>
            <w:bottom w:val="none" w:sz="0" w:space="0" w:color="auto"/>
            <w:right w:val="none" w:sz="0" w:space="0" w:color="auto"/>
          </w:divBdr>
          <w:divsChild>
            <w:div w:id="1084842912">
              <w:marLeft w:val="0"/>
              <w:marRight w:val="0"/>
              <w:marTop w:val="100"/>
              <w:marBottom w:val="100"/>
              <w:divBdr>
                <w:top w:val="single" w:sz="2" w:space="0" w:color="E3E3E3"/>
                <w:left w:val="single" w:sz="2" w:space="0" w:color="E3E3E3"/>
                <w:bottom w:val="single" w:sz="2" w:space="0" w:color="E3E3E3"/>
                <w:right w:val="single" w:sz="2" w:space="0" w:color="E3E3E3"/>
              </w:divBdr>
              <w:divsChild>
                <w:div w:id="1444959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a:t>
            </a:r>
            <a:r>
              <a:rPr lang="en-GB" baseline="0"/>
              <a:t> - Question1 </a:t>
            </a:r>
          </a:p>
          <a:p>
            <a:pPr>
              <a:defRPr/>
            </a:pPr>
            <a:r>
              <a:rPr lang="en-GB" baseline="0"/>
              <a:t>"Do you know what mindfullness is?"</a:t>
            </a:r>
          </a:p>
          <a:p>
            <a:pPr>
              <a:defRPr/>
            </a:pPr>
            <a:endParaRPr lang="en-GB"/>
          </a:p>
        </c:rich>
      </c:tx>
      <c:layout>
        <c:manualLayout>
          <c:xMode val="edge"/>
          <c:yMode val="edge"/>
          <c:x val="0.27025462962962965"/>
          <c:y val="3.571428571428571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c:f>
              <c:strCache>
                <c:ptCount val="1"/>
                <c:pt idx="0">
                  <c:v>Do you know what mindfulness is?</c:v>
                </c:pt>
              </c:strCache>
            </c:strRef>
          </c:cat>
          <c:val>
            <c:numRef>
              <c:f>Sheet1!$B$2</c:f>
              <c:numCache>
                <c:formatCode>General</c:formatCode>
                <c:ptCount val="1"/>
                <c:pt idx="0">
                  <c:v>8</c:v>
                </c:pt>
              </c:numCache>
            </c:numRef>
          </c:val>
          <c:extLst>
            <c:ext xmlns:c16="http://schemas.microsoft.com/office/drawing/2014/chart" uri="{C3380CC4-5D6E-409C-BE32-E72D297353CC}">
              <c16:uniqueId val="{00000000-8E5E-43FF-ADB0-EE5EB713AC4E}"/>
            </c:ext>
          </c:extLst>
        </c:ser>
        <c:ser>
          <c:idx val="1"/>
          <c:order val="1"/>
          <c:tx>
            <c:strRef>
              <c:f>Sheet1!$C$1</c:f>
              <c:strCache>
                <c:ptCount val="1"/>
                <c:pt idx="0">
                  <c:v>No</c:v>
                </c:pt>
              </c:strCache>
            </c:strRef>
          </c:tx>
          <c:spPr>
            <a:solidFill>
              <a:schemeClr val="accent2"/>
            </a:solidFill>
            <a:ln>
              <a:noFill/>
            </a:ln>
            <a:effectLst/>
          </c:spPr>
          <c:invertIfNegative val="0"/>
          <c:cat>
            <c:strRef>
              <c:f>Sheet1!$A$2</c:f>
              <c:strCache>
                <c:ptCount val="1"/>
                <c:pt idx="0">
                  <c:v>Do you know what mindfulness is?</c:v>
                </c:pt>
              </c:strCache>
            </c:strRef>
          </c:cat>
          <c:val>
            <c:numRef>
              <c:f>Sheet1!$C$2</c:f>
              <c:numCache>
                <c:formatCode>General</c:formatCode>
                <c:ptCount val="1"/>
                <c:pt idx="0">
                  <c:v>0</c:v>
                </c:pt>
              </c:numCache>
            </c:numRef>
          </c:val>
          <c:extLst>
            <c:ext xmlns:c16="http://schemas.microsoft.com/office/drawing/2014/chart" uri="{C3380CC4-5D6E-409C-BE32-E72D297353CC}">
              <c16:uniqueId val="{00000001-8E5E-43FF-ADB0-EE5EB713AC4E}"/>
            </c:ext>
          </c:extLst>
        </c:ser>
        <c:dLbls>
          <c:showLegendKey val="0"/>
          <c:showVal val="0"/>
          <c:showCatName val="0"/>
          <c:showSerName val="0"/>
          <c:showPercent val="0"/>
          <c:showBubbleSize val="0"/>
        </c:dLbls>
        <c:gapWidth val="219"/>
        <c:axId val="1183393647"/>
        <c:axId val="1183395087"/>
      </c:barChart>
      <c:catAx>
        <c:axId val="1183393647"/>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Answer</a:t>
                </a:r>
                <a:r>
                  <a:rPr lang="en-GB" baseline="0"/>
                  <a:t> to question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183395087"/>
        <c:crosses val="autoZero"/>
        <c:auto val="1"/>
        <c:lblAlgn val="ctr"/>
        <c:lblOffset val="100"/>
        <c:noMultiLvlLbl val="0"/>
      </c:catAx>
      <c:valAx>
        <c:axId val="1183395087"/>
        <c:scaling>
          <c:orientation val="minMax"/>
          <c:max val="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pupils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393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 - Question 2</a:t>
            </a:r>
          </a:p>
          <a:p>
            <a:pPr>
              <a:defRPr/>
            </a:pPr>
            <a:r>
              <a:rPr lang="en-GB"/>
              <a:t>"Mindfulness</a:t>
            </a:r>
            <a:r>
              <a:rPr lang="en-GB" baseline="0"/>
              <a:t> helps me to focus on my lessons"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Don't agree</c:v>
                </c:pt>
              </c:strCache>
            </c:strRef>
          </c:tx>
          <c:spPr>
            <a:solidFill>
              <a:schemeClr val="accent1"/>
            </a:solidFill>
            <a:ln>
              <a:noFill/>
            </a:ln>
            <a:effectLst/>
          </c:spPr>
          <c:invertIfNegative val="0"/>
          <c:cat>
            <c:strRef>
              <c:f>Sheet1!$A$2</c:f>
              <c:strCache>
                <c:ptCount val="1"/>
                <c:pt idx="0">
                  <c:v>Category 1</c:v>
                </c:pt>
              </c:strCache>
            </c:strRef>
          </c:cat>
          <c:val>
            <c:numRef>
              <c:f>Sheet1!$B$2</c:f>
              <c:numCache>
                <c:formatCode>General</c:formatCode>
                <c:ptCount val="1"/>
                <c:pt idx="0">
                  <c:v>0</c:v>
                </c:pt>
              </c:numCache>
            </c:numRef>
          </c:val>
          <c:extLst>
            <c:ext xmlns:c16="http://schemas.microsoft.com/office/drawing/2014/chart" uri="{C3380CC4-5D6E-409C-BE32-E72D297353CC}">
              <c16:uniqueId val="{00000000-11F2-410A-ADAB-40E8EBAE39F8}"/>
            </c:ext>
          </c:extLst>
        </c:ser>
        <c:ser>
          <c:idx val="1"/>
          <c:order val="1"/>
          <c:tx>
            <c:strRef>
              <c:f>Sheet1!$C$1</c:f>
              <c:strCache>
                <c:ptCount val="1"/>
                <c:pt idx="0">
                  <c:v>Slightly don't agree</c:v>
                </c:pt>
              </c:strCache>
            </c:strRef>
          </c:tx>
          <c:spPr>
            <a:solidFill>
              <a:schemeClr val="accent2"/>
            </a:solidFill>
            <a:ln>
              <a:noFill/>
            </a:ln>
            <a:effectLst/>
          </c:spPr>
          <c:invertIfNegative val="0"/>
          <c:cat>
            <c:strRef>
              <c:f>Sheet1!$A$2</c:f>
              <c:strCache>
                <c:ptCount val="1"/>
                <c:pt idx="0">
                  <c:v>Category 1</c:v>
                </c:pt>
              </c:strCache>
            </c:strRef>
          </c:cat>
          <c:val>
            <c:numRef>
              <c:f>Sheet1!$C$2</c:f>
              <c:numCache>
                <c:formatCode>General</c:formatCode>
                <c:ptCount val="1"/>
              </c:numCache>
            </c:numRef>
          </c:val>
          <c:extLst>
            <c:ext xmlns:c16="http://schemas.microsoft.com/office/drawing/2014/chart" uri="{C3380CC4-5D6E-409C-BE32-E72D297353CC}">
              <c16:uniqueId val="{00000001-11F2-410A-ADAB-40E8EBAE39F8}"/>
            </c:ext>
          </c:extLst>
        </c:ser>
        <c:ser>
          <c:idx val="2"/>
          <c:order val="2"/>
          <c:tx>
            <c:strRef>
              <c:f>Sheet1!$D$1</c:f>
              <c:strCache>
                <c:ptCount val="1"/>
                <c:pt idx="0">
                  <c:v>Don't agree or disagree</c:v>
                </c:pt>
              </c:strCache>
            </c:strRef>
          </c:tx>
          <c:spPr>
            <a:solidFill>
              <a:schemeClr val="accent3"/>
            </a:solidFill>
            <a:ln>
              <a:noFill/>
            </a:ln>
            <a:effectLst/>
          </c:spPr>
          <c:invertIfNegative val="0"/>
          <c:cat>
            <c:strRef>
              <c:f>Sheet1!$A$2</c:f>
              <c:strCache>
                <c:ptCount val="1"/>
                <c:pt idx="0">
                  <c:v>Category 1</c:v>
                </c:pt>
              </c:strCache>
            </c:strRef>
          </c:cat>
          <c:val>
            <c:numRef>
              <c:f>Sheet1!$D$2</c:f>
              <c:numCache>
                <c:formatCode>General</c:formatCode>
                <c:ptCount val="1"/>
                <c:pt idx="0">
                  <c:v>1</c:v>
                </c:pt>
              </c:numCache>
            </c:numRef>
          </c:val>
          <c:extLst>
            <c:ext xmlns:c16="http://schemas.microsoft.com/office/drawing/2014/chart" uri="{C3380CC4-5D6E-409C-BE32-E72D297353CC}">
              <c16:uniqueId val="{00000002-11F2-410A-ADAB-40E8EBAE39F8}"/>
            </c:ext>
          </c:extLst>
        </c:ser>
        <c:ser>
          <c:idx val="3"/>
          <c:order val="3"/>
          <c:tx>
            <c:strRef>
              <c:f>Sheet1!$E$1</c:f>
              <c:strCache>
                <c:ptCount val="1"/>
                <c:pt idx="0">
                  <c:v>Agree</c:v>
                </c:pt>
              </c:strCache>
            </c:strRef>
          </c:tx>
          <c:spPr>
            <a:solidFill>
              <a:schemeClr val="accent4"/>
            </a:solidFill>
            <a:ln>
              <a:noFill/>
            </a:ln>
            <a:effectLst/>
          </c:spPr>
          <c:invertIfNegative val="0"/>
          <c:cat>
            <c:strRef>
              <c:f>Sheet1!$A$2</c:f>
              <c:strCache>
                <c:ptCount val="1"/>
                <c:pt idx="0">
                  <c:v>Category 1</c:v>
                </c:pt>
              </c:strCache>
            </c:strRef>
          </c:cat>
          <c:val>
            <c:numRef>
              <c:f>Sheet1!$E$2</c:f>
              <c:numCache>
                <c:formatCode>General</c:formatCode>
                <c:ptCount val="1"/>
                <c:pt idx="0">
                  <c:v>4</c:v>
                </c:pt>
              </c:numCache>
            </c:numRef>
          </c:val>
          <c:extLst>
            <c:ext xmlns:c16="http://schemas.microsoft.com/office/drawing/2014/chart" uri="{C3380CC4-5D6E-409C-BE32-E72D297353CC}">
              <c16:uniqueId val="{00000003-11F2-410A-ADAB-40E8EBAE39F8}"/>
            </c:ext>
          </c:extLst>
        </c:ser>
        <c:ser>
          <c:idx val="4"/>
          <c:order val="4"/>
          <c:tx>
            <c:strRef>
              <c:f>Sheet1!$F$1</c:f>
              <c:strCache>
                <c:ptCount val="1"/>
                <c:pt idx="0">
                  <c:v>Strongly agree</c:v>
                </c:pt>
              </c:strCache>
            </c:strRef>
          </c:tx>
          <c:spPr>
            <a:solidFill>
              <a:schemeClr val="accent5"/>
            </a:solidFill>
            <a:ln>
              <a:noFill/>
            </a:ln>
            <a:effectLst/>
          </c:spPr>
          <c:invertIfNegative val="0"/>
          <c:cat>
            <c:strRef>
              <c:f>Sheet1!$A$2</c:f>
              <c:strCache>
                <c:ptCount val="1"/>
                <c:pt idx="0">
                  <c:v>Category 1</c:v>
                </c:pt>
              </c:strCache>
            </c:strRef>
          </c:cat>
          <c:val>
            <c:numRef>
              <c:f>Sheet1!$F$2</c:f>
              <c:numCache>
                <c:formatCode>General</c:formatCode>
                <c:ptCount val="1"/>
                <c:pt idx="0">
                  <c:v>3</c:v>
                </c:pt>
              </c:numCache>
            </c:numRef>
          </c:val>
          <c:extLst>
            <c:ext xmlns:c16="http://schemas.microsoft.com/office/drawing/2014/chart" uri="{C3380CC4-5D6E-409C-BE32-E72D297353CC}">
              <c16:uniqueId val="{00000006-11F2-410A-ADAB-40E8EBAE39F8}"/>
            </c:ext>
          </c:extLst>
        </c:ser>
        <c:dLbls>
          <c:showLegendKey val="0"/>
          <c:showVal val="0"/>
          <c:showCatName val="0"/>
          <c:showSerName val="0"/>
          <c:showPercent val="0"/>
          <c:showBubbleSize val="0"/>
        </c:dLbls>
        <c:gapWidth val="219"/>
        <c:overlap val="-27"/>
        <c:axId val="1876879167"/>
        <c:axId val="1876878687"/>
      </c:barChart>
      <c:catAx>
        <c:axId val="1876879167"/>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Answer</a:t>
                </a:r>
                <a:r>
                  <a:rPr lang="en-GB" baseline="0"/>
                  <a:t> to question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876878687"/>
        <c:crosses val="autoZero"/>
        <c:auto val="1"/>
        <c:lblAlgn val="ctr"/>
        <c:lblOffset val="100"/>
        <c:noMultiLvlLbl val="0"/>
      </c:catAx>
      <c:valAx>
        <c:axId val="1876878687"/>
        <c:scaling>
          <c:orientation val="minMax"/>
          <c:max val="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pupils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879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a:t>
            </a:r>
            <a:r>
              <a:rPr lang="en-GB" baseline="0"/>
              <a:t> - Question 3 </a:t>
            </a:r>
          </a:p>
          <a:p>
            <a:pPr>
              <a:defRPr/>
            </a:pPr>
            <a:r>
              <a:rPr lang="en-GB" baseline="0"/>
              <a:t>"Do you enjoy mindfulness activities"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7</c:v>
                </c:pt>
              </c:numCache>
            </c:numRef>
          </c:val>
          <c:extLst>
            <c:ext xmlns:c16="http://schemas.microsoft.com/office/drawing/2014/chart" uri="{C3380CC4-5D6E-409C-BE32-E72D297353CC}">
              <c16:uniqueId val="{00000000-C65D-4F4E-92A5-09FF16C59306}"/>
            </c:ext>
          </c:extLst>
        </c:ser>
        <c:ser>
          <c:idx val="1"/>
          <c:order val="1"/>
          <c:tx>
            <c:strRef>
              <c:f>Sheet1!$C$1</c:f>
              <c:strCache>
                <c:ptCount val="1"/>
                <c:pt idx="0">
                  <c:v>No </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0</c:v>
                </c:pt>
              </c:numCache>
            </c:numRef>
          </c:val>
          <c:extLst>
            <c:ext xmlns:c16="http://schemas.microsoft.com/office/drawing/2014/chart" uri="{C3380CC4-5D6E-409C-BE32-E72D297353CC}">
              <c16:uniqueId val="{00000001-C65D-4F4E-92A5-09FF16C59306}"/>
            </c:ext>
          </c:extLst>
        </c:ser>
        <c:ser>
          <c:idx val="2"/>
          <c:order val="2"/>
          <c:tx>
            <c:strRef>
              <c:f>Sheet1!$D$1</c:f>
              <c:strCache>
                <c:ptCount val="1"/>
                <c:pt idx="0">
                  <c:v>Sometimes</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1</c:v>
                </c:pt>
              </c:numCache>
            </c:numRef>
          </c:val>
          <c:extLst>
            <c:ext xmlns:c16="http://schemas.microsoft.com/office/drawing/2014/chart" uri="{C3380CC4-5D6E-409C-BE32-E72D297353CC}">
              <c16:uniqueId val="{00000002-C65D-4F4E-92A5-09FF16C59306}"/>
            </c:ext>
          </c:extLst>
        </c:ser>
        <c:dLbls>
          <c:showLegendKey val="0"/>
          <c:showVal val="0"/>
          <c:showCatName val="0"/>
          <c:showSerName val="0"/>
          <c:showPercent val="0"/>
          <c:showBubbleSize val="0"/>
        </c:dLbls>
        <c:gapWidth val="219"/>
        <c:overlap val="-27"/>
        <c:axId val="1898349983"/>
        <c:axId val="1898345663"/>
      </c:barChart>
      <c:catAx>
        <c:axId val="18983499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Answer to quesion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8345663"/>
        <c:crosses val="autoZero"/>
        <c:auto val="1"/>
        <c:lblAlgn val="ctr"/>
        <c:lblOffset val="100"/>
        <c:noMultiLvlLbl val="0"/>
      </c:catAx>
      <c:valAx>
        <c:axId val="18983456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Pupils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83499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 - Question 4</a:t>
            </a:r>
          </a:p>
          <a:p>
            <a:pPr>
              <a:defRPr/>
            </a:pPr>
            <a:r>
              <a:rPr lang="en-GB"/>
              <a:t>"Do</a:t>
            </a:r>
            <a:r>
              <a:rPr lang="en-GB" baseline="0"/>
              <a:t> you feel ready and focussed for you lesson when you come in from lunchtime play?"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2</c:v>
                </c:pt>
              </c:numCache>
            </c:numRef>
          </c:val>
          <c:extLst>
            <c:ext xmlns:c16="http://schemas.microsoft.com/office/drawing/2014/chart" uri="{C3380CC4-5D6E-409C-BE32-E72D297353CC}">
              <c16:uniqueId val="{00000000-F485-471D-A0F1-601731287AE4}"/>
            </c:ext>
          </c:extLst>
        </c:ser>
        <c:ser>
          <c:idx val="1"/>
          <c:order val="1"/>
          <c:tx>
            <c:strRef>
              <c:f>Sheet1!$C$1</c:f>
              <c:strCache>
                <c:ptCount val="1"/>
                <c:pt idx="0">
                  <c:v>No</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4</c:v>
                </c:pt>
              </c:numCache>
            </c:numRef>
          </c:val>
          <c:extLst>
            <c:ext xmlns:c16="http://schemas.microsoft.com/office/drawing/2014/chart" uri="{C3380CC4-5D6E-409C-BE32-E72D297353CC}">
              <c16:uniqueId val="{00000001-F485-471D-A0F1-601731287AE4}"/>
            </c:ext>
          </c:extLst>
        </c:ser>
        <c:ser>
          <c:idx val="2"/>
          <c:order val="2"/>
          <c:tx>
            <c:strRef>
              <c:f>Sheet1!$D$1</c:f>
              <c:strCache>
                <c:ptCount val="1"/>
                <c:pt idx="0">
                  <c:v>Sometimes</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2</c:v>
                </c:pt>
              </c:numCache>
            </c:numRef>
          </c:val>
          <c:extLst>
            <c:ext xmlns:c16="http://schemas.microsoft.com/office/drawing/2014/chart" uri="{C3380CC4-5D6E-409C-BE32-E72D297353CC}">
              <c16:uniqueId val="{00000002-F485-471D-A0F1-601731287AE4}"/>
            </c:ext>
          </c:extLst>
        </c:ser>
        <c:dLbls>
          <c:showLegendKey val="0"/>
          <c:showVal val="0"/>
          <c:showCatName val="0"/>
          <c:showSerName val="0"/>
          <c:showPercent val="0"/>
          <c:showBubbleSize val="0"/>
        </c:dLbls>
        <c:gapWidth val="219"/>
        <c:overlap val="-27"/>
        <c:axId val="1089305039"/>
        <c:axId val="1089306479"/>
      </c:barChart>
      <c:catAx>
        <c:axId val="1089305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306479"/>
        <c:crosses val="autoZero"/>
        <c:auto val="1"/>
        <c:lblAlgn val="ctr"/>
        <c:lblOffset val="100"/>
        <c:noMultiLvlLbl val="0"/>
      </c:catAx>
      <c:valAx>
        <c:axId val="1089306479"/>
        <c:scaling>
          <c:orientation val="minMax"/>
          <c:max val="8"/>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305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a:t>
            </a:r>
            <a:r>
              <a:rPr lang="en-GB" baseline="0"/>
              <a:t> - Question 5</a:t>
            </a:r>
          </a:p>
          <a:p>
            <a:pPr>
              <a:defRPr/>
            </a:pPr>
            <a:r>
              <a:rPr lang="en-GB" baseline="0"/>
              <a:t>"Mindfulness helps me to calm down after playtime"</a:t>
            </a:r>
            <a:endParaRPr lang="en-GB"/>
          </a:p>
        </c:rich>
      </c:tx>
      <c:layout>
        <c:manualLayout>
          <c:xMode val="edge"/>
          <c:yMode val="edge"/>
          <c:x val="0.1370601851851851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Strongle disagree</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0</c:v>
                </c:pt>
              </c:numCache>
            </c:numRef>
          </c:val>
          <c:extLst>
            <c:ext xmlns:c16="http://schemas.microsoft.com/office/drawing/2014/chart" uri="{C3380CC4-5D6E-409C-BE32-E72D297353CC}">
              <c16:uniqueId val="{00000000-9762-45B2-8FE7-60D325B54DCF}"/>
            </c:ext>
          </c:extLst>
        </c:ser>
        <c:ser>
          <c:idx val="1"/>
          <c:order val="1"/>
          <c:tx>
            <c:strRef>
              <c:f>Sheet1!$C$1</c:f>
              <c:strCache>
                <c:ptCount val="1"/>
                <c:pt idx="0">
                  <c:v>Disagree</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0</c:v>
                </c:pt>
              </c:numCache>
            </c:numRef>
          </c:val>
          <c:extLst>
            <c:ext xmlns:c16="http://schemas.microsoft.com/office/drawing/2014/chart" uri="{C3380CC4-5D6E-409C-BE32-E72D297353CC}">
              <c16:uniqueId val="{00000001-9762-45B2-8FE7-60D325B54DCF}"/>
            </c:ext>
          </c:extLst>
        </c:ser>
        <c:ser>
          <c:idx val="2"/>
          <c:order val="2"/>
          <c:tx>
            <c:strRef>
              <c:f>Sheet1!$D$1</c:f>
              <c:strCache>
                <c:ptCount val="1"/>
                <c:pt idx="0">
                  <c:v>Don't agree or disagree</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0</c:v>
                </c:pt>
              </c:numCache>
            </c:numRef>
          </c:val>
          <c:extLst>
            <c:ext xmlns:c16="http://schemas.microsoft.com/office/drawing/2014/chart" uri="{C3380CC4-5D6E-409C-BE32-E72D297353CC}">
              <c16:uniqueId val="{00000002-9762-45B2-8FE7-60D325B54DCF}"/>
            </c:ext>
          </c:extLst>
        </c:ser>
        <c:ser>
          <c:idx val="3"/>
          <c:order val="3"/>
          <c:tx>
            <c:strRef>
              <c:f>Sheet1!$E$1</c:f>
              <c:strCache>
                <c:ptCount val="1"/>
                <c:pt idx="0">
                  <c:v>Agree</c:v>
                </c:pt>
              </c:strCache>
            </c:strRef>
          </c:tx>
          <c:spPr>
            <a:solidFill>
              <a:schemeClr val="accent4"/>
            </a:solidFill>
            <a:ln>
              <a:noFill/>
            </a:ln>
            <a:effectLst/>
          </c:spPr>
          <c:invertIfNegative val="0"/>
          <c:cat>
            <c:numRef>
              <c:f>Sheet1!$A$2</c:f>
              <c:numCache>
                <c:formatCode>General</c:formatCode>
                <c:ptCount val="1"/>
              </c:numCache>
            </c:numRef>
          </c:cat>
          <c:val>
            <c:numRef>
              <c:f>Sheet1!$E$2</c:f>
              <c:numCache>
                <c:formatCode>General</c:formatCode>
                <c:ptCount val="1"/>
                <c:pt idx="0">
                  <c:v>7</c:v>
                </c:pt>
              </c:numCache>
            </c:numRef>
          </c:val>
          <c:extLst>
            <c:ext xmlns:c16="http://schemas.microsoft.com/office/drawing/2014/chart" uri="{C3380CC4-5D6E-409C-BE32-E72D297353CC}">
              <c16:uniqueId val="{00000003-9762-45B2-8FE7-60D325B54DCF}"/>
            </c:ext>
          </c:extLst>
        </c:ser>
        <c:ser>
          <c:idx val="4"/>
          <c:order val="4"/>
          <c:tx>
            <c:strRef>
              <c:f>Sheet1!$F$1</c:f>
              <c:strCache>
                <c:ptCount val="1"/>
                <c:pt idx="0">
                  <c:v>Strongly Agree</c:v>
                </c:pt>
              </c:strCache>
            </c:strRef>
          </c:tx>
          <c:spPr>
            <a:solidFill>
              <a:schemeClr val="accent5"/>
            </a:solidFill>
            <a:ln>
              <a:noFill/>
            </a:ln>
            <a:effectLst/>
          </c:spPr>
          <c:invertIfNegative val="0"/>
          <c:cat>
            <c:numRef>
              <c:f>Sheet1!$A$2</c:f>
              <c:numCache>
                <c:formatCode>General</c:formatCode>
                <c:ptCount val="1"/>
              </c:numCache>
            </c:numRef>
          </c:cat>
          <c:val>
            <c:numRef>
              <c:f>Sheet1!$F$2</c:f>
              <c:numCache>
                <c:formatCode>General</c:formatCode>
                <c:ptCount val="1"/>
                <c:pt idx="0">
                  <c:v>1</c:v>
                </c:pt>
              </c:numCache>
            </c:numRef>
          </c:val>
          <c:extLst>
            <c:ext xmlns:c16="http://schemas.microsoft.com/office/drawing/2014/chart" uri="{C3380CC4-5D6E-409C-BE32-E72D297353CC}">
              <c16:uniqueId val="{00000004-9762-45B2-8FE7-60D325B54DCF}"/>
            </c:ext>
          </c:extLst>
        </c:ser>
        <c:dLbls>
          <c:showLegendKey val="0"/>
          <c:showVal val="0"/>
          <c:showCatName val="0"/>
          <c:showSerName val="0"/>
          <c:showPercent val="0"/>
          <c:showBubbleSize val="0"/>
        </c:dLbls>
        <c:gapWidth val="219"/>
        <c:overlap val="-27"/>
        <c:axId val="1527236703"/>
        <c:axId val="1527235263"/>
      </c:barChart>
      <c:catAx>
        <c:axId val="1527236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235263"/>
        <c:crosses val="autoZero"/>
        <c:auto val="1"/>
        <c:lblAlgn val="ctr"/>
        <c:lblOffset val="100"/>
        <c:noMultiLvlLbl val="0"/>
      </c:catAx>
      <c:valAx>
        <c:axId val="15272352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236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07D776-F9B5-4EA1-90AC-ED03943C6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6088</Words>
  <Characters>34705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Riseborough</dc:creator>
  <cp:keywords/>
  <dc:description/>
  <cp:lastModifiedBy>riseborough246@gmail.com</cp:lastModifiedBy>
  <cp:revision>7</cp:revision>
  <dcterms:created xsi:type="dcterms:W3CDTF">2024-05-14T22:22:00Z</dcterms:created>
  <dcterms:modified xsi:type="dcterms:W3CDTF">2024-05-14T22:30:00Z</dcterms:modified>
</cp:coreProperties>
</file>