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BB867C0" w14:textId="1C591446" w:rsidR="003D6B3E" w:rsidRPr="004B0336" w:rsidRDefault="00EE1D8B" w:rsidP="00EE1D8B">
      <w:pPr>
        <w:jc w:val="center"/>
        <w:rPr>
          <w:rFonts w:cs="Arial"/>
          <w:lang w:val="en-GB"/>
        </w:rPr>
      </w:pPr>
      <w:bookmarkStart w:id="0" w:name="_GoBack"/>
      <w:r w:rsidRPr="004B0336">
        <w:rPr>
          <w:rFonts w:cs="Arial"/>
          <w:noProof/>
          <w:lang w:val="en-GB" w:eastAsia="en-IN"/>
        </w:rPr>
        <w:drawing>
          <wp:inline distT="0" distB="0" distL="0" distR="0" wp14:anchorId="4DA2025B" wp14:editId="70AFFE0B">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EF7868A" w14:textId="77777777" w:rsidR="003D6B3E" w:rsidRPr="004B0336" w:rsidRDefault="003D6B3E" w:rsidP="00C74A08">
      <w:pPr>
        <w:rPr>
          <w:rFonts w:cs="Arial"/>
          <w:lang w:val="en-GB"/>
        </w:rPr>
      </w:pPr>
    </w:p>
    <w:p w14:paraId="3C7D5B3D" w14:textId="3A73FE82" w:rsidR="003D6B3E" w:rsidRPr="004B0336" w:rsidRDefault="003D6B3E" w:rsidP="00EE1D8B">
      <w:pPr>
        <w:jc w:val="center"/>
        <w:rPr>
          <w:rFonts w:cs="Arial"/>
          <w:b/>
          <w:bCs/>
          <w:sz w:val="28"/>
          <w:szCs w:val="28"/>
          <w:lang w:val="en-GB"/>
        </w:rPr>
      </w:pPr>
      <w:r w:rsidRPr="004B0336">
        <w:rPr>
          <w:rFonts w:cs="Arial"/>
          <w:b/>
          <w:bCs/>
          <w:sz w:val="28"/>
          <w:szCs w:val="28"/>
          <w:lang w:val="en-GB"/>
        </w:rPr>
        <w:t>Programme: Master of Business Administration</w:t>
      </w:r>
    </w:p>
    <w:p w14:paraId="1D11D6BF" w14:textId="24F07DC2" w:rsidR="003D6B3E" w:rsidRPr="004B0336" w:rsidRDefault="003D6B3E" w:rsidP="00EE1D8B">
      <w:pPr>
        <w:jc w:val="center"/>
        <w:rPr>
          <w:rFonts w:cs="Arial"/>
          <w:b/>
          <w:bCs/>
          <w:sz w:val="28"/>
          <w:szCs w:val="28"/>
          <w:lang w:val="en-GB"/>
        </w:rPr>
      </w:pPr>
      <w:r w:rsidRPr="004B0336">
        <w:rPr>
          <w:rFonts w:cs="Arial"/>
          <w:b/>
          <w:bCs/>
          <w:sz w:val="28"/>
          <w:szCs w:val="28"/>
          <w:lang w:val="en-GB"/>
        </w:rPr>
        <w:t>Module: Financial Management</w:t>
      </w:r>
    </w:p>
    <w:p w14:paraId="4FAF241C" w14:textId="39153552" w:rsidR="003D6B3E" w:rsidRPr="004B0336" w:rsidRDefault="003D6B3E" w:rsidP="00EE1D8B">
      <w:pPr>
        <w:jc w:val="center"/>
        <w:rPr>
          <w:rFonts w:cs="Arial"/>
          <w:b/>
          <w:bCs/>
          <w:sz w:val="28"/>
          <w:szCs w:val="28"/>
          <w:lang w:val="en-GB"/>
        </w:rPr>
      </w:pPr>
      <w:r w:rsidRPr="004B0336">
        <w:rPr>
          <w:rFonts w:cs="Arial"/>
          <w:b/>
          <w:bCs/>
          <w:sz w:val="28"/>
          <w:szCs w:val="28"/>
          <w:lang w:val="en-GB"/>
        </w:rPr>
        <w:t>Module code: LCMB7002</w:t>
      </w:r>
    </w:p>
    <w:p w14:paraId="35C9F17A" w14:textId="77777777" w:rsidR="003D6B3E" w:rsidRPr="004B0336" w:rsidRDefault="003D6B3E" w:rsidP="00EE1D8B">
      <w:pPr>
        <w:jc w:val="center"/>
        <w:rPr>
          <w:rFonts w:cs="Arial"/>
          <w:lang w:val="en-GB"/>
        </w:rPr>
      </w:pPr>
    </w:p>
    <w:p w14:paraId="33C1A266" w14:textId="77777777" w:rsidR="003D6B3E" w:rsidRPr="004B0336" w:rsidRDefault="003D6B3E" w:rsidP="00EE1D8B">
      <w:pPr>
        <w:jc w:val="center"/>
        <w:rPr>
          <w:rFonts w:cs="Arial"/>
          <w:lang w:val="en-GB"/>
        </w:rPr>
      </w:pPr>
    </w:p>
    <w:p w14:paraId="7B275024" w14:textId="7DAB6D51" w:rsidR="003D6B3E" w:rsidRPr="004B0336" w:rsidRDefault="003D6B3E" w:rsidP="00EE1D8B">
      <w:pPr>
        <w:jc w:val="center"/>
        <w:rPr>
          <w:rFonts w:cs="Arial"/>
          <w:b/>
          <w:bCs/>
          <w:lang w:val="en-GB"/>
        </w:rPr>
      </w:pPr>
      <w:r w:rsidRPr="004B0336">
        <w:rPr>
          <w:rFonts w:cs="Arial"/>
          <w:b/>
          <w:bCs/>
          <w:lang w:val="en-GB"/>
        </w:rPr>
        <w:t>Lecturer: Patrick Yeboah (Birmingham)</w:t>
      </w:r>
    </w:p>
    <w:p w14:paraId="1136D990" w14:textId="77777777" w:rsidR="003D6B3E" w:rsidRPr="004B0336" w:rsidRDefault="003D6B3E" w:rsidP="00EE1D8B">
      <w:pPr>
        <w:jc w:val="center"/>
        <w:rPr>
          <w:rFonts w:cs="Arial"/>
          <w:lang w:val="en-GB"/>
        </w:rPr>
      </w:pPr>
    </w:p>
    <w:p w14:paraId="27F7DF7A" w14:textId="77777777" w:rsidR="00EE1D8B" w:rsidRPr="004B0336" w:rsidRDefault="003D6B3E" w:rsidP="00EE1D8B">
      <w:pPr>
        <w:jc w:val="center"/>
        <w:rPr>
          <w:rFonts w:cs="Arial"/>
          <w:b/>
          <w:bCs/>
          <w:sz w:val="32"/>
          <w:szCs w:val="32"/>
          <w:lang w:val="en-GB"/>
        </w:rPr>
      </w:pPr>
      <w:r w:rsidRPr="004B0336">
        <w:rPr>
          <w:rFonts w:cs="Arial"/>
          <w:b/>
          <w:bCs/>
          <w:sz w:val="32"/>
          <w:szCs w:val="32"/>
          <w:lang w:val="en-GB"/>
        </w:rPr>
        <w:t>Title: Assessment component: Financial Performance and Management</w:t>
      </w:r>
    </w:p>
    <w:p w14:paraId="516B4438" w14:textId="77777777" w:rsidR="00EE1D8B" w:rsidRPr="004B0336" w:rsidRDefault="00EE1D8B" w:rsidP="00EE1D8B">
      <w:pPr>
        <w:jc w:val="center"/>
        <w:rPr>
          <w:rFonts w:cs="Arial"/>
          <w:b/>
          <w:bCs/>
          <w:sz w:val="32"/>
          <w:szCs w:val="32"/>
          <w:lang w:val="en-GB"/>
        </w:rPr>
      </w:pPr>
    </w:p>
    <w:p w14:paraId="758DEE2C" w14:textId="77777777" w:rsidR="00EE1D8B" w:rsidRPr="004B0336" w:rsidRDefault="00EE1D8B" w:rsidP="00EE1D8B">
      <w:pPr>
        <w:jc w:val="center"/>
        <w:rPr>
          <w:rFonts w:cs="Arial"/>
          <w:b/>
          <w:bCs/>
          <w:sz w:val="32"/>
          <w:szCs w:val="32"/>
          <w:lang w:val="en-GB"/>
        </w:rPr>
      </w:pPr>
    </w:p>
    <w:p w14:paraId="7A0A9667" w14:textId="600D832F" w:rsidR="00EE1D8B" w:rsidRPr="004B0336" w:rsidRDefault="00EE1D8B" w:rsidP="00EE1D8B">
      <w:pPr>
        <w:jc w:val="center"/>
        <w:rPr>
          <w:rFonts w:cs="Arial"/>
          <w:lang w:val="en-GB"/>
        </w:rPr>
      </w:pPr>
      <w:r w:rsidRPr="004B0336">
        <w:rPr>
          <w:rFonts w:cs="Arial"/>
          <w:lang w:val="en-GB"/>
        </w:rPr>
        <w:t>Student Name:</w:t>
      </w:r>
      <w:r w:rsidR="00141FB4" w:rsidRPr="004B0336">
        <w:rPr>
          <w:rFonts w:cs="Arial"/>
          <w:lang w:val="en-GB"/>
        </w:rPr>
        <w:t xml:space="preserve"> Iyappan Balakrishnan</w:t>
      </w:r>
    </w:p>
    <w:p w14:paraId="518B9CD2" w14:textId="51E77346" w:rsidR="00EE1D8B" w:rsidRPr="004B0336" w:rsidRDefault="00EE1D8B" w:rsidP="00EE1D8B">
      <w:pPr>
        <w:jc w:val="center"/>
        <w:rPr>
          <w:rFonts w:cs="Arial"/>
          <w:lang w:val="en-GB"/>
        </w:rPr>
      </w:pPr>
      <w:r w:rsidRPr="004B0336">
        <w:rPr>
          <w:rFonts w:cs="Arial"/>
          <w:lang w:val="en-GB"/>
        </w:rPr>
        <w:t>Student ID number:</w:t>
      </w:r>
      <w:r w:rsidR="00141FB4" w:rsidRPr="004B0336">
        <w:rPr>
          <w:rFonts w:cs="Arial"/>
          <w:lang w:val="en-GB"/>
        </w:rPr>
        <w:t xml:space="preserve"> 2434791</w:t>
      </w:r>
    </w:p>
    <w:p w14:paraId="47E3F6E5" w14:textId="68384AEA" w:rsidR="003D6B3E" w:rsidRPr="004B0336" w:rsidRDefault="00EE1D8B" w:rsidP="00EE1D8B">
      <w:pPr>
        <w:jc w:val="center"/>
        <w:rPr>
          <w:rFonts w:cs="Arial"/>
          <w:b/>
          <w:bCs/>
          <w:lang w:val="en-GB"/>
        </w:rPr>
      </w:pPr>
      <w:r w:rsidRPr="004B0336">
        <w:rPr>
          <w:rFonts w:cs="Arial"/>
          <w:lang w:val="en-GB"/>
        </w:rPr>
        <w:t>Word</w:t>
      </w:r>
      <w:r w:rsidR="00141FB4" w:rsidRPr="004B0336">
        <w:rPr>
          <w:rFonts w:cs="Arial"/>
          <w:lang w:val="en-GB"/>
        </w:rPr>
        <w:t xml:space="preserve"> </w:t>
      </w:r>
      <w:r w:rsidRPr="004B0336">
        <w:rPr>
          <w:rFonts w:cs="Arial"/>
          <w:lang w:val="en-GB"/>
        </w:rPr>
        <w:t>count:</w:t>
      </w:r>
      <w:r w:rsidRPr="004B0336">
        <w:rPr>
          <w:rFonts w:cs="Arial"/>
          <w:b/>
          <w:bCs/>
          <w:lang w:val="en-GB"/>
        </w:rPr>
        <w:t xml:space="preserve"> </w:t>
      </w:r>
      <w:r w:rsidR="00141FB4" w:rsidRPr="004B0336">
        <w:rPr>
          <w:rFonts w:cs="Arial"/>
          <w:bCs/>
          <w:lang w:val="en-GB"/>
        </w:rPr>
        <w:t>5050</w:t>
      </w:r>
      <w:r w:rsidR="003D6B3E" w:rsidRPr="004B0336">
        <w:rPr>
          <w:rFonts w:cs="Arial"/>
          <w:b/>
          <w:bCs/>
          <w:lang w:val="en-GB"/>
        </w:rPr>
        <w:br w:type="page"/>
      </w:r>
    </w:p>
    <w:sdt>
      <w:sdtPr>
        <w:rPr>
          <w:rFonts w:ascii="Arial" w:eastAsiaTheme="minorHAnsi" w:hAnsi="Arial" w:cs="Arial"/>
          <w:b/>
          <w:color w:val="000000" w:themeColor="text1"/>
          <w:kern w:val="2"/>
          <w:sz w:val="24"/>
          <w:szCs w:val="24"/>
          <w:lang w:val="en-GB"/>
          <w14:ligatures w14:val="standardContextual"/>
        </w:rPr>
        <w:id w:val="-2037265163"/>
        <w:docPartObj>
          <w:docPartGallery w:val="Table of Contents"/>
          <w:docPartUnique/>
        </w:docPartObj>
      </w:sdtPr>
      <w:sdtEndPr>
        <w:rPr>
          <w:bCs/>
          <w:noProof/>
        </w:rPr>
      </w:sdtEndPr>
      <w:sdtContent>
        <w:p w14:paraId="51A72D1E" w14:textId="29EEA553" w:rsidR="00EE1D8B" w:rsidRPr="004B0336" w:rsidRDefault="00EE1D8B" w:rsidP="00C74A08">
          <w:pPr>
            <w:pStyle w:val="TOCHeading"/>
            <w:spacing w:line="360" w:lineRule="auto"/>
            <w:jc w:val="center"/>
            <w:rPr>
              <w:rFonts w:ascii="Arial" w:hAnsi="Arial" w:cs="Arial"/>
              <w:b/>
              <w:color w:val="000000" w:themeColor="text1"/>
              <w:sz w:val="24"/>
              <w:szCs w:val="24"/>
              <w:lang w:val="en-GB"/>
            </w:rPr>
          </w:pPr>
          <w:r w:rsidRPr="004B0336">
            <w:rPr>
              <w:rFonts w:ascii="Arial" w:hAnsi="Arial" w:cs="Arial"/>
              <w:b/>
              <w:color w:val="000000" w:themeColor="text1"/>
              <w:sz w:val="24"/>
              <w:szCs w:val="24"/>
              <w:lang w:val="en-GB"/>
            </w:rPr>
            <w:t>Table of Contents</w:t>
          </w:r>
        </w:p>
        <w:p w14:paraId="22E3D4AC" w14:textId="1B693255" w:rsidR="00DA3E41" w:rsidRPr="004B0336" w:rsidRDefault="00EE1D8B">
          <w:pPr>
            <w:pStyle w:val="TOC1"/>
            <w:tabs>
              <w:tab w:val="right" w:leader="dot" w:pos="9016"/>
            </w:tabs>
            <w:rPr>
              <w:rFonts w:asciiTheme="minorHAnsi" w:eastAsiaTheme="minorEastAsia" w:hAnsiTheme="minorHAnsi" w:cstheme="minorBidi"/>
              <w:noProof/>
              <w:color w:val="auto"/>
              <w:kern w:val="0"/>
              <w:sz w:val="22"/>
              <w:szCs w:val="22"/>
              <w:lang w:val="en-GB" w:eastAsia="en-IN"/>
              <w14:ligatures w14:val="none"/>
            </w:rPr>
          </w:pPr>
          <w:r w:rsidRPr="004B0336">
            <w:rPr>
              <w:rFonts w:cs="Arial"/>
              <w:lang w:val="en-GB"/>
            </w:rPr>
            <w:fldChar w:fldCharType="begin"/>
          </w:r>
          <w:r w:rsidRPr="004B0336">
            <w:rPr>
              <w:rFonts w:cs="Arial"/>
              <w:lang w:val="en-GB"/>
            </w:rPr>
            <w:instrText xml:space="preserve"> TOC \o "1-3" \h \z \u </w:instrText>
          </w:r>
          <w:r w:rsidRPr="004B0336">
            <w:rPr>
              <w:rFonts w:cs="Arial"/>
              <w:lang w:val="en-GB"/>
            </w:rPr>
            <w:fldChar w:fldCharType="separate"/>
          </w:r>
          <w:hyperlink w:anchor="_Toc214898900" w:history="1">
            <w:r w:rsidR="00DA3E41" w:rsidRPr="004B0336">
              <w:rPr>
                <w:rStyle w:val="Hyperlink"/>
                <w:noProof/>
                <w:lang w:val="en-GB"/>
              </w:rPr>
              <w:t>Introduction</w:t>
            </w:r>
            <w:r w:rsidR="00DA3E41" w:rsidRPr="004B0336">
              <w:rPr>
                <w:noProof/>
                <w:webHidden/>
                <w:lang w:val="en-GB"/>
              </w:rPr>
              <w:tab/>
            </w:r>
            <w:r w:rsidR="00DA3E41" w:rsidRPr="004B0336">
              <w:rPr>
                <w:noProof/>
                <w:webHidden/>
                <w:lang w:val="en-GB"/>
              </w:rPr>
              <w:fldChar w:fldCharType="begin"/>
            </w:r>
            <w:r w:rsidR="00DA3E41" w:rsidRPr="004B0336">
              <w:rPr>
                <w:noProof/>
                <w:webHidden/>
                <w:lang w:val="en-GB"/>
              </w:rPr>
              <w:instrText xml:space="preserve"> PAGEREF _Toc214898900 \h </w:instrText>
            </w:r>
            <w:r w:rsidR="00DA3E41" w:rsidRPr="004B0336">
              <w:rPr>
                <w:noProof/>
                <w:webHidden/>
                <w:lang w:val="en-GB"/>
              </w:rPr>
            </w:r>
            <w:r w:rsidR="00DA3E41" w:rsidRPr="004B0336">
              <w:rPr>
                <w:noProof/>
                <w:webHidden/>
                <w:lang w:val="en-GB"/>
              </w:rPr>
              <w:fldChar w:fldCharType="separate"/>
            </w:r>
            <w:r w:rsidR="00DA3E41" w:rsidRPr="004B0336">
              <w:rPr>
                <w:noProof/>
                <w:webHidden/>
                <w:lang w:val="en-GB"/>
              </w:rPr>
              <w:t>3</w:t>
            </w:r>
            <w:r w:rsidR="00DA3E41" w:rsidRPr="004B0336">
              <w:rPr>
                <w:noProof/>
                <w:webHidden/>
                <w:lang w:val="en-GB"/>
              </w:rPr>
              <w:fldChar w:fldCharType="end"/>
            </w:r>
          </w:hyperlink>
        </w:p>
        <w:p w14:paraId="19628801" w14:textId="70D03A81" w:rsidR="00DA3E41" w:rsidRPr="004B0336" w:rsidRDefault="00B9291C">
          <w:pPr>
            <w:pStyle w:val="TOC1"/>
            <w:tabs>
              <w:tab w:val="right" w:leader="dot" w:pos="9016"/>
            </w:tabs>
            <w:rPr>
              <w:rFonts w:asciiTheme="minorHAnsi" w:eastAsiaTheme="minorEastAsia" w:hAnsiTheme="minorHAnsi" w:cstheme="minorBidi"/>
              <w:noProof/>
              <w:color w:val="auto"/>
              <w:kern w:val="0"/>
              <w:sz w:val="22"/>
              <w:szCs w:val="22"/>
              <w:lang w:val="en-GB" w:eastAsia="en-IN"/>
              <w14:ligatures w14:val="none"/>
            </w:rPr>
          </w:pPr>
          <w:hyperlink w:anchor="_Toc214898901" w:history="1">
            <w:r w:rsidR="00DA3E41" w:rsidRPr="004B0336">
              <w:rPr>
                <w:rStyle w:val="Hyperlink"/>
                <w:noProof/>
                <w:lang w:val="en-GB"/>
              </w:rPr>
              <w:t>1. Financial health check</w:t>
            </w:r>
            <w:r w:rsidR="00DA3E41" w:rsidRPr="004B0336">
              <w:rPr>
                <w:noProof/>
                <w:webHidden/>
                <w:lang w:val="en-GB"/>
              </w:rPr>
              <w:tab/>
            </w:r>
            <w:r w:rsidR="00DA3E41" w:rsidRPr="004B0336">
              <w:rPr>
                <w:noProof/>
                <w:webHidden/>
                <w:lang w:val="en-GB"/>
              </w:rPr>
              <w:fldChar w:fldCharType="begin"/>
            </w:r>
            <w:r w:rsidR="00DA3E41" w:rsidRPr="004B0336">
              <w:rPr>
                <w:noProof/>
                <w:webHidden/>
                <w:lang w:val="en-GB"/>
              </w:rPr>
              <w:instrText xml:space="preserve"> PAGEREF _Toc214898901 \h </w:instrText>
            </w:r>
            <w:r w:rsidR="00DA3E41" w:rsidRPr="004B0336">
              <w:rPr>
                <w:noProof/>
                <w:webHidden/>
                <w:lang w:val="en-GB"/>
              </w:rPr>
            </w:r>
            <w:r w:rsidR="00DA3E41" w:rsidRPr="004B0336">
              <w:rPr>
                <w:noProof/>
                <w:webHidden/>
                <w:lang w:val="en-GB"/>
              </w:rPr>
              <w:fldChar w:fldCharType="separate"/>
            </w:r>
            <w:r w:rsidR="00DA3E41" w:rsidRPr="004B0336">
              <w:rPr>
                <w:noProof/>
                <w:webHidden/>
                <w:lang w:val="en-GB"/>
              </w:rPr>
              <w:t>3</w:t>
            </w:r>
            <w:r w:rsidR="00DA3E41" w:rsidRPr="004B0336">
              <w:rPr>
                <w:noProof/>
                <w:webHidden/>
                <w:lang w:val="en-GB"/>
              </w:rPr>
              <w:fldChar w:fldCharType="end"/>
            </w:r>
          </w:hyperlink>
        </w:p>
        <w:p w14:paraId="740846B5" w14:textId="43F4D012" w:rsidR="00DA3E41" w:rsidRPr="004B0336" w:rsidRDefault="00B9291C">
          <w:pPr>
            <w:pStyle w:val="TOC2"/>
            <w:tabs>
              <w:tab w:val="right" w:leader="dot" w:pos="9016"/>
            </w:tabs>
            <w:rPr>
              <w:rFonts w:asciiTheme="minorHAnsi" w:eastAsiaTheme="minorEastAsia" w:hAnsiTheme="minorHAnsi" w:cstheme="minorBidi"/>
              <w:noProof/>
              <w:color w:val="auto"/>
              <w:kern w:val="0"/>
              <w:sz w:val="22"/>
              <w:szCs w:val="22"/>
              <w:lang w:val="en-GB" w:eastAsia="en-IN"/>
              <w14:ligatures w14:val="none"/>
            </w:rPr>
          </w:pPr>
          <w:hyperlink w:anchor="_Toc214898902" w:history="1">
            <w:r w:rsidR="00DA3E41" w:rsidRPr="004B0336">
              <w:rPr>
                <w:rStyle w:val="Hyperlink"/>
                <w:noProof/>
                <w:lang w:val="en-GB"/>
              </w:rPr>
              <w:t>1.1 Financial statement analysis</w:t>
            </w:r>
            <w:r w:rsidR="00DA3E41" w:rsidRPr="004B0336">
              <w:rPr>
                <w:noProof/>
                <w:webHidden/>
                <w:lang w:val="en-GB"/>
              </w:rPr>
              <w:tab/>
            </w:r>
            <w:r w:rsidR="00DA3E41" w:rsidRPr="004B0336">
              <w:rPr>
                <w:noProof/>
                <w:webHidden/>
                <w:lang w:val="en-GB"/>
              </w:rPr>
              <w:fldChar w:fldCharType="begin"/>
            </w:r>
            <w:r w:rsidR="00DA3E41" w:rsidRPr="004B0336">
              <w:rPr>
                <w:noProof/>
                <w:webHidden/>
                <w:lang w:val="en-GB"/>
              </w:rPr>
              <w:instrText xml:space="preserve"> PAGEREF _Toc214898902 \h </w:instrText>
            </w:r>
            <w:r w:rsidR="00DA3E41" w:rsidRPr="004B0336">
              <w:rPr>
                <w:noProof/>
                <w:webHidden/>
                <w:lang w:val="en-GB"/>
              </w:rPr>
            </w:r>
            <w:r w:rsidR="00DA3E41" w:rsidRPr="004B0336">
              <w:rPr>
                <w:noProof/>
                <w:webHidden/>
                <w:lang w:val="en-GB"/>
              </w:rPr>
              <w:fldChar w:fldCharType="separate"/>
            </w:r>
            <w:r w:rsidR="00DA3E41" w:rsidRPr="004B0336">
              <w:rPr>
                <w:noProof/>
                <w:webHidden/>
                <w:lang w:val="en-GB"/>
              </w:rPr>
              <w:t>3</w:t>
            </w:r>
            <w:r w:rsidR="00DA3E41" w:rsidRPr="004B0336">
              <w:rPr>
                <w:noProof/>
                <w:webHidden/>
                <w:lang w:val="en-GB"/>
              </w:rPr>
              <w:fldChar w:fldCharType="end"/>
            </w:r>
          </w:hyperlink>
        </w:p>
        <w:p w14:paraId="7C8D7E5E" w14:textId="3C93A646" w:rsidR="00DA3E41" w:rsidRPr="004B0336" w:rsidRDefault="00B9291C">
          <w:pPr>
            <w:pStyle w:val="TOC2"/>
            <w:tabs>
              <w:tab w:val="right" w:leader="dot" w:pos="9016"/>
            </w:tabs>
            <w:rPr>
              <w:rFonts w:asciiTheme="minorHAnsi" w:eastAsiaTheme="minorEastAsia" w:hAnsiTheme="minorHAnsi" w:cstheme="minorBidi"/>
              <w:noProof/>
              <w:color w:val="auto"/>
              <w:kern w:val="0"/>
              <w:sz w:val="22"/>
              <w:szCs w:val="22"/>
              <w:lang w:val="en-GB" w:eastAsia="en-IN"/>
              <w14:ligatures w14:val="none"/>
            </w:rPr>
          </w:pPr>
          <w:hyperlink w:anchor="_Toc214898903" w:history="1">
            <w:r w:rsidR="00DA3E41" w:rsidRPr="004B0336">
              <w:rPr>
                <w:rStyle w:val="Hyperlink"/>
                <w:noProof/>
                <w:lang w:val="en-GB"/>
              </w:rPr>
              <w:t>1.2 Ratio analysis</w:t>
            </w:r>
            <w:r w:rsidR="00DA3E41" w:rsidRPr="004B0336">
              <w:rPr>
                <w:noProof/>
                <w:webHidden/>
                <w:lang w:val="en-GB"/>
              </w:rPr>
              <w:tab/>
            </w:r>
            <w:r w:rsidR="00DA3E41" w:rsidRPr="004B0336">
              <w:rPr>
                <w:noProof/>
                <w:webHidden/>
                <w:lang w:val="en-GB"/>
              </w:rPr>
              <w:fldChar w:fldCharType="begin"/>
            </w:r>
            <w:r w:rsidR="00DA3E41" w:rsidRPr="004B0336">
              <w:rPr>
                <w:noProof/>
                <w:webHidden/>
                <w:lang w:val="en-GB"/>
              </w:rPr>
              <w:instrText xml:space="preserve"> PAGEREF _Toc214898903 \h </w:instrText>
            </w:r>
            <w:r w:rsidR="00DA3E41" w:rsidRPr="004B0336">
              <w:rPr>
                <w:noProof/>
                <w:webHidden/>
                <w:lang w:val="en-GB"/>
              </w:rPr>
            </w:r>
            <w:r w:rsidR="00DA3E41" w:rsidRPr="004B0336">
              <w:rPr>
                <w:noProof/>
                <w:webHidden/>
                <w:lang w:val="en-GB"/>
              </w:rPr>
              <w:fldChar w:fldCharType="separate"/>
            </w:r>
            <w:r w:rsidR="00DA3E41" w:rsidRPr="004B0336">
              <w:rPr>
                <w:noProof/>
                <w:webHidden/>
                <w:lang w:val="en-GB"/>
              </w:rPr>
              <w:t>4</w:t>
            </w:r>
            <w:r w:rsidR="00DA3E41" w:rsidRPr="004B0336">
              <w:rPr>
                <w:noProof/>
                <w:webHidden/>
                <w:lang w:val="en-GB"/>
              </w:rPr>
              <w:fldChar w:fldCharType="end"/>
            </w:r>
          </w:hyperlink>
        </w:p>
        <w:p w14:paraId="5B35DCA6" w14:textId="498E1E73" w:rsidR="00DA3E41" w:rsidRPr="004B0336" w:rsidRDefault="00B9291C">
          <w:pPr>
            <w:pStyle w:val="TOC2"/>
            <w:tabs>
              <w:tab w:val="right" w:leader="dot" w:pos="9016"/>
            </w:tabs>
            <w:rPr>
              <w:rFonts w:asciiTheme="minorHAnsi" w:eastAsiaTheme="minorEastAsia" w:hAnsiTheme="minorHAnsi" w:cstheme="minorBidi"/>
              <w:noProof/>
              <w:color w:val="auto"/>
              <w:kern w:val="0"/>
              <w:sz w:val="22"/>
              <w:szCs w:val="22"/>
              <w:lang w:val="en-GB" w:eastAsia="en-IN"/>
              <w14:ligatures w14:val="none"/>
            </w:rPr>
          </w:pPr>
          <w:hyperlink w:anchor="_Toc214898904" w:history="1">
            <w:r w:rsidR="00DA3E41" w:rsidRPr="004B0336">
              <w:rPr>
                <w:rStyle w:val="Hyperlink"/>
                <w:noProof/>
                <w:lang w:val="en-GB"/>
              </w:rPr>
              <w:t>1.3 Identification and trends, strengths and threats of the ratio analysis</w:t>
            </w:r>
            <w:r w:rsidR="00DA3E41" w:rsidRPr="004B0336">
              <w:rPr>
                <w:noProof/>
                <w:webHidden/>
                <w:lang w:val="en-GB"/>
              </w:rPr>
              <w:tab/>
            </w:r>
            <w:r w:rsidR="00DA3E41" w:rsidRPr="004B0336">
              <w:rPr>
                <w:noProof/>
                <w:webHidden/>
                <w:lang w:val="en-GB"/>
              </w:rPr>
              <w:fldChar w:fldCharType="begin"/>
            </w:r>
            <w:r w:rsidR="00DA3E41" w:rsidRPr="004B0336">
              <w:rPr>
                <w:noProof/>
                <w:webHidden/>
                <w:lang w:val="en-GB"/>
              </w:rPr>
              <w:instrText xml:space="preserve"> PAGEREF _Toc214898904 \h </w:instrText>
            </w:r>
            <w:r w:rsidR="00DA3E41" w:rsidRPr="004B0336">
              <w:rPr>
                <w:noProof/>
                <w:webHidden/>
                <w:lang w:val="en-GB"/>
              </w:rPr>
            </w:r>
            <w:r w:rsidR="00DA3E41" w:rsidRPr="004B0336">
              <w:rPr>
                <w:noProof/>
                <w:webHidden/>
                <w:lang w:val="en-GB"/>
              </w:rPr>
              <w:fldChar w:fldCharType="separate"/>
            </w:r>
            <w:r w:rsidR="00DA3E41" w:rsidRPr="004B0336">
              <w:rPr>
                <w:noProof/>
                <w:webHidden/>
                <w:lang w:val="en-GB"/>
              </w:rPr>
              <w:t>6</w:t>
            </w:r>
            <w:r w:rsidR="00DA3E41" w:rsidRPr="004B0336">
              <w:rPr>
                <w:noProof/>
                <w:webHidden/>
                <w:lang w:val="en-GB"/>
              </w:rPr>
              <w:fldChar w:fldCharType="end"/>
            </w:r>
          </w:hyperlink>
        </w:p>
        <w:p w14:paraId="3C5EB9ED" w14:textId="61C63CF6" w:rsidR="00DA3E41" w:rsidRPr="004B0336" w:rsidRDefault="00B9291C">
          <w:pPr>
            <w:pStyle w:val="TOC2"/>
            <w:tabs>
              <w:tab w:val="right" w:leader="dot" w:pos="9016"/>
            </w:tabs>
            <w:rPr>
              <w:rFonts w:asciiTheme="minorHAnsi" w:eastAsiaTheme="minorEastAsia" w:hAnsiTheme="minorHAnsi" w:cstheme="minorBidi"/>
              <w:noProof/>
              <w:color w:val="auto"/>
              <w:kern w:val="0"/>
              <w:sz w:val="22"/>
              <w:szCs w:val="22"/>
              <w:lang w:val="en-GB" w:eastAsia="en-IN"/>
              <w14:ligatures w14:val="none"/>
            </w:rPr>
          </w:pPr>
          <w:hyperlink w:anchor="_Toc214898905" w:history="1">
            <w:r w:rsidR="00DA3E41" w:rsidRPr="004B0336">
              <w:rPr>
                <w:rStyle w:val="Hyperlink"/>
                <w:noProof/>
                <w:lang w:val="en-GB"/>
              </w:rPr>
              <w:t>1.4 Altman Z-Score Assessment: Default Risk Analysis</w:t>
            </w:r>
            <w:r w:rsidR="00DA3E41" w:rsidRPr="004B0336">
              <w:rPr>
                <w:noProof/>
                <w:webHidden/>
                <w:lang w:val="en-GB"/>
              </w:rPr>
              <w:tab/>
            </w:r>
            <w:r w:rsidR="00DA3E41" w:rsidRPr="004B0336">
              <w:rPr>
                <w:noProof/>
                <w:webHidden/>
                <w:lang w:val="en-GB"/>
              </w:rPr>
              <w:fldChar w:fldCharType="begin"/>
            </w:r>
            <w:r w:rsidR="00DA3E41" w:rsidRPr="004B0336">
              <w:rPr>
                <w:noProof/>
                <w:webHidden/>
                <w:lang w:val="en-GB"/>
              </w:rPr>
              <w:instrText xml:space="preserve"> PAGEREF _Toc214898905 \h </w:instrText>
            </w:r>
            <w:r w:rsidR="00DA3E41" w:rsidRPr="004B0336">
              <w:rPr>
                <w:noProof/>
                <w:webHidden/>
                <w:lang w:val="en-GB"/>
              </w:rPr>
            </w:r>
            <w:r w:rsidR="00DA3E41" w:rsidRPr="004B0336">
              <w:rPr>
                <w:noProof/>
                <w:webHidden/>
                <w:lang w:val="en-GB"/>
              </w:rPr>
              <w:fldChar w:fldCharType="separate"/>
            </w:r>
            <w:r w:rsidR="00DA3E41" w:rsidRPr="004B0336">
              <w:rPr>
                <w:noProof/>
                <w:webHidden/>
                <w:lang w:val="en-GB"/>
              </w:rPr>
              <w:t>7</w:t>
            </w:r>
            <w:r w:rsidR="00DA3E41" w:rsidRPr="004B0336">
              <w:rPr>
                <w:noProof/>
                <w:webHidden/>
                <w:lang w:val="en-GB"/>
              </w:rPr>
              <w:fldChar w:fldCharType="end"/>
            </w:r>
          </w:hyperlink>
        </w:p>
        <w:p w14:paraId="190F88F9" w14:textId="0A180EF9" w:rsidR="00DA3E41" w:rsidRPr="004B0336" w:rsidRDefault="00B9291C">
          <w:pPr>
            <w:pStyle w:val="TOC1"/>
            <w:tabs>
              <w:tab w:val="right" w:leader="dot" w:pos="9016"/>
            </w:tabs>
            <w:rPr>
              <w:rFonts w:asciiTheme="minorHAnsi" w:eastAsiaTheme="minorEastAsia" w:hAnsiTheme="minorHAnsi" w:cstheme="minorBidi"/>
              <w:noProof/>
              <w:color w:val="auto"/>
              <w:kern w:val="0"/>
              <w:sz w:val="22"/>
              <w:szCs w:val="22"/>
              <w:lang w:val="en-GB" w:eastAsia="en-IN"/>
              <w14:ligatures w14:val="none"/>
            </w:rPr>
          </w:pPr>
          <w:hyperlink w:anchor="_Toc214898906" w:history="1">
            <w:r w:rsidR="00DA3E41" w:rsidRPr="004B0336">
              <w:rPr>
                <w:rStyle w:val="Hyperlink"/>
                <w:noProof/>
                <w:lang w:val="en-GB"/>
              </w:rPr>
              <w:t>2.0 Working Capital Management Analysis</w:t>
            </w:r>
            <w:r w:rsidR="00DA3E41" w:rsidRPr="004B0336">
              <w:rPr>
                <w:noProof/>
                <w:webHidden/>
                <w:lang w:val="en-GB"/>
              </w:rPr>
              <w:tab/>
            </w:r>
            <w:r w:rsidR="00DA3E41" w:rsidRPr="004B0336">
              <w:rPr>
                <w:noProof/>
                <w:webHidden/>
                <w:lang w:val="en-GB"/>
              </w:rPr>
              <w:fldChar w:fldCharType="begin"/>
            </w:r>
            <w:r w:rsidR="00DA3E41" w:rsidRPr="004B0336">
              <w:rPr>
                <w:noProof/>
                <w:webHidden/>
                <w:lang w:val="en-GB"/>
              </w:rPr>
              <w:instrText xml:space="preserve"> PAGEREF _Toc214898906 \h </w:instrText>
            </w:r>
            <w:r w:rsidR="00DA3E41" w:rsidRPr="004B0336">
              <w:rPr>
                <w:noProof/>
                <w:webHidden/>
                <w:lang w:val="en-GB"/>
              </w:rPr>
            </w:r>
            <w:r w:rsidR="00DA3E41" w:rsidRPr="004B0336">
              <w:rPr>
                <w:noProof/>
                <w:webHidden/>
                <w:lang w:val="en-GB"/>
              </w:rPr>
              <w:fldChar w:fldCharType="separate"/>
            </w:r>
            <w:r w:rsidR="00DA3E41" w:rsidRPr="004B0336">
              <w:rPr>
                <w:noProof/>
                <w:webHidden/>
                <w:lang w:val="en-GB"/>
              </w:rPr>
              <w:t>8</w:t>
            </w:r>
            <w:r w:rsidR="00DA3E41" w:rsidRPr="004B0336">
              <w:rPr>
                <w:noProof/>
                <w:webHidden/>
                <w:lang w:val="en-GB"/>
              </w:rPr>
              <w:fldChar w:fldCharType="end"/>
            </w:r>
          </w:hyperlink>
        </w:p>
        <w:p w14:paraId="04068410" w14:textId="1AB1AF4C" w:rsidR="00DA3E41" w:rsidRPr="004B0336" w:rsidRDefault="00B9291C">
          <w:pPr>
            <w:pStyle w:val="TOC2"/>
            <w:tabs>
              <w:tab w:val="right" w:leader="dot" w:pos="9016"/>
            </w:tabs>
            <w:rPr>
              <w:rFonts w:asciiTheme="minorHAnsi" w:eastAsiaTheme="minorEastAsia" w:hAnsiTheme="minorHAnsi" w:cstheme="minorBidi"/>
              <w:noProof/>
              <w:color w:val="auto"/>
              <w:kern w:val="0"/>
              <w:sz w:val="22"/>
              <w:szCs w:val="22"/>
              <w:lang w:val="en-GB" w:eastAsia="en-IN"/>
              <w14:ligatures w14:val="none"/>
            </w:rPr>
          </w:pPr>
          <w:hyperlink w:anchor="_Toc214898907" w:history="1">
            <w:r w:rsidR="00DA3E41" w:rsidRPr="004B0336">
              <w:rPr>
                <w:rStyle w:val="Hyperlink"/>
                <w:noProof/>
                <w:lang w:val="en-GB"/>
              </w:rPr>
              <w:t>2.1 Cash Operating Cycle (COC)</w:t>
            </w:r>
            <w:r w:rsidR="00DA3E41" w:rsidRPr="004B0336">
              <w:rPr>
                <w:noProof/>
                <w:webHidden/>
                <w:lang w:val="en-GB"/>
              </w:rPr>
              <w:tab/>
            </w:r>
            <w:r w:rsidR="00DA3E41" w:rsidRPr="004B0336">
              <w:rPr>
                <w:noProof/>
                <w:webHidden/>
                <w:lang w:val="en-GB"/>
              </w:rPr>
              <w:fldChar w:fldCharType="begin"/>
            </w:r>
            <w:r w:rsidR="00DA3E41" w:rsidRPr="004B0336">
              <w:rPr>
                <w:noProof/>
                <w:webHidden/>
                <w:lang w:val="en-GB"/>
              </w:rPr>
              <w:instrText xml:space="preserve"> PAGEREF _Toc214898907 \h </w:instrText>
            </w:r>
            <w:r w:rsidR="00DA3E41" w:rsidRPr="004B0336">
              <w:rPr>
                <w:noProof/>
                <w:webHidden/>
                <w:lang w:val="en-GB"/>
              </w:rPr>
            </w:r>
            <w:r w:rsidR="00DA3E41" w:rsidRPr="004B0336">
              <w:rPr>
                <w:noProof/>
                <w:webHidden/>
                <w:lang w:val="en-GB"/>
              </w:rPr>
              <w:fldChar w:fldCharType="separate"/>
            </w:r>
            <w:r w:rsidR="00DA3E41" w:rsidRPr="004B0336">
              <w:rPr>
                <w:noProof/>
                <w:webHidden/>
                <w:lang w:val="en-GB"/>
              </w:rPr>
              <w:t>8</w:t>
            </w:r>
            <w:r w:rsidR="00DA3E41" w:rsidRPr="004B0336">
              <w:rPr>
                <w:noProof/>
                <w:webHidden/>
                <w:lang w:val="en-GB"/>
              </w:rPr>
              <w:fldChar w:fldCharType="end"/>
            </w:r>
          </w:hyperlink>
        </w:p>
        <w:p w14:paraId="090517DB" w14:textId="246DBB60" w:rsidR="00DA3E41" w:rsidRPr="004B0336" w:rsidRDefault="00B9291C">
          <w:pPr>
            <w:pStyle w:val="TOC2"/>
            <w:tabs>
              <w:tab w:val="right" w:leader="dot" w:pos="9016"/>
            </w:tabs>
            <w:rPr>
              <w:rFonts w:asciiTheme="minorHAnsi" w:eastAsiaTheme="minorEastAsia" w:hAnsiTheme="minorHAnsi" w:cstheme="minorBidi"/>
              <w:noProof/>
              <w:color w:val="auto"/>
              <w:kern w:val="0"/>
              <w:sz w:val="22"/>
              <w:szCs w:val="22"/>
              <w:lang w:val="en-GB" w:eastAsia="en-IN"/>
              <w14:ligatures w14:val="none"/>
            </w:rPr>
          </w:pPr>
          <w:hyperlink w:anchor="_Toc214898908" w:history="1">
            <w:r w:rsidR="00DA3E41" w:rsidRPr="004B0336">
              <w:rPr>
                <w:rStyle w:val="Hyperlink"/>
                <w:noProof/>
                <w:lang w:val="en-GB"/>
              </w:rPr>
              <w:t>2.2 Strategies to Improve Liquidity through Working Capital Reforms</w:t>
            </w:r>
            <w:r w:rsidR="00DA3E41" w:rsidRPr="004B0336">
              <w:rPr>
                <w:noProof/>
                <w:webHidden/>
                <w:lang w:val="en-GB"/>
              </w:rPr>
              <w:tab/>
            </w:r>
            <w:r w:rsidR="00DA3E41" w:rsidRPr="004B0336">
              <w:rPr>
                <w:noProof/>
                <w:webHidden/>
                <w:lang w:val="en-GB"/>
              </w:rPr>
              <w:fldChar w:fldCharType="begin"/>
            </w:r>
            <w:r w:rsidR="00DA3E41" w:rsidRPr="004B0336">
              <w:rPr>
                <w:noProof/>
                <w:webHidden/>
                <w:lang w:val="en-GB"/>
              </w:rPr>
              <w:instrText xml:space="preserve"> PAGEREF _Toc214898908 \h </w:instrText>
            </w:r>
            <w:r w:rsidR="00DA3E41" w:rsidRPr="004B0336">
              <w:rPr>
                <w:noProof/>
                <w:webHidden/>
                <w:lang w:val="en-GB"/>
              </w:rPr>
            </w:r>
            <w:r w:rsidR="00DA3E41" w:rsidRPr="004B0336">
              <w:rPr>
                <w:noProof/>
                <w:webHidden/>
                <w:lang w:val="en-GB"/>
              </w:rPr>
              <w:fldChar w:fldCharType="separate"/>
            </w:r>
            <w:r w:rsidR="00DA3E41" w:rsidRPr="004B0336">
              <w:rPr>
                <w:noProof/>
                <w:webHidden/>
                <w:lang w:val="en-GB"/>
              </w:rPr>
              <w:t>9</w:t>
            </w:r>
            <w:r w:rsidR="00DA3E41" w:rsidRPr="004B0336">
              <w:rPr>
                <w:noProof/>
                <w:webHidden/>
                <w:lang w:val="en-GB"/>
              </w:rPr>
              <w:fldChar w:fldCharType="end"/>
            </w:r>
          </w:hyperlink>
        </w:p>
        <w:p w14:paraId="2370EF52" w14:textId="6ABE87AC" w:rsidR="00DA3E41" w:rsidRPr="004B0336" w:rsidRDefault="00B9291C">
          <w:pPr>
            <w:pStyle w:val="TOC2"/>
            <w:tabs>
              <w:tab w:val="right" w:leader="dot" w:pos="9016"/>
            </w:tabs>
            <w:rPr>
              <w:rFonts w:asciiTheme="minorHAnsi" w:eastAsiaTheme="minorEastAsia" w:hAnsiTheme="minorHAnsi" w:cstheme="minorBidi"/>
              <w:noProof/>
              <w:color w:val="auto"/>
              <w:kern w:val="0"/>
              <w:sz w:val="22"/>
              <w:szCs w:val="22"/>
              <w:lang w:val="en-GB" w:eastAsia="en-IN"/>
              <w14:ligatures w14:val="none"/>
            </w:rPr>
          </w:pPr>
          <w:hyperlink w:anchor="_Toc214898909" w:history="1">
            <w:r w:rsidR="00DA3E41" w:rsidRPr="004B0336">
              <w:rPr>
                <w:rStyle w:val="Hyperlink"/>
                <w:noProof/>
                <w:lang w:val="en-GB"/>
              </w:rPr>
              <w:t>2.2 Short-term vs Long-term Financing Options</w:t>
            </w:r>
            <w:r w:rsidR="00DA3E41" w:rsidRPr="004B0336">
              <w:rPr>
                <w:noProof/>
                <w:webHidden/>
                <w:lang w:val="en-GB"/>
              </w:rPr>
              <w:tab/>
            </w:r>
            <w:r w:rsidR="00DA3E41" w:rsidRPr="004B0336">
              <w:rPr>
                <w:noProof/>
                <w:webHidden/>
                <w:lang w:val="en-GB"/>
              </w:rPr>
              <w:fldChar w:fldCharType="begin"/>
            </w:r>
            <w:r w:rsidR="00DA3E41" w:rsidRPr="004B0336">
              <w:rPr>
                <w:noProof/>
                <w:webHidden/>
                <w:lang w:val="en-GB"/>
              </w:rPr>
              <w:instrText xml:space="preserve"> PAGEREF _Toc214898909 \h </w:instrText>
            </w:r>
            <w:r w:rsidR="00DA3E41" w:rsidRPr="004B0336">
              <w:rPr>
                <w:noProof/>
                <w:webHidden/>
                <w:lang w:val="en-GB"/>
              </w:rPr>
            </w:r>
            <w:r w:rsidR="00DA3E41" w:rsidRPr="004B0336">
              <w:rPr>
                <w:noProof/>
                <w:webHidden/>
                <w:lang w:val="en-GB"/>
              </w:rPr>
              <w:fldChar w:fldCharType="separate"/>
            </w:r>
            <w:r w:rsidR="00DA3E41" w:rsidRPr="004B0336">
              <w:rPr>
                <w:noProof/>
                <w:webHidden/>
                <w:lang w:val="en-GB"/>
              </w:rPr>
              <w:t>10</w:t>
            </w:r>
            <w:r w:rsidR="00DA3E41" w:rsidRPr="004B0336">
              <w:rPr>
                <w:noProof/>
                <w:webHidden/>
                <w:lang w:val="en-GB"/>
              </w:rPr>
              <w:fldChar w:fldCharType="end"/>
            </w:r>
          </w:hyperlink>
        </w:p>
        <w:p w14:paraId="3E99F08F" w14:textId="6DC9BF53" w:rsidR="00DA3E41" w:rsidRPr="004B0336" w:rsidRDefault="00B9291C">
          <w:pPr>
            <w:pStyle w:val="TOC1"/>
            <w:tabs>
              <w:tab w:val="right" w:leader="dot" w:pos="9016"/>
            </w:tabs>
            <w:rPr>
              <w:rFonts w:asciiTheme="minorHAnsi" w:eastAsiaTheme="minorEastAsia" w:hAnsiTheme="minorHAnsi" w:cstheme="minorBidi"/>
              <w:noProof/>
              <w:color w:val="auto"/>
              <w:kern w:val="0"/>
              <w:sz w:val="22"/>
              <w:szCs w:val="22"/>
              <w:lang w:val="en-GB" w:eastAsia="en-IN"/>
              <w14:ligatures w14:val="none"/>
            </w:rPr>
          </w:pPr>
          <w:hyperlink w:anchor="_Toc214898910" w:history="1">
            <w:r w:rsidR="00DA3E41" w:rsidRPr="004B0336">
              <w:rPr>
                <w:rStyle w:val="Hyperlink"/>
                <w:noProof/>
                <w:lang w:val="en-GB"/>
              </w:rPr>
              <w:t>3.0 Strategic Financial Restructuring Plan</w:t>
            </w:r>
            <w:r w:rsidR="00DA3E41" w:rsidRPr="004B0336">
              <w:rPr>
                <w:noProof/>
                <w:webHidden/>
                <w:lang w:val="en-GB"/>
              </w:rPr>
              <w:tab/>
            </w:r>
            <w:r w:rsidR="00DA3E41" w:rsidRPr="004B0336">
              <w:rPr>
                <w:noProof/>
                <w:webHidden/>
                <w:lang w:val="en-GB"/>
              </w:rPr>
              <w:fldChar w:fldCharType="begin"/>
            </w:r>
            <w:r w:rsidR="00DA3E41" w:rsidRPr="004B0336">
              <w:rPr>
                <w:noProof/>
                <w:webHidden/>
                <w:lang w:val="en-GB"/>
              </w:rPr>
              <w:instrText xml:space="preserve"> PAGEREF _Toc214898910 \h </w:instrText>
            </w:r>
            <w:r w:rsidR="00DA3E41" w:rsidRPr="004B0336">
              <w:rPr>
                <w:noProof/>
                <w:webHidden/>
                <w:lang w:val="en-GB"/>
              </w:rPr>
            </w:r>
            <w:r w:rsidR="00DA3E41" w:rsidRPr="004B0336">
              <w:rPr>
                <w:noProof/>
                <w:webHidden/>
                <w:lang w:val="en-GB"/>
              </w:rPr>
              <w:fldChar w:fldCharType="separate"/>
            </w:r>
            <w:r w:rsidR="00DA3E41" w:rsidRPr="004B0336">
              <w:rPr>
                <w:noProof/>
                <w:webHidden/>
                <w:lang w:val="en-GB"/>
              </w:rPr>
              <w:t>11</w:t>
            </w:r>
            <w:r w:rsidR="00DA3E41" w:rsidRPr="004B0336">
              <w:rPr>
                <w:noProof/>
                <w:webHidden/>
                <w:lang w:val="en-GB"/>
              </w:rPr>
              <w:fldChar w:fldCharType="end"/>
            </w:r>
          </w:hyperlink>
        </w:p>
        <w:p w14:paraId="32AE7AA3" w14:textId="3DC556BD" w:rsidR="00DA3E41" w:rsidRPr="004B0336" w:rsidRDefault="00B9291C">
          <w:pPr>
            <w:pStyle w:val="TOC2"/>
            <w:tabs>
              <w:tab w:val="right" w:leader="dot" w:pos="9016"/>
            </w:tabs>
            <w:rPr>
              <w:rFonts w:asciiTheme="minorHAnsi" w:eastAsiaTheme="minorEastAsia" w:hAnsiTheme="minorHAnsi" w:cstheme="minorBidi"/>
              <w:noProof/>
              <w:color w:val="auto"/>
              <w:kern w:val="0"/>
              <w:sz w:val="22"/>
              <w:szCs w:val="22"/>
              <w:lang w:val="en-GB" w:eastAsia="en-IN"/>
              <w14:ligatures w14:val="none"/>
            </w:rPr>
          </w:pPr>
          <w:hyperlink w:anchor="_Toc214898911" w:history="1">
            <w:r w:rsidR="00DA3E41" w:rsidRPr="004B0336">
              <w:rPr>
                <w:rStyle w:val="Hyperlink"/>
                <w:noProof/>
                <w:lang w:val="en-GB"/>
              </w:rPr>
              <w:t>3.1 Recommendation of Financial Restructuring Options</w:t>
            </w:r>
            <w:r w:rsidR="00DA3E41" w:rsidRPr="004B0336">
              <w:rPr>
                <w:noProof/>
                <w:webHidden/>
                <w:lang w:val="en-GB"/>
              </w:rPr>
              <w:tab/>
            </w:r>
            <w:r w:rsidR="00DA3E41" w:rsidRPr="004B0336">
              <w:rPr>
                <w:noProof/>
                <w:webHidden/>
                <w:lang w:val="en-GB"/>
              </w:rPr>
              <w:fldChar w:fldCharType="begin"/>
            </w:r>
            <w:r w:rsidR="00DA3E41" w:rsidRPr="004B0336">
              <w:rPr>
                <w:noProof/>
                <w:webHidden/>
                <w:lang w:val="en-GB"/>
              </w:rPr>
              <w:instrText xml:space="preserve"> PAGEREF _Toc214898911 \h </w:instrText>
            </w:r>
            <w:r w:rsidR="00DA3E41" w:rsidRPr="004B0336">
              <w:rPr>
                <w:noProof/>
                <w:webHidden/>
                <w:lang w:val="en-GB"/>
              </w:rPr>
            </w:r>
            <w:r w:rsidR="00DA3E41" w:rsidRPr="004B0336">
              <w:rPr>
                <w:noProof/>
                <w:webHidden/>
                <w:lang w:val="en-GB"/>
              </w:rPr>
              <w:fldChar w:fldCharType="separate"/>
            </w:r>
            <w:r w:rsidR="00DA3E41" w:rsidRPr="004B0336">
              <w:rPr>
                <w:noProof/>
                <w:webHidden/>
                <w:lang w:val="en-GB"/>
              </w:rPr>
              <w:t>11</w:t>
            </w:r>
            <w:r w:rsidR="00DA3E41" w:rsidRPr="004B0336">
              <w:rPr>
                <w:noProof/>
                <w:webHidden/>
                <w:lang w:val="en-GB"/>
              </w:rPr>
              <w:fldChar w:fldCharType="end"/>
            </w:r>
          </w:hyperlink>
        </w:p>
        <w:p w14:paraId="6AA38D23" w14:textId="6BF93B95" w:rsidR="00DA3E41" w:rsidRPr="004B0336" w:rsidRDefault="00B9291C">
          <w:pPr>
            <w:pStyle w:val="TOC2"/>
            <w:tabs>
              <w:tab w:val="right" w:leader="dot" w:pos="9016"/>
            </w:tabs>
            <w:rPr>
              <w:rFonts w:asciiTheme="minorHAnsi" w:eastAsiaTheme="minorEastAsia" w:hAnsiTheme="minorHAnsi" w:cstheme="minorBidi"/>
              <w:noProof/>
              <w:color w:val="auto"/>
              <w:kern w:val="0"/>
              <w:sz w:val="22"/>
              <w:szCs w:val="22"/>
              <w:lang w:val="en-GB" w:eastAsia="en-IN"/>
              <w14:ligatures w14:val="none"/>
            </w:rPr>
          </w:pPr>
          <w:hyperlink w:anchor="_Toc214898912" w:history="1">
            <w:r w:rsidR="00DA3E41" w:rsidRPr="004B0336">
              <w:rPr>
                <w:rStyle w:val="Hyperlink"/>
                <w:noProof/>
                <w:lang w:val="en-GB"/>
              </w:rPr>
              <w:t>3.2 Impact on Shareholder Value, Debt Structure, and Operational Flexibility</w:t>
            </w:r>
            <w:r w:rsidR="00DA3E41" w:rsidRPr="004B0336">
              <w:rPr>
                <w:noProof/>
                <w:webHidden/>
                <w:lang w:val="en-GB"/>
              </w:rPr>
              <w:tab/>
            </w:r>
            <w:r w:rsidR="00DA3E41" w:rsidRPr="004B0336">
              <w:rPr>
                <w:noProof/>
                <w:webHidden/>
                <w:lang w:val="en-GB"/>
              </w:rPr>
              <w:fldChar w:fldCharType="begin"/>
            </w:r>
            <w:r w:rsidR="00DA3E41" w:rsidRPr="004B0336">
              <w:rPr>
                <w:noProof/>
                <w:webHidden/>
                <w:lang w:val="en-GB"/>
              </w:rPr>
              <w:instrText xml:space="preserve"> PAGEREF _Toc214898912 \h </w:instrText>
            </w:r>
            <w:r w:rsidR="00DA3E41" w:rsidRPr="004B0336">
              <w:rPr>
                <w:noProof/>
                <w:webHidden/>
                <w:lang w:val="en-GB"/>
              </w:rPr>
            </w:r>
            <w:r w:rsidR="00DA3E41" w:rsidRPr="004B0336">
              <w:rPr>
                <w:noProof/>
                <w:webHidden/>
                <w:lang w:val="en-GB"/>
              </w:rPr>
              <w:fldChar w:fldCharType="separate"/>
            </w:r>
            <w:r w:rsidR="00DA3E41" w:rsidRPr="004B0336">
              <w:rPr>
                <w:noProof/>
                <w:webHidden/>
                <w:lang w:val="en-GB"/>
              </w:rPr>
              <w:t>13</w:t>
            </w:r>
            <w:r w:rsidR="00DA3E41" w:rsidRPr="004B0336">
              <w:rPr>
                <w:noProof/>
                <w:webHidden/>
                <w:lang w:val="en-GB"/>
              </w:rPr>
              <w:fldChar w:fldCharType="end"/>
            </w:r>
          </w:hyperlink>
        </w:p>
        <w:p w14:paraId="1F6A7453" w14:textId="1A407635" w:rsidR="00DA3E41" w:rsidRPr="004B0336" w:rsidRDefault="00B9291C">
          <w:pPr>
            <w:pStyle w:val="TOC2"/>
            <w:tabs>
              <w:tab w:val="right" w:leader="dot" w:pos="9016"/>
            </w:tabs>
            <w:rPr>
              <w:rFonts w:asciiTheme="minorHAnsi" w:eastAsiaTheme="minorEastAsia" w:hAnsiTheme="minorHAnsi" w:cstheme="minorBidi"/>
              <w:noProof/>
              <w:color w:val="auto"/>
              <w:kern w:val="0"/>
              <w:sz w:val="22"/>
              <w:szCs w:val="22"/>
              <w:lang w:val="en-GB" w:eastAsia="en-IN"/>
              <w14:ligatures w14:val="none"/>
            </w:rPr>
          </w:pPr>
          <w:hyperlink w:anchor="_Toc214898913" w:history="1">
            <w:r w:rsidR="00DA3E41" w:rsidRPr="004B0336">
              <w:rPr>
                <w:rStyle w:val="Hyperlink"/>
                <w:noProof/>
                <w:lang w:val="en-GB"/>
              </w:rPr>
              <w:t>3.3 International and Ethical Considerations</w:t>
            </w:r>
            <w:r w:rsidR="00DA3E41" w:rsidRPr="004B0336">
              <w:rPr>
                <w:noProof/>
                <w:webHidden/>
                <w:lang w:val="en-GB"/>
              </w:rPr>
              <w:tab/>
            </w:r>
            <w:r w:rsidR="00DA3E41" w:rsidRPr="004B0336">
              <w:rPr>
                <w:noProof/>
                <w:webHidden/>
                <w:lang w:val="en-GB"/>
              </w:rPr>
              <w:fldChar w:fldCharType="begin"/>
            </w:r>
            <w:r w:rsidR="00DA3E41" w:rsidRPr="004B0336">
              <w:rPr>
                <w:noProof/>
                <w:webHidden/>
                <w:lang w:val="en-GB"/>
              </w:rPr>
              <w:instrText xml:space="preserve"> PAGEREF _Toc214898913 \h </w:instrText>
            </w:r>
            <w:r w:rsidR="00DA3E41" w:rsidRPr="004B0336">
              <w:rPr>
                <w:noProof/>
                <w:webHidden/>
                <w:lang w:val="en-GB"/>
              </w:rPr>
            </w:r>
            <w:r w:rsidR="00DA3E41" w:rsidRPr="004B0336">
              <w:rPr>
                <w:noProof/>
                <w:webHidden/>
                <w:lang w:val="en-GB"/>
              </w:rPr>
              <w:fldChar w:fldCharType="separate"/>
            </w:r>
            <w:r w:rsidR="00DA3E41" w:rsidRPr="004B0336">
              <w:rPr>
                <w:noProof/>
                <w:webHidden/>
                <w:lang w:val="en-GB"/>
              </w:rPr>
              <w:t>13</w:t>
            </w:r>
            <w:r w:rsidR="00DA3E41" w:rsidRPr="004B0336">
              <w:rPr>
                <w:noProof/>
                <w:webHidden/>
                <w:lang w:val="en-GB"/>
              </w:rPr>
              <w:fldChar w:fldCharType="end"/>
            </w:r>
          </w:hyperlink>
        </w:p>
        <w:p w14:paraId="51FD4A40" w14:textId="731D0111" w:rsidR="00DA3E41" w:rsidRPr="004B0336" w:rsidRDefault="00B9291C">
          <w:pPr>
            <w:pStyle w:val="TOC1"/>
            <w:tabs>
              <w:tab w:val="right" w:leader="dot" w:pos="9016"/>
            </w:tabs>
            <w:rPr>
              <w:rFonts w:asciiTheme="minorHAnsi" w:eastAsiaTheme="minorEastAsia" w:hAnsiTheme="minorHAnsi" w:cstheme="minorBidi"/>
              <w:noProof/>
              <w:color w:val="auto"/>
              <w:kern w:val="0"/>
              <w:sz w:val="22"/>
              <w:szCs w:val="22"/>
              <w:lang w:val="en-GB" w:eastAsia="en-IN"/>
              <w14:ligatures w14:val="none"/>
            </w:rPr>
          </w:pPr>
          <w:hyperlink w:anchor="_Toc214898914" w:history="1">
            <w:r w:rsidR="00DA3E41" w:rsidRPr="004B0336">
              <w:rPr>
                <w:rStyle w:val="Hyperlink"/>
                <w:noProof/>
                <w:lang w:val="en-GB"/>
              </w:rPr>
              <w:t>4.0 Investment Appraisal and Capital Budgeting</w:t>
            </w:r>
            <w:r w:rsidR="00DA3E41" w:rsidRPr="004B0336">
              <w:rPr>
                <w:noProof/>
                <w:webHidden/>
                <w:lang w:val="en-GB"/>
              </w:rPr>
              <w:tab/>
            </w:r>
            <w:r w:rsidR="00DA3E41" w:rsidRPr="004B0336">
              <w:rPr>
                <w:noProof/>
                <w:webHidden/>
                <w:lang w:val="en-GB"/>
              </w:rPr>
              <w:fldChar w:fldCharType="begin"/>
            </w:r>
            <w:r w:rsidR="00DA3E41" w:rsidRPr="004B0336">
              <w:rPr>
                <w:noProof/>
                <w:webHidden/>
                <w:lang w:val="en-GB"/>
              </w:rPr>
              <w:instrText xml:space="preserve"> PAGEREF _Toc214898914 \h </w:instrText>
            </w:r>
            <w:r w:rsidR="00DA3E41" w:rsidRPr="004B0336">
              <w:rPr>
                <w:noProof/>
                <w:webHidden/>
                <w:lang w:val="en-GB"/>
              </w:rPr>
            </w:r>
            <w:r w:rsidR="00DA3E41" w:rsidRPr="004B0336">
              <w:rPr>
                <w:noProof/>
                <w:webHidden/>
                <w:lang w:val="en-GB"/>
              </w:rPr>
              <w:fldChar w:fldCharType="separate"/>
            </w:r>
            <w:r w:rsidR="00DA3E41" w:rsidRPr="004B0336">
              <w:rPr>
                <w:noProof/>
                <w:webHidden/>
                <w:lang w:val="en-GB"/>
              </w:rPr>
              <w:t>14</w:t>
            </w:r>
            <w:r w:rsidR="00DA3E41" w:rsidRPr="004B0336">
              <w:rPr>
                <w:noProof/>
                <w:webHidden/>
                <w:lang w:val="en-GB"/>
              </w:rPr>
              <w:fldChar w:fldCharType="end"/>
            </w:r>
          </w:hyperlink>
        </w:p>
        <w:p w14:paraId="7D1658A1" w14:textId="3FD0940A" w:rsidR="00DA3E41" w:rsidRPr="004B0336" w:rsidRDefault="00B9291C">
          <w:pPr>
            <w:pStyle w:val="TOC2"/>
            <w:tabs>
              <w:tab w:val="right" w:leader="dot" w:pos="9016"/>
            </w:tabs>
            <w:rPr>
              <w:rFonts w:asciiTheme="minorHAnsi" w:eastAsiaTheme="minorEastAsia" w:hAnsiTheme="minorHAnsi" w:cstheme="minorBidi"/>
              <w:noProof/>
              <w:color w:val="auto"/>
              <w:kern w:val="0"/>
              <w:sz w:val="22"/>
              <w:szCs w:val="22"/>
              <w:lang w:val="en-GB" w:eastAsia="en-IN"/>
              <w14:ligatures w14:val="none"/>
            </w:rPr>
          </w:pPr>
          <w:hyperlink w:anchor="_Toc214898915" w:history="1">
            <w:r w:rsidR="00DA3E41" w:rsidRPr="004B0336">
              <w:rPr>
                <w:rStyle w:val="Hyperlink"/>
                <w:noProof/>
                <w:lang w:val="en-GB"/>
              </w:rPr>
              <w:t>4.1 Analysis of Three Proposed Investment Projects</w:t>
            </w:r>
            <w:r w:rsidR="00DA3E41" w:rsidRPr="004B0336">
              <w:rPr>
                <w:noProof/>
                <w:webHidden/>
                <w:lang w:val="en-GB"/>
              </w:rPr>
              <w:tab/>
            </w:r>
            <w:r w:rsidR="00DA3E41" w:rsidRPr="004B0336">
              <w:rPr>
                <w:noProof/>
                <w:webHidden/>
                <w:lang w:val="en-GB"/>
              </w:rPr>
              <w:fldChar w:fldCharType="begin"/>
            </w:r>
            <w:r w:rsidR="00DA3E41" w:rsidRPr="004B0336">
              <w:rPr>
                <w:noProof/>
                <w:webHidden/>
                <w:lang w:val="en-GB"/>
              </w:rPr>
              <w:instrText xml:space="preserve"> PAGEREF _Toc214898915 \h </w:instrText>
            </w:r>
            <w:r w:rsidR="00DA3E41" w:rsidRPr="004B0336">
              <w:rPr>
                <w:noProof/>
                <w:webHidden/>
                <w:lang w:val="en-GB"/>
              </w:rPr>
            </w:r>
            <w:r w:rsidR="00DA3E41" w:rsidRPr="004B0336">
              <w:rPr>
                <w:noProof/>
                <w:webHidden/>
                <w:lang w:val="en-GB"/>
              </w:rPr>
              <w:fldChar w:fldCharType="separate"/>
            </w:r>
            <w:r w:rsidR="00DA3E41" w:rsidRPr="004B0336">
              <w:rPr>
                <w:noProof/>
                <w:webHidden/>
                <w:lang w:val="en-GB"/>
              </w:rPr>
              <w:t>14</w:t>
            </w:r>
            <w:r w:rsidR="00DA3E41" w:rsidRPr="004B0336">
              <w:rPr>
                <w:noProof/>
                <w:webHidden/>
                <w:lang w:val="en-GB"/>
              </w:rPr>
              <w:fldChar w:fldCharType="end"/>
            </w:r>
          </w:hyperlink>
        </w:p>
        <w:p w14:paraId="5D532175" w14:textId="5C2D4293" w:rsidR="00DA3E41" w:rsidRPr="004B0336" w:rsidRDefault="00B9291C">
          <w:pPr>
            <w:pStyle w:val="TOC2"/>
            <w:tabs>
              <w:tab w:val="right" w:leader="dot" w:pos="9016"/>
            </w:tabs>
            <w:rPr>
              <w:rFonts w:asciiTheme="minorHAnsi" w:eastAsiaTheme="minorEastAsia" w:hAnsiTheme="minorHAnsi" w:cstheme="minorBidi"/>
              <w:noProof/>
              <w:color w:val="auto"/>
              <w:kern w:val="0"/>
              <w:sz w:val="22"/>
              <w:szCs w:val="22"/>
              <w:lang w:val="en-GB" w:eastAsia="en-IN"/>
              <w14:ligatures w14:val="none"/>
            </w:rPr>
          </w:pPr>
          <w:hyperlink w:anchor="_Toc214898916" w:history="1">
            <w:r w:rsidR="00DA3E41" w:rsidRPr="004B0336">
              <w:rPr>
                <w:rStyle w:val="Hyperlink"/>
                <w:noProof/>
                <w:lang w:val="en-GB"/>
              </w:rPr>
              <w:t>4.2 Final Investment Recommendation under Capital Rationing (£60m Limit)</w:t>
            </w:r>
            <w:r w:rsidR="00DA3E41" w:rsidRPr="004B0336">
              <w:rPr>
                <w:noProof/>
                <w:webHidden/>
                <w:lang w:val="en-GB"/>
              </w:rPr>
              <w:tab/>
            </w:r>
            <w:r w:rsidR="00DA3E41" w:rsidRPr="004B0336">
              <w:rPr>
                <w:noProof/>
                <w:webHidden/>
                <w:lang w:val="en-GB"/>
              </w:rPr>
              <w:fldChar w:fldCharType="begin"/>
            </w:r>
            <w:r w:rsidR="00DA3E41" w:rsidRPr="004B0336">
              <w:rPr>
                <w:noProof/>
                <w:webHidden/>
                <w:lang w:val="en-GB"/>
              </w:rPr>
              <w:instrText xml:space="preserve"> PAGEREF _Toc214898916 \h </w:instrText>
            </w:r>
            <w:r w:rsidR="00DA3E41" w:rsidRPr="004B0336">
              <w:rPr>
                <w:noProof/>
                <w:webHidden/>
                <w:lang w:val="en-GB"/>
              </w:rPr>
            </w:r>
            <w:r w:rsidR="00DA3E41" w:rsidRPr="004B0336">
              <w:rPr>
                <w:noProof/>
                <w:webHidden/>
                <w:lang w:val="en-GB"/>
              </w:rPr>
              <w:fldChar w:fldCharType="separate"/>
            </w:r>
            <w:r w:rsidR="00DA3E41" w:rsidRPr="004B0336">
              <w:rPr>
                <w:noProof/>
                <w:webHidden/>
                <w:lang w:val="en-GB"/>
              </w:rPr>
              <w:t>16</w:t>
            </w:r>
            <w:r w:rsidR="00DA3E41" w:rsidRPr="004B0336">
              <w:rPr>
                <w:noProof/>
                <w:webHidden/>
                <w:lang w:val="en-GB"/>
              </w:rPr>
              <w:fldChar w:fldCharType="end"/>
            </w:r>
          </w:hyperlink>
        </w:p>
        <w:p w14:paraId="593760D7" w14:textId="5C9DE116" w:rsidR="00DA3E41" w:rsidRPr="004B0336" w:rsidRDefault="00B9291C">
          <w:pPr>
            <w:pStyle w:val="TOC2"/>
            <w:tabs>
              <w:tab w:val="right" w:leader="dot" w:pos="9016"/>
            </w:tabs>
            <w:rPr>
              <w:rFonts w:asciiTheme="minorHAnsi" w:eastAsiaTheme="minorEastAsia" w:hAnsiTheme="minorHAnsi" w:cstheme="minorBidi"/>
              <w:noProof/>
              <w:color w:val="auto"/>
              <w:kern w:val="0"/>
              <w:sz w:val="22"/>
              <w:szCs w:val="22"/>
              <w:lang w:val="en-GB" w:eastAsia="en-IN"/>
              <w14:ligatures w14:val="none"/>
            </w:rPr>
          </w:pPr>
          <w:hyperlink w:anchor="_Toc214898917" w:history="1">
            <w:r w:rsidR="00DA3E41" w:rsidRPr="004B0336">
              <w:rPr>
                <w:rStyle w:val="Hyperlink"/>
                <w:noProof/>
                <w:lang w:val="en-GB"/>
              </w:rPr>
              <w:t>4.3 Justification and final investment recommendation</w:t>
            </w:r>
            <w:r w:rsidR="00DA3E41" w:rsidRPr="004B0336">
              <w:rPr>
                <w:noProof/>
                <w:webHidden/>
                <w:lang w:val="en-GB"/>
              </w:rPr>
              <w:tab/>
            </w:r>
            <w:r w:rsidR="00DA3E41" w:rsidRPr="004B0336">
              <w:rPr>
                <w:noProof/>
                <w:webHidden/>
                <w:lang w:val="en-GB"/>
              </w:rPr>
              <w:fldChar w:fldCharType="begin"/>
            </w:r>
            <w:r w:rsidR="00DA3E41" w:rsidRPr="004B0336">
              <w:rPr>
                <w:noProof/>
                <w:webHidden/>
                <w:lang w:val="en-GB"/>
              </w:rPr>
              <w:instrText xml:space="preserve"> PAGEREF _Toc214898917 \h </w:instrText>
            </w:r>
            <w:r w:rsidR="00DA3E41" w:rsidRPr="004B0336">
              <w:rPr>
                <w:noProof/>
                <w:webHidden/>
                <w:lang w:val="en-GB"/>
              </w:rPr>
            </w:r>
            <w:r w:rsidR="00DA3E41" w:rsidRPr="004B0336">
              <w:rPr>
                <w:noProof/>
                <w:webHidden/>
                <w:lang w:val="en-GB"/>
              </w:rPr>
              <w:fldChar w:fldCharType="separate"/>
            </w:r>
            <w:r w:rsidR="00DA3E41" w:rsidRPr="004B0336">
              <w:rPr>
                <w:noProof/>
                <w:webHidden/>
                <w:lang w:val="en-GB"/>
              </w:rPr>
              <w:t>18</w:t>
            </w:r>
            <w:r w:rsidR="00DA3E41" w:rsidRPr="004B0336">
              <w:rPr>
                <w:noProof/>
                <w:webHidden/>
                <w:lang w:val="en-GB"/>
              </w:rPr>
              <w:fldChar w:fldCharType="end"/>
            </w:r>
          </w:hyperlink>
        </w:p>
        <w:p w14:paraId="3C8B020E" w14:textId="45EE31DE" w:rsidR="00DA3E41" w:rsidRPr="004B0336" w:rsidRDefault="00B9291C">
          <w:pPr>
            <w:pStyle w:val="TOC1"/>
            <w:tabs>
              <w:tab w:val="right" w:leader="dot" w:pos="9016"/>
            </w:tabs>
            <w:rPr>
              <w:rFonts w:asciiTheme="minorHAnsi" w:eastAsiaTheme="minorEastAsia" w:hAnsiTheme="minorHAnsi" w:cstheme="minorBidi"/>
              <w:noProof/>
              <w:color w:val="auto"/>
              <w:kern w:val="0"/>
              <w:sz w:val="22"/>
              <w:szCs w:val="22"/>
              <w:lang w:val="en-GB" w:eastAsia="en-IN"/>
              <w14:ligatures w14:val="none"/>
            </w:rPr>
          </w:pPr>
          <w:hyperlink w:anchor="_Toc214898918" w:history="1">
            <w:r w:rsidR="00DA3E41" w:rsidRPr="004B0336">
              <w:rPr>
                <w:rStyle w:val="Hyperlink"/>
                <w:noProof/>
                <w:lang w:val="en-GB"/>
              </w:rPr>
              <w:t>Conclusion</w:t>
            </w:r>
            <w:r w:rsidR="00DA3E41" w:rsidRPr="004B0336">
              <w:rPr>
                <w:noProof/>
                <w:webHidden/>
                <w:lang w:val="en-GB"/>
              </w:rPr>
              <w:tab/>
            </w:r>
            <w:r w:rsidR="00DA3E41" w:rsidRPr="004B0336">
              <w:rPr>
                <w:noProof/>
                <w:webHidden/>
                <w:lang w:val="en-GB"/>
              </w:rPr>
              <w:fldChar w:fldCharType="begin"/>
            </w:r>
            <w:r w:rsidR="00DA3E41" w:rsidRPr="004B0336">
              <w:rPr>
                <w:noProof/>
                <w:webHidden/>
                <w:lang w:val="en-GB"/>
              </w:rPr>
              <w:instrText xml:space="preserve"> PAGEREF _Toc214898918 \h </w:instrText>
            </w:r>
            <w:r w:rsidR="00DA3E41" w:rsidRPr="004B0336">
              <w:rPr>
                <w:noProof/>
                <w:webHidden/>
                <w:lang w:val="en-GB"/>
              </w:rPr>
            </w:r>
            <w:r w:rsidR="00DA3E41" w:rsidRPr="004B0336">
              <w:rPr>
                <w:noProof/>
                <w:webHidden/>
                <w:lang w:val="en-GB"/>
              </w:rPr>
              <w:fldChar w:fldCharType="separate"/>
            </w:r>
            <w:r w:rsidR="00DA3E41" w:rsidRPr="004B0336">
              <w:rPr>
                <w:noProof/>
                <w:webHidden/>
                <w:lang w:val="en-GB"/>
              </w:rPr>
              <w:t>18</w:t>
            </w:r>
            <w:r w:rsidR="00DA3E41" w:rsidRPr="004B0336">
              <w:rPr>
                <w:noProof/>
                <w:webHidden/>
                <w:lang w:val="en-GB"/>
              </w:rPr>
              <w:fldChar w:fldCharType="end"/>
            </w:r>
          </w:hyperlink>
        </w:p>
        <w:p w14:paraId="3BDAA6C8" w14:textId="30748A7A" w:rsidR="00DA3E41" w:rsidRPr="004B0336" w:rsidRDefault="00B9291C">
          <w:pPr>
            <w:pStyle w:val="TOC1"/>
            <w:tabs>
              <w:tab w:val="right" w:leader="dot" w:pos="9016"/>
            </w:tabs>
            <w:rPr>
              <w:rFonts w:asciiTheme="minorHAnsi" w:eastAsiaTheme="minorEastAsia" w:hAnsiTheme="minorHAnsi" w:cstheme="minorBidi"/>
              <w:noProof/>
              <w:color w:val="auto"/>
              <w:kern w:val="0"/>
              <w:sz w:val="22"/>
              <w:szCs w:val="22"/>
              <w:lang w:val="en-GB" w:eastAsia="en-IN"/>
              <w14:ligatures w14:val="none"/>
            </w:rPr>
          </w:pPr>
          <w:hyperlink w:anchor="_Toc214898919" w:history="1">
            <w:r w:rsidR="00DA3E41" w:rsidRPr="004B0336">
              <w:rPr>
                <w:rStyle w:val="Hyperlink"/>
                <w:noProof/>
                <w:lang w:val="en-GB"/>
              </w:rPr>
              <w:t>Reference List</w:t>
            </w:r>
            <w:r w:rsidR="00DA3E41" w:rsidRPr="004B0336">
              <w:rPr>
                <w:noProof/>
                <w:webHidden/>
                <w:lang w:val="en-GB"/>
              </w:rPr>
              <w:tab/>
            </w:r>
            <w:r w:rsidR="00DA3E41" w:rsidRPr="004B0336">
              <w:rPr>
                <w:noProof/>
                <w:webHidden/>
                <w:lang w:val="en-GB"/>
              </w:rPr>
              <w:fldChar w:fldCharType="begin"/>
            </w:r>
            <w:r w:rsidR="00DA3E41" w:rsidRPr="004B0336">
              <w:rPr>
                <w:noProof/>
                <w:webHidden/>
                <w:lang w:val="en-GB"/>
              </w:rPr>
              <w:instrText xml:space="preserve"> PAGEREF _Toc214898919 \h </w:instrText>
            </w:r>
            <w:r w:rsidR="00DA3E41" w:rsidRPr="004B0336">
              <w:rPr>
                <w:noProof/>
                <w:webHidden/>
                <w:lang w:val="en-GB"/>
              </w:rPr>
            </w:r>
            <w:r w:rsidR="00DA3E41" w:rsidRPr="004B0336">
              <w:rPr>
                <w:noProof/>
                <w:webHidden/>
                <w:lang w:val="en-GB"/>
              </w:rPr>
              <w:fldChar w:fldCharType="separate"/>
            </w:r>
            <w:r w:rsidR="00DA3E41" w:rsidRPr="004B0336">
              <w:rPr>
                <w:noProof/>
                <w:webHidden/>
                <w:lang w:val="en-GB"/>
              </w:rPr>
              <w:t>20</w:t>
            </w:r>
            <w:r w:rsidR="00DA3E41" w:rsidRPr="004B0336">
              <w:rPr>
                <w:noProof/>
                <w:webHidden/>
                <w:lang w:val="en-GB"/>
              </w:rPr>
              <w:fldChar w:fldCharType="end"/>
            </w:r>
          </w:hyperlink>
        </w:p>
        <w:p w14:paraId="4E3D1C60" w14:textId="4E98E1C3" w:rsidR="00DA3E41" w:rsidRPr="004B0336" w:rsidRDefault="00B9291C">
          <w:pPr>
            <w:pStyle w:val="TOC1"/>
            <w:tabs>
              <w:tab w:val="right" w:leader="dot" w:pos="9016"/>
            </w:tabs>
            <w:rPr>
              <w:rFonts w:asciiTheme="minorHAnsi" w:eastAsiaTheme="minorEastAsia" w:hAnsiTheme="minorHAnsi" w:cstheme="minorBidi"/>
              <w:noProof/>
              <w:color w:val="auto"/>
              <w:kern w:val="0"/>
              <w:sz w:val="22"/>
              <w:szCs w:val="22"/>
              <w:lang w:val="en-GB" w:eastAsia="en-IN"/>
              <w14:ligatures w14:val="none"/>
            </w:rPr>
          </w:pPr>
          <w:hyperlink w:anchor="_Toc214898920" w:history="1">
            <w:r w:rsidR="00DA3E41" w:rsidRPr="004B0336">
              <w:rPr>
                <w:rStyle w:val="Hyperlink"/>
                <w:noProof/>
                <w:lang w:val="en-GB"/>
              </w:rPr>
              <w:t>Appendices</w:t>
            </w:r>
            <w:r w:rsidR="00DA3E41" w:rsidRPr="004B0336">
              <w:rPr>
                <w:noProof/>
                <w:webHidden/>
                <w:lang w:val="en-GB"/>
              </w:rPr>
              <w:tab/>
            </w:r>
            <w:r w:rsidR="00DA3E41" w:rsidRPr="004B0336">
              <w:rPr>
                <w:noProof/>
                <w:webHidden/>
                <w:lang w:val="en-GB"/>
              </w:rPr>
              <w:fldChar w:fldCharType="begin"/>
            </w:r>
            <w:r w:rsidR="00DA3E41" w:rsidRPr="004B0336">
              <w:rPr>
                <w:noProof/>
                <w:webHidden/>
                <w:lang w:val="en-GB"/>
              </w:rPr>
              <w:instrText xml:space="preserve"> PAGEREF _Toc214898920 \h </w:instrText>
            </w:r>
            <w:r w:rsidR="00DA3E41" w:rsidRPr="004B0336">
              <w:rPr>
                <w:noProof/>
                <w:webHidden/>
                <w:lang w:val="en-GB"/>
              </w:rPr>
            </w:r>
            <w:r w:rsidR="00DA3E41" w:rsidRPr="004B0336">
              <w:rPr>
                <w:noProof/>
                <w:webHidden/>
                <w:lang w:val="en-GB"/>
              </w:rPr>
              <w:fldChar w:fldCharType="separate"/>
            </w:r>
            <w:r w:rsidR="00DA3E41" w:rsidRPr="004B0336">
              <w:rPr>
                <w:noProof/>
                <w:webHidden/>
                <w:lang w:val="en-GB"/>
              </w:rPr>
              <w:t>24</w:t>
            </w:r>
            <w:r w:rsidR="00DA3E41" w:rsidRPr="004B0336">
              <w:rPr>
                <w:noProof/>
                <w:webHidden/>
                <w:lang w:val="en-GB"/>
              </w:rPr>
              <w:fldChar w:fldCharType="end"/>
            </w:r>
          </w:hyperlink>
        </w:p>
        <w:p w14:paraId="197660ED" w14:textId="35C78086" w:rsidR="00DA3E41" w:rsidRPr="004B0336" w:rsidRDefault="00B9291C">
          <w:pPr>
            <w:pStyle w:val="TOC2"/>
            <w:tabs>
              <w:tab w:val="right" w:leader="dot" w:pos="9016"/>
            </w:tabs>
            <w:rPr>
              <w:rFonts w:asciiTheme="minorHAnsi" w:eastAsiaTheme="minorEastAsia" w:hAnsiTheme="minorHAnsi" w:cstheme="minorBidi"/>
              <w:noProof/>
              <w:color w:val="auto"/>
              <w:kern w:val="0"/>
              <w:sz w:val="22"/>
              <w:szCs w:val="22"/>
              <w:lang w:val="en-GB" w:eastAsia="en-IN"/>
              <w14:ligatures w14:val="none"/>
            </w:rPr>
          </w:pPr>
          <w:hyperlink w:anchor="_Toc214898921" w:history="1">
            <w:r w:rsidR="00DA3E41" w:rsidRPr="004B0336">
              <w:rPr>
                <w:rStyle w:val="Hyperlink"/>
                <w:noProof/>
                <w:lang w:val="en-GB"/>
              </w:rPr>
              <w:t>Appendix 1: Ratio analysis</w:t>
            </w:r>
            <w:r w:rsidR="00DA3E41" w:rsidRPr="004B0336">
              <w:rPr>
                <w:noProof/>
                <w:webHidden/>
                <w:lang w:val="en-GB"/>
              </w:rPr>
              <w:tab/>
            </w:r>
            <w:r w:rsidR="00DA3E41" w:rsidRPr="004B0336">
              <w:rPr>
                <w:noProof/>
                <w:webHidden/>
                <w:lang w:val="en-GB"/>
              </w:rPr>
              <w:fldChar w:fldCharType="begin"/>
            </w:r>
            <w:r w:rsidR="00DA3E41" w:rsidRPr="004B0336">
              <w:rPr>
                <w:noProof/>
                <w:webHidden/>
                <w:lang w:val="en-GB"/>
              </w:rPr>
              <w:instrText xml:space="preserve"> PAGEREF _Toc214898921 \h </w:instrText>
            </w:r>
            <w:r w:rsidR="00DA3E41" w:rsidRPr="004B0336">
              <w:rPr>
                <w:noProof/>
                <w:webHidden/>
                <w:lang w:val="en-GB"/>
              </w:rPr>
            </w:r>
            <w:r w:rsidR="00DA3E41" w:rsidRPr="004B0336">
              <w:rPr>
                <w:noProof/>
                <w:webHidden/>
                <w:lang w:val="en-GB"/>
              </w:rPr>
              <w:fldChar w:fldCharType="separate"/>
            </w:r>
            <w:r w:rsidR="00DA3E41" w:rsidRPr="004B0336">
              <w:rPr>
                <w:noProof/>
                <w:webHidden/>
                <w:lang w:val="en-GB"/>
              </w:rPr>
              <w:t>24</w:t>
            </w:r>
            <w:r w:rsidR="00DA3E41" w:rsidRPr="004B0336">
              <w:rPr>
                <w:noProof/>
                <w:webHidden/>
                <w:lang w:val="en-GB"/>
              </w:rPr>
              <w:fldChar w:fldCharType="end"/>
            </w:r>
          </w:hyperlink>
        </w:p>
        <w:p w14:paraId="6D71139A" w14:textId="30AA2CB0" w:rsidR="00DA3E41" w:rsidRPr="004B0336" w:rsidRDefault="00B9291C">
          <w:pPr>
            <w:pStyle w:val="TOC2"/>
            <w:tabs>
              <w:tab w:val="right" w:leader="dot" w:pos="9016"/>
            </w:tabs>
            <w:rPr>
              <w:rFonts w:asciiTheme="minorHAnsi" w:eastAsiaTheme="minorEastAsia" w:hAnsiTheme="minorHAnsi" w:cstheme="minorBidi"/>
              <w:noProof/>
              <w:color w:val="auto"/>
              <w:kern w:val="0"/>
              <w:sz w:val="22"/>
              <w:szCs w:val="22"/>
              <w:lang w:val="en-GB" w:eastAsia="en-IN"/>
              <w14:ligatures w14:val="none"/>
            </w:rPr>
          </w:pPr>
          <w:hyperlink w:anchor="_Toc214898922" w:history="1">
            <w:r w:rsidR="00DA3E41" w:rsidRPr="004B0336">
              <w:rPr>
                <w:rStyle w:val="Hyperlink"/>
                <w:noProof/>
                <w:lang w:val="en-GB"/>
              </w:rPr>
              <w:t>Appendix 2: Investment Appraisal</w:t>
            </w:r>
            <w:r w:rsidR="00DA3E41" w:rsidRPr="004B0336">
              <w:rPr>
                <w:noProof/>
                <w:webHidden/>
                <w:lang w:val="en-GB"/>
              </w:rPr>
              <w:tab/>
            </w:r>
            <w:r w:rsidR="00DA3E41" w:rsidRPr="004B0336">
              <w:rPr>
                <w:noProof/>
                <w:webHidden/>
                <w:lang w:val="en-GB"/>
              </w:rPr>
              <w:fldChar w:fldCharType="begin"/>
            </w:r>
            <w:r w:rsidR="00DA3E41" w:rsidRPr="004B0336">
              <w:rPr>
                <w:noProof/>
                <w:webHidden/>
                <w:lang w:val="en-GB"/>
              </w:rPr>
              <w:instrText xml:space="preserve"> PAGEREF _Toc214898922 \h </w:instrText>
            </w:r>
            <w:r w:rsidR="00DA3E41" w:rsidRPr="004B0336">
              <w:rPr>
                <w:noProof/>
                <w:webHidden/>
                <w:lang w:val="en-GB"/>
              </w:rPr>
            </w:r>
            <w:r w:rsidR="00DA3E41" w:rsidRPr="004B0336">
              <w:rPr>
                <w:noProof/>
                <w:webHidden/>
                <w:lang w:val="en-GB"/>
              </w:rPr>
              <w:fldChar w:fldCharType="separate"/>
            </w:r>
            <w:r w:rsidR="00DA3E41" w:rsidRPr="004B0336">
              <w:rPr>
                <w:noProof/>
                <w:webHidden/>
                <w:lang w:val="en-GB"/>
              </w:rPr>
              <w:t>26</w:t>
            </w:r>
            <w:r w:rsidR="00DA3E41" w:rsidRPr="004B0336">
              <w:rPr>
                <w:noProof/>
                <w:webHidden/>
                <w:lang w:val="en-GB"/>
              </w:rPr>
              <w:fldChar w:fldCharType="end"/>
            </w:r>
          </w:hyperlink>
        </w:p>
        <w:p w14:paraId="157AA647" w14:textId="286AC3BC" w:rsidR="00EE1D8B" w:rsidRPr="004B0336" w:rsidRDefault="00EE1D8B" w:rsidP="00C74A08">
          <w:pPr>
            <w:rPr>
              <w:lang w:val="en-GB"/>
            </w:rPr>
          </w:pPr>
          <w:r w:rsidRPr="004B0336">
            <w:rPr>
              <w:rFonts w:cs="Arial"/>
              <w:b/>
              <w:bCs/>
              <w:noProof/>
              <w:lang w:val="en-GB"/>
            </w:rPr>
            <w:fldChar w:fldCharType="end"/>
          </w:r>
        </w:p>
      </w:sdtContent>
    </w:sdt>
    <w:p w14:paraId="4993300F" w14:textId="77777777" w:rsidR="00507204" w:rsidRPr="004B0336" w:rsidRDefault="00507204">
      <w:pPr>
        <w:spacing w:before="0" w:after="160" w:line="259" w:lineRule="auto"/>
        <w:jc w:val="left"/>
        <w:rPr>
          <w:rFonts w:cs="Arial"/>
          <w:lang w:val="en-GB"/>
        </w:rPr>
      </w:pPr>
      <w:r w:rsidRPr="004B0336">
        <w:rPr>
          <w:rFonts w:cs="Arial"/>
          <w:lang w:val="en-GB"/>
        </w:rPr>
        <w:br w:type="page"/>
      </w:r>
    </w:p>
    <w:p w14:paraId="6454F503" w14:textId="186DDBBA" w:rsidR="00F917C4" w:rsidRPr="004B0336" w:rsidRDefault="00F917C4" w:rsidP="00507204">
      <w:pPr>
        <w:pStyle w:val="Heading1"/>
        <w:rPr>
          <w:lang w:val="en-GB"/>
        </w:rPr>
      </w:pPr>
      <w:bookmarkStart w:id="1" w:name="_Toc214898900"/>
      <w:r w:rsidRPr="004B0336">
        <w:rPr>
          <w:lang w:val="en-GB"/>
        </w:rPr>
        <w:t>Introduction</w:t>
      </w:r>
      <w:bookmarkEnd w:id="1"/>
      <w:r w:rsidRPr="004B0336">
        <w:rPr>
          <w:lang w:val="en-GB"/>
        </w:rPr>
        <w:t xml:space="preserve"> </w:t>
      </w:r>
    </w:p>
    <w:p w14:paraId="3770463E" w14:textId="276761E9" w:rsidR="002F4235" w:rsidRPr="004B0336" w:rsidRDefault="002F4235" w:rsidP="00EE1D8B">
      <w:pPr>
        <w:rPr>
          <w:rFonts w:cs="Arial"/>
          <w:lang w:val="en-GB"/>
        </w:rPr>
      </w:pPr>
      <w:r w:rsidRPr="004B0336">
        <w:rPr>
          <w:rFonts w:cs="Arial"/>
          <w:lang w:val="en-GB"/>
        </w:rPr>
        <w:t xml:space="preserve">This </w:t>
      </w:r>
      <w:r w:rsidR="00EF7A8D" w:rsidRPr="004B0336">
        <w:rPr>
          <w:rFonts w:cs="Arial"/>
          <w:lang w:val="en-GB"/>
        </w:rPr>
        <w:t>report</w:t>
      </w:r>
      <w:r w:rsidRPr="004B0336">
        <w:rPr>
          <w:rFonts w:cs="Arial"/>
          <w:lang w:val="en-GB"/>
        </w:rPr>
        <w:t xml:space="preserve"> analyses the role of the Chief Financial Officer in leading the recovery of General Electronics, a multinational consumer electronics firm that faces a severe financial downturn.  The report includes the financial performance of the firm in the last five years and its ratio analysis, cash operating cycle and failure prediction models to establish the key sources of distress. Also, in this report, solutions are presented to enhance liquidity by reforming the working capital management. Along with the value of shareholders, debt sustainability, and ethical responsibility in global markets, the report also includes financial forms of restructuring, like divestiture, merger, and equity injection. Also, capital budgeting methods such as NPV, IRR, ARR, PI and PBP are applied to evaluate three investment projects, and recommendations are made with capital rates within reasonable capital rationing limits. Finally, the project will be a mix of financial evidence with strategic analysis to create a practical and responsible turnaround plan for the company.</w:t>
      </w:r>
    </w:p>
    <w:p w14:paraId="4761DE39" w14:textId="77777777" w:rsidR="003F1641" w:rsidRPr="004B0336" w:rsidRDefault="003F1641" w:rsidP="003137CE">
      <w:pPr>
        <w:pStyle w:val="Heading1"/>
        <w:rPr>
          <w:lang w:val="en-GB"/>
        </w:rPr>
      </w:pPr>
      <w:bookmarkStart w:id="2" w:name="_Toc214898901"/>
      <w:r w:rsidRPr="004B0336">
        <w:rPr>
          <w:lang w:val="en-GB"/>
        </w:rPr>
        <w:t>1. Financial health check</w:t>
      </w:r>
      <w:bookmarkEnd w:id="2"/>
      <w:r w:rsidRPr="004B0336">
        <w:rPr>
          <w:lang w:val="en-GB"/>
        </w:rPr>
        <w:t xml:space="preserve"> </w:t>
      </w:r>
    </w:p>
    <w:p w14:paraId="10971963" w14:textId="77777777" w:rsidR="003F1641" w:rsidRPr="004B0336" w:rsidRDefault="003F1641" w:rsidP="003137CE">
      <w:pPr>
        <w:pStyle w:val="Heading2"/>
        <w:rPr>
          <w:lang w:val="en-GB"/>
        </w:rPr>
      </w:pPr>
      <w:bookmarkStart w:id="3" w:name="_Toc214898902"/>
      <w:r w:rsidRPr="004B0336">
        <w:rPr>
          <w:lang w:val="en-GB"/>
        </w:rPr>
        <w:t>1.1 Financial statement analysis</w:t>
      </w:r>
      <w:bookmarkEnd w:id="3"/>
      <w:r w:rsidRPr="004B0336">
        <w:rPr>
          <w:lang w:val="en-GB"/>
        </w:rPr>
        <w:t xml:space="preserve">  </w:t>
      </w:r>
    </w:p>
    <w:p w14:paraId="0FB594EE" w14:textId="06A7574C" w:rsidR="003F1641" w:rsidRPr="004B0336" w:rsidRDefault="003F1641" w:rsidP="003F1641">
      <w:pPr>
        <w:rPr>
          <w:rFonts w:cs="Arial"/>
          <w:lang w:val="en-GB"/>
        </w:rPr>
      </w:pPr>
      <w:r w:rsidRPr="004B0336">
        <w:rPr>
          <w:rFonts w:cs="Arial"/>
          <w:lang w:val="en-GB"/>
        </w:rPr>
        <w:t>Over the past 5 years of timeframe (2020 to</w:t>
      </w:r>
      <w:r w:rsidR="005703A8" w:rsidRPr="004B0336">
        <w:rPr>
          <w:rFonts w:cs="Arial"/>
          <w:lang w:val="en-GB"/>
        </w:rPr>
        <w:t xml:space="preserve"> 2024), the General Electronics </w:t>
      </w:r>
      <w:r w:rsidRPr="004B0336">
        <w:rPr>
          <w:rFonts w:cs="Arial"/>
          <w:lang w:val="en-GB"/>
        </w:rPr>
        <w:t xml:space="preserve">(GE) has experienced a major deteriorations in the financial performance, by addressing the deeper structural and operational weaknesses. As the net sales has increased modestly from being £614,680m in 2020 to the peak of £601,602m in 2021 and £542,751m in 2022. Here the revenue has declined sharply thereafter to the £420,457m in 2023 and £394,879m in 2024. In this case, the contraction reflects declining market competitiveness, weaker product demand and pricing pressures within the customer electronics sector (GE, 2023). The profitability has collapsed, when the company has moved from a net profit of £38,572m in 2020 and £5,301m in 2021, to the marginal profit of £407m in 2022, followed by the severe losses (e.g. £98,238m in 2023 and £24,029m in 2024) (GE, 2023). The operating margin of the organization has tuned consistently negative since the time of FY2023, while reaching -3.9% in 2024, due to the rising operating expenses relative to the shrinking revenue. The operating expenses has consumed 45.5% of the revenue in 2024, in compared to just 22.6% in 2020, which addresses a poor cost of control and inefficiencies in scale (Russo, 2024; GE, 2023). </w:t>
      </w:r>
    </w:p>
    <w:p w14:paraId="441F1726" w14:textId="77777777" w:rsidR="003F1641" w:rsidRPr="004B0336" w:rsidRDefault="003F1641" w:rsidP="003F1641">
      <w:pPr>
        <w:rPr>
          <w:rFonts w:cs="Arial"/>
          <w:lang w:val="en-GB"/>
        </w:rPr>
      </w:pPr>
      <w:r w:rsidRPr="004B0336">
        <w:rPr>
          <w:rFonts w:cs="Arial"/>
          <w:lang w:val="en-GB"/>
        </w:rPr>
        <w:t xml:space="preserve">On the other hand, the </w:t>
      </w:r>
      <w:r w:rsidRPr="004B0336">
        <w:rPr>
          <w:rFonts w:cs="Arial"/>
          <w:i/>
          <w:lang w:val="en-GB"/>
        </w:rPr>
        <w:t xml:space="preserve">liquidity </w:t>
      </w:r>
      <w:r w:rsidRPr="004B0336">
        <w:rPr>
          <w:rFonts w:cs="Arial"/>
          <w:lang w:val="en-GB"/>
        </w:rPr>
        <w:t xml:space="preserve">has weakened in a significant manner, where cash and equivalents has dropped from £66,740m in 2022 to £26,783m in 2024, while the current liabilities in FY2024 has been positioned at £158,291m in compared to the current assets of £242,494m (Russo, 2024). </w:t>
      </w:r>
    </w:p>
    <w:p w14:paraId="77C7D87B" w14:textId="77777777" w:rsidR="003F1641" w:rsidRPr="004B0336" w:rsidRDefault="003F1641" w:rsidP="003137CE">
      <w:pPr>
        <w:pStyle w:val="Heading2"/>
        <w:rPr>
          <w:lang w:val="en-GB"/>
        </w:rPr>
      </w:pPr>
      <w:bookmarkStart w:id="4" w:name="_Toc214898903"/>
      <w:r w:rsidRPr="004B0336">
        <w:rPr>
          <w:lang w:val="en-GB"/>
        </w:rPr>
        <w:t>1.2 Ratio analysis</w:t>
      </w:r>
      <w:bookmarkEnd w:id="4"/>
      <w:r w:rsidRPr="004B0336">
        <w:rPr>
          <w:lang w:val="en-GB"/>
        </w:rPr>
        <w:t xml:space="preserve"> </w:t>
      </w:r>
    </w:p>
    <w:tbl>
      <w:tblPr>
        <w:tblStyle w:val="GridTable4-Accent4"/>
        <w:tblW w:w="5000" w:type="pct"/>
        <w:tblLook w:val="04A0" w:firstRow="1" w:lastRow="0" w:firstColumn="1" w:lastColumn="0" w:noHBand="0" w:noVBand="1"/>
      </w:tblPr>
      <w:tblGrid>
        <w:gridCol w:w="1028"/>
        <w:gridCol w:w="1623"/>
        <w:gridCol w:w="1252"/>
        <w:gridCol w:w="1252"/>
        <w:gridCol w:w="1287"/>
        <w:gridCol w:w="1287"/>
        <w:gridCol w:w="1287"/>
      </w:tblGrid>
      <w:tr w:rsidR="003F1641" w:rsidRPr="004B0336" w14:paraId="5B2F482A" w14:textId="77777777" w:rsidTr="007B09AB">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000" w:type="pct"/>
            <w:gridSpan w:val="7"/>
            <w:noWrap/>
            <w:hideMark/>
          </w:tcPr>
          <w:p w14:paraId="48C8D20E" w14:textId="77777777" w:rsidR="003F1641" w:rsidRPr="004B0336" w:rsidRDefault="003F1641" w:rsidP="007B09AB">
            <w:pPr>
              <w:jc w:val="center"/>
              <w:rPr>
                <w:rFonts w:eastAsia="Times New Roman" w:cs="Arial"/>
                <w:color w:val="000000"/>
                <w:lang w:val="en-GB"/>
              </w:rPr>
            </w:pPr>
            <w:r w:rsidRPr="004B0336">
              <w:rPr>
                <w:rFonts w:eastAsia="Times New Roman" w:cs="Arial"/>
                <w:color w:val="000000"/>
                <w:lang w:val="en-GB"/>
              </w:rPr>
              <w:t>Profitability Ratios</w:t>
            </w:r>
          </w:p>
        </w:tc>
      </w:tr>
      <w:tr w:rsidR="003F1641" w:rsidRPr="004B0336" w14:paraId="4297A22C" w14:textId="77777777" w:rsidTr="00B64B5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70" w:type="pct"/>
            <w:noWrap/>
            <w:hideMark/>
          </w:tcPr>
          <w:p w14:paraId="3FF04E5F" w14:textId="77777777" w:rsidR="003F1641" w:rsidRPr="004B0336" w:rsidRDefault="003F1641" w:rsidP="007B09AB">
            <w:pPr>
              <w:jc w:val="center"/>
              <w:rPr>
                <w:rFonts w:eastAsia="Times New Roman" w:cs="Arial"/>
                <w:color w:val="000000"/>
                <w:lang w:val="en-GB"/>
              </w:rPr>
            </w:pPr>
            <w:r w:rsidRPr="004B0336">
              <w:rPr>
                <w:rFonts w:eastAsia="Times New Roman" w:cs="Arial"/>
                <w:color w:val="000000"/>
                <w:lang w:val="en-GB"/>
              </w:rPr>
              <w:t>Ratio</w:t>
            </w:r>
          </w:p>
        </w:tc>
        <w:tc>
          <w:tcPr>
            <w:tcW w:w="900" w:type="pct"/>
            <w:noWrap/>
            <w:hideMark/>
          </w:tcPr>
          <w:p w14:paraId="00FB678F" w14:textId="77777777" w:rsidR="003F1641" w:rsidRPr="004B0336" w:rsidRDefault="003F1641" w:rsidP="007B09AB">
            <w:pPr>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Formula</w:t>
            </w:r>
          </w:p>
        </w:tc>
        <w:tc>
          <w:tcPr>
            <w:tcW w:w="694" w:type="pct"/>
            <w:noWrap/>
            <w:hideMark/>
          </w:tcPr>
          <w:p w14:paraId="47C092A5" w14:textId="77777777" w:rsidR="003F1641" w:rsidRPr="004B0336" w:rsidRDefault="003F1641" w:rsidP="007B09AB">
            <w:pPr>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2024</w:t>
            </w:r>
          </w:p>
        </w:tc>
        <w:tc>
          <w:tcPr>
            <w:tcW w:w="694" w:type="pct"/>
            <w:noWrap/>
            <w:hideMark/>
          </w:tcPr>
          <w:p w14:paraId="41C69889" w14:textId="77777777" w:rsidR="003F1641" w:rsidRPr="004B0336" w:rsidRDefault="003F1641" w:rsidP="007B09AB">
            <w:pPr>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2023</w:t>
            </w:r>
          </w:p>
        </w:tc>
        <w:tc>
          <w:tcPr>
            <w:tcW w:w="714" w:type="pct"/>
            <w:noWrap/>
            <w:hideMark/>
          </w:tcPr>
          <w:p w14:paraId="7AD6A7D7" w14:textId="77777777" w:rsidR="003F1641" w:rsidRPr="004B0336" w:rsidRDefault="003F1641" w:rsidP="007B09AB">
            <w:pPr>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2022</w:t>
            </w:r>
          </w:p>
        </w:tc>
        <w:tc>
          <w:tcPr>
            <w:tcW w:w="714" w:type="pct"/>
            <w:noWrap/>
            <w:hideMark/>
          </w:tcPr>
          <w:p w14:paraId="17F1EEC6" w14:textId="77777777" w:rsidR="003F1641" w:rsidRPr="004B0336" w:rsidRDefault="003F1641" w:rsidP="007B09AB">
            <w:pPr>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2021</w:t>
            </w:r>
          </w:p>
        </w:tc>
        <w:tc>
          <w:tcPr>
            <w:tcW w:w="714" w:type="pct"/>
            <w:noWrap/>
            <w:hideMark/>
          </w:tcPr>
          <w:p w14:paraId="3761EB96" w14:textId="77777777" w:rsidR="003F1641" w:rsidRPr="004B0336" w:rsidRDefault="003F1641" w:rsidP="007B09AB">
            <w:pPr>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2020</w:t>
            </w:r>
          </w:p>
        </w:tc>
      </w:tr>
      <w:tr w:rsidR="003F1641" w:rsidRPr="004B0336" w14:paraId="3122DCC0" w14:textId="77777777" w:rsidTr="00B64B58">
        <w:trPr>
          <w:trHeight w:val="300"/>
        </w:trPr>
        <w:tc>
          <w:tcPr>
            <w:cnfStyle w:val="001000000000" w:firstRow="0" w:lastRow="0" w:firstColumn="1" w:lastColumn="0" w:oddVBand="0" w:evenVBand="0" w:oddHBand="0" w:evenHBand="0" w:firstRowFirstColumn="0" w:firstRowLastColumn="0" w:lastRowFirstColumn="0" w:lastRowLastColumn="0"/>
            <w:tcW w:w="570" w:type="pct"/>
            <w:noWrap/>
            <w:hideMark/>
          </w:tcPr>
          <w:p w14:paraId="4E35532A" w14:textId="77777777" w:rsidR="003F1641" w:rsidRPr="004B0336" w:rsidRDefault="003F1641" w:rsidP="007B09AB">
            <w:pPr>
              <w:jc w:val="left"/>
              <w:rPr>
                <w:rFonts w:eastAsia="Times New Roman" w:cs="Arial"/>
                <w:color w:val="000000"/>
                <w:lang w:val="en-GB"/>
              </w:rPr>
            </w:pPr>
            <w:r w:rsidRPr="004B0336">
              <w:rPr>
                <w:rFonts w:eastAsia="Times New Roman" w:cs="Arial"/>
                <w:color w:val="000000"/>
                <w:lang w:val="en-GB"/>
              </w:rPr>
              <w:t>Gross Profit Margin (%)</w:t>
            </w:r>
          </w:p>
        </w:tc>
        <w:tc>
          <w:tcPr>
            <w:tcW w:w="900" w:type="pct"/>
            <w:noWrap/>
            <w:hideMark/>
          </w:tcPr>
          <w:p w14:paraId="6EC462A6"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Gross Profit ÷ Net Sales × 100</w:t>
            </w:r>
          </w:p>
        </w:tc>
        <w:tc>
          <w:tcPr>
            <w:tcW w:w="694" w:type="pct"/>
            <w:noWrap/>
            <w:hideMark/>
          </w:tcPr>
          <w:p w14:paraId="7F0965D3"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113,994 ÷ 394,879 = 28.87%</w:t>
            </w:r>
          </w:p>
        </w:tc>
        <w:tc>
          <w:tcPr>
            <w:tcW w:w="694" w:type="pct"/>
            <w:noWrap/>
            <w:hideMark/>
          </w:tcPr>
          <w:p w14:paraId="269442AB"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97,560 ÷ 420,457 = 23.20%</w:t>
            </w:r>
          </w:p>
        </w:tc>
        <w:tc>
          <w:tcPr>
            <w:tcW w:w="714" w:type="pct"/>
            <w:noWrap/>
            <w:hideMark/>
          </w:tcPr>
          <w:p w14:paraId="20CE6D12"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152,292 ÷ 542,751 = 28.06%</w:t>
            </w:r>
          </w:p>
        </w:tc>
        <w:tc>
          <w:tcPr>
            <w:tcW w:w="714" w:type="pct"/>
            <w:noWrap/>
            <w:hideMark/>
          </w:tcPr>
          <w:p w14:paraId="2A3B01F0"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173,016 ÷ 601,602 = 28.76%</w:t>
            </w:r>
          </w:p>
        </w:tc>
        <w:tc>
          <w:tcPr>
            <w:tcW w:w="714" w:type="pct"/>
            <w:noWrap/>
            <w:hideMark/>
          </w:tcPr>
          <w:p w14:paraId="34C62915"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176,256 ÷ 614,680 = 28.67%</w:t>
            </w:r>
          </w:p>
        </w:tc>
      </w:tr>
      <w:tr w:rsidR="003F1641" w:rsidRPr="004B0336" w14:paraId="6E193EB7" w14:textId="77777777" w:rsidTr="00B64B5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70" w:type="pct"/>
            <w:noWrap/>
            <w:hideMark/>
          </w:tcPr>
          <w:p w14:paraId="217B8E97" w14:textId="77777777" w:rsidR="003F1641" w:rsidRPr="004B0336" w:rsidRDefault="003F1641" w:rsidP="007B09AB">
            <w:pPr>
              <w:jc w:val="left"/>
              <w:rPr>
                <w:rFonts w:eastAsia="Times New Roman" w:cs="Arial"/>
                <w:color w:val="000000"/>
                <w:lang w:val="en-GB"/>
              </w:rPr>
            </w:pPr>
            <w:r w:rsidRPr="004B0336">
              <w:rPr>
                <w:rFonts w:eastAsia="Times New Roman" w:cs="Arial"/>
                <w:color w:val="000000"/>
                <w:lang w:val="en-GB"/>
              </w:rPr>
              <w:t>Net Profit Margin (%)</w:t>
            </w:r>
          </w:p>
        </w:tc>
        <w:tc>
          <w:tcPr>
            <w:tcW w:w="900" w:type="pct"/>
            <w:noWrap/>
            <w:hideMark/>
          </w:tcPr>
          <w:p w14:paraId="1C19EC5B"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Net Income ÷ Net Sales × 100</w:t>
            </w:r>
          </w:p>
        </w:tc>
        <w:tc>
          <w:tcPr>
            <w:tcW w:w="694" w:type="pct"/>
            <w:noWrap/>
            <w:hideMark/>
          </w:tcPr>
          <w:p w14:paraId="298D2D10"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(24,029) ÷ 394,879 = -6.09%</w:t>
            </w:r>
          </w:p>
        </w:tc>
        <w:tc>
          <w:tcPr>
            <w:tcW w:w="694" w:type="pct"/>
            <w:noWrap/>
            <w:hideMark/>
          </w:tcPr>
          <w:p w14:paraId="280675A9"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(98,238) ÷ 420,457 = -23.37%</w:t>
            </w:r>
          </w:p>
        </w:tc>
        <w:tc>
          <w:tcPr>
            <w:tcW w:w="714" w:type="pct"/>
            <w:noWrap/>
            <w:hideMark/>
          </w:tcPr>
          <w:p w14:paraId="1ADCACBD"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407 ÷ 542,751 = 0.07%</w:t>
            </w:r>
          </w:p>
        </w:tc>
        <w:tc>
          <w:tcPr>
            <w:tcW w:w="714" w:type="pct"/>
            <w:noWrap/>
            <w:hideMark/>
          </w:tcPr>
          <w:p w14:paraId="1EDB880F"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5,301 ÷ 601,602 = 0.88%</w:t>
            </w:r>
          </w:p>
        </w:tc>
        <w:tc>
          <w:tcPr>
            <w:tcW w:w="714" w:type="pct"/>
            <w:noWrap/>
            <w:hideMark/>
          </w:tcPr>
          <w:p w14:paraId="66FF602B"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38,572 ÷ 614,680 = 6.28%</w:t>
            </w:r>
          </w:p>
        </w:tc>
      </w:tr>
      <w:tr w:rsidR="003F1641" w:rsidRPr="004B0336" w14:paraId="3EEAFBB4" w14:textId="77777777" w:rsidTr="00B64B58">
        <w:trPr>
          <w:trHeight w:val="300"/>
        </w:trPr>
        <w:tc>
          <w:tcPr>
            <w:cnfStyle w:val="001000000000" w:firstRow="0" w:lastRow="0" w:firstColumn="1" w:lastColumn="0" w:oddVBand="0" w:evenVBand="0" w:oddHBand="0" w:evenHBand="0" w:firstRowFirstColumn="0" w:firstRowLastColumn="0" w:lastRowFirstColumn="0" w:lastRowLastColumn="0"/>
            <w:tcW w:w="570" w:type="pct"/>
            <w:noWrap/>
            <w:hideMark/>
          </w:tcPr>
          <w:p w14:paraId="5987DE4D" w14:textId="77777777" w:rsidR="003F1641" w:rsidRPr="004B0336" w:rsidRDefault="003F1641" w:rsidP="007B09AB">
            <w:pPr>
              <w:jc w:val="left"/>
              <w:rPr>
                <w:rFonts w:eastAsia="Times New Roman" w:cs="Arial"/>
                <w:color w:val="000000"/>
                <w:lang w:val="en-GB"/>
              </w:rPr>
            </w:pPr>
            <w:r w:rsidRPr="004B0336">
              <w:rPr>
                <w:rFonts w:eastAsia="Times New Roman" w:cs="Arial"/>
                <w:color w:val="000000"/>
                <w:lang w:val="en-GB"/>
              </w:rPr>
              <w:t>ROA (%)</w:t>
            </w:r>
          </w:p>
        </w:tc>
        <w:tc>
          <w:tcPr>
            <w:tcW w:w="900" w:type="pct"/>
            <w:noWrap/>
            <w:hideMark/>
          </w:tcPr>
          <w:p w14:paraId="4C68187F"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Net Income ÷ Total Assets × 100</w:t>
            </w:r>
          </w:p>
        </w:tc>
        <w:tc>
          <w:tcPr>
            <w:tcW w:w="694" w:type="pct"/>
            <w:noWrap/>
            <w:hideMark/>
          </w:tcPr>
          <w:p w14:paraId="5080A8E3"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(24,029) ÷ 323,354 = -7.43%</w:t>
            </w:r>
          </w:p>
        </w:tc>
        <w:tc>
          <w:tcPr>
            <w:tcW w:w="694" w:type="pct"/>
            <w:noWrap/>
            <w:hideMark/>
          </w:tcPr>
          <w:p w14:paraId="72DBE3C1"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(98,238) ÷ 355,872 = -27.61%</w:t>
            </w:r>
          </w:p>
        </w:tc>
        <w:tc>
          <w:tcPr>
            <w:tcW w:w="714" w:type="pct"/>
            <w:noWrap/>
            <w:hideMark/>
          </w:tcPr>
          <w:p w14:paraId="78BD5467"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407 ÷ 504,163 = 0.08%</w:t>
            </w:r>
          </w:p>
        </w:tc>
        <w:tc>
          <w:tcPr>
            <w:tcW w:w="714" w:type="pct"/>
            <w:noWrap/>
            <w:hideMark/>
          </w:tcPr>
          <w:p w14:paraId="125BE5D6"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5,301 ÷ 510,348 = 1.04%</w:t>
            </w:r>
          </w:p>
        </w:tc>
        <w:tc>
          <w:tcPr>
            <w:tcW w:w="714" w:type="pct"/>
            <w:noWrap/>
            <w:hideMark/>
          </w:tcPr>
          <w:p w14:paraId="6A8D044D"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38,572 ÷ 510,290 = 7.56%</w:t>
            </w:r>
          </w:p>
        </w:tc>
      </w:tr>
      <w:tr w:rsidR="003F1641" w:rsidRPr="004B0336" w14:paraId="72F5F765" w14:textId="77777777" w:rsidTr="00B64B5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70" w:type="pct"/>
            <w:noWrap/>
            <w:hideMark/>
          </w:tcPr>
          <w:p w14:paraId="57C6FA49" w14:textId="77777777" w:rsidR="003F1641" w:rsidRPr="004B0336" w:rsidRDefault="003F1641" w:rsidP="007B09AB">
            <w:pPr>
              <w:jc w:val="left"/>
              <w:rPr>
                <w:rFonts w:eastAsia="Times New Roman" w:cs="Arial"/>
                <w:color w:val="000000"/>
                <w:lang w:val="en-GB"/>
              </w:rPr>
            </w:pPr>
            <w:r w:rsidRPr="004B0336">
              <w:rPr>
                <w:rFonts w:eastAsia="Times New Roman" w:cs="Arial"/>
                <w:color w:val="000000"/>
                <w:lang w:val="en-GB"/>
              </w:rPr>
              <w:t>ROE (%)</w:t>
            </w:r>
          </w:p>
        </w:tc>
        <w:tc>
          <w:tcPr>
            <w:tcW w:w="900" w:type="pct"/>
            <w:noWrap/>
            <w:hideMark/>
          </w:tcPr>
          <w:p w14:paraId="077CB0D1"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Net Income ÷ Shareholders’ Equity × 100</w:t>
            </w:r>
          </w:p>
        </w:tc>
        <w:tc>
          <w:tcPr>
            <w:tcW w:w="694" w:type="pct"/>
            <w:noWrap/>
            <w:hideMark/>
          </w:tcPr>
          <w:p w14:paraId="559803C9"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(24,029) ÷ 153,105 = -15.69%</w:t>
            </w:r>
          </w:p>
        </w:tc>
        <w:tc>
          <w:tcPr>
            <w:tcW w:w="694" w:type="pct"/>
            <w:noWrap/>
            <w:hideMark/>
          </w:tcPr>
          <w:p w14:paraId="43D62942"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(98,238) ÷ 178,920 = -54.91%</w:t>
            </w:r>
          </w:p>
        </w:tc>
        <w:tc>
          <w:tcPr>
            <w:tcW w:w="714" w:type="pct"/>
            <w:noWrap/>
            <w:hideMark/>
          </w:tcPr>
          <w:p w14:paraId="09F9B0C2"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407 ÷ 268,406 = 0.15%</w:t>
            </w:r>
          </w:p>
        </w:tc>
        <w:tc>
          <w:tcPr>
            <w:tcW w:w="714" w:type="pct"/>
            <w:noWrap/>
            <w:hideMark/>
          </w:tcPr>
          <w:p w14:paraId="4AFEA58B"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5,301 ÷ 275,949 = 1.92%</w:t>
            </w:r>
          </w:p>
        </w:tc>
        <w:tc>
          <w:tcPr>
            <w:tcW w:w="714" w:type="pct"/>
            <w:noWrap/>
            <w:hideMark/>
          </w:tcPr>
          <w:p w14:paraId="26219FA3"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38,572 ÷ 313,301 = 12.31%</w:t>
            </w:r>
          </w:p>
        </w:tc>
      </w:tr>
      <w:tr w:rsidR="003F1641" w:rsidRPr="004B0336" w14:paraId="26427E59" w14:textId="77777777" w:rsidTr="007B09AB">
        <w:trPr>
          <w:trHeight w:val="300"/>
        </w:trPr>
        <w:tc>
          <w:tcPr>
            <w:cnfStyle w:val="001000000000" w:firstRow="0" w:lastRow="0" w:firstColumn="1" w:lastColumn="0" w:oddVBand="0" w:evenVBand="0" w:oddHBand="0" w:evenHBand="0" w:firstRowFirstColumn="0" w:firstRowLastColumn="0" w:lastRowFirstColumn="0" w:lastRowLastColumn="0"/>
            <w:tcW w:w="5000" w:type="pct"/>
            <w:gridSpan w:val="7"/>
            <w:noWrap/>
            <w:hideMark/>
          </w:tcPr>
          <w:p w14:paraId="4FBD2508" w14:textId="77777777" w:rsidR="003F1641" w:rsidRPr="004B0336" w:rsidRDefault="003F1641" w:rsidP="007B09AB">
            <w:pPr>
              <w:jc w:val="center"/>
              <w:rPr>
                <w:rFonts w:eastAsia="Times New Roman" w:cs="Arial"/>
                <w:color w:val="000000"/>
                <w:lang w:val="en-GB"/>
              </w:rPr>
            </w:pPr>
            <w:r w:rsidRPr="004B0336">
              <w:rPr>
                <w:rFonts w:eastAsia="Times New Roman" w:cs="Arial"/>
                <w:color w:val="000000"/>
                <w:lang w:val="en-GB"/>
              </w:rPr>
              <w:t>Liquidity Ratios</w:t>
            </w:r>
          </w:p>
        </w:tc>
      </w:tr>
      <w:tr w:rsidR="003F1641" w:rsidRPr="004B0336" w14:paraId="33432FEE" w14:textId="77777777" w:rsidTr="00B64B5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70" w:type="pct"/>
            <w:noWrap/>
            <w:hideMark/>
          </w:tcPr>
          <w:p w14:paraId="5FF5D906" w14:textId="77777777" w:rsidR="003F1641" w:rsidRPr="004B0336" w:rsidRDefault="003F1641" w:rsidP="007B09AB">
            <w:pPr>
              <w:jc w:val="left"/>
              <w:rPr>
                <w:rFonts w:eastAsia="Times New Roman" w:cs="Arial"/>
                <w:color w:val="000000"/>
                <w:lang w:val="en-GB"/>
              </w:rPr>
            </w:pPr>
            <w:r w:rsidRPr="004B0336">
              <w:rPr>
                <w:rFonts w:eastAsia="Times New Roman" w:cs="Arial"/>
                <w:color w:val="000000"/>
                <w:lang w:val="en-GB"/>
              </w:rPr>
              <w:t>Ratio</w:t>
            </w:r>
          </w:p>
        </w:tc>
        <w:tc>
          <w:tcPr>
            <w:tcW w:w="900" w:type="pct"/>
            <w:noWrap/>
            <w:hideMark/>
          </w:tcPr>
          <w:p w14:paraId="759399F6"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Formula</w:t>
            </w:r>
          </w:p>
        </w:tc>
        <w:tc>
          <w:tcPr>
            <w:tcW w:w="694" w:type="pct"/>
            <w:noWrap/>
            <w:hideMark/>
          </w:tcPr>
          <w:p w14:paraId="3A8669F4" w14:textId="77777777" w:rsidR="003F1641" w:rsidRPr="004B0336" w:rsidRDefault="003F1641" w:rsidP="007B09AB">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2024</w:t>
            </w:r>
          </w:p>
        </w:tc>
        <w:tc>
          <w:tcPr>
            <w:tcW w:w="694" w:type="pct"/>
            <w:noWrap/>
            <w:hideMark/>
          </w:tcPr>
          <w:p w14:paraId="519B8B95" w14:textId="77777777" w:rsidR="003F1641" w:rsidRPr="004B0336" w:rsidRDefault="003F1641" w:rsidP="007B09AB">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2023</w:t>
            </w:r>
          </w:p>
        </w:tc>
        <w:tc>
          <w:tcPr>
            <w:tcW w:w="714" w:type="pct"/>
            <w:noWrap/>
            <w:hideMark/>
          </w:tcPr>
          <w:p w14:paraId="5746BA14" w14:textId="77777777" w:rsidR="003F1641" w:rsidRPr="004B0336" w:rsidRDefault="003F1641" w:rsidP="007B09AB">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2022</w:t>
            </w:r>
          </w:p>
        </w:tc>
        <w:tc>
          <w:tcPr>
            <w:tcW w:w="714" w:type="pct"/>
            <w:noWrap/>
            <w:hideMark/>
          </w:tcPr>
          <w:p w14:paraId="4F5D8122" w14:textId="77777777" w:rsidR="003F1641" w:rsidRPr="004B0336" w:rsidRDefault="003F1641" w:rsidP="007B09AB">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2021</w:t>
            </w:r>
          </w:p>
        </w:tc>
        <w:tc>
          <w:tcPr>
            <w:tcW w:w="714" w:type="pct"/>
            <w:noWrap/>
            <w:hideMark/>
          </w:tcPr>
          <w:p w14:paraId="512FD675" w14:textId="77777777" w:rsidR="003F1641" w:rsidRPr="004B0336" w:rsidRDefault="003F1641" w:rsidP="007B09AB">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2020</w:t>
            </w:r>
          </w:p>
        </w:tc>
      </w:tr>
      <w:tr w:rsidR="003F1641" w:rsidRPr="004B0336" w14:paraId="009F11B8" w14:textId="77777777" w:rsidTr="00B64B58">
        <w:trPr>
          <w:trHeight w:val="300"/>
        </w:trPr>
        <w:tc>
          <w:tcPr>
            <w:cnfStyle w:val="001000000000" w:firstRow="0" w:lastRow="0" w:firstColumn="1" w:lastColumn="0" w:oddVBand="0" w:evenVBand="0" w:oddHBand="0" w:evenHBand="0" w:firstRowFirstColumn="0" w:firstRowLastColumn="0" w:lastRowFirstColumn="0" w:lastRowLastColumn="0"/>
            <w:tcW w:w="570" w:type="pct"/>
            <w:noWrap/>
            <w:hideMark/>
          </w:tcPr>
          <w:p w14:paraId="339286BE" w14:textId="77777777" w:rsidR="003F1641" w:rsidRPr="004B0336" w:rsidRDefault="003F1641" w:rsidP="007B09AB">
            <w:pPr>
              <w:jc w:val="left"/>
              <w:rPr>
                <w:rFonts w:eastAsia="Times New Roman" w:cs="Arial"/>
                <w:color w:val="000000"/>
                <w:lang w:val="en-GB"/>
              </w:rPr>
            </w:pPr>
            <w:r w:rsidRPr="004B0336">
              <w:rPr>
                <w:rFonts w:eastAsia="Times New Roman" w:cs="Arial"/>
                <w:color w:val="000000"/>
                <w:lang w:val="en-GB"/>
              </w:rPr>
              <w:t>Current Ratio</w:t>
            </w:r>
          </w:p>
        </w:tc>
        <w:tc>
          <w:tcPr>
            <w:tcW w:w="900" w:type="pct"/>
            <w:noWrap/>
            <w:hideMark/>
          </w:tcPr>
          <w:p w14:paraId="1747F33A"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Current Assets ÷ Current Liabilities</w:t>
            </w:r>
          </w:p>
        </w:tc>
        <w:tc>
          <w:tcPr>
            <w:tcW w:w="694" w:type="pct"/>
            <w:noWrap/>
            <w:hideMark/>
          </w:tcPr>
          <w:p w14:paraId="3E4AC77F"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242,494 ÷ 158,291 = 1.53</w:t>
            </w:r>
          </w:p>
        </w:tc>
        <w:tc>
          <w:tcPr>
            <w:tcW w:w="694" w:type="pct"/>
            <w:noWrap/>
            <w:hideMark/>
          </w:tcPr>
          <w:p w14:paraId="55D41B4B"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258,851 ÷ 161,148 = 1.61</w:t>
            </w:r>
          </w:p>
        </w:tc>
        <w:tc>
          <w:tcPr>
            <w:tcW w:w="714" w:type="pct"/>
            <w:noWrap/>
            <w:hideMark/>
          </w:tcPr>
          <w:p w14:paraId="4527E303"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338,040 ÷ 216,473 = 1.56</w:t>
            </w:r>
          </w:p>
        </w:tc>
        <w:tc>
          <w:tcPr>
            <w:tcW w:w="714" w:type="pct"/>
            <w:noWrap/>
            <w:hideMark/>
          </w:tcPr>
          <w:p w14:paraId="263CD0F8"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337,146 ÷ 216,787 = 1.56</w:t>
            </w:r>
          </w:p>
        </w:tc>
        <w:tc>
          <w:tcPr>
            <w:tcW w:w="714" w:type="pct"/>
            <w:noWrap/>
            <w:hideMark/>
          </w:tcPr>
          <w:p w14:paraId="06297CA2"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326,843 ÷ 179,510 = 1.82</w:t>
            </w:r>
          </w:p>
        </w:tc>
      </w:tr>
      <w:tr w:rsidR="003F1641" w:rsidRPr="004B0336" w14:paraId="2BAB9306" w14:textId="77777777" w:rsidTr="00B64B5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70" w:type="pct"/>
            <w:noWrap/>
            <w:hideMark/>
          </w:tcPr>
          <w:p w14:paraId="71778287" w14:textId="77777777" w:rsidR="003F1641" w:rsidRPr="004B0336" w:rsidRDefault="003F1641" w:rsidP="007B09AB">
            <w:pPr>
              <w:jc w:val="left"/>
              <w:rPr>
                <w:rFonts w:eastAsia="Times New Roman" w:cs="Arial"/>
                <w:color w:val="000000"/>
                <w:lang w:val="en-GB"/>
              </w:rPr>
            </w:pPr>
            <w:r w:rsidRPr="004B0336">
              <w:rPr>
                <w:rFonts w:eastAsia="Times New Roman" w:cs="Arial"/>
                <w:color w:val="000000"/>
                <w:lang w:val="en-GB"/>
              </w:rPr>
              <w:t>Quick Ratio</w:t>
            </w:r>
          </w:p>
        </w:tc>
        <w:tc>
          <w:tcPr>
            <w:tcW w:w="900" w:type="pct"/>
            <w:noWrap/>
            <w:hideMark/>
          </w:tcPr>
          <w:p w14:paraId="10D76836"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(Current Assets – Inventories) ÷ Current Liabilities</w:t>
            </w:r>
          </w:p>
        </w:tc>
        <w:tc>
          <w:tcPr>
            <w:tcW w:w="694" w:type="pct"/>
            <w:noWrap/>
            <w:hideMark/>
          </w:tcPr>
          <w:p w14:paraId="32C5A5AD"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(242,494 − 79,355) ÷ 158,291 = 1.03</w:t>
            </w:r>
          </w:p>
        </w:tc>
        <w:tc>
          <w:tcPr>
            <w:tcW w:w="694" w:type="pct"/>
            <w:noWrap/>
            <w:hideMark/>
          </w:tcPr>
          <w:p w14:paraId="6371B151"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(258,851 − 88,273) ÷ 161,148 = 1.06</w:t>
            </w:r>
          </w:p>
        </w:tc>
        <w:tc>
          <w:tcPr>
            <w:tcW w:w="714" w:type="pct"/>
            <w:noWrap/>
            <w:hideMark/>
          </w:tcPr>
          <w:p w14:paraId="1BAC579B"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(338,040 − 140,181) ÷ 216,473 = 0.91</w:t>
            </w:r>
          </w:p>
        </w:tc>
        <w:tc>
          <w:tcPr>
            <w:tcW w:w="714" w:type="pct"/>
            <w:noWrap/>
            <w:hideMark/>
          </w:tcPr>
          <w:p w14:paraId="3DA98D5B"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(337,146 − 134,469) ÷ 216,787 = 0.94</w:t>
            </w:r>
          </w:p>
        </w:tc>
        <w:tc>
          <w:tcPr>
            <w:tcW w:w="714" w:type="pct"/>
            <w:noWrap/>
            <w:hideMark/>
          </w:tcPr>
          <w:p w14:paraId="2CA0B0CE"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(326,843 − 120,430) ÷ 179,510 = 1.15</w:t>
            </w:r>
          </w:p>
        </w:tc>
      </w:tr>
      <w:tr w:rsidR="003F1641" w:rsidRPr="004B0336" w14:paraId="2FC77208" w14:textId="77777777" w:rsidTr="007B09AB">
        <w:trPr>
          <w:trHeight w:val="300"/>
        </w:trPr>
        <w:tc>
          <w:tcPr>
            <w:cnfStyle w:val="001000000000" w:firstRow="0" w:lastRow="0" w:firstColumn="1" w:lastColumn="0" w:oddVBand="0" w:evenVBand="0" w:oddHBand="0" w:evenHBand="0" w:firstRowFirstColumn="0" w:firstRowLastColumn="0" w:lastRowFirstColumn="0" w:lastRowLastColumn="0"/>
            <w:tcW w:w="5000" w:type="pct"/>
            <w:gridSpan w:val="7"/>
            <w:noWrap/>
            <w:hideMark/>
          </w:tcPr>
          <w:p w14:paraId="6BF84DA4" w14:textId="77777777" w:rsidR="003F1641" w:rsidRPr="004B0336" w:rsidRDefault="003F1641" w:rsidP="007B09AB">
            <w:pPr>
              <w:jc w:val="center"/>
              <w:rPr>
                <w:rFonts w:eastAsia="Times New Roman" w:cs="Arial"/>
                <w:color w:val="000000"/>
                <w:lang w:val="en-GB"/>
              </w:rPr>
            </w:pPr>
            <w:r w:rsidRPr="004B0336">
              <w:rPr>
                <w:rFonts w:eastAsia="Times New Roman" w:cs="Arial"/>
                <w:color w:val="000000"/>
                <w:lang w:val="en-GB"/>
              </w:rPr>
              <w:t>Efficiency Ratios</w:t>
            </w:r>
          </w:p>
        </w:tc>
      </w:tr>
      <w:tr w:rsidR="00F11CD3" w:rsidRPr="004B0336" w14:paraId="0DB45C1F" w14:textId="77777777" w:rsidTr="00B64B5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70" w:type="pct"/>
            <w:noWrap/>
            <w:hideMark/>
          </w:tcPr>
          <w:p w14:paraId="116E74A7" w14:textId="77777777" w:rsidR="003F1641" w:rsidRPr="004B0336" w:rsidRDefault="003F1641" w:rsidP="007B09AB">
            <w:pPr>
              <w:jc w:val="center"/>
              <w:rPr>
                <w:rFonts w:eastAsia="Times New Roman" w:cs="Arial"/>
                <w:color w:val="000000"/>
                <w:lang w:val="en-GB"/>
              </w:rPr>
            </w:pPr>
            <w:r w:rsidRPr="004B0336">
              <w:rPr>
                <w:rFonts w:eastAsia="Times New Roman" w:cs="Arial"/>
                <w:color w:val="000000"/>
                <w:lang w:val="en-GB"/>
              </w:rPr>
              <w:t>Ratio</w:t>
            </w:r>
          </w:p>
        </w:tc>
        <w:tc>
          <w:tcPr>
            <w:tcW w:w="900" w:type="pct"/>
            <w:noWrap/>
            <w:hideMark/>
          </w:tcPr>
          <w:p w14:paraId="557DD2AE" w14:textId="77777777" w:rsidR="003F1641" w:rsidRPr="004B0336" w:rsidRDefault="003F1641" w:rsidP="007B09AB">
            <w:pPr>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Formula</w:t>
            </w:r>
          </w:p>
        </w:tc>
        <w:tc>
          <w:tcPr>
            <w:tcW w:w="694" w:type="pct"/>
            <w:noWrap/>
            <w:hideMark/>
          </w:tcPr>
          <w:p w14:paraId="570836E6" w14:textId="77777777" w:rsidR="003F1641" w:rsidRPr="004B0336" w:rsidRDefault="003F1641" w:rsidP="007B09AB">
            <w:pPr>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2024</w:t>
            </w:r>
          </w:p>
        </w:tc>
        <w:tc>
          <w:tcPr>
            <w:tcW w:w="694" w:type="pct"/>
            <w:noWrap/>
            <w:hideMark/>
          </w:tcPr>
          <w:p w14:paraId="712EFFA7" w14:textId="77777777" w:rsidR="003F1641" w:rsidRPr="004B0336" w:rsidRDefault="003F1641" w:rsidP="007B09AB">
            <w:pPr>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2023</w:t>
            </w:r>
          </w:p>
        </w:tc>
        <w:tc>
          <w:tcPr>
            <w:tcW w:w="714" w:type="pct"/>
            <w:noWrap/>
            <w:hideMark/>
          </w:tcPr>
          <w:p w14:paraId="33128B4D" w14:textId="77777777" w:rsidR="003F1641" w:rsidRPr="004B0336" w:rsidRDefault="003F1641" w:rsidP="007B09AB">
            <w:pPr>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2022</w:t>
            </w:r>
          </w:p>
        </w:tc>
        <w:tc>
          <w:tcPr>
            <w:tcW w:w="714" w:type="pct"/>
            <w:noWrap/>
            <w:hideMark/>
          </w:tcPr>
          <w:p w14:paraId="6976D685" w14:textId="77777777" w:rsidR="003F1641" w:rsidRPr="004B0336" w:rsidRDefault="003F1641" w:rsidP="007B09AB">
            <w:pPr>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2021</w:t>
            </w:r>
          </w:p>
        </w:tc>
        <w:tc>
          <w:tcPr>
            <w:tcW w:w="714" w:type="pct"/>
            <w:noWrap/>
            <w:hideMark/>
          </w:tcPr>
          <w:p w14:paraId="0F10AC72" w14:textId="77777777" w:rsidR="003F1641" w:rsidRPr="004B0336" w:rsidRDefault="003F1641" w:rsidP="007B09AB">
            <w:pPr>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2020</w:t>
            </w:r>
          </w:p>
        </w:tc>
      </w:tr>
      <w:tr w:rsidR="003F1641" w:rsidRPr="004B0336" w14:paraId="364CBD4B" w14:textId="77777777" w:rsidTr="00B64B58">
        <w:trPr>
          <w:trHeight w:val="300"/>
        </w:trPr>
        <w:tc>
          <w:tcPr>
            <w:cnfStyle w:val="001000000000" w:firstRow="0" w:lastRow="0" w:firstColumn="1" w:lastColumn="0" w:oddVBand="0" w:evenVBand="0" w:oddHBand="0" w:evenHBand="0" w:firstRowFirstColumn="0" w:firstRowLastColumn="0" w:lastRowFirstColumn="0" w:lastRowLastColumn="0"/>
            <w:tcW w:w="570" w:type="pct"/>
            <w:noWrap/>
            <w:hideMark/>
          </w:tcPr>
          <w:p w14:paraId="5B3EC868" w14:textId="77777777" w:rsidR="003F1641" w:rsidRPr="004B0336" w:rsidRDefault="003F1641" w:rsidP="007B09AB">
            <w:pPr>
              <w:jc w:val="left"/>
              <w:rPr>
                <w:rFonts w:eastAsia="Times New Roman" w:cs="Arial"/>
                <w:color w:val="000000"/>
                <w:lang w:val="en-GB"/>
              </w:rPr>
            </w:pPr>
            <w:r w:rsidRPr="004B0336">
              <w:rPr>
                <w:rFonts w:eastAsia="Times New Roman" w:cs="Arial"/>
                <w:color w:val="000000"/>
                <w:lang w:val="en-GB"/>
              </w:rPr>
              <w:t>Asset Turnover</w:t>
            </w:r>
          </w:p>
        </w:tc>
        <w:tc>
          <w:tcPr>
            <w:tcW w:w="900" w:type="pct"/>
            <w:noWrap/>
            <w:hideMark/>
          </w:tcPr>
          <w:p w14:paraId="129B3200"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Net Sales ÷ Total Assets</w:t>
            </w:r>
          </w:p>
        </w:tc>
        <w:tc>
          <w:tcPr>
            <w:tcW w:w="694" w:type="pct"/>
            <w:noWrap/>
            <w:hideMark/>
          </w:tcPr>
          <w:p w14:paraId="66D9D2E9"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394,879 ÷ 323,354 = 1.22</w:t>
            </w:r>
          </w:p>
        </w:tc>
        <w:tc>
          <w:tcPr>
            <w:tcW w:w="694" w:type="pct"/>
            <w:noWrap/>
            <w:hideMark/>
          </w:tcPr>
          <w:p w14:paraId="4D7D153A"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420,457 ÷ 355,872 = 1.18</w:t>
            </w:r>
          </w:p>
        </w:tc>
        <w:tc>
          <w:tcPr>
            <w:tcW w:w="714" w:type="pct"/>
            <w:noWrap/>
            <w:hideMark/>
          </w:tcPr>
          <w:p w14:paraId="52A43114"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542,751 ÷ 504,163 = 1.08</w:t>
            </w:r>
          </w:p>
        </w:tc>
        <w:tc>
          <w:tcPr>
            <w:tcW w:w="714" w:type="pct"/>
            <w:noWrap/>
            <w:hideMark/>
          </w:tcPr>
          <w:p w14:paraId="7FFBB264"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601,602 ÷ 510,348 = 1.18</w:t>
            </w:r>
          </w:p>
        </w:tc>
        <w:tc>
          <w:tcPr>
            <w:tcW w:w="714" w:type="pct"/>
            <w:noWrap/>
            <w:hideMark/>
          </w:tcPr>
          <w:p w14:paraId="75F79645"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614,680 ÷ 510,290 = 1.21</w:t>
            </w:r>
          </w:p>
        </w:tc>
      </w:tr>
      <w:tr w:rsidR="003F1641" w:rsidRPr="004B0336" w14:paraId="491A930D" w14:textId="77777777" w:rsidTr="007B09AB">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000" w:type="pct"/>
            <w:gridSpan w:val="7"/>
            <w:noWrap/>
            <w:hideMark/>
          </w:tcPr>
          <w:p w14:paraId="12F4818C" w14:textId="77777777" w:rsidR="003F1641" w:rsidRPr="004B0336" w:rsidRDefault="003F1641" w:rsidP="007B09AB">
            <w:pPr>
              <w:jc w:val="center"/>
              <w:rPr>
                <w:rFonts w:eastAsia="Times New Roman" w:cs="Arial"/>
                <w:color w:val="000000"/>
                <w:lang w:val="en-GB"/>
              </w:rPr>
            </w:pPr>
            <w:r w:rsidRPr="004B0336">
              <w:rPr>
                <w:rFonts w:eastAsia="Times New Roman" w:cs="Arial"/>
                <w:color w:val="000000"/>
                <w:lang w:val="en-GB"/>
              </w:rPr>
              <w:t>Gearing / Leverage Ratios</w:t>
            </w:r>
          </w:p>
        </w:tc>
      </w:tr>
      <w:tr w:rsidR="00DD2F1C" w:rsidRPr="004B0336" w14:paraId="75936AAF" w14:textId="77777777" w:rsidTr="00B64B58">
        <w:trPr>
          <w:trHeight w:val="300"/>
        </w:trPr>
        <w:tc>
          <w:tcPr>
            <w:cnfStyle w:val="001000000000" w:firstRow="0" w:lastRow="0" w:firstColumn="1" w:lastColumn="0" w:oddVBand="0" w:evenVBand="0" w:oddHBand="0" w:evenHBand="0" w:firstRowFirstColumn="0" w:firstRowLastColumn="0" w:lastRowFirstColumn="0" w:lastRowLastColumn="0"/>
            <w:tcW w:w="570" w:type="pct"/>
            <w:noWrap/>
            <w:hideMark/>
          </w:tcPr>
          <w:p w14:paraId="1B884699" w14:textId="77777777" w:rsidR="003F1641" w:rsidRPr="004B0336" w:rsidRDefault="003F1641" w:rsidP="007B09AB">
            <w:pPr>
              <w:jc w:val="left"/>
              <w:rPr>
                <w:rFonts w:eastAsia="Times New Roman" w:cs="Arial"/>
                <w:color w:val="000000"/>
                <w:lang w:val="en-GB"/>
              </w:rPr>
            </w:pPr>
            <w:r w:rsidRPr="004B0336">
              <w:rPr>
                <w:rFonts w:eastAsia="Times New Roman" w:cs="Arial"/>
                <w:color w:val="000000"/>
                <w:lang w:val="en-GB"/>
              </w:rPr>
              <w:t>Ratio</w:t>
            </w:r>
          </w:p>
        </w:tc>
        <w:tc>
          <w:tcPr>
            <w:tcW w:w="900" w:type="pct"/>
            <w:noWrap/>
            <w:hideMark/>
          </w:tcPr>
          <w:p w14:paraId="56090C22"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Formula</w:t>
            </w:r>
          </w:p>
        </w:tc>
        <w:tc>
          <w:tcPr>
            <w:tcW w:w="694" w:type="pct"/>
            <w:noWrap/>
            <w:hideMark/>
          </w:tcPr>
          <w:p w14:paraId="3423692A" w14:textId="77777777" w:rsidR="003F1641" w:rsidRPr="004B0336" w:rsidRDefault="003F1641" w:rsidP="007B09AB">
            <w:pPr>
              <w:jc w:val="righ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2024</w:t>
            </w:r>
          </w:p>
        </w:tc>
        <w:tc>
          <w:tcPr>
            <w:tcW w:w="694" w:type="pct"/>
            <w:noWrap/>
            <w:hideMark/>
          </w:tcPr>
          <w:p w14:paraId="4D8650EA" w14:textId="77777777" w:rsidR="003F1641" w:rsidRPr="004B0336" w:rsidRDefault="003F1641" w:rsidP="007B09AB">
            <w:pPr>
              <w:jc w:val="righ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2023</w:t>
            </w:r>
          </w:p>
        </w:tc>
        <w:tc>
          <w:tcPr>
            <w:tcW w:w="714" w:type="pct"/>
            <w:noWrap/>
            <w:hideMark/>
          </w:tcPr>
          <w:p w14:paraId="34DB06FC" w14:textId="77777777" w:rsidR="003F1641" w:rsidRPr="004B0336" w:rsidRDefault="003F1641" w:rsidP="007B09AB">
            <w:pPr>
              <w:jc w:val="righ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2022</w:t>
            </w:r>
          </w:p>
        </w:tc>
        <w:tc>
          <w:tcPr>
            <w:tcW w:w="714" w:type="pct"/>
            <w:noWrap/>
            <w:hideMark/>
          </w:tcPr>
          <w:p w14:paraId="51A7D38D" w14:textId="77777777" w:rsidR="003F1641" w:rsidRPr="004B0336" w:rsidRDefault="003F1641" w:rsidP="007B09AB">
            <w:pPr>
              <w:jc w:val="righ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2021</w:t>
            </w:r>
          </w:p>
        </w:tc>
        <w:tc>
          <w:tcPr>
            <w:tcW w:w="714" w:type="pct"/>
            <w:noWrap/>
            <w:hideMark/>
          </w:tcPr>
          <w:p w14:paraId="2E6BB88B" w14:textId="77777777" w:rsidR="003F1641" w:rsidRPr="004B0336" w:rsidRDefault="003F1641" w:rsidP="007B09AB">
            <w:pPr>
              <w:jc w:val="righ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2020</w:t>
            </w:r>
          </w:p>
        </w:tc>
      </w:tr>
      <w:tr w:rsidR="00F11CD3" w:rsidRPr="004B0336" w14:paraId="543E5544" w14:textId="77777777" w:rsidTr="00B64B5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70" w:type="pct"/>
            <w:noWrap/>
            <w:hideMark/>
          </w:tcPr>
          <w:p w14:paraId="3370B2A3" w14:textId="77777777" w:rsidR="003F1641" w:rsidRPr="004B0336" w:rsidRDefault="003F1641" w:rsidP="007B09AB">
            <w:pPr>
              <w:jc w:val="left"/>
              <w:rPr>
                <w:rFonts w:eastAsia="Times New Roman" w:cs="Arial"/>
                <w:color w:val="000000"/>
                <w:lang w:val="en-GB"/>
              </w:rPr>
            </w:pPr>
            <w:r w:rsidRPr="004B0336">
              <w:rPr>
                <w:rFonts w:eastAsia="Times New Roman" w:cs="Arial"/>
                <w:color w:val="000000"/>
                <w:lang w:val="en-GB"/>
              </w:rPr>
              <w:t>Debt-to-Equity</w:t>
            </w:r>
          </w:p>
        </w:tc>
        <w:tc>
          <w:tcPr>
            <w:tcW w:w="900" w:type="pct"/>
            <w:noWrap/>
            <w:hideMark/>
          </w:tcPr>
          <w:p w14:paraId="0581E2D2"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Total Liabilities ÷ Shareholders’ Equity</w:t>
            </w:r>
          </w:p>
        </w:tc>
        <w:tc>
          <w:tcPr>
            <w:tcW w:w="694" w:type="pct"/>
            <w:noWrap/>
            <w:hideMark/>
          </w:tcPr>
          <w:p w14:paraId="62E75054"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170,249 ÷ 153,105 = 1.11</w:t>
            </w:r>
          </w:p>
        </w:tc>
        <w:tc>
          <w:tcPr>
            <w:tcW w:w="694" w:type="pct"/>
            <w:noWrap/>
            <w:hideMark/>
          </w:tcPr>
          <w:p w14:paraId="5F018FA3"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176,952 ÷ 178,920 = 0.99</w:t>
            </w:r>
          </w:p>
        </w:tc>
        <w:tc>
          <w:tcPr>
            <w:tcW w:w="714" w:type="pct"/>
            <w:noWrap/>
            <w:hideMark/>
          </w:tcPr>
          <w:p w14:paraId="59F05A59"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235,757 ÷ 268,406 = 0.88</w:t>
            </w:r>
          </w:p>
        </w:tc>
        <w:tc>
          <w:tcPr>
            <w:tcW w:w="714" w:type="pct"/>
            <w:noWrap/>
            <w:hideMark/>
          </w:tcPr>
          <w:p w14:paraId="74C6E504"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234,399 ÷ 275,949 = 0.85</w:t>
            </w:r>
          </w:p>
        </w:tc>
        <w:tc>
          <w:tcPr>
            <w:tcW w:w="714" w:type="pct"/>
            <w:noWrap/>
            <w:hideMark/>
          </w:tcPr>
          <w:p w14:paraId="0D4CBEBF"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196,989 ÷ 313,301 = 0.63</w:t>
            </w:r>
          </w:p>
        </w:tc>
      </w:tr>
      <w:tr w:rsidR="00DD2F1C" w:rsidRPr="004B0336" w14:paraId="6B654889" w14:textId="77777777" w:rsidTr="00B64B58">
        <w:trPr>
          <w:trHeight w:val="300"/>
        </w:trPr>
        <w:tc>
          <w:tcPr>
            <w:cnfStyle w:val="001000000000" w:firstRow="0" w:lastRow="0" w:firstColumn="1" w:lastColumn="0" w:oddVBand="0" w:evenVBand="0" w:oddHBand="0" w:evenHBand="0" w:firstRowFirstColumn="0" w:firstRowLastColumn="0" w:lastRowFirstColumn="0" w:lastRowLastColumn="0"/>
            <w:tcW w:w="570" w:type="pct"/>
            <w:noWrap/>
            <w:hideMark/>
          </w:tcPr>
          <w:p w14:paraId="7659EE29" w14:textId="77777777" w:rsidR="003F1641" w:rsidRPr="004B0336" w:rsidRDefault="003F1641" w:rsidP="007B09AB">
            <w:pPr>
              <w:jc w:val="left"/>
              <w:rPr>
                <w:rFonts w:eastAsia="Times New Roman" w:cs="Arial"/>
                <w:color w:val="000000"/>
                <w:lang w:val="en-GB"/>
              </w:rPr>
            </w:pPr>
            <w:r w:rsidRPr="004B0336">
              <w:rPr>
                <w:rFonts w:eastAsia="Times New Roman" w:cs="Arial"/>
                <w:color w:val="000000"/>
                <w:lang w:val="en-GB"/>
              </w:rPr>
              <w:t>Debt Ratio</w:t>
            </w:r>
          </w:p>
        </w:tc>
        <w:tc>
          <w:tcPr>
            <w:tcW w:w="900" w:type="pct"/>
            <w:noWrap/>
            <w:hideMark/>
          </w:tcPr>
          <w:p w14:paraId="7312A0A4"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Total Liabilities ÷ Total Assets</w:t>
            </w:r>
          </w:p>
        </w:tc>
        <w:tc>
          <w:tcPr>
            <w:tcW w:w="694" w:type="pct"/>
            <w:noWrap/>
            <w:hideMark/>
          </w:tcPr>
          <w:p w14:paraId="2CA99643"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170,249 ÷ 323,354 = 0.53</w:t>
            </w:r>
          </w:p>
        </w:tc>
        <w:tc>
          <w:tcPr>
            <w:tcW w:w="694" w:type="pct"/>
            <w:noWrap/>
            <w:hideMark/>
          </w:tcPr>
          <w:p w14:paraId="00F6445D"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176,952 ÷ 355,872 = 0.50</w:t>
            </w:r>
          </w:p>
        </w:tc>
        <w:tc>
          <w:tcPr>
            <w:tcW w:w="714" w:type="pct"/>
            <w:noWrap/>
            <w:hideMark/>
          </w:tcPr>
          <w:p w14:paraId="02A943DC"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235,757 ÷ 504,163 = 0.47</w:t>
            </w:r>
          </w:p>
        </w:tc>
        <w:tc>
          <w:tcPr>
            <w:tcW w:w="714" w:type="pct"/>
            <w:noWrap/>
            <w:hideMark/>
          </w:tcPr>
          <w:p w14:paraId="329CF882"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234,399 ÷ 510,348 = 0.46</w:t>
            </w:r>
          </w:p>
        </w:tc>
        <w:tc>
          <w:tcPr>
            <w:tcW w:w="714" w:type="pct"/>
            <w:noWrap/>
            <w:hideMark/>
          </w:tcPr>
          <w:p w14:paraId="4AF6714C"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196,989 ÷ 510,290 = 0.39</w:t>
            </w:r>
          </w:p>
        </w:tc>
      </w:tr>
      <w:tr w:rsidR="003F1641" w:rsidRPr="004B0336" w14:paraId="4BDD587D" w14:textId="77777777" w:rsidTr="007B09AB">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000" w:type="pct"/>
            <w:gridSpan w:val="7"/>
            <w:noWrap/>
            <w:hideMark/>
          </w:tcPr>
          <w:p w14:paraId="1E8ABF65" w14:textId="77777777" w:rsidR="003F1641" w:rsidRPr="004B0336" w:rsidRDefault="003F1641" w:rsidP="007B09AB">
            <w:pPr>
              <w:jc w:val="center"/>
              <w:rPr>
                <w:rFonts w:eastAsia="Times New Roman" w:cs="Arial"/>
                <w:color w:val="000000"/>
                <w:lang w:val="en-GB"/>
              </w:rPr>
            </w:pPr>
            <w:r w:rsidRPr="004B0336">
              <w:rPr>
                <w:rFonts w:eastAsia="Times New Roman" w:cs="Arial"/>
                <w:color w:val="000000"/>
                <w:lang w:val="en-GB"/>
              </w:rPr>
              <w:t>Cash Flow Ratios</w:t>
            </w:r>
          </w:p>
        </w:tc>
      </w:tr>
      <w:tr w:rsidR="00F11CD3" w:rsidRPr="004B0336" w14:paraId="290A37F6" w14:textId="77777777" w:rsidTr="00B64B58">
        <w:trPr>
          <w:trHeight w:val="300"/>
        </w:trPr>
        <w:tc>
          <w:tcPr>
            <w:cnfStyle w:val="001000000000" w:firstRow="0" w:lastRow="0" w:firstColumn="1" w:lastColumn="0" w:oddVBand="0" w:evenVBand="0" w:oddHBand="0" w:evenHBand="0" w:firstRowFirstColumn="0" w:firstRowLastColumn="0" w:lastRowFirstColumn="0" w:lastRowLastColumn="0"/>
            <w:tcW w:w="570" w:type="pct"/>
            <w:noWrap/>
            <w:hideMark/>
          </w:tcPr>
          <w:p w14:paraId="0598823D" w14:textId="77777777" w:rsidR="003F1641" w:rsidRPr="004B0336" w:rsidRDefault="003F1641" w:rsidP="007B09AB">
            <w:pPr>
              <w:jc w:val="left"/>
              <w:rPr>
                <w:rFonts w:eastAsia="Times New Roman" w:cs="Arial"/>
                <w:color w:val="000000"/>
                <w:lang w:val="en-GB"/>
              </w:rPr>
            </w:pPr>
            <w:r w:rsidRPr="004B0336">
              <w:rPr>
                <w:rFonts w:eastAsia="Times New Roman" w:cs="Arial"/>
                <w:color w:val="000000"/>
                <w:lang w:val="en-GB"/>
              </w:rPr>
              <w:t>Ratio</w:t>
            </w:r>
          </w:p>
        </w:tc>
        <w:tc>
          <w:tcPr>
            <w:tcW w:w="900" w:type="pct"/>
            <w:noWrap/>
            <w:hideMark/>
          </w:tcPr>
          <w:p w14:paraId="46C914EF"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Formula</w:t>
            </w:r>
          </w:p>
        </w:tc>
        <w:tc>
          <w:tcPr>
            <w:tcW w:w="694" w:type="pct"/>
            <w:noWrap/>
            <w:hideMark/>
          </w:tcPr>
          <w:p w14:paraId="2B34E633" w14:textId="77777777" w:rsidR="003F1641" w:rsidRPr="004B0336" w:rsidRDefault="003F1641" w:rsidP="007B09AB">
            <w:pPr>
              <w:jc w:val="righ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2024</w:t>
            </w:r>
          </w:p>
        </w:tc>
        <w:tc>
          <w:tcPr>
            <w:tcW w:w="694" w:type="pct"/>
            <w:noWrap/>
            <w:hideMark/>
          </w:tcPr>
          <w:p w14:paraId="276FF00C" w14:textId="77777777" w:rsidR="003F1641" w:rsidRPr="004B0336" w:rsidRDefault="003F1641" w:rsidP="007B09AB">
            <w:pPr>
              <w:jc w:val="righ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2023</w:t>
            </w:r>
          </w:p>
        </w:tc>
        <w:tc>
          <w:tcPr>
            <w:tcW w:w="714" w:type="pct"/>
            <w:noWrap/>
            <w:hideMark/>
          </w:tcPr>
          <w:p w14:paraId="0C58B4B5" w14:textId="77777777" w:rsidR="003F1641" w:rsidRPr="004B0336" w:rsidRDefault="003F1641" w:rsidP="007B09AB">
            <w:pPr>
              <w:jc w:val="righ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2022</w:t>
            </w:r>
          </w:p>
        </w:tc>
        <w:tc>
          <w:tcPr>
            <w:tcW w:w="714" w:type="pct"/>
            <w:noWrap/>
            <w:hideMark/>
          </w:tcPr>
          <w:p w14:paraId="42194E02" w14:textId="77777777" w:rsidR="003F1641" w:rsidRPr="004B0336" w:rsidRDefault="003F1641" w:rsidP="007B09AB">
            <w:pPr>
              <w:jc w:val="righ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2021</w:t>
            </w:r>
          </w:p>
        </w:tc>
        <w:tc>
          <w:tcPr>
            <w:tcW w:w="714" w:type="pct"/>
            <w:noWrap/>
            <w:hideMark/>
          </w:tcPr>
          <w:p w14:paraId="5FD27CCA" w14:textId="77777777" w:rsidR="003F1641" w:rsidRPr="004B0336" w:rsidRDefault="003F1641" w:rsidP="007B09AB">
            <w:pPr>
              <w:jc w:val="righ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2020</w:t>
            </w:r>
          </w:p>
        </w:tc>
      </w:tr>
      <w:tr w:rsidR="00DD2F1C" w:rsidRPr="004B0336" w14:paraId="6D69A4E6" w14:textId="77777777" w:rsidTr="00B64B5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70" w:type="pct"/>
            <w:noWrap/>
            <w:hideMark/>
          </w:tcPr>
          <w:p w14:paraId="0811A566" w14:textId="77777777" w:rsidR="003F1641" w:rsidRPr="004B0336" w:rsidRDefault="003F1641" w:rsidP="007B09AB">
            <w:pPr>
              <w:jc w:val="left"/>
              <w:rPr>
                <w:rFonts w:eastAsia="Times New Roman" w:cs="Arial"/>
                <w:color w:val="000000"/>
                <w:lang w:val="en-GB"/>
              </w:rPr>
            </w:pPr>
            <w:r w:rsidRPr="004B0336">
              <w:rPr>
                <w:rFonts w:eastAsia="Times New Roman" w:cs="Arial"/>
                <w:color w:val="000000"/>
                <w:lang w:val="en-GB"/>
              </w:rPr>
              <w:t>Operating Cash Flow Ratio</w:t>
            </w:r>
          </w:p>
        </w:tc>
        <w:tc>
          <w:tcPr>
            <w:tcW w:w="900" w:type="pct"/>
            <w:noWrap/>
            <w:hideMark/>
          </w:tcPr>
          <w:p w14:paraId="2802E30B"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Operating Cash Flow ÷ Current Liabilities</w:t>
            </w:r>
          </w:p>
        </w:tc>
        <w:tc>
          <w:tcPr>
            <w:tcW w:w="694" w:type="pct"/>
            <w:noWrap/>
            <w:hideMark/>
          </w:tcPr>
          <w:p w14:paraId="11CCDE30"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14,822 ÷ 158,291 = 0.09</w:t>
            </w:r>
          </w:p>
        </w:tc>
        <w:tc>
          <w:tcPr>
            <w:tcW w:w="694" w:type="pct"/>
            <w:noWrap/>
            <w:hideMark/>
          </w:tcPr>
          <w:p w14:paraId="7B748BF5"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25,190 ÷ 161,148 = 0.16</w:t>
            </w:r>
          </w:p>
        </w:tc>
        <w:tc>
          <w:tcPr>
            <w:tcW w:w="714" w:type="pct"/>
            <w:noWrap/>
            <w:hideMark/>
          </w:tcPr>
          <w:p w14:paraId="412A42DF"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10,926 ÷ 216,473 = 0.05</w:t>
            </w:r>
          </w:p>
        </w:tc>
        <w:tc>
          <w:tcPr>
            <w:tcW w:w="714" w:type="pct"/>
            <w:noWrap/>
            <w:hideMark/>
          </w:tcPr>
          <w:p w14:paraId="0D542B13"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40,283 ÷ 216,787 = 0.19</w:t>
            </w:r>
          </w:p>
        </w:tc>
        <w:tc>
          <w:tcPr>
            <w:tcW w:w="714" w:type="pct"/>
            <w:noWrap/>
            <w:hideMark/>
          </w:tcPr>
          <w:p w14:paraId="71052502"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73,392 ÷ 179,510 = 0.41</w:t>
            </w:r>
          </w:p>
        </w:tc>
      </w:tr>
      <w:tr w:rsidR="003F1641" w:rsidRPr="004B0336" w14:paraId="1AD5ADAE" w14:textId="77777777" w:rsidTr="007B09AB">
        <w:trPr>
          <w:trHeight w:val="300"/>
        </w:trPr>
        <w:tc>
          <w:tcPr>
            <w:cnfStyle w:val="001000000000" w:firstRow="0" w:lastRow="0" w:firstColumn="1" w:lastColumn="0" w:oddVBand="0" w:evenVBand="0" w:oddHBand="0" w:evenHBand="0" w:firstRowFirstColumn="0" w:firstRowLastColumn="0" w:lastRowFirstColumn="0" w:lastRowLastColumn="0"/>
            <w:tcW w:w="5000" w:type="pct"/>
            <w:gridSpan w:val="7"/>
            <w:noWrap/>
            <w:hideMark/>
          </w:tcPr>
          <w:p w14:paraId="17E72DD3" w14:textId="77777777" w:rsidR="003F1641" w:rsidRPr="004B0336" w:rsidRDefault="003F1641" w:rsidP="007B09AB">
            <w:pPr>
              <w:jc w:val="center"/>
              <w:rPr>
                <w:rFonts w:eastAsia="Times New Roman" w:cs="Arial"/>
                <w:color w:val="000000"/>
                <w:lang w:val="en-GB"/>
              </w:rPr>
            </w:pPr>
            <w:r w:rsidRPr="004B0336">
              <w:rPr>
                <w:rFonts w:eastAsia="Times New Roman" w:cs="Arial"/>
                <w:color w:val="000000"/>
                <w:lang w:val="en-GB"/>
              </w:rPr>
              <w:t>Investment Ratios</w:t>
            </w:r>
          </w:p>
        </w:tc>
      </w:tr>
      <w:tr w:rsidR="00F11CD3" w:rsidRPr="004B0336" w14:paraId="50A1A140" w14:textId="77777777" w:rsidTr="00B64B5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70" w:type="pct"/>
            <w:noWrap/>
            <w:hideMark/>
          </w:tcPr>
          <w:p w14:paraId="12749E44" w14:textId="77777777" w:rsidR="003F1641" w:rsidRPr="004B0336" w:rsidRDefault="003F1641" w:rsidP="007B09AB">
            <w:pPr>
              <w:jc w:val="left"/>
              <w:rPr>
                <w:rFonts w:eastAsia="Times New Roman" w:cs="Arial"/>
                <w:color w:val="000000"/>
                <w:lang w:val="en-GB"/>
              </w:rPr>
            </w:pPr>
            <w:r w:rsidRPr="004B0336">
              <w:rPr>
                <w:rFonts w:eastAsia="Times New Roman" w:cs="Arial"/>
                <w:color w:val="000000"/>
                <w:lang w:val="en-GB"/>
              </w:rPr>
              <w:t>Ratio</w:t>
            </w:r>
          </w:p>
        </w:tc>
        <w:tc>
          <w:tcPr>
            <w:tcW w:w="900" w:type="pct"/>
            <w:noWrap/>
            <w:hideMark/>
          </w:tcPr>
          <w:p w14:paraId="1EE85712" w14:textId="77777777" w:rsidR="003F1641" w:rsidRPr="004B0336" w:rsidRDefault="003F1641"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Formula</w:t>
            </w:r>
          </w:p>
        </w:tc>
        <w:tc>
          <w:tcPr>
            <w:tcW w:w="694" w:type="pct"/>
            <w:noWrap/>
            <w:hideMark/>
          </w:tcPr>
          <w:p w14:paraId="52610223" w14:textId="77777777" w:rsidR="003F1641" w:rsidRPr="004B0336" w:rsidRDefault="003F1641" w:rsidP="007B09AB">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2024</w:t>
            </w:r>
          </w:p>
        </w:tc>
        <w:tc>
          <w:tcPr>
            <w:tcW w:w="694" w:type="pct"/>
            <w:noWrap/>
            <w:hideMark/>
          </w:tcPr>
          <w:p w14:paraId="6E9BE62F" w14:textId="77777777" w:rsidR="003F1641" w:rsidRPr="004B0336" w:rsidRDefault="003F1641" w:rsidP="007B09AB">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2023</w:t>
            </w:r>
          </w:p>
        </w:tc>
        <w:tc>
          <w:tcPr>
            <w:tcW w:w="714" w:type="pct"/>
            <w:noWrap/>
            <w:hideMark/>
          </w:tcPr>
          <w:p w14:paraId="6DDA815F" w14:textId="77777777" w:rsidR="003F1641" w:rsidRPr="004B0336" w:rsidRDefault="003F1641" w:rsidP="007B09AB">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2022</w:t>
            </w:r>
          </w:p>
        </w:tc>
        <w:tc>
          <w:tcPr>
            <w:tcW w:w="714" w:type="pct"/>
            <w:noWrap/>
            <w:hideMark/>
          </w:tcPr>
          <w:p w14:paraId="72A213B8" w14:textId="77777777" w:rsidR="003F1641" w:rsidRPr="004B0336" w:rsidRDefault="003F1641" w:rsidP="007B09AB">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2021</w:t>
            </w:r>
          </w:p>
        </w:tc>
        <w:tc>
          <w:tcPr>
            <w:tcW w:w="714" w:type="pct"/>
            <w:noWrap/>
            <w:hideMark/>
          </w:tcPr>
          <w:p w14:paraId="4EDB5D93" w14:textId="77777777" w:rsidR="003F1641" w:rsidRPr="004B0336" w:rsidRDefault="003F1641" w:rsidP="007B09AB">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2020</w:t>
            </w:r>
          </w:p>
        </w:tc>
      </w:tr>
      <w:tr w:rsidR="00DD2F1C" w:rsidRPr="004B0336" w14:paraId="515D6DAD" w14:textId="77777777" w:rsidTr="00B64B58">
        <w:trPr>
          <w:trHeight w:val="300"/>
        </w:trPr>
        <w:tc>
          <w:tcPr>
            <w:cnfStyle w:val="001000000000" w:firstRow="0" w:lastRow="0" w:firstColumn="1" w:lastColumn="0" w:oddVBand="0" w:evenVBand="0" w:oddHBand="0" w:evenHBand="0" w:firstRowFirstColumn="0" w:firstRowLastColumn="0" w:lastRowFirstColumn="0" w:lastRowLastColumn="0"/>
            <w:tcW w:w="570" w:type="pct"/>
            <w:noWrap/>
            <w:hideMark/>
          </w:tcPr>
          <w:p w14:paraId="63B3EDB6" w14:textId="77777777" w:rsidR="003F1641" w:rsidRPr="004B0336" w:rsidRDefault="003F1641" w:rsidP="007B09AB">
            <w:pPr>
              <w:jc w:val="left"/>
              <w:rPr>
                <w:rFonts w:eastAsia="Times New Roman" w:cs="Arial"/>
                <w:color w:val="000000"/>
                <w:lang w:val="en-GB"/>
              </w:rPr>
            </w:pPr>
            <w:r w:rsidRPr="004B0336">
              <w:rPr>
                <w:rFonts w:eastAsia="Times New Roman" w:cs="Arial"/>
                <w:color w:val="000000"/>
                <w:lang w:val="en-GB"/>
              </w:rPr>
              <w:t>Earnings Per Share (EPS)</w:t>
            </w:r>
          </w:p>
        </w:tc>
        <w:tc>
          <w:tcPr>
            <w:tcW w:w="900" w:type="pct"/>
            <w:noWrap/>
            <w:hideMark/>
          </w:tcPr>
          <w:p w14:paraId="08B35AAD"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Net Income ÷ Weighted Avg. Shares</w:t>
            </w:r>
          </w:p>
        </w:tc>
        <w:tc>
          <w:tcPr>
            <w:tcW w:w="694" w:type="pct"/>
            <w:noWrap/>
            <w:hideMark/>
          </w:tcPr>
          <w:p w14:paraId="63AA667A"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(24,029) ÷ 12,959 = -1.85</w:t>
            </w:r>
          </w:p>
        </w:tc>
        <w:tc>
          <w:tcPr>
            <w:tcW w:w="694" w:type="pct"/>
            <w:noWrap/>
            <w:hideMark/>
          </w:tcPr>
          <w:p w14:paraId="1B2A490A"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(98,238) ÷ 12,855 = -7.64</w:t>
            </w:r>
          </w:p>
        </w:tc>
        <w:tc>
          <w:tcPr>
            <w:tcW w:w="714" w:type="pct"/>
            <w:noWrap/>
            <w:hideMark/>
          </w:tcPr>
          <w:p w14:paraId="4040BBA1"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407 ÷ 12,703 = 0.03</w:t>
            </w:r>
          </w:p>
        </w:tc>
        <w:tc>
          <w:tcPr>
            <w:tcW w:w="714" w:type="pct"/>
            <w:noWrap/>
            <w:hideMark/>
          </w:tcPr>
          <w:p w14:paraId="0E6AF5C5"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5,301 ÷ 13,465 = 0.39</w:t>
            </w:r>
          </w:p>
        </w:tc>
        <w:tc>
          <w:tcPr>
            <w:tcW w:w="714" w:type="pct"/>
            <w:noWrap/>
            <w:hideMark/>
          </w:tcPr>
          <w:p w14:paraId="386337B8" w14:textId="77777777" w:rsidR="003F1641" w:rsidRPr="004B0336" w:rsidRDefault="003F1641"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38,572 ÷ 13,893 = 2.78</w:t>
            </w:r>
          </w:p>
        </w:tc>
      </w:tr>
    </w:tbl>
    <w:p w14:paraId="6A493F87" w14:textId="58765376" w:rsidR="003F1641" w:rsidRPr="004B0336" w:rsidRDefault="003F1641" w:rsidP="003F1641">
      <w:pPr>
        <w:spacing w:line="259" w:lineRule="auto"/>
        <w:jc w:val="left"/>
        <w:rPr>
          <w:rFonts w:cs="Arial"/>
          <w:b/>
          <w:lang w:val="en-GB"/>
        </w:rPr>
      </w:pPr>
    </w:p>
    <w:p w14:paraId="17170A3E" w14:textId="77777777" w:rsidR="003F1641" w:rsidRPr="004B0336" w:rsidRDefault="003F1641" w:rsidP="003137CE">
      <w:pPr>
        <w:pStyle w:val="Heading2"/>
        <w:rPr>
          <w:lang w:val="en-GB"/>
        </w:rPr>
      </w:pPr>
      <w:bookmarkStart w:id="5" w:name="_Toc214898904"/>
      <w:r w:rsidRPr="004B0336">
        <w:rPr>
          <w:lang w:val="en-GB"/>
        </w:rPr>
        <w:t>1.3 Identification and trends, strengths and threats of the ratio analysis</w:t>
      </w:r>
      <w:bookmarkEnd w:id="5"/>
      <w:r w:rsidRPr="004B0336">
        <w:rPr>
          <w:lang w:val="en-GB"/>
        </w:rPr>
        <w:t xml:space="preserve"> </w:t>
      </w:r>
    </w:p>
    <w:p w14:paraId="69F0AB16" w14:textId="77777777" w:rsidR="003F1641" w:rsidRPr="004B0336" w:rsidRDefault="003F1641" w:rsidP="003F1641">
      <w:pPr>
        <w:rPr>
          <w:rFonts w:cs="Arial"/>
          <w:b/>
          <w:lang w:val="en-GB"/>
        </w:rPr>
      </w:pPr>
      <w:r w:rsidRPr="004B0336">
        <w:rPr>
          <w:rFonts w:cs="Arial"/>
          <w:b/>
          <w:lang w:val="en-GB"/>
        </w:rPr>
        <w:t xml:space="preserve">Key financial trends </w:t>
      </w:r>
    </w:p>
    <w:p w14:paraId="50E05E88" w14:textId="6FB8EFE2" w:rsidR="003F1641" w:rsidRPr="004B0336" w:rsidRDefault="003F1641" w:rsidP="00503241">
      <w:pPr>
        <w:rPr>
          <w:lang w:val="en-GB"/>
        </w:rPr>
      </w:pPr>
      <w:r w:rsidRPr="004B0336">
        <w:rPr>
          <w:lang w:val="en-GB"/>
        </w:rPr>
        <w:t xml:space="preserve">One of the most noticeable </w:t>
      </w:r>
      <w:r w:rsidR="00D434E3" w:rsidRPr="004B0336">
        <w:rPr>
          <w:lang w:val="en-GB"/>
        </w:rPr>
        <w:t>trends</w:t>
      </w:r>
      <w:r w:rsidRPr="004B0336">
        <w:rPr>
          <w:lang w:val="en-GB"/>
        </w:rPr>
        <w:t xml:space="preserve"> across 2020 to 2024 is the organisation’s sharp profitability deteriorations. The net profit margin has fell from being healthy 6.28% in 2020 to -23.37% in the year 2023, before improving to -6.09% in FY2024. This has addressed that even though the operational losses </w:t>
      </w:r>
      <w:r w:rsidR="00A07C22" w:rsidRPr="004B0336">
        <w:rPr>
          <w:lang w:val="en-GB"/>
        </w:rPr>
        <w:t>have</w:t>
      </w:r>
      <w:r w:rsidRPr="004B0336">
        <w:rPr>
          <w:lang w:val="en-GB"/>
        </w:rPr>
        <w:t xml:space="preserve"> been reducing, where the firm is struggling to restore the sustainable profitability. Similar to that, ROA has declined from being 7.56% (2020) to -27.61% (2023), while reflecting poor asset productivity and inefficient capital deployment. The slight recovery to the 7.43% in FY2024, has shown some early signs of stabilisation, but not the expected recovery (Research</w:t>
      </w:r>
      <w:r w:rsidR="00670EB2" w:rsidRPr="004B0336">
        <w:rPr>
          <w:lang w:val="en-GB"/>
        </w:rPr>
        <w:t xml:space="preserve"> </w:t>
      </w:r>
      <w:r w:rsidRPr="004B0336">
        <w:rPr>
          <w:lang w:val="en-GB"/>
        </w:rPr>
        <w:t>and</w:t>
      </w:r>
      <w:r w:rsidR="00670EB2" w:rsidRPr="004B0336">
        <w:rPr>
          <w:lang w:val="en-GB"/>
        </w:rPr>
        <w:t xml:space="preserve"> M</w:t>
      </w:r>
      <w:r w:rsidRPr="004B0336">
        <w:rPr>
          <w:lang w:val="en-GB"/>
        </w:rPr>
        <w:t>arkets, 2025). Apart from that, another ley trend is increasing financial leverages, where the debt-to-equity ratio has increased steadily from 0.63 in 2020 to 1.11 in 2024, which shows that the organisation relies more the debt in compared to the equity for financing options. This increase has been supported by the debt-ratio which is rising from 0.39 to 0.53, and addressing a rising financial risk and reduction of equity buffers (Research</w:t>
      </w:r>
      <w:r w:rsidR="00FE6276" w:rsidRPr="004B0336">
        <w:rPr>
          <w:lang w:val="en-GB"/>
        </w:rPr>
        <w:t xml:space="preserve"> </w:t>
      </w:r>
      <w:r w:rsidRPr="004B0336">
        <w:rPr>
          <w:lang w:val="en-GB"/>
        </w:rPr>
        <w:t>and</w:t>
      </w:r>
      <w:r w:rsidR="00FE6276" w:rsidRPr="004B0336">
        <w:rPr>
          <w:lang w:val="en-GB"/>
        </w:rPr>
        <w:t xml:space="preserve"> M</w:t>
      </w:r>
      <w:r w:rsidRPr="004B0336">
        <w:rPr>
          <w:lang w:val="en-GB"/>
        </w:rPr>
        <w:t>arkets, 2025).</w:t>
      </w:r>
    </w:p>
    <w:p w14:paraId="4A9764B1" w14:textId="77777777" w:rsidR="003F1641" w:rsidRPr="004B0336" w:rsidRDefault="003F1641" w:rsidP="00503241">
      <w:pPr>
        <w:rPr>
          <w:lang w:val="en-GB"/>
        </w:rPr>
      </w:pPr>
      <w:r w:rsidRPr="004B0336">
        <w:rPr>
          <w:lang w:val="en-GB"/>
        </w:rPr>
        <w:t xml:space="preserve">The liquidity has shown a mixes trend, while the </w:t>
      </w:r>
      <w:r w:rsidRPr="004B0336">
        <w:rPr>
          <w:i/>
          <w:lang w:val="en-GB"/>
        </w:rPr>
        <w:t xml:space="preserve">current ratio </w:t>
      </w:r>
      <w:r w:rsidRPr="004B0336">
        <w:rPr>
          <w:lang w:val="en-GB"/>
        </w:rPr>
        <w:t xml:space="preserve">has stayed above 1.5 in most years (1.53 in 2024), while addressing an acceptable short-term solvency position, and the quick ratio remained weaker around 1.03 in 2024. This has addressed a heavy reliance on the inventory that can become challenging during the time of demand downturns. The operating cash flow ratio has declined significantly from 0.41 in 2020 to 0.09 in 2024, which addresses a worsening ability for covering the current liabilities from the operating cash activities. </w:t>
      </w:r>
    </w:p>
    <w:p w14:paraId="2CFEB99C" w14:textId="77777777" w:rsidR="003F1641" w:rsidRPr="004B0336" w:rsidRDefault="003F1641" w:rsidP="003F1641">
      <w:pPr>
        <w:rPr>
          <w:rFonts w:cs="Arial"/>
          <w:b/>
          <w:lang w:val="en-GB"/>
        </w:rPr>
      </w:pPr>
      <w:r w:rsidRPr="004B0336">
        <w:rPr>
          <w:rFonts w:cs="Arial"/>
          <w:b/>
          <w:lang w:val="en-GB"/>
        </w:rPr>
        <w:t xml:space="preserve">Key strengths        </w:t>
      </w:r>
    </w:p>
    <w:p w14:paraId="4323714F" w14:textId="318E087A" w:rsidR="003F1641" w:rsidRPr="004B0336" w:rsidRDefault="003F1641" w:rsidP="003F1641">
      <w:pPr>
        <w:rPr>
          <w:rFonts w:cs="Arial"/>
          <w:lang w:val="en-GB"/>
        </w:rPr>
      </w:pPr>
      <w:r w:rsidRPr="004B0336">
        <w:rPr>
          <w:rFonts w:cs="Arial"/>
          <w:lang w:val="en-GB"/>
        </w:rPr>
        <w:t xml:space="preserve">One of the major </w:t>
      </w:r>
      <w:r w:rsidR="00503241" w:rsidRPr="004B0336">
        <w:rPr>
          <w:rFonts w:cs="Arial"/>
          <w:lang w:val="en-GB"/>
        </w:rPr>
        <w:t>strengths</w:t>
      </w:r>
      <w:r w:rsidRPr="004B0336">
        <w:rPr>
          <w:rFonts w:cs="Arial"/>
          <w:lang w:val="en-GB"/>
        </w:rPr>
        <w:t xml:space="preserve"> is the organisation’s stable gross profit margin, that has remained strong around 28% to 29% in most of the years and have recovered to 28.87% in 2024 after a week of 223. This has addressed the core product pricing structure and cost of production to remain relatively efficient while providing a strong base for the turnaround (GE, 2023). Apart from that, another key strength lies in the operational efficiency and utilisation of the assets as reflected by the consistent “</w:t>
      </w:r>
      <w:r w:rsidRPr="004B0336">
        <w:rPr>
          <w:rFonts w:cs="Arial"/>
          <w:i/>
          <w:lang w:val="en-GB"/>
        </w:rPr>
        <w:t>asset turnover ratio</w:t>
      </w:r>
      <w:r w:rsidRPr="004B0336">
        <w:rPr>
          <w:rFonts w:cs="Arial"/>
          <w:lang w:val="en-GB"/>
        </w:rPr>
        <w:t>” of above “1”. This means that the organisation still holds a highly effective revenue-generation capacity relative to the asset sizes (</w:t>
      </w:r>
      <w:r w:rsidRPr="004B0336">
        <w:rPr>
          <w:rFonts w:cs="Arial"/>
          <w:shd w:val="clear" w:color="auto" w:fill="FFFFFF"/>
          <w:lang w:val="en-GB"/>
        </w:rPr>
        <w:t>Sangwa, 2021</w:t>
      </w:r>
      <w:r w:rsidRPr="004B0336">
        <w:rPr>
          <w:rFonts w:cs="Arial"/>
          <w:lang w:val="en-GB"/>
        </w:rPr>
        <w:t xml:space="preserve">). </w:t>
      </w:r>
    </w:p>
    <w:p w14:paraId="41BEC328" w14:textId="77777777" w:rsidR="003F1641" w:rsidRPr="004B0336" w:rsidRDefault="003F1641" w:rsidP="003F1641">
      <w:pPr>
        <w:rPr>
          <w:rFonts w:cs="Arial"/>
          <w:b/>
          <w:lang w:val="en-GB"/>
        </w:rPr>
      </w:pPr>
      <w:r w:rsidRPr="004B0336">
        <w:rPr>
          <w:rFonts w:cs="Arial"/>
          <w:b/>
          <w:lang w:val="en-GB"/>
        </w:rPr>
        <w:t xml:space="preserve">Key trends     </w:t>
      </w:r>
    </w:p>
    <w:p w14:paraId="4E51BF1B" w14:textId="17E7CB61" w:rsidR="003F1641" w:rsidRPr="004B0336" w:rsidRDefault="003F1641" w:rsidP="003F1641">
      <w:pPr>
        <w:rPr>
          <w:rFonts w:cs="Arial"/>
          <w:lang w:val="en-GB"/>
        </w:rPr>
      </w:pPr>
      <w:r w:rsidRPr="004B0336">
        <w:rPr>
          <w:rFonts w:cs="Arial"/>
          <w:lang w:val="en-GB"/>
        </w:rPr>
        <w:t xml:space="preserve">One of the major </w:t>
      </w:r>
      <w:r w:rsidR="00FC1B3D" w:rsidRPr="004B0336">
        <w:rPr>
          <w:rFonts w:cs="Arial"/>
          <w:lang w:val="en-GB"/>
        </w:rPr>
        <w:t>threats</w:t>
      </w:r>
      <w:r w:rsidRPr="004B0336">
        <w:rPr>
          <w:rFonts w:cs="Arial"/>
          <w:lang w:val="en-GB"/>
        </w:rPr>
        <w:t xml:space="preserve"> is the collapse taken place in shareholder value, as addressed in the ROE plummeting from being 12.31% in 2020 to -54.91% in 2023, and being at -15.69% in FY2024 (GE, 2023). This has causes damage in the investor confidence and limits the future equity funding. Another major threat has been the rising leverage risks, with having debt-to-equity ratio has been above “1”, and the organisation has entered in a threatening zone where creditors have more financial claim in compared to the shareholders. Within a high-interest-rate environment, this has increased the financial pressure which is tougher than the interest obligations.     </w:t>
      </w:r>
    </w:p>
    <w:p w14:paraId="311D4607" w14:textId="77777777" w:rsidR="003F1641" w:rsidRPr="004B0336" w:rsidRDefault="003F1641" w:rsidP="003137CE">
      <w:pPr>
        <w:pStyle w:val="Heading2"/>
        <w:rPr>
          <w:lang w:val="en-GB"/>
        </w:rPr>
      </w:pPr>
      <w:bookmarkStart w:id="6" w:name="_Toc214898905"/>
      <w:r w:rsidRPr="004B0336">
        <w:rPr>
          <w:lang w:val="en-GB"/>
        </w:rPr>
        <w:t>1.4 Altman Z-Score Assessment: Default Risk Analysis</w:t>
      </w:r>
      <w:bookmarkEnd w:id="6"/>
      <w:r w:rsidRPr="004B0336">
        <w:rPr>
          <w:lang w:val="en-GB"/>
        </w:rPr>
        <w:t xml:space="preserve">  </w:t>
      </w:r>
    </w:p>
    <w:p w14:paraId="4B143E81" w14:textId="77777777" w:rsidR="003F1641" w:rsidRPr="004B0336" w:rsidRDefault="003F1641" w:rsidP="003F1641">
      <w:pPr>
        <w:rPr>
          <w:rFonts w:cs="Arial"/>
          <w:lang w:val="en-GB"/>
        </w:rPr>
      </w:pPr>
      <w:r w:rsidRPr="004B0336">
        <w:rPr>
          <w:rFonts w:cs="Arial"/>
          <w:lang w:val="en-GB"/>
        </w:rPr>
        <w:t xml:space="preserve">In order to evaluate the bankruptcy risk of General electronics, I have applied Altman Z-Score model by using the latest available financial data of 2024. As this is listed in the international manufacturing firm, the original Altman Z-score formula has been used. This includes a limitation which addresses that market value of equity has been approximated by using a book value of equity due to the unavailability of market data (Kenton, 2025). </w:t>
      </w:r>
    </w:p>
    <w:p w14:paraId="62AEAB09" w14:textId="77777777" w:rsidR="003F1641" w:rsidRPr="004B0336" w:rsidRDefault="003F1641" w:rsidP="003F1641">
      <w:pPr>
        <w:rPr>
          <w:rFonts w:cs="Arial"/>
          <w:lang w:val="en-GB"/>
        </w:rPr>
      </w:pPr>
      <w:r w:rsidRPr="004B0336">
        <w:rPr>
          <w:rFonts w:cs="Arial"/>
          <w:lang w:val="en-GB"/>
        </w:rPr>
        <w:t>Z = 1.2(WC/TA) + 1.4(RE/TA) + 3.3(EBIT/TA) + 0.6(MVE/TL) + 1.0(S/TA)</w:t>
      </w:r>
    </w:p>
    <w:p w14:paraId="61E45FBE" w14:textId="77777777" w:rsidR="003F1641" w:rsidRPr="004B0336" w:rsidRDefault="003F1641" w:rsidP="003F1641">
      <w:pPr>
        <w:rPr>
          <w:rFonts w:cs="Arial"/>
          <w:lang w:val="en-GB"/>
        </w:rPr>
      </w:pPr>
      <w:r w:rsidRPr="004B0336">
        <w:rPr>
          <w:rFonts w:cs="Arial"/>
          <w:lang w:val="en-GB"/>
        </w:rPr>
        <w:t xml:space="preserve">Here, </w:t>
      </w:r>
    </w:p>
    <w:p w14:paraId="1139F64F" w14:textId="77777777" w:rsidR="003F1641" w:rsidRPr="004B0336" w:rsidRDefault="003F1641" w:rsidP="003F1641">
      <w:pPr>
        <w:pStyle w:val="ListParagraph"/>
        <w:numPr>
          <w:ilvl w:val="0"/>
          <w:numId w:val="2"/>
        </w:numPr>
        <w:rPr>
          <w:rFonts w:cs="Arial"/>
          <w:lang w:val="en-GB"/>
        </w:rPr>
      </w:pPr>
      <w:r w:rsidRPr="004B0336">
        <w:rPr>
          <w:rFonts w:cs="Arial"/>
          <w:lang w:val="en-GB"/>
        </w:rPr>
        <w:t>Working Capital (WC) = Current Assets – Current Liabilities = 242,494 – 158,291 = 84,203</w:t>
      </w:r>
    </w:p>
    <w:p w14:paraId="77AAF8F5" w14:textId="77777777" w:rsidR="003F1641" w:rsidRPr="004B0336" w:rsidRDefault="003F1641" w:rsidP="003F1641">
      <w:pPr>
        <w:pStyle w:val="ListParagraph"/>
        <w:numPr>
          <w:ilvl w:val="0"/>
          <w:numId w:val="2"/>
        </w:numPr>
        <w:rPr>
          <w:rFonts w:cs="Arial"/>
          <w:lang w:val="en-GB"/>
        </w:rPr>
      </w:pPr>
      <w:r w:rsidRPr="004B0336">
        <w:rPr>
          <w:rFonts w:cs="Arial"/>
          <w:lang w:val="en-GB"/>
        </w:rPr>
        <w:t>Total Assets (TA) = 323,354</w:t>
      </w:r>
    </w:p>
    <w:p w14:paraId="751DBB0C" w14:textId="77777777" w:rsidR="003F1641" w:rsidRPr="004B0336" w:rsidRDefault="003F1641" w:rsidP="003F1641">
      <w:pPr>
        <w:pStyle w:val="ListParagraph"/>
        <w:numPr>
          <w:ilvl w:val="0"/>
          <w:numId w:val="2"/>
        </w:numPr>
        <w:rPr>
          <w:rFonts w:cs="Arial"/>
          <w:lang w:val="en-GB"/>
        </w:rPr>
      </w:pPr>
      <w:r w:rsidRPr="004B0336">
        <w:rPr>
          <w:rFonts w:cs="Arial"/>
          <w:lang w:val="en-GB"/>
        </w:rPr>
        <w:t>Retained Earnings (RE) = 208,431</w:t>
      </w:r>
    </w:p>
    <w:p w14:paraId="109DB8DE" w14:textId="77777777" w:rsidR="003F1641" w:rsidRPr="004B0336" w:rsidRDefault="003F1641" w:rsidP="003F1641">
      <w:pPr>
        <w:pStyle w:val="ListParagraph"/>
        <w:numPr>
          <w:ilvl w:val="0"/>
          <w:numId w:val="2"/>
        </w:numPr>
        <w:rPr>
          <w:rFonts w:cs="Arial"/>
          <w:lang w:val="en-GB"/>
        </w:rPr>
      </w:pPr>
      <w:r w:rsidRPr="004B0336">
        <w:rPr>
          <w:rFonts w:cs="Arial"/>
          <w:lang w:val="en-GB"/>
        </w:rPr>
        <w:t>EBIT = Operating Income = –15,297</w:t>
      </w:r>
    </w:p>
    <w:p w14:paraId="0DC9D9B8" w14:textId="77777777" w:rsidR="003F1641" w:rsidRPr="004B0336" w:rsidRDefault="003F1641" w:rsidP="003F1641">
      <w:pPr>
        <w:pStyle w:val="ListParagraph"/>
        <w:numPr>
          <w:ilvl w:val="0"/>
          <w:numId w:val="2"/>
        </w:numPr>
        <w:rPr>
          <w:rFonts w:cs="Arial"/>
          <w:lang w:val="en-GB"/>
        </w:rPr>
      </w:pPr>
      <w:r w:rsidRPr="004B0336">
        <w:rPr>
          <w:rFonts w:cs="Arial"/>
          <w:lang w:val="en-GB"/>
        </w:rPr>
        <w:t>Total Liabilities (TL) = 170,249</w:t>
      </w:r>
    </w:p>
    <w:p w14:paraId="13B21CBF" w14:textId="77777777" w:rsidR="003F1641" w:rsidRPr="004B0336" w:rsidRDefault="003F1641" w:rsidP="003F1641">
      <w:pPr>
        <w:pStyle w:val="ListParagraph"/>
        <w:numPr>
          <w:ilvl w:val="0"/>
          <w:numId w:val="2"/>
        </w:numPr>
        <w:rPr>
          <w:rFonts w:cs="Arial"/>
          <w:lang w:val="en-GB"/>
        </w:rPr>
      </w:pPr>
      <w:r w:rsidRPr="004B0336">
        <w:rPr>
          <w:rFonts w:cs="Arial"/>
          <w:lang w:val="en-GB"/>
        </w:rPr>
        <w:t>Approx. Market Value of Equity (MVE) ≈ Equity = 153,105</w:t>
      </w:r>
    </w:p>
    <w:p w14:paraId="33058801" w14:textId="77777777" w:rsidR="003F1641" w:rsidRPr="004B0336" w:rsidRDefault="003F1641" w:rsidP="003F1641">
      <w:pPr>
        <w:pStyle w:val="ListParagraph"/>
        <w:numPr>
          <w:ilvl w:val="0"/>
          <w:numId w:val="2"/>
        </w:numPr>
        <w:rPr>
          <w:rFonts w:cs="Arial"/>
          <w:lang w:val="en-GB"/>
        </w:rPr>
      </w:pPr>
      <w:r w:rsidRPr="004B0336">
        <w:rPr>
          <w:rFonts w:cs="Arial"/>
          <w:lang w:val="en-GB"/>
        </w:rPr>
        <w:t xml:space="preserve">Sales (S) = 394,879    </w:t>
      </w:r>
    </w:p>
    <w:p w14:paraId="763F662D" w14:textId="77777777" w:rsidR="003F1641" w:rsidRPr="004B0336" w:rsidRDefault="003F1641" w:rsidP="003F1641">
      <w:pPr>
        <w:rPr>
          <w:rFonts w:cs="Arial"/>
          <w:lang w:val="en-GB"/>
        </w:rPr>
      </w:pPr>
      <w:r w:rsidRPr="004B0336">
        <w:rPr>
          <w:rFonts w:cs="Arial"/>
          <w:lang w:val="en-GB"/>
        </w:rPr>
        <w:t>On this note, Z: 1.2(0.26) + 1.4(0.64) + 3.3(–0.05) + 0.6(0.90) + 1.0(1.22)</w:t>
      </w:r>
    </w:p>
    <w:p w14:paraId="793FC80D" w14:textId="77777777" w:rsidR="003F1641" w:rsidRPr="004B0336" w:rsidRDefault="003F1641" w:rsidP="003F1641">
      <w:pPr>
        <w:rPr>
          <w:rFonts w:cs="Arial"/>
          <w:lang w:val="en-GB"/>
        </w:rPr>
      </w:pPr>
      <w:r w:rsidRPr="004B0336">
        <w:rPr>
          <w:rFonts w:cs="Arial"/>
          <w:lang w:val="en-GB"/>
        </w:rPr>
        <w:t>Or, Z = 2.73</w:t>
      </w:r>
    </w:p>
    <w:p w14:paraId="1EEA96BB" w14:textId="77777777" w:rsidR="003F1641" w:rsidRPr="004B0336" w:rsidRDefault="003F1641" w:rsidP="003F1641">
      <w:pPr>
        <w:rPr>
          <w:rFonts w:cs="Arial"/>
          <w:lang w:val="en-GB"/>
        </w:rPr>
      </w:pPr>
      <w:r w:rsidRPr="004B0336">
        <w:rPr>
          <w:rFonts w:cs="Arial"/>
          <w:lang w:val="en-GB"/>
        </w:rPr>
        <w:t>Now as stated by Altman, following can be noted:</w:t>
      </w:r>
    </w:p>
    <w:p w14:paraId="28A54F17" w14:textId="77777777" w:rsidR="003F1641" w:rsidRPr="004B0336" w:rsidRDefault="003F1641" w:rsidP="003F1641">
      <w:pPr>
        <w:pStyle w:val="ListParagraph"/>
        <w:numPr>
          <w:ilvl w:val="0"/>
          <w:numId w:val="3"/>
        </w:numPr>
        <w:rPr>
          <w:rFonts w:cs="Arial"/>
          <w:lang w:val="en-GB"/>
        </w:rPr>
      </w:pPr>
      <w:r w:rsidRPr="004B0336">
        <w:rPr>
          <w:rFonts w:cs="Arial"/>
          <w:lang w:val="en-GB"/>
        </w:rPr>
        <w:t>Z &gt; 2.99 = Safe zone</w:t>
      </w:r>
    </w:p>
    <w:p w14:paraId="68D7DFF2" w14:textId="77777777" w:rsidR="003F1641" w:rsidRPr="004B0336" w:rsidRDefault="003F1641" w:rsidP="003F1641">
      <w:pPr>
        <w:pStyle w:val="ListParagraph"/>
        <w:numPr>
          <w:ilvl w:val="0"/>
          <w:numId w:val="3"/>
        </w:numPr>
        <w:rPr>
          <w:rFonts w:cs="Arial"/>
          <w:lang w:val="en-GB"/>
        </w:rPr>
      </w:pPr>
      <w:r w:rsidRPr="004B0336">
        <w:rPr>
          <w:rFonts w:cs="Arial"/>
          <w:lang w:val="en-GB"/>
        </w:rPr>
        <w:t>1.81 &lt; Z &lt; 2.99 = Grey zone</w:t>
      </w:r>
    </w:p>
    <w:p w14:paraId="3CB748C4" w14:textId="77777777" w:rsidR="003F1641" w:rsidRPr="004B0336" w:rsidRDefault="003F1641" w:rsidP="003F1641">
      <w:pPr>
        <w:pStyle w:val="ListParagraph"/>
        <w:numPr>
          <w:ilvl w:val="0"/>
          <w:numId w:val="3"/>
        </w:numPr>
        <w:rPr>
          <w:rFonts w:cs="Arial"/>
          <w:lang w:val="en-GB"/>
        </w:rPr>
      </w:pPr>
      <w:r w:rsidRPr="004B0336">
        <w:rPr>
          <w:rFonts w:cs="Arial"/>
          <w:lang w:val="en-GB"/>
        </w:rPr>
        <w:t xml:space="preserve">Z &lt; 1.81 = Distress zone </w:t>
      </w:r>
    </w:p>
    <w:p w14:paraId="0399F3A7" w14:textId="1728CD00" w:rsidR="003F1641" w:rsidRPr="004B0336" w:rsidRDefault="003F1641" w:rsidP="00EE1D8B">
      <w:pPr>
        <w:rPr>
          <w:rFonts w:cs="Arial"/>
          <w:lang w:val="en-GB"/>
        </w:rPr>
      </w:pPr>
      <w:r w:rsidRPr="004B0336">
        <w:rPr>
          <w:rFonts w:cs="Arial"/>
          <w:lang w:val="en-GB"/>
        </w:rPr>
        <w:t xml:space="preserve">General electronics mainly falls in the Grey Zone (2.73), while addressing a moderate default </w:t>
      </w:r>
      <w:r w:rsidR="00841583" w:rsidRPr="004B0336">
        <w:rPr>
          <w:rFonts w:cs="Arial"/>
          <w:lang w:val="en-GB"/>
        </w:rPr>
        <w:t>risk</w:t>
      </w:r>
      <w:r w:rsidRPr="004B0336">
        <w:rPr>
          <w:rFonts w:cs="Arial"/>
          <w:lang w:val="en-GB"/>
        </w:rPr>
        <w:t>. This addresses that the firm is</w:t>
      </w:r>
      <w:r w:rsidR="00E017F2" w:rsidRPr="004B0336">
        <w:rPr>
          <w:rFonts w:cs="Arial"/>
          <w:lang w:val="en-GB"/>
        </w:rPr>
        <w:t xml:space="preserve"> not </w:t>
      </w:r>
      <w:r w:rsidRPr="004B0336">
        <w:rPr>
          <w:rFonts w:cs="Arial"/>
          <w:lang w:val="en-GB"/>
        </w:rPr>
        <w:t>immediately facing the bankruptcy</w:t>
      </w:r>
      <w:r w:rsidR="002F2D50" w:rsidRPr="004B0336">
        <w:rPr>
          <w:rFonts w:cs="Arial"/>
          <w:lang w:val="en-GB"/>
        </w:rPr>
        <w:t>,</w:t>
      </w:r>
      <w:r w:rsidRPr="004B0336">
        <w:rPr>
          <w:rFonts w:cs="Arial"/>
          <w:lang w:val="en-GB"/>
        </w:rPr>
        <w:t xml:space="preserve"> but is a financially vulnerable organisation. In this case, a continuous loss, failing equity and increasing leverage can push it to distress the zone if some corrective actions hasn’t been taken on time.      </w:t>
      </w:r>
    </w:p>
    <w:p w14:paraId="3F168C17" w14:textId="4EA243CF" w:rsidR="00125357" w:rsidRPr="004B0336" w:rsidRDefault="0062276C" w:rsidP="003137CE">
      <w:pPr>
        <w:pStyle w:val="Heading1"/>
        <w:rPr>
          <w:lang w:val="en-GB"/>
        </w:rPr>
      </w:pPr>
      <w:bookmarkStart w:id="7" w:name="_Toc214898906"/>
      <w:r w:rsidRPr="004B0336">
        <w:rPr>
          <w:lang w:val="en-GB"/>
        </w:rPr>
        <w:t>2</w:t>
      </w:r>
      <w:r w:rsidR="00125357" w:rsidRPr="004B0336">
        <w:rPr>
          <w:lang w:val="en-GB"/>
        </w:rPr>
        <w:t>.0 Working Capital Management Analysis</w:t>
      </w:r>
      <w:bookmarkEnd w:id="7"/>
      <w:r w:rsidR="00F917C4" w:rsidRPr="004B0336">
        <w:rPr>
          <w:lang w:val="en-GB"/>
        </w:rPr>
        <w:t xml:space="preserve"> </w:t>
      </w:r>
    </w:p>
    <w:p w14:paraId="5045402E" w14:textId="015801EF" w:rsidR="00125357" w:rsidRPr="004B0336" w:rsidRDefault="0062276C" w:rsidP="003137CE">
      <w:pPr>
        <w:pStyle w:val="Heading2"/>
        <w:rPr>
          <w:lang w:val="en-GB"/>
        </w:rPr>
      </w:pPr>
      <w:bookmarkStart w:id="8" w:name="_Toc214898907"/>
      <w:r w:rsidRPr="004B0336">
        <w:rPr>
          <w:lang w:val="en-GB"/>
        </w:rPr>
        <w:t>2</w:t>
      </w:r>
      <w:r w:rsidR="00EE1D8B" w:rsidRPr="004B0336">
        <w:rPr>
          <w:lang w:val="en-GB"/>
        </w:rPr>
        <w:t xml:space="preserve">.1 </w:t>
      </w:r>
      <w:r w:rsidR="003A5C9B" w:rsidRPr="004B0336">
        <w:rPr>
          <w:lang w:val="en-GB"/>
        </w:rPr>
        <w:t>C</w:t>
      </w:r>
      <w:r w:rsidR="00125357" w:rsidRPr="004B0336">
        <w:rPr>
          <w:lang w:val="en-GB"/>
        </w:rPr>
        <w:t xml:space="preserve">ash </w:t>
      </w:r>
      <w:r w:rsidR="003A5C9B" w:rsidRPr="004B0336">
        <w:rPr>
          <w:lang w:val="en-GB"/>
        </w:rPr>
        <w:t>Operating</w:t>
      </w:r>
      <w:r w:rsidR="00125357" w:rsidRPr="004B0336">
        <w:rPr>
          <w:lang w:val="en-GB"/>
        </w:rPr>
        <w:t xml:space="preserve"> </w:t>
      </w:r>
      <w:r w:rsidR="003A5C9B" w:rsidRPr="004B0336">
        <w:rPr>
          <w:lang w:val="en-GB"/>
        </w:rPr>
        <w:t>C</w:t>
      </w:r>
      <w:r w:rsidR="00125357" w:rsidRPr="004B0336">
        <w:rPr>
          <w:lang w:val="en-GB"/>
        </w:rPr>
        <w:t>ycle</w:t>
      </w:r>
      <w:r w:rsidR="00653F69" w:rsidRPr="004B0336">
        <w:rPr>
          <w:lang w:val="en-GB"/>
        </w:rPr>
        <w:t xml:space="preserve"> (COC)</w:t>
      </w:r>
      <w:bookmarkEnd w:id="8"/>
      <w:r w:rsidR="00653F69" w:rsidRPr="004B0336">
        <w:rPr>
          <w:lang w:val="en-GB"/>
        </w:rPr>
        <w:t xml:space="preserve"> </w:t>
      </w:r>
    </w:p>
    <w:p w14:paraId="514D748A" w14:textId="5891527F" w:rsidR="0023669D" w:rsidRPr="004B0336" w:rsidRDefault="0023669D" w:rsidP="00EE1D8B">
      <w:pPr>
        <w:rPr>
          <w:rFonts w:cs="Arial"/>
          <w:lang w:val="en-GB"/>
        </w:rPr>
      </w:pPr>
      <w:r w:rsidRPr="004B0336">
        <w:rPr>
          <w:rFonts w:cs="Arial"/>
          <w:b/>
          <w:bCs/>
          <w:lang w:val="en-GB"/>
        </w:rPr>
        <w:t xml:space="preserve">Cash Operating Cycle </w:t>
      </w:r>
      <w:r w:rsidR="0057611D" w:rsidRPr="004B0336">
        <w:rPr>
          <w:rFonts w:cs="Arial"/>
          <w:b/>
          <w:bCs/>
          <w:lang w:val="en-GB"/>
        </w:rPr>
        <w:t>=</w:t>
      </w:r>
      <w:r w:rsidR="0057611D" w:rsidRPr="004B0336">
        <w:rPr>
          <w:rFonts w:cs="Arial"/>
          <w:lang w:val="en-GB"/>
        </w:rPr>
        <w:t xml:space="preserve"> </w:t>
      </w:r>
      <w:r w:rsidRPr="004B0336">
        <w:rPr>
          <w:rFonts w:cs="Arial"/>
          <w:lang w:val="en-GB"/>
        </w:rPr>
        <w:t>DIO + DSO – DPO</w:t>
      </w:r>
    </w:p>
    <w:p w14:paraId="69968B1A" w14:textId="2CBA795D" w:rsidR="0023669D" w:rsidRPr="004B0336" w:rsidRDefault="0023669D" w:rsidP="00EE1D8B">
      <w:pPr>
        <w:rPr>
          <w:rFonts w:cs="Arial"/>
          <w:b/>
          <w:bCs/>
          <w:i/>
          <w:iCs/>
          <w:lang w:val="en-GB"/>
        </w:rPr>
      </w:pPr>
      <w:r w:rsidRPr="004B0336">
        <w:rPr>
          <w:rFonts w:cs="Arial"/>
          <w:b/>
          <w:bCs/>
          <w:i/>
          <w:iCs/>
          <w:lang w:val="en-GB"/>
        </w:rPr>
        <w:t xml:space="preserve">Where, </w:t>
      </w:r>
    </w:p>
    <w:p w14:paraId="4FB0DB7F" w14:textId="7CA87E65" w:rsidR="0023669D" w:rsidRPr="004B0336" w:rsidRDefault="0023669D" w:rsidP="00EE1D8B">
      <w:pPr>
        <w:rPr>
          <w:rFonts w:cs="Arial"/>
          <w:lang w:val="en-GB"/>
        </w:rPr>
      </w:pPr>
      <w:r w:rsidRPr="004B0336">
        <w:rPr>
          <w:rFonts w:cs="Arial"/>
          <w:b/>
          <w:bCs/>
          <w:lang w:val="en-GB"/>
        </w:rPr>
        <w:t xml:space="preserve">Days Inventory Outstanding </w:t>
      </w:r>
      <w:r w:rsidR="00653F69" w:rsidRPr="004B0336">
        <w:rPr>
          <w:rFonts w:cs="Arial"/>
          <w:b/>
          <w:bCs/>
          <w:lang w:val="en-GB"/>
        </w:rPr>
        <w:t xml:space="preserve">(DIO) </w:t>
      </w:r>
      <w:r w:rsidRPr="004B0336">
        <w:rPr>
          <w:rFonts w:cs="Arial"/>
          <w:b/>
          <w:bCs/>
          <w:lang w:val="en-GB"/>
        </w:rPr>
        <w:t>=</w:t>
      </w:r>
      <w:r w:rsidRPr="004B0336">
        <w:rPr>
          <w:rFonts w:cs="Arial"/>
          <w:lang w:val="en-GB"/>
        </w:rPr>
        <w:t xml:space="preserve"> </w:t>
      </w:r>
      <w:r w:rsidR="00653F69" w:rsidRPr="004B0336">
        <w:rPr>
          <w:rFonts w:cs="Arial"/>
          <w:lang w:val="en-GB"/>
        </w:rPr>
        <w:t xml:space="preserve">(Average inventory ÷ Cost of sales) × 365= (83,814 ÷280,885) × 365 = </w:t>
      </w:r>
      <w:r w:rsidR="00D25A04" w:rsidRPr="004B0336">
        <w:rPr>
          <w:rFonts w:cs="Arial"/>
          <w:lang w:val="en-GB"/>
        </w:rPr>
        <w:t xml:space="preserve">108.9132919  </w:t>
      </w:r>
    </w:p>
    <w:p w14:paraId="4E858890" w14:textId="51C70E06" w:rsidR="0023669D" w:rsidRPr="004B0336" w:rsidRDefault="0023669D" w:rsidP="00EE1D8B">
      <w:pPr>
        <w:rPr>
          <w:rFonts w:cs="Arial"/>
          <w:lang w:val="en-GB"/>
        </w:rPr>
      </w:pPr>
      <w:r w:rsidRPr="004B0336">
        <w:rPr>
          <w:rFonts w:cs="Arial"/>
          <w:b/>
          <w:bCs/>
          <w:lang w:val="en-GB"/>
        </w:rPr>
        <w:t xml:space="preserve">Days Sales Outstanding </w:t>
      </w:r>
      <w:r w:rsidR="00653F69" w:rsidRPr="004B0336">
        <w:rPr>
          <w:rFonts w:cs="Arial"/>
          <w:b/>
          <w:bCs/>
          <w:lang w:val="en-GB"/>
        </w:rPr>
        <w:t xml:space="preserve">(DSO) </w:t>
      </w:r>
      <w:r w:rsidRPr="004B0336">
        <w:rPr>
          <w:rFonts w:cs="Arial"/>
          <w:b/>
          <w:bCs/>
          <w:lang w:val="en-GB"/>
        </w:rPr>
        <w:t>=</w:t>
      </w:r>
      <w:r w:rsidRPr="004B0336">
        <w:rPr>
          <w:rFonts w:cs="Arial"/>
          <w:lang w:val="en-GB"/>
        </w:rPr>
        <w:t xml:space="preserve"> </w:t>
      </w:r>
      <w:r w:rsidR="00653F69" w:rsidRPr="004B0336">
        <w:rPr>
          <w:rFonts w:cs="Arial"/>
          <w:lang w:val="en-GB"/>
        </w:rPr>
        <w:t xml:space="preserve">(Trade Receivables ÷ Revenue) × 365= (114,182 ÷ 394,879) × 365 = </w:t>
      </w:r>
      <w:r w:rsidR="00D25A04" w:rsidRPr="004B0336">
        <w:rPr>
          <w:rFonts w:cs="Arial"/>
          <w:lang w:val="en-GB"/>
        </w:rPr>
        <w:t>105.54228</w:t>
      </w:r>
    </w:p>
    <w:p w14:paraId="44EF3153" w14:textId="3D7AFD00" w:rsidR="0023669D" w:rsidRPr="004B0336" w:rsidRDefault="0023669D" w:rsidP="00EE1D8B">
      <w:pPr>
        <w:rPr>
          <w:rFonts w:eastAsia="Times New Roman" w:cs="Arial"/>
          <w:color w:val="000000"/>
          <w:kern w:val="0"/>
          <w:lang w:val="en-GB" w:eastAsia="en-IN"/>
          <w14:ligatures w14:val="none"/>
        </w:rPr>
      </w:pPr>
      <w:r w:rsidRPr="004B0336">
        <w:rPr>
          <w:rFonts w:cs="Arial"/>
          <w:b/>
          <w:bCs/>
          <w:lang w:val="en-GB"/>
        </w:rPr>
        <w:t xml:space="preserve">Days Payable Outstanding </w:t>
      </w:r>
      <w:r w:rsidR="00653F69" w:rsidRPr="004B0336">
        <w:rPr>
          <w:rFonts w:cs="Arial"/>
          <w:b/>
          <w:bCs/>
          <w:lang w:val="en-GB"/>
        </w:rPr>
        <w:t>(DPO) =</w:t>
      </w:r>
      <w:r w:rsidR="00653F69" w:rsidRPr="004B0336">
        <w:rPr>
          <w:rFonts w:cs="Arial"/>
          <w:lang w:val="en-GB"/>
        </w:rPr>
        <w:t xml:space="preserve"> (Trade Payables ÷ Cost of Sales) × 365 = (72,031÷ 280,885) × 365 </w:t>
      </w:r>
      <w:r w:rsidRPr="004B0336">
        <w:rPr>
          <w:rFonts w:cs="Arial"/>
          <w:lang w:val="en-GB"/>
        </w:rPr>
        <w:t xml:space="preserve">= </w:t>
      </w:r>
      <w:r w:rsidR="00E04CBD" w:rsidRPr="004B0336">
        <w:rPr>
          <w:rFonts w:eastAsia="Times New Roman" w:cs="Arial"/>
          <w:color w:val="000000"/>
          <w:kern w:val="0"/>
          <w:lang w:val="en-GB" w:eastAsia="en-IN"/>
          <w14:ligatures w14:val="none"/>
        </w:rPr>
        <w:t>93.60170532</w:t>
      </w:r>
    </w:p>
    <w:p w14:paraId="2D3500CF" w14:textId="7CA5B992" w:rsidR="0023669D" w:rsidRPr="004B0336" w:rsidRDefault="0023669D" w:rsidP="00EE1D8B">
      <w:pPr>
        <w:rPr>
          <w:rFonts w:cs="Arial"/>
          <w:lang w:val="en-GB"/>
        </w:rPr>
      </w:pPr>
      <w:r w:rsidRPr="004B0336">
        <w:rPr>
          <w:rFonts w:cs="Arial"/>
          <w:lang w:val="en-GB"/>
        </w:rPr>
        <w:t xml:space="preserve">So, the </w:t>
      </w:r>
      <w:r w:rsidRPr="004B0336">
        <w:rPr>
          <w:rFonts w:cs="Arial"/>
          <w:b/>
          <w:bCs/>
          <w:lang w:val="en-GB"/>
        </w:rPr>
        <w:t>COC</w:t>
      </w:r>
      <w:r w:rsidRPr="004B0336">
        <w:rPr>
          <w:rFonts w:cs="Arial"/>
          <w:lang w:val="en-GB"/>
        </w:rPr>
        <w:t xml:space="preserve"> is = (</w:t>
      </w:r>
      <w:r w:rsidR="00FB6CAC" w:rsidRPr="004B0336">
        <w:rPr>
          <w:rFonts w:cs="Arial"/>
          <w:lang w:val="en-GB"/>
        </w:rPr>
        <w:t xml:space="preserve">108.9132919 </w:t>
      </w:r>
      <w:r w:rsidRPr="004B0336">
        <w:rPr>
          <w:rFonts w:cs="Arial"/>
          <w:lang w:val="en-GB"/>
        </w:rPr>
        <w:t>+</w:t>
      </w:r>
      <w:r w:rsidR="00FB6CAC" w:rsidRPr="004B0336">
        <w:rPr>
          <w:rFonts w:cs="Arial"/>
          <w:lang w:val="en-GB"/>
        </w:rPr>
        <w:t xml:space="preserve"> 105.54228</w:t>
      </w:r>
      <w:r w:rsidRPr="004B0336">
        <w:rPr>
          <w:rFonts w:cs="Arial"/>
          <w:lang w:val="en-GB"/>
        </w:rPr>
        <w:t>) -</w:t>
      </w:r>
      <w:r w:rsidR="00A24D43" w:rsidRPr="004B0336">
        <w:rPr>
          <w:rFonts w:cs="Arial"/>
          <w:lang w:val="en-GB"/>
        </w:rPr>
        <w:t xml:space="preserve"> </w:t>
      </w:r>
      <w:r w:rsidR="00FB6CAC" w:rsidRPr="004B0336">
        <w:rPr>
          <w:rFonts w:cs="Arial"/>
          <w:lang w:val="en-GB"/>
        </w:rPr>
        <w:t xml:space="preserve">93.60170532 </w:t>
      </w:r>
      <w:r w:rsidR="00A24D43" w:rsidRPr="004B0336">
        <w:rPr>
          <w:rFonts w:cs="Arial"/>
          <w:lang w:val="en-GB"/>
        </w:rPr>
        <w:t>=</w:t>
      </w:r>
      <w:r w:rsidRPr="004B0336">
        <w:rPr>
          <w:rFonts w:cs="Arial"/>
          <w:lang w:val="en-GB"/>
        </w:rPr>
        <w:t xml:space="preserve"> </w:t>
      </w:r>
      <w:r w:rsidR="00E04CBD" w:rsidRPr="004B0336">
        <w:rPr>
          <w:rFonts w:cs="Arial"/>
          <w:lang w:val="en-GB"/>
        </w:rPr>
        <w:t xml:space="preserve">120.8538666 </w:t>
      </w:r>
    </w:p>
    <w:p w14:paraId="0D28C6DB" w14:textId="4F9DA2D3" w:rsidR="0023669D" w:rsidRPr="004B0336" w:rsidRDefault="0023669D" w:rsidP="00EE1D8B">
      <w:pPr>
        <w:rPr>
          <w:rFonts w:cs="Arial"/>
          <w:lang w:val="en-GB"/>
        </w:rPr>
      </w:pPr>
      <w:r w:rsidRPr="004B0336">
        <w:rPr>
          <w:rFonts w:cs="Arial"/>
          <w:lang w:val="en-GB"/>
        </w:rPr>
        <w:t xml:space="preserve">Working capital efficiency is measured by the cash operating cycle (COC). </w:t>
      </w:r>
      <w:r w:rsidR="002F25CE" w:rsidRPr="004B0336">
        <w:rPr>
          <w:rFonts w:cs="Arial"/>
          <w:lang w:val="en-GB"/>
        </w:rPr>
        <w:t xml:space="preserve">It demonstrates the number of days or time years between the payment of the cash outflows, which the company made, and cash inflows from sales goods (Ojha et al. 2021). </w:t>
      </w:r>
      <w:r w:rsidRPr="004B0336">
        <w:rPr>
          <w:rFonts w:cs="Arial"/>
          <w:lang w:val="en-GB"/>
        </w:rPr>
        <w:t xml:space="preserve">In the case of General Electronics in 2024, COC is around </w:t>
      </w:r>
      <w:r w:rsidR="00A24D43" w:rsidRPr="004B0336">
        <w:rPr>
          <w:rFonts w:cs="Arial"/>
          <w:lang w:val="en-GB"/>
        </w:rPr>
        <w:t>121</w:t>
      </w:r>
      <w:r w:rsidRPr="004B0336">
        <w:rPr>
          <w:rFonts w:cs="Arial"/>
          <w:lang w:val="en-GB"/>
        </w:rPr>
        <w:t xml:space="preserve"> days, which is long and indicates the absence of liquidity. </w:t>
      </w:r>
    </w:p>
    <w:p w14:paraId="07872ECC" w14:textId="087368DA" w:rsidR="006331AB" w:rsidRPr="004B0336" w:rsidRDefault="0023669D" w:rsidP="00EE1D8B">
      <w:pPr>
        <w:rPr>
          <w:rFonts w:cs="Arial"/>
          <w:lang w:val="en-GB"/>
        </w:rPr>
      </w:pPr>
      <w:r w:rsidRPr="004B0336">
        <w:rPr>
          <w:rFonts w:cs="Arial"/>
          <w:b/>
          <w:bCs/>
          <w:i/>
          <w:iCs/>
          <w:lang w:val="en-GB"/>
        </w:rPr>
        <w:t>Days Inventory Outstanding (DIO)</w:t>
      </w:r>
      <w:r w:rsidRPr="004B0336">
        <w:rPr>
          <w:rFonts w:cs="Arial"/>
          <w:lang w:val="en-GB"/>
        </w:rPr>
        <w:t xml:space="preserve"> is the first component, which is approximately 109 days. This implies that inventory takes a period of over three months to be sold</w:t>
      </w:r>
      <w:r w:rsidR="005269AB" w:rsidRPr="004B0336">
        <w:rPr>
          <w:rFonts w:cs="Arial"/>
          <w:lang w:val="en-GB"/>
        </w:rPr>
        <w:t>, which shows ineffective inventory</w:t>
      </w:r>
      <w:r w:rsidRPr="004B0336">
        <w:rPr>
          <w:rFonts w:cs="Arial"/>
          <w:lang w:val="en-GB"/>
        </w:rPr>
        <w:t xml:space="preserve">. </w:t>
      </w:r>
      <w:r w:rsidR="002F25CE" w:rsidRPr="004B0336">
        <w:rPr>
          <w:rFonts w:cs="Arial"/>
          <w:lang w:val="en-GB"/>
        </w:rPr>
        <w:t>High liquidity may be achieved by a high inventory backlog (Mohamed, 2024)</w:t>
      </w:r>
      <w:r w:rsidR="005269AB" w:rsidRPr="004B0336">
        <w:rPr>
          <w:rFonts w:cs="Arial"/>
          <w:lang w:val="en-GB"/>
        </w:rPr>
        <w:t>.  T</w:t>
      </w:r>
      <w:r w:rsidRPr="004B0336">
        <w:rPr>
          <w:rFonts w:cs="Arial"/>
          <w:lang w:val="en-GB"/>
        </w:rPr>
        <w:t xml:space="preserve">he second component, </w:t>
      </w:r>
      <w:r w:rsidRPr="004B0336">
        <w:rPr>
          <w:rFonts w:cs="Arial"/>
          <w:b/>
          <w:bCs/>
          <w:i/>
          <w:iCs/>
          <w:lang w:val="en-GB"/>
        </w:rPr>
        <w:t>Days Sales Outstanding (DSO)</w:t>
      </w:r>
      <w:r w:rsidRPr="004B0336">
        <w:rPr>
          <w:rFonts w:cs="Arial"/>
          <w:lang w:val="en-GB"/>
        </w:rPr>
        <w:t xml:space="preserve">, is approximately </w:t>
      </w:r>
      <w:r w:rsidR="00A24D43" w:rsidRPr="004B0336">
        <w:rPr>
          <w:rFonts w:cs="Arial"/>
          <w:lang w:val="en-GB"/>
        </w:rPr>
        <w:t xml:space="preserve">106 </w:t>
      </w:r>
      <w:r w:rsidRPr="004B0336">
        <w:rPr>
          <w:rFonts w:cs="Arial"/>
          <w:lang w:val="en-GB"/>
        </w:rPr>
        <w:t xml:space="preserve">days. </w:t>
      </w:r>
      <w:r w:rsidR="002F25CE" w:rsidRPr="004B0336">
        <w:rPr>
          <w:rFonts w:cs="Arial"/>
          <w:lang w:val="en-GB"/>
        </w:rPr>
        <w:t xml:space="preserve">A high DSO indicates that the company has delays related to the receipt of payments, and it may lead to cash flow issues (Ilieva and Tsonkova, 2024). </w:t>
      </w:r>
      <w:r w:rsidRPr="004B0336">
        <w:rPr>
          <w:rFonts w:cs="Arial"/>
          <w:lang w:val="en-GB"/>
        </w:rPr>
        <w:t xml:space="preserve">This means that after selling to customers, the company takes more than </w:t>
      </w:r>
      <w:r w:rsidR="006331AB" w:rsidRPr="004B0336">
        <w:rPr>
          <w:rFonts w:cs="Arial"/>
          <w:lang w:val="en-GB"/>
        </w:rPr>
        <w:t>a long time</w:t>
      </w:r>
      <w:r w:rsidRPr="004B0336">
        <w:rPr>
          <w:rFonts w:cs="Arial"/>
          <w:lang w:val="en-GB"/>
        </w:rPr>
        <w:t xml:space="preserve"> before it collects the cash. The third one is </w:t>
      </w:r>
      <w:r w:rsidRPr="004B0336">
        <w:rPr>
          <w:rFonts w:cs="Arial"/>
          <w:b/>
          <w:bCs/>
          <w:i/>
          <w:iCs/>
          <w:lang w:val="en-GB"/>
        </w:rPr>
        <w:t>Day Payable Outstanding (DPO),</w:t>
      </w:r>
      <w:r w:rsidRPr="004B0336">
        <w:rPr>
          <w:rFonts w:cs="Arial"/>
          <w:lang w:val="en-GB"/>
        </w:rPr>
        <w:t xml:space="preserve"> which is around </w:t>
      </w:r>
      <w:r w:rsidR="00A24D43" w:rsidRPr="004B0336">
        <w:rPr>
          <w:rFonts w:cs="Arial"/>
          <w:lang w:val="en-GB"/>
        </w:rPr>
        <w:t xml:space="preserve">94 </w:t>
      </w:r>
      <w:r w:rsidRPr="004B0336">
        <w:rPr>
          <w:rFonts w:cs="Arial"/>
          <w:lang w:val="en-GB"/>
        </w:rPr>
        <w:t xml:space="preserve">days. </w:t>
      </w:r>
      <w:r w:rsidR="002F25CE" w:rsidRPr="004B0336">
        <w:rPr>
          <w:rFonts w:cs="Arial"/>
          <w:lang w:val="en-GB"/>
        </w:rPr>
        <w:t xml:space="preserve">DPO is a financial indicator that shows the average number of days, including suppliers, sellers or other companies, that a company requires to pay its bills (Asman </w:t>
      </w:r>
      <w:r w:rsidR="002F25CE" w:rsidRPr="004B0336">
        <w:rPr>
          <w:rFonts w:cs="Arial"/>
          <w:i/>
          <w:iCs/>
          <w:lang w:val="en-GB"/>
        </w:rPr>
        <w:t>et al.</w:t>
      </w:r>
      <w:r w:rsidR="002F25CE" w:rsidRPr="004B0336">
        <w:rPr>
          <w:rFonts w:cs="Arial"/>
          <w:lang w:val="en-GB"/>
        </w:rPr>
        <w:t xml:space="preserve"> 2022)</w:t>
      </w:r>
      <w:r w:rsidR="006331AB" w:rsidRPr="004B0336">
        <w:rPr>
          <w:rFonts w:cs="Arial"/>
          <w:lang w:val="en-GB"/>
        </w:rPr>
        <w:t>.  The result</w:t>
      </w:r>
      <w:r w:rsidRPr="004B0336">
        <w:rPr>
          <w:rFonts w:cs="Arial"/>
          <w:lang w:val="en-GB"/>
        </w:rPr>
        <w:t xml:space="preserve"> indicates that the company takes </w:t>
      </w:r>
      <w:r w:rsidR="00A24D43" w:rsidRPr="004B0336">
        <w:rPr>
          <w:rFonts w:cs="Arial"/>
          <w:lang w:val="en-GB"/>
        </w:rPr>
        <w:t>above</w:t>
      </w:r>
      <w:r w:rsidRPr="004B0336">
        <w:rPr>
          <w:rFonts w:cs="Arial"/>
          <w:lang w:val="en-GB"/>
        </w:rPr>
        <w:t xml:space="preserve"> three months to make payments to suppliers, which offers a certain financing advantage. </w:t>
      </w:r>
    </w:p>
    <w:p w14:paraId="2ABF7A62" w14:textId="3E82017B" w:rsidR="003A5C9B" w:rsidRPr="004B0336" w:rsidRDefault="006331AB" w:rsidP="00EE1D8B">
      <w:pPr>
        <w:rPr>
          <w:rFonts w:cs="Arial"/>
          <w:lang w:val="en-GB"/>
        </w:rPr>
      </w:pPr>
      <w:r w:rsidRPr="004B0336">
        <w:rPr>
          <w:rFonts w:cs="Arial"/>
          <w:lang w:val="en-GB"/>
        </w:rPr>
        <w:t xml:space="preserve">Finally, to </w:t>
      </w:r>
      <w:r w:rsidR="0023669D" w:rsidRPr="004B0336">
        <w:rPr>
          <w:rFonts w:cs="Arial"/>
          <w:lang w:val="en-GB"/>
        </w:rPr>
        <w:t xml:space="preserve">enhance liquidity, the company is advised to </w:t>
      </w:r>
      <w:r w:rsidRPr="004B0336">
        <w:rPr>
          <w:rFonts w:cs="Arial"/>
          <w:lang w:val="en-GB"/>
        </w:rPr>
        <w:t>limit</w:t>
      </w:r>
      <w:r w:rsidR="0023669D" w:rsidRPr="004B0336">
        <w:rPr>
          <w:rFonts w:cs="Arial"/>
          <w:lang w:val="en-GB"/>
        </w:rPr>
        <w:t xml:space="preserve"> credit, </w:t>
      </w:r>
      <w:r w:rsidRPr="004B0336">
        <w:rPr>
          <w:rFonts w:cs="Arial"/>
          <w:lang w:val="en-GB"/>
        </w:rPr>
        <w:t xml:space="preserve">reduce the </w:t>
      </w:r>
      <w:r w:rsidR="0023669D" w:rsidRPr="004B0336">
        <w:rPr>
          <w:rFonts w:cs="Arial"/>
          <w:lang w:val="en-GB"/>
        </w:rPr>
        <w:t>receivables</w:t>
      </w:r>
      <w:r w:rsidRPr="004B0336">
        <w:rPr>
          <w:rFonts w:cs="Arial"/>
          <w:lang w:val="en-GB"/>
        </w:rPr>
        <w:t xml:space="preserve"> days</w:t>
      </w:r>
      <w:r w:rsidR="0023669D" w:rsidRPr="004B0336">
        <w:rPr>
          <w:rFonts w:cs="Arial"/>
          <w:lang w:val="en-GB"/>
        </w:rPr>
        <w:t>, and use more efficient inventory management.</w:t>
      </w:r>
    </w:p>
    <w:p w14:paraId="16CEF704" w14:textId="44CC365B" w:rsidR="00125357" w:rsidRPr="004B0336" w:rsidRDefault="0062276C" w:rsidP="003137CE">
      <w:pPr>
        <w:pStyle w:val="Heading2"/>
        <w:rPr>
          <w:lang w:val="en-GB"/>
        </w:rPr>
      </w:pPr>
      <w:bookmarkStart w:id="9" w:name="_Toc214898908"/>
      <w:r w:rsidRPr="004B0336">
        <w:rPr>
          <w:lang w:val="en-GB"/>
        </w:rPr>
        <w:t>2</w:t>
      </w:r>
      <w:r w:rsidR="00EE1D8B" w:rsidRPr="004B0336">
        <w:rPr>
          <w:lang w:val="en-GB"/>
        </w:rPr>
        <w:t xml:space="preserve">.2 </w:t>
      </w:r>
      <w:r w:rsidR="00D20E89" w:rsidRPr="004B0336">
        <w:rPr>
          <w:lang w:val="en-GB"/>
        </w:rPr>
        <w:t>S</w:t>
      </w:r>
      <w:r w:rsidR="00125357" w:rsidRPr="004B0336">
        <w:rPr>
          <w:lang w:val="en-GB"/>
        </w:rPr>
        <w:t xml:space="preserve">trategies to </w:t>
      </w:r>
      <w:r w:rsidR="00D20E89" w:rsidRPr="004B0336">
        <w:rPr>
          <w:lang w:val="en-GB"/>
        </w:rPr>
        <w:t xml:space="preserve">Improve Liquidity </w:t>
      </w:r>
      <w:r w:rsidR="003137CE" w:rsidRPr="004B0336">
        <w:rPr>
          <w:lang w:val="en-GB"/>
        </w:rPr>
        <w:t>through</w:t>
      </w:r>
      <w:r w:rsidR="00D20E89" w:rsidRPr="004B0336">
        <w:rPr>
          <w:lang w:val="en-GB"/>
        </w:rPr>
        <w:t xml:space="preserve"> Working Capital Reforms</w:t>
      </w:r>
      <w:bookmarkEnd w:id="9"/>
    </w:p>
    <w:p w14:paraId="083527BF" w14:textId="256B940B" w:rsidR="00D20E89" w:rsidRPr="004B0336" w:rsidRDefault="00103099" w:rsidP="00EE1D8B">
      <w:pPr>
        <w:rPr>
          <w:rFonts w:cs="Arial"/>
          <w:lang w:val="en-GB"/>
        </w:rPr>
      </w:pPr>
      <w:r w:rsidRPr="004B0336">
        <w:rPr>
          <w:rFonts w:cs="Arial"/>
          <w:lang w:val="en-GB"/>
        </w:rPr>
        <w:t xml:space="preserve">To enhance liquidity, reforms are needed to reduce the cash operating cycle and increase liquidity. In the case of General Electronics, there are a number of strategies that can be implemented. </w:t>
      </w:r>
    </w:p>
    <w:p w14:paraId="4BCA8B2B" w14:textId="2FDC5FD5" w:rsidR="00103099" w:rsidRPr="004B0336" w:rsidRDefault="00103099" w:rsidP="00EE1D8B">
      <w:pPr>
        <w:rPr>
          <w:rFonts w:cs="Arial"/>
          <w:lang w:val="en-GB"/>
        </w:rPr>
      </w:pPr>
      <w:r w:rsidRPr="004B0336">
        <w:rPr>
          <w:rFonts w:cs="Arial"/>
          <w:lang w:val="en-GB"/>
        </w:rPr>
        <w:t xml:space="preserve">Its inventory is more than 3 months in 2024, and that is not efficient in a high-paced electronics market. </w:t>
      </w:r>
      <w:r w:rsidRPr="004B0336">
        <w:rPr>
          <w:rFonts w:cs="Arial"/>
          <w:b/>
          <w:bCs/>
          <w:i/>
          <w:iCs/>
          <w:lang w:val="en-GB"/>
        </w:rPr>
        <w:t>Implementing lean inventory</w:t>
      </w:r>
      <w:r w:rsidRPr="004B0336">
        <w:rPr>
          <w:rFonts w:cs="Arial"/>
          <w:lang w:val="en-GB"/>
        </w:rPr>
        <w:t xml:space="preserve">, including just-in-time systems, </w:t>
      </w:r>
      <w:r w:rsidR="006331AB" w:rsidRPr="004B0336">
        <w:rPr>
          <w:rFonts w:cs="Arial"/>
          <w:lang w:val="en-GB"/>
        </w:rPr>
        <w:t xml:space="preserve">and </w:t>
      </w:r>
      <w:r w:rsidRPr="004B0336">
        <w:rPr>
          <w:rFonts w:cs="Arial"/>
          <w:lang w:val="en-GB"/>
        </w:rPr>
        <w:t xml:space="preserve">improved demand forecasting, would </w:t>
      </w:r>
      <w:r w:rsidR="006331AB" w:rsidRPr="004B0336">
        <w:rPr>
          <w:rFonts w:cs="Arial"/>
          <w:lang w:val="en-GB"/>
        </w:rPr>
        <w:t>minimise storage, adjust inventory strategies (Smith, 2024)</w:t>
      </w:r>
      <w:r w:rsidRPr="004B0336">
        <w:rPr>
          <w:rFonts w:cs="Arial"/>
          <w:lang w:val="en-GB"/>
        </w:rPr>
        <w:t xml:space="preserve">. This reformation would reduce the Days Inventory Outstanding and release cash. </w:t>
      </w:r>
    </w:p>
    <w:p w14:paraId="74C9FF3A" w14:textId="0BB09321" w:rsidR="00103099" w:rsidRPr="004B0336" w:rsidRDefault="006331AB" w:rsidP="00EE1D8B">
      <w:pPr>
        <w:rPr>
          <w:rFonts w:cs="Arial"/>
          <w:lang w:val="en-GB"/>
        </w:rPr>
      </w:pPr>
      <w:r w:rsidRPr="004B0336">
        <w:rPr>
          <w:rFonts w:cs="Arial"/>
          <w:lang w:val="en-GB"/>
        </w:rPr>
        <w:t>The</w:t>
      </w:r>
      <w:r w:rsidR="00103099" w:rsidRPr="004B0336">
        <w:rPr>
          <w:rFonts w:cs="Arial"/>
          <w:lang w:val="en-GB"/>
        </w:rPr>
        <w:t xml:space="preserve"> </w:t>
      </w:r>
      <w:r w:rsidR="00103099" w:rsidRPr="004B0336">
        <w:rPr>
          <w:rFonts w:cs="Arial"/>
          <w:b/>
          <w:bCs/>
          <w:i/>
          <w:iCs/>
          <w:lang w:val="en-GB"/>
        </w:rPr>
        <w:t>receivables management should be reinforced</w:t>
      </w:r>
      <w:r w:rsidR="00103099" w:rsidRPr="004B0336">
        <w:rPr>
          <w:rFonts w:cs="Arial"/>
          <w:lang w:val="en-GB"/>
        </w:rPr>
        <w:t xml:space="preserve">. </w:t>
      </w:r>
      <w:r w:rsidR="002F25CE" w:rsidRPr="004B0336">
        <w:rPr>
          <w:rFonts w:cs="Arial"/>
          <w:lang w:val="en-GB"/>
        </w:rPr>
        <w:t xml:space="preserve">The receivables management is required to settle customer receivables (Patuan and Hermawan, 2023). </w:t>
      </w:r>
      <w:r w:rsidR="00103099" w:rsidRPr="004B0336">
        <w:rPr>
          <w:rFonts w:cs="Arial"/>
          <w:lang w:val="en-GB"/>
        </w:rPr>
        <w:t xml:space="preserve">The company has had over 100 days of outstanding receivables, which means that it is experiencing very long delays in the collection of cash. Cash flow can be expedited by introducing more stringent credit policies, providing early payment discounts and the use of electronic invoicing systems. </w:t>
      </w:r>
    </w:p>
    <w:p w14:paraId="4933ABA9" w14:textId="5C54E6E9" w:rsidR="00D856E7" w:rsidRPr="004B0336" w:rsidRDefault="00103099" w:rsidP="00EE1D8B">
      <w:pPr>
        <w:rPr>
          <w:rFonts w:cs="Arial"/>
          <w:lang w:val="en-GB"/>
        </w:rPr>
      </w:pPr>
      <w:r w:rsidRPr="004B0336">
        <w:rPr>
          <w:rFonts w:cs="Arial"/>
          <w:lang w:val="en-GB"/>
        </w:rPr>
        <w:t xml:space="preserve">The </w:t>
      </w:r>
      <w:r w:rsidRPr="004B0336">
        <w:rPr>
          <w:rFonts w:cs="Arial"/>
          <w:b/>
          <w:bCs/>
          <w:i/>
          <w:iCs/>
          <w:lang w:val="en-GB"/>
        </w:rPr>
        <w:t>payables management</w:t>
      </w:r>
      <w:r w:rsidRPr="004B0336">
        <w:rPr>
          <w:rFonts w:cs="Arial"/>
          <w:lang w:val="en-GB"/>
        </w:rPr>
        <w:t xml:space="preserve"> must be </w:t>
      </w:r>
      <w:r w:rsidRPr="004B0336">
        <w:rPr>
          <w:rFonts w:cs="Arial"/>
          <w:b/>
          <w:bCs/>
          <w:i/>
          <w:iCs/>
          <w:lang w:val="en-GB"/>
        </w:rPr>
        <w:t>aligned with operational needs</w:t>
      </w:r>
      <w:r w:rsidRPr="004B0336">
        <w:rPr>
          <w:rFonts w:cs="Arial"/>
          <w:lang w:val="en-GB"/>
        </w:rPr>
        <w:t xml:space="preserve">. Although the company collects its accounts payable within an average of </w:t>
      </w:r>
      <w:r w:rsidR="00A24D43" w:rsidRPr="004B0336">
        <w:rPr>
          <w:rFonts w:cs="Arial"/>
          <w:lang w:val="en-GB"/>
        </w:rPr>
        <w:t xml:space="preserve">94 </w:t>
      </w:r>
      <w:r w:rsidRPr="004B0336">
        <w:rPr>
          <w:rFonts w:cs="Arial"/>
          <w:lang w:val="en-GB"/>
        </w:rPr>
        <w:t xml:space="preserve">days, the company may negotiate extended credit terms with its suppliers to get more credit. </w:t>
      </w:r>
      <w:r w:rsidR="002F25CE" w:rsidRPr="004B0336">
        <w:rPr>
          <w:rFonts w:cs="Arial"/>
          <w:lang w:val="en-GB"/>
        </w:rPr>
        <w:t>Management of short-term liabilities, pending bills and minimal expenses should also be adequately handled in future by the company (Ayodi, Otsyulah and Kiganda, 2022).</w:t>
      </w:r>
      <w:r w:rsidR="002F25CE" w:rsidRPr="004B0336">
        <w:rPr>
          <w:rFonts w:cs="Arial"/>
          <w:color w:val="EE0000"/>
          <w:lang w:val="en-GB"/>
        </w:rPr>
        <w:t xml:space="preserve"> </w:t>
      </w:r>
    </w:p>
    <w:p w14:paraId="274F01C1" w14:textId="5D9A1C15" w:rsidR="00103099" w:rsidRPr="004B0336" w:rsidRDefault="00103099" w:rsidP="00EE1D8B">
      <w:pPr>
        <w:rPr>
          <w:rFonts w:cs="Arial"/>
          <w:lang w:val="en-GB"/>
        </w:rPr>
      </w:pPr>
      <w:r w:rsidRPr="004B0336">
        <w:rPr>
          <w:rFonts w:cs="Arial"/>
          <w:lang w:val="en-GB"/>
        </w:rPr>
        <w:t xml:space="preserve">The </w:t>
      </w:r>
      <w:r w:rsidRPr="004B0336">
        <w:rPr>
          <w:rFonts w:cs="Arial"/>
          <w:b/>
          <w:bCs/>
          <w:i/>
          <w:iCs/>
          <w:lang w:val="en-GB"/>
        </w:rPr>
        <w:t>cash flow monitoring</w:t>
      </w:r>
      <w:r w:rsidRPr="004B0336">
        <w:rPr>
          <w:rFonts w:cs="Arial"/>
          <w:lang w:val="en-GB"/>
        </w:rPr>
        <w:t xml:space="preserve"> should be improved. </w:t>
      </w:r>
      <w:r w:rsidR="002F25CE" w:rsidRPr="004B0336">
        <w:rPr>
          <w:rFonts w:cs="Arial"/>
          <w:lang w:val="en-GB"/>
        </w:rPr>
        <w:t xml:space="preserve">A </w:t>
      </w:r>
      <w:r w:rsidR="002F25CE" w:rsidRPr="004B0336">
        <w:rPr>
          <w:rFonts w:cs="Arial"/>
          <w:b/>
          <w:bCs/>
          <w:i/>
          <w:iCs/>
          <w:lang w:val="en-GB"/>
        </w:rPr>
        <w:t xml:space="preserve">predictable and </w:t>
      </w:r>
      <w:r w:rsidR="00684132" w:rsidRPr="004B0336">
        <w:rPr>
          <w:rFonts w:cs="Arial"/>
          <w:b/>
          <w:bCs/>
          <w:i/>
          <w:iCs/>
          <w:lang w:val="en-GB"/>
        </w:rPr>
        <w:t>reliable</w:t>
      </w:r>
      <w:r w:rsidR="002F25CE" w:rsidRPr="004B0336">
        <w:rPr>
          <w:rFonts w:cs="Arial"/>
          <w:b/>
          <w:bCs/>
          <w:i/>
          <w:iCs/>
          <w:lang w:val="en-GB"/>
        </w:rPr>
        <w:t xml:space="preserve"> cash flow</w:t>
      </w:r>
      <w:r w:rsidR="002F25CE" w:rsidRPr="004B0336">
        <w:rPr>
          <w:rFonts w:cs="Arial"/>
          <w:lang w:val="en-GB"/>
        </w:rPr>
        <w:t xml:space="preserve"> helps to ensure continuity in business and to make appropriate strategic choices (Tolla and Vendy, 2024). </w:t>
      </w:r>
      <w:r w:rsidRPr="004B0336">
        <w:rPr>
          <w:rFonts w:cs="Arial"/>
          <w:lang w:val="en-GB"/>
        </w:rPr>
        <w:t>The connection between cash flow projections and operational decisions would make sure that the liquidity risks are discovered in time.</w:t>
      </w:r>
    </w:p>
    <w:p w14:paraId="0FCAF5CE" w14:textId="77777777" w:rsidR="00684132" w:rsidRPr="004B0336" w:rsidRDefault="00103099" w:rsidP="00EE1D8B">
      <w:pPr>
        <w:rPr>
          <w:rFonts w:cs="Arial"/>
          <w:lang w:val="en-GB"/>
        </w:rPr>
      </w:pPr>
      <w:r w:rsidRPr="004B0336">
        <w:rPr>
          <w:rFonts w:cs="Arial"/>
          <w:lang w:val="en-GB"/>
        </w:rPr>
        <w:t xml:space="preserve">Also, immediate liquidity support can be fulfilled by the use of </w:t>
      </w:r>
      <w:r w:rsidRPr="004B0336">
        <w:rPr>
          <w:rFonts w:cs="Arial"/>
          <w:b/>
          <w:bCs/>
          <w:i/>
          <w:iCs/>
          <w:lang w:val="en-GB"/>
        </w:rPr>
        <w:t>short-term financing</w:t>
      </w:r>
      <w:r w:rsidRPr="004B0336">
        <w:rPr>
          <w:rFonts w:cs="Arial"/>
          <w:lang w:val="en-GB"/>
        </w:rPr>
        <w:t xml:space="preserve"> like trade credit, invoice factoring or revolving credit facilities. </w:t>
      </w:r>
      <w:r w:rsidR="00684132" w:rsidRPr="004B0336">
        <w:rPr>
          <w:rFonts w:cs="Arial"/>
          <w:lang w:val="en-GB"/>
        </w:rPr>
        <w:t>Also</w:t>
      </w:r>
      <w:r w:rsidRPr="004B0336">
        <w:rPr>
          <w:rFonts w:cs="Arial"/>
          <w:lang w:val="en-GB"/>
        </w:rPr>
        <w:t xml:space="preserve">, financial resilience will be enhanced by decreasing the use of costly short-term borrowing through enhanced cash-generating processes internally. </w:t>
      </w:r>
    </w:p>
    <w:p w14:paraId="21906FB7" w14:textId="24E211A0" w:rsidR="00D20E89" w:rsidRPr="004B0336" w:rsidRDefault="00103099" w:rsidP="00EE1D8B">
      <w:pPr>
        <w:rPr>
          <w:rFonts w:cs="Arial"/>
          <w:lang w:val="en-GB"/>
        </w:rPr>
      </w:pPr>
      <w:r w:rsidRPr="004B0336">
        <w:rPr>
          <w:rFonts w:cs="Arial"/>
          <w:lang w:val="en-GB"/>
        </w:rPr>
        <w:t xml:space="preserve">In summary, inventory, receivables, payables, and cash flow management reforms will make the cash operating cycle shorter, enhance the liquidity position, and minimise the reliance on external funding. </w:t>
      </w:r>
    </w:p>
    <w:p w14:paraId="48831071" w14:textId="7B0CEDFE" w:rsidR="00125357" w:rsidRPr="004B0336" w:rsidRDefault="0062276C" w:rsidP="003137CE">
      <w:pPr>
        <w:pStyle w:val="Heading2"/>
        <w:rPr>
          <w:lang w:val="en-GB"/>
        </w:rPr>
      </w:pPr>
      <w:bookmarkStart w:id="10" w:name="_Toc214898909"/>
      <w:r w:rsidRPr="004B0336">
        <w:rPr>
          <w:lang w:val="en-GB"/>
        </w:rPr>
        <w:t>2</w:t>
      </w:r>
      <w:r w:rsidR="00EE1D8B" w:rsidRPr="004B0336">
        <w:rPr>
          <w:lang w:val="en-GB"/>
        </w:rPr>
        <w:t xml:space="preserve">.2 </w:t>
      </w:r>
      <w:r w:rsidR="00103099" w:rsidRPr="004B0336">
        <w:rPr>
          <w:lang w:val="en-GB"/>
        </w:rPr>
        <w:t>S</w:t>
      </w:r>
      <w:r w:rsidR="00125357" w:rsidRPr="004B0336">
        <w:rPr>
          <w:lang w:val="en-GB"/>
        </w:rPr>
        <w:t xml:space="preserve">hort-term vs </w:t>
      </w:r>
      <w:r w:rsidR="00103099" w:rsidRPr="004B0336">
        <w:rPr>
          <w:lang w:val="en-GB"/>
        </w:rPr>
        <w:t>L</w:t>
      </w:r>
      <w:r w:rsidR="00125357" w:rsidRPr="004B0336">
        <w:rPr>
          <w:lang w:val="en-GB"/>
        </w:rPr>
        <w:t xml:space="preserve">ong-term </w:t>
      </w:r>
      <w:r w:rsidR="00103099" w:rsidRPr="004B0336">
        <w:rPr>
          <w:lang w:val="en-GB"/>
        </w:rPr>
        <w:t>F</w:t>
      </w:r>
      <w:r w:rsidR="00125357" w:rsidRPr="004B0336">
        <w:rPr>
          <w:lang w:val="en-GB"/>
        </w:rPr>
        <w:t xml:space="preserve">inancing </w:t>
      </w:r>
      <w:r w:rsidR="00103099" w:rsidRPr="004B0336">
        <w:rPr>
          <w:lang w:val="en-GB"/>
        </w:rPr>
        <w:t>O</w:t>
      </w:r>
      <w:r w:rsidR="00125357" w:rsidRPr="004B0336">
        <w:rPr>
          <w:lang w:val="en-GB"/>
        </w:rPr>
        <w:t>ptions</w:t>
      </w:r>
      <w:bookmarkEnd w:id="10"/>
    </w:p>
    <w:p w14:paraId="6FC6DCC4" w14:textId="1ED71BAA" w:rsidR="00103099" w:rsidRPr="004B0336" w:rsidRDefault="00325E1E" w:rsidP="00EE1D8B">
      <w:pPr>
        <w:rPr>
          <w:rFonts w:cs="Arial"/>
          <w:lang w:val="en-GB"/>
        </w:rPr>
      </w:pPr>
      <w:r w:rsidRPr="004B0336">
        <w:rPr>
          <w:rFonts w:cs="Arial"/>
          <w:b/>
          <w:bCs/>
          <w:i/>
          <w:iCs/>
          <w:lang w:val="en-GB"/>
        </w:rPr>
        <w:t>Bank loans</w:t>
      </w:r>
      <w:r w:rsidR="00684132" w:rsidRPr="004B0336">
        <w:rPr>
          <w:rFonts w:cs="Arial"/>
          <w:b/>
          <w:bCs/>
          <w:i/>
          <w:iCs/>
          <w:lang w:val="en-GB"/>
        </w:rPr>
        <w:t xml:space="preserve"> </w:t>
      </w:r>
      <w:r w:rsidR="00684132" w:rsidRPr="004B0336">
        <w:rPr>
          <w:rFonts w:cs="Arial"/>
          <w:lang w:val="en-GB"/>
        </w:rPr>
        <w:t>and</w:t>
      </w:r>
      <w:r w:rsidR="00684132" w:rsidRPr="004B0336">
        <w:rPr>
          <w:rFonts w:cs="Arial"/>
          <w:b/>
          <w:bCs/>
          <w:i/>
          <w:iCs/>
          <w:lang w:val="en-GB"/>
        </w:rPr>
        <w:t xml:space="preserve"> </w:t>
      </w:r>
      <w:r w:rsidR="00103099" w:rsidRPr="004B0336">
        <w:rPr>
          <w:rFonts w:cs="Arial"/>
          <w:b/>
          <w:bCs/>
          <w:i/>
          <w:iCs/>
          <w:lang w:val="en-GB"/>
        </w:rPr>
        <w:t>trade credit</w:t>
      </w:r>
      <w:r w:rsidR="00103099" w:rsidRPr="004B0336">
        <w:rPr>
          <w:rFonts w:cs="Arial"/>
          <w:lang w:val="en-GB"/>
        </w:rPr>
        <w:t xml:space="preserve"> are </w:t>
      </w:r>
      <w:r w:rsidR="00684132" w:rsidRPr="004B0336">
        <w:rPr>
          <w:rFonts w:cs="Arial"/>
          <w:lang w:val="en-GB"/>
        </w:rPr>
        <w:t xml:space="preserve">some </w:t>
      </w:r>
      <w:r w:rsidR="00103099" w:rsidRPr="004B0336">
        <w:rPr>
          <w:rFonts w:cs="Arial"/>
          <w:lang w:val="en-GB"/>
        </w:rPr>
        <w:t xml:space="preserve">short-term sources of financing to meet working capital requirements. </w:t>
      </w:r>
      <w:r w:rsidR="002F25CE" w:rsidRPr="004B0336">
        <w:rPr>
          <w:rFonts w:cs="Arial"/>
          <w:lang w:val="en-GB"/>
        </w:rPr>
        <w:t>They are short as a week or even a day, or as long as one to two years.</w:t>
      </w:r>
      <w:r w:rsidR="002F25CE" w:rsidRPr="004B0336">
        <w:rPr>
          <w:rFonts w:cs="Arial"/>
          <w:color w:val="EE0000"/>
          <w:lang w:val="en-GB"/>
        </w:rPr>
        <w:t xml:space="preserve"> </w:t>
      </w:r>
      <w:r w:rsidR="002F25CE" w:rsidRPr="004B0336">
        <w:rPr>
          <w:rFonts w:cs="Arial"/>
          <w:lang w:val="en-GB"/>
        </w:rPr>
        <w:t xml:space="preserve">Short-term financing is a bit riskier compared to long-term financing, yet it is also cheaper and more flexible to the borrower (FM Trust, 2022). </w:t>
      </w:r>
      <w:r w:rsidR="00103099" w:rsidRPr="004B0336">
        <w:rPr>
          <w:rFonts w:cs="Arial"/>
          <w:lang w:val="en-GB"/>
        </w:rPr>
        <w:t xml:space="preserve">Overdependence on short-term borrowing can also be an indication of financial stress to the stakeholders. </w:t>
      </w:r>
    </w:p>
    <w:p w14:paraId="07A40551" w14:textId="3F6CB2AB" w:rsidR="00C47377" w:rsidRPr="004B0336" w:rsidRDefault="00684132" w:rsidP="00EE1D8B">
      <w:pPr>
        <w:rPr>
          <w:rFonts w:cs="Arial"/>
          <w:lang w:val="en-GB"/>
        </w:rPr>
      </w:pPr>
      <w:r w:rsidRPr="004B0336">
        <w:rPr>
          <w:rFonts w:cs="Arial"/>
          <w:lang w:val="en-GB"/>
        </w:rPr>
        <w:t>On the other hand</w:t>
      </w:r>
      <w:r w:rsidR="00103099" w:rsidRPr="004B0336">
        <w:rPr>
          <w:rFonts w:cs="Arial"/>
          <w:lang w:val="en-GB"/>
        </w:rPr>
        <w:t xml:space="preserve">, long-term sources of finance like </w:t>
      </w:r>
      <w:r w:rsidR="00103099" w:rsidRPr="004B0336">
        <w:rPr>
          <w:rFonts w:cs="Arial"/>
          <w:b/>
          <w:bCs/>
          <w:i/>
          <w:iCs/>
          <w:lang w:val="en-GB"/>
        </w:rPr>
        <w:t>issuance of equity</w:t>
      </w:r>
      <w:r w:rsidR="00103099" w:rsidRPr="004B0336">
        <w:rPr>
          <w:rFonts w:cs="Arial"/>
          <w:lang w:val="en-GB"/>
        </w:rPr>
        <w:t xml:space="preserve">, </w:t>
      </w:r>
      <w:r w:rsidR="00103099" w:rsidRPr="004B0336">
        <w:rPr>
          <w:rFonts w:cs="Arial"/>
          <w:b/>
          <w:bCs/>
          <w:i/>
          <w:iCs/>
          <w:lang w:val="en-GB"/>
        </w:rPr>
        <w:t>issuance of corporate bonds</w:t>
      </w:r>
      <w:r w:rsidR="00103099" w:rsidRPr="004B0336">
        <w:rPr>
          <w:rFonts w:cs="Arial"/>
          <w:lang w:val="en-GB"/>
        </w:rPr>
        <w:t xml:space="preserve"> or taking </w:t>
      </w:r>
      <w:r w:rsidR="00103099" w:rsidRPr="004B0336">
        <w:rPr>
          <w:rFonts w:cs="Arial"/>
          <w:b/>
          <w:bCs/>
          <w:i/>
          <w:iCs/>
          <w:lang w:val="en-GB"/>
        </w:rPr>
        <w:t>long-term loans</w:t>
      </w:r>
      <w:r w:rsidR="00103099" w:rsidRPr="004B0336">
        <w:rPr>
          <w:rFonts w:cs="Arial"/>
          <w:lang w:val="en-GB"/>
        </w:rPr>
        <w:t xml:space="preserve"> are more stable. </w:t>
      </w:r>
      <w:r w:rsidR="002F25CE" w:rsidRPr="004B0336">
        <w:rPr>
          <w:rFonts w:cs="Arial"/>
          <w:lang w:val="en-GB"/>
        </w:rPr>
        <w:t xml:space="preserve">It is primarily applied to long-term projects, including the acquisition, launching a new manufacturing plant, and funding internal events (Prudential Private Capital, 2025). </w:t>
      </w:r>
      <w:r w:rsidR="00103099" w:rsidRPr="004B0336">
        <w:rPr>
          <w:rFonts w:cs="Arial"/>
          <w:lang w:val="en-GB"/>
        </w:rPr>
        <w:t>They can be used in strategic investments, restructuring or expansion ventures. Nonetheless, it may be more expensive in terms of interest</w:t>
      </w:r>
      <w:r w:rsidR="00325E1E" w:rsidRPr="004B0336">
        <w:rPr>
          <w:rFonts w:cs="Arial"/>
          <w:lang w:val="en-GB"/>
        </w:rPr>
        <w:t>,</w:t>
      </w:r>
      <w:r w:rsidR="00103099" w:rsidRPr="004B0336">
        <w:rPr>
          <w:rFonts w:cs="Arial"/>
          <w:lang w:val="en-GB"/>
        </w:rPr>
        <w:t xml:space="preserve"> or </w:t>
      </w:r>
      <w:r w:rsidR="00325E1E" w:rsidRPr="004B0336">
        <w:rPr>
          <w:rFonts w:cs="Arial"/>
          <w:lang w:val="en-GB"/>
        </w:rPr>
        <w:t>it may also weaken</w:t>
      </w:r>
      <w:r w:rsidR="00103099" w:rsidRPr="004B0336">
        <w:rPr>
          <w:rFonts w:cs="Arial"/>
          <w:lang w:val="en-GB"/>
        </w:rPr>
        <w:t xml:space="preserve"> shareholder control.</w:t>
      </w:r>
    </w:p>
    <w:p w14:paraId="4422B019" w14:textId="6481C5EB" w:rsidR="00103099" w:rsidRPr="004B0336" w:rsidRDefault="00103099" w:rsidP="00EE1D8B">
      <w:pPr>
        <w:rPr>
          <w:rFonts w:cs="Arial"/>
          <w:lang w:val="en-GB"/>
        </w:rPr>
      </w:pPr>
      <w:r w:rsidRPr="004B0336">
        <w:rPr>
          <w:rFonts w:cs="Arial"/>
          <w:lang w:val="en-GB"/>
        </w:rPr>
        <w:t xml:space="preserve">In the case of General Electronics, </w:t>
      </w:r>
      <w:r w:rsidR="00684132" w:rsidRPr="004B0336">
        <w:rPr>
          <w:rFonts w:cs="Arial"/>
          <w:b/>
          <w:bCs/>
          <w:i/>
          <w:iCs/>
          <w:lang w:val="en-GB"/>
        </w:rPr>
        <w:t xml:space="preserve">short-term financing </w:t>
      </w:r>
      <w:r w:rsidRPr="004B0336">
        <w:rPr>
          <w:rFonts w:cs="Arial"/>
          <w:lang w:val="en-GB"/>
        </w:rPr>
        <w:t xml:space="preserve">can be beneficial to fill any immediate liquidity </w:t>
      </w:r>
      <w:r w:rsidR="00F917C4" w:rsidRPr="004B0336">
        <w:rPr>
          <w:rFonts w:cs="Arial"/>
          <w:lang w:val="en-GB"/>
        </w:rPr>
        <w:t>crises</w:t>
      </w:r>
      <w:r w:rsidRPr="004B0336">
        <w:rPr>
          <w:rFonts w:cs="Arial"/>
          <w:lang w:val="en-GB"/>
        </w:rPr>
        <w:t xml:space="preserve"> </w:t>
      </w:r>
      <w:r w:rsidR="00F917C4" w:rsidRPr="004B0336">
        <w:rPr>
          <w:rFonts w:cs="Arial"/>
          <w:lang w:val="en-GB"/>
        </w:rPr>
        <w:t xml:space="preserve">due to the long operating cycle of cash. However, a balance is needed in sustainable recovery with </w:t>
      </w:r>
      <w:r w:rsidR="00F917C4" w:rsidRPr="004B0336">
        <w:rPr>
          <w:rFonts w:cs="Arial"/>
          <w:b/>
          <w:bCs/>
          <w:i/>
          <w:iCs/>
          <w:lang w:val="en-GB"/>
        </w:rPr>
        <w:t>long-term financing</w:t>
      </w:r>
      <w:r w:rsidR="00F917C4" w:rsidRPr="004B0336">
        <w:rPr>
          <w:rFonts w:cs="Arial"/>
          <w:lang w:val="en-GB"/>
        </w:rPr>
        <w:t xml:space="preserve"> to reorganise debt and fund strategic investments. The combination of the two strategies provides flexibility in the short-term and stability in the long-term, enhancing the general financial strength. </w:t>
      </w:r>
    </w:p>
    <w:p w14:paraId="24CA4D87" w14:textId="0BCC236A" w:rsidR="00F917C4" w:rsidRPr="004B0336" w:rsidRDefault="0062276C" w:rsidP="003137CE">
      <w:pPr>
        <w:pStyle w:val="Heading1"/>
        <w:rPr>
          <w:lang w:val="en-GB"/>
        </w:rPr>
      </w:pPr>
      <w:bookmarkStart w:id="11" w:name="_Toc214898910"/>
      <w:r w:rsidRPr="004B0336">
        <w:rPr>
          <w:lang w:val="en-GB"/>
        </w:rPr>
        <w:t>3</w:t>
      </w:r>
      <w:r w:rsidR="00F917C4" w:rsidRPr="004B0336">
        <w:rPr>
          <w:lang w:val="en-GB"/>
        </w:rPr>
        <w:t>.0 Strategic Financial Restructuring Plan</w:t>
      </w:r>
      <w:bookmarkEnd w:id="11"/>
    </w:p>
    <w:p w14:paraId="2FDB3E95" w14:textId="4838D813" w:rsidR="003A5C9B" w:rsidRPr="004B0336" w:rsidRDefault="0062276C" w:rsidP="003137CE">
      <w:pPr>
        <w:pStyle w:val="Heading2"/>
        <w:rPr>
          <w:lang w:val="en-GB"/>
        </w:rPr>
      </w:pPr>
      <w:bookmarkStart w:id="12" w:name="_Toc214898911"/>
      <w:r w:rsidRPr="004B0336">
        <w:rPr>
          <w:lang w:val="en-GB"/>
        </w:rPr>
        <w:t>3</w:t>
      </w:r>
      <w:r w:rsidR="00EE1D8B" w:rsidRPr="004B0336">
        <w:rPr>
          <w:lang w:val="en-GB"/>
        </w:rPr>
        <w:t xml:space="preserve">.1 </w:t>
      </w:r>
      <w:r w:rsidR="00F917C4" w:rsidRPr="004B0336">
        <w:rPr>
          <w:lang w:val="en-GB"/>
        </w:rPr>
        <w:t>Recommendation of Financial Restructuring Options</w:t>
      </w:r>
      <w:bookmarkEnd w:id="12"/>
      <w:r w:rsidR="00F917C4" w:rsidRPr="004B0336">
        <w:rPr>
          <w:lang w:val="en-GB"/>
        </w:rPr>
        <w:t xml:space="preserve"> </w:t>
      </w:r>
    </w:p>
    <w:p w14:paraId="42B99B81" w14:textId="7FE4852A" w:rsidR="00443C53" w:rsidRPr="004B0336" w:rsidRDefault="00443C53" w:rsidP="00EE1D8B">
      <w:pPr>
        <w:rPr>
          <w:rFonts w:cs="Arial"/>
          <w:lang w:val="en-GB"/>
        </w:rPr>
      </w:pPr>
      <w:r w:rsidRPr="004B0336">
        <w:rPr>
          <w:rFonts w:cs="Arial"/>
          <w:lang w:val="en-GB"/>
        </w:rPr>
        <w:t xml:space="preserve">General Electronics needs to perform financial restructuring in order to recover its </w:t>
      </w:r>
      <w:r w:rsidR="005B7BFD" w:rsidRPr="004B0336">
        <w:rPr>
          <w:rFonts w:cs="Arial"/>
          <w:lang w:val="en-GB"/>
        </w:rPr>
        <w:t>stability</w:t>
      </w:r>
      <w:r w:rsidRPr="004B0336">
        <w:rPr>
          <w:rFonts w:cs="Arial"/>
          <w:lang w:val="en-GB"/>
        </w:rPr>
        <w:t xml:space="preserve">, enhance liquidity, and regain investor confidence. The economic performance of this company in recent years indicates a decline in profitability and a high dependence on borrowing. In order to deal with these challenges, various restructuring alternatives may be employed, such as divestiture, merger, and equity injection. </w:t>
      </w:r>
    </w:p>
    <w:p w14:paraId="4E865779" w14:textId="4CB65980" w:rsidR="00443C53" w:rsidRPr="004B0336" w:rsidRDefault="002F25CE" w:rsidP="00EE1D8B">
      <w:pPr>
        <w:rPr>
          <w:rFonts w:cs="Arial"/>
          <w:lang w:val="en-GB"/>
        </w:rPr>
      </w:pPr>
      <w:r w:rsidRPr="004B0336">
        <w:rPr>
          <w:rFonts w:cs="Arial"/>
          <w:lang w:val="en-GB"/>
        </w:rPr>
        <w:t xml:space="preserve">Different types of corporate </w:t>
      </w:r>
      <w:r w:rsidRPr="004B0336">
        <w:rPr>
          <w:rFonts w:cs="Arial"/>
          <w:b/>
          <w:bCs/>
          <w:i/>
          <w:iCs/>
          <w:lang w:val="en-GB"/>
        </w:rPr>
        <w:t>divestitures</w:t>
      </w:r>
      <w:r w:rsidRPr="004B0336">
        <w:rPr>
          <w:rFonts w:cs="Arial"/>
          <w:lang w:val="en-GB"/>
        </w:rPr>
        <w:t xml:space="preserve">, including selloffs and equity carve-outs or spin-offs, are gaining more importance as a corporate strategy (Teschner and Paul, 2021). </w:t>
      </w:r>
      <w:r w:rsidR="00443C53" w:rsidRPr="004B0336">
        <w:rPr>
          <w:rFonts w:cs="Arial"/>
          <w:lang w:val="en-GB"/>
        </w:rPr>
        <w:t xml:space="preserve">In the case of General Electronics, selling off non-core consumer electronics divisions may create immediate cash flows and less complexity in its management. Indicatively, selling off marginal product lines or regional subsidiaries that have low market share would enable the company to concentrate resources on profitable segments. The advantages of divestiture are the </w:t>
      </w:r>
      <w:r w:rsidR="00644DFA" w:rsidRPr="004B0336">
        <w:rPr>
          <w:rFonts w:cs="Arial"/>
          <w:lang w:val="en-GB"/>
        </w:rPr>
        <w:t>source funds</w:t>
      </w:r>
      <w:r w:rsidR="00443C53" w:rsidRPr="004B0336">
        <w:rPr>
          <w:rFonts w:cs="Arial"/>
          <w:lang w:val="en-GB"/>
        </w:rPr>
        <w:t xml:space="preserve">, better liquidity, and a better strategic focus. Nevertheless, there are some risks, such as </w:t>
      </w:r>
      <w:r w:rsidR="00644DFA" w:rsidRPr="004B0336">
        <w:rPr>
          <w:rFonts w:cs="Arial"/>
          <w:lang w:val="en-GB"/>
        </w:rPr>
        <w:t>operational challenges and accounting complexities (Corporate Finance Institute, 2025</w:t>
      </w:r>
      <w:r w:rsidR="0057611D" w:rsidRPr="004B0336">
        <w:rPr>
          <w:rFonts w:cs="Arial"/>
          <w:lang w:val="en-GB"/>
        </w:rPr>
        <w:t>a</w:t>
      </w:r>
      <w:r w:rsidR="00644DFA" w:rsidRPr="004B0336">
        <w:rPr>
          <w:rFonts w:cs="Arial"/>
          <w:lang w:val="en-GB"/>
        </w:rPr>
        <w:t>)</w:t>
      </w:r>
      <w:r w:rsidR="00443C53" w:rsidRPr="004B0336">
        <w:rPr>
          <w:rFonts w:cs="Arial"/>
          <w:lang w:val="en-GB"/>
        </w:rPr>
        <w:t xml:space="preserve">. In order to avoid these risks, divestiture must be selective, focusing on assets that are not part of long-term competitiveness. </w:t>
      </w:r>
    </w:p>
    <w:p w14:paraId="1C7DF84B" w14:textId="16B723D6" w:rsidR="00443C53" w:rsidRPr="004B0336" w:rsidRDefault="002F25CE" w:rsidP="00EE1D8B">
      <w:pPr>
        <w:rPr>
          <w:rFonts w:cs="Arial"/>
          <w:lang w:val="en-GB"/>
        </w:rPr>
      </w:pPr>
      <w:r w:rsidRPr="004B0336">
        <w:rPr>
          <w:rFonts w:cs="Arial"/>
          <w:b/>
          <w:bCs/>
          <w:i/>
          <w:iCs/>
          <w:lang w:val="en-GB"/>
        </w:rPr>
        <w:t>Alliances and acquisitions</w:t>
      </w:r>
      <w:r w:rsidRPr="004B0336">
        <w:rPr>
          <w:rFonts w:cs="Arial"/>
          <w:lang w:val="en-GB"/>
        </w:rPr>
        <w:t xml:space="preserve"> are the most common types of interfirm transactions that firms use to promote performance in the modern competitive global business environment (Jambulingam and Saxton, 2021). </w:t>
      </w:r>
      <w:r w:rsidR="00443C53" w:rsidRPr="004B0336">
        <w:rPr>
          <w:rFonts w:cs="Arial"/>
          <w:lang w:val="en-GB"/>
        </w:rPr>
        <w:t xml:space="preserve">Collaboration with a more powerful competitor or a compatible company might offer economies of scale, availability of new technology, and broader market coverage. </w:t>
      </w:r>
      <w:r w:rsidR="00BD2E59" w:rsidRPr="004B0336">
        <w:rPr>
          <w:rFonts w:cs="Arial"/>
          <w:b/>
          <w:bCs/>
          <w:i/>
          <w:iCs/>
          <w:lang w:val="en-GB"/>
        </w:rPr>
        <w:t>Acquisitions and mergers</w:t>
      </w:r>
      <w:r w:rsidR="00BD2E59" w:rsidRPr="004B0336">
        <w:rPr>
          <w:rFonts w:cs="Arial"/>
          <w:lang w:val="en-GB"/>
        </w:rPr>
        <w:t xml:space="preserve"> are viable when they can guarantee the fulfilment of the desired objectives of businesses and adjust strategies (Partacz, 2022).</w:t>
      </w:r>
      <w:r w:rsidR="00BD2E59" w:rsidRPr="004B0336">
        <w:rPr>
          <w:rFonts w:cs="Arial"/>
          <w:color w:val="EE0000"/>
          <w:lang w:val="en-GB"/>
        </w:rPr>
        <w:t xml:space="preserve"> </w:t>
      </w:r>
      <w:r w:rsidR="00443C53" w:rsidRPr="004B0336">
        <w:rPr>
          <w:rFonts w:cs="Arial"/>
          <w:lang w:val="en-GB"/>
        </w:rPr>
        <w:t xml:space="preserve">In the case of General Electronics, it may help decrease operating costs and enhance efficiency, which will help the firm deal with the high costs. However, mergers are associated with integration risks, which include cultural conflicts, redundancy, and regulatory issues. Due diligence and good governance systems are necessary to make sure that the value of shareholders is not diluted. </w:t>
      </w:r>
    </w:p>
    <w:p w14:paraId="7CA83F74" w14:textId="0D9F2D9F" w:rsidR="007E3B54" w:rsidRPr="004B0336" w:rsidRDefault="007E3B54" w:rsidP="00EE1D8B">
      <w:pPr>
        <w:jc w:val="center"/>
        <w:rPr>
          <w:rFonts w:cs="Arial"/>
          <w:lang w:val="en-GB"/>
        </w:rPr>
      </w:pPr>
      <w:r w:rsidRPr="004B0336">
        <w:rPr>
          <w:rFonts w:cs="Arial"/>
          <w:noProof/>
          <w:lang w:val="en-GB" w:eastAsia="en-IN"/>
        </w:rPr>
        <w:drawing>
          <wp:inline distT="0" distB="0" distL="0" distR="0" wp14:anchorId="2EA5E8B5" wp14:editId="6F6403DC">
            <wp:extent cx="5731510" cy="1715135"/>
            <wp:effectExtent l="76200" t="76200" r="135890" b="132715"/>
            <wp:docPr id="2044867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867323" name=""/>
                    <pic:cNvPicPr/>
                  </pic:nvPicPr>
                  <pic:blipFill>
                    <a:blip r:embed="rId10"/>
                    <a:stretch>
                      <a:fillRect/>
                    </a:stretch>
                  </pic:blipFill>
                  <pic:spPr>
                    <a:xfrm>
                      <a:off x="0" y="0"/>
                      <a:ext cx="5731510" cy="17151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908E15C" w14:textId="0C60E898" w:rsidR="007E3B54" w:rsidRPr="004B0336" w:rsidRDefault="007E3B54" w:rsidP="00EE1D8B">
      <w:pPr>
        <w:spacing w:after="0"/>
        <w:jc w:val="center"/>
        <w:rPr>
          <w:rFonts w:cs="Arial"/>
          <w:b/>
          <w:bCs/>
          <w:lang w:val="en-GB"/>
        </w:rPr>
      </w:pPr>
      <w:r w:rsidRPr="004B0336">
        <w:rPr>
          <w:rFonts w:cs="Arial"/>
          <w:b/>
          <w:bCs/>
          <w:lang w:val="en-GB"/>
        </w:rPr>
        <w:t>Figure</w:t>
      </w:r>
      <w:r w:rsidR="005D7F83" w:rsidRPr="004B0336">
        <w:rPr>
          <w:rFonts w:cs="Arial"/>
          <w:b/>
          <w:bCs/>
          <w:lang w:val="en-GB"/>
        </w:rPr>
        <w:t xml:space="preserve"> 1</w:t>
      </w:r>
      <w:r w:rsidRPr="004B0336">
        <w:rPr>
          <w:rFonts w:cs="Arial"/>
          <w:b/>
          <w:bCs/>
          <w:lang w:val="en-GB"/>
        </w:rPr>
        <w:t xml:space="preserve">: Value </w:t>
      </w:r>
      <w:r w:rsidR="005D7F83" w:rsidRPr="004B0336">
        <w:rPr>
          <w:rFonts w:cs="Arial"/>
          <w:b/>
          <w:bCs/>
          <w:lang w:val="en-GB"/>
        </w:rPr>
        <w:t>f</w:t>
      </w:r>
      <w:r w:rsidRPr="004B0336">
        <w:rPr>
          <w:rFonts w:cs="Arial"/>
          <w:b/>
          <w:bCs/>
          <w:lang w:val="en-GB"/>
        </w:rPr>
        <w:t xml:space="preserve">rom </w:t>
      </w:r>
      <w:r w:rsidR="005D7F83" w:rsidRPr="004B0336">
        <w:rPr>
          <w:rFonts w:cs="Arial"/>
          <w:b/>
          <w:bCs/>
          <w:lang w:val="en-GB"/>
        </w:rPr>
        <w:t>S</w:t>
      </w:r>
      <w:r w:rsidRPr="004B0336">
        <w:rPr>
          <w:rFonts w:cs="Arial"/>
          <w:b/>
          <w:bCs/>
          <w:lang w:val="en-GB"/>
        </w:rPr>
        <w:t>ynergies in M&amp;A</w:t>
      </w:r>
    </w:p>
    <w:p w14:paraId="14587BEA" w14:textId="5E1152E5" w:rsidR="007E3B54" w:rsidRPr="004B0336" w:rsidRDefault="007E3B54" w:rsidP="00EE1D8B">
      <w:pPr>
        <w:jc w:val="center"/>
        <w:rPr>
          <w:rFonts w:cs="Arial"/>
          <w:lang w:val="en-GB"/>
        </w:rPr>
      </w:pPr>
      <w:r w:rsidRPr="004B0336">
        <w:rPr>
          <w:rFonts w:cs="Arial"/>
          <w:lang w:val="en-GB"/>
        </w:rPr>
        <w:t>(Source: Partacz, 2022)</w:t>
      </w:r>
    </w:p>
    <w:p w14:paraId="6CE80749" w14:textId="3FDEAB9D" w:rsidR="00443C53" w:rsidRPr="004B0336" w:rsidRDefault="00BD2E59" w:rsidP="00EE1D8B">
      <w:pPr>
        <w:rPr>
          <w:rFonts w:cs="Arial"/>
          <w:lang w:val="en-GB"/>
        </w:rPr>
      </w:pPr>
      <w:r w:rsidRPr="004B0336">
        <w:rPr>
          <w:rFonts w:cs="Arial"/>
          <w:b/>
          <w:bCs/>
          <w:i/>
          <w:iCs/>
          <w:lang w:val="en-GB"/>
        </w:rPr>
        <w:t>Equity injection</w:t>
      </w:r>
      <w:r w:rsidRPr="004B0336">
        <w:rPr>
          <w:rFonts w:cs="Arial"/>
          <w:lang w:val="en-GB"/>
        </w:rPr>
        <w:t>, a financial strategy which entails injecting more funds into a business, is very crucial in the corporate world. This will increase working capital to enable daily operations, decrease debt loads, and enhance the financial health of the company (Guardian Advisory, 2025).</w:t>
      </w:r>
      <w:r w:rsidRPr="004B0336">
        <w:rPr>
          <w:rFonts w:cs="Arial"/>
          <w:color w:val="EE0000"/>
          <w:lang w:val="en-GB"/>
        </w:rPr>
        <w:t xml:space="preserve"> </w:t>
      </w:r>
      <w:r w:rsidR="00443C53" w:rsidRPr="004B0336">
        <w:rPr>
          <w:rFonts w:cs="Arial"/>
          <w:lang w:val="en-GB"/>
        </w:rPr>
        <w:t xml:space="preserve">Equity financing is also beneficial where the level of debt is already high, as is the case in General Electronics. It enhances financial flexibility and minimises interest payments, which is long-term sustainability. </w:t>
      </w:r>
      <w:r w:rsidRPr="004B0336">
        <w:rPr>
          <w:rFonts w:cs="Arial"/>
          <w:lang w:val="en-GB"/>
        </w:rPr>
        <w:t xml:space="preserve">Equity injection changes the ownership structure of the company and, as a result, it directly impacts control and decision-making (Guardian Advisory, 2025). </w:t>
      </w:r>
      <w:r w:rsidR="00443C53" w:rsidRPr="004B0336">
        <w:rPr>
          <w:rFonts w:cs="Arial"/>
          <w:lang w:val="en-GB"/>
        </w:rPr>
        <w:t xml:space="preserve">The company should also have a reasonable improvement strategy, which will outline the growth prospects and better governance to lure investors. </w:t>
      </w:r>
    </w:p>
    <w:p w14:paraId="72BFBC2E" w14:textId="54A96234" w:rsidR="00443C53" w:rsidRPr="004B0336" w:rsidRDefault="00443C53" w:rsidP="00EE1D8B">
      <w:pPr>
        <w:rPr>
          <w:rFonts w:cs="Arial"/>
          <w:lang w:val="en-GB"/>
        </w:rPr>
      </w:pPr>
      <w:r w:rsidRPr="004B0336">
        <w:rPr>
          <w:rFonts w:cs="Arial"/>
          <w:lang w:val="en-GB"/>
        </w:rPr>
        <w:t xml:space="preserve">An </w:t>
      </w:r>
      <w:r w:rsidRPr="004B0336">
        <w:rPr>
          <w:rFonts w:cs="Arial"/>
          <w:b/>
          <w:bCs/>
          <w:i/>
          <w:iCs/>
          <w:lang w:val="en-GB"/>
        </w:rPr>
        <w:t>integrated solution</w:t>
      </w:r>
      <w:r w:rsidRPr="004B0336">
        <w:rPr>
          <w:rFonts w:cs="Arial"/>
          <w:lang w:val="en-GB"/>
        </w:rPr>
        <w:t xml:space="preserve"> can be the most effective. </w:t>
      </w:r>
      <w:r w:rsidR="00EC4E51" w:rsidRPr="004B0336">
        <w:rPr>
          <w:rFonts w:cs="Arial"/>
          <w:lang w:val="en-GB"/>
        </w:rPr>
        <w:t xml:space="preserve">Divestiture would lead to instant liquidity to cut down debt, whereas the injection of equity would consolidate capital reserves to invest in the future. A merger or alliance may then be required to attain the scale and competitiveness in the global market. The focus should be on corporate social responsibility, and restructuring decisions must be in line with ethical and sustainable business practices. </w:t>
      </w:r>
    </w:p>
    <w:p w14:paraId="00B1CF07" w14:textId="168E01C7" w:rsidR="00F917C4" w:rsidRPr="004B0336" w:rsidRDefault="0062276C" w:rsidP="003137CE">
      <w:pPr>
        <w:pStyle w:val="Heading2"/>
        <w:rPr>
          <w:lang w:val="en-GB"/>
        </w:rPr>
      </w:pPr>
      <w:bookmarkStart w:id="13" w:name="_Toc214898912"/>
      <w:r w:rsidRPr="004B0336">
        <w:rPr>
          <w:lang w:val="en-GB"/>
        </w:rPr>
        <w:t>3</w:t>
      </w:r>
      <w:r w:rsidR="00EE1D8B" w:rsidRPr="004B0336">
        <w:rPr>
          <w:lang w:val="en-GB"/>
        </w:rPr>
        <w:t xml:space="preserve">.2 </w:t>
      </w:r>
      <w:r w:rsidR="00F917C4" w:rsidRPr="004B0336">
        <w:rPr>
          <w:lang w:val="en-GB"/>
        </w:rPr>
        <w:t>Impact on Shareholder Value, Debt Structure, and Operational Flexibility</w:t>
      </w:r>
      <w:bookmarkEnd w:id="13"/>
    </w:p>
    <w:p w14:paraId="2304CB55" w14:textId="3C8A6F59" w:rsidR="00046467" w:rsidRPr="004B0336" w:rsidRDefault="00EC4E51" w:rsidP="00EE1D8B">
      <w:pPr>
        <w:rPr>
          <w:rFonts w:cs="Arial"/>
          <w:lang w:val="en-GB"/>
        </w:rPr>
      </w:pPr>
      <w:r w:rsidRPr="004B0336">
        <w:rPr>
          <w:rFonts w:cs="Arial"/>
          <w:lang w:val="en-GB"/>
        </w:rPr>
        <w:t xml:space="preserve">Recommended restructuring alternatives, which include divestiture, merger, and equity injection, all have an impact on shareholder value, sustainability of the debt, and the flexibility of the operations in different ways. Their joint venture offers General Electronics a well-balanced solution to recovery. </w:t>
      </w:r>
      <w:r w:rsidR="00BD2E59" w:rsidRPr="004B0336">
        <w:rPr>
          <w:rFonts w:cs="Arial"/>
          <w:lang w:val="en-GB"/>
        </w:rPr>
        <w:t xml:space="preserve">In addition, divestitures are not only operations, but </w:t>
      </w:r>
      <w:r w:rsidR="005B7BFD" w:rsidRPr="004B0336">
        <w:rPr>
          <w:rFonts w:cs="Arial"/>
          <w:lang w:val="en-GB"/>
        </w:rPr>
        <w:t xml:space="preserve">a way </w:t>
      </w:r>
      <w:r w:rsidR="00BD2E59" w:rsidRPr="004B0336">
        <w:rPr>
          <w:rFonts w:cs="Arial"/>
          <w:lang w:val="en-GB"/>
        </w:rPr>
        <w:t xml:space="preserve">to shape the future landscape of a company, </w:t>
      </w:r>
      <w:r w:rsidR="00BD2E59" w:rsidRPr="004B0336">
        <w:rPr>
          <w:rFonts w:cs="Arial"/>
          <w:b/>
          <w:bCs/>
          <w:i/>
          <w:iCs/>
          <w:lang w:val="en-GB"/>
        </w:rPr>
        <w:t>create value</w:t>
      </w:r>
      <w:r w:rsidR="00BD2E59" w:rsidRPr="004B0336">
        <w:rPr>
          <w:rFonts w:cs="Arial"/>
          <w:lang w:val="en-GB"/>
        </w:rPr>
        <w:t xml:space="preserve"> and </w:t>
      </w:r>
      <w:r w:rsidR="00BD2E59" w:rsidRPr="004B0336">
        <w:rPr>
          <w:rFonts w:cs="Arial"/>
          <w:b/>
          <w:bCs/>
          <w:i/>
          <w:iCs/>
          <w:lang w:val="en-GB"/>
        </w:rPr>
        <w:t>drive transformative growth</w:t>
      </w:r>
      <w:r w:rsidR="00BD2E59" w:rsidRPr="004B0336">
        <w:rPr>
          <w:rFonts w:cs="Arial"/>
          <w:lang w:val="en-GB"/>
        </w:rPr>
        <w:t xml:space="preserve"> (PwC, 2025). </w:t>
      </w:r>
      <w:r w:rsidRPr="004B0336">
        <w:rPr>
          <w:rFonts w:cs="Arial"/>
          <w:lang w:val="en-GB"/>
        </w:rPr>
        <w:t xml:space="preserve">Although </w:t>
      </w:r>
      <w:r w:rsidRPr="004B0336">
        <w:rPr>
          <w:rFonts w:cs="Arial"/>
          <w:b/>
          <w:bCs/>
          <w:i/>
          <w:iCs/>
          <w:lang w:val="en-GB"/>
        </w:rPr>
        <w:t>it diminishes ownership rights</w:t>
      </w:r>
      <w:r w:rsidRPr="004B0336">
        <w:rPr>
          <w:rFonts w:cs="Arial"/>
          <w:lang w:val="en-GB"/>
        </w:rPr>
        <w:t xml:space="preserve">, equity injection increases long-term value through </w:t>
      </w:r>
      <w:r w:rsidR="005B7BFD" w:rsidRPr="004B0336">
        <w:rPr>
          <w:rFonts w:cs="Arial"/>
          <w:lang w:val="en-GB"/>
        </w:rPr>
        <w:t xml:space="preserve">the </w:t>
      </w:r>
      <w:r w:rsidRPr="004B0336">
        <w:rPr>
          <w:rFonts w:cs="Arial"/>
          <w:lang w:val="en-GB"/>
        </w:rPr>
        <w:t>stabilisation of the finance and financing innovation</w:t>
      </w:r>
      <w:r w:rsidR="005B7BFD" w:rsidRPr="004B0336">
        <w:rPr>
          <w:rFonts w:cs="Arial"/>
          <w:lang w:val="en-GB"/>
        </w:rPr>
        <w:t xml:space="preserve">. </w:t>
      </w:r>
    </w:p>
    <w:p w14:paraId="04410EDD" w14:textId="1759AA98" w:rsidR="00EC4E51" w:rsidRPr="004B0336" w:rsidRDefault="00EC4E51" w:rsidP="00EE1D8B">
      <w:pPr>
        <w:rPr>
          <w:rFonts w:cs="Arial"/>
          <w:lang w:val="en-GB"/>
        </w:rPr>
      </w:pPr>
      <w:r w:rsidRPr="004B0336">
        <w:rPr>
          <w:rFonts w:cs="Arial"/>
          <w:b/>
          <w:bCs/>
          <w:i/>
          <w:iCs/>
          <w:lang w:val="en-GB"/>
        </w:rPr>
        <w:t>Divestiture</w:t>
      </w:r>
      <w:r w:rsidRPr="004B0336">
        <w:rPr>
          <w:rFonts w:cs="Arial"/>
          <w:lang w:val="en-GB"/>
        </w:rPr>
        <w:t xml:space="preserve"> is also </w:t>
      </w:r>
      <w:r w:rsidR="005B7BFD" w:rsidRPr="004B0336">
        <w:rPr>
          <w:rFonts w:cs="Arial"/>
          <w:lang w:val="en-GB"/>
        </w:rPr>
        <w:t>beneficial</w:t>
      </w:r>
      <w:r w:rsidRPr="004B0336">
        <w:rPr>
          <w:rFonts w:cs="Arial"/>
          <w:lang w:val="en-GB"/>
        </w:rPr>
        <w:t xml:space="preserve"> to </w:t>
      </w:r>
      <w:r w:rsidRPr="004B0336">
        <w:rPr>
          <w:rFonts w:cs="Arial"/>
          <w:b/>
          <w:bCs/>
          <w:i/>
          <w:iCs/>
          <w:lang w:val="en-GB"/>
        </w:rPr>
        <w:t>debt structure</w:t>
      </w:r>
      <w:r w:rsidRPr="004B0336">
        <w:rPr>
          <w:rFonts w:cs="Arial"/>
          <w:lang w:val="en-GB"/>
        </w:rPr>
        <w:t xml:space="preserve">, </w:t>
      </w:r>
      <w:r w:rsidR="005B7BFD" w:rsidRPr="004B0336">
        <w:rPr>
          <w:rFonts w:cs="Arial"/>
          <w:lang w:val="en-GB"/>
        </w:rPr>
        <w:t xml:space="preserve">as it helps to decrease </w:t>
      </w:r>
      <w:r w:rsidRPr="004B0336">
        <w:rPr>
          <w:rFonts w:cs="Arial"/>
          <w:lang w:val="en-GB"/>
        </w:rPr>
        <w:t xml:space="preserve">existing liabilities and reduce leverage and interest expense. </w:t>
      </w:r>
      <w:r w:rsidR="00BD2E59" w:rsidRPr="004B0336">
        <w:rPr>
          <w:rFonts w:cs="Arial"/>
          <w:lang w:val="en-GB"/>
        </w:rPr>
        <w:t xml:space="preserve">A decrease in firm risk and increased debt capacity </w:t>
      </w:r>
      <w:r w:rsidR="005B7BFD" w:rsidRPr="004B0336">
        <w:rPr>
          <w:rFonts w:cs="Arial"/>
          <w:lang w:val="en-GB"/>
        </w:rPr>
        <w:t>come</w:t>
      </w:r>
      <w:r w:rsidR="00BD2E59" w:rsidRPr="004B0336">
        <w:rPr>
          <w:rFonts w:cs="Arial"/>
          <w:lang w:val="en-GB"/>
        </w:rPr>
        <w:t xml:space="preserve"> with a merger, which fits with </w:t>
      </w:r>
      <w:r w:rsidR="005B7BFD" w:rsidRPr="004B0336">
        <w:rPr>
          <w:rFonts w:cs="Arial"/>
          <w:lang w:val="en-GB"/>
        </w:rPr>
        <w:t>the</w:t>
      </w:r>
      <w:r w:rsidR="00BD2E59" w:rsidRPr="004B0336">
        <w:rPr>
          <w:rFonts w:cs="Arial"/>
          <w:lang w:val="en-GB"/>
        </w:rPr>
        <w:t xml:space="preserve"> financial synergy advantage of mergers (Levine and Wu, 2020). </w:t>
      </w:r>
      <w:r w:rsidRPr="004B0336">
        <w:rPr>
          <w:rFonts w:cs="Arial"/>
          <w:lang w:val="en-GB"/>
        </w:rPr>
        <w:t xml:space="preserve">The injection of equity will help </w:t>
      </w:r>
      <w:r w:rsidRPr="004B0336">
        <w:rPr>
          <w:rFonts w:cs="Arial"/>
          <w:b/>
          <w:bCs/>
          <w:i/>
          <w:iCs/>
          <w:lang w:val="en-GB"/>
        </w:rPr>
        <w:t>eliminate the dependence on debt</w:t>
      </w:r>
      <w:r w:rsidRPr="004B0336">
        <w:rPr>
          <w:rFonts w:cs="Arial"/>
          <w:lang w:val="en-GB"/>
        </w:rPr>
        <w:t xml:space="preserve"> by raising the capital reserves, enhancing the debt-to-equity ratio, and decreasing financial risk.</w:t>
      </w:r>
    </w:p>
    <w:p w14:paraId="2BEA8E8B" w14:textId="1B2B6344" w:rsidR="00EC4E51" w:rsidRPr="004B0336" w:rsidRDefault="00D30B28" w:rsidP="00EE1D8B">
      <w:pPr>
        <w:rPr>
          <w:rFonts w:cs="Arial"/>
          <w:lang w:val="en-GB"/>
        </w:rPr>
      </w:pPr>
      <w:r w:rsidRPr="004B0336">
        <w:rPr>
          <w:rFonts w:cs="Arial"/>
          <w:b/>
          <w:bCs/>
          <w:i/>
          <w:iCs/>
          <w:lang w:val="en-GB"/>
        </w:rPr>
        <w:t>Divestiture increases operational flexibility</w:t>
      </w:r>
      <w:r w:rsidRPr="004B0336">
        <w:rPr>
          <w:rFonts w:cs="Arial"/>
          <w:lang w:val="en-GB"/>
        </w:rPr>
        <w:t xml:space="preserve"> where resources are focused on core business areas, and hence the management can act faster in response to market changes. The scope of the operation is increased by a merger, and it offers economies of scale, but integration issues might cause a temporary decrease in agility. </w:t>
      </w:r>
      <w:r w:rsidR="00EC4E51" w:rsidRPr="004B0336">
        <w:rPr>
          <w:rFonts w:cs="Arial"/>
          <w:lang w:val="en-GB"/>
        </w:rPr>
        <w:t xml:space="preserve"> </w:t>
      </w:r>
      <w:r w:rsidR="00BD2E59" w:rsidRPr="004B0336">
        <w:rPr>
          <w:rFonts w:cs="Arial"/>
          <w:b/>
          <w:bCs/>
          <w:i/>
          <w:iCs/>
          <w:lang w:val="en-GB"/>
        </w:rPr>
        <w:t xml:space="preserve">Equity injection </w:t>
      </w:r>
      <w:r w:rsidR="005B7BFD" w:rsidRPr="004B0336">
        <w:rPr>
          <w:rFonts w:cs="Arial"/>
          <w:b/>
          <w:bCs/>
          <w:i/>
          <w:iCs/>
          <w:lang w:val="en-GB"/>
        </w:rPr>
        <w:t xml:space="preserve">helps companies to become </w:t>
      </w:r>
      <w:r w:rsidR="00BD2E59" w:rsidRPr="004B0336">
        <w:rPr>
          <w:rFonts w:cs="Arial"/>
          <w:b/>
          <w:bCs/>
          <w:i/>
          <w:iCs/>
          <w:lang w:val="en-GB"/>
        </w:rPr>
        <w:t>more flexible</w:t>
      </w:r>
      <w:r w:rsidR="00BD2E59" w:rsidRPr="004B0336">
        <w:rPr>
          <w:rFonts w:cs="Arial"/>
          <w:lang w:val="en-GB"/>
        </w:rPr>
        <w:t xml:space="preserve"> because it supports them in case the </w:t>
      </w:r>
      <w:r w:rsidR="005B7BFD" w:rsidRPr="004B0336">
        <w:rPr>
          <w:rFonts w:cs="Arial"/>
          <w:lang w:val="en-GB"/>
        </w:rPr>
        <w:t>company's</w:t>
      </w:r>
      <w:r w:rsidR="00BD2E59" w:rsidRPr="004B0336">
        <w:rPr>
          <w:rFonts w:cs="Arial"/>
          <w:lang w:val="en-GB"/>
        </w:rPr>
        <w:t xml:space="preserve"> values fall (Commercial Capital, 2025).</w:t>
      </w:r>
    </w:p>
    <w:p w14:paraId="093C7528" w14:textId="07CA860B" w:rsidR="0062276C" w:rsidRPr="004B0336" w:rsidRDefault="00D30B28" w:rsidP="00F55971">
      <w:pPr>
        <w:rPr>
          <w:rFonts w:cs="Arial"/>
          <w:lang w:val="en-GB"/>
        </w:rPr>
      </w:pPr>
      <w:r w:rsidRPr="004B0336">
        <w:rPr>
          <w:rFonts w:cs="Arial"/>
          <w:lang w:val="en-GB"/>
        </w:rPr>
        <w:t xml:space="preserve">On the whole, the proposed restructuring strategy establishes a balance between short-term liquidity gains and long-term growth. Through </w:t>
      </w:r>
      <w:r w:rsidRPr="004B0336">
        <w:rPr>
          <w:rFonts w:cs="Arial"/>
          <w:b/>
          <w:bCs/>
          <w:i/>
          <w:iCs/>
          <w:lang w:val="en-GB"/>
        </w:rPr>
        <w:t xml:space="preserve">divestiture, merger, </w:t>
      </w:r>
      <w:r w:rsidRPr="004B0336">
        <w:rPr>
          <w:rFonts w:cs="Arial"/>
          <w:lang w:val="en-GB"/>
        </w:rPr>
        <w:t>and</w:t>
      </w:r>
      <w:r w:rsidRPr="004B0336">
        <w:rPr>
          <w:rFonts w:cs="Arial"/>
          <w:b/>
          <w:bCs/>
          <w:i/>
          <w:iCs/>
          <w:lang w:val="en-GB"/>
        </w:rPr>
        <w:t xml:space="preserve"> equity injection</w:t>
      </w:r>
      <w:r w:rsidRPr="004B0336">
        <w:rPr>
          <w:rFonts w:cs="Arial"/>
          <w:lang w:val="en-GB"/>
        </w:rPr>
        <w:t xml:space="preserve">, General Electronics will be able to restore trust in the shareholders, enhance its debt standings as well as be more flexible in international markets. </w:t>
      </w:r>
    </w:p>
    <w:p w14:paraId="3FA9ACBD" w14:textId="42A684AB" w:rsidR="00F917C4" w:rsidRPr="004B0336" w:rsidRDefault="0062276C" w:rsidP="003137CE">
      <w:pPr>
        <w:pStyle w:val="Heading2"/>
        <w:rPr>
          <w:lang w:val="en-GB"/>
        </w:rPr>
      </w:pPr>
      <w:bookmarkStart w:id="14" w:name="_Toc214898913"/>
      <w:r w:rsidRPr="004B0336">
        <w:rPr>
          <w:lang w:val="en-GB"/>
        </w:rPr>
        <w:t>3</w:t>
      </w:r>
      <w:r w:rsidR="00EE1D8B" w:rsidRPr="004B0336">
        <w:rPr>
          <w:lang w:val="en-GB"/>
        </w:rPr>
        <w:t xml:space="preserve">.3 </w:t>
      </w:r>
      <w:r w:rsidR="00F917C4" w:rsidRPr="004B0336">
        <w:rPr>
          <w:lang w:val="en-GB"/>
        </w:rPr>
        <w:t>International and Ethical Considerations</w:t>
      </w:r>
      <w:bookmarkEnd w:id="14"/>
      <w:r w:rsidR="00F917C4" w:rsidRPr="004B0336">
        <w:rPr>
          <w:lang w:val="en-GB"/>
        </w:rPr>
        <w:t xml:space="preserve"> </w:t>
      </w:r>
    </w:p>
    <w:p w14:paraId="0808AA54" w14:textId="0C7C3B45" w:rsidR="00D30B28" w:rsidRPr="004B0336" w:rsidRDefault="00D30B28" w:rsidP="00EE1D8B">
      <w:pPr>
        <w:rPr>
          <w:rFonts w:cs="Arial"/>
          <w:lang w:val="en-GB"/>
        </w:rPr>
      </w:pPr>
      <w:r w:rsidRPr="004B0336">
        <w:rPr>
          <w:rFonts w:cs="Arial"/>
          <w:lang w:val="en-GB"/>
        </w:rPr>
        <w:t>In adopting the restructuring strategies, including divestiture, merger and equity injection, General Electronics will be required to consider the international and ethical issues that directly affect the financial stability and trust of the stakeholders. These factors are taxation, currency risk, inflation and corporate social responsibility (CSR).</w:t>
      </w:r>
    </w:p>
    <w:p w14:paraId="034B41CD" w14:textId="3D525764" w:rsidR="00BF2628" w:rsidRPr="004B0336" w:rsidRDefault="00D30B28" w:rsidP="00EE1D8B">
      <w:pPr>
        <w:rPr>
          <w:rFonts w:cs="Arial"/>
          <w:lang w:val="en-GB"/>
        </w:rPr>
      </w:pPr>
      <w:r w:rsidRPr="004B0336">
        <w:rPr>
          <w:rFonts w:cs="Arial"/>
          <w:b/>
          <w:bCs/>
          <w:i/>
          <w:iCs/>
          <w:lang w:val="en-GB"/>
        </w:rPr>
        <w:t>Taxation</w:t>
      </w:r>
      <w:r w:rsidRPr="004B0336">
        <w:rPr>
          <w:rFonts w:cs="Arial"/>
          <w:lang w:val="en-GB"/>
        </w:rPr>
        <w:t xml:space="preserve"> is an important aspect in </w:t>
      </w:r>
      <w:r w:rsidR="00E66BEE" w:rsidRPr="004B0336">
        <w:rPr>
          <w:rFonts w:cs="Arial"/>
          <w:lang w:val="en-GB"/>
        </w:rPr>
        <w:t>decision</w:t>
      </w:r>
      <w:r w:rsidRPr="004B0336">
        <w:rPr>
          <w:rFonts w:cs="Arial"/>
          <w:lang w:val="en-GB"/>
        </w:rPr>
        <w:t xml:space="preserve"> restructuring. </w:t>
      </w:r>
      <w:r w:rsidR="00E66BEE" w:rsidRPr="004B0336">
        <w:rPr>
          <w:rFonts w:cs="Arial"/>
          <w:lang w:val="en-GB"/>
        </w:rPr>
        <w:t>The sale of non-core assets</w:t>
      </w:r>
      <w:r w:rsidR="00BF2628" w:rsidRPr="004B0336">
        <w:rPr>
          <w:rFonts w:cs="Arial"/>
          <w:lang w:val="en-GB"/>
        </w:rPr>
        <w:t xml:space="preserve"> </w:t>
      </w:r>
      <w:r w:rsidR="00E66BEE" w:rsidRPr="004B0336">
        <w:rPr>
          <w:rFonts w:cs="Arial"/>
          <w:lang w:val="en-GB"/>
        </w:rPr>
        <w:t>can lead to capital gains tax</w:t>
      </w:r>
      <w:r w:rsidR="008531D6" w:rsidRPr="004B0336">
        <w:rPr>
          <w:rFonts w:cs="Arial"/>
          <w:lang w:val="en-GB"/>
        </w:rPr>
        <w:t xml:space="preserve"> (Seely, 2025)</w:t>
      </w:r>
      <w:r w:rsidR="00E66BEE" w:rsidRPr="004B0336">
        <w:rPr>
          <w:rFonts w:cs="Arial"/>
          <w:lang w:val="en-GB"/>
        </w:rPr>
        <w:t xml:space="preserve">. An international merger should also </w:t>
      </w:r>
      <w:r w:rsidR="00937FB8" w:rsidRPr="004B0336">
        <w:rPr>
          <w:rFonts w:cs="Arial"/>
          <w:lang w:val="en-GB"/>
        </w:rPr>
        <w:t>consider</w:t>
      </w:r>
      <w:r w:rsidR="00E66BEE" w:rsidRPr="004B0336">
        <w:rPr>
          <w:rFonts w:cs="Arial"/>
          <w:lang w:val="en-GB"/>
        </w:rPr>
        <w:t xml:space="preserve"> tax laws, cross-border taxation treaties and local law. Foreign investors must inject equity that is reported in a transparent manner to prevent tax controversy as well as to remain credible to the regulators. </w:t>
      </w:r>
    </w:p>
    <w:p w14:paraId="366A455A" w14:textId="17FBBA91" w:rsidR="00BF2628" w:rsidRPr="004B0336" w:rsidRDefault="00E66BEE" w:rsidP="00EE1D8B">
      <w:pPr>
        <w:rPr>
          <w:rFonts w:cs="Arial"/>
          <w:lang w:val="en-GB"/>
        </w:rPr>
      </w:pPr>
      <w:r w:rsidRPr="004B0336">
        <w:rPr>
          <w:rFonts w:cs="Arial"/>
          <w:lang w:val="en-GB"/>
        </w:rPr>
        <w:t xml:space="preserve">Another important factor is </w:t>
      </w:r>
      <w:r w:rsidRPr="004B0336">
        <w:rPr>
          <w:rFonts w:cs="Arial"/>
          <w:b/>
          <w:bCs/>
          <w:i/>
          <w:iCs/>
          <w:lang w:val="en-GB"/>
        </w:rPr>
        <w:t>currency risk</w:t>
      </w:r>
      <w:r w:rsidRPr="004B0336">
        <w:rPr>
          <w:rFonts w:cs="Arial"/>
          <w:lang w:val="en-GB"/>
        </w:rPr>
        <w:t xml:space="preserve">. Since General electronic is an international company, cash flows associated with divestiture or merger operations can be subjected to exchange rate risk. </w:t>
      </w:r>
      <w:r w:rsidR="00BD2E59" w:rsidRPr="004B0336">
        <w:rPr>
          <w:rFonts w:cs="Arial"/>
          <w:lang w:val="en-GB"/>
        </w:rPr>
        <w:t xml:space="preserve">Fluctuations in the long-term exchange rates may have enormous effects on the financial stability, performance, and competitiveness of a business in the international market (Kong, 2025). </w:t>
      </w:r>
      <w:r w:rsidRPr="004B0336">
        <w:rPr>
          <w:rFonts w:cs="Arial"/>
          <w:lang w:val="en-GB"/>
        </w:rPr>
        <w:t xml:space="preserve">The restructuring plan should include hedging strategies, including forward contracts or currency swaps, to guard against the risks. </w:t>
      </w:r>
    </w:p>
    <w:p w14:paraId="6658368D" w14:textId="2FDEA833" w:rsidR="00E66BEE" w:rsidRPr="004B0336" w:rsidRDefault="00E66BEE" w:rsidP="00EE1D8B">
      <w:pPr>
        <w:rPr>
          <w:rFonts w:cs="Arial"/>
          <w:lang w:val="en-GB"/>
        </w:rPr>
      </w:pPr>
      <w:r w:rsidRPr="004B0336">
        <w:rPr>
          <w:rFonts w:cs="Arial"/>
          <w:b/>
          <w:bCs/>
          <w:i/>
          <w:iCs/>
          <w:lang w:val="en-GB"/>
        </w:rPr>
        <w:t>Inflation</w:t>
      </w:r>
      <w:r w:rsidRPr="004B0336">
        <w:rPr>
          <w:rFonts w:cs="Arial"/>
          <w:lang w:val="en-GB"/>
        </w:rPr>
        <w:t xml:space="preserve"> also affects the cost of operation as well as financing</w:t>
      </w:r>
      <w:r w:rsidR="00EF7A8D" w:rsidRPr="004B0336">
        <w:rPr>
          <w:rFonts w:cs="Arial"/>
          <w:lang w:val="en-GB"/>
        </w:rPr>
        <w:t xml:space="preserve"> (Almansour </w:t>
      </w:r>
      <w:r w:rsidR="00EF7A8D" w:rsidRPr="004B0336">
        <w:rPr>
          <w:rFonts w:cs="Arial"/>
          <w:i/>
          <w:iCs/>
          <w:lang w:val="en-GB"/>
        </w:rPr>
        <w:t xml:space="preserve">et al. </w:t>
      </w:r>
      <w:r w:rsidR="00EF7A8D" w:rsidRPr="004B0336">
        <w:rPr>
          <w:rFonts w:cs="Arial"/>
          <w:lang w:val="en-GB"/>
        </w:rPr>
        <w:t>2021). T</w:t>
      </w:r>
      <w:r w:rsidRPr="004B0336">
        <w:rPr>
          <w:rFonts w:cs="Arial"/>
          <w:lang w:val="en-GB"/>
        </w:rPr>
        <w:t xml:space="preserve">he divestiture could be less appealing in high-inflation markets, whereas a merger can experience difficulties in sustaining cost economies. The effect of inflation on investor expectations must be taken into consideration in equity injection because inflation will demoralise the profitability and make the new capital less attractive. </w:t>
      </w:r>
    </w:p>
    <w:p w14:paraId="023F3626" w14:textId="66673686" w:rsidR="00E66BEE" w:rsidRPr="004B0336" w:rsidRDefault="00BD2E59" w:rsidP="00EE1D8B">
      <w:pPr>
        <w:rPr>
          <w:rFonts w:cs="Arial"/>
          <w:lang w:val="en-GB"/>
        </w:rPr>
      </w:pPr>
      <w:r w:rsidRPr="004B0336">
        <w:rPr>
          <w:rFonts w:cs="Arial"/>
          <w:lang w:val="en-GB"/>
        </w:rPr>
        <w:t xml:space="preserve">In any organisation, </w:t>
      </w:r>
      <w:r w:rsidRPr="004B0336">
        <w:rPr>
          <w:rFonts w:cs="Arial"/>
          <w:b/>
          <w:bCs/>
          <w:i/>
          <w:iCs/>
          <w:lang w:val="en-GB"/>
        </w:rPr>
        <w:t>ethical considerations</w:t>
      </w:r>
      <w:r w:rsidRPr="004B0336">
        <w:rPr>
          <w:rFonts w:cs="Arial"/>
          <w:lang w:val="en-GB"/>
        </w:rPr>
        <w:t xml:space="preserve"> are important in decision-making (Hyatt and Gruenglas, 2023).</w:t>
      </w:r>
      <w:r w:rsidRPr="004B0336">
        <w:rPr>
          <w:rFonts w:cs="Arial"/>
          <w:color w:val="EE0000"/>
          <w:lang w:val="en-GB"/>
        </w:rPr>
        <w:t xml:space="preserve"> </w:t>
      </w:r>
      <w:r w:rsidR="00EF7A8D" w:rsidRPr="004B0336">
        <w:rPr>
          <w:rFonts w:cs="Arial"/>
          <w:lang w:val="en-GB"/>
        </w:rPr>
        <w:t>Also,</w:t>
      </w:r>
      <w:r w:rsidR="00E66BEE" w:rsidRPr="004B0336">
        <w:rPr>
          <w:rFonts w:cs="Arial"/>
          <w:lang w:val="en-GB"/>
        </w:rPr>
        <w:t xml:space="preserve"> the </w:t>
      </w:r>
      <w:r w:rsidR="0062276C" w:rsidRPr="004B0336">
        <w:rPr>
          <w:rFonts w:cs="Arial"/>
          <w:b/>
          <w:bCs/>
          <w:i/>
          <w:iCs/>
          <w:lang w:val="en-GB"/>
        </w:rPr>
        <w:t>corporate</w:t>
      </w:r>
      <w:r w:rsidR="005B7BFD" w:rsidRPr="004B0336">
        <w:rPr>
          <w:rFonts w:cs="Arial"/>
          <w:b/>
          <w:bCs/>
          <w:i/>
          <w:iCs/>
          <w:lang w:val="en-GB"/>
        </w:rPr>
        <w:t xml:space="preserve"> social responsibility (C</w:t>
      </w:r>
      <w:r w:rsidR="00E66BEE" w:rsidRPr="004B0336">
        <w:rPr>
          <w:rFonts w:cs="Arial"/>
          <w:b/>
          <w:bCs/>
          <w:i/>
          <w:iCs/>
          <w:lang w:val="en-GB"/>
        </w:rPr>
        <w:t>SR</w:t>
      </w:r>
      <w:r w:rsidR="005B7BFD" w:rsidRPr="004B0336">
        <w:rPr>
          <w:rFonts w:cs="Arial"/>
          <w:b/>
          <w:bCs/>
          <w:i/>
          <w:iCs/>
          <w:lang w:val="en-GB"/>
        </w:rPr>
        <w:t>)</w:t>
      </w:r>
      <w:r w:rsidR="00E66BEE" w:rsidRPr="004B0336">
        <w:rPr>
          <w:rFonts w:cs="Arial"/>
          <w:b/>
          <w:bCs/>
          <w:i/>
          <w:iCs/>
          <w:lang w:val="en-GB"/>
        </w:rPr>
        <w:t xml:space="preserve"> </w:t>
      </w:r>
      <w:r w:rsidR="00E66BEE" w:rsidRPr="004B0336">
        <w:rPr>
          <w:rFonts w:cs="Arial"/>
          <w:lang w:val="en-GB"/>
        </w:rPr>
        <w:t xml:space="preserve">factors are necessary to guarantee ethical reorganisation. </w:t>
      </w:r>
      <w:r w:rsidRPr="004B0336">
        <w:rPr>
          <w:rFonts w:cs="Arial"/>
          <w:lang w:val="en-GB"/>
        </w:rPr>
        <w:t xml:space="preserve">The CSR strategies generate a competitive </w:t>
      </w:r>
      <w:r w:rsidR="005B7BFD" w:rsidRPr="004B0336">
        <w:rPr>
          <w:rFonts w:cs="Arial"/>
          <w:lang w:val="en-GB"/>
        </w:rPr>
        <w:t>advantage</w:t>
      </w:r>
      <w:r w:rsidRPr="004B0336">
        <w:rPr>
          <w:rFonts w:cs="Arial"/>
          <w:lang w:val="en-GB"/>
        </w:rPr>
        <w:t>, which has a positive effect on the business performance (Diaz-Iglesias, Blanco-Gonzalez and Orden-Cruz, 2021).</w:t>
      </w:r>
      <w:r w:rsidRPr="004B0336">
        <w:rPr>
          <w:rFonts w:cs="Arial"/>
          <w:color w:val="EE0000"/>
          <w:lang w:val="en-GB"/>
        </w:rPr>
        <w:t xml:space="preserve"> </w:t>
      </w:r>
      <w:r w:rsidR="00EF7A8D" w:rsidRPr="004B0336">
        <w:rPr>
          <w:rFonts w:cs="Arial"/>
          <w:lang w:val="en-GB"/>
        </w:rPr>
        <w:t xml:space="preserve">For example, </w:t>
      </w:r>
      <w:r w:rsidR="00E66BEE" w:rsidRPr="004B0336">
        <w:rPr>
          <w:rFonts w:cs="Arial"/>
          <w:lang w:val="en-GB"/>
        </w:rPr>
        <w:t xml:space="preserve">Mergers should also uphold cultural differences and ensure fair employment practices. </w:t>
      </w:r>
    </w:p>
    <w:p w14:paraId="4A5A5F0D" w14:textId="677B884F" w:rsidR="00E66BEE" w:rsidRPr="004B0336" w:rsidRDefault="00E66BEE" w:rsidP="00EE1D8B">
      <w:pPr>
        <w:rPr>
          <w:rFonts w:cs="Arial"/>
          <w:lang w:val="en-GB"/>
        </w:rPr>
      </w:pPr>
      <w:r w:rsidRPr="004B0336">
        <w:rPr>
          <w:rFonts w:cs="Arial"/>
          <w:lang w:val="en-GB"/>
        </w:rPr>
        <w:t xml:space="preserve">In summary, tax analysis, currency risk, inflation and CSR integration of restructuring decisions result in the fact that financial reforms should be feasible and globally responsible and ethical. </w:t>
      </w:r>
    </w:p>
    <w:p w14:paraId="1C2E3AC5" w14:textId="40FBB1D4" w:rsidR="00F821FE" w:rsidRPr="004B0336" w:rsidRDefault="0062276C" w:rsidP="003137CE">
      <w:pPr>
        <w:pStyle w:val="Heading1"/>
        <w:rPr>
          <w:lang w:val="en-GB"/>
        </w:rPr>
      </w:pPr>
      <w:bookmarkStart w:id="15" w:name="_Toc214898914"/>
      <w:r w:rsidRPr="004B0336">
        <w:rPr>
          <w:lang w:val="en-GB"/>
        </w:rPr>
        <w:t>4</w:t>
      </w:r>
      <w:r w:rsidR="00F821FE" w:rsidRPr="004B0336">
        <w:rPr>
          <w:lang w:val="en-GB"/>
        </w:rPr>
        <w:t>.0 Investment Appraisal and Capital Budgeting</w:t>
      </w:r>
      <w:bookmarkEnd w:id="15"/>
      <w:r w:rsidR="00F821FE" w:rsidRPr="004B0336">
        <w:rPr>
          <w:lang w:val="en-GB"/>
        </w:rPr>
        <w:t xml:space="preserve"> </w:t>
      </w:r>
    </w:p>
    <w:p w14:paraId="103ACA52" w14:textId="7FF4044C" w:rsidR="00F821FE" w:rsidRPr="004B0336" w:rsidRDefault="0062276C" w:rsidP="003137CE">
      <w:pPr>
        <w:pStyle w:val="Heading2"/>
        <w:rPr>
          <w:lang w:val="en-GB"/>
        </w:rPr>
      </w:pPr>
      <w:bookmarkStart w:id="16" w:name="_Toc214898915"/>
      <w:r w:rsidRPr="004B0336">
        <w:rPr>
          <w:lang w:val="en-GB"/>
        </w:rPr>
        <w:t>4</w:t>
      </w:r>
      <w:r w:rsidR="00F821FE" w:rsidRPr="004B0336">
        <w:rPr>
          <w:lang w:val="en-GB"/>
        </w:rPr>
        <w:t>.1 Analysis of Three Proposed Investment Projects</w:t>
      </w:r>
      <w:bookmarkEnd w:id="16"/>
    </w:p>
    <w:p w14:paraId="68132D84" w14:textId="592F6B6D" w:rsidR="0054285B" w:rsidRPr="004B0336" w:rsidRDefault="0054285B" w:rsidP="00EE1D8B">
      <w:pPr>
        <w:rPr>
          <w:rFonts w:cs="Arial"/>
          <w:b/>
          <w:bCs/>
          <w:i/>
          <w:iCs/>
          <w:lang w:val="en-GB"/>
        </w:rPr>
      </w:pPr>
      <w:r w:rsidRPr="004B0336">
        <w:rPr>
          <w:rFonts w:cs="Arial"/>
          <w:b/>
          <w:bCs/>
          <w:i/>
          <w:iCs/>
          <w:lang w:val="en-GB"/>
        </w:rPr>
        <w:t xml:space="preserve">Project: </w:t>
      </w:r>
      <w:r w:rsidR="00CE06D8" w:rsidRPr="004B0336">
        <w:rPr>
          <w:rFonts w:cs="Arial"/>
          <w:b/>
          <w:bCs/>
          <w:i/>
          <w:iCs/>
          <w:lang w:val="en-GB"/>
        </w:rPr>
        <w:t>An</w:t>
      </w:r>
      <w:r w:rsidRPr="004B0336">
        <w:rPr>
          <w:rFonts w:cs="Arial"/>
          <w:b/>
          <w:bCs/>
          <w:i/>
          <w:iCs/>
          <w:lang w:val="en-GB"/>
        </w:rPr>
        <w:t xml:space="preserve"> Analysis </w:t>
      </w:r>
    </w:p>
    <w:p w14:paraId="477E2580" w14:textId="5D48576D" w:rsidR="0054285B" w:rsidRPr="004B0336" w:rsidRDefault="0054285B" w:rsidP="00EE1D8B">
      <w:pPr>
        <w:rPr>
          <w:rFonts w:cs="Arial"/>
          <w:lang w:val="en-GB"/>
        </w:rPr>
      </w:pPr>
      <w:r w:rsidRPr="004B0336">
        <w:rPr>
          <w:rFonts w:cs="Arial"/>
          <w:lang w:val="en-GB"/>
        </w:rPr>
        <w:t>Project A is an initial investment of £</w:t>
      </w:r>
      <w:r w:rsidR="008E05FC" w:rsidRPr="004B0336">
        <w:rPr>
          <w:rFonts w:cs="Arial"/>
          <w:lang w:val="en-GB"/>
        </w:rPr>
        <w:t>40</w:t>
      </w:r>
      <w:r w:rsidRPr="004B0336">
        <w:rPr>
          <w:rFonts w:cs="Arial"/>
          <w:lang w:val="en-GB"/>
        </w:rPr>
        <w:t xml:space="preserve"> million, and cash inflows are realised in five years. Cumulative cash inflows amount to £54 million at the end of the period, implying that the project breaks even within the period. The payback period is around 3.4 years, which indicates that the investment is recovered within a relatively short time. </w:t>
      </w:r>
      <w:r w:rsidR="00684132" w:rsidRPr="004B0336">
        <w:rPr>
          <w:rFonts w:cs="Arial"/>
          <w:lang w:val="en-GB"/>
        </w:rPr>
        <w:t xml:space="preserve">A shorter payback period is a more appealing investment, as companies want to recover the initial expense in the shortest possible time (VanLeeuwen, 2025). </w:t>
      </w:r>
      <w:r w:rsidRPr="004B0336">
        <w:rPr>
          <w:rFonts w:cs="Arial"/>
          <w:lang w:val="en-GB"/>
        </w:rPr>
        <w:t>Under straight-line depreciation, the annual depreciation expense is £8 million, and the average accounting profit is £2.8 million. On this basis, the Accounting Rate of Return (ARR) stands at 14</w:t>
      </w:r>
      <w:r w:rsidR="008E05FC" w:rsidRPr="004B0336">
        <w:rPr>
          <w:rFonts w:cs="Arial"/>
          <w:lang w:val="en-GB"/>
        </w:rPr>
        <w:t>%</w:t>
      </w:r>
      <w:r w:rsidRPr="004B0336">
        <w:rPr>
          <w:rFonts w:cs="Arial"/>
          <w:lang w:val="en-GB"/>
        </w:rPr>
        <w:t xml:space="preserve">, which reflects a profitable level when compared to the investment base. </w:t>
      </w:r>
    </w:p>
    <w:p w14:paraId="421BA11A" w14:textId="7371AF28" w:rsidR="0054285B" w:rsidRPr="004B0336" w:rsidRDefault="0054285B" w:rsidP="00EE1D8B">
      <w:pPr>
        <w:rPr>
          <w:rFonts w:cs="Arial"/>
          <w:lang w:val="en-GB"/>
        </w:rPr>
      </w:pPr>
      <w:r w:rsidRPr="004B0336">
        <w:rPr>
          <w:rFonts w:cs="Arial"/>
          <w:lang w:val="en-GB"/>
        </w:rPr>
        <w:t>The Net Present Value (NPV) at a discounted rate of 10% is positive at the value of £</w:t>
      </w:r>
      <w:r w:rsidR="008E05FC" w:rsidRPr="004B0336">
        <w:rPr>
          <w:rFonts w:cs="Arial"/>
          <w:lang w:val="en-GB"/>
        </w:rPr>
        <w:t xml:space="preserve">1.324176814 </w:t>
      </w:r>
      <w:r w:rsidRPr="004B0336">
        <w:rPr>
          <w:rFonts w:cs="Arial"/>
          <w:lang w:val="en-GB"/>
        </w:rPr>
        <w:t xml:space="preserve">million and indicates that the project is value-creating to the firm. The Profitability Index (PI) is </w:t>
      </w:r>
      <w:r w:rsidR="008E05FC" w:rsidRPr="004B0336">
        <w:rPr>
          <w:rFonts w:cs="Arial"/>
          <w:lang w:val="en-GB"/>
        </w:rPr>
        <w:t>1.03310442</w:t>
      </w:r>
      <w:r w:rsidRPr="004B0336">
        <w:rPr>
          <w:rFonts w:cs="Arial"/>
          <w:lang w:val="en-GB"/>
        </w:rPr>
        <w:t xml:space="preserve">, which is above 1, and this proves that the discounted inflows are greater than the original outlay. The Internal Rate of Return (IRR) is projected to be </w:t>
      </w:r>
      <w:r w:rsidR="008E05FC" w:rsidRPr="004B0336">
        <w:rPr>
          <w:rFonts w:cs="Arial"/>
          <w:lang w:val="en-GB"/>
        </w:rPr>
        <w:t>11.55454356</w:t>
      </w:r>
      <w:r w:rsidR="002704C0" w:rsidRPr="004B0336">
        <w:rPr>
          <w:rFonts w:cs="Arial"/>
          <w:lang w:val="en-GB"/>
        </w:rPr>
        <w:t>%</w:t>
      </w:r>
      <w:r w:rsidRPr="004B0336">
        <w:rPr>
          <w:rFonts w:cs="Arial"/>
          <w:lang w:val="en-GB"/>
        </w:rPr>
        <w:t xml:space="preserve">, which is a little higher than the discount rate of 10%. </w:t>
      </w:r>
      <w:r w:rsidR="00684132" w:rsidRPr="004B0336">
        <w:rPr>
          <w:rFonts w:cs="Arial"/>
          <w:lang w:val="en-GB"/>
        </w:rPr>
        <w:t xml:space="preserve">A higher IRR is a better investment since it provides a better rate of return (USPEC, 2025). </w:t>
      </w:r>
      <w:r w:rsidRPr="004B0336">
        <w:rPr>
          <w:rFonts w:cs="Arial"/>
          <w:lang w:val="en-GB"/>
        </w:rPr>
        <w:t xml:space="preserve">This shows that the project has financial viability as per current assumptions. In general, Project A shows satisfactory results in terms of financial performance, with a decent payback period, positive NPV at 10%, and IRR more than the cost of capital, which shows it could be a potentially valuable investment in the case of moderate risk. </w:t>
      </w:r>
    </w:p>
    <w:p w14:paraId="6438BF4D" w14:textId="2EAF2D99" w:rsidR="0054285B" w:rsidRPr="004B0336" w:rsidRDefault="0054285B" w:rsidP="00EE1D8B">
      <w:pPr>
        <w:rPr>
          <w:rFonts w:cs="Arial"/>
          <w:b/>
          <w:bCs/>
          <w:i/>
          <w:iCs/>
          <w:lang w:val="en-GB"/>
        </w:rPr>
      </w:pPr>
      <w:r w:rsidRPr="004B0336">
        <w:rPr>
          <w:rFonts w:cs="Arial"/>
          <w:b/>
          <w:bCs/>
          <w:i/>
          <w:iCs/>
          <w:lang w:val="en-GB"/>
        </w:rPr>
        <w:t xml:space="preserve">Project: B Analysis </w:t>
      </w:r>
    </w:p>
    <w:p w14:paraId="750537C0" w14:textId="5F522FD8" w:rsidR="0054285B" w:rsidRPr="004B0336" w:rsidRDefault="00017085" w:rsidP="00EE1D8B">
      <w:pPr>
        <w:rPr>
          <w:rFonts w:cs="Arial"/>
          <w:lang w:val="en-GB"/>
        </w:rPr>
      </w:pPr>
      <w:r w:rsidRPr="004B0336">
        <w:rPr>
          <w:rFonts w:cs="Arial"/>
          <w:lang w:val="en-GB"/>
        </w:rPr>
        <w:t xml:space="preserve">Project B involves a </w:t>
      </w:r>
      <w:r w:rsidR="003D4005" w:rsidRPr="004B0336">
        <w:rPr>
          <w:rFonts w:cs="Arial"/>
          <w:lang w:val="en-GB"/>
        </w:rPr>
        <w:t>start-up</w:t>
      </w:r>
      <w:r w:rsidRPr="004B0336">
        <w:rPr>
          <w:rFonts w:cs="Arial"/>
          <w:lang w:val="en-GB"/>
        </w:rPr>
        <w:t xml:space="preserve"> capital of </w:t>
      </w:r>
      <w:r w:rsidR="002704C0" w:rsidRPr="004B0336">
        <w:rPr>
          <w:rFonts w:cs="Arial"/>
          <w:lang w:val="en-GB"/>
        </w:rPr>
        <w:t>£</w:t>
      </w:r>
      <w:r w:rsidRPr="004B0336">
        <w:rPr>
          <w:rFonts w:cs="Arial"/>
          <w:lang w:val="en-GB"/>
        </w:rPr>
        <w:t xml:space="preserve">30 million with a stream of cash inflows of 6 million a year, with a payback period of five years. The cumulative cash inflows have hit £30 million at the end of Year 5, which implies that the investment is not recovered fully until the life of the project ends. </w:t>
      </w:r>
      <w:r w:rsidR="007135F4" w:rsidRPr="004B0336">
        <w:rPr>
          <w:rFonts w:cs="Arial"/>
          <w:lang w:val="en-GB"/>
        </w:rPr>
        <w:t xml:space="preserve">According to Imteaz Bayatvarkeshi and Karim (2021), </w:t>
      </w:r>
      <w:r w:rsidR="006F7791" w:rsidRPr="004B0336">
        <w:rPr>
          <w:rFonts w:cs="Arial"/>
          <w:lang w:val="en-GB"/>
        </w:rPr>
        <w:t>the payback period was found to be the most popular financial technique to measure the economic feasibility.</w:t>
      </w:r>
      <w:r w:rsidR="006F7791" w:rsidRPr="004B0336">
        <w:rPr>
          <w:rFonts w:cs="Arial"/>
          <w:color w:val="EE0000"/>
          <w:lang w:val="en-GB"/>
        </w:rPr>
        <w:t xml:space="preserve"> </w:t>
      </w:r>
      <w:r w:rsidRPr="004B0336">
        <w:rPr>
          <w:rFonts w:cs="Arial"/>
          <w:lang w:val="en-GB"/>
        </w:rPr>
        <w:t>The payback period</w:t>
      </w:r>
      <w:r w:rsidR="000C2734" w:rsidRPr="004B0336">
        <w:rPr>
          <w:rFonts w:cs="Arial"/>
          <w:lang w:val="en-GB"/>
        </w:rPr>
        <w:t xml:space="preserve"> </w:t>
      </w:r>
      <w:r w:rsidRPr="004B0336">
        <w:rPr>
          <w:rFonts w:cs="Arial"/>
          <w:lang w:val="en-GB"/>
        </w:rPr>
        <w:t xml:space="preserve">is 5 years, and this means the initial investment is not recovered easily. Under straight-line depreciation, the depreciation charge per annum will be </w:t>
      </w:r>
      <w:r w:rsidR="002704C0" w:rsidRPr="004B0336">
        <w:rPr>
          <w:rFonts w:cs="Arial"/>
          <w:lang w:val="en-GB"/>
        </w:rPr>
        <w:t>£</w:t>
      </w:r>
      <w:r w:rsidRPr="004B0336">
        <w:rPr>
          <w:rFonts w:cs="Arial"/>
          <w:lang w:val="en-GB"/>
        </w:rPr>
        <w:t>6 million. The accounting profit is zero when depreciation is charged against the annual cash inflows. Due to this, the ARR</w:t>
      </w:r>
      <w:r w:rsidR="000C2734" w:rsidRPr="004B0336">
        <w:rPr>
          <w:rFonts w:cs="Arial"/>
          <w:lang w:val="en-GB"/>
        </w:rPr>
        <w:t xml:space="preserve"> </w:t>
      </w:r>
      <w:r w:rsidRPr="004B0336">
        <w:rPr>
          <w:rFonts w:cs="Arial"/>
          <w:lang w:val="en-GB"/>
        </w:rPr>
        <w:t xml:space="preserve">is determined to be 0% indicating that the project is not accounting profitable throughout its life. </w:t>
      </w:r>
    </w:p>
    <w:p w14:paraId="5E12122A" w14:textId="705926E2" w:rsidR="00017085" w:rsidRPr="004B0336" w:rsidRDefault="00017085" w:rsidP="00EE1D8B">
      <w:pPr>
        <w:rPr>
          <w:rFonts w:cs="Arial"/>
          <w:lang w:val="en-GB"/>
        </w:rPr>
      </w:pPr>
      <w:r w:rsidRPr="004B0336">
        <w:rPr>
          <w:rFonts w:cs="Arial"/>
          <w:lang w:val="en-GB"/>
        </w:rPr>
        <w:t xml:space="preserve">At a discount rate of 10%, Net Present Value becomes negative at around </w:t>
      </w:r>
      <w:r w:rsidR="000C2734" w:rsidRPr="004B0336">
        <w:rPr>
          <w:rFonts w:cs="Arial"/>
          <w:lang w:val="en-GB"/>
        </w:rPr>
        <w:t xml:space="preserve">£-7.255279384 </w:t>
      </w:r>
      <w:r w:rsidRPr="004B0336">
        <w:rPr>
          <w:rFonts w:cs="Arial"/>
          <w:lang w:val="en-GB"/>
        </w:rPr>
        <w:t xml:space="preserve">million. </w:t>
      </w:r>
      <w:r w:rsidR="006F7791" w:rsidRPr="004B0336">
        <w:rPr>
          <w:rFonts w:cs="Arial"/>
          <w:lang w:val="en-GB"/>
        </w:rPr>
        <w:t>When NPV is negative, it indicates that the expenses are higher than the cash flows obtained, and it is called “</w:t>
      </w:r>
      <w:r w:rsidR="006F7791" w:rsidRPr="004B0336">
        <w:rPr>
          <w:rFonts w:cs="Arial"/>
          <w:i/>
          <w:iCs/>
          <w:lang w:val="en-GB"/>
        </w:rPr>
        <w:t>destroy value</w:t>
      </w:r>
      <w:r w:rsidR="006F7791" w:rsidRPr="004B0336">
        <w:rPr>
          <w:rFonts w:cs="Arial"/>
          <w:lang w:val="en-GB"/>
        </w:rPr>
        <w:t>” (Corporate Finance Institute, 2025</w:t>
      </w:r>
      <w:r w:rsidR="0057611D" w:rsidRPr="004B0336">
        <w:rPr>
          <w:rFonts w:cs="Arial"/>
          <w:lang w:val="en-GB"/>
        </w:rPr>
        <w:t>b</w:t>
      </w:r>
      <w:r w:rsidR="006F7791" w:rsidRPr="004B0336">
        <w:rPr>
          <w:rFonts w:cs="Arial"/>
          <w:lang w:val="en-GB"/>
        </w:rPr>
        <w:t xml:space="preserve">). </w:t>
      </w:r>
      <w:r w:rsidRPr="004B0336">
        <w:rPr>
          <w:rFonts w:cs="Arial"/>
          <w:lang w:val="en-GB"/>
        </w:rPr>
        <w:t xml:space="preserve">The </w:t>
      </w:r>
      <w:r w:rsidR="000C2734" w:rsidRPr="004B0336">
        <w:rPr>
          <w:rFonts w:cs="Arial"/>
          <w:lang w:val="en-GB"/>
        </w:rPr>
        <w:t>PI</w:t>
      </w:r>
      <w:r w:rsidRPr="004B0336">
        <w:rPr>
          <w:rFonts w:cs="Arial"/>
          <w:lang w:val="en-GB"/>
        </w:rPr>
        <w:t xml:space="preserve"> is lower than 1, which proves that </w:t>
      </w:r>
      <w:r w:rsidR="000C2734" w:rsidRPr="004B0336">
        <w:rPr>
          <w:rFonts w:cs="Arial"/>
          <w:lang w:val="en-GB"/>
        </w:rPr>
        <w:t>the project is not profitable</w:t>
      </w:r>
      <w:r w:rsidRPr="004B0336">
        <w:rPr>
          <w:rFonts w:cs="Arial"/>
          <w:lang w:val="en-GB"/>
        </w:rPr>
        <w:t>. The NPV is zero at an extremely low discount rate of 1</w:t>
      </w:r>
      <w:r w:rsidR="000C2734" w:rsidRPr="004B0336">
        <w:rPr>
          <w:rFonts w:cs="Arial"/>
          <w:lang w:val="en-GB"/>
        </w:rPr>
        <w:t>. The 0 IRR</w:t>
      </w:r>
      <w:r w:rsidR="002704C0" w:rsidRPr="004B0336">
        <w:rPr>
          <w:rFonts w:cs="Arial"/>
          <w:lang w:val="en-GB"/>
        </w:rPr>
        <w:t xml:space="preserve"> is below the cost of capital,</w:t>
      </w:r>
      <w:r w:rsidR="000C2734" w:rsidRPr="004B0336">
        <w:rPr>
          <w:rFonts w:cs="Arial"/>
          <w:lang w:val="en-GB"/>
        </w:rPr>
        <w:t xml:space="preserve"> </w:t>
      </w:r>
      <w:r w:rsidR="002704C0" w:rsidRPr="004B0336">
        <w:rPr>
          <w:rFonts w:cs="Arial"/>
          <w:lang w:val="en-GB"/>
        </w:rPr>
        <w:t xml:space="preserve">which is a clear indication that the project will not produce enough returns. </w:t>
      </w:r>
      <w:r w:rsidRPr="004B0336">
        <w:rPr>
          <w:rFonts w:cs="Arial"/>
          <w:lang w:val="en-GB"/>
        </w:rPr>
        <w:t>In summary, Project B has poor financial performance, slow payback, no accounting profit, and negative NPV.</w:t>
      </w:r>
      <w:r w:rsidR="002704C0" w:rsidRPr="004B0336">
        <w:rPr>
          <w:rFonts w:cs="Arial"/>
          <w:lang w:val="en-GB"/>
        </w:rPr>
        <w:t xml:space="preserve"> </w:t>
      </w:r>
      <w:r w:rsidRPr="004B0336">
        <w:rPr>
          <w:rFonts w:cs="Arial"/>
          <w:lang w:val="en-GB"/>
        </w:rPr>
        <w:t xml:space="preserve"> </w:t>
      </w:r>
    </w:p>
    <w:p w14:paraId="4D15E83E" w14:textId="1E462447" w:rsidR="00017085" w:rsidRPr="004B0336" w:rsidRDefault="00017085" w:rsidP="00EE1D8B">
      <w:pPr>
        <w:rPr>
          <w:rFonts w:cs="Arial"/>
          <w:b/>
          <w:bCs/>
          <w:i/>
          <w:iCs/>
          <w:lang w:val="en-GB"/>
        </w:rPr>
      </w:pPr>
      <w:r w:rsidRPr="004B0336">
        <w:rPr>
          <w:rFonts w:cs="Arial"/>
          <w:b/>
          <w:bCs/>
          <w:i/>
          <w:iCs/>
          <w:lang w:val="en-GB"/>
        </w:rPr>
        <w:t xml:space="preserve">Project: </w:t>
      </w:r>
      <w:r w:rsidR="008314C3" w:rsidRPr="004B0336">
        <w:rPr>
          <w:rFonts w:cs="Arial"/>
          <w:b/>
          <w:bCs/>
          <w:i/>
          <w:iCs/>
          <w:lang w:val="en-GB"/>
        </w:rPr>
        <w:t xml:space="preserve">C </w:t>
      </w:r>
      <w:r w:rsidRPr="004B0336">
        <w:rPr>
          <w:rFonts w:cs="Arial"/>
          <w:b/>
          <w:bCs/>
          <w:i/>
          <w:iCs/>
          <w:lang w:val="en-GB"/>
        </w:rPr>
        <w:t xml:space="preserve">Analysis </w:t>
      </w:r>
    </w:p>
    <w:p w14:paraId="0E4820F5" w14:textId="61BDBE91" w:rsidR="007135F4" w:rsidRPr="004B0336" w:rsidRDefault="00017085" w:rsidP="00EE1D8B">
      <w:pPr>
        <w:rPr>
          <w:rFonts w:cs="Arial"/>
          <w:lang w:val="en-GB"/>
        </w:rPr>
      </w:pPr>
      <w:r w:rsidRPr="004B0336">
        <w:rPr>
          <w:rFonts w:cs="Arial"/>
          <w:lang w:val="en-GB"/>
        </w:rPr>
        <w:t xml:space="preserve">Project C will need an initial investment of £50 million and generate cash inflows in a period of five years, resulting in a total of £75 million that would be generated by the project. The cumulative cash inflows indicate that the investment is paid off in Year 4, with the payback period of about </w:t>
      </w:r>
      <w:r w:rsidR="002704C0" w:rsidRPr="004B0336">
        <w:rPr>
          <w:rFonts w:cs="Arial"/>
          <w:lang w:val="en-GB"/>
        </w:rPr>
        <w:t xml:space="preserve">3.6 </w:t>
      </w:r>
      <w:r w:rsidRPr="004B0336">
        <w:rPr>
          <w:rFonts w:cs="Arial"/>
          <w:lang w:val="en-GB"/>
        </w:rPr>
        <w:t>years. This implies that the project has a payback period within an acceptable time, and inflows that occur in the later periods improve profitability. On straight-line depreciation, the depreciation charge per annum is £10</w:t>
      </w:r>
      <w:r w:rsidR="002704C0" w:rsidRPr="004B0336">
        <w:rPr>
          <w:rFonts w:cs="Arial"/>
          <w:lang w:val="en-GB"/>
        </w:rPr>
        <w:t xml:space="preserve"> million</w:t>
      </w:r>
      <w:r w:rsidRPr="004B0336">
        <w:rPr>
          <w:rFonts w:cs="Arial"/>
          <w:lang w:val="en-GB"/>
        </w:rPr>
        <w:t xml:space="preserve">. </w:t>
      </w:r>
      <w:r w:rsidR="006F7791" w:rsidRPr="004B0336">
        <w:rPr>
          <w:rFonts w:cs="Arial"/>
          <w:lang w:val="en-GB"/>
        </w:rPr>
        <w:t xml:space="preserve">Accounting rate of return is applied in scenarios where businesses are to make decisions on whether to invest or not to invest based on the amount of earnings that are expected to be obtained in the future compared to the cost of capital (Vipond, 2025). </w:t>
      </w:r>
      <w:r w:rsidR="007135F4" w:rsidRPr="004B0336">
        <w:rPr>
          <w:rFonts w:cs="Arial"/>
          <w:lang w:val="en-GB"/>
        </w:rPr>
        <w:t>In this case, t</w:t>
      </w:r>
      <w:r w:rsidRPr="004B0336">
        <w:rPr>
          <w:rFonts w:cs="Arial"/>
          <w:lang w:val="en-GB"/>
        </w:rPr>
        <w:t>he accounting rate of Return (ARR) 20</w:t>
      </w:r>
      <w:r w:rsidR="002704C0" w:rsidRPr="004B0336">
        <w:rPr>
          <w:rFonts w:cs="Arial"/>
          <w:lang w:val="en-GB"/>
        </w:rPr>
        <w:t>%</w:t>
      </w:r>
      <w:r w:rsidRPr="004B0336">
        <w:rPr>
          <w:rFonts w:cs="Arial"/>
          <w:lang w:val="en-GB"/>
        </w:rPr>
        <w:t xml:space="preserve"> is a good rate of profitability as compared to the investment base. </w:t>
      </w:r>
    </w:p>
    <w:p w14:paraId="39A35A08" w14:textId="5D63806D" w:rsidR="004D2F66" w:rsidRPr="004B0336" w:rsidRDefault="00017085" w:rsidP="00EE1D8B">
      <w:pPr>
        <w:rPr>
          <w:rFonts w:cs="Arial"/>
          <w:lang w:val="en-GB"/>
        </w:rPr>
      </w:pPr>
      <w:r w:rsidRPr="004B0336">
        <w:rPr>
          <w:rFonts w:cs="Arial"/>
          <w:lang w:val="en-GB"/>
        </w:rPr>
        <w:t>At the discount rate of 10%, the Net Present Value (NPV) is positive</w:t>
      </w:r>
      <w:r w:rsidR="002704C0" w:rsidRPr="004B0336">
        <w:rPr>
          <w:rFonts w:cs="Arial"/>
          <w:lang w:val="en-GB"/>
        </w:rPr>
        <w:t>,</w:t>
      </w:r>
      <w:r w:rsidRPr="004B0336">
        <w:rPr>
          <w:rFonts w:cs="Arial"/>
          <w:lang w:val="en-GB"/>
        </w:rPr>
        <w:t xml:space="preserve"> </w:t>
      </w:r>
      <w:r w:rsidR="002704C0" w:rsidRPr="004B0336">
        <w:rPr>
          <w:rFonts w:cs="Arial"/>
          <w:lang w:val="en-GB"/>
        </w:rPr>
        <w:t xml:space="preserve">which is </w:t>
      </w:r>
      <w:r w:rsidRPr="004B0336">
        <w:rPr>
          <w:rFonts w:cs="Arial"/>
          <w:lang w:val="en-GB"/>
        </w:rPr>
        <w:t>£</w:t>
      </w:r>
      <w:r w:rsidR="002704C0" w:rsidRPr="004B0336">
        <w:rPr>
          <w:rFonts w:cs="Arial"/>
          <w:lang w:val="en-GB"/>
        </w:rPr>
        <w:t xml:space="preserve">4.225369603 </w:t>
      </w:r>
      <w:r w:rsidRPr="004B0336">
        <w:rPr>
          <w:rFonts w:cs="Arial"/>
          <w:lang w:val="en-GB"/>
        </w:rPr>
        <w:t xml:space="preserve">million, </w:t>
      </w:r>
      <w:r w:rsidR="002704C0" w:rsidRPr="004B0336">
        <w:rPr>
          <w:rFonts w:cs="Arial"/>
          <w:lang w:val="en-GB"/>
        </w:rPr>
        <w:t xml:space="preserve">indicating </w:t>
      </w:r>
      <w:r w:rsidRPr="004B0336">
        <w:rPr>
          <w:rFonts w:cs="Arial"/>
          <w:lang w:val="en-GB"/>
        </w:rPr>
        <w:t xml:space="preserve">that the project will be value-adding to the firm. </w:t>
      </w:r>
      <w:r w:rsidR="002704C0" w:rsidRPr="004B0336">
        <w:rPr>
          <w:rFonts w:cs="Arial"/>
          <w:lang w:val="en-GB"/>
        </w:rPr>
        <w:t>PI</w:t>
      </w:r>
      <w:r w:rsidR="006F7791" w:rsidRPr="004B0336">
        <w:rPr>
          <w:rFonts w:cs="Arial"/>
          <w:lang w:val="en-GB"/>
        </w:rPr>
        <w:t xml:space="preserve"> is </w:t>
      </w:r>
      <w:r w:rsidR="002704C0" w:rsidRPr="004B0336">
        <w:rPr>
          <w:rFonts w:cs="Arial"/>
          <w:lang w:val="en-GB"/>
        </w:rPr>
        <w:t>above</w:t>
      </w:r>
      <w:r w:rsidR="006F7791" w:rsidRPr="004B0336">
        <w:rPr>
          <w:rFonts w:cs="Arial"/>
          <w:lang w:val="en-GB"/>
        </w:rPr>
        <w:t xml:space="preserve"> 1</w:t>
      </w:r>
      <w:r w:rsidR="002704C0" w:rsidRPr="004B0336">
        <w:rPr>
          <w:rFonts w:cs="Arial"/>
          <w:lang w:val="en-GB"/>
        </w:rPr>
        <w:t>, which is 1.084507392</w:t>
      </w:r>
      <w:r w:rsidR="006F7791" w:rsidRPr="004B0336">
        <w:rPr>
          <w:rFonts w:cs="Arial"/>
          <w:lang w:val="en-GB"/>
        </w:rPr>
        <w:t xml:space="preserve">, and it demonstrates that the project will create more value than it costs and becomes an attractive investment opportunity (EBC, 2025). </w:t>
      </w:r>
      <w:r w:rsidRPr="004B0336">
        <w:rPr>
          <w:rFonts w:cs="Arial"/>
          <w:lang w:val="en-GB"/>
        </w:rPr>
        <w:t xml:space="preserve">Internal Rate of Return is estimated at </w:t>
      </w:r>
      <w:r w:rsidR="002704C0" w:rsidRPr="004B0336">
        <w:rPr>
          <w:rFonts w:cs="Arial"/>
          <w:lang w:val="en-GB"/>
        </w:rPr>
        <w:t>13.14020942%</w:t>
      </w:r>
      <w:r w:rsidRPr="004B0336">
        <w:rPr>
          <w:rFonts w:cs="Arial"/>
          <w:lang w:val="en-GB"/>
        </w:rPr>
        <w:t xml:space="preserve">, which is higher than the 10% discount rate. This indicates that the project will be financially viable as per the existing assumptions. In summary, Project C has a good financial performance, an acceptable payback period, positive NPV at 10%, </w:t>
      </w:r>
      <w:r w:rsidR="004D2F66" w:rsidRPr="004B0336">
        <w:rPr>
          <w:rFonts w:cs="Arial"/>
          <w:lang w:val="en-GB"/>
        </w:rPr>
        <w:t xml:space="preserve">and IRR exceeding the cost of capital, so it is a potentially good opportunity to invest. </w:t>
      </w:r>
    </w:p>
    <w:p w14:paraId="3DD64F4D" w14:textId="2209E67E" w:rsidR="0062276C" w:rsidRPr="004B0336" w:rsidRDefault="00684132" w:rsidP="0062276C">
      <w:pPr>
        <w:rPr>
          <w:rFonts w:cs="Arial"/>
          <w:lang w:val="en-GB"/>
        </w:rPr>
      </w:pPr>
      <w:r w:rsidRPr="004B0336">
        <w:rPr>
          <w:rFonts w:cs="Arial"/>
          <w:lang w:val="en-GB"/>
        </w:rPr>
        <w:t xml:space="preserve">Projects A, B, and C reveal different results in terms of investment when evaluating the payback period, accounting rate of return, net present value, profitability index, and internal rate of return. The analysis of these three projects shows that Project </w:t>
      </w:r>
      <w:r w:rsidR="008314C3" w:rsidRPr="004B0336">
        <w:rPr>
          <w:rFonts w:cs="Arial"/>
          <w:lang w:val="en-GB"/>
        </w:rPr>
        <w:t>C</w:t>
      </w:r>
      <w:r w:rsidRPr="004B0336">
        <w:rPr>
          <w:rFonts w:cs="Arial"/>
          <w:lang w:val="en-GB"/>
        </w:rPr>
        <w:t xml:space="preserve"> has more potential to bring profit. </w:t>
      </w:r>
    </w:p>
    <w:p w14:paraId="6AA33B78" w14:textId="499450A9" w:rsidR="0062276C" w:rsidRPr="004B0336" w:rsidRDefault="00D05AEF" w:rsidP="003137CE">
      <w:pPr>
        <w:pStyle w:val="Heading2"/>
        <w:rPr>
          <w:lang w:val="en-GB"/>
        </w:rPr>
      </w:pPr>
      <w:bookmarkStart w:id="17" w:name="_Toc214898916"/>
      <w:r w:rsidRPr="004B0336">
        <w:rPr>
          <w:lang w:val="en-GB"/>
        </w:rPr>
        <w:t>4.2</w:t>
      </w:r>
      <w:r w:rsidR="0062276C" w:rsidRPr="004B0336">
        <w:rPr>
          <w:lang w:val="en-GB"/>
        </w:rPr>
        <w:t xml:space="preserve"> Final Investment Recommendation under Capital Rationing (£60m Limit)</w:t>
      </w:r>
      <w:bookmarkEnd w:id="17"/>
    </w:p>
    <w:p w14:paraId="132D49C1" w14:textId="77777777" w:rsidR="0062276C" w:rsidRPr="004B0336" w:rsidRDefault="0062276C" w:rsidP="0062276C">
      <w:pPr>
        <w:rPr>
          <w:rFonts w:cs="Arial"/>
          <w:lang w:val="en-GB"/>
        </w:rPr>
      </w:pPr>
      <w:r w:rsidRPr="004B0336">
        <w:rPr>
          <w:rFonts w:cs="Arial"/>
          <w:lang w:val="en-GB"/>
        </w:rPr>
        <w:t>Under the capital rationing constrain of £60 million, the GE cannot make an investment in all of the three projects. In this case, the decision need to prioritise projects which maximises the shareholder values per pound of investment, by using the NPV and profitability Index as recognised as the primary decision-making tool:</w:t>
      </w:r>
    </w:p>
    <w:p w14:paraId="4B733ED0" w14:textId="77777777" w:rsidR="0062276C" w:rsidRPr="004B0336" w:rsidRDefault="0062276C" w:rsidP="0062276C">
      <w:pPr>
        <w:rPr>
          <w:rFonts w:cs="Arial"/>
          <w:lang w:val="en-GB"/>
        </w:rPr>
      </w:pPr>
      <w:r w:rsidRPr="004B0336">
        <w:rPr>
          <w:rFonts w:cs="Arial"/>
          <w:lang w:val="en-GB"/>
        </w:rPr>
        <w:t>From the investment appraisal results following can be noted:</w:t>
      </w:r>
    </w:p>
    <w:p w14:paraId="1F3D9944" w14:textId="77777777" w:rsidR="0062276C" w:rsidRPr="004B0336" w:rsidRDefault="0062276C" w:rsidP="0062276C">
      <w:pPr>
        <w:rPr>
          <w:rFonts w:cs="Arial"/>
          <w:b/>
          <w:i/>
          <w:lang w:val="en-GB"/>
        </w:rPr>
      </w:pPr>
      <w:r w:rsidRPr="004B0336">
        <w:rPr>
          <w:rFonts w:cs="Arial"/>
          <w:b/>
          <w:i/>
          <w:lang w:val="en-GB"/>
        </w:rPr>
        <w:t>Project A</w:t>
      </w:r>
    </w:p>
    <w:p w14:paraId="192D882B" w14:textId="77777777" w:rsidR="0062276C" w:rsidRPr="004B0336" w:rsidRDefault="0062276C" w:rsidP="0062276C">
      <w:pPr>
        <w:pStyle w:val="ListParagraph"/>
        <w:numPr>
          <w:ilvl w:val="0"/>
          <w:numId w:val="4"/>
        </w:numPr>
        <w:rPr>
          <w:rFonts w:cs="Arial"/>
          <w:lang w:val="en-GB"/>
        </w:rPr>
      </w:pPr>
      <w:r w:rsidRPr="004B0336">
        <w:rPr>
          <w:rFonts w:cs="Arial"/>
          <w:lang w:val="en-GB"/>
        </w:rPr>
        <w:t>Initial Investment: £40m</w:t>
      </w:r>
    </w:p>
    <w:p w14:paraId="02CD9186" w14:textId="77777777" w:rsidR="0062276C" w:rsidRPr="004B0336" w:rsidRDefault="0062276C" w:rsidP="0062276C">
      <w:pPr>
        <w:pStyle w:val="ListParagraph"/>
        <w:numPr>
          <w:ilvl w:val="0"/>
          <w:numId w:val="4"/>
        </w:numPr>
        <w:rPr>
          <w:rFonts w:cs="Arial"/>
          <w:lang w:val="en-GB"/>
        </w:rPr>
      </w:pPr>
      <w:r w:rsidRPr="004B0336">
        <w:rPr>
          <w:rFonts w:cs="Arial"/>
          <w:lang w:val="en-GB"/>
        </w:rPr>
        <w:t>NPV: £1.32m</w:t>
      </w:r>
    </w:p>
    <w:p w14:paraId="23546220" w14:textId="77777777" w:rsidR="0062276C" w:rsidRPr="004B0336" w:rsidRDefault="0062276C" w:rsidP="0062276C">
      <w:pPr>
        <w:pStyle w:val="ListParagraph"/>
        <w:numPr>
          <w:ilvl w:val="0"/>
          <w:numId w:val="4"/>
        </w:numPr>
        <w:rPr>
          <w:rFonts w:cs="Arial"/>
          <w:lang w:val="en-GB"/>
        </w:rPr>
      </w:pPr>
      <w:r w:rsidRPr="004B0336">
        <w:rPr>
          <w:rFonts w:cs="Arial"/>
          <w:lang w:val="en-GB"/>
        </w:rPr>
        <w:t>PI: 1.033</w:t>
      </w:r>
    </w:p>
    <w:p w14:paraId="7745320D" w14:textId="77777777" w:rsidR="0062276C" w:rsidRPr="004B0336" w:rsidRDefault="0062276C" w:rsidP="0062276C">
      <w:pPr>
        <w:pStyle w:val="ListParagraph"/>
        <w:numPr>
          <w:ilvl w:val="0"/>
          <w:numId w:val="4"/>
        </w:numPr>
        <w:rPr>
          <w:rFonts w:cs="Arial"/>
          <w:lang w:val="en-GB"/>
        </w:rPr>
      </w:pPr>
      <w:r w:rsidRPr="004B0336">
        <w:rPr>
          <w:rFonts w:cs="Arial"/>
          <w:lang w:val="en-GB"/>
        </w:rPr>
        <w:t>Payback Period: 3.4 years</w:t>
      </w:r>
    </w:p>
    <w:p w14:paraId="349E180E" w14:textId="77777777" w:rsidR="0062276C" w:rsidRPr="004B0336" w:rsidRDefault="0062276C" w:rsidP="0062276C">
      <w:pPr>
        <w:pStyle w:val="ListParagraph"/>
        <w:numPr>
          <w:ilvl w:val="0"/>
          <w:numId w:val="4"/>
        </w:numPr>
        <w:rPr>
          <w:rFonts w:cs="Arial"/>
          <w:lang w:val="en-GB"/>
        </w:rPr>
      </w:pPr>
      <w:r w:rsidRPr="004B0336">
        <w:rPr>
          <w:rFonts w:cs="Arial"/>
          <w:lang w:val="en-GB"/>
        </w:rPr>
        <w:t>IRR: 11.55%</w:t>
      </w:r>
    </w:p>
    <w:p w14:paraId="300DAA54" w14:textId="77777777" w:rsidR="0062276C" w:rsidRPr="004B0336" w:rsidRDefault="0062276C" w:rsidP="0062276C">
      <w:pPr>
        <w:rPr>
          <w:rFonts w:cs="Arial"/>
          <w:b/>
          <w:i/>
          <w:lang w:val="en-GB"/>
        </w:rPr>
      </w:pPr>
      <w:r w:rsidRPr="004B0336">
        <w:rPr>
          <w:rFonts w:cs="Arial"/>
          <w:b/>
          <w:i/>
          <w:lang w:val="en-GB"/>
        </w:rPr>
        <w:t>Project B</w:t>
      </w:r>
    </w:p>
    <w:p w14:paraId="174C18CF" w14:textId="77777777" w:rsidR="0062276C" w:rsidRPr="004B0336" w:rsidRDefault="0062276C" w:rsidP="0062276C">
      <w:pPr>
        <w:pStyle w:val="ListParagraph"/>
        <w:numPr>
          <w:ilvl w:val="0"/>
          <w:numId w:val="5"/>
        </w:numPr>
        <w:rPr>
          <w:rFonts w:cs="Arial"/>
          <w:lang w:val="en-GB"/>
        </w:rPr>
      </w:pPr>
      <w:r w:rsidRPr="004B0336">
        <w:rPr>
          <w:rFonts w:cs="Arial"/>
          <w:lang w:val="en-GB"/>
        </w:rPr>
        <w:t>Initial Investment: £30m</w:t>
      </w:r>
    </w:p>
    <w:p w14:paraId="5D606AD4" w14:textId="77777777" w:rsidR="0062276C" w:rsidRPr="004B0336" w:rsidRDefault="0062276C" w:rsidP="0062276C">
      <w:pPr>
        <w:pStyle w:val="ListParagraph"/>
        <w:numPr>
          <w:ilvl w:val="0"/>
          <w:numId w:val="5"/>
        </w:numPr>
        <w:rPr>
          <w:rFonts w:cs="Arial"/>
          <w:lang w:val="en-GB"/>
        </w:rPr>
      </w:pPr>
      <w:r w:rsidRPr="004B0336">
        <w:rPr>
          <w:rFonts w:cs="Arial"/>
          <w:lang w:val="en-GB"/>
        </w:rPr>
        <w:t>NPV: –£7.26m</w:t>
      </w:r>
    </w:p>
    <w:p w14:paraId="56EF389B" w14:textId="77777777" w:rsidR="0062276C" w:rsidRPr="004B0336" w:rsidRDefault="0062276C" w:rsidP="0062276C">
      <w:pPr>
        <w:pStyle w:val="ListParagraph"/>
        <w:numPr>
          <w:ilvl w:val="0"/>
          <w:numId w:val="5"/>
        </w:numPr>
        <w:rPr>
          <w:rFonts w:cs="Arial"/>
          <w:lang w:val="en-GB"/>
        </w:rPr>
      </w:pPr>
      <w:r w:rsidRPr="004B0336">
        <w:rPr>
          <w:rFonts w:cs="Arial"/>
          <w:lang w:val="en-GB"/>
        </w:rPr>
        <w:t>PI: 0.758</w:t>
      </w:r>
    </w:p>
    <w:p w14:paraId="325B7A3C" w14:textId="77777777" w:rsidR="0062276C" w:rsidRPr="004B0336" w:rsidRDefault="0062276C" w:rsidP="0062276C">
      <w:pPr>
        <w:pStyle w:val="ListParagraph"/>
        <w:numPr>
          <w:ilvl w:val="0"/>
          <w:numId w:val="5"/>
        </w:numPr>
        <w:rPr>
          <w:rFonts w:cs="Arial"/>
          <w:lang w:val="en-GB"/>
        </w:rPr>
      </w:pPr>
      <w:r w:rsidRPr="004B0336">
        <w:rPr>
          <w:rFonts w:cs="Arial"/>
          <w:lang w:val="en-GB"/>
        </w:rPr>
        <w:t>IRR: 0%</w:t>
      </w:r>
    </w:p>
    <w:p w14:paraId="7A6D2729" w14:textId="77777777" w:rsidR="0062276C" w:rsidRPr="004B0336" w:rsidRDefault="0062276C" w:rsidP="0062276C">
      <w:pPr>
        <w:rPr>
          <w:rFonts w:cs="Arial"/>
          <w:b/>
          <w:i/>
          <w:lang w:val="en-GB"/>
        </w:rPr>
      </w:pPr>
      <w:r w:rsidRPr="004B0336">
        <w:rPr>
          <w:rFonts w:cs="Arial"/>
          <w:b/>
          <w:i/>
          <w:lang w:val="en-GB"/>
        </w:rPr>
        <w:t>Project C</w:t>
      </w:r>
    </w:p>
    <w:p w14:paraId="48844827" w14:textId="77777777" w:rsidR="0062276C" w:rsidRPr="004B0336" w:rsidRDefault="0062276C" w:rsidP="0062276C">
      <w:pPr>
        <w:pStyle w:val="ListParagraph"/>
        <w:numPr>
          <w:ilvl w:val="0"/>
          <w:numId w:val="6"/>
        </w:numPr>
        <w:rPr>
          <w:rFonts w:cs="Arial"/>
          <w:lang w:val="en-GB"/>
        </w:rPr>
      </w:pPr>
      <w:r w:rsidRPr="004B0336">
        <w:rPr>
          <w:rFonts w:cs="Arial"/>
          <w:lang w:val="en-GB"/>
        </w:rPr>
        <w:t>Initial Investment: £50m</w:t>
      </w:r>
    </w:p>
    <w:p w14:paraId="15D0EE8A" w14:textId="77777777" w:rsidR="0062276C" w:rsidRPr="004B0336" w:rsidRDefault="0062276C" w:rsidP="0062276C">
      <w:pPr>
        <w:pStyle w:val="ListParagraph"/>
        <w:numPr>
          <w:ilvl w:val="0"/>
          <w:numId w:val="6"/>
        </w:numPr>
        <w:rPr>
          <w:rFonts w:cs="Arial"/>
          <w:lang w:val="en-GB"/>
        </w:rPr>
      </w:pPr>
      <w:r w:rsidRPr="004B0336">
        <w:rPr>
          <w:rFonts w:cs="Arial"/>
          <w:lang w:val="en-GB"/>
        </w:rPr>
        <w:t>NPV: £4.23m</w:t>
      </w:r>
    </w:p>
    <w:p w14:paraId="0B5BECF7" w14:textId="77777777" w:rsidR="0062276C" w:rsidRPr="004B0336" w:rsidRDefault="0062276C" w:rsidP="0062276C">
      <w:pPr>
        <w:pStyle w:val="ListParagraph"/>
        <w:numPr>
          <w:ilvl w:val="0"/>
          <w:numId w:val="6"/>
        </w:numPr>
        <w:rPr>
          <w:rFonts w:cs="Arial"/>
          <w:lang w:val="en-GB"/>
        </w:rPr>
      </w:pPr>
      <w:r w:rsidRPr="004B0336">
        <w:rPr>
          <w:rFonts w:cs="Arial"/>
          <w:lang w:val="en-GB"/>
        </w:rPr>
        <w:t>PI: 1.084</w:t>
      </w:r>
    </w:p>
    <w:p w14:paraId="609E887C" w14:textId="77777777" w:rsidR="0062276C" w:rsidRPr="004B0336" w:rsidRDefault="0062276C" w:rsidP="0062276C">
      <w:pPr>
        <w:pStyle w:val="ListParagraph"/>
        <w:numPr>
          <w:ilvl w:val="0"/>
          <w:numId w:val="6"/>
        </w:numPr>
        <w:rPr>
          <w:rFonts w:cs="Arial"/>
          <w:lang w:val="en-GB"/>
        </w:rPr>
      </w:pPr>
      <w:r w:rsidRPr="004B0336">
        <w:rPr>
          <w:rFonts w:cs="Arial"/>
          <w:lang w:val="en-GB"/>
        </w:rPr>
        <w:t>Payback Period: 3.6 years</w:t>
      </w:r>
    </w:p>
    <w:p w14:paraId="3CE6E533" w14:textId="77777777" w:rsidR="0062276C" w:rsidRPr="004B0336" w:rsidRDefault="0062276C" w:rsidP="0062276C">
      <w:pPr>
        <w:pStyle w:val="ListParagraph"/>
        <w:numPr>
          <w:ilvl w:val="0"/>
          <w:numId w:val="6"/>
        </w:numPr>
        <w:rPr>
          <w:rFonts w:cs="Arial"/>
          <w:lang w:val="en-GB"/>
        </w:rPr>
      </w:pPr>
      <w:r w:rsidRPr="004B0336">
        <w:rPr>
          <w:rFonts w:cs="Arial"/>
          <w:lang w:val="en-GB"/>
        </w:rPr>
        <w:t>IRR: 13.14%</w:t>
      </w:r>
    </w:p>
    <w:p w14:paraId="00F39B71" w14:textId="77777777" w:rsidR="0062276C" w:rsidRPr="004B0336" w:rsidRDefault="0062276C" w:rsidP="0062276C">
      <w:pPr>
        <w:rPr>
          <w:rFonts w:cs="Arial"/>
          <w:b/>
          <w:i/>
          <w:lang w:val="en-GB"/>
        </w:rPr>
      </w:pPr>
      <w:r w:rsidRPr="004B0336">
        <w:rPr>
          <w:rFonts w:cs="Arial"/>
          <w:b/>
          <w:i/>
          <w:lang w:val="en-GB"/>
        </w:rPr>
        <w:t>Regarding the investment limit, the possible feasible combinations are:</w:t>
      </w:r>
    </w:p>
    <w:p w14:paraId="1C9EDD39" w14:textId="77777777" w:rsidR="0062276C" w:rsidRPr="004B0336" w:rsidRDefault="0062276C" w:rsidP="0062276C">
      <w:pPr>
        <w:pStyle w:val="ListParagraph"/>
        <w:numPr>
          <w:ilvl w:val="0"/>
          <w:numId w:val="7"/>
        </w:numPr>
        <w:rPr>
          <w:rFonts w:cs="Arial"/>
          <w:lang w:val="en-GB"/>
        </w:rPr>
      </w:pPr>
      <w:r w:rsidRPr="004B0336">
        <w:rPr>
          <w:rFonts w:cs="Arial"/>
          <w:lang w:val="en-GB"/>
        </w:rPr>
        <w:t>Project A alone (£40m) → NPV = £1.32m</w:t>
      </w:r>
    </w:p>
    <w:p w14:paraId="15999CC4" w14:textId="77777777" w:rsidR="0062276C" w:rsidRPr="004B0336" w:rsidRDefault="0062276C" w:rsidP="0062276C">
      <w:pPr>
        <w:pStyle w:val="ListParagraph"/>
        <w:numPr>
          <w:ilvl w:val="0"/>
          <w:numId w:val="7"/>
        </w:numPr>
        <w:rPr>
          <w:rFonts w:cs="Arial"/>
          <w:lang w:val="en-GB"/>
        </w:rPr>
      </w:pPr>
      <w:r w:rsidRPr="004B0336">
        <w:rPr>
          <w:rFonts w:cs="Arial"/>
          <w:lang w:val="en-GB"/>
        </w:rPr>
        <w:t>Project B alone (£30m) → NPV = –£7.26m</w:t>
      </w:r>
    </w:p>
    <w:p w14:paraId="411FCE01" w14:textId="77777777" w:rsidR="0062276C" w:rsidRPr="004B0336" w:rsidRDefault="0062276C" w:rsidP="0062276C">
      <w:pPr>
        <w:pStyle w:val="ListParagraph"/>
        <w:numPr>
          <w:ilvl w:val="0"/>
          <w:numId w:val="7"/>
        </w:numPr>
        <w:rPr>
          <w:rFonts w:cs="Arial"/>
          <w:lang w:val="en-GB"/>
        </w:rPr>
      </w:pPr>
      <w:r w:rsidRPr="004B0336">
        <w:rPr>
          <w:rFonts w:cs="Arial"/>
          <w:lang w:val="en-GB"/>
        </w:rPr>
        <w:t>Project C alone (£50m) → NPV = £4.23m</w:t>
      </w:r>
    </w:p>
    <w:p w14:paraId="7C2EC06F" w14:textId="77777777" w:rsidR="0062276C" w:rsidRPr="004B0336" w:rsidRDefault="0062276C" w:rsidP="0062276C">
      <w:pPr>
        <w:pStyle w:val="ListParagraph"/>
        <w:numPr>
          <w:ilvl w:val="0"/>
          <w:numId w:val="7"/>
        </w:numPr>
        <w:rPr>
          <w:rFonts w:cs="Arial"/>
          <w:lang w:val="en-GB"/>
        </w:rPr>
      </w:pPr>
      <w:r w:rsidRPr="004B0336">
        <w:rPr>
          <w:rFonts w:cs="Arial"/>
          <w:lang w:val="en-GB"/>
        </w:rPr>
        <w:t>A + B or B + C → Exceeds £60m limit</w:t>
      </w:r>
    </w:p>
    <w:p w14:paraId="2899502C" w14:textId="77777777" w:rsidR="0062276C" w:rsidRPr="004B0336" w:rsidRDefault="0062276C" w:rsidP="0062276C">
      <w:pPr>
        <w:pStyle w:val="ListParagraph"/>
        <w:numPr>
          <w:ilvl w:val="0"/>
          <w:numId w:val="7"/>
        </w:numPr>
        <w:rPr>
          <w:rFonts w:cs="Arial"/>
          <w:lang w:val="en-GB"/>
        </w:rPr>
      </w:pPr>
      <w:r w:rsidRPr="004B0336">
        <w:rPr>
          <w:rFonts w:cs="Arial"/>
          <w:lang w:val="en-GB"/>
        </w:rPr>
        <w:t xml:space="preserve">A + C → Exceeds £60m limit  </w:t>
      </w:r>
    </w:p>
    <w:p w14:paraId="1CA5668D" w14:textId="77777777" w:rsidR="0062276C" w:rsidRPr="004B0336" w:rsidRDefault="0062276C" w:rsidP="0062276C">
      <w:pPr>
        <w:rPr>
          <w:rFonts w:cs="Arial"/>
          <w:lang w:val="en-GB"/>
        </w:rPr>
      </w:pPr>
      <w:r w:rsidRPr="004B0336">
        <w:rPr>
          <w:rFonts w:cs="Arial"/>
          <w:lang w:val="en-GB"/>
        </w:rPr>
        <w:t xml:space="preserve">Based on the capital rationing point-of-view, Project C can be noted as the optimal selection. This delivers as the highest absolute NPV or £4.23 million and highest profitability Index of 1.084, which refers that it can generate greatest value per “£1” of investment. This ensures a superior capital efficiency including stronger shareholder value creation in compared to the alternatives. </w:t>
      </w:r>
    </w:p>
    <w:p w14:paraId="105BFC67" w14:textId="77777777" w:rsidR="0062276C" w:rsidRPr="004B0336" w:rsidRDefault="0062276C" w:rsidP="0062276C">
      <w:pPr>
        <w:rPr>
          <w:rFonts w:cs="Arial"/>
          <w:lang w:val="en-GB"/>
        </w:rPr>
      </w:pPr>
      <w:r w:rsidRPr="004B0336">
        <w:rPr>
          <w:rFonts w:cs="Arial"/>
          <w:lang w:val="en-GB"/>
        </w:rPr>
        <w:t xml:space="preserve">Project B need to be rejected as it destroys the shareholder value with negative NPV and a “P1” below of “1”. Project A is profitable and produces lower value in compared to the project C and fails to maximise the value under the capital constraints. Even though £10 million remains as non-utilised after making the selection of </w:t>
      </w:r>
      <w:r w:rsidRPr="004B0336">
        <w:rPr>
          <w:rFonts w:cs="Arial"/>
          <w:b/>
          <w:i/>
          <w:lang w:val="en-GB"/>
        </w:rPr>
        <w:t>project C</w:t>
      </w:r>
      <w:r w:rsidRPr="004B0336">
        <w:rPr>
          <w:rFonts w:cs="Arial"/>
          <w:lang w:val="en-GB"/>
        </w:rPr>
        <w:t xml:space="preserve">, allocating the funds to the negative NPV project can contradict the principles of value maximisation.                 </w:t>
      </w:r>
    </w:p>
    <w:p w14:paraId="33EEB257" w14:textId="18F0E3C7" w:rsidR="0062276C" w:rsidRPr="004B0336" w:rsidRDefault="00D05AEF" w:rsidP="003137CE">
      <w:pPr>
        <w:pStyle w:val="Heading2"/>
        <w:rPr>
          <w:lang w:val="en-GB"/>
        </w:rPr>
      </w:pPr>
      <w:bookmarkStart w:id="18" w:name="_Toc214898917"/>
      <w:r w:rsidRPr="004B0336">
        <w:rPr>
          <w:lang w:val="en-GB"/>
        </w:rPr>
        <w:t>4.3</w:t>
      </w:r>
      <w:r w:rsidR="0062276C" w:rsidRPr="004B0336">
        <w:rPr>
          <w:lang w:val="en-GB"/>
        </w:rPr>
        <w:t xml:space="preserve"> Justification and final investment recommendation</w:t>
      </w:r>
      <w:bookmarkEnd w:id="18"/>
      <w:r w:rsidR="0062276C" w:rsidRPr="004B0336">
        <w:rPr>
          <w:lang w:val="en-GB"/>
        </w:rPr>
        <w:t xml:space="preserve"> </w:t>
      </w:r>
    </w:p>
    <w:p w14:paraId="673C92EA" w14:textId="77777777" w:rsidR="0062276C" w:rsidRPr="004B0336" w:rsidRDefault="0062276C" w:rsidP="0062276C">
      <w:pPr>
        <w:rPr>
          <w:rFonts w:cs="Arial"/>
          <w:lang w:val="en-GB"/>
        </w:rPr>
      </w:pPr>
      <w:r w:rsidRPr="004B0336">
        <w:rPr>
          <w:rFonts w:cs="Arial"/>
          <w:lang w:val="en-GB"/>
        </w:rPr>
        <w:t xml:space="preserve">The decision of proceeding only with Project C under the £60 million of capital rationing constraint is strong justified when being aligned with General Electronics’ current financial performance and exposure of the risks. </w:t>
      </w:r>
    </w:p>
    <w:p w14:paraId="19DCF6A6" w14:textId="3CFCC204" w:rsidR="0062276C" w:rsidRPr="004B0336" w:rsidRDefault="0062276C" w:rsidP="0062276C">
      <w:pPr>
        <w:rPr>
          <w:rFonts w:cs="Arial"/>
          <w:lang w:val="en-GB"/>
        </w:rPr>
      </w:pPr>
      <w:r w:rsidRPr="004B0336">
        <w:rPr>
          <w:rFonts w:cs="Arial"/>
          <w:lang w:val="en-GB"/>
        </w:rPr>
        <w:t xml:space="preserve">On the first hand, the organisations profitability </w:t>
      </w:r>
      <w:r w:rsidR="008C6026" w:rsidRPr="004B0336">
        <w:rPr>
          <w:rFonts w:cs="Arial"/>
          <w:lang w:val="en-GB"/>
        </w:rPr>
        <w:t>position</w:t>
      </w:r>
      <w:r w:rsidRPr="004B0336">
        <w:rPr>
          <w:rFonts w:cs="Arial"/>
          <w:lang w:val="en-GB"/>
        </w:rPr>
        <w:t xml:space="preserve"> has been weakened. Over the last two financial years, the GE has reported a heavier loss, including negative net profit margins, and declination of the ROA and ROE. This addressed that, the internal funds are under pressure and shareholder’s value has been eroded. In such cases, the organisation cannot afford to make investment in the low-return or marginal projects. Project C also offers highest Net present value (£4.23 million) and highest IRR or 13.14%, which refers that it contributes to the future profitability and assists in recreating the confidence of the investors. In contrast to that, Project A generates a smaller NPV (£1.32</w:t>
      </w:r>
      <w:r w:rsidR="0032475D" w:rsidRPr="004B0336">
        <w:rPr>
          <w:rFonts w:cs="Arial"/>
          <w:lang w:val="en-GB"/>
        </w:rPr>
        <w:t xml:space="preserve"> </w:t>
      </w:r>
      <w:r w:rsidRPr="004B0336">
        <w:rPr>
          <w:rFonts w:cs="Arial"/>
          <w:lang w:val="en-GB"/>
        </w:rPr>
        <w:t xml:space="preserve">million) which might not be sufficient to create an impact on the firm’s performances, while Project B has destroyed the negative NPV. </w:t>
      </w:r>
    </w:p>
    <w:p w14:paraId="3831D41D" w14:textId="4CEEF766" w:rsidR="0062276C" w:rsidRPr="004B0336" w:rsidRDefault="0062276C" w:rsidP="0062276C">
      <w:pPr>
        <w:rPr>
          <w:rFonts w:cs="Arial"/>
          <w:lang w:val="en-GB"/>
        </w:rPr>
      </w:pPr>
      <w:r w:rsidRPr="004B0336">
        <w:rPr>
          <w:rFonts w:cs="Arial"/>
          <w:lang w:val="en-GB"/>
        </w:rPr>
        <w:t>On the other hand, from the liquidity perspective, GE already faces a cash flow pressure as addressed by the low operating cash ratio of 0.09, and declining cash reserves. On this note, it needs to prioritise the project that can generate stronger and faster cash inflow. Even though Project C needs a larger initial investment or £50 million as it generates a higher cash inflow during the later years.</w:t>
      </w:r>
    </w:p>
    <w:p w14:paraId="45B81AEA" w14:textId="77777777" w:rsidR="003137CE" w:rsidRPr="004B0336" w:rsidRDefault="003137CE" w:rsidP="003137CE">
      <w:pPr>
        <w:pStyle w:val="Heading1"/>
        <w:rPr>
          <w:lang w:val="en-GB"/>
        </w:rPr>
      </w:pPr>
      <w:bookmarkStart w:id="19" w:name="_Toc214898918"/>
      <w:r w:rsidRPr="004B0336">
        <w:rPr>
          <w:lang w:val="en-GB"/>
        </w:rPr>
        <w:t>Conclusion</w:t>
      </w:r>
      <w:bookmarkEnd w:id="19"/>
      <w:r w:rsidRPr="004B0336">
        <w:rPr>
          <w:lang w:val="en-GB"/>
        </w:rPr>
        <w:t xml:space="preserve">   </w:t>
      </w:r>
    </w:p>
    <w:p w14:paraId="42ED6BE8" w14:textId="77777777" w:rsidR="003137CE" w:rsidRPr="004B0336" w:rsidRDefault="003137CE" w:rsidP="003137CE">
      <w:pPr>
        <w:rPr>
          <w:rFonts w:cs="Arial"/>
          <w:lang w:val="en-GB"/>
        </w:rPr>
      </w:pPr>
      <w:r w:rsidRPr="004B0336">
        <w:rPr>
          <w:rFonts w:cs="Arial"/>
          <w:lang w:val="en-GB"/>
        </w:rPr>
        <w:t xml:space="preserve">The GE faces a declining profitability, increasing leverage and weakening liquidity, for making the disciplined allocation of capital as a critical component. The financial analysis and Altman Z-score confirms a moderate default risk, while reinforcing the need for having high-value investment. Under the capital rationing, project C has provided the strongest justification due to the superior NPV, IRR and profitability Index. </w:t>
      </w:r>
    </w:p>
    <w:p w14:paraId="53C4F356" w14:textId="77777777" w:rsidR="003137CE" w:rsidRPr="004B0336" w:rsidRDefault="003137CE" w:rsidP="0062276C">
      <w:pPr>
        <w:rPr>
          <w:rFonts w:cs="Arial"/>
          <w:lang w:val="en-GB"/>
        </w:rPr>
      </w:pPr>
    </w:p>
    <w:p w14:paraId="4BFB4B87" w14:textId="77777777" w:rsidR="003137CE" w:rsidRPr="004B0336" w:rsidRDefault="003137CE">
      <w:pPr>
        <w:spacing w:line="259" w:lineRule="auto"/>
        <w:jc w:val="left"/>
        <w:rPr>
          <w:rFonts w:cs="Arial"/>
          <w:b/>
          <w:bCs/>
          <w:sz w:val="28"/>
          <w:szCs w:val="28"/>
          <w:lang w:val="en-GB"/>
        </w:rPr>
      </w:pPr>
      <w:r w:rsidRPr="004B0336">
        <w:rPr>
          <w:rFonts w:cs="Arial"/>
          <w:lang w:val="en-GB"/>
        </w:rPr>
        <w:br w:type="page"/>
      </w:r>
    </w:p>
    <w:p w14:paraId="1A0BB80A" w14:textId="23DF6390" w:rsidR="00EF7A8D" w:rsidRPr="004B0336" w:rsidRDefault="00EF7A8D" w:rsidP="003137CE">
      <w:pPr>
        <w:pStyle w:val="Heading1"/>
        <w:rPr>
          <w:lang w:val="en-GB"/>
        </w:rPr>
      </w:pPr>
      <w:bookmarkStart w:id="20" w:name="_Toc214898919"/>
      <w:r w:rsidRPr="004B0336">
        <w:rPr>
          <w:lang w:val="en-GB"/>
        </w:rPr>
        <w:t>Reference List</w:t>
      </w:r>
      <w:bookmarkEnd w:id="20"/>
      <w:r w:rsidRPr="004B0336">
        <w:rPr>
          <w:lang w:val="en-GB"/>
        </w:rPr>
        <w:t xml:space="preserve"> </w:t>
      </w:r>
    </w:p>
    <w:p w14:paraId="71A11EE5" w14:textId="77777777" w:rsidR="003137CE" w:rsidRPr="004B0336" w:rsidRDefault="003137CE" w:rsidP="0032475D">
      <w:pPr>
        <w:rPr>
          <w:lang w:val="en-GB"/>
        </w:rPr>
      </w:pPr>
      <w:r w:rsidRPr="004B0336">
        <w:rPr>
          <w:lang w:val="en-GB"/>
        </w:rPr>
        <w:t>Almansour, A.Y., ALZOUBI, H.M., ALMANSOUR, B.Y. and ALMANSOUR, Y.M. (2021) ‘The effect of inflation on performance: an empirical investigation on the banking sector in Jordan’, </w:t>
      </w:r>
      <w:r w:rsidRPr="004B0336">
        <w:rPr>
          <w:i/>
          <w:iCs/>
          <w:lang w:val="en-GB"/>
        </w:rPr>
        <w:t>The Journal of Asian Finance, Economics and Business</w:t>
      </w:r>
      <w:r w:rsidRPr="004B0336">
        <w:rPr>
          <w:lang w:val="en-GB"/>
        </w:rPr>
        <w:t>, </w:t>
      </w:r>
      <w:r w:rsidRPr="004B0336">
        <w:rPr>
          <w:i/>
          <w:iCs/>
          <w:lang w:val="en-GB"/>
        </w:rPr>
        <w:t>8</w:t>
      </w:r>
      <w:r w:rsidRPr="004B0336">
        <w:rPr>
          <w:lang w:val="en-GB"/>
        </w:rPr>
        <w:t xml:space="preserve">(6), pp.97-102. Available at: doi:10.13106/jafeb.2021.vol8.no6.0097 </w:t>
      </w:r>
    </w:p>
    <w:p w14:paraId="4D2B2483" w14:textId="77777777" w:rsidR="003137CE" w:rsidRPr="004B0336" w:rsidRDefault="003137CE" w:rsidP="0032475D">
      <w:pPr>
        <w:rPr>
          <w:lang w:val="en-GB"/>
        </w:rPr>
      </w:pPr>
      <w:r w:rsidRPr="004B0336">
        <w:rPr>
          <w:lang w:val="en-GB"/>
        </w:rPr>
        <w:t xml:space="preserve">Asman, F.N., Fernandez, D., Jamaludin, N.A., Omar Zaki, H. and Ghazali, A.W. (2022) ‘Cash conversion cycle and firm’s performance’, </w:t>
      </w:r>
      <w:r w:rsidRPr="004B0336">
        <w:rPr>
          <w:i/>
          <w:iCs/>
          <w:lang w:val="en-GB"/>
        </w:rPr>
        <w:t>International Journal of Academic Research in Business and Social Sciences</w:t>
      </w:r>
      <w:r w:rsidRPr="004B0336">
        <w:rPr>
          <w:lang w:val="en-GB"/>
        </w:rPr>
        <w:t>, </w:t>
      </w:r>
      <w:r w:rsidRPr="004B0336">
        <w:rPr>
          <w:i/>
          <w:iCs/>
          <w:lang w:val="en-GB"/>
        </w:rPr>
        <w:t>12</w:t>
      </w:r>
      <w:r w:rsidRPr="004B0336">
        <w:rPr>
          <w:lang w:val="en-GB"/>
        </w:rPr>
        <w:t xml:space="preserve">(11), pp.2682-2692. Available at: </w:t>
      </w:r>
      <w:hyperlink r:id="rId11" w:history="1">
        <w:r w:rsidRPr="004B0336">
          <w:rPr>
            <w:rStyle w:val="Hyperlink"/>
            <w:rFonts w:cs="Arial"/>
            <w:lang w:val="en-GB"/>
          </w:rPr>
          <w:t>http://dx.doi.org/10.6007/IJARBSS/v12-i11/15276</w:t>
        </w:r>
      </w:hyperlink>
      <w:r w:rsidRPr="004B0336">
        <w:rPr>
          <w:lang w:val="en-GB"/>
        </w:rPr>
        <w:t xml:space="preserve"> </w:t>
      </w:r>
    </w:p>
    <w:p w14:paraId="0B249008" w14:textId="77777777" w:rsidR="003137CE" w:rsidRPr="004B0336" w:rsidRDefault="003137CE" w:rsidP="0032475D">
      <w:pPr>
        <w:rPr>
          <w:lang w:val="en-GB"/>
        </w:rPr>
      </w:pPr>
      <w:r w:rsidRPr="004B0336">
        <w:rPr>
          <w:lang w:val="en-GB"/>
        </w:rPr>
        <w:t xml:space="preserve">Ayodi, C., Otsyulah, J. and Kiganda, E. (2022) ‘Payables management and financial value of commercial banks in Kenya’, </w:t>
      </w:r>
      <w:r w:rsidRPr="004B0336">
        <w:rPr>
          <w:i/>
          <w:iCs/>
          <w:lang w:val="en-GB"/>
        </w:rPr>
        <w:t>European Journal of Economic and Financial Research</w:t>
      </w:r>
      <w:r w:rsidRPr="004B0336">
        <w:rPr>
          <w:lang w:val="en-GB"/>
        </w:rPr>
        <w:t>, </w:t>
      </w:r>
      <w:r w:rsidRPr="004B0336">
        <w:rPr>
          <w:i/>
          <w:iCs/>
          <w:lang w:val="en-GB"/>
        </w:rPr>
        <w:t>6</w:t>
      </w:r>
      <w:r w:rsidRPr="004B0336">
        <w:rPr>
          <w:lang w:val="en-GB"/>
        </w:rPr>
        <w:t xml:space="preserve">(3). Available at: </w:t>
      </w:r>
      <w:hyperlink r:id="rId12" w:history="1">
        <w:r w:rsidRPr="004B0336">
          <w:rPr>
            <w:rStyle w:val="Hyperlink"/>
            <w:rFonts w:cs="Arial"/>
            <w:lang w:val="en-GB"/>
          </w:rPr>
          <w:t>http://dx.doi.org/10.46827/ejefr.v6i3.1346</w:t>
        </w:r>
      </w:hyperlink>
      <w:r w:rsidRPr="004B0336">
        <w:rPr>
          <w:lang w:val="en-GB"/>
        </w:rPr>
        <w:t xml:space="preserve"> </w:t>
      </w:r>
    </w:p>
    <w:p w14:paraId="14B63F9A" w14:textId="77777777" w:rsidR="003137CE" w:rsidRPr="004B0336" w:rsidRDefault="003137CE" w:rsidP="0032475D">
      <w:pPr>
        <w:rPr>
          <w:lang w:val="en-GB"/>
        </w:rPr>
      </w:pPr>
      <w:r w:rsidRPr="004B0336">
        <w:rPr>
          <w:lang w:val="en-GB"/>
        </w:rPr>
        <w:t xml:space="preserve">Commercial Capital (2025) </w:t>
      </w:r>
      <w:r w:rsidRPr="004B0336">
        <w:rPr>
          <w:i/>
          <w:iCs/>
          <w:lang w:val="en-GB"/>
        </w:rPr>
        <w:t>What is an Equity Injection</w:t>
      </w:r>
      <w:r w:rsidRPr="004B0336">
        <w:rPr>
          <w:lang w:val="en-GB"/>
        </w:rPr>
        <w:t xml:space="preserve">?. </w:t>
      </w:r>
      <w:bookmarkStart w:id="21" w:name="_Hlk214890138"/>
      <w:r w:rsidRPr="004B0336">
        <w:rPr>
          <w:lang w:val="en-GB"/>
        </w:rPr>
        <w:t xml:space="preserve">Available at: </w:t>
      </w:r>
      <w:bookmarkEnd w:id="21"/>
      <w:r w:rsidRPr="004B0336">
        <w:rPr>
          <w:lang w:val="en-GB"/>
        </w:rPr>
        <w:fldChar w:fldCharType="begin"/>
      </w:r>
      <w:r w:rsidRPr="004B0336">
        <w:rPr>
          <w:lang w:val="en-GB"/>
        </w:rPr>
        <w:instrText>HYPERLINK "https://comcapfinancial.com/articles/what-is-an-equity-injection/"</w:instrText>
      </w:r>
      <w:r w:rsidRPr="004B0336">
        <w:rPr>
          <w:lang w:val="en-GB"/>
        </w:rPr>
        <w:fldChar w:fldCharType="separate"/>
      </w:r>
      <w:r w:rsidRPr="004B0336">
        <w:rPr>
          <w:rStyle w:val="Hyperlink"/>
          <w:rFonts w:cs="Arial"/>
          <w:lang w:val="en-GB"/>
        </w:rPr>
        <w:t>https://comcapfinancial.com/articles/what-is-an-equity-injection/</w:t>
      </w:r>
      <w:r w:rsidRPr="004B0336">
        <w:rPr>
          <w:lang w:val="en-GB"/>
        </w:rPr>
        <w:fldChar w:fldCharType="end"/>
      </w:r>
      <w:r w:rsidRPr="004B0336">
        <w:rPr>
          <w:lang w:val="en-GB"/>
        </w:rPr>
        <w:t xml:space="preserve"> </w:t>
      </w:r>
      <w:bookmarkStart w:id="22" w:name="_Hlk214890097"/>
      <w:r w:rsidRPr="004B0336">
        <w:rPr>
          <w:lang w:val="en-GB"/>
        </w:rPr>
        <w:t>(Accessed on 22th Nov 2025)</w:t>
      </w:r>
      <w:bookmarkEnd w:id="22"/>
    </w:p>
    <w:p w14:paraId="2EB2AF5E" w14:textId="77777777" w:rsidR="003137CE" w:rsidRPr="004B0336" w:rsidRDefault="003137CE" w:rsidP="0032475D">
      <w:pPr>
        <w:rPr>
          <w:lang w:val="en-GB"/>
        </w:rPr>
      </w:pPr>
      <w:bookmarkStart w:id="23" w:name="_Hlk214841463"/>
      <w:r w:rsidRPr="004B0336">
        <w:rPr>
          <w:lang w:val="en-GB"/>
        </w:rPr>
        <w:t xml:space="preserve">Corporate Finance Institute (2025a) </w:t>
      </w:r>
      <w:bookmarkEnd w:id="23"/>
      <w:r w:rsidRPr="004B0336">
        <w:rPr>
          <w:i/>
          <w:iCs/>
          <w:lang w:val="en-GB"/>
        </w:rPr>
        <w:t>Divestment</w:t>
      </w:r>
      <w:r w:rsidRPr="004B0336">
        <w:rPr>
          <w:lang w:val="en-GB"/>
        </w:rPr>
        <w:t xml:space="preserve">. Available at: </w:t>
      </w:r>
      <w:hyperlink r:id="rId13" w:history="1">
        <w:r w:rsidRPr="004B0336">
          <w:rPr>
            <w:rStyle w:val="Hyperlink"/>
            <w:rFonts w:cs="Arial"/>
            <w:lang w:val="en-GB"/>
          </w:rPr>
          <w:t>https://corporatefinanceinstitute.com/resources/valuation/divestment/</w:t>
        </w:r>
      </w:hyperlink>
      <w:r w:rsidRPr="004B0336">
        <w:rPr>
          <w:lang w:val="en-GB"/>
        </w:rPr>
        <w:t xml:space="preserve"> (Accessed on 22th Nov 2025)</w:t>
      </w:r>
    </w:p>
    <w:p w14:paraId="17FE7A60" w14:textId="77777777" w:rsidR="003137CE" w:rsidRPr="004B0336" w:rsidRDefault="003137CE" w:rsidP="0032475D">
      <w:pPr>
        <w:rPr>
          <w:lang w:val="en-GB"/>
        </w:rPr>
      </w:pPr>
      <w:bookmarkStart w:id="24" w:name="_Hlk214887530"/>
      <w:r w:rsidRPr="004B0336">
        <w:rPr>
          <w:lang w:val="en-GB"/>
        </w:rPr>
        <w:t xml:space="preserve">Corporate Finance Institute (2025b) </w:t>
      </w:r>
      <w:bookmarkEnd w:id="24"/>
      <w:r w:rsidRPr="004B0336">
        <w:rPr>
          <w:i/>
          <w:iCs/>
          <w:lang w:val="en-GB"/>
        </w:rPr>
        <w:t>Net Present Value Rule</w:t>
      </w:r>
      <w:r w:rsidRPr="004B0336">
        <w:rPr>
          <w:lang w:val="en-GB"/>
        </w:rPr>
        <w:t xml:space="preserve">. Available at: </w:t>
      </w:r>
      <w:hyperlink r:id="rId14" w:history="1">
        <w:r w:rsidRPr="004B0336">
          <w:rPr>
            <w:rStyle w:val="Hyperlink"/>
            <w:rFonts w:cs="Arial"/>
            <w:lang w:val="en-GB"/>
          </w:rPr>
          <w:t>https://corporatefinanceinstitute.com/resources/valuation/net-present-value-rule/</w:t>
        </w:r>
      </w:hyperlink>
      <w:r w:rsidRPr="004B0336">
        <w:rPr>
          <w:lang w:val="en-GB"/>
        </w:rPr>
        <w:t xml:space="preserve"> (Accessed on 24th Nov 2025)</w:t>
      </w:r>
    </w:p>
    <w:p w14:paraId="18A96475" w14:textId="77777777" w:rsidR="003137CE" w:rsidRPr="004B0336" w:rsidRDefault="003137CE" w:rsidP="0032475D">
      <w:pPr>
        <w:rPr>
          <w:lang w:val="en-GB"/>
        </w:rPr>
      </w:pPr>
      <w:r w:rsidRPr="004B0336">
        <w:rPr>
          <w:lang w:val="en-GB"/>
        </w:rPr>
        <w:t>Diaz-Iglesias, S., Blanco-Gonzalez, A. and Orden-Cruz, C. (2021) ‘Theoretical framework for sustainability, corporate social responsibility and change management’, </w:t>
      </w:r>
      <w:r w:rsidRPr="004B0336">
        <w:rPr>
          <w:i/>
          <w:iCs/>
          <w:lang w:val="en-GB"/>
        </w:rPr>
        <w:t>J. Sustain. Sci. Manag</w:t>
      </w:r>
      <w:r w:rsidRPr="004B0336">
        <w:rPr>
          <w:lang w:val="en-GB"/>
        </w:rPr>
        <w:t>, </w:t>
      </w:r>
      <w:r w:rsidRPr="004B0336">
        <w:rPr>
          <w:i/>
          <w:iCs/>
          <w:lang w:val="en-GB"/>
        </w:rPr>
        <w:t>16</w:t>
      </w:r>
      <w:r w:rsidRPr="004B0336">
        <w:rPr>
          <w:lang w:val="en-GB"/>
        </w:rPr>
        <w:t xml:space="preserve">, pp.315-332. Available at: </w:t>
      </w:r>
      <w:hyperlink r:id="rId15" w:history="1">
        <w:r w:rsidRPr="004B0336">
          <w:rPr>
            <w:rStyle w:val="Hyperlink"/>
            <w:rFonts w:cs="Arial"/>
            <w:lang w:val="en-GB"/>
          </w:rPr>
          <w:t>http://doi.org/10.46754/jssm.2021.08.025</w:t>
        </w:r>
      </w:hyperlink>
      <w:r w:rsidRPr="004B0336">
        <w:rPr>
          <w:lang w:val="en-GB"/>
        </w:rPr>
        <w:t xml:space="preserve"> </w:t>
      </w:r>
    </w:p>
    <w:p w14:paraId="357F9D18" w14:textId="77777777" w:rsidR="003137CE" w:rsidRPr="004B0336" w:rsidRDefault="003137CE" w:rsidP="0032475D">
      <w:pPr>
        <w:rPr>
          <w:lang w:val="en-GB"/>
        </w:rPr>
      </w:pPr>
      <w:bookmarkStart w:id="25" w:name="_Hlk214888114"/>
      <w:r w:rsidRPr="004B0336">
        <w:rPr>
          <w:lang w:val="en-GB"/>
        </w:rPr>
        <w:t xml:space="preserve">EBC (2025) </w:t>
      </w:r>
      <w:bookmarkEnd w:id="25"/>
      <w:r w:rsidRPr="004B0336">
        <w:rPr>
          <w:i/>
          <w:iCs/>
          <w:lang w:val="en-GB"/>
        </w:rPr>
        <w:t>Profitability Index: How to Measure Investment</w:t>
      </w:r>
      <w:r w:rsidRPr="004B0336">
        <w:rPr>
          <w:lang w:val="en-GB"/>
        </w:rPr>
        <w:t xml:space="preserve"> </w:t>
      </w:r>
      <w:r w:rsidRPr="004B0336">
        <w:rPr>
          <w:i/>
          <w:iCs/>
          <w:lang w:val="en-GB"/>
        </w:rPr>
        <w:t>Potential</w:t>
      </w:r>
      <w:r w:rsidRPr="004B0336">
        <w:rPr>
          <w:lang w:val="en-GB"/>
        </w:rPr>
        <w:t xml:space="preserve">. Available at: </w:t>
      </w:r>
      <w:hyperlink r:id="rId16" w:history="1">
        <w:r w:rsidRPr="004B0336">
          <w:rPr>
            <w:rStyle w:val="Hyperlink"/>
            <w:rFonts w:cs="Arial"/>
            <w:lang w:val="en-GB"/>
          </w:rPr>
          <w:t>https://www.ebc.com/forex/profitability-index-how-to-measure-investment-potential</w:t>
        </w:r>
      </w:hyperlink>
      <w:r w:rsidRPr="004B0336">
        <w:rPr>
          <w:lang w:val="en-GB"/>
        </w:rPr>
        <w:t xml:space="preserve"> (Accessed on 24th Nov 2025)</w:t>
      </w:r>
    </w:p>
    <w:p w14:paraId="7BBA6B38" w14:textId="77777777" w:rsidR="003137CE" w:rsidRPr="004B0336" w:rsidRDefault="003137CE" w:rsidP="0032475D">
      <w:pPr>
        <w:rPr>
          <w:lang w:val="en-GB"/>
        </w:rPr>
      </w:pPr>
      <w:bookmarkStart w:id="26" w:name="_Hlk214840693"/>
      <w:r w:rsidRPr="004B0336">
        <w:rPr>
          <w:lang w:val="en-GB"/>
        </w:rPr>
        <w:t xml:space="preserve">FM Trust (2022) </w:t>
      </w:r>
      <w:bookmarkEnd w:id="26"/>
      <w:r w:rsidRPr="004B0336">
        <w:rPr>
          <w:i/>
          <w:iCs/>
          <w:lang w:val="en-GB"/>
        </w:rPr>
        <w:t>Is Short-term or Long-term Financing Best for Your Business?</w:t>
      </w:r>
      <w:r w:rsidRPr="004B0336">
        <w:rPr>
          <w:lang w:val="en-GB"/>
        </w:rPr>
        <w:t xml:space="preserve"> Available at: </w:t>
      </w:r>
      <w:hyperlink r:id="rId17" w:history="1">
        <w:r w:rsidRPr="004B0336">
          <w:rPr>
            <w:rStyle w:val="Hyperlink"/>
            <w:rFonts w:cs="Arial"/>
            <w:lang w:val="en-GB"/>
          </w:rPr>
          <w:t>https://fmtrust.bank/money-moves-article/is-short-term-or-long-term-financing-best-for-your-business/</w:t>
        </w:r>
      </w:hyperlink>
      <w:r w:rsidRPr="004B0336">
        <w:rPr>
          <w:lang w:val="en-GB"/>
        </w:rPr>
        <w:t xml:space="preserve"> (Accessed on 22th Nov 2025)</w:t>
      </w:r>
    </w:p>
    <w:p w14:paraId="39B04AD1" w14:textId="2E64964B" w:rsidR="003137CE" w:rsidRPr="004B0336" w:rsidRDefault="003137CE" w:rsidP="0032475D">
      <w:pPr>
        <w:rPr>
          <w:lang w:val="en-GB"/>
        </w:rPr>
      </w:pPr>
      <w:r w:rsidRPr="004B0336">
        <w:rPr>
          <w:lang w:val="en-GB"/>
        </w:rPr>
        <w:t xml:space="preserve">GE (2023) </w:t>
      </w:r>
      <w:r w:rsidRPr="004B0336">
        <w:rPr>
          <w:i/>
          <w:lang w:val="en-GB"/>
        </w:rPr>
        <w:t>2023 ANNUAL REPORT</w:t>
      </w:r>
      <w:r w:rsidRPr="004B0336">
        <w:rPr>
          <w:lang w:val="en-GB"/>
        </w:rPr>
        <w:t xml:space="preserve">. Available at: </w:t>
      </w:r>
      <w:hyperlink r:id="rId18" w:history="1">
        <w:r w:rsidRPr="004B0336">
          <w:rPr>
            <w:rStyle w:val="Hyperlink"/>
            <w:rFonts w:cs="Arial"/>
            <w:lang w:val="en-GB"/>
          </w:rPr>
          <w:t>https://www.ge.com/news/reports/tag/Annual%20Report</w:t>
        </w:r>
      </w:hyperlink>
      <w:r w:rsidRPr="004B0336">
        <w:rPr>
          <w:lang w:val="en-GB"/>
        </w:rPr>
        <w:t xml:space="preserve"> (Accessed on 22nd Nov 2025)</w:t>
      </w:r>
    </w:p>
    <w:p w14:paraId="3B32F6FD" w14:textId="77777777" w:rsidR="003137CE" w:rsidRPr="004B0336" w:rsidRDefault="003137CE" w:rsidP="0032475D">
      <w:pPr>
        <w:rPr>
          <w:lang w:val="en-GB"/>
        </w:rPr>
      </w:pPr>
      <w:bookmarkStart w:id="27" w:name="_Hlk214842589"/>
      <w:r w:rsidRPr="004B0336">
        <w:rPr>
          <w:lang w:val="en-GB"/>
        </w:rPr>
        <w:t xml:space="preserve">Guardian Advisory (2025) </w:t>
      </w:r>
      <w:bookmarkEnd w:id="27"/>
      <w:r w:rsidRPr="004B0336">
        <w:rPr>
          <w:i/>
          <w:iCs/>
          <w:lang w:val="en-GB"/>
        </w:rPr>
        <w:t>Equity Injection</w:t>
      </w:r>
      <w:r w:rsidRPr="004B0336">
        <w:rPr>
          <w:lang w:val="en-GB"/>
        </w:rPr>
        <w:t xml:space="preserve">. Available at: </w:t>
      </w:r>
      <w:hyperlink r:id="rId19" w:history="1">
        <w:r w:rsidRPr="004B0336">
          <w:rPr>
            <w:rStyle w:val="Hyperlink"/>
            <w:rFonts w:cs="Arial"/>
            <w:lang w:val="en-GB"/>
          </w:rPr>
          <w:t>https://guardianadvisory.com.sg/resources/restructuring/equity-injection/</w:t>
        </w:r>
      </w:hyperlink>
      <w:r w:rsidRPr="004B0336">
        <w:rPr>
          <w:lang w:val="en-GB"/>
        </w:rPr>
        <w:t xml:space="preserve"> (Accessed on 22th Nov 2025)</w:t>
      </w:r>
    </w:p>
    <w:p w14:paraId="2D3A1131" w14:textId="77777777" w:rsidR="003137CE" w:rsidRPr="004B0336" w:rsidRDefault="003137CE" w:rsidP="0032475D">
      <w:pPr>
        <w:rPr>
          <w:lang w:val="en-GB"/>
        </w:rPr>
      </w:pPr>
      <w:r w:rsidRPr="004B0336">
        <w:rPr>
          <w:lang w:val="en-GB"/>
        </w:rPr>
        <w:t>Hyatt, J. and Gruenglas, J. (2023) ‘Ethical considerations in organizational conflict’, In </w:t>
      </w:r>
      <w:r w:rsidRPr="004B0336">
        <w:rPr>
          <w:i/>
          <w:iCs/>
          <w:lang w:val="en-GB"/>
        </w:rPr>
        <w:t>Conflict Management-Organizational Happiness, Mindfulness, and Coping Strategies</w:t>
      </w:r>
      <w:r w:rsidRPr="004B0336">
        <w:rPr>
          <w:lang w:val="en-GB"/>
        </w:rPr>
        <w:t xml:space="preserve">. IntechOpen. Available at: DOI: 10.5772/intechopen.1002645 </w:t>
      </w:r>
    </w:p>
    <w:p w14:paraId="27B25101" w14:textId="77777777" w:rsidR="003137CE" w:rsidRPr="004B0336" w:rsidRDefault="003137CE" w:rsidP="0032475D">
      <w:pPr>
        <w:rPr>
          <w:lang w:val="en-GB"/>
        </w:rPr>
      </w:pPr>
      <w:bookmarkStart w:id="28" w:name="_Hlk214838056"/>
      <w:r w:rsidRPr="004B0336">
        <w:rPr>
          <w:lang w:val="en-GB"/>
        </w:rPr>
        <w:t>Ilieva, M. and Tsonkova, V. (2024</w:t>
      </w:r>
      <w:bookmarkEnd w:id="28"/>
      <w:r w:rsidRPr="004B0336">
        <w:rPr>
          <w:lang w:val="en-GB"/>
        </w:rPr>
        <w:t>) ‘Some aspects in trade recеivables assessment’, In </w:t>
      </w:r>
      <w:r w:rsidRPr="004B0336">
        <w:rPr>
          <w:i/>
          <w:iCs/>
          <w:lang w:val="en-GB"/>
        </w:rPr>
        <w:t>Proc Int Conf Bus Excell</w:t>
      </w:r>
      <w:r w:rsidRPr="004B0336">
        <w:rPr>
          <w:lang w:val="en-GB"/>
        </w:rPr>
        <w:t xml:space="preserve"> (Vol. 18, No. 1, pp. 2086-2099). Available at: DOI: 10.2478/picbe-2024-0176 </w:t>
      </w:r>
    </w:p>
    <w:p w14:paraId="7EDA62C9" w14:textId="77777777" w:rsidR="003137CE" w:rsidRPr="004B0336" w:rsidRDefault="003137CE" w:rsidP="0032475D">
      <w:pPr>
        <w:rPr>
          <w:lang w:val="en-GB"/>
        </w:rPr>
      </w:pPr>
      <w:bookmarkStart w:id="29" w:name="_Hlk214886988"/>
      <w:r w:rsidRPr="004B0336">
        <w:rPr>
          <w:lang w:val="en-GB"/>
        </w:rPr>
        <w:t>Imteaz, M.A., Bayatvarkeshi, M. and Karim, M.R. (2021</w:t>
      </w:r>
      <w:bookmarkEnd w:id="29"/>
      <w:r w:rsidRPr="004B0336">
        <w:rPr>
          <w:lang w:val="en-GB"/>
        </w:rPr>
        <w:t xml:space="preserve">) ‘Developing generalised equation for the calculation of payback period for rainwater harvesting systems’, </w:t>
      </w:r>
      <w:r w:rsidRPr="004B0336">
        <w:rPr>
          <w:i/>
          <w:iCs/>
          <w:lang w:val="en-GB"/>
        </w:rPr>
        <w:t>Sustainability</w:t>
      </w:r>
      <w:r w:rsidRPr="004B0336">
        <w:rPr>
          <w:lang w:val="en-GB"/>
        </w:rPr>
        <w:t>, </w:t>
      </w:r>
      <w:r w:rsidRPr="004B0336">
        <w:rPr>
          <w:i/>
          <w:iCs/>
          <w:lang w:val="en-GB"/>
        </w:rPr>
        <w:t>13</w:t>
      </w:r>
      <w:r w:rsidRPr="004B0336">
        <w:rPr>
          <w:lang w:val="en-GB"/>
        </w:rPr>
        <w:t xml:space="preserve">(8), p.4266. Available at: </w:t>
      </w:r>
      <w:hyperlink r:id="rId20" w:history="1">
        <w:r w:rsidRPr="004B0336">
          <w:rPr>
            <w:rStyle w:val="Hyperlink"/>
            <w:rFonts w:cs="Arial"/>
            <w:lang w:val="en-GB"/>
          </w:rPr>
          <w:t>https://doi.org/10.3390/su13084266</w:t>
        </w:r>
      </w:hyperlink>
      <w:r w:rsidRPr="004B0336">
        <w:rPr>
          <w:lang w:val="en-GB"/>
        </w:rPr>
        <w:t xml:space="preserve"> </w:t>
      </w:r>
    </w:p>
    <w:p w14:paraId="1B0CA78B" w14:textId="77777777" w:rsidR="003137CE" w:rsidRPr="004B0336" w:rsidRDefault="003137CE" w:rsidP="0032475D">
      <w:pPr>
        <w:rPr>
          <w:lang w:val="en-GB"/>
        </w:rPr>
      </w:pPr>
      <w:r w:rsidRPr="004B0336">
        <w:rPr>
          <w:lang w:val="en-GB"/>
        </w:rPr>
        <w:t xml:space="preserve"> Jambulingam, T. and Saxton, T. (2021) ‘Strategic alliance and acquisition performance: Impact of interfirm synergies and motives in the bio-pharmaceutical industry’, </w:t>
      </w:r>
      <w:r w:rsidRPr="004B0336">
        <w:rPr>
          <w:i/>
          <w:iCs/>
          <w:lang w:val="en-GB"/>
        </w:rPr>
        <w:t>Journal of Commercial Biotechnology</w:t>
      </w:r>
      <w:r w:rsidRPr="004B0336">
        <w:rPr>
          <w:lang w:val="en-GB"/>
        </w:rPr>
        <w:t>, </w:t>
      </w:r>
      <w:r w:rsidRPr="004B0336">
        <w:rPr>
          <w:i/>
          <w:iCs/>
          <w:lang w:val="en-GB"/>
        </w:rPr>
        <w:t>26</w:t>
      </w:r>
      <w:r w:rsidRPr="004B0336">
        <w:rPr>
          <w:lang w:val="en-GB"/>
        </w:rPr>
        <w:t xml:space="preserve">(4). Available at: doi: 10.5912/jcb1007  </w:t>
      </w:r>
    </w:p>
    <w:p w14:paraId="4F842FF9" w14:textId="3F1A255C" w:rsidR="003137CE" w:rsidRPr="004B0336" w:rsidRDefault="003137CE" w:rsidP="0032475D">
      <w:pPr>
        <w:rPr>
          <w:lang w:val="en-GB"/>
        </w:rPr>
      </w:pPr>
      <w:r w:rsidRPr="004B0336">
        <w:rPr>
          <w:lang w:val="en-GB"/>
        </w:rPr>
        <w:t xml:space="preserve">Kenton, W., (2025) </w:t>
      </w:r>
      <w:r w:rsidRPr="004B0336">
        <w:rPr>
          <w:i/>
          <w:lang w:val="en-GB"/>
        </w:rPr>
        <w:t>Altman Z-Score: What It Is, Formula, and How to Interpret Results.</w:t>
      </w:r>
      <w:r w:rsidRPr="004B0336">
        <w:rPr>
          <w:lang w:val="en-GB"/>
        </w:rPr>
        <w:t xml:space="preserve"> Available at: </w:t>
      </w:r>
      <w:hyperlink r:id="rId21" w:history="1">
        <w:r w:rsidRPr="004B0336">
          <w:rPr>
            <w:rStyle w:val="Hyperlink"/>
            <w:rFonts w:cs="Arial"/>
            <w:lang w:val="en-GB"/>
          </w:rPr>
          <w:t>https://www.investopedia.com/terms/a/altman.asp</w:t>
        </w:r>
      </w:hyperlink>
      <w:r w:rsidRPr="004B0336">
        <w:rPr>
          <w:lang w:val="en-GB"/>
        </w:rPr>
        <w:t xml:space="preserve"> (Accessed on 22nd Nov 2025)</w:t>
      </w:r>
    </w:p>
    <w:p w14:paraId="1D31514E" w14:textId="77777777" w:rsidR="003137CE" w:rsidRPr="004B0336" w:rsidRDefault="003137CE" w:rsidP="0032475D">
      <w:pPr>
        <w:rPr>
          <w:lang w:val="en-GB"/>
        </w:rPr>
      </w:pPr>
      <w:r w:rsidRPr="004B0336">
        <w:rPr>
          <w:lang w:val="en-GB"/>
        </w:rPr>
        <w:t>Kong, W. (2025, August) ‘Evaluating corporate currency risk management practices: A case study of multinational companies and their hedging strategies’, In </w:t>
      </w:r>
      <w:r w:rsidRPr="004B0336">
        <w:rPr>
          <w:i/>
          <w:iCs/>
          <w:lang w:val="en-GB"/>
        </w:rPr>
        <w:t>Proceedings of the 2025 5th international conference on enterprise management and economic development (ICEMED 2025)</w:t>
      </w:r>
      <w:r w:rsidRPr="004B0336">
        <w:rPr>
          <w:lang w:val="en-GB"/>
        </w:rPr>
        <w:t xml:space="preserve"> (pp. 58-67). Atlantis Press. Available at: </w:t>
      </w:r>
      <w:hyperlink r:id="rId22" w:history="1">
        <w:r w:rsidRPr="004B0336">
          <w:rPr>
            <w:rStyle w:val="Hyperlink"/>
            <w:rFonts w:cs="Arial"/>
            <w:lang w:val="en-GB"/>
          </w:rPr>
          <w:t>https://doi.org/10.2991/978-94-6463-811-0_7</w:t>
        </w:r>
      </w:hyperlink>
      <w:r w:rsidRPr="004B0336">
        <w:rPr>
          <w:lang w:val="en-GB"/>
        </w:rPr>
        <w:t xml:space="preserve"> </w:t>
      </w:r>
    </w:p>
    <w:p w14:paraId="0808DBC1" w14:textId="77777777" w:rsidR="003137CE" w:rsidRPr="004B0336" w:rsidRDefault="003137CE" w:rsidP="0032475D">
      <w:pPr>
        <w:rPr>
          <w:lang w:val="en-GB"/>
        </w:rPr>
      </w:pPr>
      <w:r w:rsidRPr="004B0336">
        <w:rPr>
          <w:lang w:val="en-GB"/>
        </w:rPr>
        <w:t>Levine, O. and Wu, Y. (2020) ‘Asset volatility and capital structure: Evidence from corporate mergers’, </w:t>
      </w:r>
      <w:r w:rsidRPr="004B0336">
        <w:rPr>
          <w:i/>
          <w:iCs/>
          <w:lang w:val="en-GB"/>
        </w:rPr>
        <w:t>Management Science</w:t>
      </w:r>
      <w:r w:rsidRPr="004B0336">
        <w:rPr>
          <w:lang w:val="en-GB"/>
        </w:rPr>
        <w:t>, </w:t>
      </w:r>
      <w:r w:rsidRPr="004B0336">
        <w:rPr>
          <w:i/>
          <w:iCs/>
          <w:lang w:val="en-GB"/>
        </w:rPr>
        <w:t>67</w:t>
      </w:r>
      <w:r w:rsidRPr="004B0336">
        <w:rPr>
          <w:lang w:val="en-GB"/>
        </w:rPr>
        <w:t xml:space="preserve">(5), pp.2773-2798. Available at: </w:t>
      </w:r>
      <w:hyperlink r:id="rId23" w:history="1">
        <w:r w:rsidRPr="004B0336">
          <w:rPr>
            <w:rStyle w:val="Hyperlink"/>
            <w:rFonts w:cs="Arial"/>
            <w:lang w:val="en-GB"/>
          </w:rPr>
          <w:t>https://doi.org/10.1287/mnsc.2020.3607</w:t>
        </w:r>
      </w:hyperlink>
      <w:r w:rsidRPr="004B0336">
        <w:rPr>
          <w:lang w:val="en-GB"/>
        </w:rPr>
        <w:t xml:space="preserve"> </w:t>
      </w:r>
    </w:p>
    <w:p w14:paraId="56E33A5A" w14:textId="77777777" w:rsidR="003137CE" w:rsidRPr="004B0336" w:rsidRDefault="003137CE" w:rsidP="0032475D">
      <w:pPr>
        <w:rPr>
          <w:lang w:val="en-GB"/>
        </w:rPr>
      </w:pPr>
      <w:r w:rsidRPr="004B0336">
        <w:rPr>
          <w:lang w:val="en-GB"/>
        </w:rPr>
        <w:t>Mohamed, A.E. (2024) ‘Inventory management. In </w:t>
      </w:r>
      <w:r w:rsidRPr="004B0336">
        <w:rPr>
          <w:i/>
          <w:iCs/>
          <w:lang w:val="en-GB"/>
        </w:rPr>
        <w:t>Operations Management-Recent Advances and New Perspectives</w:t>
      </w:r>
      <w:r w:rsidRPr="004B0336">
        <w:rPr>
          <w:lang w:val="en-GB"/>
        </w:rPr>
        <w:t xml:space="preserve">’, IntechOpen. Available at: DOI: 10.5772/intechopen.113282 </w:t>
      </w:r>
    </w:p>
    <w:p w14:paraId="66427439" w14:textId="77777777" w:rsidR="003137CE" w:rsidRPr="004B0336" w:rsidRDefault="003137CE" w:rsidP="0032475D">
      <w:pPr>
        <w:rPr>
          <w:lang w:val="en-GB"/>
        </w:rPr>
      </w:pPr>
      <w:r w:rsidRPr="004B0336">
        <w:rPr>
          <w:lang w:val="en-GB"/>
        </w:rPr>
        <w:t>Ojha, M.K., Sharma, C.P., Saluja, S. and Kumar, D.R. (2021) ‘Impact Of Working Capital Management On Firms’ Profitability And Liquidity: A Critical Assessment’, </w:t>
      </w:r>
      <w:r w:rsidRPr="004B0336">
        <w:rPr>
          <w:i/>
          <w:iCs/>
          <w:lang w:val="en-GB"/>
        </w:rPr>
        <w:t>Ilkogretim Online</w:t>
      </w:r>
      <w:r w:rsidRPr="004B0336">
        <w:rPr>
          <w:lang w:val="en-GB"/>
        </w:rPr>
        <w:t>, </w:t>
      </w:r>
      <w:r w:rsidRPr="004B0336">
        <w:rPr>
          <w:i/>
          <w:iCs/>
          <w:lang w:val="en-GB"/>
        </w:rPr>
        <w:t>20</w:t>
      </w:r>
      <w:r w:rsidRPr="004B0336">
        <w:rPr>
          <w:lang w:val="en-GB"/>
        </w:rPr>
        <w:t xml:space="preserve">(2), pp.2572-2584. Available at: doi: 10.17051/ilkonline.2021.02.274 </w:t>
      </w:r>
    </w:p>
    <w:p w14:paraId="1E718D45" w14:textId="77777777" w:rsidR="003137CE" w:rsidRPr="004B0336" w:rsidRDefault="003137CE" w:rsidP="0032475D">
      <w:pPr>
        <w:rPr>
          <w:lang w:val="en-GB"/>
        </w:rPr>
      </w:pPr>
      <w:r w:rsidRPr="004B0336">
        <w:rPr>
          <w:lang w:val="en-GB"/>
        </w:rPr>
        <w:t>Partacz, K. (2022) ‘Creating value through synergy in mergers and acquisitions’, </w:t>
      </w:r>
      <w:r w:rsidRPr="004B0336">
        <w:rPr>
          <w:i/>
          <w:iCs/>
          <w:lang w:val="en-GB"/>
        </w:rPr>
        <w:t>Scientific Journal of Bielsko-Biala School of Finance and Law</w:t>
      </w:r>
      <w:r w:rsidRPr="004B0336">
        <w:rPr>
          <w:lang w:val="en-GB"/>
        </w:rPr>
        <w:t>, </w:t>
      </w:r>
      <w:r w:rsidRPr="004B0336">
        <w:rPr>
          <w:i/>
          <w:iCs/>
          <w:lang w:val="en-GB"/>
        </w:rPr>
        <w:t>26</w:t>
      </w:r>
      <w:r w:rsidRPr="004B0336">
        <w:rPr>
          <w:lang w:val="en-GB"/>
        </w:rPr>
        <w:t xml:space="preserve">(4), pp.18-25. Available at: </w:t>
      </w:r>
      <w:hyperlink r:id="rId24" w:history="1">
        <w:r w:rsidRPr="004B0336">
          <w:rPr>
            <w:rStyle w:val="Hyperlink"/>
            <w:rFonts w:cs="Arial"/>
            <w:lang w:val="en-GB"/>
          </w:rPr>
          <w:t>https://doi.org/10.19192/wsfip.sj4.2022.3</w:t>
        </w:r>
      </w:hyperlink>
      <w:r w:rsidRPr="004B0336">
        <w:rPr>
          <w:lang w:val="en-GB"/>
        </w:rPr>
        <w:t xml:space="preserve"> </w:t>
      </w:r>
    </w:p>
    <w:p w14:paraId="05454C63" w14:textId="77777777" w:rsidR="003137CE" w:rsidRPr="004B0336" w:rsidRDefault="003137CE" w:rsidP="0032475D">
      <w:pPr>
        <w:rPr>
          <w:lang w:val="en-GB"/>
        </w:rPr>
      </w:pPr>
      <w:r w:rsidRPr="004B0336">
        <w:rPr>
          <w:lang w:val="en-GB"/>
        </w:rPr>
        <w:t xml:space="preserve">Patuan, I. and Hermawan, A.A. (2023) ‘The effect of internal control on the receivables management’, </w:t>
      </w:r>
      <w:r w:rsidRPr="004B0336">
        <w:rPr>
          <w:i/>
          <w:iCs/>
          <w:lang w:val="en-GB"/>
        </w:rPr>
        <w:t>International Journal of Contemporary Accounting</w:t>
      </w:r>
      <w:r w:rsidRPr="004B0336">
        <w:rPr>
          <w:lang w:val="en-GB"/>
        </w:rPr>
        <w:t>, </w:t>
      </w:r>
      <w:r w:rsidRPr="004B0336">
        <w:rPr>
          <w:i/>
          <w:iCs/>
          <w:lang w:val="en-GB"/>
        </w:rPr>
        <w:t>5</w:t>
      </w:r>
      <w:r w:rsidRPr="004B0336">
        <w:rPr>
          <w:lang w:val="en-GB"/>
        </w:rPr>
        <w:t xml:space="preserve">(1), pp.61-80. Available at: </w:t>
      </w:r>
      <w:hyperlink r:id="rId25" w:history="1">
        <w:r w:rsidRPr="004B0336">
          <w:rPr>
            <w:rStyle w:val="Hyperlink"/>
            <w:rFonts w:cs="Arial"/>
            <w:lang w:val="en-GB"/>
          </w:rPr>
          <w:t>http://dx.doi.org/10.25105/ijca.v5i1.17026</w:t>
        </w:r>
      </w:hyperlink>
      <w:r w:rsidRPr="004B0336">
        <w:rPr>
          <w:lang w:val="en-GB"/>
        </w:rPr>
        <w:t xml:space="preserve"> </w:t>
      </w:r>
    </w:p>
    <w:p w14:paraId="4E902DE8" w14:textId="77777777" w:rsidR="003137CE" w:rsidRPr="004B0336" w:rsidRDefault="003137CE" w:rsidP="0032475D">
      <w:pPr>
        <w:rPr>
          <w:lang w:val="en-GB"/>
        </w:rPr>
      </w:pPr>
      <w:bookmarkStart w:id="30" w:name="_Hlk214840951"/>
      <w:r w:rsidRPr="004B0336">
        <w:rPr>
          <w:lang w:val="en-GB"/>
        </w:rPr>
        <w:t xml:space="preserve">Prudential Private Capital (2025) </w:t>
      </w:r>
      <w:bookmarkEnd w:id="30"/>
      <w:r w:rsidRPr="004B0336">
        <w:rPr>
          <w:i/>
          <w:iCs/>
          <w:lang w:val="en-GB"/>
        </w:rPr>
        <w:t>The Benefits of Long-Term vs. Short-Term Financing</w:t>
      </w:r>
      <w:r w:rsidRPr="004B0336">
        <w:rPr>
          <w:lang w:val="en-GB"/>
        </w:rPr>
        <w:t xml:space="preserve">. Available at: </w:t>
      </w:r>
      <w:hyperlink r:id="rId26" w:history="1">
        <w:r w:rsidRPr="004B0336">
          <w:rPr>
            <w:rStyle w:val="Hyperlink"/>
            <w:rFonts w:cs="Arial"/>
            <w:lang w:val="en-GB"/>
          </w:rPr>
          <w:t>https://www.prudentialprivatecapital.com/perspectives/the-benefits-of-long-term-vs-short-term-financing</w:t>
        </w:r>
      </w:hyperlink>
      <w:r w:rsidRPr="004B0336">
        <w:rPr>
          <w:lang w:val="en-GB"/>
        </w:rPr>
        <w:t xml:space="preserve"> (Accessed on 22th Nov 2025)</w:t>
      </w:r>
    </w:p>
    <w:p w14:paraId="0C3E031D" w14:textId="77777777" w:rsidR="003137CE" w:rsidRPr="004B0336" w:rsidRDefault="003137CE" w:rsidP="0032475D">
      <w:pPr>
        <w:rPr>
          <w:lang w:val="en-GB"/>
        </w:rPr>
      </w:pPr>
      <w:r w:rsidRPr="004B0336">
        <w:rPr>
          <w:lang w:val="en-GB"/>
        </w:rPr>
        <w:t xml:space="preserve">PwC (2025) </w:t>
      </w:r>
      <w:r w:rsidRPr="004B0336">
        <w:rPr>
          <w:i/>
          <w:iCs/>
          <w:lang w:val="en-GB"/>
        </w:rPr>
        <w:t>Divestitures</w:t>
      </w:r>
      <w:r w:rsidRPr="004B0336">
        <w:rPr>
          <w:lang w:val="en-GB"/>
        </w:rPr>
        <w:t xml:space="preserve">. Available at: </w:t>
      </w:r>
      <w:hyperlink r:id="rId27" w:history="1">
        <w:r w:rsidRPr="004B0336">
          <w:rPr>
            <w:rStyle w:val="Hyperlink"/>
            <w:rFonts w:cs="Arial"/>
            <w:lang w:val="en-GB"/>
          </w:rPr>
          <w:t>https://www.pwc.com/us/en/services/consulting/deals/divestitures.html</w:t>
        </w:r>
      </w:hyperlink>
      <w:r w:rsidRPr="004B0336">
        <w:rPr>
          <w:lang w:val="en-GB"/>
        </w:rPr>
        <w:t xml:space="preserve"> (Accessed on 22th Nov 2025)</w:t>
      </w:r>
    </w:p>
    <w:p w14:paraId="420A1D3E" w14:textId="7832EBD2" w:rsidR="003137CE" w:rsidRPr="004B0336" w:rsidRDefault="003137CE" w:rsidP="0032475D">
      <w:pPr>
        <w:rPr>
          <w:lang w:val="en-GB"/>
        </w:rPr>
      </w:pPr>
      <w:r w:rsidRPr="004B0336">
        <w:rPr>
          <w:lang w:val="en-GB"/>
        </w:rPr>
        <w:t>Research</w:t>
      </w:r>
      <w:r w:rsidR="00F668F3" w:rsidRPr="004B0336">
        <w:rPr>
          <w:lang w:val="en-GB"/>
        </w:rPr>
        <w:t xml:space="preserve"> </w:t>
      </w:r>
      <w:r w:rsidRPr="004B0336">
        <w:rPr>
          <w:lang w:val="en-GB"/>
        </w:rPr>
        <w:t>and</w:t>
      </w:r>
      <w:r w:rsidR="00F668F3" w:rsidRPr="004B0336">
        <w:rPr>
          <w:lang w:val="en-GB"/>
        </w:rPr>
        <w:t xml:space="preserve"> M</w:t>
      </w:r>
      <w:r w:rsidRPr="004B0336">
        <w:rPr>
          <w:lang w:val="en-GB"/>
        </w:rPr>
        <w:t>arkets (2025)</w:t>
      </w:r>
      <w:r w:rsidR="00741664" w:rsidRPr="004B0336">
        <w:rPr>
          <w:lang w:val="en-GB"/>
        </w:rPr>
        <w:t xml:space="preserve"> </w:t>
      </w:r>
      <w:r w:rsidRPr="004B0336">
        <w:rPr>
          <w:i/>
          <w:lang w:val="en-GB"/>
        </w:rPr>
        <w:t>General Electronic Components Market Outlook 2025-2034: Market Share, and Growth Analysis.</w:t>
      </w:r>
      <w:r w:rsidRPr="004B0336">
        <w:rPr>
          <w:lang w:val="en-GB"/>
        </w:rPr>
        <w:t xml:space="preserve"> Available at: </w:t>
      </w:r>
      <w:hyperlink r:id="rId28" w:anchor=":~:text=New-,General%20Electronic%20Components%20Market%20Outlook%202025%2D2034,Market%20Share%2C%20and%20Growth%20Analysis&amp;text=The%20General%20Electronic%20Components%20Market,USD%20953.9%20billion%20by%202034" w:history="1">
        <w:r w:rsidRPr="004B0336">
          <w:rPr>
            <w:rStyle w:val="Hyperlink"/>
            <w:rFonts w:cs="Arial"/>
            <w:lang w:val="en-GB"/>
          </w:rPr>
          <w:t>https://www.researchandmarkets.com/reports/6186091/general-electronic-components-market-outlook</w:t>
        </w:r>
      </w:hyperlink>
      <w:r w:rsidRPr="004B0336">
        <w:rPr>
          <w:lang w:val="en-GB"/>
        </w:rPr>
        <w:t xml:space="preserve"> (Accessed on 22nd Nov 2025)</w:t>
      </w:r>
    </w:p>
    <w:p w14:paraId="1910A5B9" w14:textId="51072B99" w:rsidR="003137CE" w:rsidRPr="004B0336" w:rsidRDefault="003137CE" w:rsidP="0032475D">
      <w:pPr>
        <w:rPr>
          <w:lang w:val="en-GB"/>
        </w:rPr>
      </w:pPr>
      <w:r w:rsidRPr="004B0336">
        <w:rPr>
          <w:lang w:val="en-GB"/>
        </w:rPr>
        <w:t>Russo, K. (2024)</w:t>
      </w:r>
      <w:r w:rsidR="00741664" w:rsidRPr="004B0336">
        <w:rPr>
          <w:lang w:val="en-GB"/>
        </w:rPr>
        <w:t xml:space="preserve"> </w:t>
      </w:r>
      <w:r w:rsidRPr="004B0336">
        <w:rPr>
          <w:lang w:val="en-GB"/>
        </w:rPr>
        <w:t xml:space="preserve">Financial Statement Analysis: How-To &amp; Advantages. </w:t>
      </w:r>
      <w:r w:rsidRPr="004B0336">
        <w:rPr>
          <w:i/>
          <w:lang w:val="en-GB"/>
        </w:rPr>
        <w:t xml:space="preserve">Netsuite. </w:t>
      </w:r>
      <w:r w:rsidRPr="004B0336">
        <w:rPr>
          <w:lang w:val="en-GB"/>
        </w:rPr>
        <w:t xml:space="preserve">Available at: </w:t>
      </w:r>
      <w:hyperlink r:id="rId29" w:history="1">
        <w:r w:rsidRPr="004B0336">
          <w:rPr>
            <w:rStyle w:val="Hyperlink"/>
            <w:rFonts w:cs="Arial"/>
            <w:lang w:val="en-GB"/>
          </w:rPr>
          <w:t>https://www.netsuite.com/portal/resource/articles/financial-management/financial-statement-analysis.shtml</w:t>
        </w:r>
      </w:hyperlink>
      <w:r w:rsidRPr="004B0336">
        <w:rPr>
          <w:lang w:val="en-GB"/>
        </w:rPr>
        <w:t xml:space="preserve"> (Accessed on 22nd Nov 2025)</w:t>
      </w:r>
    </w:p>
    <w:p w14:paraId="2EB267A6" w14:textId="503CB4AF" w:rsidR="003137CE" w:rsidRPr="004B0336" w:rsidRDefault="003137CE" w:rsidP="0032475D">
      <w:pPr>
        <w:rPr>
          <w:lang w:val="en-GB"/>
        </w:rPr>
      </w:pPr>
      <w:r w:rsidRPr="004B0336">
        <w:rPr>
          <w:shd w:val="clear" w:color="auto" w:fill="FFFFFF"/>
          <w:lang w:val="en-GB"/>
        </w:rPr>
        <w:t>Sangwa, S. (2021)</w:t>
      </w:r>
      <w:r w:rsidR="00741664" w:rsidRPr="004B0336">
        <w:rPr>
          <w:shd w:val="clear" w:color="auto" w:fill="FFFFFF"/>
          <w:lang w:val="en-GB"/>
        </w:rPr>
        <w:t xml:space="preserve"> </w:t>
      </w:r>
      <w:r w:rsidRPr="004B0336">
        <w:rPr>
          <w:shd w:val="clear" w:color="auto" w:fill="FFFFFF"/>
          <w:lang w:val="en-GB"/>
        </w:rPr>
        <w:t>Strategic analysis of the General Electric company-power division. </w:t>
      </w:r>
      <w:r w:rsidRPr="004B0336">
        <w:rPr>
          <w:i/>
          <w:iCs/>
          <w:shd w:val="clear" w:color="auto" w:fill="FFFFFF"/>
          <w:lang w:val="en-GB"/>
        </w:rPr>
        <w:t>Science and Education</w:t>
      </w:r>
      <w:r w:rsidRPr="004B0336">
        <w:rPr>
          <w:shd w:val="clear" w:color="auto" w:fill="FFFFFF"/>
          <w:lang w:val="en-GB"/>
        </w:rPr>
        <w:t>, </w:t>
      </w:r>
      <w:r w:rsidRPr="004B0336">
        <w:rPr>
          <w:i/>
          <w:iCs/>
          <w:shd w:val="clear" w:color="auto" w:fill="FFFFFF"/>
          <w:lang w:val="en-GB"/>
        </w:rPr>
        <w:t>2</w:t>
      </w:r>
      <w:r w:rsidRPr="004B0336">
        <w:rPr>
          <w:shd w:val="clear" w:color="auto" w:fill="FFFFFF"/>
          <w:lang w:val="en-GB"/>
        </w:rPr>
        <w:t xml:space="preserve">(4), 654-65. </w:t>
      </w:r>
      <w:r w:rsidRPr="004B0336">
        <w:rPr>
          <w:lang w:val="en-GB"/>
        </w:rPr>
        <w:t xml:space="preserve">Available at: </w:t>
      </w:r>
      <w:hyperlink r:id="rId30" w:history="1">
        <w:r w:rsidRPr="004B0336">
          <w:rPr>
            <w:rStyle w:val="Hyperlink"/>
            <w:rFonts w:cs="Arial"/>
            <w:lang w:val="en-GB"/>
          </w:rPr>
          <w:t>https://www.academia.edu/download/107843451/417586585.pdf</w:t>
        </w:r>
      </w:hyperlink>
      <w:r w:rsidRPr="004B0336">
        <w:rPr>
          <w:lang w:val="en-GB"/>
        </w:rPr>
        <w:t xml:space="preserve"> </w:t>
      </w:r>
    </w:p>
    <w:p w14:paraId="0D3F230D" w14:textId="77777777" w:rsidR="003137CE" w:rsidRPr="004B0336" w:rsidRDefault="003137CE" w:rsidP="0032475D">
      <w:pPr>
        <w:rPr>
          <w:lang w:val="en-GB"/>
        </w:rPr>
      </w:pPr>
      <w:r w:rsidRPr="004B0336">
        <w:rPr>
          <w:lang w:val="en-GB"/>
        </w:rPr>
        <w:t xml:space="preserve">Seely, A. (2025) </w:t>
      </w:r>
      <w:r w:rsidRPr="004B0336">
        <w:rPr>
          <w:i/>
          <w:iCs/>
          <w:lang w:val="en-GB"/>
        </w:rPr>
        <w:t>Capital gains tax: recent developments</w:t>
      </w:r>
      <w:r w:rsidRPr="004B0336">
        <w:rPr>
          <w:lang w:val="en-GB"/>
        </w:rPr>
        <w:t xml:space="preserve">. Available at: </w:t>
      </w:r>
      <w:hyperlink r:id="rId31" w:history="1">
        <w:r w:rsidRPr="004B0336">
          <w:rPr>
            <w:rStyle w:val="Hyperlink"/>
            <w:rFonts w:cs="Arial"/>
            <w:lang w:val="en-GB"/>
          </w:rPr>
          <w:t>https://commonslibrary.parliament.uk/research-briefings/sn05572/</w:t>
        </w:r>
      </w:hyperlink>
      <w:r w:rsidRPr="004B0336">
        <w:rPr>
          <w:lang w:val="en-GB"/>
        </w:rPr>
        <w:t xml:space="preserve"> (Accessed on 22th Nov 2025)</w:t>
      </w:r>
    </w:p>
    <w:p w14:paraId="4A3051BC" w14:textId="77777777" w:rsidR="003137CE" w:rsidRPr="004B0336" w:rsidRDefault="003137CE" w:rsidP="0032475D">
      <w:pPr>
        <w:rPr>
          <w:lang w:val="en-GB"/>
        </w:rPr>
      </w:pPr>
      <w:bookmarkStart w:id="31" w:name="_Hlk214838475"/>
      <w:r w:rsidRPr="004B0336">
        <w:rPr>
          <w:lang w:val="en-GB"/>
        </w:rPr>
        <w:t>Smith, H.K. (2024</w:t>
      </w:r>
      <w:bookmarkEnd w:id="31"/>
      <w:r w:rsidRPr="004B0336">
        <w:rPr>
          <w:lang w:val="en-GB"/>
        </w:rPr>
        <w:t xml:space="preserve">) ‘Inventory Management for Entrepreneurs: Balancing Costs, Efficiency, and Customer Satisfaction’. Available at: </w:t>
      </w:r>
      <w:hyperlink r:id="rId32" w:history="1">
        <w:r w:rsidRPr="004B0336">
          <w:rPr>
            <w:rStyle w:val="Hyperlink"/>
            <w:rFonts w:cs="Arial"/>
            <w:lang w:val="en-GB"/>
          </w:rPr>
          <w:t>https://www.researchgate.net/profile/Hussein-Smith/publication/386459911_Inventory_Management_for_Entrepreneurs_Balancing_Costs_Efficiency_and_Customer_Satisfaction/links/6751ec23ef2dc67228ac2399/Inventory-Management-for-Entrepreneurs-Balancing-Costs-Efficiency-and-Customer-Satisfaction.pdf</w:t>
        </w:r>
      </w:hyperlink>
      <w:r w:rsidRPr="004B0336">
        <w:rPr>
          <w:lang w:val="en-GB"/>
        </w:rPr>
        <w:t xml:space="preserve"> </w:t>
      </w:r>
    </w:p>
    <w:p w14:paraId="3ABC72FD" w14:textId="77777777" w:rsidR="003137CE" w:rsidRPr="004B0336" w:rsidRDefault="003137CE" w:rsidP="0032475D">
      <w:pPr>
        <w:rPr>
          <w:lang w:val="en-GB"/>
        </w:rPr>
      </w:pPr>
      <w:r w:rsidRPr="004B0336">
        <w:rPr>
          <w:lang w:val="en-GB"/>
        </w:rPr>
        <w:t>Teschner, N. and Paul, H. (2021) ‘The impact of divestitures on shareholder wealth–The DACH case’, </w:t>
      </w:r>
      <w:r w:rsidRPr="004B0336">
        <w:rPr>
          <w:i/>
          <w:iCs/>
          <w:lang w:val="en-GB"/>
        </w:rPr>
        <w:t>European Journal of Management and Business Economics</w:t>
      </w:r>
      <w:r w:rsidRPr="004B0336">
        <w:rPr>
          <w:lang w:val="en-GB"/>
        </w:rPr>
        <w:t>, </w:t>
      </w:r>
      <w:r w:rsidRPr="004B0336">
        <w:rPr>
          <w:i/>
          <w:iCs/>
          <w:lang w:val="en-GB"/>
        </w:rPr>
        <w:t>30</w:t>
      </w:r>
      <w:r w:rsidRPr="004B0336">
        <w:rPr>
          <w:lang w:val="en-GB"/>
        </w:rPr>
        <w:t xml:space="preserve">(1), pp.55-71. Available at: </w:t>
      </w:r>
      <w:hyperlink r:id="rId33" w:history="1">
        <w:r w:rsidRPr="004B0336">
          <w:rPr>
            <w:rStyle w:val="Hyperlink"/>
            <w:rFonts w:cs="Arial"/>
            <w:lang w:val="en-GB"/>
          </w:rPr>
          <w:t>https://doi.org/10.1108/EJMBE-08-2019-0133</w:t>
        </w:r>
      </w:hyperlink>
      <w:r w:rsidRPr="004B0336">
        <w:rPr>
          <w:lang w:val="en-GB"/>
        </w:rPr>
        <w:t xml:space="preserve"> </w:t>
      </w:r>
    </w:p>
    <w:p w14:paraId="6A9417A5" w14:textId="77777777" w:rsidR="003137CE" w:rsidRPr="004B0336" w:rsidRDefault="003137CE" w:rsidP="0032475D">
      <w:pPr>
        <w:rPr>
          <w:lang w:val="en-GB"/>
        </w:rPr>
      </w:pPr>
      <w:r w:rsidRPr="004B0336">
        <w:rPr>
          <w:lang w:val="en-GB"/>
        </w:rPr>
        <w:t>Tolla, S.D. and Vendy, V. (2024) ‘September. Developing a Predictive Model to Predict Cash Flow Using Time Series Analysis’, In </w:t>
      </w:r>
      <w:r w:rsidRPr="004B0336">
        <w:rPr>
          <w:i/>
          <w:iCs/>
          <w:lang w:val="en-GB"/>
        </w:rPr>
        <w:t>Proceedings of International Conference on Economics Business and Government Challenges</w:t>
      </w:r>
      <w:r w:rsidRPr="004B0336">
        <w:rPr>
          <w:lang w:val="en-GB"/>
        </w:rPr>
        <w:t xml:space="preserve"> (Vol. 7, No. 1, pp. 280-290). Available at: </w:t>
      </w:r>
      <w:hyperlink r:id="rId34" w:history="1">
        <w:r w:rsidRPr="004B0336">
          <w:rPr>
            <w:rStyle w:val="Hyperlink"/>
            <w:rFonts w:cs="Arial"/>
            <w:lang w:val="en-GB"/>
          </w:rPr>
          <w:t>https://ic-ebgc.upnjatim.ac.id/index.php/ic-ebgc/article/view/130/118</w:t>
        </w:r>
      </w:hyperlink>
      <w:r w:rsidRPr="004B0336">
        <w:rPr>
          <w:lang w:val="en-GB"/>
        </w:rPr>
        <w:t xml:space="preserve"> </w:t>
      </w:r>
    </w:p>
    <w:p w14:paraId="4E5BF693" w14:textId="77777777" w:rsidR="003137CE" w:rsidRPr="004B0336" w:rsidRDefault="003137CE" w:rsidP="0032475D">
      <w:pPr>
        <w:rPr>
          <w:lang w:val="en-GB"/>
        </w:rPr>
      </w:pPr>
      <w:r w:rsidRPr="004B0336">
        <w:rPr>
          <w:lang w:val="en-GB"/>
        </w:rPr>
        <w:t xml:space="preserve">USPEC (2025) </w:t>
      </w:r>
      <w:r w:rsidRPr="004B0336">
        <w:rPr>
          <w:i/>
          <w:iCs/>
          <w:lang w:val="en-GB"/>
        </w:rPr>
        <w:t>Internal Rate of Return (IRR) in Investment Analysis.</w:t>
      </w:r>
      <w:r w:rsidRPr="004B0336">
        <w:rPr>
          <w:lang w:val="en-GB"/>
        </w:rPr>
        <w:t xml:space="preserve"> Available at: </w:t>
      </w:r>
      <w:hyperlink r:id="rId35" w:history="1">
        <w:r w:rsidRPr="004B0336">
          <w:rPr>
            <w:rStyle w:val="Hyperlink"/>
            <w:rFonts w:cs="Arial"/>
            <w:lang w:val="en-GB"/>
          </w:rPr>
          <w:t>https://www.uspec.org/blog/internal-rate-of-return-in-investment-analysis</w:t>
        </w:r>
      </w:hyperlink>
      <w:r w:rsidRPr="004B0336">
        <w:rPr>
          <w:lang w:val="en-GB"/>
        </w:rPr>
        <w:t xml:space="preserve"> (Accessed on 24th Nov 2025)</w:t>
      </w:r>
    </w:p>
    <w:p w14:paraId="390F32E1" w14:textId="77777777" w:rsidR="003137CE" w:rsidRPr="004B0336" w:rsidRDefault="003137CE" w:rsidP="0032475D">
      <w:pPr>
        <w:rPr>
          <w:lang w:val="en-GB"/>
        </w:rPr>
      </w:pPr>
      <w:r w:rsidRPr="004B0336">
        <w:rPr>
          <w:lang w:val="en-GB"/>
        </w:rPr>
        <w:t xml:space="preserve">VanLeeuwen, Al. (2025) </w:t>
      </w:r>
      <w:r w:rsidRPr="004B0336">
        <w:rPr>
          <w:i/>
          <w:iCs/>
          <w:lang w:val="en-GB"/>
        </w:rPr>
        <w:t>Know the Significance of Payback Period.</w:t>
      </w:r>
      <w:r w:rsidRPr="004B0336">
        <w:rPr>
          <w:lang w:val="en-GB"/>
        </w:rPr>
        <w:t xml:space="preserve"> Available at: </w:t>
      </w:r>
      <w:hyperlink r:id="rId36" w:history="1">
        <w:r w:rsidRPr="004B0336">
          <w:rPr>
            <w:rStyle w:val="Hyperlink"/>
            <w:rFonts w:cs="Arial"/>
            <w:lang w:val="en-GB"/>
          </w:rPr>
          <w:t>https://preferredcfo.com/insights/determining-payback-period-of-business-investment</w:t>
        </w:r>
      </w:hyperlink>
      <w:r w:rsidRPr="004B0336">
        <w:rPr>
          <w:lang w:val="en-GB"/>
        </w:rPr>
        <w:t xml:space="preserve"> (Accessed on 24th Nov 2025)</w:t>
      </w:r>
    </w:p>
    <w:p w14:paraId="171FB489" w14:textId="77777777" w:rsidR="003137CE" w:rsidRPr="004B0336" w:rsidRDefault="003137CE" w:rsidP="0032475D">
      <w:pPr>
        <w:rPr>
          <w:lang w:val="en-GB"/>
        </w:rPr>
      </w:pPr>
      <w:bookmarkStart w:id="32" w:name="_Hlk214887778"/>
      <w:r w:rsidRPr="004B0336">
        <w:rPr>
          <w:lang w:val="en-GB"/>
        </w:rPr>
        <w:t xml:space="preserve">Vipond, T. (2025) </w:t>
      </w:r>
      <w:bookmarkEnd w:id="32"/>
      <w:r w:rsidRPr="004B0336">
        <w:rPr>
          <w:i/>
          <w:iCs/>
          <w:lang w:val="en-GB"/>
        </w:rPr>
        <w:t>Accounting Rate of Return</w:t>
      </w:r>
      <w:r w:rsidRPr="004B0336">
        <w:rPr>
          <w:lang w:val="en-GB"/>
        </w:rPr>
        <w:t xml:space="preserve">. Available at: </w:t>
      </w:r>
      <w:hyperlink r:id="rId37" w:history="1">
        <w:r w:rsidRPr="004B0336">
          <w:rPr>
            <w:rStyle w:val="Hyperlink"/>
            <w:rFonts w:cs="Arial"/>
            <w:lang w:val="en-GB"/>
          </w:rPr>
          <w:t>https://corporatefinanceinstitute.com/resources/accounting/arr-accounting-rate-of-return/</w:t>
        </w:r>
      </w:hyperlink>
      <w:r w:rsidRPr="004B0336">
        <w:rPr>
          <w:lang w:val="en-GB"/>
        </w:rPr>
        <w:t xml:space="preserve"> (Accessed on 24th Nov 2025)</w:t>
      </w:r>
    </w:p>
    <w:p w14:paraId="5C79487B" w14:textId="77777777" w:rsidR="003137CE" w:rsidRPr="004B0336" w:rsidRDefault="003137CE" w:rsidP="00EE1D8B">
      <w:pPr>
        <w:rPr>
          <w:rFonts w:cs="Arial"/>
          <w:lang w:val="en-GB"/>
        </w:rPr>
      </w:pPr>
    </w:p>
    <w:p w14:paraId="4A01AA58" w14:textId="77777777" w:rsidR="005D7F83" w:rsidRPr="004B0336" w:rsidRDefault="005D7F83" w:rsidP="00EE1D8B">
      <w:pPr>
        <w:jc w:val="left"/>
        <w:rPr>
          <w:rFonts w:cs="Arial"/>
          <w:b/>
          <w:bCs/>
          <w:sz w:val="28"/>
          <w:szCs w:val="28"/>
          <w:lang w:val="en-GB"/>
        </w:rPr>
      </w:pPr>
      <w:r w:rsidRPr="004B0336">
        <w:rPr>
          <w:rFonts w:cs="Arial"/>
          <w:lang w:val="en-GB"/>
        </w:rPr>
        <w:br w:type="page"/>
      </w:r>
    </w:p>
    <w:p w14:paraId="1459B1EF" w14:textId="0C7D9D21" w:rsidR="00EF7A8D" w:rsidRPr="004B0336" w:rsidRDefault="00F97839" w:rsidP="003137CE">
      <w:pPr>
        <w:pStyle w:val="Heading1"/>
        <w:rPr>
          <w:lang w:val="en-GB"/>
        </w:rPr>
      </w:pPr>
      <w:bookmarkStart w:id="33" w:name="_Toc214898920"/>
      <w:r w:rsidRPr="004B0336">
        <w:rPr>
          <w:lang w:val="en-GB"/>
        </w:rPr>
        <w:t>Appendices</w:t>
      </w:r>
      <w:bookmarkEnd w:id="33"/>
      <w:r w:rsidRPr="004B0336">
        <w:rPr>
          <w:lang w:val="en-GB"/>
        </w:rPr>
        <w:t xml:space="preserve"> </w:t>
      </w:r>
    </w:p>
    <w:p w14:paraId="173BB3A8" w14:textId="77777777" w:rsidR="00571660" w:rsidRPr="004B0336" w:rsidRDefault="00571660" w:rsidP="003137CE">
      <w:pPr>
        <w:pStyle w:val="Heading2"/>
        <w:rPr>
          <w:lang w:val="en-GB"/>
        </w:rPr>
      </w:pPr>
      <w:bookmarkStart w:id="34" w:name="_Toc214898921"/>
      <w:r w:rsidRPr="004B0336">
        <w:rPr>
          <w:lang w:val="en-GB"/>
        </w:rPr>
        <w:t>Appendix 1: Ratio analysis</w:t>
      </w:r>
      <w:bookmarkEnd w:id="34"/>
    </w:p>
    <w:tbl>
      <w:tblPr>
        <w:tblStyle w:val="GridTable4-Accent4"/>
        <w:tblW w:w="5000" w:type="pct"/>
        <w:tblLook w:val="04A0" w:firstRow="1" w:lastRow="0" w:firstColumn="1" w:lastColumn="0" w:noHBand="0" w:noVBand="1"/>
      </w:tblPr>
      <w:tblGrid>
        <w:gridCol w:w="1028"/>
        <w:gridCol w:w="1623"/>
        <w:gridCol w:w="1252"/>
        <w:gridCol w:w="1252"/>
        <w:gridCol w:w="1287"/>
        <w:gridCol w:w="1287"/>
        <w:gridCol w:w="1287"/>
      </w:tblGrid>
      <w:tr w:rsidR="00010F6A" w:rsidRPr="004B0336" w14:paraId="07D549B4" w14:textId="77777777" w:rsidTr="007B09AB">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000" w:type="pct"/>
            <w:gridSpan w:val="7"/>
            <w:noWrap/>
            <w:hideMark/>
          </w:tcPr>
          <w:p w14:paraId="6E59D88B" w14:textId="77777777" w:rsidR="00010F6A" w:rsidRPr="004B0336" w:rsidRDefault="00010F6A" w:rsidP="007B09AB">
            <w:pPr>
              <w:jc w:val="center"/>
              <w:rPr>
                <w:rFonts w:eastAsia="Times New Roman" w:cs="Arial"/>
                <w:color w:val="000000"/>
                <w:lang w:val="en-GB"/>
              </w:rPr>
            </w:pPr>
            <w:r w:rsidRPr="004B0336">
              <w:rPr>
                <w:rFonts w:eastAsia="Times New Roman" w:cs="Arial"/>
                <w:color w:val="000000"/>
                <w:lang w:val="en-GB"/>
              </w:rPr>
              <w:t>Profitability Ratios</w:t>
            </w:r>
          </w:p>
        </w:tc>
      </w:tr>
      <w:tr w:rsidR="00010F6A" w:rsidRPr="004B0336" w14:paraId="2E4EA561" w14:textId="77777777" w:rsidTr="007B09AB">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11" w:type="pct"/>
            <w:noWrap/>
            <w:hideMark/>
          </w:tcPr>
          <w:p w14:paraId="1C7945F3" w14:textId="77777777" w:rsidR="00010F6A" w:rsidRPr="004B0336" w:rsidRDefault="00010F6A" w:rsidP="007B09AB">
            <w:pPr>
              <w:jc w:val="center"/>
              <w:rPr>
                <w:rFonts w:eastAsia="Times New Roman" w:cs="Arial"/>
                <w:color w:val="000000"/>
                <w:lang w:val="en-GB"/>
              </w:rPr>
            </w:pPr>
            <w:r w:rsidRPr="004B0336">
              <w:rPr>
                <w:rFonts w:eastAsia="Times New Roman" w:cs="Arial"/>
                <w:color w:val="000000"/>
                <w:lang w:val="en-GB"/>
              </w:rPr>
              <w:t>Ratio</w:t>
            </w:r>
          </w:p>
        </w:tc>
        <w:tc>
          <w:tcPr>
            <w:tcW w:w="954" w:type="pct"/>
            <w:noWrap/>
            <w:hideMark/>
          </w:tcPr>
          <w:p w14:paraId="737D40A8" w14:textId="77777777" w:rsidR="00010F6A" w:rsidRPr="004B0336" w:rsidRDefault="00010F6A" w:rsidP="007B09AB">
            <w:pPr>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Formula</w:t>
            </w:r>
          </w:p>
        </w:tc>
        <w:tc>
          <w:tcPr>
            <w:tcW w:w="693" w:type="pct"/>
            <w:noWrap/>
            <w:hideMark/>
          </w:tcPr>
          <w:p w14:paraId="272674E1" w14:textId="77777777" w:rsidR="00010F6A" w:rsidRPr="004B0336" w:rsidRDefault="00010F6A" w:rsidP="007B09AB">
            <w:pPr>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2024</w:t>
            </w:r>
          </w:p>
        </w:tc>
        <w:tc>
          <w:tcPr>
            <w:tcW w:w="693" w:type="pct"/>
            <w:noWrap/>
            <w:hideMark/>
          </w:tcPr>
          <w:p w14:paraId="095E9B5B" w14:textId="77777777" w:rsidR="00010F6A" w:rsidRPr="004B0336" w:rsidRDefault="00010F6A" w:rsidP="007B09AB">
            <w:pPr>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2023</w:t>
            </w:r>
          </w:p>
        </w:tc>
        <w:tc>
          <w:tcPr>
            <w:tcW w:w="717" w:type="pct"/>
            <w:noWrap/>
            <w:hideMark/>
          </w:tcPr>
          <w:p w14:paraId="0D7AADB4" w14:textId="77777777" w:rsidR="00010F6A" w:rsidRPr="004B0336" w:rsidRDefault="00010F6A" w:rsidP="007B09AB">
            <w:pPr>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2022</w:t>
            </w:r>
          </w:p>
        </w:tc>
        <w:tc>
          <w:tcPr>
            <w:tcW w:w="717" w:type="pct"/>
            <w:noWrap/>
            <w:hideMark/>
          </w:tcPr>
          <w:p w14:paraId="36669C59" w14:textId="77777777" w:rsidR="00010F6A" w:rsidRPr="004B0336" w:rsidRDefault="00010F6A" w:rsidP="007B09AB">
            <w:pPr>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2021</w:t>
            </w:r>
          </w:p>
        </w:tc>
        <w:tc>
          <w:tcPr>
            <w:tcW w:w="717" w:type="pct"/>
            <w:noWrap/>
            <w:hideMark/>
          </w:tcPr>
          <w:p w14:paraId="1988C086" w14:textId="77777777" w:rsidR="00010F6A" w:rsidRPr="004B0336" w:rsidRDefault="00010F6A" w:rsidP="007B09AB">
            <w:pPr>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2020</w:t>
            </w:r>
          </w:p>
        </w:tc>
      </w:tr>
      <w:tr w:rsidR="00010F6A" w:rsidRPr="004B0336" w14:paraId="1BBE3ABC" w14:textId="77777777" w:rsidTr="007B09AB">
        <w:trPr>
          <w:trHeight w:val="300"/>
        </w:trPr>
        <w:tc>
          <w:tcPr>
            <w:cnfStyle w:val="001000000000" w:firstRow="0" w:lastRow="0" w:firstColumn="1" w:lastColumn="0" w:oddVBand="0" w:evenVBand="0" w:oddHBand="0" w:evenHBand="0" w:firstRowFirstColumn="0" w:firstRowLastColumn="0" w:lastRowFirstColumn="0" w:lastRowLastColumn="0"/>
            <w:tcW w:w="511" w:type="pct"/>
            <w:noWrap/>
            <w:hideMark/>
          </w:tcPr>
          <w:p w14:paraId="1A2B45C5" w14:textId="77777777" w:rsidR="00010F6A" w:rsidRPr="004B0336" w:rsidRDefault="00010F6A" w:rsidP="007B09AB">
            <w:pPr>
              <w:jc w:val="left"/>
              <w:rPr>
                <w:rFonts w:eastAsia="Times New Roman" w:cs="Arial"/>
                <w:color w:val="000000"/>
                <w:lang w:val="en-GB"/>
              </w:rPr>
            </w:pPr>
            <w:r w:rsidRPr="004B0336">
              <w:rPr>
                <w:rFonts w:eastAsia="Times New Roman" w:cs="Arial"/>
                <w:color w:val="000000"/>
                <w:lang w:val="en-GB"/>
              </w:rPr>
              <w:t>Gross Profit Margin (%)</w:t>
            </w:r>
          </w:p>
        </w:tc>
        <w:tc>
          <w:tcPr>
            <w:tcW w:w="954" w:type="pct"/>
            <w:noWrap/>
            <w:hideMark/>
          </w:tcPr>
          <w:p w14:paraId="09204DA4"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Gross Profit ÷ Net Sales × 100</w:t>
            </w:r>
          </w:p>
        </w:tc>
        <w:tc>
          <w:tcPr>
            <w:tcW w:w="693" w:type="pct"/>
            <w:noWrap/>
            <w:hideMark/>
          </w:tcPr>
          <w:p w14:paraId="374F5376"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113,994 ÷ 394,879 = 28.87%</w:t>
            </w:r>
          </w:p>
        </w:tc>
        <w:tc>
          <w:tcPr>
            <w:tcW w:w="693" w:type="pct"/>
            <w:noWrap/>
            <w:hideMark/>
          </w:tcPr>
          <w:p w14:paraId="7941A942"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97,560 ÷ 420,457 = 23.20%</w:t>
            </w:r>
          </w:p>
        </w:tc>
        <w:tc>
          <w:tcPr>
            <w:tcW w:w="717" w:type="pct"/>
            <w:noWrap/>
            <w:hideMark/>
          </w:tcPr>
          <w:p w14:paraId="67074F8C"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152,292 ÷ 542,751 = 28.06%</w:t>
            </w:r>
          </w:p>
        </w:tc>
        <w:tc>
          <w:tcPr>
            <w:tcW w:w="717" w:type="pct"/>
            <w:noWrap/>
            <w:hideMark/>
          </w:tcPr>
          <w:p w14:paraId="1E839064"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173,016 ÷ 601,602 = 28.76%</w:t>
            </w:r>
          </w:p>
        </w:tc>
        <w:tc>
          <w:tcPr>
            <w:tcW w:w="717" w:type="pct"/>
            <w:noWrap/>
            <w:hideMark/>
          </w:tcPr>
          <w:p w14:paraId="384720B3"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176,256 ÷ 614,680 = 28.67%</w:t>
            </w:r>
          </w:p>
        </w:tc>
      </w:tr>
      <w:tr w:rsidR="00010F6A" w:rsidRPr="004B0336" w14:paraId="3B9DDDC4" w14:textId="77777777" w:rsidTr="007B09AB">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11" w:type="pct"/>
            <w:noWrap/>
            <w:hideMark/>
          </w:tcPr>
          <w:p w14:paraId="6BE0119D" w14:textId="77777777" w:rsidR="00010F6A" w:rsidRPr="004B0336" w:rsidRDefault="00010F6A" w:rsidP="007B09AB">
            <w:pPr>
              <w:jc w:val="left"/>
              <w:rPr>
                <w:rFonts w:eastAsia="Times New Roman" w:cs="Arial"/>
                <w:color w:val="000000"/>
                <w:lang w:val="en-GB"/>
              </w:rPr>
            </w:pPr>
            <w:r w:rsidRPr="004B0336">
              <w:rPr>
                <w:rFonts w:eastAsia="Times New Roman" w:cs="Arial"/>
                <w:color w:val="000000"/>
                <w:lang w:val="en-GB"/>
              </w:rPr>
              <w:t>Net Profit Margin (%)</w:t>
            </w:r>
          </w:p>
        </w:tc>
        <w:tc>
          <w:tcPr>
            <w:tcW w:w="954" w:type="pct"/>
            <w:noWrap/>
            <w:hideMark/>
          </w:tcPr>
          <w:p w14:paraId="0E10B3A4"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Net Income ÷ Net Sales × 100</w:t>
            </w:r>
          </w:p>
        </w:tc>
        <w:tc>
          <w:tcPr>
            <w:tcW w:w="693" w:type="pct"/>
            <w:noWrap/>
            <w:hideMark/>
          </w:tcPr>
          <w:p w14:paraId="31C85AF1"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(24,029) ÷ 394,879 = -6.09%</w:t>
            </w:r>
          </w:p>
        </w:tc>
        <w:tc>
          <w:tcPr>
            <w:tcW w:w="693" w:type="pct"/>
            <w:noWrap/>
            <w:hideMark/>
          </w:tcPr>
          <w:p w14:paraId="6E55AA83"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(98,238) ÷ 420,457 = -23.37%</w:t>
            </w:r>
          </w:p>
        </w:tc>
        <w:tc>
          <w:tcPr>
            <w:tcW w:w="717" w:type="pct"/>
            <w:noWrap/>
            <w:hideMark/>
          </w:tcPr>
          <w:p w14:paraId="677B510F"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407 ÷ 542,751 = 0.07%</w:t>
            </w:r>
          </w:p>
        </w:tc>
        <w:tc>
          <w:tcPr>
            <w:tcW w:w="717" w:type="pct"/>
            <w:noWrap/>
            <w:hideMark/>
          </w:tcPr>
          <w:p w14:paraId="00E194D4"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5,301 ÷ 601,602 = 0.88%</w:t>
            </w:r>
          </w:p>
        </w:tc>
        <w:tc>
          <w:tcPr>
            <w:tcW w:w="717" w:type="pct"/>
            <w:noWrap/>
            <w:hideMark/>
          </w:tcPr>
          <w:p w14:paraId="69173D77"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38,572 ÷ 614,680 = 6.28%</w:t>
            </w:r>
          </w:p>
        </w:tc>
      </w:tr>
      <w:tr w:rsidR="00010F6A" w:rsidRPr="004B0336" w14:paraId="057440FD" w14:textId="77777777" w:rsidTr="007B09AB">
        <w:trPr>
          <w:trHeight w:val="300"/>
        </w:trPr>
        <w:tc>
          <w:tcPr>
            <w:cnfStyle w:val="001000000000" w:firstRow="0" w:lastRow="0" w:firstColumn="1" w:lastColumn="0" w:oddVBand="0" w:evenVBand="0" w:oddHBand="0" w:evenHBand="0" w:firstRowFirstColumn="0" w:firstRowLastColumn="0" w:lastRowFirstColumn="0" w:lastRowLastColumn="0"/>
            <w:tcW w:w="511" w:type="pct"/>
            <w:noWrap/>
            <w:hideMark/>
          </w:tcPr>
          <w:p w14:paraId="32517DD9" w14:textId="77777777" w:rsidR="00010F6A" w:rsidRPr="004B0336" w:rsidRDefault="00010F6A" w:rsidP="007B09AB">
            <w:pPr>
              <w:jc w:val="left"/>
              <w:rPr>
                <w:rFonts w:eastAsia="Times New Roman" w:cs="Arial"/>
                <w:color w:val="000000"/>
                <w:lang w:val="en-GB"/>
              </w:rPr>
            </w:pPr>
            <w:r w:rsidRPr="004B0336">
              <w:rPr>
                <w:rFonts w:eastAsia="Times New Roman" w:cs="Arial"/>
                <w:color w:val="000000"/>
                <w:lang w:val="en-GB"/>
              </w:rPr>
              <w:t>ROA (%)</w:t>
            </w:r>
          </w:p>
        </w:tc>
        <w:tc>
          <w:tcPr>
            <w:tcW w:w="954" w:type="pct"/>
            <w:noWrap/>
            <w:hideMark/>
          </w:tcPr>
          <w:p w14:paraId="7B55B8E8"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Net Income ÷ Total Assets × 100</w:t>
            </w:r>
          </w:p>
        </w:tc>
        <w:tc>
          <w:tcPr>
            <w:tcW w:w="693" w:type="pct"/>
            <w:noWrap/>
            <w:hideMark/>
          </w:tcPr>
          <w:p w14:paraId="22A39CA3"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(24,029) ÷ 323,354 = -7.43%</w:t>
            </w:r>
          </w:p>
        </w:tc>
        <w:tc>
          <w:tcPr>
            <w:tcW w:w="693" w:type="pct"/>
            <w:noWrap/>
            <w:hideMark/>
          </w:tcPr>
          <w:p w14:paraId="79BCD288"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(98,238) ÷ 355,872 = -27.61%</w:t>
            </w:r>
          </w:p>
        </w:tc>
        <w:tc>
          <w:tcPr>
            <w:tcW w:w="717" w:type="pct"/>
            <w:noWrap/>
            <w:hideMark/>
          </w:tcPr>
          <w:p w14:paraId="5BE5A9E2"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407 ÷ 504,163 = 0.08%</w:t>
            </w:r>
          </w:p>
        </w:tc>
        <w:tc>
          <w:tcPr>
            <w:tcW w:w="717" w:type="pct"/>
            <w:noWrap/>
            <w:hideMark/>
          </w:tcPr>
          <w:p w14:paraId="14B33452"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5,301 ÷ 510,348 = 1.04%</w:t>
            </w:r>
          </w:p>
        </w:tc>
        <w:tc>
          <w:tcPr>
            <w:tcW w:w="717" w:type="pct"/>
            <w:noWrap/>
            <w:hideMark/>
          </w:tcPr>
          <w:p w14:paraId="39EAF2E0"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38,572 ÷ 510,290 = 7.56%</w:t>
            </w:r>
          </w:p>
        </w:tc>
      </w:tr>
      <w:tr w:rsidR="00010F6A" w:rsidRPr="004B0336" w14:paraId="1B3F669B" w14:textId="77777777" w:rsidTr="007B09AB">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11" w:type="pct"/>
            <w:noWrap/>
            <w:hideMark/>
          </w:tcPr>
          <w:p w14:paraId="57EDD392" w14:textId="77777777" w:rsidR="00010F6A" w:rsidRPr="004B0336" w:rsidRDefault="00010F6A" w:rsidP="007B09AB">
            <w:pPr>
              <w:jc w:val="left"/>
              <w:rPr>
                <w:rFonts w:eastAsia="Times New Roman" w:cs="Arial"/>
                <w:color w:val="000000"/>
                <w:lang w:val="en-GB"/>
              </w:rPr>
            </w:pPr>
            <w:r w:rsidRPr="004B0336">
              <w:rPr>
                <w:rFonts w:eastAsia="Times New Roman" w:cs="Arial"/>
                <w:color w:val="000000"/>
                <w:lang w:val="en-GB"/>
              </w:rPr>
              <w:t>ROE (%)</w:t>
            </w:r>
          </w:p>
        </w:tc>
        <w:tc>
          <w:tcPr>
            <w:tcW w:w="954" w:type="pct"/>
            <w:noWrap/>
            <w:hideMark/>
          </w:tcPr>
          <w:p w14:paraId="59DA6194"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Net Income ÷ Shareholders’ Equity × 100</w:t>
            </w:r>
          </w:p>
        </w:tc>
        <w:tc>
          <w:tcPr>
            <w:tcW w:w="693" w:type="pct"/>
            <w:noWrap/>
            <w:hideMark/>
          </w:tcPr>
          <w:p w14:paraId="29DE46EE"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(24,029) ÷ 153,105 = -15.69%</w:t>
            </w:r>
          </w:p>
        </w:tc>
        <w:tc>
          <w:tcPr>
            <w:tcW w:w="693" w:type="pct"/>
            <w:noWrap/>
            <w:hideMark/>
          </w:tcPr>
          <w:p w14:paraId="4F53DBF9"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(98,238) ÷ 178,920 = -54.91%</w:t>
            </w:r>
          </w:p>
        </w:tc>
        <w:tc>
          <w:tcPr>
            <w:tcW w:w="717" w:type="pct"/>
            <w:noWrap/>
            <w:hideMark/>
          </w:tcPr>
          <w:p w14:paraId="5F2AAC2F"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407 ÷ 268,406 = 0.15%</w:t>
            </w:r>
          </w:p>
        </w:tc>
        <w:tc>
          <w:tcPr>
            <w:tcW w:w="717" w:type="pct"/>
            <w:noWrap/>
            <w:hideMark/>
          </w:tcPr>
          <w:p w14:paraId="031C60EB"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5,301 ÷ 275,949 = 1.92%</w:t>
            </w:r>
          </w:p>
        </w:tc>
        <w:tc>
          <w:tcPr>
            <w:tcW w:w="717" w:type="pct"/>
            <w:noWrap/>
            <w:hideMark/>
          </w:tcPr>
          <w:p w14:paraId="72BEC2AD"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38,572 ÷ 313,301 = 12.31%</w:t>
            </w:r>
          </w:p>
        </w:tc>
      </w:tr>
      <w:tr w:rsidR="00010F6A" w:rsidRPr="004B0336" w14:paraId="68018834" w14:textId="77777777" w:rsidTr="007B09AB">
        <w:trPr>
          <w:trHeight w:val="300"/>
        </w:trPr>
        <w:tc>
          <w:tcPr>
            <w:cnfStyle w:val="001000000000" w:firstRow="0" w:lastRow="0" w:firstColumn="1" w:lastColumn="0" w:oddVBand="0" w:evenVBand="0" w:oddHBand="0" w:evenHBand="0" w:firstRowFirstColumn="0" w:firstRowLastColumn="0" w:lastRowFirstColumn="0" w:lastRowLastColumn="0"/>
            <w:tcW w:w="511" w:type="pct"/>
            <w:noWrap/>
            <w:hideMark/>
          </w:tcPr>
          <w:p w14:paraId="6A50072C" w14:textId="77777777" w:rsidR="00010F6A" w:rsidRPr="004B0336" w:rsidRDefault="00010F6A" w:rsidP="007B09AB">
            <w:pPr>
              <w:jc w:val="left"/>
              <w:rPr>
                <w:rFonts w:eastAsia="Times New Roman" w:cs="Arial"/>
                <w:color w:val="000000"/>
                <w:lang w:val="en-GB"/>
              </w:rPr>
            </w:pPr>
          </w:p>
        </w:tc>
        <w:tc>
          <w:tcPr>
            <w:tcW w:w="954" w:type="pct"/>
            <w:noWrap/>
            <w:hideMark/>
          </w:tcPr>
          <w:p w14:paraId="1B300C09"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lang w:val="en-GB"/>
              </w:rPr>
            </w:pPr>
          </w:p>
        </w:tc>
        <w:tc>
          <w:tcPr>
            <w:tcW w:w="693" w:type="pct"/>
            <w:noWrap/>
            <w:hideMark/>
          </w:tcPr>
          <w:p w14:paraId="1D4A8213"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lang w:val="en-GB"/>
              </w:rPr>
            </w:pPr>
          </w:p>
        </w:tc>
        <w:tc>
          <w:tcPr>
            <w:tcW w:w="693" w:type="pct"/>
            <w:noWrap/>
            <w:hideMark/>
          </w:tcPr>
          <w:p w14:paraId="4E6CCD59"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lang w:val="en-GB"/>
              </w:rPr>
            </w:pPr>
          </w:p>
        </w:tc>
        <w:tc>
          <w:tcPr>
            <w:tcW w:w="717" w:type="pct"/>
            <w:noWrap/>
            <w:hideMark/>
          </w:tcPr>
          <w:p w14:paraId="3F0E9CE2"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lang w:val="en-GB"/>
              </w:rPr>
            </w:pPr>
          </w:p>
        </w:tc>
        <w:tc>
          <w:tcPr>
            <w:tcW w:w="717" w:type="pct"/>
            <w:noWrap/>
            <w:hideMark/>
          </w:tcPr>
          <w:p w14:paraId="2EA563DE"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lang w:val="en-GB"/>
              </w:rPr>
            </w:pPr>
          </w:p>
        </w:tc>
        <w:tc>
          <w:tcPr>
            <w:tcW w:w="717" w:type="pct"/>
            <w:noWrap/>
            <w:hideMark/>
          </w:tcPr>
          <w:p w14:paraId="19F5065B"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lang w:val="en-GB"/>
              </w:rPr>
            </w:pPr>
          </w:p>
        </w:tc>
      </w:tr>
      <w:tr w:rsidR="00010F6A" w:rsidRPr="004B0336" w14:paraId="7341726B" w14:textId="77777777" w:rsidTr="007B09AB">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11" w:type="pct"/>
            <w:noWrap/>
            <w:hideMark/>
          </w:tcPr>
          <w:p w14:paraId="1DD3271B" w14:textId="77777777" w:rsidR="00010F6A" w:rsidRPr="004B0336" w:rsidRDefault="00010F6A" w:rsidP="007B09AB">
            <w:pPr>
              <w:jc w:val="left"/>
              <w:rPr>
                <w:rFonts w:eastAsia="Times New Roman" w:cs="Arial"/>
                <w:lang w:val="en-GB"/>
              </w:rPr>
            </w:pPr>
          </w:p>
        </w:tc>
        <w:tc>
          <w:tcPr>
            <w:tcW w:w="954" w:type="pct"/>
            <w:noWrap/>
            <w:hideMark/>
          </w:tcPr>
          <w:p w14:paraId="48900615"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c>
          <w:tcPr>
            <w:tcW w:w="693" w:type="pct"/>
            <w:noWrap/>
            <w:hideMark/>
          </w:tcPr>
          <w:p w14:paraId="58463436"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c>
          <w:tcPr>
            <w:tcW w:w="693" w:type="pct"/>
            <w:noWrap/>
            <w:hideMark/>
          </w:tcPr>
          <w:p w14:paraId="184DDAA1"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c>
          <w:tcPr>
            <w:tcW w:w="717" w:type="pct"/>
            <w:noWrap/>
            <w:hideMark/>
          </w:tcPr>
          <w:p w14:paraId="7DC91240"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c>
          <w:tcPr>
            <w:tcW w:w="717" w:type="pct"/>
            <w:noWrap/>
            <w:hideMark/>
          </w:tcPr>
          <w:p w14:paraId="25CE1132"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c>
          <w:tcPr>
            <w:tcW w:w="717" w:type="pct"/>
            <w:noWrap/>
            <w:hideMark/>
          </w:tcPr>
          <w:p w14:paraId="6D766D06"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r>
      <w:tr w:rsidR="00010F6A" w:rsidRPr="004B0336" w14:paraId="1DDB1B8E" w14:textId="77777777" w:rsidTr="007B09AB">
        <w:trPr>
          <w:trHeight w:val="300"/>
        </w:trPr>
        <w:tc>
          <w:tcPr>
            <w:cnfStyle w:val="001000000000" w:firstRow="0" w:lastRow="0" w:firstColumn="1" w:lastColumn="0" w:oddVBand="0" w:evenVBand="0" w:oddHBand="0" w:evenHBand="0" w:firstRowFirstColumn="0" w:firstRowLastColumn="0" w:lastRowFirstColumn="0" w:lastRowLastColumn="0"/>
            <w:tcW w:w="5000" w:type="pct"/>
            <w:gridSpan w:val="7"/>
            <w:noWrap/>
            <w:hideMark/>
          </w:tcPr>
          <w:p w14:paraId="30CF5ACC" w14:textId="77777777" w:rsidR="00010F6A" w:rsidRPr="004B0336" w:rsidRDefault="00010F6A" w:rsidP="007B09AB">
            <w:pPr>
              <w:jc w:val="center"/>
              <w:rPr>
                <w:rFonts w:eastAsia="Times New Roman" w:cs="Arial"/>
                <w:color w:val="000000"/>
                <w:lang w:val="en-GB"/>
              </w:rPr>
            </w:pPr>
            <w:r w:rsidRPr="004B0336">
              <w:rPr>
                <w:rFonts w:eastAsia="Times New Roman" w:cs="Arial"/>
                <w:color w:val="000000"/>
                <w:lang w:val="en-GB"/>
              </w:rPr>
              <w:t>Liquidity Ratios</w:t>
            </w:r>
          </w:p>
        </w:tc>
      </w:tr>
      <w:tr w:rsidR="00010F6A" w:rsidRPr="004B0336" w14:paraId="29622BB3" w14:textId="77777777" w:rsidTr="007B09AB">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11" w:type="pct"/>
            <w:noWrap/>
            <w:hideMark/>
          </w:tcPr>
          <w:p w14:paraId="79BCC916" w14:textId="77777777" w:rsidR="00010F6A" w:rsidRPr="004B0336" w:rsidRDefault="00010F6A" w:rsidP="007B09AB">
            <w:pPr>
              <w:jc w:val="left"/>
              <w:rPr>
                <w:rFonts w:eastAsia="Times New Roman" w:cs="Arial"/>
                <w:color w:val="000000"/>
                <w:lang w:val="en-GB"/>
              </w:rPr>
            </w:pPr>
            <w:r w:rsidRPr="004B0336">
              <w:rPr>
                <w:rFonts w:eastAsia="Times New Roman" w:cs="Arial"/>
                <w:color w:val="000000"/>
                <w:lang w:val="en-GB"/>
              </w:rPr>
              <w:t>Ratio</w:t>
            </w:r>
          </w:p>
        </w:tc>
        <w:tc>
          <w:tcPr>
            <w:tcW w:w="954" w:type="pct"/>
            <w:noWrap/>
            <w:hideMark/>
          </w:tcPr>
          <w:p w14:paraId="5A7B3B2A"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Formula</w:t>
            </w:r>
          </w:p>
        </w:tc>
        <w:tc>
          <w:tcPr>
            <w:tcW w:w="693" w:type="pct"/>
            <w:noWrap/>
            <w:hideMark/>
          </w:tcPr>
          <w:p w14:paraId="4499A2EF" w14:textId="77777777" w:rsidR="00010F6A" w:rsidRPr="004B0336" w:rsidRDefault="00010F6A" w:rsidP="007B09AB">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2024</w:t>
            </w:r>
          </w:p>
        </w:tc>
        <w:tc>
          <w:tcPr>
            <w:tcW w:w="693" w:type="pct"/>
            <w:noWrap/>
            <w:hideMark/>
          </w:tcPr>
          <w:p w14:paraId="550C7B25" w14:textId="77777777" w:rsidR="00010F6A" w:rsidRPr="004B0336" w:rsidRDefault="00010F6A" w:rsidP="007B09AB">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2023</w:t>
            </w:r>
          </w:p>
        </w:tc>
        <w:tc>
          <w:tcPr>
            <w:tcW w:w="717" w:type="pct"/>
            <w:noWrap/>
            <w:hideMark/>
          </w:tcPr>
          <w:p w14:paraId="5ADD2FDA" w14:textId="77777777" w:rsidR="00010F6A" w:rsidRPr="004B0336" w:rsidRDefault="00010F6A" w:rsidP="007B09AB">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2022</w:t>
            </w:r>
          </w:p>
        </w:tc>
        <w:tc>
          <w:tcPr>
            <w:tcW w:w="717" w:type="pct"/>
            <w:noWrap/>
            <w:hideMark/>
          </w:tcPr>
          <w:p w14:paraId="7281B03C" w14:textId="77777777" w:rsidR="00010F6A" w:rsidRPr="004B0336" w:rsidRDefault="00010F6A" w:rsidP="007B09AB">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2021</w:t>
            </w:r>
          </w:p>
        </w:tc>
        <w:tc>
          <w:tcPr>
            <w:tcW w:w="717" w:type="pct"/>
            <w:noWrap/>
            <w:hideMark/>
          </w:tcPr>
          <w:p w14:paraId="7452D92B" w14:textId="77777777" w:rsidR="00010F6A" w:rsidRPr="004B0336" w:rsidRDefault="00010F6A" w:rsidP="007B09AB">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2020</w:t>
            </w:r>
          </w:p>
        </w:tc>
      </w:tr>
      <w:tr w:rsidR="00010F6A" w:rsidRPr="004B0336" w14:paraId="6B41B1A3" w14:textId="77777777" w:rsidTr="007B09AB">
        <w:trPr>
          <w:trHeight w:val="300"/>
        </w:trPr>
        <w:tc>
          <w:tcPr>
            <w:cnfStyle w:val="001000000000" w:firstRow="0" w:lastRow="0" w:firstColumn="1" w:lastColumn="0" w:oddVBand="0" w:evenVBand="0" w:oddHBand="0" w:evenHBand="0" w:firstRowFirstColumn="0" w:firstRowLastColumn="0" w:lastRowFirstColumn="0" w:lastRowLastColumn="0"/>
            <w:tcW w:w="511" w:type="pct"/>
            <w:noWrap/>
            <w:hideMark/>
          </w:tcPr>
          <w:p w14:paraId="36334D37" w14:textId="77777777" w:rsidR="00010F6A" w:rsidRPr="004B0336" w:rsidRDefault="00010F6A" w:rsidP="007B09AB">
            <w:pPr>
              <w:jc w:val="left"/>
              <w:rPr>
                <w:rFonts w:eastAsia="Times New Roman" w:cs="Arial"/>
                <w:color w:val="000000"/>
                <w:lang w:val="en-GB"/>
              </w:rPr>
            </w:pPr>
            <w:r w:rsidRPr="004B0336">
              <w:rPr>
                <w:rFonts w:eastAsia="Times New Roman" w:cs="Arial"/>
                <w:color w:val="000000"/>
                <w:lang w:val="en-GB"/>
              </w:rPr>
              <w:t>Current Ratio</w:t>
            </w:r>
          </w:p>
        </w:tc>
        <w:tc>
          <w:tcPr>
            <w:tcW w:w="954" w:type="pct"/>
            <w:noWrap/>
            <w:hideMark/>
          </w:tcPr>
          <w:p w14:paraId="692612FD"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Current Assets ÷ Current Liabilities</w:t>
            </w:r>
          </w:p>
        </w:tc>
        <w:tc>
          <w:tcPr>
            <w:tcW w:w="693" w:type="pct"/>
            <w:noWrap/>
            <w:hideMark/>
          </w:tcPr>
          <w:p w14:paraId="74B37635"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242,494 ÷ 158,291 = 1.53</w:t>
            </w:r>
          </w:p>
        </w:tc>
        <w:tc>
          <w:tcPr>
            <w:tcW w:w="693" w:type="pct"/>
            <w:noWrap/>
            <w:hideMark/>
          </w:tcPr>
          <w:p w14:paraId="23CACA97"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258,851 ÷ 161,148 = 1.61</w:t>
            </w:r>
          </w:p>
        </w:tc>
        <w:tc>
          <w:tcPr>
            <w:tcW w:w="717" w:type="pct"/>
            <w:noWrap/>
            <w:hideMark/>
          </w:tcPr>
          <w:p w14:paraId="35CAB5BC"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338,040 ÷ 216,473 = 1.56</w:t>
            </w:r>
          </w:p>
        </w:tc>
        <w:tc>
          <w:tcPr>
            <w:tcW w:w="717" w:type="pct"/>
            <w:noWrap/>
            <w:hideMark/>
          </w:tcPr>
          <w:p w14:paraId="3CAAAD96"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337,146 ÷ 216,787 = 1.56</w:t>
            </w:r>
          </w:p>
        </w:tc>
        <w:tc>
          <w:tcPr>
            <w:tcW w:w="717" w:type="pct"/>
            <w:noWrap/>
            <w:hideMark/>
          </w:tcPr>
          <w:p w14:paraId="7AD2277C"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326,843 ÷ 179,510 = 1.82</w:t>
            </w:r>
          </w:p>
        </w:tc>
      </w:tr>
      <w:tr w:rsidR="00010F6A" w:rsidRPr="004B0336" w14:paraId="5F2C6240" w14:textId="77777777" w:rsidTr="007B09AB">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11" w:type="pct"/>
            <w:noWrap/>
            <w:hideMark/>
          </w:tcPr>
          <w:p w14:paraId="5248A224" w14:textId="77777777" w:rsidR="00010F6A" w:rsidRPr="004B0336" w:rsidRDefault="00010F6A" w:rsidP="007B09AB">
            <w:pPr>
              <w:jc w:val="left"/>
              <w:rPr>
                <w:rFonts w:eastAsia="Times New Roman" w:cs="Arial"/>
                <w:color w:val="000000"/>
                <w:lang w:val="en-GB"/>
              </w:rPr>
            </w:pPr>
            <w:r w:rsidRPr="004B0336">
              <w:rPr>
                <w:rFonts w:eastAsia="Times New Roman" w:cs="Arial"/>
                <w:color w:val="000000"/>
                <w:lang w:val="en-GB"/>
              </w:rPr>
              <w:t>Quick Ratio</w:t>
            </w:r>
          </w:p>
        </w:tc>
        <w:tc>
          <w:tcPr>
            <w:tcW w:w="954" w:type="pct"/>
            <w:noWrap/>
            <w:hideMark/>
          </w:tcPr>
          <w:p w14:paraId="47811685"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(Current Assets – Inventories) ÷ Current Liabilities</w:t>
            </w:r>
          </w:p>
        </w:tc>
        <w:tc>
          <w:tcPr>
            <w:tcW w:w="693" w:type="pct"/>
            <w:noWrap/>
            <w:hideMark/>
          </w:tcPr>
          <w:p w14:paraId="3E49C52F"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(242,494 − 79,355) ÷ 158,291 = 1.03</w:t>
            </w:r>
          </w:p>
        </w:tc>
        <w:tc>
          <w:tcPr>
            <w:tcW w:w="693" w:type="pct"/>
            <w:noWrap/>
            <w:hideMark/>
          </w:tcPr>
          <w:p w14:paraId="2F1E5FE3"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(258,851 − 88,273) ÷ 161,148 = 1.06</w:t>
            </w:r>
          </w:p>
        </w:tc>
        <w:tc>
          <w:tcPr>
            <w:tcW w:w="717" w:type="pct"/>
            <w:noWrap/>
            <w:hideMark/>
          </w:tcPr>
          <w:p w14:paraId="3B5149B4"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(338,040 − 140,181) ÷ 216,473 = 0.91</w:t>
            </w:r>
          </w:p>
        </w:tc>
        <w:tc>
          <w:tcPr>
            <w:tcW w:w="717" w:type="pct"/>
            <w:noWrap/>
            <w:hideMark/>
          </w:tcPr>
          <w:p w14:paraId="388547BF"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(337,146 − 134,469) ÷ 216,787 = 0.94</w:t>
            </w:r>
          </w:p>
        </w:tc>
        <w:tc>
          <w:tcPr>
            <w:tcW w:w="717" w:type="pct"/>
            <w:noWrap/>
            <w:hideMark/>
          </w:tcPr>
          <w:p w14:paraId="6C1E3D8E"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(326,843 − 120,430) ÷ 179,510 = 1.15</w:t>
            </w:r>
          </w:p>
        </w:tc>
      </w:tr>
      <w:tr w:rsidR="00010F6A" w:rsidRPr="004B0336" w14:paraId="490BAB9C" w14:textId="77777777" w:rsidTr="007B09AB">
        <w:trPr>
          <w:trHeight w:val="300"/>
        </w:trPr>
        <w:tc>
          <w:tcPr>
            <w:cnfStyle w:val="001000000000" w:firstRow="0" w:lastRow="0" w:firstColumn="1" w:lastColumn="0" w:oddVBand="0" w:evenVBand="0" w:oddHBand="0" w:evenHBand="0" w:firstRowFirstColumn="0" w:firstRowLastColumn="0" w:lastRowFirstColumn="0" w:lastRowLastColumn="0"/>
            <w:tcW w:w="511" w:type="pct"/>
            <w:noWrap/>
            <w:hideMark/>
          </w:tcPr>
          <w:p w14:paraId="44C22038" w14:textId="77777777" w:rsidR="00010F6A" w:rsidRPr="004B0336" w:rsidRDefault="00010F6A" w:rsidP="007B09AB">
            <w:pPr>
              <w:jc w:val="left"/>
              <w:rPr>
                <w:rFonts w:eastAsia="Times New Roman" w:cs="Arial"/>
                <w:color w:val="000000"/>
                <w:lang w:val="en-GB"/>
              </w:rPr>
            </w:pPr>
          </w:p>
        </w:tc>
        <w:tc>
          <w:tcPr>
            <w:tcW w:w="954" w:type="pct"/>
            <w:noWrap/>
            <w:hideMark/>
          </w:tcPr>
          <w:p w14:paraId="665ADE8E"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lang w:val="en-GB"/>
              </w:rPr>
            </w:pPr>
          </w:p>
        </w:tc>
        <w:tc>
          <w:tcPr>
            <w:tcW w:w="693" w:type="pct"/>
            <w:noWrap/>
            <w:hideMark/>
          </w:tcPr>
          <w:p w14:paraId="4718E219"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lang w:val="en-GB"/>
              </w:rPr>
            </w:pPr>
          </w:p>
        </w:tc>
        <w:tc>
          <w:tcPr>
            <w:tcW w:w="693" w:type="pct"/>
            <w:noWrap/>
            <w:hideMark/>
          </w:tcPr>
          <w:p w14:paraId="20A6C43B"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lang w:val="en-GB"/>
              </w:rPr>
            </w:pPr>
          </w:p>
        </w:tc>
        <w:tc>
          <w:tcPr>
            <w:tcW w:w="717" w:type="pct"/>
            <w:noWrap/>
            <w:hideMark/>
          </w:tcPr>
          <w:p w14:paraId="38C2DB88"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lang w:val="en-GB"/>
              </w:rPr>
            </w:pPr>
          </w:p>
        </w:tc>
        <w:tc>
          <w:tcPr>
            <w:tcW w:w="717" w:type="pct"/>
            <w:noWrap/>
            <w:hideMark/>
          </w:tcPr>
          <w:p w14:paraId="266CD0EA"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lang w:val="en-GB"/>
              </w:rPr>
            </w:pPr>
          </w:p>
        </w:tc>
        <w:tc>
          <w:tcPr>
            <w:tcW w:w="717" w:type="pct"/>
            <w:noWrap/>
            <w:hideMark/>
          </w:tcPr>
          <w:p w14:paraId="3797790D"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lang w:val="en-GB"/>
              </w:rPr>
            </w:pPr>
          </w:p>
        </w:tc>
      </w:tr>
      <w:tr w:rsidR="00010F6A" w:rsidRPr="004B0336" w14:paraId="29169DA1" w14:textId="77777777" w:rsidTr="007B09AB">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11" w:type="pct"/>
            <w:noWrap/>
            <w:hideMark/>
          </w:tcPr>
          <w:p w14:paraId="5FC348E0" w14:textId="77777777" w:rsidR="00010F6A" w:rsidRPr="004B0336" w:rsidRDefault="00010F6A" w:rsidP="007B09AB">
            <w:pPr>
              <w:jc w:val="left"/>
              <w:rPr>
                <w:rFonts w:eastAsia="Times New Roman" w:cs="Arial"/>
                <w:lang w:val="en-GB"/>
              </w:rPr>
            </w:pPr>
          </w:p>
        </w:tc>
        <w:tc>
          <w:tcPr>
            <w:tcW w:w="954" w:type="pct"/>
            <w:noWrap/>
            <w:hideMark/>
          </w:tcPr>
          <w:p w14:paraId="61CFA4F8"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c>
          <w:tcPr>
            <w:tcW w:w="693" w:type="pct"/>
            <w:noWrap/>
            <w:hideMark/>
          </w:tcPr>
          <w:p w14:paraId="75F8B800"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c>
          <w:tcPr>
            <w:tcW w:w="693" w:type="pct"/>
            <w:noWrap/>
            <w:hideMark/>
          </w:tcPr>
          <w:p w14:paraId="61B7C625"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c>
          <w:tcPr>
            <w:tcW w:w="717" w:type="pct"/>
            <w:noWrap/>
            <w:hideMark/>
          </w:tcPr>
          <w:p w14:paraId="623953E1"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c>
          <w:tcPr>
            <w:tcW w:w="717" w:type="pct"/>
            <w:noWrap/>
            <w:hideMark/>
          </w:tcPr>
          <w:p w14:paraId="4C53C1CB"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c>
          <w:tcPr>
            <w:tcW w:w="717" w:type="pct"/>
            <w:noWrap/>
            <w:hideMark/>
          </w:tcPr>
          <w:p w14:paraId="443E6788"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r>
      <w:tr w:rsidR="00010F6A" w:rsidRPr="004B0336" w14:paraId="0BB905EA" w14:textId="77777777" w:rsidTr="007B09AB">
        <w:trPr>
          <w:trHeight w:val="300"/>
        </w:trPr>
        <w:tc>
          <w:tcPr>
            <w:cnfStyle w:val="001000000000" w:firstRow="0" w:lastRow="0" w:firstColumn="1" w:lastColumn="0" w:oddVBand="0" w:evenVBand="0" w:oddHBand="0" w:evenHBand="0" w:firstRowFirstColumn="0" w:firstRowLastColumn="0" w:lastRowFirstColumn="0" w:lastRowLastColumn="0"/>
            <w:tcW w:w="5000" w:type="pct"/>
            <w:gridSpan w:val="7"/>
            <w:noWrap/>
            <w:hideMark/>
          </w:tcPr>
          <w:p w14:paraId="63A9FF6E" w14:textId="77777777" w:rsidR="00010F6A" w:rsidRPr="004B0336" w:rsidRDefault="00010F6A" w:rsidP="007B09AB">
            <w:pPr>
              <w:jc w:val="center"/>
              <w:rPr>
                <w:rFonts w:eastAsia="Times New Roman" w:cs="Arial"/>
                <w:color w:val="000000"/>
                <w:lang w:val="en-GB"/>
              </w:rPr>
            </w:pPr>
            <w:r w:rsidRPr="004B0336">
              <w:rPr>
                <w:rFonts w:eastAsia="Times New Roman" w:cs="Arial"/>
                <w:color w:val="000000"/>
                <w:lang w:val="en-GB"/>
              </w:rPr>
              <w:t>Efficiency Ratios</w:t>
            </w:r>
          </w:p>
        </w:tc>
      </w:tr>
      <w:tr w:rsidR="00010F6A" w:rsidRPr="004B0336" w14:paraId="4127953E" w14:textId="77777777" w:rsidTr="007B09AB">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11" w:type="pct"/>
            <w:noWrap/>
            <w:hideMark/>
          </w:tcPr>
          <w:p w14:paraId="5424AB83" w14:textId="77777777" w:rsidR="00010F6A" w:rsidRPr="004B0336" w:rsidRDefault="00010F6A" w:rsidP="007B09AB">
            <w:pPr>
              <w:jc w:val="center"/>
              <w:rPr>
                <w:rFonts w:eastAsia="Times New Roman" w:cs="Arial"/>
                <w:color w:val="000000"/>
                <w:lang w:val="en-GB"/>
              </w:rPr>
            </w:pPr>
            <w:r w:rsidRPr="004B0336">
              <w:rPr>
                <w:rFonts w:eastAsia="Times New Roman" w:cs="Arial"/>
                <w:color w:val="000000"/>
                <w:lang w:val="en-GB"/>
              </w:rPr>
              <w:t>Ratio</w:t>
            </w:r>
          </w:p>
        </w:tc>
        <w:tc>
          <w:tcPr>
            <w:tcW w:w="954" w:type="pct"/>
            <w:noWrap/>
            <w:hideMark/>
          </w:tcPr>
          <w:p w14:paraId="1DD4A1B3" w14:textId="77777777" w:rsidR="00010F6A" w:rsidRPr="004B0336" w:rsidRDefault="00010F6A" w:rsidP="007B09AB">
            <w:pPr>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Formula</w:t>
            </w:r>
          </w:p>
        </w:tc>
        <w:tc>
          <w:tcPr>
            <w:tcW w:w="693" w:type="pct"/>
            <w:noWrap/>
            <w:hideMark/>
          </w:tcPr>
          <w:p w14:paraId="014C1318" w14:textId="77777777" w:rsidR="00010F6A" w:rsidRPr="004B0336" w:rsidRDefault="00010F6A" w:rsidP="007B09AB">
            <w:pPr>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2024</w:t>
            </w:r>
          </w:p>
        </w:tc>
        <w:tc>
          <w:tcPr>
            <w:tcW w:w="693" w:type="pct"/>
            <w:noWrap/>
            <w:hideMark/>
          </w:tcPr>
          <w:p w14:paraId="5E8522A2" w14:textId="77777777" w:rsidR="00010F6A" w:rsidRPr="004B0336" w:rsidRDefault="00010F6A" w:rsidP="007B09AB">
            <w:pPr>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2023</w:t>
            </w:r>
          </w:p>
        </w:tc>
        <w:tc>
          <w:tcPr>
            <w:tcW w:w="717" w:type="pct"/>
            <w:noWrap/>
            <w:hideMark/>
          </w:tcPr>
          <w:p w14:paraId="348E936B" w14:textId="77777777" w:rsidR="00010F6A" w:rsidRPr="004B0336" w:rsidRDefault="00010F6A" w:rsidP="007B09AB">
            <w:pPr>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2022</w:t>
            </w:r>
          </w:p>
        </w:tc>
        <w:tc>
          <w:tcPr>
            <w:tcW w:w="717" w:type="pct"/>
            <w:noWrap/>
            <w:hideMark/>
          </w:tcPr>
          <w:p w14:paraId="5CBA4AC2" w14:textId="77777777" w:rsidR="00010F6A" w:rsidRPr="004B0336" w:rsidRDefault="00010F6A" w:rsidP="007B09AB">
            <w:pPr>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2021</w:t>
            </w:r>
          </w:p>
        </w:tc>
        <w:tc>
          <w:tcPr>
            <w:tcW w:w="717" w:type="pct"/>
            <w:noWrap/>
            <w:hideMark/>
          </w:tcPr>
          <w:p w14:paraId="71D2DAFA" w14:textId="77777777" w:rsidR="00010F6A" w:rsidRPr="004B0336" w:rsidRDefault="00010F6A" w:rsidP="007B09AB">
            <w:pPr>
              <w:jc w:val="center"/>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2020</w:t>
            </w:r>
          </w:p>
        </w:tc>
      </w:tr>
      <w:tr w:rsidR="00010F6A" w:rsidRPr="004B0336" w14:paraId="06F1D37F" w14:textId="77777777" w:rsidTr="007B09AB">
        <w:trPr>
          <w:trHeight w:val="300"/>
        </w:trPr>
        <w:tc>
          <w:tcPr>
            <w:cnfStyle w:val="001000000000" w:firstRow="0" w:lastRow="0" w:firstColumn="1" w:lastColumn="0" w:oddVBand="0" w:evenVBand="0" w:oddHBand="0" w:evenHBand="0" w:firstRowFirstColumn="0" w:firstRowLastColumn="0" w:lastRowFirstColumn="0" w:lastRowLastColumn="0"/>
            <w:tcW w:w="511" w:type="pct"/>
            <w:noWrap/>
            <w:hideMark/>
          </w:tcPr>
          <w:p w14:paraId="26953F12" w14:textId="77777777" w:rsidR="00010F6A" w:rsidRPr="004B0336" w:rsidRDefault="00010F6A" w:rsidP="007B09AB">
            <w:pPr>
              <w:jc w:val="left"/>
              <w:rPr>
                <w:rFonts w:eastAsia="Times New Roman" w:cs="Arial"/>
                <w:color w:val="000000"/>
                <w:lang w:val="en-GB"/>
              </w:rPr>
            </w:pPr>
            <w:r w:rsidRPr="004B0336">
              <w:rPr>
                <w:rFonts w:eastAsia="Times New Roman" w:cs="Arial"/>
                <w:color w:val="000000"/>
                <w:lang w:val="en-GB"/>
              </w:rPr>
              <w:t>Asset Turnover</w:t>
            </w:r>
          </w:p>
        </w:tc>
        <w:tc>
          <w:tcPr>
            <w:tcW w:w="954" w:type="pct"/>
            <w:noWrap/>
            <w:hideMark/>
          </w:tcPr>
          <w:p w14:paraId="46A15D52"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Net Sales ÷ Total Assets</w:t>
            </w:r>
          </w:p>
        </w:tc>
        <w:tc>
          <w:tcPr>
            <w:tcW w:w="693" w:type="pct"/>
            <w:noWrap/>
            <w:hideMark/>
          </w:tcPr>
          <w:p w14:paraId="3785ED14"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394,879 ÷ 323,354 = 1.22</w:t>
            </w:r>
          </w:p>
        </w:tc>
        <w:tc>
          <w:tcPr>
            <w:tcW w:w="693" w:type="pct"/>
            <w:noWrap/>
            <w:hideMark/>
          </w:tcPr>
          <w:p w14:paraId="27E4ED63"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420,457 ÷ 355,872 = 1.18</w:t>
            </w:r>
          </w:p>
        </w:tc>
        <w:tc>
          <w:tcPr>
            <w:tcW w:w="717" w:type="pct"/>
            <w:noWrap/>
            <w:hideMark/>
          </w:tcPr>
          <w:p w14:paraId="1473AFA2"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542,751 ÷ 504,163 = 1.08</w:t>
            </w:r>
          </w:p>
        </w:tc>
        <w:tc>
          <w:tcPr>
            <w:tcW w:w="717" w:type="pct"/>
            <w:noWrap/>
            <w:hideMark/>
          </w:tcPr>
          <w:p w14:paraId="352583F6"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601,602 ÷ 510,348 = 1.18</w:t>
            </w:r>
          </w:p>
        </w:tc>
        <w:tc>
          <w:tcPr>
            <w:tcW w:w="717" w:type="pct"/>
            <w:noWrap/>
            <w:hideMark/>
          </w:tcPr>
          <w:p w14:paraId="7B44515A"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614,680 ÷ 510,290 = 1.21</w:t>
            </w:r>
          </w:p>
        </w:tc>
      </w:tr>
      <w:tr w:rsidR="00010F6A" w:rsidRPr="004B0336" w14:paraId="1FFE8899" w14:textId="77777777" w:rsidTr="007B09AB">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11" w:type="pct"/>
            <w:noWrap/>
            <w:hideMark/>
          </w:tcPr>
          <w:p w14:paraId="064B74E6" w14:textId="77777777" w:rsidR="00010F6A" w:rsidRPr="004B0336" w:rsidRDefault="00010F6A" w:rsidP="007B09AB">
            <w:pPr>
              <w:jc w:val="left"/>
              <w:rPr>
                <w:rFonts w:eastAsia="Times New Roman" w:cs="Arial"/>
                <w:color w:val="000000"/>
                <w:lang w:val="en-GB"/>
              </w:rPr>
            </w:pPr>
          </w:p>
        </w:tc>
        <w:tc>
          <w:tcPr>
            <w:tcW w:w="954" w:type="pct"/>
            <w:noWrap/>
            <w:hideMark/>
          </w:tcPr>
          <w:p w14:paraId="17D05327"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c>
          <w:tcPr>
            <w:tcW w:w="693" w:type="pct"/>
            <w:noWrap/>
            <w:hideMark/>
          </w:tcPr>
          <w:p w14:paraId="2E12D077"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c>
          <w:tcPr>
            <w:tcW w:w="693" w:type="pct"/>
            <w:noWrap/>
            <w:hideMark/>
          </w:tcPr>
          <w:p w14:paraId="22D44225"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c>
          <w:tcPr>
            <w:tcW w:w="717" w:type="pct"/>
            <w:noWrap/>
            <w:hideMark/>
          </w:tcPr>
          <w:p w14:paraId="43FA41E9"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c>
          <w:tcPr>
            <w:tcW w:w="717" w:type="pct"/>
            <w:noWrap/>
            <w:hideMark/>
          </w:tcPr>
          <w:p w14:paraId="72BF5185"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c>
          <w:tcPr>
            <w:tcW w:w="717" w:type="pct"/>
            <w:noWrap/>
            <w:hideMark/>
          </w:tcPr>
          <w:p w14:paraId="30A75F44"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r>
      <w:tr w:rsidR="00010F6A" w:rsidRPr="004B0336" w14:paraId="78178281" w14:textId="77777777" w:rsidTr="007B09AB">
        <w:trPr>
          <w:trHeight w:val="300"/>
        </w:trPr>
        <w:tc>
          <w:tcPr>
            <w:cnfStyle w:val="001000000000" w:firstRow="0" w:lastRow="0" w:firstColumn="1" w:lastColumn="0" w:oddVBand="0" w:evenVBand="0" w:oddHBand="0" w:evenHBand="0" w:firstRowFirstColumn="0" w:firstRowLastColumn="0" w:lastRowFirstColumn="0" w:lastRowLastColumn="0"/>
            <w:tcW w:w="511" w:type="pct"/>
            <w:noWrap/>
            <w:hideMark/>
          </w:tcPr>
          <w:p w14:paraId="02CB27B5" w14:textId="77777777" w:rsidR="00010F6A" w:rsidRPr="004B0336" w:rsidRDefault="00010F6A" w:rsidP="007B09AB">
            <w:pPr>
              <w:jc w:val="left"/>
              <w:rPr>
                <w:rFonts w:eastAsia="Times New Roman" w:cs="Arial"/>
                <w:lang w:val="en-GB"/>
              </w:rPr>
            </w:pPr>
          </w:p>
        </w:tc>
        <w:tc>
          <w:tcPr>
            <w:tcW w:w="954" w:type="pct"/>
            <w:noWrap/>
            <w:hideMark/>
          </w:tcPr>
          <w:p w14:paraId="46BF013A"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lang w:val="en-GB"/>
              </w:rPr>
            </w:pPr>
          </w:p>
        </w:tc>
        <w:tc>
          <w:tcPr>
            <w:tcW w:w="693" w:type="pct"/>
            <w:noWrap/>
            <w:hideMark/>
          </w:tcPr>
          <w:p w14:paraId="289EE9F0"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lang w:val="en-GB"/>
              </w:rPr>
            </w:pPr>
          </w:p>
        </w:tc>
        <w:tc>
          <w:tcPr>
            <w:tcW w:w="693" w:type="pct"/>
            <w:noWrap/>
            <w:hideMark/>
          </w:tcPr>
          <w:p w14:paraId="73815AD3"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lang w:val="en-GB"/>
              </w:rPr>
            </w:pPr>
          </w:p>
        </w:tc>
        <w:tc>
          <w:tcPr>
            <w:tcW w:w="717" w:type="pct"/>
            <w:noWrap/>
            <w:hideMark/>
          </w:tcPr>
          <w:p w14:paraId="44864B29"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lang w:val="en-GB"/>
              </w:rPr>
            </w:pPr>
          </w:p>
        </w:tc>
        <w:tc>
          <w:tcPr>
            <w:tcW w:w="717" w:type="pct"/>
            <w:noWrap/>
            <w:hideMark/>
          </w:tcPr>
          <w:p w14:paraId="6EFE3D22"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lang w:val="en-GB"/>
              </w:rPr>
            </w:pPr>
          </w:p>
        </w:tc>
        <w:tc>
          <w:tcPr>
            <w:tcW w:w="717" w:type="pct"/>
            <w:noWrap/>
            <w:hideMark/>
          </w:tcPr>
          <w:p w14:paraId="2A7C2801"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lang w:val="en-GB"/>
              </w:rPr>
            </w:pPr>
          </w:p>
        </w:tc>
      </w:tr>
      <w:tr w:rsidR="00010F6A" w:rsidRPr="004B0336" w14:paraId="65C17229" w14:textId="77777777" w:rsidTr="007B09AB">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000" w:type="pct"/>
            <w:gridSpan w:val="7"/>
            <w:noWrap/>
            <w:hideMark/>
          </w:tcPr>
          <w:p w14:paraId="38F68E64" w14:textId="77777777" w:rsidR="00010F6A" w:rsidRPr="004B0336" w:rsidRDefault="00010F6A" w:rsidP="007B09AB">
            <w:pPr>
              <w:jc w:val="center"/>
              <w:rPr>
                <w:rFonts w:eastAsia="Times New Roman" w:cs="Arial"/>
                <w:color w:val="000000"/>
                <w:lang w:val="en-GB"/>
              </w:rPr>
            </w:pPr>
            <w:r w:rsidRPr="004B0336">
              <w:rPr>
                <w:rFonts w:eastAsia="Times New Roman" w:cs="Arial"/>
                <w:color w:val="000000"/>
                <w:lang w:val="en-GB"/>
              </w:rPr>
              <w:t>Gearing / Leverage Ratios</w:t>
            </w:r>
          </w:p>
        </w:tc>
      </w:tr>
      <w:tr w:rsidR="00010F6A" w:rsidRPr="004B0336" w14:paraId="0CEEE34C" w14:textId="77777777" w:rsidTr="007B09AB">
        <w:trPr>
          <w:trHeight w:val="300"/>
        </w:trPr>
        <w:tc>
          <w:tcPr>
            <w:cnfStyle w:val="001000000000" w:firstRow="0" w:lastRow="0" w:firstColumn="1" w:lastColumn="0" w:oddVBand="0" w:evenVBand="0" w:oddHBand="0" w:evenHBand="0" w:firstRowFirstColumn="0" w:firstRowLastColumn="0" w:lastRowFirstColumn="0" w:lastRowLastColumn="0"/>
            <w:tcW w:w="511" w:type="pct"/>
            <w:noWrap/>
            <w:hideMark/>
          </w:tcPr>
          <w:p w14:paraId="494574F2" w14:textId="77777777" w:rsidR="00010F6A" w:rsidRPr="004B0336" w:rsidRDefault="00010F6A" w:rsidP="007B09AB">
            <w:pPr>
              <w:jc w:val="left"/>
              <w:rPr>
                <w:rFonts w:eastAsia="Times New Roman" w:cs="Arial"/>
                <w:color w:val="000000"/>
                <w:lang w:val="en-GB"/>
              </w:rPr>
            </w:pPr>
            <w:r w:rsidRPr="004B0336">
              <w:rPr>
                <w:rFonts w:eastAsia="Times New Roman" w:cs="Arial"/>
                <w:color w:val="000000"/>
                <w:lang w:val="en-GB"/>
              </w:rPr>
              <w:t>Ratio</w:t>
            </w:r>
          </w:p>
        </w:tc>
        <w:tc>
          <w:tcPr>
            <w:tcW w:w="954" w:type="pct"/>
            <w:noWrap/>
            <w:hideMark/>
          </w:tcPr>
          <w:p w14:paraId="08A450E4"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Formula</w:t>
            </w:r>
          </w:p>
        </w:tc>
        <w:tc>
          <w:tcPr>
            <w:tcW w:w="693" w:type="pct"/>
            <w:noWrap/>
            <w:hideMark/>
          </w:tcPr>
          <w:p w14:paraId="22C000AA" w14:textId="77777777" w:rsidR="00010F6A" w:rsidRPr="004B0336" w:rsidRDefault="00010F6A" w:rsidP="007B09AB">
            <w:pPr>
              <w:jc w:val="righ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2024</w:t>
            </w:r>
          </w:p>
        </w:tc>
        <w:tc>
          <w:tcPr>
            <w:tcW w:w="693" w:type="pct"/>
            <w:noWrap/>
            <w:hideMark/>
          </w:tcPr>
          <w:p w14:paraId="3AE63853" w14:textId="77777777" w:rsidR="00010F6A" w:rsidRPr="004B0336" w:rsidRDefault="00010F6A" w:rsidP="007B09AB">
            <w:pPr>
              <w:jc w:val="righ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2023</w:t>
            </w:r>
          </w:p>
        </w:tc>
        <w:tc>
          <w:tcPr>
            <w:tcW w:w="717" w:type="pct"/>
            <w:noWrap/>
            <w:hideMark/>
          </w:tcPr>
          <w:p w14:paraId="2D0B9554" w14:textId="77777777" w:rsidR="00010F6A" w:rsidRPr="004B0336" w:rsidRDefault="00010F6A" w:rsidP="007B09AB">
            <w:pPr>
              <w:jc w:val="righ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2022</w:t>
            </w:r>
          </w:p>
        </w:tc>
        <w:tc>
          <w:tcPr>
            <w:tcW w:w="717" w:type="pct"/>
            <w:noWrap/>
            <w:hideMark/>
          </w:tcPr>
          <w:p w14:paraId="306C94CD" w14:textId="77777777" w:rsidR="00010F6A" w:rsidRPr="004B0336" w:rsidRDefault="00010F6A" w:rsidP="007B09AB">
            <w:pPr>
              <w:jc w:val="righ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2021</w:t>
            </w:r>
          </w:p>
        </w:tc>
        <w:tc>
          <w:tcPr>
            <w:tcW w:w="717" w:type="pct"/>
            <w:noWrap/>
            <w:hideMark/>
          </w:tcPr>
          <w:p w14:paraId="50955BC8" w14:textId="77777777" w:rsidR="00010F6A" w:rsidRPr="004B0336" w:rsidRDefault="00010F6A" w:rsidP="007B09AB">
            <w:pPr>
              <w:jc w:val="righ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2020</w:t>
            </w:r>
          </w:p>
        </w:tc>
      </w:tr>
      <w:tr w:rsidR="00010F6A" w:rsidRPr="004B0336" w14:paraId="2D664872" w14:textId="77777777" w:rsidTr="007B09AB">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11" w:type="pct"/>
            <w:noWrap/>
            <w:hideMark/>
          </w:tcPr>
          <w:p w14:paraId="439293B4" w14:textId="77777777" w:rsidR="00010F6A" w:rsidRPr="004B0336" w:rsidRDefault="00010F6A" w:rsidP="007B09AB">
            <w:pPr>
              <w:jc w:val="left"/>
              <w:rPr>
                <w:rFonts w:eastAsia="Times New Roman" w:cs="Arial"/>
                <w:color w:val="000000"/>
                <w:lang w:val="en-GB"/>
              </w:rPr>
            </w:pPr>
            <w:r w:rsidRPr="004B0336">
              <w:rPr>
                <w:rFonts w:eastAsia="Times New Roman" w:cs="Arial"/>
                <w:color w:val="000000"/>
                <w:lang w:val="en-GB"/>
              </w:rPr>
              <w:t>Debt-to-Equity</w:t>
            </w:r>
          </w:p>
        </w:tc>
        <w:tc>
          <w:tcPr>
            <w:tcW w:w="954" w:type="pct"/>
            <w:noWrap/>
            <w:hideMark/>
          </w:tcPr>
          <w:p w14:paraId="693949F6"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Total Liabilities ÷ Shareholders’ Equity</w:t>
            </w:r>
          </w:p>
        </w:tc>
        <w:tc>
          <w:tcPr>
            <w:tcW w:w="693" w:type="pct"/>
            <w:noWrap/>
            <w:hideMark/>
          </w:tcPr>
          <w:p w14:paraId="55D75FF2"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170,249 ÷ 153,105 = 1.11</w:t>
            </w:r>
          </w:p>
        </w:tc>
        <w:tc>
          <w:tcPr>
            <w:tcW w:w="693" w:type="pct"/>
            <w:noWrap/>
            <w:hideMark/>
          </w:tcPr>
          <w:p w14:paraId="4288B13D"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176,952 ÷ 178,920 = 0.99</w:t>
            </w:r>
          </w:p>
        </w:tc>
        <w:tc>
          <w:tcPr>
            <w:tcW w:w="717" w:type="pct"/>
            <w:noWrap/>
            <w:hideMark/>
          </w:tcPr>
          <w:p w14:paraId="11044156"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235,757 ÷ 268,406 = 0.88</w:t>
            </w:r>
          </w:p>
        </w:tc>
        <w:tc>
          <w:tcPr>
            <w:tcW w:w="717" w:type="pct"/>
            <w:noWrap/>
            <w:hideMark/>
          </w:tcPr>
          <w:p w14:paraId="6B4B415A"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234,399 ÷ 275,949 = 0.85</w:t>
            </w:r>
          </w:p>
        </w:tc>
        <w:tc>
          <w:tcPr>
            <w:tcW w:w="717" w:type="pct"/>
            <w:noWrap/>
            <w:hideMark/>
          </w:tcPr>
          <w:p w14:paraId="411713FB"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196,989 ÷ 313,301 = 0.63</w:t>
            </w:r>
          </w:p>
        </w:tc>
      </w:tr>
      <w:tr w:rsidR="00010F6A" w:rsidRPr="004B0336" w14:paraId="5C54706C" w14:textId="77777777" w:rsidTr="007B09AB">
        <w:trPr>
          <w:trHeight w:val="300"/>
        </w:trPr>
        <w:tc>
          <w:tcPr>
            <w:cnfStyle w:val="001000000000" w:firstRow="0" w:lastRow="0" w:firstColumn="1" w:lastColumn="0" w:oddVBand="0" w:evenVBand="0" w:oddHBand="0" w:evenHBand="0" w:firstRowFirstColumn="0" w:firstRowLastColumn="0" w:lastRowFirstColumn="0" w:lastRowLastColumn="0"/>
            <w:tcW w:w="511" w:type="pct"/>
            <w:noWrap/>
            <w:hideMark/>
          </w:tcPr>
          <w:p w14:paraId="47F60319" w14:textId="77777777" w:rsidR="00010F6A" w:rsidRPr="004B0336" w:rsidRDefault="00010F6A" w:rsidP="007B09AB">
            <w:pPr>
              <w:jc w:val="left"/>
              <w:rPr>
                <w:rFonts w:eastAsia="Times New Roman" w:cs="Arial"/>
                <w:color w:val="000000"/>
                <w:lang w:val="en-GB"/>
              </w:rPr>
            </w:pPr>
            <w:r w:rsidRPr="004B0336">
              <w:rPr>
                <w:rFonts w:eastAsia="Times New Roman" w:cs="Arial"/>
                <w:color w:val="000000"/>
                <w:lang w:val="en-GB"/>
              </w:rPr>
              <w:t>Debt Ratio</w:t>
            </w:r>
          </w:p>
        </w:tc>
        <w:tc>
          <w:tcPr>
            <w:tcW w:w="954" w:type="pct"/>
            <w:noWrap/>
            <w:hideMark/>
          </w:tcPr>
          <w:p w14:paraId="43E1AD13"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Total Liabilities ÷ Total Assets</w:t>
            </w:r>
          </w:p>
        </w:tc>
        <w:tc>
          <w:tcPr>
            <w:tcW w:w="693" w:type="pct"/>
            <w:noWrap/>
            <w:hideMark/>
          </w:tcPr>
          <w:p w14:paraId="43B98752"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170,249 ÷ 323,354 = 0.53</w:t>
            </w:r>
          </w:p>
        </w:tc>
        <w:tc>
          <w:tcPr>
            <w:tcW w:w="693" w:type="pct"/>
            <w:noWrap/>
            <w:hideMark/>
          </w:tcPr>
          <w:p w14:paraId="3F893153"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176,952 ÷ 355,872 = 0.50</w:t>
            </w:r>
          </w:p>
        </w:tc>
        <w:tc>
          <w:tcPr>
            <w:tcW w:w="717" w:type="pct"/>
            <w:noWrap/>
            <w:hideMark/>
          </w:tcPr>
          <w:p w14:paraId="0D362382"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235,757 ÷ 504,163 = 0.47</w:t>
            </w:r>
          </w:p>
        </w:tc>
        <w:tc>
          <w:tcPr>
            <w:tcW w:w="717" w:type="pct"/>
            <w:noWrap/>
            <w:hideMark/>
          </w:tcPr>
          <w:p w14:paraId="70FCEA58"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234,399 ÷ 510,348 = 0.46</w:t>
            </w:r>
          </w:p>
        </w:tc>
        <w:tc>
          <w:tcPr>
            <w:tcW w:w="717" w:type="pct"/>
            <w:noWrap/>
            <w:hideMark/>
          </w:tcPr>
          <w:p w14:paraId="31B7340C"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196,989 ÷ 510,290 = 0.39</w:t>
            </w:r>
          </w:p>
        </w:tc>
      </w:tr>
      <w:tr w:rsidR="00010F6A" w:rsidRPr="004B0336" w14:paraId="4FB6EC0B" w14:textId="77777777" w:rsidTr="007B09AB">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11" w:type="pct"/>
            <w:noWrap/>
            <w:hideMark/>
          </w:tcPr>
          <w:p w14:paraId="2E69C4B0" w14:textId="77777777" w:rsidR="00010F6A" w:rsidRPr="004B0336" w:rsidRDefault="00010F6A" w:rsidP="007B09AB">
            <w:pPr>
              <w:jc w:val="left"/>
              <w:rPr>
                <w:rFonts w:eastAsia="Times New Roman" w:cs="Arial"/>
                <w:color w:val="000000"/>
                <w:lang w:val="en-GB"/>
              </w:rPr>
            </w:pPr>
          </w:p>
        </w:tc>
        <w:tc>
          <w:tcPr>
            <w:tcW w:w="954" w:type="pct"/>
            <w:noWrap/>
            <w:hideMark/>
          </w:tcPr>
          <w:p w14:paraId="2AAB6B88"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c>
          <w:tcPr>
            <w:tcW w:w="693" w:type="pct"/>
            <w:noWrap/>
            <w:hideMark/>
          </w:tcPr>
          <w:p w14:paraId="0D4900D9"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c>
          <w:tcPr>
            <w:tcW w:w="693" w:type="pct"/>
            <w:noWrap/>
            <w:hideMark/>
          </w:tcPr>
          <w:p w14:paraId="44B24066"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c>
          <w:tcPr>
            <w:tcW w:w="717" w:type="pct"/>
            <w:noWrap/>
            <w:hideMark/>
          </w:tcPr>
          <w:p w14:paraId="055D7268"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c>
          <w:tcPr>
            <w:tcW w:w="717" w:type="pct"/>
            <w:noWrap/>
            <w:hideMark/>
          </w:tcPr>
          <w:p w14:paraId="6CFAC217"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c>
          <w:tcPr>
            <w:tcW w:w="717" w:type="pct"/>
            <w:noWrap/>
            <w:hideMark/>
          </w:tcPr>
          <w:p w14:paraId="6AF4E30A"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r>
      <w:tr w:rsidR="00010F6A" w:rsidRPr="004B0336" w14:paraId="50C9A883" w14:textId="77777777" w:rsidTr="007B09AB">
        <w:trPr>
          <w:trHeight w:val="300"/>
        </w:trPr>
        <w:tc>
          <w:tcPr>
            <w:cnfStyle w:val="001000000000" w:firstRow="0" w:lastRow="0" w:firstColumn="1" w:lastColumn="0" w:oddVBand="0" w:evenVBand="0" w:oddHBand="0" w:evenHBand="0" w:firstRowFirstColumn="0" w:firstRowLastColumn="0" w:lastRowFirstColumn="0" w:lastRowLastColumn="0"/>
            <w:tcW w:w="5000" w:type="pct"/>
            <w:gridSpan w:val="7"/>
            <w:noWrap/>
            <w:hideMark/>
          </w:tcPr>
          <w:p w14:paraId="378A541D" w14:textId="77777777" w:rsidR="00010F6A" w:rsidRPr="004B0336" w:rsidRDefault="00010F6A" w:rsidP="007B09AB">
            <w:pPr>
              <w:jc w:val="center"/>
              <w:rPr>
                <w:rFonts w:eastAsia="Times New Roman" w:cs="Arial"/>
                <w:color w:val="000000"/>
                <w:lang w:val="en-GB"/>
              </w:rPr>
            </w:pPr>
            <w:r w:rsidRPr="004B0336">
              <w:rPr>
                <w:rFonts w:eastAsia="Times New Roman" w:cs="Arial"/>
                <w:color w:val="000000"/>
                <w:lang w:val="en-GB"/>
              </w:rPr>
              <w:t>Cash Flow Ratios</w:t>
            </w:r>
          </w:p>
        </w:tc>
      </w:tr>
      <w:tr w:rsidR="00010F6A" w:rsidRPr="004B0336" w14:paraId="5338F7AA" w14:textId="77777777" w:rsidTr="007B09AB">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11" w:type="pct"/>
            <w:noWrap/>
            <w:hideMark/>
          </w:tcPr>
          <w:p w14:paraId="63528A78" w14:textId="77777777" w:rsidR="00010F6A" w:rsidRPr="004B0336" w:rsidRDefault="00010F6A" w:rsidP="007B09AB">
            <w:pPr>
              <w:jc w:val="left"/>
              <w:rPr>
                <w:rFonts w:eastAsia="Times New Roman" w:cs="Arial"/>
                <w:color w:val="000000"/>
                <w:lang w:val="en-GB"/>
              </w:rPr>
            </w:pPr>
            <w:r w:rsidRPr="004B0336">
              <w:rPr>
                <w:rFonts w:eastAsia="Times New Roman" w:cs="Arial"/>
                <w:color w:val="000000"/>
                <w:lang w:val="en-GB"/>
              </w:rPr>
              <w:t>Ratio</w:t>
            </w:r>
          </w:p>
        </w:tc>
        <w:tc>
          <w:tcPr>
            <w:tcW w:w="954" w:type="pct"/>
            <w:noWrap/>
            <w:hideMark/>
          </w:tcPr>
          <w:p w14:paraId="70971879"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Formula</w:t>
            </w:r>
          </w:p>
        </w:tc>
        <w:tc>
          <w:tcPr>
            <w:tcW w:w="693" w:type="pct"/>
            <w:noWrap/>
            <w:hideMark/>
          </w:tcPr>
          <w:p w14:paraId="6F92D5F6" w14:textId="77777777" w:rsidR="00010F6A" w:rsidRPr="004B0336" w:rsidRDefault="00010F6A" w:rsidP="007B09AB">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2024</w:t>
            </w:r>
          </w:p>
        </w:tc>
        <w:tc>
          <w:tcPr>
            <w:tcW w:w="693" w:type="pct"/>
            <w:noWrap/>
            <w:hideMark/>
          </w:tcPr>
          <w:p w14:paraId="6F272FE2" w14:textId="77777777" w:rsidR="00010F6A" w:rsidRPr="004B0336" w:rsidRDefault="00010F6A" w:rsidP="007B09AB">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2023</w:t>
            </w:r>
          </w:p>
        </w:tc>
        <w:tc>
          <w:tcPr>
            <w:tcW w:w="717" w:type="pct"/>
            <w:noWrap/>
            <w:hideMark/>
          </w:tcPr>
          <w:p w14:paraId="4D64D222" w14:textId="77777777" w:rsidR="00010F6A" w:rsidRPr="004B0336" w:rsidRDefault="00010F6A" w:rsidP="007B09AB">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2022</w:t>
            </w:r>
          </w:p>
        </w:tc>
        <w:tc>
          <w:tcPr>
            <w:tcW w:w="717" w:type="pct"/>
            <w:noWrap/>
            <w:hideMark/>
          </w:tcPr>
          <w:p w14:paraId="2FDE44E2" w14:textId="77777777" w:rsidR="00010F6A" w:rsidRPr="004B0336" w:rsidRDefault="00010F6A" w:rsidP="007B09AB">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2021</w:t>
            </w:r>
          </w:p>
        </w:tc>
        <w:tc>
          <w:tcPr>
            <w:tcW w:w="717" w:type="pct"/>
            <w:noWrap/>
            <w:hideMark/>
          </w:tcPr>
          <w:p w14:paraId="7D056678" w14:textId="77777777" w:rsidR="00010F6A" w:rsidRPr="004B0336" w:rsidRDefault="00010F6A" w:rsidP="007B09AB">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2020</w:t>
            </w:r>
          </w:p>
        </w:tc>
      </w:tr>
      <w:tr w:rsidR="00010F6A" w:rsidRPr="004B0336" w14:paraId="4AF11FFA" w14:textId="77777777" w:rsidTr="007B09AB">
        <w:trPr>
          <w:trHeight w:val="300"/>
        </w:trPr>
        <w:tc>
          <w:tcPr>
            <w:cnfStyle w:val="001000000000" w:firstRow="0" w:lastRow="0" w:firstColumn="1" w:lastColumn="0" w:oddVBand="0" w:evenVBand="0" w:oddHBand="0" w:evenHBand="0" w:firstRowFirstColumn="0" w:firstRowLastColumn="0" w:lastRowFirstColumn="0" w:lastRowLastColumn="0"/>
            <w:tcW w:w="511" w:type="pct"/>
            <w:noWrap/>
            <w:hideMark/>
          </w:tcPr>
          <w:p w14:paraId="4B820827" w14:textId="77777777" w:rsidR="00010F6A" w:rsidRPr="004B0336" w:rsidRDefault="00010F6A" w:rsidP="007B09AB">
            <w:pPr>
              <w:jc w:val="left"/>
              <w:rPr>
                <w:rFonts w:eastAsia="Times New Roman" w:cs="Arial"/>
                <w:color w:val="000000"/>
                <w:lang w:val="en-GB"/>
              </w:rPr>
            </w:pPr>
            <w:r w:rsidRPr="004B0336">
              <w:rPr>
                <w:rFonts w:eastAsia="Times New Roman" w:cs="Arial"/>
                <w:color w:val="000000"/>
                <w:lang w:val="en-GB"/>
              </w:rPr>
              <w:t>Operating Cash Flow Ratio</w:t>
            </w:r>
          </w:p>
        </w:tc>
        <w:tc>
          <w:tcPr>
            <w:tcW w:w="954" w:type="pct"/>
            <w:noWrap/>
            <w:hideMark/>
          </w:tcPr>
          <w:p w14:paraId="567FA060"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Operating Cash Flow ÷ Current Liabilities</w:t>
            </w:r>
          </w:p>
        </w:tc>
        <w:tc>
          <w:tcPr>
            <w:tcW w:w="693" w:type="pct"/>
            <w:noWrap/>
            <w:hideMark/>
          </w:tcPr>
          <w:p w14:paraId="79386567"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14,822 ÷ 158,291 = 0.09</w:t>
            </w:r>
          </w:p>
        </w:tc>
        <w:tc>
          <w:tcPr>
            <w:tcW w:w="693" w:type="pct"/>
            <w:noWrap/>
            <w:hideMark/>
          </w:tcPr>
          <w:p w14:paraId="03971B28"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25,190 ÷ 161,148 = 0.16</w:t>
            </w:r>
          </w:p>
        </w:tc>
        <w:tc>
          <w:tcPr>
            <w:tcW w:w="717" w:type="pct"/>
            <w:noWrap/>
            <w:hideMark/>
          </w:tcPr>
          <w:p w14:paraId="56F96F06"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10,926 ÷ 216,473 = 0.05</w:t>
            </w:r>
          </w:p>
        </w:tc>
        <w:tc>
          <w:tcPr>
            <w:tcW w:w="717" w:type="pct"/>
            <w:noWrap/>
            <w:hideMark/>
          </w:tcPr>
          <w:p w14:paraId="3A251A70"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40,283 ÷ 216,787 = 0.19</w:t>
            </w:r>
          </w:p>
        </w:tc>
        <w:tc>
          <w:tcPr>
            <w:tcW w:w="717" w:type="pct"/>
            <w:noWrap/>
            <w:hideMark/>
          </w:tcPr>
          <w:p w14:paraId="3C740BAF"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73,392 ÷ 179,510 = 0.41</w:t>
            </w:r>
          </w:p>
        </w:tc>
      </w:tr>
      <w:tr w:rsidR="00010F6A" w:rsidRPr="004B0336" w14:paraId="745A19DD" w14:textId="77777777" w:rsidTr="007B09AB">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11" w:type="pct"/>
            <w:noWrap/>
            <w:hideMark/>
          </w:tcPr>
          <w:p w14:paraId="1F6486C6" w14:textId="77777777" w:rsidR="00010F6A" w:rsidRPr="004B0336" w:rsidRDefault="00010F6A" w:rsidP="007B09AB">
            <w:pPr>
              <w:jc w:val="left"/>
              <w:rPr>
                <w:rFonts w:eastAsia="Times New Roman" w:cs="Arial"/>
                <w:color w:val="000000"/>
                <w:lang w:val="en-GB"/>
              </w:rPr>
            </w:pPr>
          </w:p>
        </w:tc>
        <w:tc>
          <w:tcPr>
            <w:tcW w:w="954" w:type="pct"/>
            <w:noWrap/>
            <w:hideMark/>
          </w:tcPr>
          <w:p w14:paraId="6E93224F"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c>
          <w:tcPr>
            <w:tcW w:w="693" w:type="pct"/>
            <w:noWrap/>
            <w:hideMark/>
          </w:tcPr>
          <w:p w14:paraId="1D981C60"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c>
          <w:tcPr>
            <w:tcW w:w="693" w:type="pct"/>
            <w:noWrap/>
            <w:hideMark/>
          </w:tcPr>
          <w:p w14:paraId="6F854319"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c>
          <w:tcPr>
            <w:tcW w:w="717" w:type="pct"/>
            <w:noWrap/>
            <w:hideMark/>
          </w:tcPr>
          <w:p w14:paraId="666C0712"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c>
          <w:tcPr>
            <w:tcW w:w="717" w:type="pct"/>
            <w:noWrap/>
            <w:hideMark/>
          </w:tcPr>
          <w:p w14:paraId="59583A71"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c>
          <w:tcPr>
            <w:tcW w:w="717" w:type="pct"/>
            <w:noWrap/>
            <w:hideMark/>
          </w:tcPr>
          <w:p w14:paraId="28C6F963"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lang w:val="en-GB"/>
              </w:rPr>
            </w:pPr>
          </w:p>
        </w:tc>
      </w:tr>
      <w:tr w:rsidR="00010F6A" w:rsidRPr="004B0336" w14:paraId="55512494" w14:textId="77777777" w:rsidTr="007B09AB">
        <w:trPr>
          <w:trHeight w:val="300"/>
        </w:trPr>
        <w:tc>
          <w:tcPr>
            <w:cnfStyle w:val="001000000000" w:firstRow="0" w:lastRow="0" w:firstColumn="1" w:lastColumn="0" w:oddVBand="0" w:evenVBand="0" w:oddHBand="0" w:evenHBand="0" w:firstRowFirstColumn="0" w:firstRowLastColumn="0" w:lastRowFirstColumn="0" w:lastRowLastColumn="0"/>
            <w:tcW w:w="5000" w:type="pct"/>
            <w:gridSpan w:val="7"/>
            <w:noWrap/>
            <w:hideMark/>
          </w:tcPr>
          <w:p w14:paraId="3F9F1764" w14:textId="77777777" w:rsidR="00010F6A" w:rsidRPr="004B0336" w:rsidRDefault="00010F6A" w:rsidP="007B09AB">
            <w:pPr>
              <w:jc w:val="center"/>
              <w:rPr>
                <w:rFonts w:eastAsia="Times New Roman" w:cs="Arial"/>
                <w:color w:val="000000"/>
                <w:lang w:val="en-GB"/>
              </w:rPr>
            </w:pPr>
            <w:r w:rsidRPr="004B0336">
              <w:rPr>
                <w:rFonts w:eastAsia="Times New Roman" w:cs="Arial"/>
                <w:color w:val="000000"/>
                <w:lang w:val="en-GB"/>
              </w:rPr>
              <w:t>Investment Ratios</w:t>
            </w:r>
          </w:p>
        </w:tc>
      </w:tr>
      <w:tr w:rsidR="00010F6A" w:rsidRPr="004B0336" w14:paraId="67932A6F" w14:textId="77777777" w:rsidTr="007B09AB">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11" w:type="pct"/>
            <w:noWrap/>
            <w:hideMark/>
          </w:tcPr>
          <w:p w14:paraId="24F52606" w14:textId="77777777" w:rsidR="00010F6A" w:rsidRPr="004B0336" w:rsidRDefault="00010F6A" w:rsidP="007B09AB">
            <w:pPr>
              <w:jc w:val="left"/>
              <w:rPr>
                <w:rFonts w:eastAsia="Times New Roman" w:cs="Arial"/>
                <w:color w:val="000000"/>
                <w:lang w:val="en-GB"/>
              </w:rPr>
            </w:pPr>
            <w:r w:rsidRPr="004B0336">
              <w:rPr>
                <w:rFonts w:eastAsia="Times New Roman" w:cs="Arial"/>
                <w:color w:val="000000"/>
                <w:lang w:val="en-GB"/>
              </w:rPr>
              <w:t>Ratio</w:t>
            </w:r>
          </w:p>
        </w:tc>
        <w:tc>
          <w:tcPr>
            <w:tcW w:w="954" w:type="pct"/>
            <w:noWrap/>
            <w:hideMark/>
          </w:tcPr>
          <w:p w14:paraId="6BC06900" w14:textId="77777777" w:rsidR="00010F6A" w:rsidRPr="004B0336" w:rsidRDefault="00010F6A" w:rsidP="007B09AB">
            <w:pPr>
              <w:jc w:val="lef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Formula</w:t>
            </w:r>
          </w:p>
        </w:tc>
        <w:tc>
          <w:tcPr>
            <w:tcW w:w="693" w:type="pct"/>
            <w:noWrap/>
            <w:hideMark/>
          </w:tcPr>
          <w:p w14:paraId="4F892760" w14:textId="77777777" w:rsidR="00010F6A" w:rsidRPr="004B0336" w:rsidRDefault="00010F6A" w:rsidP="007B09AB">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2024</w:t>
            </w:r>
          </w:p>
        </w:tc>
        <w:tc>
          <w:tcPr>
            <w:tcW w:w="693" w:type="pct"/>
            <w:noWrap/>
            <w:hideMark/>
          </w:tcPr>
          <w:p w14:paraId="5BB869D0" w14:textId="77777777" w:rsidR="00010F6A" w:rsidRPr="004B0336" w:rsidRDefault="00010F6A" w:rsidP="007B09AB">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2023</w:t>
            </w:r>
          </w:p>
        </w:tc>
        <w:tc>
          <w:tcPr>
            <w:tcW w:w="717" w:type="pct"/>
            <w:noWrap/>
            <w:hideMark/>
          </w:tcPr>
          <w:p w14:paraId="4CC02588" w14:textId="77777777" w:rsidR="00010F6A" w:rsidRPr="004B0336" w:rsidRDefault="00010F6A" w:rsidP="007B09AB">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2022</w:t>
            </w:r>
          </w:p>
        </w:tc>
        <w:tc>
          <w:tcPr>
            <w:tcW w:w="717" w:type="pct"/>
            <w:noWrap/>
            <w:hideMark/>
          </w:tcPr>
          <w:p w14:paraId="026CAB80" w14:textId="77777777" w:rsidR="00010F6A" w:rsidRPr="004B0336" w:rsidRDefault="00010F6A" w:rsidP="007B09AB">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2021</w:t>
            </w:r>
          </w:p>
        </w:tc>
        <w:tc>
          <w:tcPr>
            <w:tcW w:w="717" w:type="pct"/>
            <w:noWrap/>
            <w:hideMark/>
          </w:tcPr>
          <w:p w14:paraId="1DFBFFDB" w14:textId="77777777" w:rsidR="00010F6A" w:rsidRPr="004B0336" w:rsidRDefault="00010F6A" w:rsidP="007B09AB">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GB"/>
              </w:rPr>
            </w:pPr>
            <w:r w:rsidRPr="004B0336">
              <w:rPr>
                <w:rFonts w:eastAsia="Times New Roman" w:cs="Arial"/>
                <w:b/>
                <w:bCs/>
                <w:color w:val="000000"/>
                <w:lang w:val="en-GB"/>
              </w:rPr>
              <w:t>2020</w:t>
            </w:r>
          </w:p>
        </w:tc>
      </w:tr>
      <w:tr w:rsidR="00010F6A" w:rsidRPr="004B0336" w14:paraId="4CE8A302" w14:textId="77777777" w:rsidTr="007B09AB">
        <w:trPr>
          <w:trHeight w:val="300"/>
        </w:trPr>
        <w:tc>
          <w:tcPr>
            <w:cnfStyle w:val="001000000000" w:firstRow="0" w:lastRow="0" w:firstColumn="1" w:lastColumn="0" w:oddVBand="0" w:evenVBand="0" w:oddHBand="0" w:evenHBand="0" w:firstRowFirstColumn="0" w:firstRowLastColumn="0" w:lastRowFirstColumn="0" w:lastRowLastColumn="0"/>
            <w:tcW w:w="511" w:type="pct"/>
            <w:noWrap/>
            <w:hideMark/>
          </w:tcPr>
          <w:p w14:paraId="13CFC5CF" w14:textId="77777777" w:rsidR="00010F6A" w:rsidRPr="004B0336" w:rsidRDefault="00010F6A" w:rsidP="007B09AB">
            <w:pPr>
              <w:jc w:val="left"/>
              <w:rPr>
                <w:rFonts w:eastAsia="Times New Roman" w:cs="Arial"/>
                <w:color w:val="000000"/>
                <w:lang w:val="en-GB"/>
              </w:rPr>
            </w:pPr>
            <w:r w:rsidRPr="004B0336">
              <w:rPr>
                <w:rFonts w:eastAsia="Times New Roman" w:cs="Arial"/>
                <w:color w:val="000000"/>
                <w:lang w:val="en-GB"/>
              </w:rPr>
              <w:t>Earnings Per Share (EPS)</w:t>
            </w:r>
          </w:p>
        </w:tc>
        <w:tc>
          <w:tcPr>
            <w:tcW w:w="954" w:type="pct"/>
            <w:noWrap/>
            <w:hideMark/>
          </w:tcPr>
          <w:p w14:paraId="24E455BE"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Net Income ÷ Weighted Avg. Shares</w:t>
            </w:r>
          </w:p>
        </w:tc>
        <w:tc>
          <w:tcPr>
            <w:tcW w:w="693" w:type="pct"/>
            <w:noWrap/>
            <w:hideMark/>
          </w:tcPr>
          <w:p w14:paraId="66BA0EB2"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(24,029) ÷ 12,959 = -1.85</w:t>
            </w:r>
          </w:p>
        </w:tc>
        <w:tc>
          <w:tcPr>
            <w:tcW w:w="693" w:type="pct"/>
            <w:noWrap/>
            <w:hideMark/>
          </w:tcPr>
          <w:p w14:paraId="0AD2B71B"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(98,238) ÷ 12,855 = -7.64</w:t>
            </w:r>
          </w:p>
        </w:tc>
        <w:tc>
          <w:tcPr>
            <w:tcW w:w="717" w:type="pct"/>
            <w:noWrap/>
            <w:hideMark/>
          </w:tcPr>
          <w:p w14:paraId="50C744A0"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407 ÷ 12,703 = 0.03</w:t>
            </w:r>
          </w:p>
        </w:tc>
        <w:tc>
          <w:tcPr>
            <w:tcW w:w="717" w:type="pct"/>
            <w:noWrap/>
            <w:hideMark/>
          </w:tcPr>
          <w:p w14:paraId="07A08259"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5,301 ÷ 13,465 = 0.39</w:t>
            </w:r>
          </w:p>
        </w:tc>
        <w:tc>
          <w:tcPr>
            <w:tcW w:w="717" w:type="pct"/>
            <w:noWrap/>
            <w:hideMark/>
          </w:tcPr>
          <w:p w14:paraId="33B54A1A" w14:textId="77777777" w:rsidR="00010F6A" w:rsidRPr="004B0336" w:rsidRDefault="00010F6A" w:rsidP="007B09AB">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GB"/>
              </w:rPr>
            </w:pPr>
            <w:r w:rsidRPr="004B0336">
              <w:rPr>
                <w:rFonts w:eastAsia="Times New Roman" w:cs="Arial"/>
                <w:color w:val="000000"/>
                <w:lang w:val="en-GB"/>
              </w:rPr>
              <w:t>38,572 ÷ 13,893 = 2.78</w:t>
            </w:r>
          </w:p>
        </w:tc>
      </w:tr>
    </w:tbl>
    <w:p w14:paraId="70A112C4" w14:textId="77777777" w:rsidR="00010F6A" w:rsidRPr="004B0336" w:rsidRDefault="00010F6A" w:rsidP="00010F6A">
      <w:pPr>
        <w:rPr>
          <w:rFonts w:cs="Arial"/>
          <w:lang w:val="en-GB"/>
        </w:rPr>
      </w:pPr>
    </w:p>
    <w:p w14:paraId="02033886" w14:textId="69DD2A43" w:rsidR="00F97839" w:rsidRPr="004B0336" w:rsidRDefault="00571660" w:rsidP="003137CE">
      <w:pPr>
        <w:pStyle w:val="Heading2"/>
        <w:rPr>
          <w:lang w:val="en-GB"/>
        </w:rPr>
      </w:pPr>
      <w:bookmarkStart w:id="35" w:name="_Toc214898922"/>
      <w:r w:rsidRPr="004B0336">
        <w:rPr>
          <w:lang w:val="en-GB"/>
        </w:rPr>
        <w:t>Appendix 2</w:t>
      </w:r>
      <w:r w:rsidR="00F97839" w:rsidRPr="004B0336">
        <w:rPr>
          <w:lang w:val="en-GB"/>
        </w:rPr>
        <w:t>:</w:t>
      </w:r>
      <w:r w:rsidR="00EE1D8B" w:rsidRPr="004B0336">
        <w:rPr>
          <w:lang w:val="en-GB"/>
        </w:rPr>
        <w:t xml:space="preserve"> Investment Appraisal</w:t>
      </w:r>
      <w:bookmarkEnd w:id="35"/>
      <w:r w:rsidR="00EE1D8B" w:rsidRPr="004B0336">
        <w:rPr>
          <w:lang w:val="en-GB"/>
        </w:rPr>
        <w:t xml:space="preserve"> </w:t>
      </w:r>
    </w:p>
    <w:p w14:paraId="35E46331" w14:textId="5F28E912" w:rsidR="00F97839" w:rsidRPr="004B0336" w:rsidRDefault="00F97839" w:rsidP="00EE1D8B">
      <w:pPr>
        <w:rPr>
          <w:rFonts w:cs="Arial"/>
          <w:b/>
          <w:bCs/>
          <w:i/>
          <w:iCs/>
          <w:lang w:val="en-GB"/>
        </w:rPr>
      </w:pPr>
      <w:r w:rsidRPr="004B0336">
        <w:rPr>
          <w:rFonts w:cs="Arial"/>
          <w:b/>
          <w:bCs/>
          <w:i/>
          <w:iCs/>
          <w:lang w:val="en-GB"/>
        </w:rPr>
        <w:t>Project A</w:t>
      </w:r>
    </w:p>
    <w:p w14:paraId="4BBDEC23" w14:textId="5AF24690" w:rsidR="00F97839" w:rsidRPr="004B0336" w:rsidRDefault="00F97839" w:rsidP="00EE1D8B">
      <w:pPr>
        <w:rPr>
          <w:rFonts w:cs="Arial"/>
          <w:b/>
          <w:bCs/>
          <w:i/>
          <w:iCs/>
          <w:lang w:val="en-GB"/>
        </w:rPr>
      </w:pPr>
      <w:r w:rsidRPr="004B0336">
        <w:rPr>
          <w:rFonts w:cs="Arial"/>
          <w:b/>
          <w:bCs/>
          <w:i/>
          <w:iCs/>
          <w:lang w:val="en-GB"/>
        </w:rPr>
        <w:t>PBP</w:t>
      </w:r>
    </w:p>
    <w:tbl>
      <w:tblPr>
        <w:tblW w:w="8100" w:type="dxa"/>
        <w:tblLook w:val="04A0" w:firstRow="1" w:lastRow="0" w:firstColumn="1" w:lastColumn="0" w:noHBand="0" w:noVBand="1"/>
      </w:tblPr>
      <w:tblGrid>
        <w:gridCol w:w="3460"/>
        <w:gridCol w:w="1560"/>
        <w:gridCol w:w="3080"/>
      </w:tblGrid>
      <w:tr w:rsidR="00F97839" w:rsidRPr="004B0336" w14:paraId="546FC1A4" w14:textId="77777777" w:rsidTr="00F97839">
        <w:trPr>
          <w:trHeight w:val="1248"/>
        </w:trPr>
        <w:tc>
          <w:tcPr>
            <w:tcW w:w="3460"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60AD5849" w14:textId="77777777" w:rsidR="00F97839" w:rsidRPr="004B0336" w:rsidRDefault="00F97839" w:rsidP="00EE1D8B">
            <w:pPr>
              <w:spacing w:after="0"/>
              <w:jc w:val="center"/>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Year</w:t>
            </w:r>
          </w:p>
        </w:tc>
        <w:tc>
          <w:tcPr>
            <w:tcW w:w="1560" w:type="dxa"/>
            <w:tcBorders>
              <w:top w:val="single" w:sz="4" w:space="0" w:color="auto"/>
              <w:left w:val="nil"/>
              <w:bottom w:val="single" w:sz="4" w:space="0" w:color="auto"/>
              <w:right w:val="single" w:sz="4" w:space="0" w:color="auto"/>
            </w:tcBorders>
            <w:shd w:val="clear" w:color="000000" w:fill="D9E1F2"/>
            <w:noWrap/>
            <w:vAlign w:val="bottom"/>
            <w:hideMark/>
          </w:tcPr>
          <w:p w14:paraId="7520C61A" w14:textId="49A7E918" w:rsidR="00F97839" w:rsidRPr="004B0336" w:rsidRDefault="00F97839" w:rsidP="00EE1D8B">
            <w:pPr>
              <w:spacing w:after="0"/>
              <w:jc w:val="center"/>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xml:space="preserve">Cash Flow </w:t>
            </w:r>
          </w:p>
        </w:tc>
        <w:tc>
          <w:tcPr>
            <w:tcW w:w="3080" w:type="dxa"/>
            <w:tcBorders>
              <w:top w:val="single" w:sz="4" w:space="0" w:color="auto"/>
              <w:left w:val="nil"/>
              <w:bottom w:val="single" w:sz="4" w:space="0" w:color="auto"/>
              <w:right w:val="single" w:sz="4" w:space="0" w:color="auto"/>
            </w:tcBorders>
            <w:shd w:val="clear" w:color="000000" w:fill="D9E1F2"/>
            <w:noWrap/>
            <w:vAlign w:val="bottom"/>
            <w:hideMark/>
          </w:tcPr>
          <w:p w14:paraId="055CCEA2" w14:textId="77777777" w:rsidR="00F97839" w:rsidRPr="004B0336" w:rsidRDefault="00F97839" w:rsidP="00EE1D8B">
            <w:pPr>
              <w:spacing w:after="0"/>
              <w:jc w:val="center"/>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Cumulative Cashflow</w:t>
            </w:r>
          </w:p>
        </w:tc>
      </w:tr>
      <w:tr w:rsidR="00F97839" w:rsidRPr="004B0336" w14:paraId="0DCA4AF5" w14:textId="77777777" w:rsidTr="00F97839">
        <w:trPr>
          <w:trHeight w:val="312"/>
        </w:trPr>
        <w:tc>
          <w:tcPr>
            <w:tcW w:w="3460" w:type="dxa"/>
            <w:tcBorders>
              <w:top w:val="nil"/>
              <w:left w:val="single" w:sz="4" w:space="0" w:color="auto"/>
              <w:bottom w:val="single" w:sz="4" w:space="0" w:color="auto"/>
              <w:right w:val="single" w:sz="4" w:space="0" w:color="auto"/>
            </w:tcBorders>
            <w:shd w:val="clear" w:color="000000" w:fill="D9E1F2"/>
            <w:noWrap/>
            <w:vAlign w:val="bottom"/>
            <w:hideMark/>
          </w:tcPr>
          <w:p w14:paraId="5E649189"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w:t>
            </w:r>
          </w:p>
        </w:tc>
        <w:tc>
          <w:tcPr>
            <w:tcW w:w="1560" w:type="dxa"/>
            <w:tcBorders>
              <w:top w:val="nil"/>
              <w:left w:val="nil"/>
              <w:bottom w:val="single" w:sz="4" w:space="0" w:color="auto"/>
              <w:right w:val="single" w:sz="4" w:space="0" w:color="auto"/>
            </w:tcBorders>
            <w:shd w:val="clear" w:color="000000" w:fill="D9E1F2"/>
            <w:noWrap/>
            <w:vAlign w:val="bottom"/>
            <w:hideMark/>
          </w:tcPr>
          <w:p w14:paraId="53301042"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10</w:t>
            </w:r>
          </w:p>
        </w:tc>
        <w:tc>
          <w:tcPr>
            <w:tcW w:w="3080" w:type="dxa"/>
            <w:tcBorders>
              <w:top w:val="nil"/>
              <w:left w:val="nil"/>
              <w:bottom w:val="single" w:sz="4" w:space="0" w:color="auto"/>
              <w:right w:val="single" w:sz="4" w:space="0" w:color="auto"/>
            </w:tcBorders>
            <w:shd w:val="clear" w:color="000000" w:fill="D9E1F2"/>
            <w:noWrap/>
            <w:vAlign w:val="bottom"/>
            <w:hideMark/>
          </w:tcPr>
          <w:p w14:paraId="75EC857F"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10</w:t>
            </w:r>
          </w:p>
        </w:tc>
      </w:tr>
      <w:tr w:rsidR="00F97839" w:rsidRPr="004B0336" w14:paraId="55840914" w14:textId="77777777" w:rsidTr="00F97839">
        <w:trPr>
          <w:trHeight w:val="312"/>
        </w:trPr>
        <w:tc>
          <w:tcPr>
            <w:tcW w:w="3460" w:type="dxa"/>
            <w:tcBorders>
              <w:top w:val="nil"/>
              <w:left w:val="single" w:sz="4" w:space="0" w:color="auto"/>
              <w:bottom w:val="single" w:sz="4" w:space="0" w:color="auto"/>
              <w:right w:val="single" w:sz="4" w:space="0" w:color="auto"/>
            </w:tcBorders>
            <w:shd w:val="clear" w:color="000000" w:fill="D9E1F2"/>
            <w:noWrap/>
            <w:vAlign w:val="bottom"/>
            <w:hideMark/>
          </w:tcPr>
          <w:p w14:paraId="24AA492F"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w:t>
            </w:r>
          </w:p>
        </w:tc>
        <w:tc>
          <w:tcPr>
            <w:tcW w:w="1560" w:type="dxa"/>
            <w:tcBorders>
              <w:top w:val="nil"/>
              <w:left w:val="nil"/>
              <w:bottom w:val="single" w:sz="4" w:space="0" w:color="auto"/>
              <w:right w:val="single" w:sz="4" w:space="0" w:color="auto"/>
            </w:tcBorders>
            <w:shd w:val="clear" w:color="000000" w:fill="D9E1F2"/>
            <w:noWrap/>
            <w:vAlign w:val="bottom"/>
            <w:hideMark/>
          </w:tcPr>
          <w:p w14:paraId="33C6620C"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12</w:t>
            </w:r>
          </w:p>
        </w:tc>
        <w:tc>
          <w:tcPr>
            <w:tcW w:w="3080" w:type="dxa"/>
            <w:tcBorders>
              <w:top w:val="nil"/>
              <w:left w:val="nil"/>
              <w:bottom w:val="single" w:sz="4" w:space="0" w:color="auto"/>
              <w:right w:val="single" w:sz="4" w:space="0" w:color="auto"/>
            </w:tcBorders>
            <w:shd w:val="clear" w:color="000000" w:fill="D9E1F2"/>
            <w:noWrap/>
            <w:vAlign w:val="bottom"/>
            <w:hideMark/>
          </w:tcPr>
          <w:p w14:paraId="5CAC3542"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22</w:t>
            </w:r>
          </w:p>
        </w:tc>
      </w:tr>
      <w:tr w:rsidR="00F97839" w:rsidRPr="004B0336" w14:paraId="7350AFE0" w14:textId="77777777" w:rsidTr="00F97839">
        <w:trPr>
          <w:trHeight w:val="312"/>
        </w:trPr>
        <w:tc>
          <w:tcPr>
            <w:tcW w:w="3460" w:type="dxa"/>
            <w:tcBorders>
              <w:top w:val="nil"/>
              <w:left w:val="single" w:sz="4" w:space="0" w:color="auto"/>
              <w:bottom w:val="single" w:sz="4" w:space="0" w:color="auto"/>
              <w:right w:val="single" w:sz="4" w:space="0" w:color="auto"/>
            </w:tcBorders>
            <w:shd w:val="clear" w:color="000000" w:fill="D9E1F2"/>
            <w:noWrap/>
            <w:vAlign w:val="bottom"/>
            <w:hideMark/>
          </w:tcPr>
          <w:p w14:paraId="455D37E1" w14:textId="77777777" w:rsidR="00F97839" w:rsidRPr="004B0336" w:rsidRDefault="00F97839" w:rsidP="00EE1D8B">
            <w:pPr>
              <w:spacing w:after="0"/>
              <w:jc w:val="righ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3</w:t>
            </w:r>
          </w:p>
        </w:tc>
        <w:tc>
          <w:tcPr>
            <w:tcW w:w="1560" w:type="dxa"/>
            <w:tcBorders>
              <w:top w:val="nil"/>
              <w:left w:val="nil"/>
              <w:bottom w:val="single" w:sz="4" w:space="0" w:color="auto"/>
              <w:right w:val="single" w:sz="4" w:space="0" w:color="auto"/>
            </w:tcBorders>
            <w:shd w:val="clear" w:color="000000" w:fill="D9E1F2"/>
            <w:noWrap/>
            <w:vAlign w:val="bottom"/>
            <w:hideMark/>
          </w:tcPr>
          <w:p w14:paraId="243596FF" w14:textId="77777777" w:rsidR="00F97839" w:rsidRPr="004B0336" w:rsidRDefault="00F97839" w:rsidP="00EE1D8B">
            <w:pPr>
              <w:spacing w:after="0"/>
              <w:jc w:val="righ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14</w:t>
            </w:r>
          </w:p>
        </w:tc>
        <w:tc>
          <w:tcPr>
            <w:tcW w:w="3080" w:type="dxa"/>
            <w:tcBorders>
              <w:top w:val="nil"/>
              <w:left w:val="nil"/>
              <w:bottom w:val="single" w:sz="4" w:space="0" w:color="auto"/>
              <w:right w:val="single" w:sz="4" w:space="0" w:color="auto"/>
            </w:tcBorders>
            <w:shd w:val="clear" w:color="000000" w:fill="D9E1F2"/>
            <w:noWrap/>
            <w:vAlign w:val="bottom"/>
            <w:hideMark/>
          </w:tcPr>
          <w:p w14:paraId="36EE6976" w14:textId="77777777" w:rsidR="00F97839" w:rsidRPr="004B0336" w:rsidRDefault="00F97839" w:rsidP="00EE1D8B">
            <w:pPr>
              <w:spacing w:after="0"/>
              <w:jc w:val="righ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36</w:t>
            </w:r>
          </w:p>
        </w:tc>
      </w:tr>
      <w:tr w:rsidR="00F97839" w:rsidRPr="004B0336" w14:paraId="72B7A1ED" w14:textId="77777777" w:rsidTr="00F97839">
        <w:trPr>
          <w:trHeight w:val="312"/>
        </w:trPr>
        <w:tc>
          <w:tcPr>
            <w:tcW w:w="3460" w:type="dxa"/>
            <w:tcBorders>
              <w:top w:val="nil"/>
              <w:left w:val="single" w:sz="4" w:space="0" w:color="auto"/>
              <w:bottom w:val="single" w:sz="4" w:space="0" w:color="auto"/>
              <w:right w:val="single" w:sz="4" w:space="0" w:color="auto"/>
            </w:tcBorders>
            <w:shd w:val="clear" w:color="000000" w:fill="D9E1F2"/>
            <w:noWrap/>
            <w:vAlign w:val="bottom"/>
            <w:hideMark/>
          </w:tcPr>
          <w:p w14:paraId="797826AC"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4</w:t>
            </w:r>
          </w:p>
        </w:tc>
        <w:tc>
          <w:tcPr>
            <w:tcW w:w="1560" w:type="dxa"/>
            <w:tcBorders>
              <w:top w:val="nil"/>
              <w:left w:val="nil"/>
              <w:bottom w:val="single" w:sz="4" w:space="0" w:color="auto"/>
              <w:right w:val="single" w:sz="4" w:space="0" w:color="auto"/>
            </w:tcBorders>
            <w:shd w:val="clear" w:color="000000" w:fill="D9E1F2"/>
            <w:noWrap/>
            <w:vAlign w:val="bottom"/>
            <w:hideMark/>
          </w:tcPr>
          <w:p w14:paraId="11708FE5"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10</w:t>
            </w:r>
          </w:p>
        </w:tc>
        <w:tc>
          <w:tcPr>
            <w:tcW w:w="3080" w:type="dxa"/>
            <w:tcBorders>
              <w:top w:val="nil"/>
              <w:left w:val="nil"/>
              <w:bottom w:val="single" w:sz="4" w:space="0" w:color="auto"/>
              <w:right w:val="single" w:sz="4" w:space="0" w:color="auto"/>
            </w:tcBorders>
            <w:shd w:val="clear" w:color="000000" w:fill="D9E1F2"/>
            <w:noWrap/>
            <w:vAlign w:val="bottom"/>
            <w:hideMark/>
          </w:tcPr>
          <w:p w14:paraId="264CFDF7"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46</w:t>
            </w:r>
          </w:p>
        </w:tc>
      </w:tr>
      <w:tr w:rsidR="00F97839" w:rsidRPr="004B0336" w14:paraId="498D3058" w14:textId="77777777" w:rsidTr="00F97839">
        <w:trPr>
          <w:trHeight w:val="312"/>
        </w:trPr>
        <w:tc>
          <w:tcPr>
            <w:tcW w:w="3460" w:type="dxa"/>
            <w:tcBorders>
              <w:top w:val="nil"/>
              <w:left w:val="single" w:sz="4" w:space="0" w:color="auto"/>
              <w:bottom w:val="single" w:sz="4" w:space="0" w:color="auto"/>
              <w:right w:val="single" w:sz="4" w:space="0" w:color="auto"/>
            </w:tcBorders>
            <w:shd w:val="clear" w:color="000000" w:fill="D9E1F2"/>
            <w:noWrap/>
            <w:vAlign w:val="bottom"/>
            <w:hideMark/>
          </w:tcPr>
          <w:p w14:paraId="09CBFFF4"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w:t>
            </w:r>
          </w:p>
        </w:tc>
        <w:tc>
          <w:tcPr>
            <w:tcW w:w="1560" w:type="dxa"/>
            <w:tcBorders>
              <w:top w:val="nil"/>
              <w:left w:val="nil"/>
              <w:bottom w:val="single" w:sz="4" w:space="0" w:color="auto"/>
              <w:right w:val="single" w:sz="4" w:space="0" w:color="auto"/>
            </w:tcBorders>
            <w:shd w:val="clear" w:color="000000" w:fill="D9E1F2"/>
            <w:noWrap/>
            <w:vAlign w:val="bottom"/>
            <w:hideMark/>
          </w:tcPr>
          <w:p w14:paraId="7226FB0B"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8</w:t>
            </w:r>
          </w:p>
        </w:tc>
        <w:tc>
          <w:tcPr>
            <w:tcW w:w="3080" w:type="dxa"/>
            <w:tcBorders>
              <w:top w:val="nil"/>
              <w:left w:val="nil"/>
              <w:bottom w:val="single" w:sz="4" w:space="0" w:color="auto"/>
              <w:right w:val="single" w:sz="4" w:space="0" w:color="auto"/>
            </w:tcBorders>
            <w:shd w:val="clear" w:color="000000" w:fill="D9E1F2"/>
            <w:noWrap/>
            <w:vAlign w:val="bottom"/>
            <w:hideMark/>
          </w:tcPr>
          <w:p w14:paraId="5C79D92B"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54</w:t>
            </w:r>
          </w:p>
        </w:tc>
      </w:tr>
      <w:tr w:rsidR="00F97839" w:rsidRPr="004B0336" w14:paraId="4B8DA343" w14:textId="77777777" w:rsidTr="00F97839">
        <w:trPr>
          <w:trHeight w:val="312"/>
        </w:trPr>
        <w:tc>
          <w:tcPr>
            <w:tcW w:w="3460" w:type="dxa"/>
            <w:tcBorders>
              <w:top w:val="nil"/>
              <w:left w:val="single" w:sz="4" w:space="0" w:color="auto"/>
              <w:bottom w:val="single" w:sz="4" w:space="0" w:color="auto"/>
              <w:right w:val="single" w:sz="4" w:space="0" w:color="auto"/>
            </w:tcBorders>
            <w:shd w:val="clear" w:color="000000" w:fill="D9E1F2"/>
            <w:noWrap/>
            <w:vAlign w:val="bottom"/>
            <w:hideMark/>
          </w:tcPr>
          <w:p w14:paraId="4884851F" w14:textId="77777777" w:rsidR="00F97839" w:rsidRPr="004B0336" w:rsidRDefault="00F97839"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Investment to recover</w:t>
            </w:r>
          </w:p>
        </w:tc>
        <w:tc>
          <w:tcPr>
            <w:tcW w:w="1560" w:type="dxa"/>
            <w:tcBorders>
              <w:top w:val="nil"/>
              <w:left w:val="nil"/>
              <w:bottom w:val="single" w:sz="4" w:space="0" w:color="auto"/>
              <w:right w:val="single" w:sz="4" w:space="0" w:color="auto"/>
            </w:tcBorders>
            <w:shd w:val="clear" w:color="000000" w:fill="D9E1F2"/>
            <w:noWrap/>
            <w:vAlign w:val="bottom"/>
            <w:hideMark/>
          </w:tcPr>
          <w:p w14:paraId="1EF3D858"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40</w:t>
            </w:r>
          </w:p>
        </w:tc>
        <w:tc>
          <w:tcPr>
            <w:tcW w:w="3080" w:type="dxa"/>
            <w:tcBorders>
              <w:top w:val="nil"/>
              <w:left w:val="nil"/>
              <w:bottom w:val="nil"/>
              <w:right w:val="nil"/>
            </w:tcBorders>
            <w:noWrap/>
            <w:vAlign w:val="bottom"/>
            <w:hideMark/>
          </w:tcPr>
          <w:p w14:paraId="0BBF78E5" w14:textId="77777777" w:rsidR="00F97839" w:rsidRPr="004B0336" w:rsidRDefault="00F97839" w:rsidP="00EE1D8B">
            <w:pPr>
              <w:spacing w:after="0"/>
              <w:jc w:val="right"/>
              <w:rPr>
                <w:rFonts w:eastAsia="Times New Roman" w:cs="Arial"/>
                <w:color w:val="000000"/>
                <w:kern w:val="0"/>
                <w:lang w:val="en-GB" w:eastAsia="en-IN"/>
                <w14:ligatures w14:val="none"/>
              </w:rPr>
            </w:pPr>
          </w:p>
        </w:tc>
      </w:tr>
      <w:tr w:rsidR="00F97839" w:rsidRPr="004B0336" w14:paraId="03240BC7" w14:textId="77777777" w:rsidTr="00F97839">
        <w:trPr>
          <w:trHeight w:val="312"/>
        </w:trPr>
        <w:tc>
          <w:tcPr>
            <w:tcW w:w="3460" w:type="dxa"/>
            <w:tcBorders>
              <w:top w:val="nil"/>
              <w:left w:val="single" w:sz="4" w:space="0" w:color="auto"/>
              <w:bottom w:val="single" w:sz="4" w:space="0" w:color="auto"/>
              <w:right w:val="single" w:sz="4" w:space="0" w:color="auto"/>
            </w:tcBorders>
            <w:shd w:val="clear" w:color="000000" w:fill="D9E1F2"/>
            <w:noWrap/>
            <w:vAlign w:val="bottom"/>
            <w:hideMark/>
          </w:tcPr>
          <w:p w14:paraId="13BD126A" w14:textId="77777777" w:rsidR="00F97839" w:rsidRPr="004B0336" w:rsidRDefault="00F97839"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After 3 years, recovered</w:t>
            </w:r>
          </w:p>
        </w:tc>
        <w:tc>
          <w:tcPr>
            <w:tcW w:w="1560" w:type="dxa"/>
            <w:tcBorders>
              <w:top w:val="nil"/>
              <w:left w:val="nil"/>
              <w:bottom w:val="single" w:sz="4" w:space="0" w:color="auto"/>
              <w:right w:val="single" w:sz="4" w:space="0" w:color="auto"/>
            </w:tcBorders>
            <w:shd w:val="clear" w:color="000000" w:fill="D9E1F2"/>
            <w:noWrap/>
            <w:vAlign w:val="bottom"/>
            <w:hideMark/>
          </w:tcPr>
          <w:p w14:paraId="57783483"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36</w:t>
            </w:r>
          </w:p>
        </w:tc>
        <w:tc>
          <w:tcPr>
            <w:tcW w:w="3080" w:type="dxa"/>
            <w:tcBorders>
              <w:top w:val="nil"/>
              <w:left w:val="nil"/>
              <w:bottom w:val="nil"/>
              <w:right w:val="nil"/>
            </w:tcBorders>
            <w:noWrap/>
            <w:vAlign w:val="bottom"/>
            <w:hideMark/>
          </w:tcPr>
          <w:p w14:paraId="398374C9" w14:textId="77777777" w:rsidR="00F97839" w:rsidRPr="004B0336" w:rsidRDefault="00F97839" w:rsidP="00EE1D8B">
            <w:pPr>
              <w:spacing w:after="0"/>
              <w:jc w:val="right"/>
              <w:rPr>
                <w:rFonts w:eastAsia="Times New Roman" w:cs="Arial"/>
                <w:color w:val="000000"/>
                <w:kern w:val="0"/>
                <w:lang w:val="en-GB" w:eastAsia="en-IN"/>
                <w14:ligatures w14:val="none"/>
              </w:rPr>
            </w:pPr>
          </w:p>
        </w:tc>
      </w:tr>
      <w:tr w:rsidR="00F97839" w:rsidRPr="004B0336" w14:paraId="7E1F0A78" w14:textId="77777777" w:rsidTr="00F97839">
        <w:trPr>
          <w:trHeight w:val="312"/>
        </w:trPr>
        <w:tc>
          <w:tcPr>
            <w:tcW w:w="3460" w:type="dxa"/>
            <w:tcBorders>
              <w:top w:val="nil"/>
              <w:left w:val="single" w:sz="4" w:space="0" w:color="auto"/>
              <w:bottom w:val="single" w:sz="4" w:space="0" w:color="auto"/>
              <w:right w:val="single" w:sz="4" w:space="0" w:color="auto"/>
            </w:tcBorders>
            <w:shd w:val="clear" w:color="000000" w:fill="D9E1F2"/>
            <w:noWrap/>
            <w:vAlign w:val="bottom"/>
            <w:hideMark/>
          </w:tcPr>
          <w:p w14:paraId="18E49315" w14:textId="77777777" w:rsidR="00F97839" w:rsidRPr="004B0336" w:rsidRDefault="00F97839"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 xml:space="preserve">Amount remaining </w:t>
            </w:r>
          </w:p>
        </w:tc>
        <w:tc>
          <w:tcPr>
            <w:tcW w:w="1560" w:type="dxa"/>
            <w:tcBorders>
              <w:top w:val="nil"/>
              <w:left w:val="nil"/>
              <w:bottom w:val="single" w:sz="4" w:space="0" w:color="auto"/>
              <w:right w:val="single" w:sz="4" w:space="0" w:color="auto"/>
            </w:tcBorders>
            <w:shd w:val="clear" w:color="000000" w:fill="D9E1F2"/>
            <w:noWrap/>
            <w:vAlign w:val="bottom"/>
            <w:hideMark/>
          </w:tcPr>
          <w:p w14:paraId="13EB528B"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4</w:t>
            </w:r>
          </w:p>
        </w:tc>
        <w:tc>
          <w:tcPr>
            <w:tcW w:w="3080" w:type="dxa"/>
            <w:tcBorders>
              <w:top w:val="nil"/>
              <w:left w:val="nil"/>
              <w:bottom w:val="nil"/>
              <w:right w:val="nil"/>
            </w:tcBorders>
            <w:noWrap/>
            <w:vAlign w:val="bottom"/>
            <w:hideMark/>
          </w:tcPr>
          <w:p w14:paraId="45CA54AB" w14:textId="77777777" w:rsidR="00F97839" w:rsidRPr="004B0336" w:rsidRDefault="00F97839" w:rsidP="00EE1D8B">
            <w:pPr>
              <w:spacing w:after="0"/>
              <w:jc w:val="right"/>
              <w:rPr>
                <w:rFonts w:eastAsia="Times New Roman" w:cs="Arial"/>
                <w:color w:val="000000"/>
                <w:kern w:val="0"/>
                <w:lang w:val="en-GB" w:eastAsia="en-IN"/>
                <w14:ligatures w14:val="none"/>
              </w:rPr>
            </w:pPr>
          </w:p>
        </w:tc>
      </w:tr>
      <w:tr w:rsidR="00F97839" w:rsidRPr="004B0336" w14:paraId="1AC2870D" w14:textId="77777777" w:rsidTr="00F97839">
        <w:trPr>
          <w:trHeight w:val="312"/>
        </w:trPr>
        <w:tc>
          <w:tcPr>
            <w:tcW w:w="3460" w:type="dxa"/>
            <w:tcBorders>
              <w:top w:val="nil"/>
              <w:left w:val="single" w:sz="4" w:space="0" w:color="auto"/>
              <w:bottom w:val="single" w:sz="4" w:space="0" w:color="auto"/>
              <w:right w:val="single" w:sz="4" w:space="0" w:color="auto"/>
            </w:tcBorders>
            <w:shd w:val="clear" w:color="000000" w:fill="D9E1F2"/>
            <w:noWrap/>
            <w:vAlign w:val="bottom"/>
            <w:hideMark/>
          </w:tcPr>
          <w:p w14:paraId="07E1A272" w14:textId="77777777" w:rsidR="00F97839" w:rsidRPr="004B0336" w:rsidRDefault="00F97839"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Year 4 Inflow</w:t>
            </w:r>
          </w:p>
        </w:tc>
        <w:tc>
          <w:tcPr>
            <w:tcW w:w="1560" w:type="dxa"/>
            <w:tcBorders>
              <w:top w:val="nil"/>
              <w:left w:val="nil"/>
              <w:bottom w:val="single" w:sz="4" w:space="0" w:color="auto"/>
              <w:right w:val="single" w:sz="4" w:space="0" w:color="auto"/>
            </w:tcBorders>
            <w:shd w:val="clear" w:color="000000" w:fill="D9E1F2"/>
            <w:noWrap/>
            <w:vAlign w:val="bottom"/>
            <w:hideMark/>
          </w:tcPr>
          <w:p w14:paraId="7621A4D6"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10</w:t>
            </w:r>
          </w:p>
        </w:tc>
        <w:tc>
          <w:tcPr>
            <w:tcW w:w="3080" w:type="dxa"/>
            <w:tcBorders>
              <w:top w:val="nil"/>
              <w:left w:val="nil"/>
              <w:bottom w:val="nil"/>
              <w:right w:val="nil"/>
            </w:tcBorders>
            <w:noWrap/>
            <w:vAlign w:val="bottom"/>
            <w:hideMark/>
          </w:tcPr>
          <w:p w14:paraId="03BD9324" w14:textId="77777777" w:rsidR="00F97839" w:rsidRPr="004B0336" w:rsidRDefault="00F97839" w:rsidP="00EE1D8B">
            <w:pPr>
              <w:spacing w:after="0"/>
              <w:jc w:val="right"/>
              <w:rPr>
                <w:rFonts w:eastAsia="Times New Roman" w:cs="Arial"/>
                <w:color w:val="000000"/>
                <w:kern w:val="0"/>
                <w:lang w:val="en-GB" w:eastAsia="en-IN"/>
                <w14:ligatures w14:val="none"/>
              </w:rPr>
            </w:pPr>
          </w:p>
        </w:tc>
      </w:tr>
      <w:tr w:rsidR="00F97839" w:rsidRPr="004B0336" w14:paraId="5A04B487" w14:textId="77777777" w:rsidTr="00F97839">
        <w:trPr>
          <w:trHeight w:val="312"/>
        </w:trPr>
        <w:tc>
          <w:tcPr>
            <w:tcW w:w="3460" w:type="dxa"/>
            <w:tcBorders>
              <w:top w:val="nil"/>
              <w:left w:val="single" w:sz="4" w:space="0" w:color="auto"/>
              <w:bottom w:val="single" w:sz="4" w:space="0" w:color="auto"/>
              <w:right w:val="single" w:sz="4" w:space="0" w:color="auto"/>
            </w:tcBorders>
            <w:shd w:val="clear" w:color="000000" w:fill="D9E1F2"/>
            <w:noWrap/>
            <w:vAlign w:val="bottom"/>
            <w:hideMark/>
          </w:tcPr>
          <w:p w14:paraId="33C3AF54"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PBP</w:t>
            </w:r>
          </w:p>
        </w:tc>
        <w:tc>
          <w:tcPr>
            <w:tcW w:w="1560" w:type="dxa"/>
            <w:tcBorders>
              <w:top w:val="nil"/>
              <w:left w:val="nil"/>
              <w:bottom w:val="single" w:sz="4" w:space="0" w:color="auto"/>
              <w:right w:val="single" w:sz="4" w:space="0" w:color="auto"/>
            </w:tcBorders>
            <w:shd w:val="clear" w:color="000000" w:fill="D9E1F2"/>
            <w:noWrap/>
            <w:vAlign w:val="bottom"/>
            <w:hideMark/>
          </w:tcPr>
          <w:p w14:paraId="7529E66E" w14:textId="17E6A6BB" w:rsidR="00F97839" w:rsidRPr="004B0336" w:rsidRDefault="00F97839" w:rsidP="00EE1D8B">
            <w:pPr>
              <w:spacing w:after="0"/>
              <w:jc w:val="righ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3.4</w:t>
            </w:r>
            <w:r w:rsidR="0057611D" w:rsidRPr="004B0336">
              <w:rPr>
                <w:rFonts w:eastAsia="Times New Roman" w:cs="Arial"/>
                <w:b/>
                <w:bCs/>
                <w:color w:val="000000"/>
                <w:kern w:val="0"/>
                <w:lang w:val="en-GB" w:eastAsia="en-IN"/>
                <w14:ligatures w14:val="none"/>
              </w:rPr>
              <w:t xml:space="preserve"> Years</w:t>
            </w:r>
          </w:p>
        </w:tc>
        <w:tc>
          <w:tcPr>
            <w:tcW w:w="3080" w:type="dxa"/>
            <w:tcBorders>
              <w:top w:val="nil"/>
              <w:left w:val="nil"/>
              <w:bottom w:val="nil"/>
              <w:right w:val="nil"/>
            </w:tcBorders>
            <w:noWrap/>
            <w:vAlign w:val="bottom"/>
            <w:hideMark/>
          </w:tcPr>
          <w:p w14:paraId="6379FDA6" w14:textId="715C9ADD" w:rsidR="00F97839" w:rsidRPr="004B0336" w:rsidRDefault="00F97839" w:rsidP="00EE1D8B">
            <w:pPr>
              <w:spacing w:after="0"/>
              <w:jc w:val="left"/>
              <w:rPr>
                <w:rFonts w:eastAsia="Times New Roman" w:cs="Arial"/>
                <w:b/>
                <w:bCs/>
                <w:color w:val="000000"/>
                <w:kern w:val="0"/>
                <w:lang w:val="en-GB" w:eastAsia="en-IN"/>
                <w14:ligatures w14:val="none"/>
              </w:rPr>
            </w:pPr>
          </w:p>
        </w:tc>
      </w:tr>
    </w:tbl>
    <w:p w14:paraId="0D2B2ECD" w14:textId="77777777" w:rsidR="00F97839" w:rsidRPr="004B0336" w:rsidRDefault="00F97839" w:rsidP="00EE1D8B">
      <w:pPr>
        <w:rPr>
          <w:rFonts w:cs="Arial"/>
          <w:lang w:val="en-GB"/>
        </w:rPr>
      </w:pPr>
    </w:p>
    <w:p w14:paraId="5D10E0E9" w14:textId="73AB74FB" w:rsidR="00F97839" w:rsidRPr="004B0336" w:rsidRDefault="00F97839" w:rsidP="00EE1D8B">
      <w:pPr>
        <w:rPr>
          <w:rFonts w:cs="Arial"/>
          <w:b/>
          <w:bCs/>
          <w:i/>
          <w:iCs/>
          <w:lang w:val="en-GB"/>
        </w:rPr>
      </w:pPr>
      <w:r w:rsidRPr="004B0336">
        <w:rPr>
          <w:rFonts w:cs="Arial"/>
          <w:b/>
          <w:bCs/>
          <w:i/>
          <w:iCs/>
          <w:lang w:val="en-GB"/>
        </w:rPr>
        <w:t>ARR</w:t>
      </w:r>
    </w:p>
    <w:tbl>
      <w:tblPr>
        <w:tblW w:w="6440" w:type="dxa"/>
        <w:tblLook w:val="04A0" w:firstRow="1" w:lastRow="0" w:firstColumn="1" w:lastColumn="0" w:noHBand="0" w:noVBand="1"/>
      </w:tblPr>
      <w:tblGrid>
        <w:gridCol w:w="2760"/>
        <w:gridCol w:w="1643"/>
        <w:gridCol w:w="2120"/>
      </w:tblGrid>
      <w:tr w:rsidR="00F97839" w:rsidRPr="004B0336" w14:paraId="4ADA0B07" w14:textId="77777777" w:rsidTr="00F97839">
        <w:trPr>
          <w:trHeight w:val="1248"/>
        </w:trPr>
        <w:tc>
          <w:tcPr>
            <w:tcW w:w="2760"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119784C3" w14:textId="77777777" w:rsidR="00F97839" w:rsidRPr="004B0336" w:rsidRDefault="00F97839" w:rsidP="00EE1D8B">
            <w:pPr>
              <w:spacing w:after="0"/>
              <w:jc w:val="center"/>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depreciation</w:t>
            </w:r>
          </w:p>
        </w:tc>
        <w:tc>
          <w:tcPr>
            <w:tcW w:w="1560" w:type="dxa"/>
            <w:tcBorders>
              <w:top w:val="single" w:sz="4" w:space="0" w:color="auto"/>
              <w:left w:val="nil"/>
              <w:bottom w:val="single" w:sz="4" w:space="0" w:color="auto"/>
              <w:right w:val="single" w:sz="4" w:space="0" w:color="auto"/>
            </w:tcBorders>
            <w:shd w:val="clear" w:color="000000" w:fill="D9E1F2"/>
            <w:vAlign w:val="bottom"/>
            <w:hideMark/>
          </w:tcPr>
          <w:p w14:paraId="7CCCD872" w14:textId="77777777" w:rsidR="00F97839" w:rsidRPr="004B0336" w:rsidRDefault="00F97839" w:rsidP="00EE1D8B">
            <w:pPr>
              <w:spacing w:after="0"/>
              <w:jc w:val="center"/>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straight-line depreciation to zero</w:t>
            </w:r>
          </w:p>
        </w:tc>
        <w:tc>
          <w:tcPr>
            <w:tcW w:w="2120" w:type="dxa"/>
            <w:tcBorders>
              <w:top w:val="nil"/>
              <w:left w:val="nil"/>
              <w:bottom w:val="nil"/>
              <w:right w:val="nil"/>
            </w:tcBorders>
            <w:noWrap/>
            <w:vAlign w:val="bottom"/>
            <w:hideMark/>
          </w:tcPr>
          <w:p w14:paraId="599882AD" w14:textId="77777777" w:rsidR="00F97839" w:rsidRPr="004B0336" w:rsidRDefault="00F97839" w:rsidP="00EE1D8B">
            <w:pPr>
              <w:spacing w:after="0"/>
              <w:jc w:val="center"/>
              <w:rPr>
                <w:rFonts w:eastAsia="Times New Roman" w:cs="Arial"/>
                <w:b/>
                <w:bCs/>
                <w:color w:val="000000"/>
                <w:kern w:val="0"/>
                <w:lang w:val="en-GB" w:eastAsia="en-IN"/>
                <w14:ligatures w14:val="none"/>
              </w:rPr>
            </w:pPr>
          </w:p>
        </w:tc>
      </w:tr>
      <w:tr w:rsidR="00F97839" w:rsidRPr="004B0336" w14:paraId="7349C774" w14:textId="77777777" w:rsidTr="00F97839">
        <w:trPr>
          <w:trHeight w:val="312"/>
        </w:trPr>
        <w:tc>
          <w:tcPr>
            <w:tcW w:w="2760" w:type="dxa"/>
            <w:tcBorders>
              <w:top w:val="nil"/>
              <w:left w:val="single" w:sz="4" w:space="0" w:color="auto"/>
              <w:bottom w:val="single" w:sz="4" w:space="0" w:color="auto"/>
              <w:right w:val="single" w:sz="4" w:space="0" w:color="auto"/>
            </w:tcBorders>
            <w:shd w:val="clear" w:color="000000" w:fill="D9E1F2"/>
            <w:noWrap/>
            <w:vAlign w:val="bottom"/>
            <w:hideMark/>
          </w:tcPr>
          <w:p w14:paraId="29E5DFC4" w14:textId="77777777" w:rsidR="00F97839" w:rsidRPr="004B0336" w:rsidRDefault="00F97839"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Initial investment £m</w:t>
            </w:r>
          </w:p>
        </w:tc>
        <w:tc>
          <w:tcPr>
            <w:tcW w:w="1560" w:type="dxa"/>
            <w:tcBorders>
              <w:top w:val="nil"/>
              <w:left w:val="nil"/>
              <w:bottom w:val="single" w:sz="4" w:space="0" w:color="auto"/>
              <w:right w:val="single" w:sz="4" w:space="0" w:color="auto"/>
            </w:tcBorders>
            <w:shd w:val="clear" w:color="000000" w:fill="D9E1F2"/>
            <w:noWrap/>
            <w:vAlign w:val="bottom"/>
            <w:hideMark/>
          </w:tcPr>
          <w:p w14:paraId="72C61BF8"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40</w:t>
            </w:r>
          </w:p>
        </w:tc>
        <w:tc>
          <w:tcPr>
            <w:tcW w:w="2120" w:type="dxa"/>
            <w:tcBorders>
              <w:top w:val="nil"/>
              <w:left w:val="nil"/>
              <w:bottom w:val="nil"/>
              <w:right w:val="nil"/>
            </w:tcBorders>
            <w:noWrap/>
            <w:vAlign w:val="bottom"/>
            <w:hideMark/>
          </w:tcPr>
          <w:p w14:paraId="352BFB05" w14:textId="77777777" w:rsidR="00F97839" w:rsidRPr="004B0336" w:rsidRDefault="00F97839" w:rsidP="00EE1D8B">
            <w:pPr>
              <w:spacing w:after="0"/>
              <w:jc w:val="right"/>
              <w:rPr>
                <w:rFonts w:eastAsia="Times New Roman" w:cs="Arial"/>
                <w:color w:val="000000"/>
                <w:kern w:val="0"/>
                <w:lang w:val="en-GB" w:eastAsia="en-IN"/>
                <w14:ligatures w14:val="none"/>
              </w:rPr>
            </w:pPr>
          </w:p>
        </w:tc>
      </w:tr>
      <w:tr w:rsidR="00F97839" w:rsidRPr="004B0336" w14:paraId="0ACEF5AE" w14:textId="77777777" w:rsidTr="00F97839">
        <w:trPr>
          <w:trHeight w:val="312"/>
        </w:trPr>
        <w:tc>
          <w:tcPr>
            <w:tcW w:w="2760" w:type="dxa"/>
            <w:tcBorders>
              <w:top w:val="nil"/>
              <w:left w:val="single" w:sz="4" w:space="0" w:color="auto"/>
              <w:bottom w:val="single" w:sz="4" w:space="0" w:color="auto"/>
              <w:right w:val="single" w:sz="4" w:space="0" w:color="auto"/>
            </w:tcBorders>
            <w:shd w:val="clear" w:color="000000" w:fill="D9E1F2"/>
            <w:noWrap/>
            <w:vAlign w:val="bottom"/>
            <w:hideMark/>
          </w:tcPr>
          <w:p w14:paraId="7075A8C5" w14:textId="77777777" w:rsidR="00F97839" w:rsidRPr="004B0336" w:rsidRDefault="00F97839"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Years</w:t>
            </w:r>
          </w:p>
        </w:tc>
        <w:tc>
          <w:tcPr>
            <w:tcW w:w="1560" w:type="dxa"/>
            <w:tcBorders>
              <w:top w:val="nil"/>
              <w:left w:val="nil"/>
              <w:bottom w:val="single" w:sz="4" w:space="0" w:color="auto"/>
              <w:right w:val="single" w:sz="4" w:space="0" w:color="auto"/>
            </w:tcBorders>
            <w:shd w:val="clear" w:color="000000" w:fill="D9E1F2"/>
            <w:noWrap/>
            <w:vAlign w:val="bottom"/>
            <w:hideMark/>
          </w:tcPr>
          <w:p w14:paraId="6CD882AD"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w:t>
            </w:r>
          </w:p>
        </w:tc>
        <w:tc>
          <w:tcPr>
            <w:tcW w:w="2120" w:type="dxa"/>
            <w:tcBorders>
              <w:top w:val="nil"/>
              <w:left w:val="nil"/>
              <w:bottom w:val="nil"/>
              <w:right w:val="nil"/>
            </w:tcBorders>
            <w:noWrap/>
            <w:vAlign w:val="bottom"/>
            <w:hideMark/>
          </w:tcPr>
          <w:p w14:paraId="491A2374" w14:textId="77777777" w:rsidR="00F97839" w:rsidRPr="004B0336" w:rsidRDefault="00F97839" w:rsidP="00EE1D8B">
            <w:pPr>
              <w:spacing w:after="0"/>
              <w:jc w:val="right"/>
              <w:rPr>
                <w:rFonts w:eastAsia="Times New Roman" w:cs="Arial"/>
                <w:color w:val="000000"/>
                <w:kern w:val="0"/>
                <w:lang w:val="en-GB" w:eastAsia="en-IN"/>
                <w14:ligatures w14:val="none"/>
              </w:rPr>
            </w:pPr>
          </w:p>
        </w:tc>
      </w:tr>
      <w:tr w:rsidR="00F97839" w:rsidRPr="004B0336" w14:paraId="0A89F3E7" w14:textId="77777777" w:rsidTr="00F97839">
        <w:trPr>
          <w:trHeight w:val="312"/>
        </w:trPr>
        <w:tc>
          <w:tcPr>
            <w:tcW w:w="2760" w:type="dxa"/>
            <w:tcBorders>
              <w:top w:val="nil"/>
              <w:left w:val="single" w:sz="4" w:space="0" w:color="auto"/>
              <w:bottom w:val="single" w:sz="4" w:space="0" w:color="auto"/>
              <w:right w:val="single" w:sz="4" w:space="0" w:color="auto"/>
            </w:tcBorders>
            <w:shd w:val="clear" w:color="000000" w:fill="D9E1F2"/>
            <w:noWrap/>
            <w:vAlign w:val="bottom"/>
            <w:hideMark/>
          </w:tcPr>
          <w:p w14:paraId="40B3D433" w14:textId="77777777" w:rsidR="00F97839" w:rsidRPr="004B0336" w:rsidRDefault="00F97839"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Annual depreciation</w:t>
            </w:r>
          </w:p>
        </w:tc>
        <w:tc>
          <w:tcPr>
            <w:tcW w:w="1560" w:type="dxa"/>
            <w:tcBorders>
              <w:top w:val="nil"/>
              <w:left w:val="nil"/>
              <w:bottom w:val="single" w:sz="4" w:space="0" w:color="auto"/>
              <w:right w:val="single" w:sz="4" w:space="0" w:color="auto"/>
            </w:tcBorders>
            <w:shd w:val="clear" w:color="000000" w:fill="D9E1F2"/>
            <w:noWrap/>
            <w:vAlign w:val="bottom"/>
            <w:hideMark/>
          </w:tcPr>
          <w:p w14:paraId="4DE08703"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8</w:t>
            </w:r>
          </w:p>
        </w:tc>
        <w:tc>
          <w:tcPr>
            <w:tcW w:w="2120" w:type="dxa"/>
            <w:tcBorders>
              <w:top w:val="nil"/>
              <w:left w:val="nil"/>
              <w:bottom w:val="nil"/>
              <w:right w:val="nil"/>
            </w:tcBorders>
            <w:noWrap/>
            <w:vAlign w:val="bottom"/>
            <w:hideMark/>
          </w:tcPr>
          <w:p w14:paraId="39A859CE" w14:textId="77777777" w:rsidR="00F97839" w:rsidRPr="004B0336" w:rsidRDefault="00F97839" w:rsidP="00EE1D8B">
            <w:pPr>
              <w:spacing w:after="0"/>
              <w:jc w:val="right"/>
              <w:rPr>
                <w:rFonts w:eastAsia="Times New Roman" w:cs="Arial"/>
                <w:color w:val="000000"/>
                <w:kern w:val="0"/>
                <w:lang w:val="en-GB" w:eastAsia="en-IN"/>
                <w14:ligatures w14:val="none"/>
              </w:rPr>
            </w:pPr>
          </w:p>
        </w:tc>
      </w:tr>
      <w:tr w:rsidR="00F97839" w:rsidRPr="004B0336" w14:paraId="2288AD01" w14:textId="77777777" w:rsidTr="00F97839">
        <w:trPr>
          <w:trHeight w:val="312"/>
        </w:trPr>
        <w:tc>
          <w:tcPr>
            <w:tcW w:w="2760" w:type="dxa"/>
            <w:tcBorders>
              <w:top w:val="nil"/>
              <w:left w:val="single" w:sz="4" w:space="0" w:color="auto"/>
              <w:bottom w:val="single" w:sz="4" w:space="0" w:color="auto"/>
              <w:right w:val="single" w:sz="4" w:space="0" w:color="auto"/>
            </w:tcBorders>
            <w:shd w:val="clear" w:color="000000" w:fill="D9E1F2"/>
            <w:noWrap/>
            <w:vAlign w:val="bottom"/>
            <w:hideMark/>
          </w:tcPr>
          <w:p w14:paraId="695EA401" w14:textId="77777777" w:rsidR="00F97839" w:rsidRPr="004B0336" w:rsidRDefault="00F97839" w:rsidP="00EE1D8B">
            <w:pPr>
              <w:spacing w:after="0"/>
              <w:jc w:val="center"/>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Year</w:t>
            </w:r>
          </w:p>
        </w:tc>
        <w:tc>
          <w:tcPr>
            <w:tcW w:w="1560" w:type="dxa"/>
            <w:tcBorders>
              <w:top w:val="nil"/>
              <w:left w:val="nil"/>
              <w:bottom w:val="single" w:sz="4" w:space="0" w:color="auto"/>
              <w:right w:val="single" w:sz="4" w:space="0" w:color="auto"/>
            </w:tcBorders>
            <w:shd w:val="clear" w:color="000000" w:fill="D9E1F2"/>
            <w:noWrap/>
            <w:vAlign w:val="bottom"/>
            <w:hideMark/>
          </w:tcPr>
          <w:p w14:paraId="6EC6B851" w14:textId="198F88B0" w:rsidR="00F97839" w:rsidRPr="004B0336" w:rsidRDefault="00F97839" w:rsidP="00EE1D8B">
            <w:pPr>
              <w:spacing w:after="0"/>
              <w:jc w:val="center"/>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xml:space="preserve">Cash Flow </w:t>
            </w:r>
          </w:p>
        </w:tc>
        <w:tc>
          <w:tcPr>
            <w:tcW w:w="2120" w:type="dxa"/>
            <w:tcBorders>
              <w:top w:val="single" w:sz="4" w:space="0" w:color="auto"/>
              <w:left w:val="nil"/>
              <w:bottom w:val="single" w:sz="4" w:space="0" w:color="auto"/>
              <w:right w:val="single" w:sz="4" w:space="0" w:color="auto"/>
            </w:tcBorders>
            <w:shd w:val="clear" w:color="000000" w:fill="D9E1F2"/>
            <w:noWrap/>
            <w:vAlign w:val="bottom"/>
            <w:hideMark/>
          </w:tcPr>
          <w:p w14:paraId="5899E23A" w14:textId="77777777" w:rsidR="00F97839" w:rsidRPr="004B0336" w:rsidRDefault="00F97839" w:rsidP="00EE1D8B">
            <w:pPr>
              <w:spacing w:after="0"/>
              <w:jc w:val="center"/>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Profit</w:t>
            </w:r>
          </w:p>
        </w:tc>
      </w:tr>
      <w:tr w:rsidR="00F97839" w:rsidRPr="004B0336" w14:paraId="01BA6BB9" w14:textId="77777777" w:rsidTr="00F97839">
        <w:trPr>
          <w:trHeight w:val="312"/>
        </w:trPr>
        <w:tc>
          <w:tcPr>
            <w:tcW w:w="2760" w:type="dxa"/>
            <w:tcBorders>
              <w:top w:val="nil"/>
              <w:left w:val="single" w:sz="4" w:space="0" w:color="auto"/>
              <w:bottom w:val="single" w:sz="4" w:space="0" w:color="auto"/>
              <w:right w:val="single" w:sz="4" w:space="0" w:color="auto"/>
            </w:tcBorders>
            <w:shd w:val="clear" w:color="000000" w:fill="D9E1F2"/>
            <w:noWrap/>
            <w:vAlign w:val="bottom"/>
            <w:hideMark/>
          </w:tcPr>
          <w:p w14:paraId="7061C259"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w:t>
            </w:r>
          </w:p>
        </w:tc>
        <w:tc>
          <w:tcPr>
            <w:tcW w:w="1560" w:type="dxa"/>
            <w:tcBorders>
              <w:top w:val="nil"/>
              <w:left w:val="nil"/>
              <w:bottom w:val="single" w:sz="4" w:space="0" w:color="auto"/>
              <w:right w:val="single" w:sz="4" w:space="0" w:color="auto"/>
            </w:tcBorders>
            <w:shd w:val="clear" w:color="000000" w:fill="D9E1F2"/>
            <w:noWrap/>
            <w:vAlign w:val="bottom"/>
            <w:hideMark/>
          </w:tcPr>
          <w:p w14:paraId="7169B901"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10</w:t>
            </w:r>
          </w:p>
        </w:tc>
        <w:tc>
          <w:tcPr>
            <w:tcW w:w="2120" w:type="dxa"/>
            <w:tcBorders>
              <w:top w:val="nil"/>
              <w:left w:val="nil"/>
              <w:bottom w:val="single" w:sz="4" w:space="0" w:color="auto"/>
              <w:right w:val="single" w:sz="4" w:space="0" w:color="auto"/>
            </w:tcBorders>
            <w:shd w:val="clear" w:color="000000" w:fill="D9E1F2"/>
            <w:noWrap/>
            <w:vAlign w:val="bottom"/>
            <w:hideMark/>
          </w:tcPr>
          <w:p w14:paraId="7FEB521F"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w:t>
            </w:r>
          </w:p>
        </w:tc>
      </w:tr>
      <w:tr w:rsidR="00F97839" w:rsidRPr="004B0336" w14:paraId="1A16E7E7" w14:textId="77777777" w:rsidTr="00F97839">
        <w:trPr>
          <w:trHeight w:val="312"/>
        </w:trPr>
        <w:tc>
          <w:tcPr>
            <w:tcW w:w="2760" w:type="dxa"/>
            <w:tcBorders>
              <w:top w:val="nil"/>
              <w:left w:val="single" w:sz="4" w:space="0" w:color="auto"/>
              <w:bottom w:val="single" w:sz="4" w:space="0" w:color="auto"/>
              <w:right w:val="single" w:sz="4" w:space="0" w:color="auto"/>
            </w:tcBorders>
            <w:shd w:val="clear" w:color="000000" w:fill="D9E1F2"/>
            <w:noWrap/>
            <w:vAlign w:val="bottom"/>
            <w:hideMark/>
          </w:tcPr>
          <w:p w14:paraId="67C34071"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w:t>
            </w:r>
          </w:p>
        </w:tc>
        <w:tc>
          <w:tcPr>
            <w:tcW w:w="1560" w:type="dxa"/>
            <w:tcBorders>
              <w:top w:val="nil"/>
              <w:left w:val="nil"/>
              <w:bottom w:val="single" w:sz="4" w:space="0" w:color="auto"/>
              <w:right w:val="single" w:sz="4" w:space="0" w:color="auto"/>
            </w:tcBorders>
            <w:shd w:val="clear" w:color="000000" w:fill="D9E1F2"/>
            <w:noWrap/>
            <w:vAlign w:val="bottom"/>
            <w:hideMark/>
          </w:tcPr>
          <w:p w14:paraId="488C1DA6"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12</w:t>
            </w:r>
          </w:p>
        </w:tc>
        <w:tc>
          <w:tcPr>
            <w:tcW w:w="2120" w:type="dxa"/>
            <w:tcBorders>
              <w:top w:val="nil"/>
              <w:left w:val="nil"/>
              <w:bottom w:val="single" w:sz="4" w:space="0" w:color="auto"/>
              <w:right w:val="single" w:sz="4" w:space="0" w:color="auto"/>
            </w:tcBorders>
            <w:shd w:val="clear" w:color="000000" w:fill="D9E1F2"/>
            <w:noWrap/>
            <w:vAlign w:val="bottom"/>
            <w:hideMark/>
          </w:tcPr>
          <w:p w14:paraId="425A37AE"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4</w:t>
            </w:r>
          </w:p>
        </w:tc>
      </w:tr>
      <w:tr w:rsidR="00F97839" w:rsidRPr="004B0336" w14:paraId="57462D71" w14:textId="77777777" w:rsidTr="00F97839">
        <w:trPr>
          <w:trHeight w:val="312"/>
        </w:trPr>
        <w:tc>
          <w:tcPr>
            <w:tcW w:w="2760" w:type="dxa"/>
            <w:tcBorders>
              <w:top w:val="nil"/>
              <w:left w:val="single" w:sz="4" w:space="0" w:color="auto"/>
              <w:bottom w:val="single" w:sz="4" w:space="0" w:color="auto"/>
              <w:right w:val="single" w:sz="4" w:space="0" w:color="auto"/>
            </w:tcBorders>
            <w:shd w:val="clear" w:color="000000" w:fill="D9E1F2"/>
            <w:noWrap/>
            <w:vAlign w:val="bottom"/>
            <w:hideMark/>
          </w:tcPr>
          <w:p w14:paraId="7BCB4CA6"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3</w:t>
            </w:r>
          </w:p>
        </w:tc>
        <w:tc>
          <w:tcPr>
            <w:tcW w:w="1560" w:type="dxa"/>
            <w:tcBorders>
              <w:top w:val="nil"/>
              <w:left w:val="nil"/>
              <w:bottom w:val="single" w:sz="4" w:space="0" w:color="auto"/>
              <w:right w:val="single" w:sz="4" w:space="0" w:color="auto"/>
            </w:tcBorders>
            <w:shd w:val="clear" w:color="000000" w:fill="D9E1F2"/>
            <w:noWrap/>
            <w:vAlign w:val="bottom"/>
            <w:hideMark/>
          </w:tcPr>
          <w:p w14:paraId="4148844D"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14</w:t>
            </w:r>
          </w:p>
        </w:tc>
        <w:tc>
          <w:tcPr>
            <w:tcW w:w="2120" w:type="dxa"/>
            <w:tcBorders>
              <w:top w:val="nil"/>
              <w:left w:val="nil"/>
              <w:bottom w:val="single" w:sz="4" w:space="0" w:color="auto"/>
              <w:right w:val="single" w:sz="4" w:space="0" w:color="auto"/>
            </w:tcBorders>
            <w:shd w:val="clear" w:color="000000" w:fill="D9E1F2"/>
            <w:noWrap/>
            <w:vAlign w:val="bottom"/>
            <w:hideMark/>
          </w:tcPr>
          <w:p w14:paraId="16084B87"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6</w:t>
            </w:r>
          </w:p>
        </w:tc>
      </w:tr>
      <w:tr w:rsidR="00F97839" w:rsidRPr="004B0336" w14:paraId="016F23EA" w14:textId="77777777" w:rsidTr="00F97839">
        <w:trPr>
          <w:trHeight w:val="312"/>
        </w:trPr>
        <w:tc>
          <w:tcPr>
            <w:tcW w:w="2760" w:type="dxa"/>
            <w:tcBorders>
              <w:top w:val="nil"/>
              <w:left w:val="single" w:sz="4" w:space="0" w:color="auto"/>
              <w:bottom w:val="single" w:sz="4" w:space="0" w:color="auto"/>
              <w:right w:val="single" w:sz="4" w:space="0" w:color="auto"/>
            </w:tcBorders>
            <w:shd w:val="clear" w:color="000000" w:fill="D9E1F2"/>
            <w:noWrap/>
            <w:vAlign w:val="bottom"/>
            <w:hideMark/>
          </w:tcPr>
          <w:p w14:paraId="3A4A391E"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4</w:t>
            </w:r>
          </w:p>
        </w:tc>
        <w:tc>
          <w:tcPr>
            <w:tcW w:w="1560" w:type="dxa"/>
            <w:tcBorders>
              <w:top w:val="nil"/>
              <w:left w:val="nil"/>
              <w:bottom w:val="single" w:sz="4" w:space="0" w:color="auto"/>
              <w:right w:val="single" w:sz="4" w:space="0" w:color="auto"/>
            </w:tcBorders>
            <w:shd w:val="clear" w:color="000000" w:fill="D9E1F2"/>
            <w:noWrap/>
            <w:vAlign w:val="bottom"/>
            <w:hideMark/>
          </w:tcPr>
          <w:p w14:paraId="4C7E1169"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10</w:t>
            </w:r>
          </w:p>
        </w:tc>
        <w:tc>
          <w:tcPr>
            <w:tcW w:w="2120" w:type="dxa"/>
            <w:tcBorders>
              <w:top w:val="nil"/>
              <w:left w:val="nil"/>
              <w:bottom w:val="single" w:sz="4" w:space="0" w:color="auto"/>
              <w:right w:val="single" w:sz="4" w:space="0" w:color="auto"/>
            </w:tcBorders>
            <w:shd w:val="clear" w:color="000000" w:fill="D9E1F2"/>
            <w:noWrap/>
            <w:vAlign w:val="bottom"/>
            <w:hideMark/>
          </w:tcPr>
          <w:p w14:paraId="1B6EB6FF"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w:t>
            </w:r>
          </w:p>
        </w:tc>
      </w:tr>
      <w:tr w:rsidR="00F97839" w:rsidRPr="004B0336" w14:paraId="5F2EF375" w14:textId="77777777" w:rsidTr="00F97839">
        <w:trPr>
          <w:trHeight w:val="312"/>
        </w:trPr>
        <w:tc>
          <w:tcPr>
            <w:tcW w:w="2760" w:type="dxa"/>
            <w:tcBorders>
              <w:top w:val="nil"/>
              <w:left w:val="single" w:sz="4" w:space="0" w:color="auto"/>
              <w:bottom w:val="single" w:sz="4" w:space="0" w:color="auto"/>
              <w:right w:val="single" w:sz="4" w:space="0" w:color="auto"/>
            </w:tcBorders>
            <w:shd w:val="clear" w:color="000000" w:fill="D9E1F2"/>
            <w:noWrap/>
            <w:vAlign w:val="bottom"/>
            <w:hideMark/>
          </w:tcPr>
          <w:p w14:paraId="1FC1823B"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w:t>
            </w:r>
          </w:p>
        </w:tc>
        <w:tc>
          <w:tcPr>
            <w:tcW w:w="1560" w:type="dxa"/>
            <w:tcBorders>
              <w:top w:val="nil"/>
              <w:left w:val="nil"/>
              <w:bottom w:val="single" w:sz="4" w:space="0" w:color="auto"/>
              <w:right w:val="single" w:sz="4" w:space="0" w:color="auto"/>
            </w:tcBorders>
            <w:shd w:val="clear" w:color="000000" w:fill="D9E1F2"/>
            <w:noWrap/>
            <w:vAlign w:val="bottom"/>
            <w:hideMark/>
          </w:tcPr>
          <w:p w14:paraId="5DADCA14"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8</w:t>
            </w:r>
          </w:p>
        </w:tc>
        <w:tc>
          <w:tcPr>
            <w:tcW w:w="2120" w:type="dxa"/>
            <w:tcBorders>
              <w:top w:val="nil"/>
              <w:left w:val="nil"/>
              <w:bottom w:val="single" w:sz="4" w:space="0" w:color="auto"/>
              <w:right w:val="single" w:sz="4" w:space="0" w:color="auto"/>
            </w:tcBorders>
            <w:shd w:val="clear" w:color="000000" w:fill="D9E1F2"/>
            <w:noWrap/>
            <w:vAlign w:val="bottom"/>
            <w:hideMark/>
          </w:tcPr>
          <w:p w14:paraId="6F2E52E4"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w:t>
            </w:r>
          </w:p>
        </w:tc>
      </w:tr>
      <w:tr w:rsidR="00F97839" w:rsidRPr="004B0336" w14:paraId="1AA787E3" w14:textId="77777777" w:rsidTr="00F97839">
        <w:trPr>
          <w:trHeight w:val="312"/>
        </w:trPr>
        <w:tc>
          <w:tcPr>
            <w:tcW w:w="2760" w:type="dxa"/>
            <w:tcBorders>
              <w:top w:val="nil"/>
              <w:left w:val="single" w:sz="4" w:space="0" w:color="auto"/>
              <w:bottom w:val="single" w:sz="4" w:space="0" w:color="auto"/>
              <w:right w:val="single" w:sz="4" w:space="0" w:color="auto"/>
            </w:tcBorders>
            <w:shd w:val="clear" w:color="000000" w:fill="D9E1F2"/>
            <w:noWrap/>
            <w:vAlign w:val="bottom"/>
            <w:hideMark/>
          </w:tcPr>
          <w:p w14:paraId="273EA872" w14:textId="327B83BB" w:rsidR="00F97839" w:rsidRPr="004B0336" w:rsidRDefault="00F97839"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 xml:space="preserve">Average Annual profit </w:t>
            </w:r>
          </w:p>
        </w:tc>
        <w:tc>
          <w:tcPr>
            <w:tcW w:w="1560" w:type="dxa"/>
            <w:tcBorders>
              <w:top w:val="nil"/>
              <w:left w:val="nil"/>
              <w:bottom w:val="single" w:sz="4" w:space="0" w:color="auto"/>
              <w:right w:val="single" w:sz="4" w:space="0" w:color="auto"/>
            </w:tcBorders>
            <w:shd w:val="clear" w:color="000000" w:fill="D9E1F2"/>
            <w:noWrap/>
            <w:vAlign w:val="bottom"/>
            <w:hideMark/>
          </w:tcPr>
          <w:p w14:paraId="29D0E832"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2.8</w:t>
            </w:r>
          </w:p>
        </w:tc>
        <w:tc>
          <w:tcPr>
            <w:tcW w:w="2120" w:type="dxa"/>
            <w:tcBorders>
              <w:top w:val="nil"/>
              <w:left w:val="nil"/>
              <w:bottom w:val="single" w:sz="4" w:space="0" w:color="auto"/>
              <w:right w:val="single" w:sz="4" w:space="0" w:color="auto"/>
            </w:tcBorders>
            <w:shd w:val="clear" w:color="000000" w:fill="D9E1F2"/>
            <w:noWrap/>
            <w:vAlign w:val="bottom"/>
            <w:hideMark/>
          </w:tcPr>
          <w:p w14:paraId="4E688447" w14:textId="77777777" w:rsidR="00F97839" w:rsidRPr="004B0336" w:rsidRDefault="00F97839"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 </w:t>
            </w:r>
          </w:p>
        </w:tc>
      </w:tr>
      <w:tr w:rsidR="00F97839" w:rsidRPr="004B0336" w14:paraId="279A1E8D" w14:textId="77777777" w:rsidTr="00F97839">
        <w:trPr>
          <w:trHeight w:val="312"/>
        </w:trPr>
        <w:tc>
          <w:tcPr>
            <w:tcW w:w="2760" w:type="dxa"/>
            <w:tcBorders>
              <w:top w:val="nil"/>
              <w:left w:val="single" w:sz="4" w:space="0" w:color="auto"/>
              <w:bottom w:val="single" w:sz="4" w:space="0" w:color="auto"/>
              <w:right w:val="single" w:sz="4" w:space="0" w:color="auto"/>
            </w:tcBorders>
            <w:shd w:val="clear" w:color="000000" w:fill="D9E1F2"/>
            <w:noWrap/>
            <w:vAlign w:val="bottom"/>
            <w:hideMark/>
          </w:tcPr>
          <w:p w14:paraId="2814DF1E" w14:textId="77777777" w:rsidR="00F97839" w:rsidRPr="004B0336" w:rsidRDefault="00F97839"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Average Investment</w:t>
            </w:r>
          </w:p>
        </w:tc>
        <w:tc>
          <w:tcPr>
            <w:tcW w:w="1560" w:type="dxa"/>
            <w:tcBorders>
              <w:top w:val="nil"/>
              <w:left w:val="nil"/>
              <w:bottom w:val="single" w:sz="4" w:space="0" w:color="auto"/>
              <w:right w:val="single" w:sz="4" w:space="0" w:color="auto"/>
            </w:tcBorders>
            <w:shd w:val="clear" w:color="000000" w:fill="D9E1F2"/>
            <w:noWrap/>
            <w:vAlign w:val="bottom"/>
            <w:hideMark/>
          </w:tcPr>
          <w:p w14:paraId="43C03899"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20</w:t>
            </w:r>
          </w:p>
        </w:tc>
        <w:tc>
          <w:tcPr>
            <w:tcW w:w="2120" w:type="dxa"/>
            <w:tcBorders>
              <w:top w:val="nil"/>
              <w:left w:val="nil"/>
              <w:bottom w:val="single" w:sz="4" w:space="0" w:color="auto"/>
              <w:right w:val="single" w:sz="4" w:space="0" w:color="auto"/>
            </w:tcBorders>
            <w:shd w:val="clear" w:color="000000" w:fill="D9E1F2"/>
            <w:noWrap/>
            <w:vAlign w:val="bottom"/>
            <w:hideMark/>
          </w:tcPr>
          <w:p w14:paraId="40480FFC" w14:textId="77777777" w:rsidR="00F97839" w:rsidRPr="004B0336" w:rsidRDefault="00F97839"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 </w:t>
            </w:r>
          </w:p>
        </w:tc>
      </w:tr>
      <w:tr w:rsidR="00F97839" w:rsidRPr="004B0336" w14:paraId="5C528543" w14:textId="77777777" w:rsidTr="00F97839">
        <w:trPr>
          <w:trHeight w:val="312"/>
        </w:trPr>
        <w:tc>
          <w:tcPr>
            <w:tcW w:w="2760" w:type="dxa"/>
            <w:tcBorders>
              <w:top w:val="nil"/>
              <w:left w:val="single" w:sz="4" w:space="0" w:color="auto"/>
              <w:bottom w:val="single" w:sz="4" w:space="0" w:color="auto"/>
              <w:right w:val="single" w:sz="4" w:space="0" w:color="auto"/>
            </w:tcBorders>
            <w:shd w:val="clear" w:color="000000" w:fill="D9E1F2"/>
            <w:noWrap/>
            <w:vAlign w:val="bottom"/>
            <w:hideMark/>
          </w:tcPr>
          <w:p w14:paraId="5E92BF31"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ARR</w:t>
            </w:r>
          </w:p>
        </w:tc>
        <w:tc>
          <w:tcPr>
            <w:tcW w:w="1560" w:type="dxa"/>
            <w:tcBorders>
              <w:top w:val="nil"/>
              <w:left w:val="nil"/>
              <w:bottom w:val="single" w:sz="4" w:space="0" w:color="auto"/>
              <w:right w:val="single" w:sz="4" w:space="0" w:color="auto"/>
            </w:tcBorders>
            <w:shd w:val="clear" w:color="000000" w:fill="D9E1F2"/>
            <w:noWrap/>
            <w:vAlign w:val="bottom"/>
            <w:hideMark/>
          </w:tcPr>
          <w:p w14:paraId="3EBDAEF1" w14:textId="77777777" w:rsidR="00F97839" w:rsidRPr="004B0336" w:rsidRDefault="00F97839" w:rsidP="00EE1D8B">
            <w:pPr>
              <w:spacing w:after="0"/>
              <w:jc w:val="righ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14</w:t>
            </w:r>
          </w:p>
        </w:tc>
        <w:tc>
          <w:tcPr>
            <w:tcW w:w="2120" w:type="dxa"/>
            <w:tcBorders>
              <w:top w:val="nil"/>
              <w:left w:val="nil"/>
              <w:bottom w:val="single" w:sz="4" w:space="0" w:color="auto"/>
              <w:right w:val="single" w:sz="4" w:space="0" w:color="auto"/>
            </w:tcBorders>
            <w:shd w:val="clear" w:color="000000" w:fill="D9E1F2"/>
            <w:noWrap/>
            <w:vAlign w:val="bottom"/>
            <w:hideMark/>
          </w:tcPr>
          <w:p w14:paraId="0DED1BDC"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xml:space="preserve">In percentage </w:t>
            </w:r>
          </w:p>
        </w:tc>
      </w:tr>
    </w:tbl>
    <w:p w14:paraId="6F5FC38B" w14:textId="77777777" w:rsidR="00F97839" w:rsidRPr="004B0336" w:rsidRDefault="00F97839" w:rsidP="00EE1D8B">
      <w:pPr>
        <w:rPr>
          <w:rFonts w:cs="Arial"/>
          <w:lang w:val="en-GB"/>
        </w:rPr>
      </w:pPr>
    </w:p>
    <w:p w14:paraId="19839EF7" w14:textId="0869398A" w:rsidR="00F97839" w:rsidRPr="004B0336" w:rsidRDefault="00F97839" w:rsidP="00EE1D8B">
      <w:pPr>
        <w:rPr>
          <w:rFonts w:cs="Arial"/>
          <w:b/>
          <w:bCs/>
          <w:i/>
          <w:iCs/>
          <w:lang w:val="en-GB"/>
        </w:rPr>
      </w:pPr>
      <w:r w:rsidRPr="004B0336">
        <w:rPr>
          <w:rFonts w:cs="Arial"/>
          <w:b/>
          <w:bCs/>
          <w:i/>
          <w:iCs/>
          <w:lang w:val="en-GB"/>
        </w:rPr>
        <w:t>NPV</w:t>
      </w:r>
      <w:r w:rsidR="0057611D" w:rsidRPr="004B0336">
        <w:rPr>
          <w:rFonts w:cs="Arial"/>
          <w:b/>
          <w:bCs/>
          <w:i/>
          <w:iCs/>
          <w:lang w:val="en-GB"/>
        </w:rPr>
        <w:t xml:space="preserve"> and PI</w:t>
      </w:r>
    </w:p>
    <w:tbl>
      <w:tblPr>
        <w:tblW w:w="6840" w:type="dxa"/>
        <w:tblLook w:val="04A0" w:firstRow="1" w:lastRow="0" w:firstColumn="1" w:lastColumn="0" w:noHBand="0" w:noVBand="1"/>
      </w:tblPr>
      <w:tblGrid>
        <w:gridCol w:w="1720"/>
        <w:gridCol w:w="1710"/>
        <w:gridCol w:w="1880"/>
        <w:gridCol w:w="1618"/>
      </w:tblGrid>
      <w:tr w:rsidR="00F97839" w:rsidRPr="004B0336" w14:paraId="3B80A37E" w14:textId="77777777" w:rsidTr="00F97839">
        <w:trPr>
          <w:trHeight w:val="1248"/>
        </w:trPr>
        <w:tc>
          <w:tcPr>
            <w:tcW w:w="1720"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5CE5FEBA"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Discount Rate</w:t>
            </w:r>
          </w:p>
        </w:tc>
        <w:tc>
          <w:tcPr>
            <w:tcW w:w="1660" w:type="dxa"/>
            <w:tcBorders>
              <w:top w:val="single" w:sz="4" w:space="0" w:color="auto"/>
              <w:left w:val="nil"/>
              <w:bottom w:val="single" w:sz="4" w:space="0" w:color="auto"/>
              <w:right w:val="single" w:sz="4" w:space="0" w:color="auto"/>
            </w:tcBorders>
            <w:shd w:val="clear" w:color="000000" w:fill="D9E1F2"/>
            <w:noWrap/>
            <w:vAlign w:val="bottom"/>
            <w:hideMark/>
          </w:tcPr>
          <w:p w14:paraId="7E6A0074"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10%</w:t>
            </w:r>
          </w:p>
        </w:tc>
        <w:tc>
          <w:tcPr>
            <w:tcW w:w="1880" w:type="dxa"/>
            <w:tcBorders>
              <w:top w:val="nil"/>
              <w:left w:val="nil"/>
              <w:bottom w:val="nil"/>
              <w:right w:val="nil"/>
            </w:tcBorders>
            <w:noWrap/>
            <w:vAlign w:val="bottom"/>
            <w:hideMark/>
          </w:tcPr>
          <w:p w14:paraId="43A06F02" w14:textId="77777777" w:rsidR="00F97839" w:rsidRPr="004B0336" w:rsidRDefault="00F97839" w:rsidP="00EE1D8B">
            <w:pPr>
              <w:spacing w:after="0"/>
              <w:jc w:val="right"/>
              <w:rPr>
                <w:rFonts w:eastAsia="Times New Roman" w:cs="Arial"/>
                <w:color w:val="000000"/>
                <w:kern w:val="0"/>
                <w:lang w:val="en-GB" w:eastAsia="en-IN"/>
                <w14:ligatures w14:val="none"/>
              </w:rPr>
            </w:pPr>
          </w:p>
        </w:tc>
        <w:tc>
          <w:tcPr>
            <w:tcW w:w="1580" w:type="dxa"/>
            <w:tcBorders>
              <w:top w:val="nil"/>
              <w:left w:val="nil"/>
              <w:bottom w:val="nil"/>
              <w:right w:val="nil"/>
            </w:tcBorders>
            <w:noWrap/>
            <w:vAlign w:val="bottom"/>
            <w:hideMark/>
          </w:tcPr>
          <w:p w14:paraId="7CCF65C8" w14:textId="77777777" w:rsidR="00F97839" w:rsidRPr="004B0336" w:rsidRDefault="00F97839" w:rsidP="00EE1D8B">
            <w:pPr>
              <w:spacing w:after="0"/>
              <w:jc w:val="left"/>
              <w:rPr>
                <w:rFonts w:eastAsia="Times New Roman" w:cs="Arial"/>
                <w:kern w:val="0"/>
                <w:sz w:val="20"/>
                <w:szCs w:val="20"/>
                <w:lang w:val="en-GB" w:eastAsia="en-IN"/>
                <w14:ligatures w14:val="none"/>
              </w:rPr>
            </w:pPr>
          </w:p>
        </w:tc>
      </w:tr>
      <w:tr w:rsidR="00F97839" w:rsidRPr="004B0336" w14:paraId="430F1D3D" w14:textId="77777777" w:rsidTr="00F97839">
        <w:trPr>
          <w:trHeight w:val="312"/>
        </w:trPr>
        <w:tc>
          <w:tcPr>
            <w:tcW w:w="1720" w:type="dxa"/>
            <w:tcBorders>
              <w:top w:val="nil"/>
              <w:left w:val="single" w:sz="4" w:space="0" w:color="auto"/>
              <w:bottom w:val="single" w:sz="4" w:space="0" w:color="auto"/>
              <w:right w:val="single" w:sz="4" w:space="0" w:color="auto"/>
            </w:tcBorders>
            <w:shd w:val="clear" w:color="000000" w:fill="D9E1F2"/>
            <w:noWrap/>
            <w:vAlign w:val="bottom"/>
            <w:hideMark/>
          </w:tcPr>
          <w:p w14:paraId="510CD9BC"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Year</w:t>
            </w:r>
          </w:p>
        </w:tc>
        <w:tc>
          <w:tcPr>
            <w:tcW w:w="1660" w:type="dxa"/>
            <w:tcBorders>
              <w:top w:val="nil"/>
              <w:left w:val="nil"/>
              <w:bottom w:val="single" w:sz="4" w:space="0" w:color="auto"/>
              <w:right w:val="single" w:sz="4" w:space="0" w:color="auto"/>
            </w:tcBorders>
            <w:shd w:val="clear" w:color="000000" w:fill="D9E1F2"/>
            <w:noWrap/>
            <w:vAlign w:val="bottom"/>
            <w:hideMark/>
          </w:tcPr>
          <w:p w14:paraId="7509EDA4"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Formula</w:t>
            </w:r>
          </w:p>
        </w:tc>
        <w:tc>
          <w:tcPr>
            <w:tcW w:w="1880" w:type="dxa"/>
            <w:tcBorders>
              <w:top w:val="single" w:sz="4" w:space="0" w:color="auto"/>
              <w:left w:val="nil"/>
              <w:bottom w:val="single" w:sz="4" w:space="0" w:color="auto"/>
              <w:right w:val="single" w:sz="4" w:space="0" w:color="auto"/>
            </w:tcBorders>
            <w:shd w:val="clear" w:color="000000" w:fill="D9E1F2"/>
            <w:noWrap/>
            <w:vAlign w:val="bottom"/>
            <w:hideMark/>
          </w:tcPr>
          <w:p w14:paraId="18EE9F72"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Discount factor</w:t>
            </w:r>
          </w:p>
        </w:tc>
        <w:tc>
          <w:tcPr>
            <w:tcW w:w="1580" w:type="dxa"/>
            <w:tcBorders>
              <w:top w:val="single" w:sz="4" w:space="0" w:color="auto"/>
              <w:left w:val="nil"/>
              <w:bottom w:val="single" w:sz="4" w:space="0" w:color="auto"/>
              <w:right w:val="single" w:sz="4" w:space="0" w:color="auto"/>
            </w:tcBorders>
            <w:shd w:val="clear" w:color="000000" w:fill="D9E1F2"/>
            <w:noWrap/>
            <w:vAlign w:val="bottom"/>
            <w:hideMark/>
          </w:tcPr>
          <w:p w14:paraId="15679D6D"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PV</w:t>
            </w:r>
          </w:p>
        </w:tc>
      </w:tr>
      <w:tr w:rsidR="00F97839" w:rsidRPr="004B0336" w14:paraId="430495A7" w14:textId="77777777" w:rsidTr="00F97839">
        <w:trPr>
          <w:trHeight w:val="312"/>
        </w:trPr>
        <w:tc>
          <w:tcPr>
            <w:tcW w:w="1720" w:type="dxa"/>
            <w:tcBorders>
              <w:top w:val="nil"/>
              <w:left w:val="single" w:sz="4" w:space="0" w:color="auto"/>
              <w:bottom w:val="single" w:sz="4" w:space="0" w:color="auto"/>
              <w:right w:val="single" w:sz="4" w:space="0" w:color="auto"/>
            </w:tcBorders>
            <w:shd w:val="clear" w:color="000000" w:fill="D9E1F2"/>
            <w:noWrap/>
            <w:vAlign w:val="bottom"/>
            <w:hideMark/>
          </w:tcPr>
          <w:p w14:paraId="35E1814E"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w:t>
            </w:r>
          </w:p>
        </w:tc>
        <w:tc>
          <w:tcPr>
            <w:tcW w:w="1660" w:type="dxa"/>
            <w:tcBorders>
              <w:top w:val="nil"/>
              <w:left w:val="nil"/>
              <w:bottom w:val="single" w:sz="4" w:space="0" w:color="auto"/>
              <w:right w:val="single" w:sz="4" w:space="0" w:color="auto"/>
            </w:tcBorders>
            <w:shd w:val="clear" w:color="000000" w:fill="D9E1F2"/>
            <w:noWrap/>
            <w:vAlign w:val="bottom"/>
            <w:hideMark/>
          </w:tcPr>
          <w:p w14:paraId="272A6681" w14:textId="77777777" w:rsidR="00F97839" w:rsidRPr="004B0336" w:rsidRDefault="00F97839"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[1/(1+10%)]^1</w:t>
            </w:r>
          </w:p>
        </w:tc>
        <w:tc>
          <w:tcPr>
            <w:tcW w:w="1880" w:type="dxa"/>
            <w:tcBorders>
              <w:top w:val="nil"/>
              <w:left w:val="nil"/>
              <w:bottom w:val="single" w:sz="4" w:space="0" w:color="auto"/>
              <w:right w:val="single" w:sz="4" w:space="0" w:color="auto"/>
            </w:tcBorders>
            <w:shd w:val="clear" w:color="000000" w:fill="D9E1F2"/>
            <w:noWrap/>
            <w:vAlign w:val="bottom"/>
            <w:hideMark/>
          </w:tcPr>
          <w:p w14:paraId="20AB1C30"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0.909090909</w:t>
            </w:r>
          </w:p>
        </w:tc>
        <w:tc>
          <w:tcPr>
            <w:tcW w:w="1580" w:type="dxa"/>
            <w:tcBorders>
              <w:top w:val="nil"/>
              <w:left w:val="nil"/>
              <w:bottom w:val="single" w:sz="4" w:space="0" w:color="auto"/>
              <w:right w:val="single" w:sz="4" w:space="0" w:color="auto"/>
            </w:tcBorders>
            <w:shd w:val="clear" w:color="000000" w:fill="D9E1F2"/>
            <w:noWrap/>
            <w:vAlign w:val="bottom"/>
            <w:hideMark/>
          </w:tcPr>
          <w:p w14:paraId="5F650F30"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9.090909091</w:t>
            </w:r>
          </w:p>
        </w:tc>
      </w:tr>
      <w:tr w:rsidR="00F97839" w:rsidRPr="004B0336" w14:paraId="4D248B8B" w14:textId="77777777" w:rsidTr="00F97839">
        <w:trPr>
          <w:trHeight w:val="312"/>
        </w:trPr>
        <w:tc>
          <w:tcPr>
            <w:tcW w:w="1720" w:type="dxa"/>
            <w:tcBorders>
              <w:top w:val="nil"/>
              <w:left w:val="single" w:sz="4" w:space="0" w:color="auto"/>
              <w:bottom w:val="single" w:sz="4" w:space="0" w:color="auto"/>
              <w:right w:val="single" w:sz="4" w:space="0" w:color="auto"/>
            </w:tcBorders>
            <w:shd w:val="clear" w:color="000000" w:fill="D9E1F2"/>
            <w:noWrap/>
            <w:vAlign w:val="bottom"/>
            <w:hideMark/>
          </w:tcPr>
          <w:p w14:paraId="21EE131E"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w:t>
            </w:r>
          </w:p>
        </w:tc>
        <w:tc>
          <w:tcPr>
            <w:tcW w:w="1660" w:type="dxa"/>
            <w:tcBorders>
              <w:top w:val="nil"/>
              <w:left w:val="nil"/>
              <w:bottom w:val="single" w:sz="4" w:space="0" w:color="auto"/>
              <w:right w:val="single" w:sz="4" w:space="0" w:color="auto"/>
            </w:tcBorders>
            <w:shd w:val="clear" w:color="000000" w:fill="D9E1F2"/>
            <w:noWrap/>
            <w:vAlign w:val="bottom"/>
            <w:hideMark/>
          </w:tcPr>
          <w:p w14:paraId="45602B82" w14:textId="77777777" w:rsidR="00F97839" w:rsidRPr="004B0336" w:rsidRDefault="00F97839"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[1/(1+10%)]^2</w:t>
            </w:r>
          </w:p>
        </w:tc>
        <w:tc>
          <w:tcPr>
            <w:tcW w:w="1880" w:type="dxa"/>
            <w:tcBorders>
              <w:top w:val="nil"/>
              <w:left w:val="nil"/>
              <w:bottom w:val="single" w:sz="4" w:space="0" w:color="auto"/>
              <w:right w:val="single" w:sz="4" w:space="0" w:color="auto"/>
            </w:tcBorders>
            <w:shd w:val="clear" w:color="000000" w:fill="D9E1F2"/>
            <w:noWrap/>
            <w:vAlign w:val="bottom"/>
            <w:hideMark/>
          </w:tcPr>
          <w:p w14:paraId="1571EA41"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0.826446281</w:t>
            </w:r>
          </w:p>
        </w:tc>
        <w:tc>
          <w:tcPr>
            <w:tcW w:w="1580" w:type="dxa"/>
            <w:tcBorders>
              <w:top w:val="nil"/>
              <w:left w:val="nil"/>
              <w:bottom w:val="single" w:sz="4" w:space="0" w:color="auto"/>
              <w:right w:val="single" w:sz="4" w:space="0" w:color="auto"/>
            </w:tcBorders>
            <w:shd w:val="clear" w:color="000000" w:fill="D9E1F2"/>
            <w:noWrap/>
            <w:vAlign w:val="bottom"/>
            <w:hideMark/>
          </w:tcPr>
          <w:p w14:paraId="4E3472CA"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9.917355372</w:t>
            </w:r>
          </w:p>
        </w:tc>
      </w:tr>
      <w:tr w:rsidR="00F97839" w:rsidRPr="004B0336" w14:paraId="1F14F4E0" w14:textId="77777777" w:rsidTr="00F97839">
        <w:trPr>
          <w:trHeight w:val="312"/>
        </w:trPr>
        <w:tc>
          <w:tcPr>
            <w:tcW w:w="1720" w:type="dxa"/>
            <w:tcBorders>
              <w:top w:val="nil"/>
              <w:left w:val="single" w:sz="4" w:space="0" w:color="auto"/>
              <w:bottom w:val="single" w:sz="4" w:space="0" w:color="auto"/>
              <w:right w:val="single" w:sz="4" w:space="0" w:color="auto"/>
            </w:tcBorders>
            <w:shd w:val="clear" w:color="000000" w:fill="D9E1F2"/>
            <w:noWrap/>
            <w:vAlign w:val="bottom"/>
            <w:hideMark/>
          </w:tcPr>
          <w:p w14:paraId="0E0A3D60"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3</w:t>
            </w:r>
          </w:p>
        </w:tc>
        <w:tc>
          <w:tcPr>
            <w:tcW w:w="1660" w:type="dxa"/>
            <w:tcBorders>
              <w:top w:val="nil"/>
              <w:left w:val="nil"/>
              <w:bottom w:val="single" w:sz="4" w:space="0" w:color="auto"/>
              <w:right w:val="single" w:sz="4" w:space="0" w:color="auto"/>
            </w:tcBorders>
            <w:shd w:val="clear" w:color="000000" w:fill="D9E1F2"/>
            <w:noWrap/>
            <w:vAlign w:val="bottom"/>
            <w:hideMark/>
          </w:tcPr>
          <w:p w14:paraId="39E1323D" w14:textId="77777777" w:rsidR="00F97839" w:rsidRPr="004B0336" w:rsidRDefault="00F97839"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[1/(1+10%)]^3</w:t>
            </w:r>
          </w:p>
        </w:tc>
        <w:tc>
          <w:tcPr>
            <w:tcW w:w="1880" w:type="dxa"/>
            <w:tcBorders>
              <w:top w:val="nil"/>
              <w:left w:val="nil"/>
              <w:bottom w:val="single" w:sz="4" w:space="0" w:color="auto"/>
              <w:right w:val="single" w:sz="4" w:space="0" w:color="auto"/>
            </w:tcBorders>
            <w:shd w:val="clear" w:color="000000" w:fill="D9E1F2"/>
            <w:noWrap/>
            <w:vAlign w:val="bottom"/>
            <w:hideMark/>
          </w:tcPr>
          <w:p w14:paraId="0F512801"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0.751314801</w:t>
            </w:r>
          </w:p>
        </w:tc>
        <w:tc>
          <w:tcPr>
            <w:tcW w:w="1580" w:type="dxa"/>
            <w:tcBorders>
              <w:top w:val="nil"/>
              <w:left w:val="nil"/>
              <w:bottom w:val="single" w:sz="4" w:space="0" w:color="auto"/>
              <w:right w:val="single" w:sz="4" w:space="0" w:color="auto"/>
            </w:tcBorders>
            <w:shd w:val="clear" w:color="000000" w:fill="D9E1F2"/>
            <w:noWrap/>
            <w:vAlign w:val="bottom"/>
            <w:hideMark/>
          </w:tcPr>
          <w:p w14:paraId="377859AC"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10.51840721</w:t>
            </w:r>
          </w:p>
        </w:tc>
      </w:tr>
      <w:tr w:rsidR="00F97839" w:rsidRPr="004B0336" w14:paraId="2A62EDB4" w14:textId="77777777" w:rsidTr="00F97839">
        <w:trPr>
          <w:trHeight w:val="312"/>
        </w:trPr>
        <w:tc>
          <w:tcPr>
            <w:tcW w:w="1720" w:type="dxa"/>
            <w:tcBorders>
              <w:top w:val="nil"/>
              <w:left w:val="single" w:sz="4" w:space="0" w:color="auto"/>
              <w:bottom w:val="single" w:sz="4" w:space="0" w:color="auto"/>
              <w:right w:val="single" w:sz="4" w:space="0" w:color="auto"/>
            </w:tcBorders>
            <w:shd w:val="clear" w:color="000000" w:fill="D9E1F2"/>
            <w:noWrap/>
            <w:vAlign w:val="bottom"/>
            <w:hideMark/>
          </w:tcPr>
          <w:p w14:paraId="0203039B"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4</w:t>
            </w:r>
          </w:p>
        </w:tc>
        <w:tc>
          <w:tcPr>
            <w:tcW w:w="1660" w:type="dxa"/>
            <w:tcBorders>
              <w:top w:val="nil"/>
              <w:left w:val="nil"/>
              <w:bottom w:val="single" w:sz="4" w:space="0" w:color="auto"/>
              <w:right w:val="single" w:sz="4" w:space="0" w:color="auto"/>
            </w:tcBorders>
            <w:shd w:val="clear" w:color="000000" w:fill="D9E1F2"/>
            <w:noWrap/>
            <w:vAlign w:val="bottom"/>
            <w:hideMark/>
          </w:tcPr>
          <w:p w14:paraId="48ADF6B3" w14:textId="77777777" w:rsidR="00F97839" w:rsidRPr="004B0336" w:rsidRDefault="00F97839"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[1/(1+10%)]^4</w:t>
            </w:r>
          </w:p>
        </w:tc>
        <w:tc>
          <w:tcPr>
            <w:tcW w:w="1880" w:type="dxa"/>
            <w:tcBorders>
              <w:top w:val="nil"/>
              <w:left w:val="nil"/>
              <w:bottom w:val="single" w:sz="4" w:space="0" w:color="auto"/>
              <w:right w:val="single" w:sz="4" w:space="0" w:color="auto"/>
            </w:tcBorders>
            <w:shd w:val="clear" w:color="000000" w:fill="D9E1F2"/>
            <w:noWrap/>
            <w:vAlign w:val="bottom"/>
            <w:hideMark/>
          </w:tcPr>
          <w:p w14:paraId="54DDFD02"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0.683013455</w:t>
            </w:r>
          </w:p>
        </w:tc>
        <w:tc>
          <w:tcPr>
            <w:tcW w:w="1580" w:type="dxa"/>
            <w:tcBorders>
              <w:top w:val="nil"/>
              <w:left w:val="nil"/>
              <w:bottom w:val="single" w:sz="4" w:space="0" w:color="auto"/>
              <w:right w:val="single" w:sz="4" w:space="0" w:color="auto"/>
            </w:tcBorders>
            <w:shd w:val="clear" w:color="000000" w:fill="D9E1F2"/>
            <w:noWrap/>
            <w:vAlign w:val="bottom"/>
            <w:hideMark/>
          </w:tcPr>
          <w:p w14:paraId="6340073F"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6.830134554</w:t>
            </w:r>
          </w:p>
        </w:tc>
      </w:tr>
      <w:tr w:rsidR="00F97839" w:rsidRPr="004B0336" w14:paraId="2E100C43" w14:textId="77777777" w:rsidTr="00F97839">
        <w:trPr>
          <w:trHeight w:val="312"/>
        </w:trPr>
        <w:tc>
          <w:tcPr>
            <w:tcW w:w="1720" w:type="dxa"/>
            <w:tcBorders>
              <w:top w:val="nil"/>
              <w:left w:val="single" w:sz="4" w:space="0" w:color="auto"/>
              <w:bottom w:val="single" w:sz="4" w:space="0" w:color="auto"/>
              <w:right w:val="single" w:sz="4" w:space="0" w:color="auto"/>
            </w:tcBorders>
            <w:shd w:val="clear" w:color="000000" w:fill="D9E1F2"/>
            <w:noWrap/>
            <w:vAlign w:val="bottom"/>
            <w:hideMark/>
          </w:tcPr>
          <w:p w14:paraId="3045E8DC"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w:t>
            </w:r>
          </w:p>
        </w:tc>
        <w:tc>
          <w:tcPr>
            <w:tcW w:w="1660" w:type="dxa"/>
            <w:tcBorders>
              <w:top w:val="nil"/>
              <w:left w:val="nil"/>
              <w:bottom w:val="single" w:sz="4" w:space="0" w:color="auto"/>
              <w:right w:val="single" w:sz="4" w:space="0" w:color="auto"/>
            </w:tcBorders>
            <w:shd w:val="clear" w:color="000000" w:fill="D9E1F2"/>
            <w:noWrap/>
            <w:vAlign w:val="bottom"/>
            <w:hideMark/>
          </w:tcPr>
          <w:p w14:paraId="05030AEE" w14:textId="77777777" w:rsidR="00F97839" w:rsidRPr="004B0336" w:rsidRDefault="00F97839"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[1/(1+10%)]^5</w:t>
            </w:r>
          </w:p>
        </w:tc>
        <w:tc>
          <w:tcPr>
            <w:tcW w:w="1880" w:type="dxa"/>
            <w:tcBorders>
              <w:top w:val="nil"/>
              <w:left w:val="nil"/>
              <w:bottom w:val="single" w:sz="4" w:space="0" w:color="auto"/>
              <w:right w:val="single" w:sz="4" w:space="0" w:color="auto"/>
            </w:tcBorders>
            <w:shd w:val="clear" w:color="000000" w:fill="D9E1F2"/>
            <w:noWrap/>
            <w:vAlign w:val="bottom"/>
            <w:hideMark/>
          </w:tcPr>
          <w:p w14:paraId="60C6F91E"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0.620921323</w:t>
            </w:r>
          </w:p>
        </w:tc>
        <w:tc>
          <w:tcPr>
            <w:tcW w:w="1580" w:type="dxa"/>
            <w:tcBorders>
              <w:top w:val="nil"/>
              <w:left w:val="nil"/>
              <w:bottom w:val="single" w:sz="4" w:space="0" w:color="auto"/>
              <w:right w:val="single" w:sz="4" w:space="0" w:color="auto"/>
            </w:tcBorders>
            <w:shd w:val="clear" w:color="000000" w:fill="D9E1F2"/>
            <w:noWrap/>
            <w:vAlign w:val="bottom"/>
            <w:hideMark/>
          </w:tcPr>
          <w:p w14:paraId="4C4FD7A1"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4.967370584</w:t>
            </w:r>
          </w:p>
        </w:tc>
      </w:tr>
      <w:tr w:rsidR="00F97839" w:rsidRPr="004B0336" w14:paraId="6CABC417" w14:textId="77777777" w:rsidTr="00F97839">
        <w:trPr>
          <w:trHeight w:val="312"/>
        </w:trPr>
        <w:tc>
          <w:tcPr>
            <w:tcW w:w="1720" w:type="dxa"/>
            <w:tcBorders>
              <w:top w:val="nil"/>
              <w:left w:val="single" w:sz="4" w:space="0" w:color="auto"/>
              <w:bottom w:val="single" w:sz="4" w:space="0" w:color="auto"/>
              <w:right w:val="single" w:sz="4" w:space="0" w:color="auto"/>
            </w:tcBorders>
            <w:shd w:val="clear" w:color="000000" w:fill="D9E1F2"/>
            <w:noWrap/>
            <w:vAlign w:val="bottom"/>
            <w:hideMark/>
          </w:tcPr>
          <w:p w14:paraId="38B338D6"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Total PV</w:t>
            </w:r>
          </w:p>
        </w:tc>
        <w:tc>
          <w:tcPr>
            <w:tcW w:w="1660" w:type="dxa"/>
            <w:tcBorders>
              <w:top w:val="nil"/>
              <w:left w:val="nil"/>
              <w:bottom w:val="single" w:sz="4" w:space="0" w:color="auto"/>
              <w:right w:val="single" w:sz="4" w:space="0" w:color="auto"/>
            </w:tcBorders>
            <w:shd w:val="clear" w:color="000000" w:fill="D9E1F2"/>
            <w:noWrap/>
            <w:vAlign w:val="bottom"/>
            <w:hideMark/>
          </w:tcPr>
          <w:p w14:paraId="4E98430E" w14:textId="77777777" w:rsidR="00F97839" w:rsidRPr="004B0336" w:rsidRDefault="00F97839" w:rsidP="00EE1D8B">
            <w:pPr>
              <w:spacing w:after="0"/>
              <w:jc w:val="center"/>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w:t>
            </w:r>
          </w:p>
        </w:tc>
        <w:tc>
          <w:tcPr>
            <w:tcW w:w="1880" w:type="dxa"/>
            <w:tcBorders>
              <w:top w:val="nil"/>
              <w:left w:val="nil"/>
              <w:bottom w:val="single" w:sz="4" w:space="0" w:color="auto"/>
              <w:right w:val="single" w:sz="4" w:space="0" w:color="auto"/>
            </w:tcBorders>
            <w:shd w:val="clear" w:color="000000" w:fill="D9E1F2"/>
            <w:noWrap/>
            <w:vAlign w:val="bottom"/>
            <w:hideMark/>
          </w:tcPr>
          <w:p w14:paraId="42515DB5"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w:t>
            </w:r>
          </w:p>
        </w:tc>
        <w:tc>
          <w:tcPr>
            <w:tcW w:w="1580" w:type="dxa"/>
            <w:tcBorders>
              <w:top w:val="nil"/>
              <w:left w:val="nil"/>
              <w:bottom w:val="single" w:sz="4" w:space="0" w:color="auto"/>
              <w:right w:val="single" w:sz="4" w:space="0" w:color="auto"/>
            </w:tcBorders>
            <w:shd w:val="clear" w:color="000000" w:fill="D9E1F2"/>
            <w:noWrap/>
            <w:vAlign w:val="bottom"/>
            <w:hideMark/>
          </w:tcPr>
          <w:p w14:paraId="4684B8A1" w14:textId="77777777" w:rsidR="00F97839" w:rsidRPr="004B0336" w:rsidRDefault="00F97839" w:rsidP="00EE1D8B">
            <w:pPr>
              <w:spacing w:after="0"/>
              <w:jc w:val="righ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41.32417681</w:t>
            </w:r>
          </w:p>
        </w:tc>
      </w:tr>
      <w:tr w:rsidR="00F97839" w:rsidRPr="004B0336" w14:paraId="3415B48C" w14:textId="77777777" w:rsidTr="00F97839">
        <w:trPr>
          <w:trHeight w:val="312"/>
        </w:trPr>
        <w:tc>
          <w:tcPr>
            <w:tcW w:w="1720" w:type="dxa"/>
            <w:tcBorders>
              <w:top w:val="nil"/>
              <w:left w:val="single" w:sz="4" w:space="0" w:color="auto"/>
              <w:bottom w:val="single" w:sz="4" w:space="0" w:color="auto"/>
              <w:right w:val="single" w:sz="4" w:space="0" w:color="auto"/>
            </w:tcBorders>
            <w:shd w:val="clear" w:color="000000" w:fill="D9E1F2"/>
            <w:noWrap/>
            <w:vAlign w:val="bottom"/>
            <w:hideMark/>
          </w:tcPr>
          <w:p w14:paraId="148E8AC3"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NPV</w:t>
            </w:r>
          </w:p>
        </w:tc>
        <w:tc>
          <w:tcPr>
            <w:tcW w:w="1660" w:type="dxa"/>
            <w:tcBorders>
              <w:top w:val="nil"/>
              <w:left w:val="nil"/>
              <w:bottom w:val="single" w:sz="4" w:space="0" w:color="auto"/>
              <w:right w:val="single" w:sz="4" w:space="0" w:color="auto"/>
            </w:tcBorders>
            <w:shd w:val="clear" w:color="000000" w:fill="D9E1F2"/>
            <w:noWrap/>
            <w:vAlign w:val="bottom"/>
            <w:hideMark/>
          </w:tcPr>
          <w:p w14:paraId="3B6E1D9A" w14:textId="77777777" w:rsidR="00F97839" w:rsidRPr="004B0336" w:rsidRDefault="00F97839" w:rsidP="00EE1D8B">
            <w:pPr>
              <w:spacing w:after="0"/>
              <w:jc w:val="righ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1.324176814</w:t>
            </w:r>
          </w:p>
        </w:tc>
        <w:tc>
          <w:tcPr>
            <w:tcW w:w="1880" w:type="dxa"/>
            <w:tcBorders>
              <w:top w:val="nil"/>
              <w:left w:val="nil"/>
              <w:bottom w:val="single" w:sz="4" w:space="0" w:color="auto"/>
              <w:right w:val="single" w:sz="4" w:space="0" w:color="auto"/>
            </w:tcBorders>
            <w:shd w:val="clear" w:color="000000" w:fill="D9E1F2"/>
            <w:noWrap/>
            <w:vAlign w:val="bottom"/>
            <w:hideMark/>
          </w:tcPr>
          <w:p w14:paraId="0A7270B8"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w:t>
            </w:r>
          </w:p>
        </w:tc>
        <w:tc>
          <w:tcPr>
            <w:tcW w:w="1580" w:type="dxa"/>
            <w:tcBorders>
              <w:top w:val="nil"/>
              <w:left w:val="nil"/>
              <w:bottom w:val="single" w:sz="4" w:space="0" w:color="auto"/>
              <w:right w:val="single" w:sz="4" w:space="0" w:color="auto"/>
            </w:tcBorders>
            <w:shd w:val="clear" w:color="000000" w:fill="D9E1F2"/>
            <w:noWrap/>
            <w:vAlign w:val="bottom"/>
            <w:hideMark/>
          </w:tcPr>
          <w:p w14:paraId="635AF92A"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w:t>
            </w:r>
          </w:p>
        </w:tc>
      </w:tr>
      <w:tr w:rsidR="00F97839" w:rsidRPr="004B0336" w14:paraId="5D863C1F" w14:textId="77777777" w:rsidTr="00F97839">
        <w:trPr>
          <w:trHeight w:val="312"/>
        </w:trPr>
        <w:tc>
          <w:tcPr>
            <w:tcW w:w="1720" w:type="dxa"/>
            <w:tcBorders>
              <w:top w:val="nil"/>
              <w:left w:val="single" w:sz="4" w:space="0" w:color="auto"/>
              <w:bottom w:val="single" w:sz="4" w:space="0" w:color="auto"/>
              <w:right w:val="single" w:sz="4" w:space="0" w:color="auto"/>
            </w:tcBorders>
            <w:shd w:val="clear" w:color="000000" w:fill="D9E1F2"/>
            <w:noWrap/>
            <w:vAlign w:val="bottom"/>
            <w:hideMark/>
          </w:tcPr>
          <w:p w14:paraId="3FBC351A"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PI</w:t>
            </w:r>
          </w:p>
        </w:tc>
        <w:tc>
          <w:tcPr>
            <w:tcW w:w="1660" w:type="dxa"/>
            <w:tcBorders>
              <w:top w:val="nil"/>
              <w:left w:val="nil"/>
              <w:bottom w:val="single" w:sz="4" w:space="0" w:color="auto"/>
              <w:right w:val="single" w:sz="4" w:space="0" w:color="auto"/>
            </w:tcBorders>
            <w:shd w:val="clear" w:color="000000" w:fill="D9E1F2"/>
            <w:noWrap/>
            <w:vAlign w:val="bottom"/>
            <w:hideMark/>
          </w:tcPr>
          <w:p w14:paraId="324E02E8" w14:textId="77777777" w:rsidR="00F97839" w:rsidRPr="004B0336" w:rsidRDefault="00F97839" w:rsidP="00EE1D8B">
            <w:pPr>
              <w:spacing w:after="0"/>
              <w:jc w:val="righ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1.03310442</w:t>
            </w:r>
          </w:p>
        </w:tc>
        <w:tc>
          <w:tcPr>
            <w:tcW w:w="1880" w:type="dxa"/>
            <w:tcBorders>
              <w:top w:val="nil"/>
              <w:left w:val="nil"/>
              <w:bottom w:val="nil"/>
              <w:right w:val="nil"/>
            </w:tcBorders>
            <w:noWrap/>
            <w:vAlign w:val="bottom"/>
            <w:hideMark/>
          </w:tcPr>
          <w:p w14:paraId="75D25DA9" w14:textId="77777777" w:rsidR="00F97839" w:rsidRPr="004B0336" w:rsidRDefault="00F97839" w:rsidP="00EE1D8B">
            <w:pPr>
              <w:spacing w:after="0"/>
              <w:jc w:val="right"/>
              <w:rPr>
                <w:rFonts w:eastAsia="Times New Roman" w:cs="Arial"/>
                <w:b/>
                <w:bCs/>
                <w:color w:val="000000"/>
                <w:kern w:val="0"/>
                <w:lang w:val="en-GB" w:eastAsia="en-IN"/>
                <w14:ligatures w14:val="none"/>
              </w:rPr>
            </w:pPr>
          </w:p>
        </w:tc>
        <w:tc>
          <w:tcPr>
            <w:tcW w:w="1580" w:type="dxa"/>
            <w:tcBorders>
              <w:top w:val="nil"/>
              <w:left w:val="nil"/>
              <w:bottom w:val="nil"/>
              <w:right w:val="nil"/>
            </w:tcBorders>
            <w:noWrap/>
            <w:vAlign w:val="bottom"/>
            <w:hideMark/>
          </w:tcPr>
          <w:p w14:paraId="2260255E" w14:textId="77777777" w:rsidR="00F97839" w:rsidRPr="004B0336" w:rsidRDefault="00F97839" w:rsidP="00EE1D8B">
            <w:pPr>
              <w:spacing w:after="0"/>
              <w:jc w:val="left"/>
              <w:rPr>
                <w:rFonts w:eastAsia="Times New Roman" w:cs="Arial"/>
                <w:kern w:val="0"/>
                <w:sz w:val="20"/>
                <w:szCs w:val="20"/>
                <w:lang w:val="en-GB" w:eastAsia="en-IN"/>
                <w14:ligatures w14:val="none"/>
              </w:rPr>
            </w:pPr>
          </w:p>
        </w:tc>
      </w:tr>
    </w:tbl>
    <w:p w14:paraId="129215A1" w14:textId="77777777" w:rsidR="00F97839" w:rsidRPr="004B0336" w:rsidRDefault="00F97839" w:rsidP="00EE1D8B">
      <w:pPr>
        <w:rPr>
          <w:rFonts w:cs="Arial"/>
          <w:lang w:val="en-GB"/>
        </w:rPr>
      </w:pPr>
    </w:p>
    <w:p w14:paraId="0ADB259A" w14:textId="77777777" w:rsidR="00F97839" w:rsidRPr="004B0336" w:rsidRDefault="00F97839" w:rsidP="00EE1D8B">
      <w:pPr>
        <w:rPr>
          <w:rFonts w:cs="Arial"/>
          <w:b/>
          <w:bCs/>
          <w:i/>
          <w:iCs/>
          <w:lang w:val="en-GB"/>
        </w:rPr>
      </w:pPr>
      <w:r w:rsidRPr="004B0336">
        <w:rPr>
          <w:rFonts w:cs="Arial"/>
          <w:b/>
          <w:bCs/>
          <w:i/>
          <w:iCs/>
          <w:lang w:val="en-GB"/>
        </w:rPr>
        <w:t>IRR</w:t>
      </w:r>
    </w:p>
    <w:tbl>
      <w:tblPr>
        <w:tblW w:w="6704" w:type="dxa"/>
        <w:tblLook w:val="04A0" w:firstRow="1" w:lastRow="0" w:firstColumn="1" w:lastColumn="0" w:noHBand="0" w:noVBand="1"/>
      </w:tblPr>
      <w:tblGrid>
        <w:gridCol w:w="1720"/>
        <w:gridCol w:w="1710"/>
        <w:gridCol w:w="1880"/>
        <w:gridCol w:w="1618"/>
      </w:tblGrid>
      <w:tr w:rsidR="00F97839" w:rsidRPr="004B0336" w14:paraId="6D51F443" w14:textId="77777777" w:rsidTr="00F97839">
        <w:trPr>
          <w:trHeight w:val="1248"/>
        </w:trPr>
        <w:tc>
          <w:tcPr>
            <w:tcW w:w="1720"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143E495C"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Discount Rate</w:t>
            </w:r>
          </w:p>
        </w:tc>
        <w:tc>
          <w:tcPr>
            <w:tcW w:w="1524" w:type="dxa"/>
            <w:tcBorders>
              <w:top w:val="single" w:sz="4" w:space="0" w:color="auto"/>
              <w:left w:val="nil"/>
              <w:bottom w:val="single" w:sz="4" w:space="0" w:color="auto"/>
              <w:right w:val="single" w:sz="4" w:space="0" w:color="auto"/>
            </w:tcBorders>
            <w:shd w:val="clear" w:color="000000" w:fill="D9E1F2"/>
            <w:noWrap/>
            <w:vAlign w:val="bottom"/>
            <w:hideMark/>
          </w:tcPr>
          <w:p w14:paraId="3490FBAE"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20%</w:t>
            </w:r>
          </w:p>
        </w:tc>
        <w:tc>
          <w:tcPr>
            <w:tcW w:w="1880" w:type="dxa"/>
            <w:tcBorders>
              <w:top w:val="nil"/>
              <w:left w:val="nil"/>
              <w:bottom w:val="nil"/>
              <w:right w:val="nil"/>
            </w:tcBorders>
            <w:noWrap/>
            <w:vAlign w:val="bottom"/>
            <w:hideMark/>
          </w:tcPr>
          <w:p w14:paraId="391410F6" w14:textId="77777777" w:rsidR="00F97839" w:rsidRPr="004B0336" w:rsidRDefault="00F97839" w:rsidP="00EE1D8B">
            <w:pPr>
              <w:spacing w:after="0"/>
              <w:jc w:val="right"/>
              <w:rPr>
                <w:rFonts w:eastAsia="Times New Roman" w:cs="Arial"/>
                <w:color w:val="000000"/>
                <w:kern w:val="0"/>
                <w:lang w:val="en-GB" w:eastAsia="en-IN"/>
                <w14:ligatures w14:val="none"/>
              </w:rPr>
            </w:pPr>
          </w:p>
        </w:tc>
        <w:tc>
          <w:tcPr>
            <w:tcW w:w="1580" w:type="dxa"/>
            <w:tcBorders>
              <w:top w:val="nil"/>
              <w:left w:val="nil"/>
              <w:bottom w:val="nil"/>
              <w:right w:val="nil"/>
            </w:tcBorders>
            <w:noWrap/>
            <w:vAlign w:val="bottom"/>
            <w:hideMark/>
          </w:tcPr>
          <w:p w14:paraId="51DB8389" w14:textId="77777777" w:rsidR="00F97839" w:rsidRPr="004B0336" w:rsidRDefault="00F97839" w:rsidP="00EE1D8B">
            <w:pPr>
              <w:spacing w:after="0"/>
              <w:jc w:val="left"/>
              <w:rPr>
                <w:rFonts w:eastAsia="Times New Roman" w:cs="Arial"/>
                <w:kern w:val="0"/>
                <w:sz w:val="20"/>
                <w:szCs w:val="20"/>
                <w:lang w:val="en-GB" w:eastAsia="en-IN"/>
                <w14:ligatures w14:val="none"/>
              </w:rPr>
            </w:pPr>
          </w:p>
        </w:tc>
      </w:tr>
      <w:tr w:rsidR="00F97839" w:rsidRPr="004B0336" w14:paraId="61F4EEE4" w14:textId="77777777" w:rsidTr="00F97839">
        <w:trPr>
          <w:trHeight w:val="312"/>
        </w:trPr>
        <w:tc>
          <w:tcPr>
            <w:tcW w:w="1720" w:type="dxa"/>
            <w:tcBorders>
              <w:top w:val="nil"/>
              <w:left w:val="single" w:sz="4" w:space="0" w:color="auto"/>
              <w:bottom w:val="single" w:sz="4" w:space="0" w:color="auto"/>
              <w:right w:val="single" w:sz="4" w:space="0" w:color="auto"/>
            </w:tcBorders>
            <w:shd w:val="clear" w:color="000000" w:fill="D9E1F2"/>
            <w:noWrap/>
            <w:vAlign w:val="bottom"/>
            <w:hideMark/>
          </w:tcPr>
          <w:p w14:paraId="7C1491D7"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Year</w:t>
            </w:r>
          </w:p>
        </w:tc>
        <w:tc>
          <w:tcPr>
            <w:tcW w:w="1524" w:type="dxa"/>
            <w:tcBorders>
              <w:top w:val="nil"/>
              <w:left w:val="nil"/>
              <w:bottom w:val="single" w:sz="4" w:space="0" w:color="auto"/>
              <w:right w:val="single" w:sz="4" w:space="0" w:color="auto"/>
            </w:tcBorders>
            <w:shd w:val="clear" w:color="000000" w:fill="D9E1F2"/>
            <w:noWrap/>
            <w:vAlign w:val="bottom"/>
            <w:hideMark/>
          </w:tcPr>
          <w:p w14:paraId="3C2BEDB3"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Formula</w:t>
            </w:r>
          </w:p>
        </w:tc>
        <w:tc>
          <w:tcPr>
            <w:tcW w:w="1880" w:type="dxa"/>
            <w:tcBorders>
              <w:top w:val="single" w:sz="4" w:space="0" w:color="auto"/>
              <w:left w:val="nil"/>
              <w:bottom w:val="single" w:sz="4" w:space="0" w:color="auto"/>
              <w:right w:val="single" w:sz="4" w:space="0" w:color="auto"/>
            </w:tcBorders>
            <w:shd w:val="clear" w:color="000000" w:fill="D9E1F2"/>
            <w:noWrap/>
            <w:vAlign w:val="bottom"/>
            <w:hideMark/>
          </w:tcPr>
          <w:p w14:paraId="7C4ACAF5"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Discount factor</w:t>
            </w:r>
          </w:p>
        </w:tc>
        <w:tc>
          <w:tcPr>
            <w:tcW w:w="1580" w:type="dxa"/>
            <w:tcBorders>
              <w:top w:val="single" w:sz="4" w:space="0" w:color="auto"/>
              <w:left w:val="nil"/>
              <w:bottom w:val="single" w:sz="4" w:space="0" w:color="auto"/>
              <w:right w:val="single" w:sz="4" w:space="0" w:color="auto"/>
            </w:tcBorders>
            <w:shd w:val="clear" w:color="000000" w:fill="D9E1F2"/>
            <w:noWrap/>
            <w:vAlign w:val="bottom"/>
            <w:hideMark/>
          </w:tcPr>
          <w:p w14:paraId="5C591E86"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PV</w:t>
            </w:r>
          </w:p>
        </w:tc>
      </w:tr>
      <w:tr w:rsidR="00F97839" w:rsidRPr="004B0336" w14:paraId="1D185F47" w14:textId="77777777" w:rsidTr="00F97839">
        <w:trPr>
          <w:trHeight w:val="312"/>
        </w:trPr>
        <w:tc>
          <w:tcPr>
            <w:tcW w:w="1720" w:type="dxa"/>
            <w:tcBorders>
              <w:top w:val="nil"/>
              <w:left w:val="single" w:sz="4" w:space="0" w:color="auto"/>
              <w:bottom w:val="single" w:sz="4" w:space="0" w:color="auto"/>
              <w:right w:val="single" w:sz="4" w:space="0" w:color="auto"/>
            </w:tcBorders>
            <w:shd w:val="clear" w:color="000000" w:fill="D9E1F2"/>
            <w:noWrap/>
            <w:vAlign w:val="bottom"/>
            <w:hideMark/>
          </w:tcPr>
          <w:p w14:paraId="0C7D9678"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w:t>
            </w:r>
          </w:p>
        </w:tc>
        <w:tc>
          <w:tcPr>
            <w:tcW w:w="1524" w:type="dxa"/>
            <w:tcBorders>
              <w:top w:val="nil"/>
              <w:left w:val="nil"/>
              <w:bottom w:val="single" w:sz="4" w:space="0" w:color="auto"/>
              <w:right w:val="single" w:sz="4" w:space="0" w:color="auto"/>
            </w:tcBorders>
            <w:shd w:val="clear" w:color="000000" w:fill="D9E1F2"/>
            <w:noWrap/>
            <w:vAlign w:val="bottom"/>
            <w:hideMark/>
          </w:tcPr>
          <w:p w14:paraId="490233D0" w14:textId="77777777" w:rsidR="00F97839" w:rsidRPr="004B0336" w:rsidRDefault="00F97839"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[1/(1+20%)]^1</w:t>
            </w:r>
          </w:p>
        </w:tc>
        <w:tc>
          <w:tcPr>
            <w:tcW w:w="1880" w:type="dxa"/>
            <w:tcBorders>
              <w:top w:val="nil"/>
              <w:left w:val="nil"/>
              <w:bottom w:val="single" w:sz="4" w:space="0" w:color="auto"/>
              <w:right w:val="single" w:sz="4" w:space="0" w:color="auto"/>
            </w:tcBorders>
            <w:shd w:val="clear" w:color="000000" w:fill="D9E1F2"/>
            <w:noWrap/>
            <w:vAlign w:val="bottom"/>
            <w:hideMark/>
          </w:tcPr>
          <w:p w14:paraId="748A9192"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0.833333333</w:t>
            </w:r>
          </w:p>
        </w:tc>
        <w:tc>
          <w:tcPr>
            <w:tcW w:w="1580" w:type="dxa"/>
            <w:tcBorders>
              <w:top w:val="nil"/>
              <w:left w:val="nil"/>
              <w:bottom w:val="single" w:sz="4" w:space="0" w:color="auto"/>
              <w:right w:val="single" w:sz="4" w:space="0" w:color="auto"/>
            </w:tcBorders>
            <w:shd w:val="clear" w:color="000000" w:fill="D9E1F2"/>
            <w:noWrap/>
            <w:vAlign w:val="bottom"/>
            <w:hideMark/>
          </w:tcPr>
          <w:p w14:paraId="02FF742C"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8.333333333</w:t>
            </w:r>
          </w:p>
        </w:tc>
      </w:tr>
      <w:tr w:rsidR="00F97839" w:rsidRPr="004B0336" w14:paraId="554587B4" w14:textId="77777777" w:rsidTr="00F97839">
        <w:trPr>
          <w:trHeight w:val="312"/>
        </w:trPr>
        <w:tc>
          <w:tcPr>
            <w:tcW w:w="1720" w:type="dxa"/>
            <w:tcBorders>
              <w:top w:val="nil"/>
              <w:left w:val="single" w:sz="4" w:space="0" w:color="auto"/>
              <w:bottom w:val="single" w:sz="4" w:space="0" w:color="auto"/>
              <w:right w:val="single" w:sz="4" w:space="0" w:color="auto"/>
            </w:tcBorders>
            <w:shd w:val="clear" w:color="000000" w:fill="D9E1F2"/>
            <w:noWrap/>
            <w:vAlign w:val="bottom"/>
            <w:hideMark/>
          </w:tcPr>
          <w:p w14:paraId="4B0BEF7A"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w:t>
            </w:r>
          </w:p>
        </w:tc>
        <w:tc>
          <w:tcPr>
            <w:tcW w:w="1524" w:type="dxa"/>
            <w:tcBorders>
              <w:top w:val="nil"/>
              <w:left w:val="nil"/>
              <w:bottom w:val="single" w:sz="4" w:space="0" w:color="auto"/>
              <w:right w:val="single" w:sz="4" w:space="0" w:color="auto"/>
            </w:tcBorders>
            <w:shd w:val="clear" w:color="000000" w:fill="D9E1F2"/>
            <w:noWrap/>
            <w:vAlign w:val="bottom"/>
            <w:hideMark/>
          </w:tcPr>
          <w:p w14:paraId="23EEED25" w14:textId="77777777" w:rsidR="00F97839" w:rsidRPr="004B0336" w:rsidRDefault="00F97839"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[1/(1+20%)]^2</w:t>
            </w:r>
          </w:p>
        </w:tc>
        <w:tc>
          <w:tcPr>
            <w:tcW w:w="1880" w:type="dxa"/>
            <w:tcBorders>
              <w:top w:val="nil"/>
              <w:left w:val="nil"/>
              <w:bottom w:val="single" w:sz="4" w:space="0" w:color="auto"/>
              <w:right w:val="single" w:sz="4" w:space="0" w:color="auto"/>
            </w:tcBorders>
            <w:shd w:val="clear" w:color="000000" w:fill="D9E1F2"/>
            <w:noWrap/>
            <w:vAlign w:val="bottom"/>
            <w:hideMark/>
          </w:tcPr>
          <w:p w14:paraId="200C6568"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0.694444444</w:t>
            </w:r>
          </w:p>
        </w:tc>
        <w:tc>
          <w:tcPr>
            <w:tcW w:w="1580" w:type="dxa"/>
            <w:tcBorders>
              <w:top w:val="nil"/>
              <w:left w:val="nil"/>
              <w:bottom w:val="single" w:sz="4" w:space="0" w:color="auto"/>
              <w:right w:val="single" w:sz="4" w:space="0" w:color="auto"/>
            </w:tcBorders>
            <w:shd w:val="clear" w:color="000000" w:fill="D9E1F2"/>
            <w:noWrap/>
            <w:vAlign w:val="bottom"/>
            <w:hideMark/>
          </w:tcPr>
          <w:p w14:paraId="169B0CC4"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8.333333333</w:t>
            </w:r>
          </w:p>
        </w:tc>
      </w:tr>
      <w:tr w:rsidR="00F97839" w:rsidRPr="004B0336" w14:paraId="299A7EEB" w14:textId="77777777" w:rsidTr="00F97839">
        <w:trPr>
          <w:trHeight w:val="312"/>
        </w:trPr>
        <w:tc>
          <w:tcPr>
            <w:tcW w:w="1720" w:type="dxa"/>
            <w:tcBorders>
              <w:top w:val="nil"/>
              <w:left w:val="single" w:sz="4" w:space="0" w:color="auto"/>
              <w:bottom w:val="single" w:sz="4" w:space="0" w:color="auto"/>
              <w:right w:val="single" w:sz="4" w:space="0" w:color="auto"/>
            </w:tcBorders>
            <w:shd w:val="clear" w:color="000000" w:fill="D9E1F2"/>
            <w:noWrap/>
            <w:vAlign w:val="bottom"/>
            <w:hideMark/>
          </w:tcPr>
          <w:p w14:paraId="6773EFB0"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3</w:t>
            </w:r>
          </w:p>
        </w:tc>
        <w:tc>
          <w:tcPr>
            <w:tcW w:w="1524" w:type="dxa"/>
            <w:tcBorders>
              <w:top w:val="nil"/>
              <w:left w:val="nil"/>
              <w:bottom w:val="single" w:sz="4" w:space="0" w:color="auto"/>
              <w:right w:val="single" w:sz="4" w:space="0" w:color="auto"/>
            </w:tcBorders>
            <w:shd w:val="clear" w:color="000000" w:fill="D9E1F2"/>
            <w:noWrap/>
            <w:vAlign w:val="bottom"/>
            <w:hideMark/>
          </w:tcPr>
          <w:p w14:paraId="65BF10F8" w14:textId="77777777" w:rsidR="00F97839" w:rsidRPr="004B0336" w:rsidRDefault="00F97839"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[1/(1+20%)]^3</w:t>
            </w:r>
          </w:p>
        </w:tc>
        <w:tc>
          <w:tcPr>
            <w:tcW w:w="1880" w:type="dxa"/>
            <w:tcBorders>
              <w:top w:val="nil"/>
              <w:left w:val="nil"/>
              <w:bottom w:val="single" w:sz="4" w:space="0" w:color="auto"/>
              <w:right w:val="single" w:sz="4" w:space="0" w:color="auto"/>
            </w:tcBorders>
            <w:shd w:val="clear" w:color="000000" w:fill="D9E1F2"/>
            <w:noWrap/>
            <w:vAlign w:val="bottom"/>
            <w:hideMark/>
          </w:tcPr>
          <w:p w14:paraId="6DFAF8B8"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0.578703704</w:t>
            </w:r>
          </w:p>
        </w:tc>
        <w:tc>
          <w:tcPr>
            <w:tcW w:w="1580" w:type="dxa"/>
            <w:tcBorders>
              <w:top w:val="nil"/>
              <w:left w:val="nil"/>
              <w:bottom w:val="single" w:sz="4" w:space="0" w:color="auto"/>
              <w:right w:val="single" w:sz="4" w:space="0" w:color="auto"/>
            </w:tcBorders>
            <w:shd w:val="clear" w:color="000000" w:fill="D9E1F2"/>
            <w:noWrap/>
            <w:vAlign w:val="bottom"/>
            <w:hideMark/>
          </w:tcPr>
          <w:p w14:paraId="5024A9FF"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8.101851852</w:t>
            </w:r>
          </w:p>
        </w:tc>
      </w:tr>
      <w:tr w:rsidR="00F97839" w:rsidRPr="004B0336" w14:paraId="44E13D3D" w14:textId="77777777" w:rsidTr="00F97839">
        <w:trPr>
          <w:trHeight w:val="312"/>
        </w:trPr>
        <w:tc>
          <w:tcPr>
            <w:tcW w:w="1720" w:type="dxa"/>
            <w:tcBorders>
              <w:top w:val="nil"/>
              <w:left w:val="single" w:sz="4" w:space="0" w:color="auto"/>
              <w:bottom w:val="single" w:sz="4" w:space="0" w:color="auto"/>
              <w:right w:val="single" w:sz="4" w:space="0" w:color="auto"/>
            </w:tcBorders>
            <w:shd w:val="clear" w:color="000000" w:fill="D9E1F2"/>
            <w:noWrap/>
            <w:vAlign w:val="bottom"/>
            <w:hideMark/>
          </w:tcPr>
          <w:p w14:paraId="2703CAB3"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4</w:t>
            </w:r>
          </w:p>
        </w:tc>
        <w:tc>
          <w:tcPr>
            <w:tcW w:w="1524" w:type="dxa"/>
            <w:tcBorders>
              <w:top w:val="nil"/>
              <w:left w:val="nil"/>
              <w:bottom w:val="single" w:sz="4" w:space="0" w:color="auto"/>
              <w:right w:val="single" w:sz="4" w:space="0" w:color="auto"/>
            </w:tcBorders>
            <w:shd w:val="clear" w:color="000000" w:fill="D9E1F2"/>
            <w:noWrap/>
            <w:vAlign w:val="bottom"/>
            <w:hideMark/>
          </w:tcPr>
          <w:p w14:paraId="5783F9E3" w14:textId="77777777" w:rsidR="00F97839" w:rsidRPr="004B0336" w:rsidRDefault="00F97839"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[1/(1+20%)]^4</w:t>
            </w:r>
          </w:p>
        </w:tc>
        <w:tc>
          <w:tcPr>
            <w:tcW w:w="1880" w:type="dxa"/>
            <w:tcBorders>
              <w:top w:val="nil"/>
              <w:left w:val="nil"/>
              <w:bottom w:val="single" w:sz="4" w:space="0" w:color="auto"/>
              <w:right w:val="single" w:sz="4" w:space="0" w:color="auto"/>
            </w:tcBorders>
            <w:shd w:val="clear" w:color="000000" w:fill="D9E1F2"/>
            <w:noWrap/>
            <w:vAlign w:val="bottom"/>
            <w:hideMark/>
          </w:tcPr>
          <w:p w14:paraId="7D165087"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0.482253086</w:t>
            </w:r>
          </w:p>
        </w:tc>
        <w:tc>
          <w:tcPr>
            <w:tcW w:w="1580" w:type="dxa"/>
            <w:tcBorders>
              <w:top w:val="nil"/>
              <w:left w:val="nil"/>
              <w:bottom w:val="single" w:sz="4" w:space="0" w:color="auto"/>
              <w:right w:val="single" w:sz="4" w:space="0" w:color="auto"/>
            </w:tcBorders>
            <w:shd w:val="clear" w:color="000000" w:fill="D9E1F2"/>
            <w:noWrap/>
            <w:vAlign w:val="bottom"/>
            <w:hideMark/>
          </w:tcPr>
          <w:p w14:paraId="5C1C4DCB"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4.822530864</w:t>
            </w:r>
          </w:p>
        </w:tc>
      </w:tr>
      <w:tr w:rsidR="00F97839" w:rsidRPr="004B0336" w14:paraId="149C598F" w14:textId="77777777" w:rsidTr="00F97839">
        <w:trPr>
          <w:trHeight w:val="312"/>
        </w:trPr>
        <w:tc>
          <w:tcPr>
            <w:tcW w:w="1720" w:type="dxa"/>
            <w:tcBorders>
              <w:top w:val="nil"/>
              <w:left w:val="single" w:sz="4" w:space="0" w:color="auto"/>
              <w:bottom w:val="single" w:sz="4" w:space="0" w:color="auto"/>
              <w:right w:val="single" w:sz="4" w:space="0" w:color="auto"/>
            </w:tcBorders>
            <w:shd w:val="clear" w:color="000000" w:fill="D9E1F2"/>
            <w:noWrap/>
            <w:vAlign w:val="bottom"/>
            <w:hideMark/>
          </w:tcPr>
          <w:p w14:paraId="0FF7147F"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w:t>
            </w:r>
          </w:p>
        </w:tc>
        <w:tc>
          <w:tcPr>
            <w:tcW w:w="1524" w:type="dxa"/>
            <w:tcBorders>
              <w:top w:val="nil"/>
              <w:left w:val="nil"/>
              <w:bottom w:val="single" w:sz="4" w:space="0" w:color="auto"/>
              <w:right w:val="single" w:sz="4" w:space="0" w:color="auto"/>
            </w:tcBorders>
            <w:shd w:val="clear" w:color="000000" w:fill="D9E1F2"/>
            <w:noWrap/>
            <w:vAlign w:val="bottom"/>
            <w:hideMark/>
          </w:tcPr>
          <w:p w14:paraId="14D9FC9E" w14:textId="77777777" w:rsidR="00F97839" w:rsidRPr="004B0336" w:rsidRDefault="00F97839"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[1/(1+20%)]^5</w:t>
            </w:r>
          </w:p>
        </w:tc>
        <w:tc>
          <w:tcPr>
            <w:tcW w:w="1880" w:type="dxa"/>
            <w:tcBorders>
              <w:top w:val="nil"/>
              <w:left w:val="nil"/>
              <w:bottom w:val="single" w:sz="4" w:space="0" w:color="auto"/>
              <w:right w:val="single" w:sz="4" w:space="0" w:color="auto"/>
            </w:tcBorders>
            <w:shd w:val="clear" w:color="000000" w:fill="D9E1F2"/>
            <w:noWrap/>
            <w:vAlign w:val="bottom"/>
            <w:hideMark/>
          </w:tcPr>
          <w:p w14:paraId="09BD00E2"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0.401877572</w:t>
            </w:r>
          </w:p>
        </w:tc>
        <w:tc>
          <w:tcPr>
            <w:tcW w:w="1580" w:type="dxa"/>
            <w:tcBorders>
              <w:top w:val="nil"/>
              <w:left w:val="nil"/>
              <w:bottom w:val="single" w:sz="4" w:space="0" w:color="auto"/>
              <w:right w:val="single" w:sz="4" w:space="0" w:color="auto"/>
            </w:tcBorders>
            <w:shd w:val="clear" w:color="000000" w:fill="D9E1F2"/>
            <w:noWrap/>
            <w:vAlign w:val="bottom"/>
            <w:hideMark/>
          </w:tcPr>
          <w:p w14:paraId="32D79C85"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3.215020576</w:t>
            </w:r>
          </w:p>
        </w:tc>
      </w:tr>
      <w:tr w:rsidR="00F97839" w:rsidRPr="004B0336" w14:paraId="0CE21641" w14:textId="77777777" w:rsidTr="00F97839">
        <w:trPr>
          <w:trHeight w:val="312"/>
        </w:trPr>
        <w:tc>
          <w:tcPr>
            <w:tcW w:w="1720" w:type="dxa"/>
            <w:tcBorders>
              <w:top w:val="nil"/>
              <w:left w:val="single" w:sz="4" w:space="0" w:color="auto"/>
              <w:bottom w:val="single" w:sz="4" w:space="0" w:color="auto"/>
              <w:right w:val="single" w:sz="4" w:space="0" w:color="auto"/>
            </w:tcBorders>
            <w:shd w:val="clear" w:color="000000" w:fill="D9E1F2"/>
            <w:noWrap/>
            <w:vAlign w:val="bottom"/>
            <w:hideMark/>
          </w:tcPr>
          <w:p w14:paraId="4D24821D"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w:t>
            </w:r>
          </w:p>
        </w:tc>
        <w:tc>
          <w:tcPr>
            <w:tcW w:w="1524" w:type="dxa"/>
            <w:tcBorders>
              <w:top w:val="nil"/>
              <w:left w:val="nil"/>
              <w:bottom w:val="single" w:sz="4" w:space="0" w:color="auto"/>
              <w:right w:val="single" w:sz="4" w:space="0" w:color="auto"/>
            </w:tcBorders>
            <w:shd w:val="clear" w:color="000000" w:fill="D9E1F2"/>
            <w:noWrap/>
            <w:vAlign w:val="bottom"/>
            <w:hideMark/>
          </w:tcPr>
          <w:p w14:paraId="0CA07119" w14:textId="77777777" w:rsidR="00F97839" w:rsidRPr="004B0336" w:rsidRDefault="00F97839" w:rsidP="00EE1D8B">
            <w:pPr>
              <w:spacing w:after="0"/>
              <w:jc w:val="center"/>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w:t>
            </w:r>
          </w:p>
        </w:tc>
        <w:tc>
          <w:tcPr>
            <w:tcW w:w="1880" w:type="dxa"/>
            <w:tcBorders>
              <w:top w:val="nil"/>
              <w:left w:val="nil"/>
              <w:bottom w:val="single" w:sz="4" w:space="0" w:color="auto"/>
              <w:right w:val="single" w:sz="4" w:space="0" w:color="auto"/>
            </w:tcBorders>
            <w:shd w:val="clear" w:color="000000" w:fill="D9E1F2"/>
            <w:noWrap/>
            <w:vAlign w:val="bottom"/>
            <w:hideMark/>
          </w:tcPr>
          <w:p w14:paraId="021F8867"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w:t>
            </w:r>
          </w:p>
        </w:tc>
        <w:tc>
          <w:tcPr>
            <w:tcW w:w="1580" w:type="dxa"/>
            <w:tcBorders>
              <w:top w:val="nil"/>
              <w:left w:val="nil"/>
              <w:bottom w:val="single" w:sz="4" w:space="0" w:color="auto"/>
              <w:right w:val="single" w:sz="4" w:space="0" w:color="auto"/>
            </w:tcBorders>
            <w:shd w:val="clear" w:color="000000" w:fill="D9E1F2"/>
            <w:noWrap/>
            <w:vAlign w:val="bottom"/>
            <w:hideMark/>
          </w:tcPr>
          <w:p w14:paraId="0EC0935D" w14:textId="77777777" w:rsidR="00F97839" w:rsidRPr="004B0336" w:rsidRDefault="00F97839" w:rsidP="00EE1D8B">
            <w:pPr>
              <w:spacing w:after="0"/>
              <w:jc w:val="righ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32.80606996</w:t>
            </w:r>
          </w:p>
        </w:tc>
      </w:tr>
      <w:tr w:rsidR="00F97839" w:rsidRPr="004B0336" w14:paraId="797EC057" w14:textId="77777777" w:rsidTr="00F97839">
        <w:trPr>
          <w:trHeight w:val="312"/>
        </w:trPr>
        <w:tc>
          <w:tcPr>
            <w:tcW w:w="1720" w:type="dxa"/>
            <w:tcBorders>
              <w:top w:val="nil"/>
              <w:left w:val="single" w:sz="4" w:space="0" w:color="auto"/>
              <w:bottom w:val="single" w:sz="4" w:space="0" w:color="auto"/>
              <w:right w:val="single" w:sz="4" w:space="0" w:color="auto"/>
            </w:tcBorders>
            <w:shd w:val="clear" w:color="000000" w:fill="D9E1F2"/>
            <w:noWrap/>
            <w:vAlign w:val="bottom"/>
            <w:hideMark/>
          </w:tcPr>
          <w:p w14:paraId="587C8052"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NPV</w:t>
            </w:r>
          </w:p>
        </w:tc>
        <w:tc>
          <w:tcPr>
            <w:tcW w:w="1524" w:type="dxa"/>
            <w:tcBorders>
              <w:top w:val="nil"/>
              <w:left w:val="nil"/>
              <w:bottom w:val="single" w:sz="4" w:space="0" w:color="auto"/>
              <w:right w:val="single" w:sz="4" w:space="0" w:color="auto"/>
            </w:tcBorders>
            <w:shd w:val="clear" w:color="000000" w:fill="D9E1F2"/>
            <w:noWrap/>
            <w:vAlign w:val="bottom"/>
            <w:hideMark/>
          </w:tcPr>
          <w:p w14:paraId="3B53B948" w14:textId="77777777" w:rsidR="00F97839" w:rsidRPr="004B0336" w:rsidRDefault="00F97839" w:rsidP="00EE1D8B">
            <w:pPr>
              <w:spacing w:after="0"/>
              <w:jc w:val="righ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-7.1939</w:t>
            </w:r>
          </w:p>
        </w:tc>
        <w:tc>
          <w:tcPr>
            <w:tcW w:w="1880" w:type="dxa"/>
            <w:tcBorders>
              <w:top w:val="nil"/>
              <w:left w:val="nil"/>
              <w:bottom w:val="single" w:sz="4" w:space="0" w:color="auto"/>
              <w:right w:val="single" w:sz="4" w:space="0" w:color="auto"/>
            </w:tcBorders>
            <w:shd w:val="clear" w:color="000000" w:fill="D9E1F2"/>
            <w:noWrap/>
            <w:vAlign w:val="bottom"/>
            <w:hideMark/>
          </w:tcPr>
          <w:p w14:paraId="15F7E3CA"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w:t>
            </w:r>
          </w:p>
        </w:tc>
        <w:tc>
          <w:tcPr>
            <w:tcW w:w="1580" w:type="dxa"/>
            <w:tcBorders>
              <w:top w:val="nil"/>
              <w:left w:val="nil"/>
              <w:bottom w:val="single" w:sz="4" w:space="0" w:color="auto"/>
              <w:right w:val="single" w:sz="4" w:space="0" w:color="auto"/>
            </w:tcBorders>
            <w:shd w:val="clear" w:color="000000" w:fill="D9E1F2"/>
            <w:noWrap/>
            <w:vAlign w:val="bottom"/>
            <w:hideMark/>
          </w:tcPr>
          <w:p w14:paraId="61EA6DAF"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w:t>
            </w:r>
          </w:p>
        </w:tc>
      </w:tr>
      <w:tr w:rsidR="00F97839" w:rsidRPr="004B0336" w14:paraId="328CF040" w14:textId="77777777" w:rsidTr="00F97839">
        <w:trPr>
          <w:trHeight w:val="312"/>
        </w:trPr>
        <w:tc>
          <w:tcPr>
            <w:tcW w:w="1720" w:type="dxa"/>
            <w:tcBorders>
              <w:top w:val="nil"/>
              <w:left w:val="single" w:sz="4" w:space="0" w:color="auto"/>
              <w:bottom w:val="single" w:sz="4" w:space="0" w:color="auto"/>
              <w:right w:val="single" w:sz="4" w:space="0" w:color="auto"/>
            </w:tcBorders>
            <w:shd w:val="clear" w:color="000000" w:fill="D9E1F2"/>
            <w:noWrap/>
            <w:vAlign w:val="bottom"/>
            <w:hideMark/>
          </w:tcPr>
          <w:p w14:paraId="0EA5CDC8" w14:textId="77777777" w:rsidR="00F97839" w:rsidRPr="004B0336" w:rsidRDefault="00F97839"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Discount rate</w:t>
            </w:r>
          </w:p>
        </w:tc>
        <w:tc>
          <w:tcPr>
            <w:tcW w:w="1524" w:type="dxa"/>
            <w:tcBorders>
              <w:top w:val="nil"/>
              <w:left w:val="nil"/>
              <w:bottom w:val="single" w:sz="4" w:space="0" w:color="auto"/>
              <w:right w:val="single" w:sz="4" w:space="0" w:color="auto"/>
            </w:tcBorders>
            <w:shd w:val="clear" w:color="000000" w:fill="D9E1F2"/>
            <w:noWrap/>
            <w:vAlign w:val="bottom"/>
            <w:hideMark/>
          </w:tcPr>
          <w:p w14:paraId="09D43505"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10%</w:t>
            </w:r>
          </w:p>
        </w:tc>
        <w:tc>
          <w:tcPr>
            <w:tcW w:w="1880" w:type="dxa"/>
            <w:tcBorders>
              <w:top w:val="nil"/>
              <w:left w:val="nil"/>
              <w:bottom w:val="single" w:sz="4" w:space="0" w:color="auto"/>
              <w:right w:val="single" w:sz="4" w:space="0" w:color="auto"/>
            </w:tcBorders>
            <w:shd w:val="clear" w:color="000000" w:fill="D9E1F2"/>
            <w:noWrap/>
            <w:vAlign w:val="bottom"/>
            <w:hideMark/>
          </w:tcPr>
          <w:p w14:paraId="2D02BF9C"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20%</w:t>
            </w:r>
          </w:p>
        </w:tc>
        <w:tc>
          <w:tcPr>
            <w:tcW w:w="1580" w:type="dxa"/>
            <w:tcBorders>
              <w:top w:val="nil"/>
              <w:left w:val="nil"/>
              <w:bottom w:val="nil"/>
              <w:right w:val="nil"/>
            </w:tcBorders>
            <w:noWrap/>
            <w:vAlign w:val="bottom"/>
            <w:hideMark/>
          </w:tcPr>
          <w:p w14:paraId="5D7D7F63" w14:textId="77777777" w:rsidR="00F97839" w:rsidRPr="004B0336" w:rsidRDefault="00F97839" w:rsidP="00EE1D8B">
            <w:pPr>
              <w:spacing w:after="0"/>
              <w:jc w:val="right"/>
              <w:rPr>
                <w:rFonts w:eastAsia="Times New Roman" w:cs="Arial"/>
                <w:color w:val="000000"/>
                <w:kern w:val="0"/>
                <w:lang w:val="en-GB" w:eastAsia="en-IN"/>
                <w14:ligatures w14:val="none"/>
              </w:rPr>
            </w:pPr>
          </w:p>
        </w:tc>
      </w:tr>
      <w:tr w:rsidR="00F97839" w:rsidRPr="004B0336" w14:paraId="4F8B1BF2" w14:textId="77777777" w:rsidTr="00F97839">
        <w:trPr>
          <w:trHeight w:val="312"/>
        </w:trPr>
        <w:tc>
          <w:tcPr>
            <w:tcW w:w="1720" w:type="dxa"/>
            <w:tcBorders>
              <w:top w:val="nil"/>
              <w:left w:val="single" w:sz="4" w:space="0" w:color="auto"/>
              <w:bottom w:val="single" w:sz="4" w:space="0" w:color="auto"/>
              <w:right w:val="single" w:sz="4" w:space="0" w:color="auto"/>
            </w:tcBorders>
            <w:shd w:val="clear" w:color="000000" w:fill="D9E1F2"/>
            <w:noWrap/>
            <w:vAlign w:val="bottom"/>
            <w:hideMark/>
          </w:tcPr>
          <w:p w14:paraId="63E9A7AE"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NPV</w:t>
            </w:r>
          </w:p>
        </w:tc>
        <w:tc>
          <w:tcPr>
            <w:tcW w:w="1524" w:type="dxa"/>
            <w:tcBorders>
              <w:top w:val="nil"/>
              <w:left w:val="nil"/>
              <w:bottom w:val="single" w:sz="4" w:space="0" w:color="auto"/>
              <w:right w:val="single" w:sz="4" w:space="0" w:color="auto"/>
            </w:tcBorders>
            <w:shd w:val="clear" w:color="000000" w:fill="D9E1F2"/>
            <w:noWrap/>
            <w:vAlign w:val="bottom"/>
            <w:hideMark/>
          </w:tcPr>
          <w:p w14:paraId="15D2B5A6"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1.3242</w:t>
            </w:r>
          </w:p>
        </w:tc>
        <w:tc>
          <w:tcPr>
            <w:tcW w:w="1880" w:type="dxa"/>
            <w:tcBorders>
              <w:top w:val="nil"/>
              <w:left w:val="nil"/>
              <w:bottom w:val="single" w:sz="4" w:space="0" w:color="auto"/>
              <w:right w:val="single" w:sz="4" w:space="0" w:color="auto"/>
            </w:tcBorders>
            <w:shd w:val="clear" w:color="000000" w:fill="D9E1F2"/>
            <w:noWrap/>
            <w:vAlign w:val="bottom"/>
            <w:hideMark/>
          </w:tcPr>
          <w:p w14:paraId="4F8F694F"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-7.193930041</w:t>
            </w:r>
          </w:p>
        </w:tc>
        <w:tc>
          <w:tcPr>
            <w:tcW w:w="1580" w:type="dxa"/>
            <w:tcBorders>
              <w:top w:val="nil"/>
              <w:left w:val="nil"/>
              <w:bottom w:val="nil"/>
              <w:right w:val="nil"/>
            </w:tcBorders>
            <w:noWrap/>
            <w:vAlign w:val="bottom"/>
            <w:hideMark/>
          </w:tcPr>
          <w:p w14:paraId="4BC7EAE4" w14:textId="77777777" w:rsidR="00F97839" w:rsidRPr="004B0336" w:rsidRDefault="00F97839" w:rsidP="00EE1D8B">
            <w:pPr>
              <w:spacing w:after="0"/>
              <w:jc w:val="right"/>
              <w:rPr>
                <w:rFonts w:eastAsia="Times New Roman" w:cs="Arial"/>
                <w:color w:val="000000"/>
                <w:kern w:val="0"/>
                <w:lang w:val="en-GB" w:eastAsia="en-IN"/>
                <w14:ligatures w14:val="none"/>
              </w:rPr>
            </w:pPr>
          </w:p>
        </w:tc>
      </w:tr>
      <w:tr w:rsidR="00F97839" w:rsidRPr="004B0336" w14:paraId="5EA2EEBE" w14:textId="77777777" w:rsidTr="00F97839">
        <w:trPr>
          <w:trHeight w:val="312"/>
        </w:trPr>
        <w:tc>
          <w:tcPr>
            <w:tcW w:w="1720" w:type="dxa"/>
            <w:tcBorders>
              <w:top w:val="nil"/>
              <w:left w:val="single" w:sz="4" w:space="0" w:color="auto"/>
              <w:bottom w:val="nil"/>
              <w:right w:val="single" w:sz="4" w:space="0" w:color="auto"/>
            </w:tcBorders>
            <w:shd w:val="clear" w:color="000000" w:fill="D9E1F2"/>
            <w:noWrap/>
            <w:vAlign w:val="center"/>
            <w:hideMark/>
          </w:tcPr>
          <w:p w14:paraId="26BBFB11" w14:textId="77777777" w:rsidR="00F97839" w:rsidRPr="004B0336" w:rsidRDefault="00F97839" w:rsidP="00EE1D8B">
            <w:pPr>
              <w:spacing w:after="0"/>
              <w:jc w:val="center"/>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IRR</w:t>
            </w:r>
          </w:p>
        </w:tc>
        <w:tc>
          <w:tcPr>
            <w:tcW w:w="1524" w:type="dxa"/>
            <w:tcBorders>
              <w:top w:val="nil"/>
              <w:left w:val="nil"/>
              <w:bottom w:val="single" w:sz="4" w:space="0" w:color="auto"/>
              <w:right w:val="single" w:sz="4" w:space="0" w:color="auto"/>
            </w:tcBorders>
            <w:shd w:val="clear" w:color="000000" w:fill="D9E1F2"/>
            <w:noWrap/>
            <w:vAlign w:val="bottom"/>
            <w:hideMark/>
          </w:tcPr>
          <w:p w14:paraId="149B8116"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0.1155</w:t>
            </w:r>
          </w:p>
        </w:tc>
        <w:tc>
          <w:tcPr>
            <w:tcW w:w="1880" w:type="dxa"/>
            <w:tcBorders>
              <w:top w:val="nil"/>
              <w:left w:val="nil"/>
              <w:bottom w:val="nil"/>
              <w:right w:val="nil"/>
            </w:tcBorders>
            <w:noWrap/>
            <w:vAlign w:val="bottom"/>
            <w:hideMark/>
          </w:tcPr>
          <w:p w14:paraId="2CB3EE87" w14:textId="77777777" w:rsidR="00F97839" w:rsidRPr="004B0336" w:rsidRDefault="00F97839" w:rsidP="00EE1D8B">
            <w:pPr>
              <w:spacing w:after="0"/>
              <w:jc w:val="right"/>
              <w:rPr>
                <w:rFonts w:eastAsia="Times New Roman" w:cs="Arial"/>
                <w:color w:val="000000"/>
                <w:kern w:val="0"/>
                <w:lang w:val="en-GB" w:eastAsia="en-IN"/>
                <w14:ligatures w14:val="none"/>
              </w:rPr>
            </w:pPr>
          </w:p>
        </w:tc>
        <w:tc>
          <w:tcPr>
            <w:tcW w:w="1580" w:type="dxa"/>
            <w:tcBorders>
              <w:top w:val="nil"/>
              <w:left w:val="nil"/>
              <w:bottom w:val="nil"/>
              <w:right w:val="nil"/>
            </w:tcBorders>
            <w:noWrap/>
            <w:vAlign w:val="bottom"/>
            <w:hideMark/>
          </w:tcPr>
          <w:p w14:paraId="0DD27A1A" w14:textId="77777777" w:rsidR="00F97839" w:rsidRPr="004B0336" w:rsidRDefault="00F97839" w:rsidP="00EE1D8B">
            <w:pPr>
              <w:spacing w:after="0"/>
              <w:jc w:val="left"/>
              <w:rPr>
                <w:rFonts w:eastAsia="Times New Roman" w:cs="Arial"/>
                <w:kern w:val="0"/>
                <w:sz w:val="20"/>
                <w:szCs w:val="20"/>
                <w:lang w:val="en-GB" w:eastAsia="en-IN"/>
                <w14:ligatures w14:val="none"/>
              </w:rPr>
            </w:pPr>
          </w:p>
        </w:tc>
      </w:tr>
      <w:tr w:rsidR="00F97839" w:rsidRPr="004B0336" w14:paraId="237C15B8" w14:textId="77777777" w:rsidTr="00F97839">
        <w:trPr>
          <w:trHeight w:val="312"/>
        </w:trPr>
        <w:tc>
          <w:tcPr>
            <w:tcW w:w="1720" w:type="dxa"/>
            <w:tcBorders>
              <w:top w:val="nil"/>
              <w:left w:val="single" w:sz="4" w:space="0" w:color="auto"/>
              <w:bottom w:val="single" w:sz="4" w:space="0" w:color="auto"/>
              <w:right w:val="single" w:sz="4" w:space="0" w:color="auto"/>
            </w:tcBorders>
            <w:shd w:val="clear" w:color="000000" w:fill="D9E1F2"/>
            <w:noWrap/>
            <w:vAlign w:val="center"/>
            <w:hideMark/>
          </w:tcPr>
          <w:p w14:paraId="2BADCAD0" w14:textId="77777777" w:rsidR="00F97839" w:rsidRPr="004B0336" w:rsidRDefault="00F97839" w:rsidP="00EE1D8B">
            <w:pPr>
              <w:spacing w:after="0"/>
              <w:jc w:val="center"/>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w:t>
            </w:r>
          </w:p>
        </w:tc>
        <w:tc>
          <w:tcPr>
            <w:tcW w:w="1524" w:type="dxa"/>
            <w:tcBorders>
              <w:top w:val="nil"/>
              <w:left w:val="nil"/>
              <w:bottom w:val="single" w:sz="4" w:space="0" w:color="auto"/>
              <w:right w:val="single" w:sz="4" w:space="0" w:color="auto"/>
            </w:tcBorders>
            <w:shd w:val="clear" w:color="000000" w:fill="D9E1F2"/>
            <w:noWrap/>
            <w:vAlign w:val="bottom"/>
            <w:hideMark/>
          </w:tcPr>
          <w:p w14:paraId="454A5498" w14:textId="77777777" w:rsidR="00F97839" w:rsidRPr="004B0336" w:rsidRDefault="00F97839" w:rsidP="00EE1D8B">
            <w:pPr>
              <w:spacing w:after="0"/>
              <w:jc w:val="righ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11.555</w:t>
            </w:r>
          </w:p>
        </w:tc>
        <w:tc>
          <w:tcPr>
            <w:tcW w:w="1880" w:type="dxa"/>
            <w:tcBorders>
              <w:top w:val="nil"/>
              <w:left w:val="nil"/>
              <w:bottom w:val="nil"/>
              <w:right w:val="nil"/>
            </w:tcBorders>
            <w:noWrap/>
            <w:vAlign w:val="bottom"/>
            <w:hideMark/>
          </w:tcPr>
          <w:p w14:paraId="4F9C2C8D" w14:textId="77777777" w:rsidR="00F97839" w:rsidRPr="004B0336" w:rsidRDefault="00F97839" w:rsidP="00EE1D8B">
            <w:pPr>
              <w:spacing w:after="0"/>
              <w:jc w:val="right"/>
              <w:rPr>
                <w:rFonts w:eastAsia="Times New Roman" w:cs="Arial"/>
                <w:b/>
                <w:bCs/>
                <w:color w:val="000000"/>
                <w:kern w:val="0"/>
                <w:lang w:val="en-GB" w:eastAsia="en-IN"/>
                <w14:ligatures w14:val="none"/>
              </w:rPr>
            </w:pPr>
          </w:p>
        </w:tc>
        <w:tc>
          <w:tcPr>
            <w:tcW w:w="1580" w:type="dxa"/>
            <w:tcBorders>
              <w:top w:val="nil"/>
              <w:left w:val="nil"/>
              <w:bottom w:val="nil"/>
              <w:right w:val="nil"/>
            </w:tcBorders>
            <w:noWrap/>
            <w:vAlign w:val="bottom"/>
            <w:hideMark/>
          </w:tcPr>
          <w:p w14:paraId="3565F530" w14:textId="77777777" w:rsidR="00F97839" w:rsidRPr="004B0336" w:rsidRDefault="00F97839" w:rsidP="00EE1D8B">
            <w:pPr>
              <w:spacing w:after="0"/>
              <w:jc w:val="left"/>
              <w:rPr>
                <w:rFonts w:eastAsia="Times New Roman" w:cs="Arial"/>
                <w:kern w:val="0"/>
                <w:sz w:val="20"/>
                <w:szCs w:val="20"/>
                <w:lang w:val="en-GB" w:eastAsia="en-IN"/>
                <w14:ligatures w14:val="none"/>
              </w:rPr>
            </w:pPr>
          </w:p>
        </w:tc>
      </w:tr>
    </w:tbl>
    <w:p w14:paraId="7B3C9A00" w14:textId="740F5274" w:rsidR="00F97839" w:rsidRPr="004B0336" w:rsidRDefault="00F97839" w:rsidP="00EE1D8B">
      <w:pPr>
        <w:rPr>
          <w:rFonts w:cs="Arial"/>
          <w:b/>
          <w:bCs/>
          <w:i/>
          <w:iCs/>
          <w:lang w:val="en-GB"/>
        </w:rPr>
      </w:pPr>
    </w:p>
    <w:p w14:paraId="61C24EE6" w14:textId="1D66E7F9" w:rsidR="00F97839" w:rsidRPr="004B0336" w:rsidRDefault="00F97839" w:rsidP="00EE1D8B">
      <w:pPr>
        <w:rPr>
          <w:rFonts w:cs="Arial"/>
          <w:b/>
          <w:bCs/>
          <w:i/>
          <w:iCs/>
          <w:lang w:val="en-GB"/>
        </w:rPr>
      </w:pPr>
      <w:r w:rsidRPr="004B0336">
        <w:rPr>
          <w:rFonts w:cs="Arial"/>
          <w:b/>
          <w:bCs/>
          <w:i/>
          <w:iCs/>
          <w:lang w:val="en-GB"/>
        </w:rPr>
        <w:t>Project B</w:t>
      </w:r>
    </w:p>
    <w:p w14:paraId="31CD0DBF" w14:textId="73B19AE3" w:rsidR="00505BDB" w:rsidRPr="004B0336" w:rsidRDefault="00F97839" w:rsidP="00EE1D8B">
      <w:pPr>
        <w:rPr>
          <w:rFonts w:cs="Arial"/>
          <w:b/>
          <w:bCs/>
          <w:i/>
          <w:iCs/>
          <w:lang w:val="en-GB"/>
        </w:rPr>
      </w:pPr>
      <w:r w:rsidRPr="004B0336">
        <w:rPr>
          <w:rFonts w:cs="Arial"/>
          <w:b/>
          <w:bCs/>
          <w:i/>
          <w:iCs/>
          <w:lang w:val="en-GB"/>
        </w:rPr>
        <w:t xml:space="preserve">PBP </w:t>
      </w:r>
    </w:p>
    <w:tbl>
      <w:tblPr>
        <w:tblW w:w="8100" w:type="dxa"/>
        <w:tblLook w:val="04A0" w:firstRow="1" w:lastRow="0" w:firstColumn="1" w:lastColumn="0" w:noHBand="0" w:noVBand="1"/>
      </w:tblPr>
      <w:tblGrid>
        <w:gridCol w:w="3460"/>
        <w:gridCol w:w="1560"/>
        <w:gridCol w:w="3080"/>
      </w:tblGrid>
      <w:tr w:rsidR="00F97839" w:rsidRPr="004B0336" w14:paraId="6DA7FE48" w14:textId="77777777" w:rsidTr="00F97839">
        <w:trPr>
          <w:trHeight w:val="1248"/>
        </w:trPr>
        <w:tc>
          <w:tcPr>
            <w:tcW w:w="3460"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14:paraId="0DA5B5FE" w14:textId="77777777" w:rsidR="00F97839" w:rsidRPr="004B0336" w:rsidRDefault="00F97839" w:rsidP="00EE1D8B">
            <w:pPr>
              <w:spacing w:after="0"/>
              <w:jc w:val="center"/>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Year</w:t>
            </w:r>
          </w:p>
        </w:tc>
        <w:tc>
          <w:tcPr>
            <w:tcW w:w="1560" w:type="dxa"/>
            <w:tcBorders>
              <w:top w:val="single" w:sz="4" w:space="0" w:color="auto"/>
              <w:left w:val="nil"/>
              <w:bottom w:val="single" w:sz="4" w:space="0" w:color="auto"/>
              <w:right w:val="single" w:sz="4" w:space="0" w:color="auto"/>
            </w:tcBorders>
            <w:shd w:val="clear" w:color="000000" w:fill="FFF2CC"/>
            <w:noWrap/>
            <w:vAlign w:val="bottom"/>
            <w:hideMark/>
          </w:tcPr>
          <w:p w14:paraId="29438DE4" w14:textId="3F7E2410" w:rsidR="00F97839" w:rsidRPr="004B0336" w:rsidRDefault="00F97839" w:rsidP="00EE1D8B">
            <w:pPr>
              <w:spacing w:after="0"/>
              <w:jc w:val="center"/>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Cash</w:t>
            </w:r>
            <w:r w:rsidR="00505BDB" w:rsidRPr="004B0336">
              <w:rPr>
                <w:rFonts w:eastAsia="Times New Roman" w:cs="Arial"/>
                <w:b/>
                <w:bCs/>
                <w:color w:val="000000"/>
                <w:kern w:val="0"/>
                <w:lang w:val="en-GB" w:eastAsia="en-IN"/>
                <w14:ligatures w14:val="none"/>
              </w:rPr>
              <w:t xml:space="preserve"> </w:t>
            </w:r>
            <w:r w:rsidRPr="004B0336">
              <w:rPr>
                <w:rFonts w:eastAsia="Times New Roman" w:cs="Arial"/>
                <w:b/>
                <w:bCs/>
                <w:color w:val="000000"/>
                <w:kern w:val="0"/>
                <w:lang w:val="en-GB" w:eastAsia="en-IN"/>
                <w14:ligatures w14:val="none"/>
              </w:rPr>
              <w:t xml:space="preserve">Flow </w:t>
            </w:r>
          </w:p>
        </w:tc>
        <w:tc>
          <w:tcPr>
            <w:tcW w:w="3080" w:type="dxa"/>
            <w:tcBorders>
              <w:top w:val="single" w:sz="4" w:space="0" w:color="auto"/>
              <w:left w:val="nil"/>
              <w:bottom w:val="single" w:sz="4" w:space="0" w:color="auto"/>
              <w:right w:val="single" w:sz="4" w:space="0" w:color="auto"/>
            </w:tcBorders>
            <w:shd w:val="clear" w:color="000000" w:fill="FFF2CC"/>
            <w:noWrap/>
            <w:vAlign w:val="bottom"/>
            <w:hideMark/>
          </w:tcPr>
          <w:p w14:paraId="1FA73BA5" w14:textId="77777777" w:rsidR="00F97839" w:rsidRPr="004B0336" w:rsidRDefault="00F97839" w:rsidP="00EE1D8B">
            <w:pPr>
              <w:spacing w:after="0"/>
              <w:jc w:val="center"/>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Cumulative Cashflow</w:t>
            </w:r>
          </w:p>
        </w:tc>
      </w:tr>
      <w:tr w:rsidR="00F97839" w:rsidRPr="004B0336" w14:paraId="0B7765A0" w14:textId="77777777" w:rsidTr="00F97839">
        <w:trPr>
          <w:trHeight w:val="312"/>
        </w:trPr>
        <w:tc>
          <w:tcPr>
            <w:tcW w:w="3460" w:type="dxa"/>
            <w:tcBorders>
              <w:top w:val="nil"/>
              <w:left w:val="single" w:sz="4" w:space="0" w:color="auto"/>
              <w:bottom w:val="single" w:sz="4" w:space="0" w:color="auto"/>
              <w:right w:val="single" w:sz="4" w:space="0" w:color="auto"/>
            </w:tcBorders>
            <w:shd w:val="clear" w:color="000000" w:fill="FFF2CC"/>
            <w:noWrap/>
            <w:vAlign w:val="bottom"/>
            <w:hideMark/>
          </w:tcPr>
          <w:p w14:paraId="60D30C16"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w:t>
            </w:r>
          </w:p>
        </w:tc>
        <w:tc>
          <w:tcPr>
            <w:tcW w:w="1560" w:type="dxa"/>
            <w:tcBorders>
              <w:top w:val="nil"/>
              <w:left w:val="nil"/>
              <w:bottom w:val="single" w:sz="4" w:space="0" w:color="auto"/>
              <w:right w:val="single" w:sz="4" w:space="0" w:color="auto"/>
            </w:tcBorders>
            <w:shd w:val="clear" w:color="000000" w:fill="FFF2CC"/>
            <w:noWrap/>
            <w:vAlign w:val="bottom"/>
            <w:hideMark/>
          </w:tcPr>
          <w:p w14:paraId="1B83929E"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6</w:t>
            </w:r>
          </w:p>
        </w:tc>
        <w:tc>
          <w:tcPr>
            <w:tcW w:w="3080" w:type="dxa"/>
            <w:tcBorders>
              <w:top w:val="nil"/>
              <w:left w:val="nil"/>
              <w:bottom w:val="single" w:sz="4" w:space="0" w:color="auto"/>
              <w:right w:val="single" w:sz="4" w:space="0" w:color="auto"/>
            </w:tcBorders>
            <w:shd w:val="clear" w:color="000000" w:fill="FFF2CC"/>
            <w:noWrap/>
            <w:vAlign w:val="bottom"/>
            <w:hideMark/>
          </w:tcPr>
          <w:p w14:paraId="219C7D15"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6</w:t>
            </w:r>
          </w:p>
        </w:tc>
      </w:tr>
      <w:tr w:rsidR="00F97839" w:rsidRPr="004B0336" w14:paraId="16FBC885" w14:textId="77777777" w:rsidTr="00F97839">
        <w:trPr>
          <w:trHeight w:val="312"/>
        </w:trPr>
        <w:tc>
          <w:tcPr>
            <w:tcW w:w="3460" w:type="dxa"/>
            <w:tcBorders>
              <w:top w:val="nil"/>
              <w:left w:val="single" w:sz="4" w:space="0" w:color="auto"/>
              <w:bottom w:val="single" w:sz="4" w:space="0" w:color="auto"/>
              <w:right w:val="single" w:sz="4" w:space="0" w:color="auto"/>
            </w:tcBorders>
            <w:shd w:val="clear" w:color="000000" w:fill="FFF2CC"/>
            <w:noWrap/>
            <w:vAlign w:val="bottom"/>
            <w:hideMark/>
          </w:tcPr>
          <w:p w14:paraId="7E825A2D"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w:t>
            </w:r>
          </w:p>
        </w:tc>
        <w:tc>
          <w:tcPr>
            <w:tcW w:w="1560" w:type="dxa"/>
            <w:tcBorders>
              <w:top w:val="nil"/>
              <w:left w:val="nil"/>
              <w:bottom w:val="single" w:sz="4" w:space="0" w:color="auto"/>
              <w:right w:val="single" w:sz="4" w:space="0" w:color="auto"/>
            </w:tcBorders>
            <w:shd w:val="clear" w:color="000000" w:fill="FFF2CC"/>
            <w:noWrap/>
            <w:vAlign w:val="bottom"/>
            <w:hideMark/>
          </w:tcPr>
          <w:p w14:paraId="69CA733F"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6</w:t>
            </w:r>
          </w:p>
        </w:tc>
        <w:tc>
          <w:tcPr>
            <w:tcW w:w="3080" w:type="dxa"/>
            <w:tcBorders>
              <w:top w:val="nil"/>
              <w:left w:val="nil"/>
              <w:bottom w:val="single" w:sz="4" w:space="0" w:color="auto"/>
              <w:right w:val="single" w:sz="4" w:space="0" w:color="auto"/>
            </w:tcBorders>
            <w:shd w:val="clear" w:color="000000" w:fill="FFF2CC"/>
            <w:noWrap/>
            <w:vAlign w:val="bottom"/>
            <w:hideMark/>
          </w:tcPr>
          <w:p w14:paraId="16B41E51"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12</w:t>
            </w:r>
          </w:p>
        </w:tc>
      </w:tr>
      <w:tr w:rsidR="00F97839" w:rsidRPr="004B0336" w14:paraId="689CDE8E" w14:textId="77777777" w:rsidTr="00F97839">
        <w:trPr>
          <w:trHeight w:val="312"/>
        </w:trPr>
        <w:tc>
          <w:tcPr>
            <w:tcW w:w="3460" w:type="dxa"/>
            <w:tcBorders>
              <w:top w:val="nil"/>
              <w:left w:val="single" w:sz="4" w:space="0" w:color="auto"/>
              <w:bottom w:val="single" w:sz="4" w:space="0" w:color="auto"/>
              <w:right w:val="single" w:sz="4" w:space="0" w:color="auto"/>
            </w:tcBorders>
            <w:shd w:val="clear" w:color="000000" w:fill="FFF2CC"/>
            <w:noWrap/>
            <w:vAlign w:val="bottom"/>
            <w:hideMark/>
          </w:tcPr>
          <w:p w14:paraId="5448478B"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3</w:t>
            </w:r>
          </w:p>
        </w:tc>
        <w:tc>
          <w:tcPr>
            <w:tcW w:w="1560" w:type="dxa"/>
            <w:tcBorders>
              <w:top w:val="nil"/>
              <w:left w:val="nil"/>
              <w:bottom w:val="single" w:sz="4" w:space="0" w:color="auto"/>
              <w:right w:val="single" w:sz="4" w:space="0" w:color="auto"/>
            </w:tcBorders>
            <w:shd w:val="clear" w:color="000000" w:fill="FFF2CC"/>
            <w:noWrap/>
            <w:vAlign w:val="bottom"/>
            <w:hideMark/>
          </w:tcPr>
          <w:p w14:paraId="73ED864B"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6</w:t>
            </w:r>
          </w:p>
        </w:tc>
        <w:tc>
          <w:tcPr>
            <w:tcW w:w="3080" w:type="dxa"/>
            <w:tcBorders>
              <w:top w:val="nil"/>
              <w:left w:val="nil"/>
              <w:bottom w:val="single" w:sz="4" w:space="0" w:color="auto"/>
              <w:right w:val="single" w:sz="4" w:space="0" w:color="auto"/>
            </w:tcBorders>
            <w:shd w:val="clear" w:color="000000" w:fill="FFF2CC"/>
            <w:noWrap/>
            <w:vAlign w:val="bottom"/>
            <w:hideMark/>
          </w:tcPr>
          <w:p w14:paraId="7A45F38A"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18</w:t>
            </w:r>
          </w:p>
        </w:tc>
      </w:tr>
      <w:tr w:rsidR="00F97839" w:rsidRPr="004B0336" w14:paraId="393AC3F0" w14:textId="77777777" w:rsidTr="00F97839">
        <w:trPr>
          <w:trHeight w:val="312"/>
        </w:trPr>
        <w:tc>
          <w:tcPr>
            <w:tcW w:w="3460" w:type="dxa"/>
            <w:tcBorders>
              <w:top w:val="nil"/>
              <w:left w:val="single" w:sz="4" w:space="0" w:color="auto"/>
              <w:bottom w:val="single" w:sz="4" w:space="0" w:color="auto"/>
              <w:right w:val="single" w:sz="4" w:space="0" w:color="auto"/>
            </w:tcBorders>
            <w:shd w:val="clear" w:color="000000" w:fill="FFF2CC"/>
            <w:noWrap/>
            <w:vAlign w:val="bottom"/>
            <w:hideMark/>
          </w:tcPr>
          <w:p w14:paraId="6512DD4D"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4</w:t>
            </w:r>
          </w:p>
        </w:tc>
        <w:tc>
          <w:tcPr>
            <w:tcW w:w="1560" w:type="dxa"/>
            <w:tcBorders>
              <w:top w:val="nil"/>
              <w:left w:val="nil"/>
              <w:bottom w:val="single" w:sz="4" w:space="0" w:color="auto"/>
              <w:right w:val="single" w:sz="4" w:space="0" w:color="auto"/>
            </w:tcBorders>
            <w:shd w:val="clear" w:color="000000" w:fill="FFF2CC"/>
            <w:noWrap/>
            <w:vAlign w:val="bottom"/>
            <w:hideMark/>
          </w:tcPr>
          <w:p w14:paraId="1FC0CC82"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6</w:t>
            </w:r>
          </w:p>
        </w:tc>
        <w:tc>
          <w:tcPr>
            <w:tcW w:w="3080" w:type="dxa"/>
            <w:tcBorders>
              <w:top w:val="nil"/>
              <w:left w:val="nil"/>
              <w:bottom w:val="single" w:sz="4" w:space="0" w:color="auto"/>
              <w:right w:val="single" w:sz="4" w:space="0" w:color="auto"/>
            </w:tcBorders>
            <w:shd w:val="clear" w:color="000000" w:fill="FFF2CC"/>
            <w:noWrap/>
            <w:vAlign w:val="bottom"/>
            <w:hideMark/>
          </w:tcPr>
          <w:p w14:paraId="42726288"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24</w:t>
            </w:r>
          </w:p>
        </w:tc>
      </w:tr>
      <w:tr w:rsidR="00F97839" w:rsidRPr="004B0336" w14:paraId="396669E5" w14:textId="77777777" w:rsidTr="00F97839">
        <w:trPr>
          <w:trHeight w:val="312"/>
        </w:trPr>
        <w:tc>
          <w:tcPr>
            <w:tcW w:w="3460" w:type="dxa"/>
            <w:tcBorders>
              <w:top w:val="nil"/>
              <w:left w:val="single" w:sz="4" w:space="0" w:color="auto"/>
              <w:bottom w:val="single" w:sz="4" w:space="0" w:color="auto"/>
              <w:right w:val="single" w:sz="4" w:space="0" w:color="auto"/>
            </w:tcBorders>
            <w:shd w:val="clear" w:color="000000" w:fill="FFF2CC"/>
            <w:noWrap/>
            <w:vAlign w:val="bottom"/>
            <w:hideMark/>
          </w:tcPr>
          <w:p w14:paraId="1E7BA16F"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w:t>
            </w:r>
          </w:p>
        </w:tc>
        <w:tc>
          <w:tcPr>
            <w:tcW w:w="1560" w:type="dxa"/>
            <w:tcBorders>
              <w:top w:val="nil"/>
              <w:left w:val="nil"/>
              <w:bottom w:val="single" w:sz="4" w:space="0" w:color="auto"/>
              <w:right w:val="single" w:sz="4" w:space="0" w:color="auto"/>
            </w:tcBorders>
            <w:shd w:val="clear" w:color="000000" w:fill="FFF2CC"/>
            <w:noWrap/>
            <w:vAlign w:val="bottom"/>
            <w:hideMark/>
          </w:tcPr>
          <w:p w14:paraId="07ECF199"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6</w:t>
            </w:r>
          </w:p>
        </w:tc>
        <w:tc>
          <w:tcPr>
            <w:tcW w:w="3080" w:type="dxa"/>
            <w:tcBorders>
              <w:top w:val="nil"/>
              <w:left w:val="nil"/>
              <w:bottom w:val="single" w:sz="4" w:space="0" w:color="auto"/>
              <w:right w:val="single" w:sz="4" w:space="0" w:color="auto"/>
            </w:tcBorders>
            <w:shd w:val="clear" w:color="000000" w:fill="FFF2CC"/>
            <w:noWrap/>
            <w:vAlign w:val="bottom"/>
            <w:hideMark/>
          </w:tcPr>
          <w:p w14:paraId="27FD3EFE"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30</w:t>
            </w:r>
          </w:p>
        </w:tc>
      </w:tr>
      <w:tr w:rsidR="00F97839" w:rsidRPr="004B0336" w14:paraId="580BADD2" w14:textId="77777777" w:rsidTr="00F97839">
        <w:trPr>
          <w:trHeight w:val="312"/>
        </w:trPr>
        <w:tc>
          <w:tcPr>
            <w:tcW w:w="3460" w:type="dxa"/>
            <w:tcBorders>
              <w:top w:val="nil"/>
              <w:left w:val="single" w:sz="4" w:space="0" w:color="auto"/>
              <w:bottom w:val="single" w:sz="4" w:space="0" w:color="auto"/>
              <w:right w:val="single" w:sz="4" w:space="0" w:color="auto"/>
            </w:tcBorders>
            <w:shd w:val="clear" w:color="000000" w:fill="FFF2CC"/>
            <w:noWrap/>
            <w:vAlign w:val="bottom"/>
            <w:hideMark/>
          </w:tcPr>
          <w:p w14:paraId="28F944F1"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Investment to recover</w:t>
            </w:r>
          </w:p>
        </w:tc>
        <w:tc>
          <w:tcPr>
            <w:tcW w:w="1560" w:type="dxa"/>
            <w:tcBorders>
              <w:top w:val="nil"/>
              <w:left w:val="nil"/>
              <w:bottom w:val="single" w:sz="4" w:space="0" w:color="auto"/>
              <w:right w:val="single" w:sz="4" w:space="0" w:color="auto"/>
            </w:tcBorders>
            <w:shd w:val="clear" w:color="000000" w:fill="FFF2CC"/>
            <w:noWrap/>
            <w:vAlign w:val="bottom"/>
            <w:hideMark/>
          </w:tcPr>
          <w:p w14:paraId="7DD6A7B7" w14:textId="77777777"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30</w:t>
            </w:r>
          </w:p>
        </w:tc>
        <w:tc>
          <w:tcPr>
            <w:tcW w:w="3080" w:type="dxa"/>
            <w:tcBorders>
              <w:top w:val="nil"/>
              <w:left w:val="nil"/>
              <w:bottom w:val="nil"/>
              <w:right w:val="nil"/>
            </w:tcBorders>
            <w:noWrap/>
            <w:vAlign w:val="bottom"/>
            <w:hideMark/>
          </w:tcPr>
          <w:p w14:paraId="2EED1357" w14:textId="77777777" w:rsidR="00F97839" w:rsidRPr="004B0336" w:rsidRDefault="00F97839" w:rsidP="00EE1D8B">
            <w:pPr>
              <w:spacing w:after="0"/>
              <w:jc w:val="right"/>
              <w:rPr>
                <w:rFonts w:eastAsia="Times New Roman" w:cs="Arial"/>
                <w:color w:val="000000"/>
                <w:kern w:val="0"/>
                <w:lang w:val="en-GB" w:eastAsia="en-IN"/>
                <w14:ligatures w14:val="none"/>
              </w:rPr>
            </w:pPr>
          </w:p>
        </w:tc>
      </w:tr>
      <w:tr w:rsidR="00F97839" w:rsidRPr="004B0336" w14:paraId="13A714D1" w14:textId="77777777" w:rsidTr="00F97839">
        <w:trPr>
          <w:trHeight w:val="936"/>
        </w:trPr>
        <w:tc>
          <w:tcPr>
            <w:tcW w:w="3460" w:type="dxa"/>
            <w:tcBorders>
              <w:top w:val="nil"/>
              <w:left w:val="single" w:sz="4" w:space="0" w:color="auto"/>
              <w:bottom w:val="single" w:sz="4" w:space="0" w:color="auto"/>
              <w:right w:val="single" w:sz="4" w:space="0" w:color="auto"/>
            </w:tcBorders>
            <w:shd w:val="clear" w:color="000000" w:fill="FFF2CC"/>
            <w:vAlign w:val="bottom"/>
            <w:hideMark/>
          </w:tcPr>
          <w:p w14:paraId="53183A7D" w14:textId="11303A2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In the 5th year, the investment fully recovered</w:t>
            </w:r>
          </w:p>
        </w:tc>
        <w:tc>
          <w:tcPr>
            <w:tcW w:w="1560" w:type="dxa"/>
            <w:tcBorders>
              <w:top w:val="nil"/>
              <w:left w:val="nil"/>
              <w:bottom w:val="single" w:sz="4" w:space="0" w:color="auto"/>
              <w:right w:val="single" w:sz="4" w:space="0" w:color="auto"/>
            </w:tcBorders>
            <w:shd w:val="clear" w:color="000000" w:fill="FFF2CC"/>
            <w:noWrap/>
            <w:vAlign w:val="bottom"/>
            <w:hideMark/>
          </w:tcPr>
          <w:p w14:paraId="6388A825" w14:textId="77777777" w:rsidR="00F97839" w:rsidRPr="004B0336" w:rsidRDefault="00F97839"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 </w:t>
            </w:r>
          </w:p>
        </w:tc>
        <w:tc>
          <w:tcPr>
            <w:tcW w:w="3080" w:type="dxa"/>
            <w:tcBorders>
              <w:top w:val="nil"/>
              <w:left w:val="nil"/>
              <w:bottom w:val="nil"/>
              <w:right w:val="nil"/>
            </w:tcBorders>
            <w:noWrap/>
            <w:vAlign w:val="bottom"/>
            <w:hideMark/>
          </w:tcPr>
          <w:p w14:paraId="0CA79260" w14:textId="77777777" w:rsidR="00F97839" w:rsidRPr="004B0336" w:rsidRDefault="00F97839" w:rsidP="00EE1D8B">
            <w:pPr>
              <w:spacing w:after="0"/>
              <w:jc w:val="left"/>
              <w:rPr>
                <w:rFonts w:eastAsia="Times New Roman" w:cs="Arial"/>
                <w:color w:val="000000"/>
                <w:kern w:val="0"/>
                <w:lang w:val="en-GB" w:eastAsia="en-IN"/>
                <w14:ligatures w14:val="none"/>
              </w:rPr>
            </w:pPr>
          </w:p>
        </w:tc>
      </w:tr>
      <w:tr w:rsidR="00F97839" w:rsidRPr="004B0336" w14:paraId="15485F5A" w14:textId="77777777" w:rsidTr="00F97839">
        <w:trPr>
          <w:trHeight w:val="312"/>
        </w:trPr>
        <w:tc>
          <w:tcPr>
            <w:tcW w:w="3460" w:type="dxa"/>
            <w:tcBorders>
              <w:top w:val="nil"/>
              <w:left w:val="single" w:sz="4" w:space="0" w:color="auto"/>
              <w:bottom w:val="single" w:sz="4" w:space="0" w:color="auto"/>
              <w:right w:val="single" w:sz="4" w:space="0" w:color="auto"/>
            </w:tcBorders>
            <w:shd w:val="clear" w:color="000000" w:fill="FFF2CC"/>
            <w:noWrap/>
            <w:vAlign w:val="bottom"/>
            <w:hideMark/>
          </w:tcPr>
          <w:p w14:paraId="0BD64249" w14:textId="77777777" w:rsidR="00F97839" w:rsidRPr="004B0336" w:rsidRDefault="00F97839"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PBP</w:t>
            </w:r>
          </w:p>
        </w:tc>
        <w:tc>
          <w:tcPr>
            <w:tcW w:w="1560" w:type="dxa"/>
            <w:tcBorders>
              <w:top w:val="nil"/>
              <w:left w:val="nil"/>
              <w:bottom w:val="single" w:sz="4" w:space="0" w:color="auto"/>
              <w:right w:val="single" w:sz="4" w:space="0" w:color="auto"/>
            </w:tcBorders>
            <w:shd w:val="clear" w:color="000000" w:fill="FFF2CC"/>
            <w:noWrap/>
            <w:vAlign w:val="bottom"/>
            <w:hideMark/>
          </w:tcPr>
          <w:p w14:paraId="35B9B260" w14:textId="62634EBF" w:rsidR="00F97839" w:rsidRPr="004B0336" w:rsidRDefault="00F97839"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w:t>
            </w:r>
            <w:r w:rsidR="0057611D" w:rsidRPr="004B0336">
              <w:rPr>
                <w:rFonts w:eastAsia="Times New Roman" w:cs="Arial"/>
                <w:color w:val="000000"/>
                <w:kern w:val="0"/>
                <w:lang w:val="en-GB" w:eastAsia="en-IN"/>
                <w14:ligatures w14:val="none"/>
              </w:rPr>
              <w:t xml:space="preserve"> </w:t>
            </w:r>
            <w:r w:rsidR="0057611D" w:rsidRPr="004B0336">
              <w:rPr>
                <w:rFonts w:eastAsia="Times New Roman" w:cs="Arial"/>
                <w:b/>
                <w:bCs/>
                <w:color w:val="000000"/>
                <w:kern w:val="0"/>
                <w:lang w:val="en-GB" w:eastAsia="en-IN"/>
                <w14:ligatures w14:val="none"/>
              </w:rPr>
              <w:t>Years</w:t>
            </w:r>
          </w:p>
        </w:tc>
        <w:tc>
          <w:tcPr>
            <w:tcW w:w="3080" w:type="dxa"/>
            <w:tcBorders>
              <w:top w:val="nil"/>
              <w:left w:val="nil"/>
              <w:bottom w:val="nil"/>
              <w:right w:val="nil"/>
            </w:tcBorders>
            <w:noWrap/>
            <w:vAlign w:val="bottom"/>
            <w:hideMark/>
          </w:tcPr>
          <w:p w14:paraId="2FFCEE22" w14:textId="3CD78E1F" w:rsidR="00F97839" w:rsidRPr="004B0336" w:rsidRDefault="00F97839" w:rsidP="00EE1D8B">
            <w:pPr>
              <w:spacing w:after="0"/>
              <w:jc w:val="left"/>
              <w:rPr>
                <w:rFonts w:eastAsia="Times New Roman" w:cs="Arial"/>
                <w:b/>
                <w:bCs/>
                <w:color w:val="000000"/>
                <w:kern w:val="0"/>
                <w:lang w:val="en-GB" w:eastAsia="en-IN"/>
                <w14:ligatures w14:val="none"/>
              </w:rPr>
            </w:pPr>
          </w:p>
        </w:tc>
      </w:tr>
    </w:tbl>
    <w:p w14:paraId="1FD9558F" w14:textId="77777777" w:rsidR="00F97839" w:rsidRPr="004B0336" w:rsidRDefault="00F97839" w:rsidP="00EE1D8B">
      <w:pPr>
        <w:rPr>
          <w:rFonts w:cs="Arial"/>
          <w:b/>
          <w:bCs/>
          <w:i/>
          <w:iCs/>
          <w:lang w:val="en-GB"/>
        </w:rPr>
      </w:pPr>
    </w:p>
    <w:p w14:paraId="5A59F5D4" w14:textId="77777777" w:rsidR="00505BDB" w:rsidRPr="004B0336" w:rsidRDefault="00505BDB" w:rsidP="00EE1D8B">
      <w:pPr>
        <w:rPr>
          <w:rFonts w:cs="Arial"/>
          <w:b/>
          <w:bCs/>
          <w:i/>
          <w:iCs/>
          <w:lang w:val="en-GB"/>
        </w:rPr>
      </w:pPr>
      <w:r w:rsidRPr="004B0336">
        <w:rPr>
          <w:rFonts w:cs="Arial"/>
          <w:b/>
          <w:bCs/>
          <w:i/>
          <w:iCs/>
          <w:lang w:val="en-GB"/>
        </w:rPr>
        <w:t>ARR</w:t>
      </w:r>
    </w:p>
    <w:tbl>
      <w:tblPr>
        <w:tblW w:w="6440" w:type="dxa"/>
        <w:tblLook w:val="04A0" w:firstRow="1" w:lastRow="0" w:firstColumn="1" w:lastColumn="0" w:noHBand="0" w:noVBand="1"/>
      </w:tblPr>
      <w:tblGrid>
        <w:gridCol w:w="2760"/>
        <w:gridCol w:w="1643"/>
        <w:gridCol w:w="2120"/>
      </w:tblGrid>
      <w:tr w:rsidR="00505BDB" w:rsidRPr="004B0336" w14:paraId="2BDA862E" w14:textId="77777777" w:rsidTr="00505BDB">
        <w:trPr>
          <w:trHeight w:val="1248"/>
        </w:trPr>
        <w:tc>
          <w:tcPr>
            <w:tcW w:w="2760"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14:paraId="0AE01F0B"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depreciation</w:t>
            </w:r>
          </w:p>
        </w:tc>
        <w:tc>
          <w:tcPr>
            <w:tcW w:w="1560" w:type="dxa"/>
            <w:tcBorders>
              <w:top w:val="single" w:sz="4" w:space="0" w:color="auto"/>
              <w:left w:val="nil"/>
              <w:bottom w:val="single" w:sz="4" w:space="0" w:color="auto"/>
              <w:right w:val="single" w:sz="4" w:space="0" w:color="auto"/>
            </w:tcBorders>
            <w:shd w:val="clear" w:color="000000" w:fill="FFF2CC"/>
            <w:vAlign w:val="bottom"/>
            <w:hideMark/>
          </w:tcPr>
          <w:p w14:paraId="53139FB1"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straight-line depreciation to zero</w:t>
            </w:r>
          </w:p>
        </w:tc>
        <w:tc>
          <w:tcPr>
            <w:tcW w:w="2120" w:type="dxa"/>
            <w:tcBorders>
              <w:top w:val="nil"/>
              <w:left w:val="nil"/>
              <w:bottom w:val="nil"/>
              <w:right w:val="nil"/>
            </w:tcBorders>
            <w:noWrap/>
            <w:vAlign w:val="bottom"/>
            <w:hideMark/>
          </w:tcPr>
          <w:p w14:paraId="32E23A12" w14:textId="77777777" w:rsidR="00505BDB" w:rsidRPr="004B0336" w:rsidRDefault="00505BDB" w:rsidP="00EE1D8B">
            <w:pPr>
              <w:spacing w:after="0"/>
              <w:jc w:val="left"/>
              <w:rPr>
                <w:rFonts w:eastAsia="Times New Roman" w:cs="Arial"/>
                <w:b/>
                <w:bCs/>
                <w:color w:val="000000"/>
                <w:kern w:val="0"/>
                <w:lang w:val="en-GB" w:eastAsia="en-IN"/>
                <w14:ligatures w14:val="none"/>
              </w:rPr>
            </w:pPr>
          </w:p>
        </w:tc>
      </w:tr>
      <w:tr w:rsidR="00505BDB" w:rsidRPr="004B0336" w14:paraId="1B3EA673" w14:textId="77777777" w:rsidTr="00505BDB">
        <w:trPr>
          <w:trHeight w:val="312"/>
        </w:trPr>
        <w:tc>
          <w:tcPr>
            <w:tcW w:w="2760" w:type="dxa"/>
            <w:tcBorders>
              <w:top w:val="nil"/>
              <w:left w:val="single" w:sz="4" w:space="0" w:color="auto"/>
              <w:bottom w:val="single" w:sz="4" w:space="0" w:color="auto"/>
              <w:right w:val="single" w:sz="4" w:space="0" w:color="auto"/>
            </w:tcBorders>
            <w:shd w:val="clear" w:color="000000" w:fill="FFF2CC"/>
            <w:noWrap/>
            <w:vAlign w:val="bottom"/>
            <w:hideMark/>
          </w:tcPr>
          <w:p w14:paraId="795A4AAE"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Initial investment £m</w:t>
            </w:r>
          </w:p>
        </w:tc>
        <w:tc>
          <w:tcPr>
            <w:tcW w:w="1560" w:type="dxa"/>
            <w:tcBorders>
              <w:top w:val="nil"/>
              <w:left w:val="nil"/>
              <w:bottom w:val="single" w:sz="4" w:space="0" w:color="auto"/>
              <w:right w:val="single" w:sz="4" w:space="0" w:color="auto"/>
            </w:tcBorders>
            <w:shd w:val="clear" w:color="000000" w:fill="FFF2CC"/>
            <w:noWrap/>
            <w:vAlign w:val="bottom"/>
            <w:hideMark/>
          </w:tcPr>
          <w:p w14:paraId="17EFE95A"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30</w:t>
            </w:r>
          </w:p>
        </w:tc>
        <w:tc>
          <w:tcPr>
            <w:tcW w:w="2120" w:type="dxa"/>
            <w:tcBorders>
              <w:top w:val="nil"/>
              <w:left w:val="nil"/>
              <w:bottom w:val="nil"/>
              <w:right w:val="nil"/>
            </w:tcBorders>
            <w:noWrap/>
            <w:vAlign w:val="bottom"/>
            <w:hideMark/>
          </w:tcPr>
          <w:p w14:paraId="69D7EA26" w14:textId="77777777" w:rsidR="00505BDB" w:rsidRPr="004B0336" w:rsidRDefault="00505BDB" w:rsidP="00EE1D8B">
            <w:pPr>
              <w:spacing w:after="0"/>
              <w:jc w:val="right"/>
              <w:rPr>
                <w:rFonts w:eastAsia="Times New Roman" w:cs="Arial"/>
                <w:color w:val="000000"/>
                <w:kern w:val="0"/>
                <w:lang w:val="en-GB" w:eastAsia="en-IN"/>
                <w14:ligatures w14:val="none"/>
              </w:rPr>
            </w:pPr>
          </w:p>
        </w:tc>
      </w:tr>
      <w:tr w:rsidR="00505BDB" w:rsidRPr="004B0336" w14:paraId="1A79CC8C" w14:textId="77777777" w:rsidTr="00505BDB">
        <w:trPr>
          <w:trHeight w:val="312"/>
        </w:trPr>
        <w:tc>
          <w:tcPr>
            <w:tcW w:w="2760" w:type="dxa"/>
            <w:tcBorders>
              <w:top w:val="nil"/>
              <w:left w:val="single" w:sz="4" w:space="0" w:color="auto"/>
              <w:bottom w:val="single" w:sz="4" w:space="0" w:color="auto"/>
              <w:right w:val="single" w:sz="4" w:space="0" w:color="auto"/>
            </w:tcBorders>
            <w:shd w:val="clear" w:color="000000" w:fill="FFF2CC"/>
            <w:noWrap/>
            <w:vAlign w:val="bottom"/>
            <w:hideMark/>
          </w:tcPr>
          <w:p w14:paraId="4D8439CE"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Years</w:t>
            </w:r>
          </w:p>
        </w:tc>
        <w:tc>
          <w:tcPr>
            <w:tcW w:w="1560" w:type="dxa"/>
            <w:tcBorders>
              <w:top w:val="nil"/>
              <w:left w:val="nil"/>
              <w:bottom w:val="single" w:sz="4" w:space="0" w:color="auto"/>
              <w:right w:val="single" w:sz="4" w:space="0" w:color="auto"/>
            </w:tcBorders>
            <w:shd w:val="clear" w:color="000000" w:fill="FFF2CC"/>
            <w:noWrap/>
            <w:vAlign w:val="bottom"/>
            <w:hideMark/>
          </w:tcPr>
          <w:p w14:paraId="64AA7E3B"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w:t>
            </w:r>
          </w:p>
        </w:tc>
        <w:tc>
          <w:tcPr>
            <w:tcW w:w="2120" w:type="dxa"/>
            <w:tcBorders>
              <w:top w:val="nil"/>
              <w:left w:val="nil"/>
              <w:bottom w:val="nil"/>
              <w:right w:val="nil"/>
            </w:tcBorders>
            <w:noWrap/>
            <w:vAlign w:val="bottom"/>
            <w:hideMark/>
          </w:tcPr>
          <w:p w14:paraId="7BB99AEF" w14:textId="77777777" w:rsidR="00505BDB" w:rsidRPr="004B0336" w:rsidRDefault="00505BDB" w:rsidP="00EE1D8B">
            <w:pPr>
              <w:spacing w:after="0"/>
              <w:jc w:val="right"/>
              <w:rPr>
                <w:rFonts w:eastAsia="Times New Roman" w:cs="Arial"/>
                <w:color w:val="000000"/>
                <w:kern w:val="0"/>
                <w:lang w:val="en-GB" w:eastAsia="en-IN"/>
                <w14:ligatures w14:val="none"/>
              </w:rPr>
            </w:pPr>
          </w:p>
        </w:tc>
      </w:tr>
      <w:tr w:rsidR="00505BDB" w:rsidRPr="004B0336" w14:paraId="17F7D0AF" w14:textId="77777777" w:rsidTr="00505BDB">
        <w:trPr>
          <w:trHeight w:val="312"/>
        </w:trPr>
        <w:tc>
          <w:tcPr>
            <w:tcW w:w="2760" w:type="dxa"/>
            <w:tcBorders>
              <w:top w:val="nil"/>
              <w:left w:val="single" w:sz="4" w:space="0" w:color="auto"/>
              <w:bottom w:val="single" w:sz="4" w:space="0" w:color="auto"/>
              <w:right w:val="single" w:sz="4" w:space="0" w:color="auto"/>
            </w:tcBorders>
            <w:shd w:val="clear" w:color="000000" w:fill="FFF2CC"/>
            <w:noWrap/>
            <w:vAlign w:val="bottom"/>
            <w:hideMark/>
          </w:tcPr>
          <w:p w14:paraId="4DA8C4F1"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Annual depreciation</w:t>
            </w:r>
          </w:p>
        </w:tc>
        <w:tc>
          <w:tcPr>
            <w:tcW w:w="1560" w:type="dxa"/>
            <w:tcBorders>
              <w:top w:val="nil"/>
              <w:left w:val="nil"/>
              <w:bottom w:val="single" w:sz="4" w:space="0" w:color="auto"/>
              <w:right w:val="single" w:sz="4" w:space="0" w:color="auto"/>
            </w:tcBorders>
            <w:shd w:val="clear" w:color="000000" w:fill="FFF2CC"/>
            <w:noWrap/>
            <w:vAlign w:val="bottom"/>
            <w:hideMark/>
          </w:tcPr>
          <w:p w14:paraId="5E982039"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6</w:t>
            </w:r>
          </w:p>
        </w:tc>
        <w:tc>
          <w:tcPr>
            <w:tcW w:w="2120" w:type="dxa"/>
            <w:tcBorders>
              <w:top w:val="nil"/>
              <w:left w:val="nil"/>
              <w:bottom w:val="nil"/>
              <w:right w:val="nil"/>
            </w:tcBorders>
            <w:noWrap/>
            <w:vAlign w:val="bottom"/>
            <w:hideMark/>
          </w:tcPr>
          <w:p w14:paraId="0D192046" w14:textId="77777777" w:rsidR="00505BDB" w:rsidRPr="004B0336" w:rsidRDefault="00505BDB" w:rsidP="00EE1D8B">
            <w:pPr>
              <w:spacing w:after="0"/>
              <w:jc w:val="right"/>
              <w:rPr>
                <w:rFonts w:eastAsia="Times New Roman" w:cs="Arial"/>
                <w:color w:val="000000"/>
                <w:kern w:val="0"/>
                <w:lang w:val="en-GB" w:eastAsia="en-IN"/>
                <w14:ligatures w14:val="none"/>
              </w:rPr>
            </w:pPr>
          </w:p>
        </w:tc>
      </w:tr>
      <w:tr w:rsidR="00505BDB" w:rsidRPr="004B0336" w14:paraId="23D0AE00" w14:textId="77777777" w:rsidTr="00505BDB">
        <w:trPr>
          <w:trHeight w:val="312"/>
        </w:trPr>
        <w:tc>
          <w:tcPr>
            <w:tcW w:w="2760" w:type="dxa"/>
            <w:tcBorders>
              <w:top w:val="nil"/>
              <w:left w:val="single" w:sz="4" w:space="0" w:color="auto"/>
              <w:bottom w:val="single" w:sz="4" w:space="0" w:color="auto"/>
              <w:right w:val="single" w:sz="4" w:space="0" w:color="auto"/>
            </w:tcBorders>
            <w:shd w:val="clear" w:color="000000" w:fill="FFF2CC"/>
            <w:noWrap/>
            <w:vAlign w:val="bottom"/>
            <w:hideMark/>
          </w:tcPr>
          <w:p w14:paraId="190D8658" w14:textId="77777777" w:rsidR="00505BDB" w:rsidRPr="004B0336" w:rsidRDefault="00505BDB" w:rsidP="00EE1D8B">
            <w:pPr>
              <w:spacing w:after="0"/>
              <w:jc w:val="center"/>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Year</w:t>
            </w:r>
          </w:p>
        </w:tc>
        <w:tc>
          <w:tcPr>
            <w:tcW w:w="1560" w:type="dxa"/>
            <w:tcBorders>
              <w:top w:val="nil"/>
              <w:left w:val="nil"/>
              <w:bottom w:val="single" w:sz="4" w:space="0" w:color="auto"/>
              <w:right w:val="single" w:sz="4" w:space="0" w:color="auto"/>
            </w:tcBorders>
            <w:shd w:val="clear" w:color="000000" w:fill="FFF2CC"/>
            <w:noWrap/>
            <w:vAlign w:val="bottom"/>
            <w:hideMark/>
          </w:tcPr>
          <w:p w14:paraId="36E79D5C" w14:textId="39E310E5" w:rsidR="00505BDB" w:rsidRPr="004B0336" w:rsidRDefault="00505BDB" w:rsidP="00EE1D8B">
            <w:pPr>
              <w:spacing w:after="0"/>
              <w:jc w:val="center"/>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xml:space="preserve">Cash Flow </w:t>
            </w:r>
          </w:p>
        </w:tc>
        <w:tc>
          <w:tcPr>
            <w:tcW w:w="2120" w:type="dxa"/>
            <w:tcBorders>
              <w:top w:val="single" w:sz="4" w:space="0" w:color="auto"/>
              <w:left w:val="nil"/>
              <w:bottom w:val="single" w:sz="4" w:space="0" w:color="auto"/>
              <w:right w:val="single" w:sz="4" w:space="0" w:color="auto"/>
            </w:tcBorders>
            <w:shd w:val="clear" w:color="000000" w:fill="FFF2CC"/>
            <w:noWrap/>
            <w:vAlign w:val="bottom"/>
            <w:hideMark/>
          </w:tcPr>
          <w:p w14:paraId="6E8C9F85" w14:textId="77777777" w:rsidR="00505BDB" w:rsidRPr="004B0336" w:rsidRDefault="00505BDB" w:rsidP="00EE1D8B">
            <w:pPr>
              <w:spacing w:after="0"/>
              <w:jc w:val="center"/>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Profit</w:t>
            </w:r>
          </w:p>
        </w:tc>
      </w:tr>
      <w:tr w:rsidR="00505BDB" w:rsidRPr="004B0336" w14:paraId="08BA34F1" w14:textId="77777777" w:rsidTr="00505BDB">
        <w:trPr>
          <w:trHeight w:val="312"/>
        </w:trPr>
        <w:tc>
          <w:tcPr>
            <w:tcW w:w="2760" w:type="dxa"/>
            <w:tcBorders>
              <w:top w:val="nil"/>
              <w:left w:val="single" w:sz="4" w:space="0" w:color="auto"/>
              <w:bottom w:val="single" w:sz="4" w:space="0" w:color="auto"/>
              <w:right w:val="single" w:sz="4" w:space="0" w:color="auto"/>
            </w:tcBorders>
            <w:shd w:val="clear" w:color="000000" w:fill="FFF2CC"/>
            <w:noWrap/>
            <w:vAlign w:val="bottom"/>
            <w:hideMark/>
          </w:tcPr>
          <w:p w14:paraId="17AFF312"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w:t>
            </w:r>
          </w:p>
        </w:tc>
        <w:tc>
          <w:tcPr>
            <w:tcW w:w="1560" w:type="dxa"/>
            <w:tcBorders>
              <w:top w:val="nil"/>
              <w:left w:val="nil"/>
              <w:bottom w:val="single" w:sz="4" w:space="0" w:color="auto"/>
              <w:right w:val="single" w:sz="4" w:space="0" w:color="auto"/>
            </w:tcBorders>
            <w:shd w:val="clear" w:color="000000" w:fill="FFF2CC"/>
            <w:noWrap/>
            <w:vAlign w:val="bottom"/>
            <w:hideMark/>
          </w:tcPr>
          <w:p w14:paraId="540CAE70"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6</w:t>
            </w:r>
          </w:p>
        </w:tc>
        <w:tc>
          <w:tcPr>
            <w:tcW w:w="2120" w:type="dxa"/>
            <w:tcBorders>
              <w:top w:val="nil"/>
              <w:left w:val="nil"/>
              <w:bottom w:val="single" w:sz="4" w:space="0" w:color="auto"/>
              <w:right w:val="single" w:sz="4" w:space="0" w:color="auto"/>
            </w:tcBorders>
            <w:shd w:val="clear" w:color="000000" w:fill="FFF2CC"/>
            <w:noWrap/>
            <w:vAlign w:val="bottom"/>
            <w:hideMark/>
          </w:tcPr>
          <w:p w14:paraId="058CE1AC"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w:t>
            </w:r>
          </w:p>
        </w:tc>
      </w:tr>
      <w:tr w:rsidR="00505BDB" w:rsidRPr="004B0336" w14:paraId="63417092" w14:textId="77777777" w:rsidTr="00505BDB">
        <w:trPr>
          <w:trHeight w:val="312"/>
        </w:trPr>
        <w:tc>
          <w:tcPr>
            <w:tcW w:w="2760" w:type="dxa"/>
            <w:tcBorders>
              <w:top w:val="nil"/>
              <w:left w:val="single" w:sz="4" w:space="0" w:color="auto"/>
              <w:bottom w:val="single" w:sz="4" w:space="0" w:color="auto"/>
              <w:right w:val="single" w:sz="4" w:space="0" w:color="auto"/>
            </w:tcBorders>
            <w:shd w:val="clear" w:color="000000" w:fill="FFF2CC"/>
            <w:noWrap/>
            <w:vAlign w:val="bottom"/>
            <w:hideMark/>
          </w:tcPr>
          <w:p w14:paraId="6A8DB087"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w:t>
            </w:r>
          </w:p>
        </w:tc>
        <w:tc>
          <w:tcPr>
            <w:tcW w:w="1560" w:type="dxa"/>
            <w:tcBorders>
              <w:top w:val="nil"/>
              <w:left w:val="nil"/>
              <w:bottom w:val="single" w:sz="4" w:space="0" w:color="auto"/>
              <w:right w:val="single" w:sz="4" w:space="0" w:color="auto"/>
            </w:tcBorders>
            <w:shd w:val="clear" w:color="000000" w:fill="FFF2CC"/>
            <w:noWrap/>
            <w:vAlign w:val="bottom"/>
            <w:hideMark/>
          </w:tcPr>
          <w:p w14:paraId="58BA26F9"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6</w:t>
            </w:r>
          </w:p>
        </w:tc>
        <w:tc>
          <w:tcPr>
            <w:tcW w:w="2120" w:type="dxa"/>
            <w:tcBorders>
              <w:top w:val="nil"/>
              <w:left w:val="nil"/>
              <w:bottom w:val="single" w:sz="4" w:space="0" w:color="auto"/>
              <w:right w:val="single" w:sz="4" w:space="0" w:color="auto"/>
            </w:tcBorders>
            <w:shd w:val="clear" w:color="000000" w:fill="FFF2CC"/>
            <w:noWrap/>
            <w:vAlign w:val="bottom"/>
            <w:hideMark/>
          </w:tcPr>
          <w:p w14:paraId="787608ED"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w:t>
            </w:r>
          </w:p>
        </w:tc>
      </w:tr>
      <w:tr w:rsidR="00505BDB" w:rsidRPr="004B0336" w14:paraId="5D40A8AB" w14:textId="77777777" w:rsidTr="00505BDB">
        <w:trPr>
          <w:trHeight w:val="936"/>
        </w:trPr>
        <w:tc>
          <w:tcPr>
            <w:tcW w:w="2760" w:type="dxa"/>
            <w:tcBorders>
              <w:top w:val="nil"/>
              <w:left w:val="single" w:sz="4" w:space="0" w:color="auto"/>
              <w:bottom w:val="single" w:sz="4" w:space="0" w:color="auto"/>
              <w:right w:val="single" w:sz="4" w:space="0" w:color="auto"/>
            </w:tcBorders>
            <w:shd w:val="clear" w:color="000000" w:fill="FFF2CC"/>
            <w:noWrap/>
            <w:vAlign w:val="bottom"/>
            <w:hideMark/>
          </w:tcPr>
          <w:p w14:paraId="60887045"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3</w:t>
            </w:r>
          </w:p>
        </w:tc>
        <w:tc>
          <w:tcPr>
            <w:tcW w:w="1560" w:type="dxa"/>
            <w:tcBorders>
              <w:top w:val="nil"/>
              <w:left w:val="nil"/>
              <w:bottom w:val="single" w:sz="4" w:space="0" w:color="auto"/>
              <w:right w:val="single" w:sz="4" w:space="0" w:color="auto"/>
            </w:tcBorders>
            <w:shd w:val="clear" w:color="000000" w:fill="FFF2CC"/>
            <w:noWrap/>
            <w:vAlign w:val="bottom"/>
            <w:hideMark/>
          </w:tcPr>
          <w:p w14:paraId="6D480219"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6</w:t>
            </w:r>
          </w:p>
        </w:tc>
        <w:tc>
          <w:tcPr>
            <w:tcW w:w="2120" w:type="dxa"/>
            <w:tcBorders>
              <w:top w:val="nil"/>
              <w:left w:val="nil"/>
              <w:bottom w:val="single" w:sz="4" w:space="0" w:color="auto"/>
              <w:right w:val="single" w:sz="4" w:space="0" w:color="auto"/>
            </w:tcBorders>
            <w:shd w:val="clear" w:color="000000" w:fill="FFF2CC"/>
            <w:noWrap/>
            <w:vAlign w:val="bottom"/>
            <w:hideMark/>
          </w:tcPr>
          <w:p w14:paraId="7E855CA9"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w:t>
            </w:r>
          </w:p>
        </w:tc>
      </w:tr>
      <w:tr w:rsidR="00505BDB" w:rsidRPr="004B0336" w14:paraId="7DF22AF8" w14:textId="77777777" w:rsidTr="00505BDB">
        <w:trPr>
          <w:trHeight w:val="312"/>
        </w:trPr>
        <w:tc>
          <w:tcPr>
            <w:tcW w:w="2760" w:type="dxa"/>
            <w:tcBorders>
              <w:top w:val="nil"/>
              <w:left w:val="single" w:sz="4" w:space="0" w:color="auto"/>
              <w:bottom w:val="single" w:sz="4" w:space="0" w:color="auto"/>
              <w:right w:val="single" w:sz="4" w:space="0" w:color="auto"/>
            </w:tcBorders>
            <w:shd w:val="clear" w:color="000000" w:fill="FFF2CC"/>
            <w:noWrap/>
            <w:vAlign w:val="bottom"/>
            <w:hideMark/>
          </w:tcPr>
          <w:p w14:paraId="149389E8"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4</w:t>
            </w:r>
          </w:p>
        </w:tc>
        <w:tc>
          <w:tcPr>
            <w:tcW w:w="1560" w:type="dxa"/>
            <w:tcBorders>
              <w:top w:val="nil"/>
              <w:left w:val="nil"/>
              <w:bottom w:val="single" w:sz="4" w:space="0" w:color="auto"/>
              <w:right w:val="single" w:sz="4" w:space="0" w:color="auto"/>
            </w:tcBorders>
            <w:shd w:val="clear" w:color="000000" w:fill="FFF2CC"/>
            <w:noWrap/>
            <w:vAlign w:val="bottom"/>
            <w:hideMark/>
          </w:tcPr>
          <w:p w14:paraId="7B1E3E54"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6</w:t>
            </w:r>
          </w:p>
        </w:tc>
        <w:tc>
          <w:tcPr>
            <w:tcW w:w="2120" w:type="dxa"/>
            <w:tcBorders>
              <w:top w:val="nil"/>
              <w:left w:val="nil"/>
              <w:bottom w:val="single" w:sz="4" w:space="0" w:color="auto"/>
              <w:right w:val="single" w:sz="4" w:space="0" w:color="auto"/>
            </w:tcBorders>
            <w:shd w:val="clear" w:color="000000" w:fill="FFF2CC"/>
            <w:noWrap/>
            <w:vAlign w:val="bottom"/>
            <w:hideMark/>
          </w:tcPr>
          <w:p w14:paraId="524A0D6F"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w:t>
            </w:r>
          </w:p>
        </w:tc>
      </w:tr>
      <w:tr w:rsidR="00505BDB" w:rsidRPr="004B0336" w14:paraId="67D005BC" w14:textId="77777777" w:rsidTr="00505BDB">
        <w:trPr>
          <w:trHeight w:val="312"/>
        </w:trPr>
        <w:tc>
          <w:tcPr>
            <w:tcW w:w="2760" w:type="dxa"/>
            <w:tcBorders>
              <w:top w:val="nil"/>
              <w:left w:val="single" w:sz="4" w:space="0" w:color="auto"/>
              <w:bottom w:val="single" w:sz="4" w:space="0" w:color="auto"/>
              <w:right w:val="single" w:sz="4" w:space="0" w:color="auto"/>
            </w:tcBorders>
            <w:shd w:val="clear" w:color="000000" w:fill="FFF2CC"/>
            <w:noWrap/>
            <w:vAlign w:val="bottom"/>
            <w:hideMark/>
          </w:tcPr>
          <w:p w14:paraId="4E676F84"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w:t>
            </w:r>
          </w:p>
        </w:tc>
        <w:tc>
          <w:tcPr>
            <w:tcW w:w="1560" w:type="dxa"/>
            <w:tcBorders>
              <w:top w:val="nil"/>
              <w:left w:val="nil"/>
              <w:bottom w:val="single" w:sz="4" w:space="0" w:color="auto"/>
              <w:right w:val="single" w:sz="4" w:space="0" w:color="auto"/>
            </w:tcBorders>
            <w:shd w:val="clear" w:color="000000" w:fill="FFF2CC"/>
            <w:noWrap/>
            <w:vAlign w:val="bottom"/>
            <w:hideMark/>
          </w:tcPr>
          <w:p w14:paraId="712E0BDE"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6</w:t>
            </w:r>
          </w:p>
        </w:tc>
        <w:tc>
          <w:tcPr>
            <w:tcW w:w="2120" w:type="dxa"/>
            <w:tcBorders>
              <w:top w:val="nil"/>
              <w:left w:val="nil"/>
              <w:bottom w:val="single" w:sz="4" w:space="0" w:color="auto"/>
              <w:right w:val="single" w:sz="4" w:space="0" w:color="auto"/>
            </w:tcBorders>
            <w:shd w:val="clear" w:color="000000" w:fill="FFF2CC"/>
            <w:noWrap/>
            <w:vAlign w:val="bottom"/>
            <w:hideMark/>
          </w:tcPr>
          <w:p w14:paraId="0E8A3997"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w:t>
            </w:r>
          </w:p>
        </w:tc>
      </w:tr>
      <w:tr w:rsidR="00505BDB" w:rsidRPr="004B0336" w14:paraId="23E4BE62" w14:textId="77777777" w:rsidTr="00505BDB">
        <w:trPr>
          <w:trHeight w:val="312"/>
        </w:trPr>
        <w:tc>
          <w:tcPr>
            <w:tcW w:w="2760" w:type="dxa"/>
            <w:tcBorders>
              <w:top w:val="nil"/>
              <w:left w:val="single" w:sz="4" w:space="0" w:color="auto"/>
              <w:bottom w:val="single" w:sz="4" w:space="0" w:color="auto"/>
              <w:right w:val="single" w:sz="4" w:space="0" w:color="auto"/>
            </w:tcBorders>
            <w:shd w:val="clear" w:color="000000" w:fill="FFF2CC"/>
            <w:noWrap/>
            <w:vAlign w:val="bottom"/>
            <w:hideMark/>
          </w:tcPr>
          <w:p w14:paraId="3278D9C2" w14:textId="33008D0A"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xml:space="preserve">Average Annual profit </w:t>
            </w:r>
          </w:p>
        </w:tc>
        <w:tc>
          <w:tcPr>
            <w:tcW w:w="1560" w:type="dxa"/>
            <w:tcBorders>
              <w:top w:val="nil"/>
              <w:left w:val="nil"/>
              <w:bottom w:val="single" w:sz="4" w:space="0" w:color="auto"/>
              <w:right w:val="single" w:sz="4" w:space="0" w:color="auto"/>
            </w:tcBorders>
            <w:shd w:val="clear" w:color="000000" w:fill="FFF2CC"/>
            <w:noWrap/>
            <w:vAlign w:val="bottom"/>
            <w:hideMark/>
          </w:tcPr>
          <w:p w14:paraId="6146C6DC"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w:t>
            </w:r>
          </w:p>
        </w:tc>
        <w:tc>
          <w:tcPr>
            <w:tcW w:w="2120" w:type="dxa"/>
            <w:tcBorders>
              <w:top w:val="nil"/>
              <w:left w:val="nil"/>
              <w:bottom w:val="single" w:sz="4" w:space="0" w:color="auto"/>
              <w:right w:val="single" w:sz="4" w:space="0" w:color="auto"/>
            </w:tcBorders>
            <w:shd w:val="clear" w:color="000000" w:fill="FFF2CC"/>
            <w:noWrap/>
            <w:vAlign w:val="bottom"/>
            <w:hideMark/>
          </w:tcPr>
          <w:p w14:paraId="7347C886" w14:textId="77777777" w:rsidR="00505BDB" w:rsidRPr="004B0336" w:rsidRDefault="00505BDB"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 </w:t>
            </w:r>
          </w:p>
        </w:tc>
      </w:tr>
      <w:tr w:rsidR="00505BDB" w:rsidRPr="004B0336" w14:paraId="3B2E94CA" w14:textId="77777777" w:rsidTr="00505BDB">
        <w:trPr>
          <w:trHeight w:val="312"/>
        </w:trPr>
        <w:tc>
          <w:tcPr>
            <w:tcW w:w="2760" w:type="dxa"/>
            <w:tcBorders>
              <w:top w:val="nil"/>
              <w:left w:val="single" w:sz="4" w:space="0" w:color="auto"/>
              <w:bottom w:val="single" w:sz="4" w:space="0" w:color="auto"/>
              <w:right w:val="single" w:sz="4" w:space="0" w:color="auto"/>
            </w:tcBorders>
            <w:shd w:val="clear" w:color="000000" w:fill="FFF2CC"/>
            <w:noWrap/>
            <w:vAlign w:val="bottom"/>
            <w:hideMark/>
          </w:tcPr>
          <w:p w14:paraId="19687944"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Average Investment</w:t>
            </w:r>
          </w:p>
        </w:tc>
        <w:tc>
          <w:tcPr>
            <w:tcW w:w="1560" w:type="dxa"/>
            <w:tcBorders>
              <w:top w:val="nil"/>
              <w:left w:val="nil"/>
              <w:bottom w:val="single" w:sz="4" w:space="0" w:color="auto"/>
              <w:right w:val="single" w:sz="4" w:space="0" w:color="auto"/>
            </w:tcBorders>
            <w:shd w:val="clear" w:color="000000" w:fill="FFF2CC"/>
            <w:noWrap/>
            <w:vAlign w:val="bottom"/>
            <w:hideMark/>
          </w:tcPr>
          <w:p w14:paraId="5800DA00"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15</w:t>
            </w:r>
          </w:p>
        </w:tc>
        <w:tc>
          <w:tcPr>
            <w:tcW w:w="2120" w:type="dxa"/>
            <w:tcBorders>
              <w:top w:val="nil"/>
              <w:left w:val="nil"/>
              <w:bottom w:val="single" w:sz="4" w:space="0" w:color="auto"/>
              <w:right w:val="single" w:sz="4" w:space="0" w:color="auto"/>
            </w:tcBorders>
            <w:shd w:val="clear" w:color="000000" w:fill="FFF2CC"/>
            <w:noWrap/>
            <w:vAlign w:val="bottom"/>
            <w:hideMark/>
          </w:tcPr>
          <w:p w14:paraId="33B829F6" w14:textId="77777777" w:rsidR="00505BDB" w:rsidRPr="004B0336" w:rsidRDefault="00505BDB"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 </w:t>
            </w:r>
          </w:p>
        </w:tc>
      </w:tr>
      <w:tr w:rsidR="00505BDB" w:rsidRPr="004B0336" w14:paraId="3B27DF70" w14:textId="77777777" w:rsidTr="00505BDB">
        <w:trPr>
          <w:trHeight w:val="312"/>
        </w:trPr>
        <w:tc>
          <w:tcPr>
            <w:tcW w:w="2760" w:type="dxa"/>
            <w:tcBorders>
              <w:top w:val="nil"/>
              <w:left w:val="single" w:sz="4" w:space="0" w:color="auto"/>
              <w:bottom w:val="single" w:sz="4" w:space="0" w:color="auto"/>
              <w:right w:val="single" w:sz="4" w:space="0" w:color="auto"/>
            </w:tcBorders>
            <w:shd w:val="clear" w:color="000000" w:fill="FFF2CC"/>
            <w:noWrap/>
            <w:vAlign w:val="bottom"/>
            <w:hideMark/>
          </w:tcPr>
          <w:p w14:paraId="050EDBBC"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ARR</w:t>
            </w:r>
          </w:p>
        </w:tc>
        <w:tc>
          <w:tcPr>
            <w:tcW w:w="1560" w:type="dxa"/>
            <w:tcBorders>
              <w:top w:val="nil"/>
              <w:left w:val="nil"/>
              <w:bottom w:val="single" w:sz="4" w:space="0" w:color="auto"/>
              <w:right w:val="single" w:sz="4" w:space="0" w:color="auto"/>
            </w:tcBorders>
            <w:shd w:val="clear" w:color="000000" w:fill="FFF2CC"/>
            <w:noWrap/>
            <w:vAlign w:val="bottom"/>
            <w:hideMark/>
          </w:tcPr>
          <w:p w14:paraId="26106050"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w:t>
            </w:r>
          </w:p>
        </w:tc>
        <w:tc>
          <w:tcPr>
            <w:tcW w:w="2120" w:type="dxa"/>
            <w:tcBorders>
              <w:top w:val="nil"/>
              <w:left w:val="nil"/>
              <w:bottom w:val="single" w:sz="4" w:space="0" w:color="auto"/>
              <w:right w:val="single" w:sz="4" w:space="0" w:color="auto"/>
            </w:tcBorders>
            <w:shd w:val="clear" w:color="000000" w:fill="FFF2CC"/>
            <w:noWrap/>
            <w:vAlign w:val="bottom"/>
            <w:hideMark/>
          </w:tcPr>
          <w:p w14:paraId="5D4BAC8F"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xml:space="preserve">In percentage </w:t>
            </w:r>
          </w:p>
        </w:tc>
      </w:tr>
    </w:tbl>
    <w:p w14:paraId="4F9AFF97" w14:textId="691EB6DC" w:rsidR="00505BDB" w:rsidRPr="004B0336" w:rsidRDefault="00505BDB" w:rsidP="00EE1D8B">
      <w:pPr>
        <w:rPr>
          <w:rFonts w:cs="Arial"/>
          <w:b/>
          <w:bCs/>
          <w:i/>
          <w:iCs/>
          <w:lang w:val="en-GB"/>
        </w:rPr>
      </w:pPr>
      <w:r w:rsidRPr="004B0336">
        <w:rPr>
          <w:rFonts w:cs="Arial"/>
          <w:b/>
          <w:bCs/>
          <w:i/>
          <w:iCs/>
          <w:lang w:val="en-GB"/>
        </w:rPr>
        <w:tab/>
      </w:r>
      <w:r w:rsidRPr="004B0336">
        <w:rPr>
          <w:rFonts w:cs="Arial"/>
          <w:b/>
          <w:bCs/>
          <w:i/>
          <w:iCs/>
          <w:lang w:val="en-GB"/>
        </w:rPr>
        <w:tab/>
      </w:r>
    </w:p>
    <w:p w14:paraId="084C2B2F" w14:textId="309692B5" w:rsidR="00505BDB" w:rsidRPr="004B0336" w:rsidRDefault="00505BDB" w:rsidP="00EE1D8B">
      <w:pPr>
        <w:rPr>
          <w:rFonts w:cs="Arial"/>
          <w:b/>
          <w:bCs/>
          <w:i/>
          <w:iCs/>
          <w:lang w:val="en-GB"/>
        </w:rPr>
      </w:pPr>
      <w:r w:rsidRPr="004B0336">
        <w:rPr>
          <w:rFonts w:cs="Arial"/>
          <w:b/>
          <w:bCs/>
          <w:i/>
          <w:iCs/>
          <w:lang w:val="en-GB"/>
        </w:rPr>
        <w:t>NPV</w:t>
      </w:r>
      <w:r w:rsidR="0057611D" w:rsidRPr="004B0336">
        <w:rPr>
          <w:rFonts w:cs="Arial"/>
          <w:b/>
          <w:bCs/>
          <w:i/>
          <w:iCs/>
          <w:lang w:val="en-GB"/>
        </w:rPr>
        <w:t xml:space="preserve"> and PI</w:t>
      </w:r>
      <w:r w:rsidRPr="004B0336">
        <w:rPr>
          <w:rFonts w:cs="Arial"/>
          <w:b/>
          <w:bCs/>
          <w:i/>
          <w:iCs/>
          <w:lang w:val="en-GB"/>
        </w:rPr>
        <w:tab/>
      </w:r>
      <w:r w:rsidRPr="004B0336">
        <w:rPr>
          <w:rFonts w:cs="Arial"/>
          <w:b/>
          <w:bCs/>
          <w:i/>
          <w:iCs/>
          <w:lang w:val="en-GB"/>
        </w:rPr>
        <w:tab/>
      </w:r>
      <w:r w:rsidRPr="004B0336">
        <w:rPr>
          <w:rFonts w:cs="Arial"/>
          <w:b/>
          <w:bCs/>
          <w:i/>
          <w:iCs/>
          <w:lang w:val="en-GB"/>
        </w:rPr>
        <w:tab/>
      </w:r>
    </w:p>
    <w:tbl>
      <w:tblPr>
        <w:tblW w:w="6840" w:type="dxa"/>
        <w:tblLook w:val="04A0" w:firstRow="1" w:lastRow="0" w:firstColumn="1" w:lastColumn="0" w:noHBand="0" w:noVBand="1"/>
      </w:tblPr>
      <w:tblGrid>
        <w:gridCol w:w="1720"/>
        <w:gridCol w:w="1710"/>
        <w:gridCol w:w="1880"/>
        <w:gridCol w:w="1618"/>
      </w:tblGrid>
      <w:tr w:rsidR="00505BDB" w:rsidRPr="004B0336" w14:paraId="1E36CE15" w14:textId="77777777" w:rsidTr="00505BDB">
        <w:trPr>
          <w:trHeight w:val="1248"/>
        </w:trPr>
        <w:tc>
          <w:tcPr>
            <w:tcW w:w="1720"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14:paraId="10041392"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Discount Rate</w:t>
            </w:r>
          </w:p>
        </w:tc>
        <w:tc>
          <w:tcPr>
            <w:tcW w:w="1660" w:type="dxa"/>
            <w:tcBorders>
              <w:top w:val="single" w:sz="4" w:space="0" w:color="auto"/>
              <w:left w:val="nil"/>
              <w:bottom w:val="single" w:sz="4" w:space="0" w:color="auto"/>
              <w:right w:val="single" w:sz="4" w:space="0" w:color="auto"/>
            </w:tcBorders>
            <w:shd w:val="clear" w:color="000000" w:fill="FFF2CC"/>
            <w:noWrap/>
            <w:vAlign w:val="bottom"/>
            <w:hideMark/>
          </w:tcPr>
          <w:p w14:paraId="076F78E5" w14:textId="77777777" w:rsidR="00505BDB" w:rsidRPr="004B0336" w:rsidRDefault="00505BDB" w:rsidP="00EE1D8B">
            <w:pPr>
              <w:spacing w:after="0"/>
              <w:jc w:val="righ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10%</w:t>
            </w:r>
          </w:p>
        </w:tc>
        <w:tc>
          <w:tcPr>
            <w:tcW w:w="1880" w:type="dxa"/>
            <w:tcBorders>
              <w:top w:val="nil"/>
              <w:left w:val="nil"/>
              <w:bottom w:val="nil"/>
              <w:right w:val="nil"/>
            </w:tcBorders>
            <w:noWrap/>
            <w:vAlign w:val="bottom"/>
            <w:hideMark/>
          </w:tcPr>
          <w:p w14:paraId="5A7DAD26" w14:textId="77777777" w:rsidR="00505BDB" w:rsidRPr="004B0336" w:rsidRDefault="00505BDB" w:rsidP="00EE1D8B">
            <w:pPr>
              <w:spacing w:after="0"/>
              <w:jc w:val="right"/>
              <w:rPr>
                <w:rFonts w:eastAsia="Times New Roman" w:cs="Arial"/>
                <w:b/>
                <w:bCs/>
                <w:color w:val="000000"/>
                <w:kern w:val="0"/>
                <w:lang w:val="en-GB" w:eastAsia="en-IN"/>
                <w14:ligatures w14:val="none"/>
              </w:rPr>
            </w:pPr>
          </w:p>
        </w:tc>
        <w:tc>
          <w:tcPr>
            <w:tcW w:w="1580" w:type="dxa"/>
            <w:tcBorders>
              <w:top w:val="nil"/>
              <w:left w:val="nil"/>
              <w:bottom w:val="nil"/>
              <w:right w:val="nil"/>
            </w:tcBorders>
            <w:noWrap/>
            <w:vAlign w:val="bottom"/>
            <w:hideMark/>
          </w:tcPr>
          <w:p w14:paraId="22688158" w14:textId="77777777" w:rsidR="00505BDB" w:rsidRPr="004B0336" w:rsidRDefault="00505BDB" w:rsidP="00EE1D8B">
            <w:pPr>
              <w:spacing w:after="0"/>
              <w:jc w:val="left"/>
              <w:rPr>
                <w:rFonts w:eastAsia="Times New Roman" w:cs="Arial"/>
                <w:kern w:val="0"/>
                <w:sz w:val="20"/>
                <w:szCs w:val="20"/>
                <w:lang w:val="en-GB" w:eastAsia="en-IN"/>
                <w14:ligatures w14:val="none"/>
              </w:rPr>
            </w:pPr>
          </w:p>
        </w:tc>
      </w:tr>
      <w:tr w:rsidR="00505BDB" w:rsidRPr="004B0336" w14:paraId="438F6785"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FFF2CC"/>
            <w:noWrap/>
            <w:vAlign w:val="bottom"/>
            <w:hideMark/>
          </w:tcPr>
          <w:p w14:paraId="378CCF8D"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Year</w:t>
            </w:r>
          </w:p>
        </w:tc>
        <w:tc>
          <w:tcPr>
            <w:tcW w:w="1660" w:type="dxa"/>
            <w:tcBorders>
              <w:top w:val="nil"/>
              <w:left w:val="nil"/>
              <w:bottom w:val="single" w:sz="4" w:space="0" w:color="auto"/>
              <w:right w:val="single" w:sz="4" w:space="0" w:color="auto"/>
            </w:tcBorders>
            <w:shd w:val="clear" w:color="000000" w:fill="FFF2CC"/>
            <w:noWrap/>
            <w:vAlign w:val="bottom"/>
            <w:hideMark/>
          </w:tcPr>
          <w:p w14:paraId="3003187C"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Formula</w:t>
            </w:r>
          </w:p>
        </w:tc>
        <w:tc>
          <w:tcPr>
            <w:tcW w:w="1880" w:type="dxa"/>
            <w:tcBorders>
              <w:top w:val="nil"/>
              <w:left w:val="nil"/>
              <w:bottom w:val="single" w:sz="4" w:space="0" w:color="auto"/>
              <w:right w:val="single" w:sz="4" w:space="0" w:color="auto"/>
            </w:tcBorders>
            <w:shd w:val="clear" w:color="000000" w:fill="FFF2CC"/>
            <w:noWrap/>
            <w:vAlign w:val="bottom"/>
            <w:hideMark/>
          </w:tcPr>
          <w:p w14:paraId="01CF12BC"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Discount factor</w:t>
            </w:r>
          </w:p>
        </w:tc>
        <w:tc>
          <w:tcPr>
            <w:tcW w:w="1580" w:type="dxa"/>
            <w:tcBorders>
              <w:top w:val="nil"/>
              <w:left w:val="nil"/>
              <w:bottom w:val="single" w:sz="4" w:space="0" w:color="auto"/>
              <w:right w:val="single" w:sz="4" w:space="0" w:color="auto"/>
            </w:tcBorders>
            <w:shd w:val="clear" w:color="000000" w:fill="FFF2CC"/>
            <w:noWrap/>
            <w:vAlign w:val="bottom"/>
            <w:hideMark/>
          </w:tcPr>
          <w:p w14:paraId="000E66EE"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PV</w:t>
            </w:r>
          </w:p>
        </w:tc>
      </w:tr>
      <w:tr w:rsidR="00505BDB" w:rsidRPr="004B0336" w14:paraId="391F313E"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FFF2CC"/>
            <w:noWrap/>
            <w:vAlign w:val="bottom"/>
            <w:hideMark/>
          </w:tcPr>
          <w:p w14:paraId="6F83267C"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w:t>
            </w:r>
          </w:p>
        </w:tc>
        <w:tc>
          <w:tcPr>
            <w:tcW w:w="1660" w:type="dxa"/>
            <w:tcBorders>
              <w:top w:val="nil"/>
              <w:left w:val="nil"/>
              <w:bottom w:val="single" w:sz="4" w:space="0" w:color="auto"/>
              <w:right w:val="single" w:sz="4" w:space="0" w:color="auto"/>
            </w:tcBorders>
            <w:shd w:val="clear" w:color="000000" w:fill="FFF2CC"/>
            <w:noWrap/>
            <w:vAlign w:val="bottom"/>
            <w:hideMark/>
          </w:tcPr>
          <w:p w14:paraId="156855C4" w14:textId="77777777" w:rsidR="00505BDB" w:rsidRPr="004B0336" w:rsidRDefault="00505BDB"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[1/(1+10%)]^1</w:t>
            </w:r>
          </w:p>
        </w:tc>
        <w:tc>
          <w:tcPr>
            <w:tcW w:w="1880" w:type="dxa"/>
            <w:tcBorders>
              <w:top w:val="nil"/>
              <w:left w:val="nil"/>
              <w:bottom w:val="single" w:sz="4" w:space="0" w:color="auto"/>
              <w:right w:val="single" w:sz="4" w:space="0" w:color="auto"/>
            </w:tcBorders>
            <w:shd w:val="clear" w:color="000000" w:fill="FFF2CC"/>
            <w:noWrap/>
            <w:vAlign w:val="bottom"/>
            <w:hideMark/>
          </w:tcPr>
          <w:p w14:paraId="5EAEF746"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0.909090909</w:t>
            </w:r>
          </w:p>
        </w:tc>
        <w:tc>
          <w:tcPr>
            <w:tcW w:w="1580" w:type="dxa"/>
            <w:tcBorders>
              <w:top w:val="nil"/>
              <w:left w:val="nil"/>
              <w:bottom w:val="single" w:sz="4" w:space="0" w:color="auto"/>
              <w:right w:val="single" w:sz="4" w:space="0" w:color="auto"/>
            </w:tcBorders>
            <w:shd w:val="clear" w:color="000000" w:fill="FFF2CC"/>
            <w:noWrap/>
            <w:vAlign w:val="bottom"/>
            <w:hideMark/>
          </w:tcPr>
          <w:p w14:paraId="795125AC"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5.454545455</w:t>
            </w:r>
          </w:p>
        </w:tc>
      </w:tr>
      <w:tr w:rsidR="00505BDB" w:rsidRPr="004B0336" w14:paraId="6A0E205B"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FFF2CC"/>
            <w:noWrap/>
            <w:vAlign w:val="bottom"/>
            <w:hideMark/>
          </w:tcPr>
          <w:p w14:paraId="7CB0F7CE"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w:t>
            </w:r>
          </w:p>
        </w:tc>
        <w:tc>
          <w:tcPr>
            <w:tcW w:w="1660" w:type="dxa"/>
            <w:tcBorders>
              <w:top w:val="nil"/>
              <w:left w:val="nil"/>
              <w:bottom w:val="single" w:sz="4" w:space="0" w:color="auto"/>
              <w:right w:val="single" w:sz="4" w:space="0" w:color="auto"/>
            </w:tcBorders>
            <w:shd w:val="clear" w:color="000000" w:fill="FFF2CC"/>
            <w:noWrap/>
            <w:vAlign w:val="bottom"/>
            <w:hideMark/>
          </w:tcPr>
          <w:p w14:paraId="2C1F8356" w14:textId="77777777" w:rsidR="00505BDB" w:rsidRPr="004B0336" w:rsidRDefault="00505BDB"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[1/(1+10%)]^2</w:t>
            </w:r>
          </w:p>
        </w:tc>
        <w:tc>
          <w:tcPr>
            <w:tcW w:w="1880" w:type="dxa"/>
            <w:tcBorders>
              <w:top w:val="nil"/>
              <w:left w:val="nil"/>
              <w:bottom w:val="single" w:sz="4" w:space="0" w:color="auto"/>
              <w:right w:val="single" w:sz="4" w:space="0" w:color="auto"/>
            </w:tcBorders>
            <w:shd w:val="clear" w:color="000000" w:fill="FFF2CC"/>
            <w:noWrap/>
            <w:vAlign w:val="bottom"/>
            <w:hideMark/>
          </w:tcPr>
          <w:p w14:paraId="4FFE4A7D"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0.826446281</w:t>
            </w:r>
          </w:p>
        </w:tc>
        <w:tc>
          <w:tcPr>
            <w:tcW w:w="1580" w:type="dxa"/>
            <w:tcBorders>
              <w:top w:val="nil"/>
              <w:left w:val="nil"/>
              <w:bottom w:val="single" w:sz="4" w:space="0" w:color="auto"/>
              <w:right w:val="single" w:sz="4" w:space="0" w:color="auto"/>
            </w:tcBorders>
            <w:shd w:val="clear" w:color="000000" w:fill="FFF2CC"/>
            <w:noWrap/>
            <w:vAlign w:val="bottom"/>
            <w:hideMark/>
          </w:tcPr>
          <w:p w14:paraId="697C8BDA"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4.958677686</w:t>
            </w:r>
          </w:p>
        </w:tc>
      </w:tr>
      <w:tr w:rsidR="00505BDB" w:rsidRPr="004B0336" w14:paraId="456ED7CA"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FFF2CC"/>
            <w:noWrap/>
            <w:vAlign w:val="bottom"/>
            <w:hideMark/>
          </w:tcPr>
          <w:p w14:paraId="3AFC2E0F"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3</w:t>
            </w:r>
          </w:p>
        </w:tc>
        <w:tc>
          <w:tcPr>
            <w:tcW w:w="1660" w:type="dxa"/>
            <w:tcBorders>
              <w:top w:val="nil"/>
              <w:left w:val="nil"/>
              <w:bottom w:val="single" w:sz="4" w:space="0" w:color="auto"/>
              <w:right w:val="single" w:sz="4" w:space="0" w:color="auto"/>
            </w:tcBorders>
            <w:shd w:val="clear" w:color="000000" w:fill="FFF2CC"/>
            <w:noWrap/>
            <w:vAlign w:val="bottom"/>
            <w:hideMark/>
          </w:tcPr>
          <w:p w14:paraId="777FB79C" w14:textId="77777777" w:rsidR="00505BDB" w:rsidRPr="004B0336" w:rsidRDefault="00505BDB"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[1/(1+10%)]^3</w:t>
            </w:r>
          </w:p>
        </w:tc>
        <w:tc>
          <w:tcPr>
            <w:tcW w:w="1880" w:type="dxa"/>
            <w:tcBorders>
              <w:top w:val="nil"/>
              <w:left w:val="nil"/>
              <w:bottom w:val="single" w:sz="4" w:space="0" w:color="auto"/>
              <w:right w:val="single" w:sz="4" w:space="0" w:color="auto"/>
            </w:tcBorders>
            <w:shd w:val="clear" w:color="000000" w:fill="FFF2CC"/>
            <w:noWrap/>
            <w:vAlign w:val="bottom"/>
            <w:hideMark/>
          </w:tcPr>
          <w:p w14:paraId="79B3C46B"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0.751314801</w:t>
            </w:r>
          </w:p>
        </w:tc>
        <w:tc>
          <w:tcPr>
            <w:tcW w:w="1580" w:type="dxa"/>
            <w:tcBorders>
              <w:top w:val="nil"/>
              <w:left w:val="nil"/>
              <w:bottom w:val="single" w:sz="4" w:space="0" w:color="auto"/>
              <w:right w:val="single" w:sz="4" w:space="0" w:color="auto"/>
            </w:tcBorders>
            <w:shd w:val="clear" w:color="000000" w:fill="FFF2CC"/>
            <w:noWrap/>
            <w:vAlign w:val="bottom"/>
            <w:hideMark/>
          </w:tcPr>
          <w:p w14:paraId="00833AAE"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4.507888805</w:t>
            </w:r>
          </w:p>
        </w:tc>
      </w:tr>
      <w:tr w:rsidR="00505BDB" w:rsidRPr="004B0336" w14:paraId="178C9C17"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FFF2CC"/>
            <w:noWrap/>
            <w:vAlign w:val="bottom"/>
            <w:hideMark/>
          </w:tcPr>
          <w:p w14:paraId="48592B2A"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4</w:t>
            </w:r>
          </w:p>
        </w:tc>
        <w:tc>
          <w:tcPr>
            <w:tcW w:w="1660" w:type="dxa"/>
            <w:tcBorders>
              <w:top w:val="nil"/>
              <w:left w:val="nil"/>
              <w:bottom w:val="single" w:sz="4" w:space="0" w:color="auto"/>
              <w:right w:val="single" w:sz="4" w:space="0" w:color="auto"/>
            </w:tcBorders>
            <w:shd w:val="clear" w:color="000000" w:fill="FFF2CC"/>
            <w:noWrap/>
            <w:vAlign w:val="bottom"/>
            <w:hideMark/>
          </w:tcPr>
          <w:p w14:paraId="1FD9B3D7" w14:textId="77777777" w:rsidR="00505BDB" w:rsidRPr="004B0336" w:rsidRDefault="00505BDB"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[1/(1+10%)]^4</w:t>
            </w:r>
          </w:p>
        </w:tc>
        <w:tc>
          <w:tcPr>
            <w:tcW w:w="1880" w:type="dxa"/>
            <w:tcBorders>
              <w:top w:val="nil"/>
              <w:left w:val="nil"/>
              <w:bottom w:val="single" w:sz="4" w:space="0" w:color="auto"/>
              <w:right w:val="single" w:sz="4" w:space="0" w:color="auto"/>
            </w:tcBorders>
            <w:shd w:val="clear" w:color="000000" w:fill="FFF2CC"/>
            <w:noWrap/>
            <w:vAlign w:val="bottom"/>
            <w:hideMark/>
          </w:tcPr>
          <w:p w14:paraId="7DD500D0"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0.683013455</w:t>
            </w:r>
          </w:p>
        </w:tc>
        <w:tc>
          <w:tcPr>
            <w:tcW w:w="1580" w:type="dxa"/>
            <w:tcBorders>
              <w:top w:val="nil"/>
              <w:left w:val="nil"/>
              <w:bottom w:val="single" w:sz="4" w:space="0" w:color="auto"/>
              <w:right w:val="single" w:sz="4" w:space="0" w:color="auto"/>
            </w:tcBorders>
            <w:shd w:val="clear" w:color="000000" w:fill="FFF2CC"/>
            <w:noWrap/>
            <w:vAlign w:val="bottom"/>
            <w:hideMark/>
          </w:tcPr>
          <w:p w14:paraId="6F8D373A"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4.098080732</w:t>
            </w:r>
          </w:p>
        </w:tc>
      </w:tr>
      <w:tr w:rsidR="00505BDB" w:rsidRPr="004B0336" w14:paraId="47073D63"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FFF2CC"/>
            <w:noWrap/>
            <w:vAlign w:val="bottom"/>
            <w:hideMark/>
          </w:tcPr>
          <w:p w14:paraId="084CE71D"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w:t>
            </w:r>
          </w:p>
        </w:tc>
        <w:tc>
          <w:tcPr>
            <w:tcW w:w="1660" w:type="dxa"/>
            <w:tcBorders>
              <w:top w:val="nil"/>
              <w:left w:val="nil"/>
              <w:bottom w:val="single" w:sz="4" w:space="0" w:color="auto"/>
              <w:right w:val="single" w:sz="4" w:space="0" w:color="auto"/>
            </w:tcBorders>
            <w:shd w:val="clear" w:color="000000" w:fill="FFF2CC"/>
            <w:noWrap/>
            <w:vAlign w:val="bottom"/>
            <w:hideMark/>
          </w:tcPr>
          <w:p w14:paraId="094B0553" w14:textId="77777777" w:rsidR="00505BDB" w:rsidRPr="004B0336" w:rsidRDefault="00505BDB"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[1/(1+10%)]^5</w:t>
            </w:r>
          </w:p>
        </w:tc>
        <w:tc>
          <w:tcPr>
            <w:tcW w:w="1880" w:type="dxa"/>
            <w:tcBorders>
              <w:top w:val="nil"/>
              <w:left w:val="nil"/>
              <w:bottom w:val="single" w:sz="4" w:space="0" w:color="auto"/>
              <w:right w:val="single" w:sz="4" w:space="0" w:color="auto"/>
            </w:tcBorders>
            <w:shd w:val="clear" w:color="000000" w:fill="FFF2CC"/>
            <w:noWrap/>
            <w:vAlign w:val="bottom"/>
            <w:hideMark/>
          </w:tcPr>
          <w:p w14:paraId="1E180710"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0.620921323</w:t>
            </w:r>
          </w:p>
        </w:tc>
        <w:tc>
          <w:tcPr>
            <w:tcW w:w="1580" w:type="dxa"/>
            <w:tcBorders>
              <w:top w:val="nil"/>
              <w:left w:val="nil"/>
              <w:bottom w:val="single" w:sz="4" w:space="0" w:color="auto"/>
              <w:right w:val="single" w:sz="4" w:space="0" w:color="auto"/>
            </w:tcBorders>
            <w:shd w:val="clear" w:color="000000" w:fill="FFF2CC"/>
            <w:noWrap/>
            <w:vAlign w:val="bottom"/>
            <w:hideMark/>
          </w:tcPr>
          <w:p w14:paraId="1AD3B659"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3.725527938</w:t>
            </w:r>
          </w:p>
        </w:tc>
      </w:tr>
      <w:tr w:rsidR="00505BDB" w:rsidRPr="004B0336" w14:paraId="5F3B8296" w14:textId="77777777" w:rsidTr="00505BDB">
        <w:trPr>
          <w:trHeight w:val="936"/>
        </w:trPr>
        <w:tc>
          <w:tcPr>
            <w:tcW w:w="1720" w:type="dxa"/>
            <w:tcBorders>
              <w:top w:val="nil"/>
              <w:left w:val="single" w:sz="4" w:space="0" w:color="auto"/>
              <w:bottom w:val="single" w:sz="4" w:space="0" w:color="auto"/>
              <w:right w:val="single" w:sz="4" w:space="0" w:color="auto"/>
            </w:tcBorders>
            <w:shd w:val="clear" w:color="000000" w:fill="FFF2CC"/>
            <w:noWrap/>
            <w:vAlign w:val="bottom"/>
            <w:hideMark/>
          </w:tcPr>
          <w:p w14:paraId="7BCADC9F"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w:t>
            </w:r>
          </w:p>
        </w:tc>
        <w:tc>
          <w:tcPr>
            <w:tcW w:w="1660" w:type="dxa"/>
            <w:tcBorders>
              <w:top w:val="nil"/>
              <w:left w:val="nil"/>
              <w:bottom w:val="single" w:sz="4" w:space="0" w:color="auto"/>
              <w:right w:val="single" w:sz="4" w:space="0" w:color="auto"/>
            </w:tcBorders>
            <w:shd w:val="clear" w:color="000000" w:fill="FFF2CC"/>
            <w:noWrap/>
            <w:vAlign w:val="bottom"/>
            <w:hideMark/>
          </w:tcPr>
          <w:p w14:paraId="307EC1EA"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w:t>
            </w:r>
          </w:p>
        </w:tc>
        <w:tc>
          <w:tcPr>
            <w:tcW w:w="1880" w:type="dxa"/>
            <w:tcBorders>
              <w:top w:val="nil"/>
              <w:left w:val="nil"/>
              <w:bottom w:val="single" w:sz="4" w:space="0" w:color="auto"/>
              <w:right w:val="single" w:sz="4" w:space="0" w:color="auto"/>
            </w:tcBorders>
            <w:shd w:val="clear" w:color="000000" w:fill="FFF2CC"/>
            <w:noWrap/>
            <w:vAlign w:val="bottom"/>
            <w:hideMark/>
          </w:tcPr>
          <w:p w14:paraId="09E1F51E"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w:t>
            </w:r>
          </w:p>
        </w:tc>
        <w:tc>
          <w:tcPr>
            <w:tcW w:w="1580" w:type="dxa"/>
            <w:tcBorders>
              <w:top w:val="nil"/>
              <w:left w:val="nil"/>
              <w:bottom w:val="single" w:sz="4" w:space="0" w:color="auto"/>
              <w:right w:val="single" w:sz="4" w:space="0" w:color="auto"/>
            </w:tcBorders>
            <w:shd w:val="clear" w:color="000000" w:fill="FFF2CC"/>
            <w:noWrap/>
            <w:vAlign w:val="bottom"/>
            <w:hideMark/>
          </w:tcPr>
          <w:p w14:paraId="3C8541D6" w14:textId="77777777" w:rsidR="00505BDB" w:rsidRPr="004B0336" w:rsidRDefault="00505BDB" w:rsidP="00EE1D8B">
            <w:pPr>
              <w:spacing w:after="0"/>
              <w:jc w:val="righ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22.74472062</w:t>
            </w:r>
          </w:p>
        </w:tc>
      </w:tr>
      <w:tr w:rsidR="00505BDB" w:rsidRPr="004B0336" w14:paraId="4A17EA6E"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FFF2CC"/>
            <w:noWrap/>
            <w:vAlign w:val="bottom"/>
            <w:hideMark/>
          </w:tcPr>
          <w:p w14:paraId="090D9827"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NPV</w:t>
            </w:r>
          </w:p>
        </w:tc>
        <w:tc>
          <w:tcPr>
            <w:tcW w:w="1660" w:type="dxa"/>
            <w:tcBorders>
              <w:top w:val="nil"/>
              <w:left w:val="nil"/>
              <w:bottom w:val="single" w:sz="4" w:space="0" w:color="auto"/>
              <w:right w:val="single" w:sz="4" w:space="0" w:color="auto"/>
            </w:tcBorders>
            <w:shd w:val="clear" w:color="000000" w:fill="FFF2CC"/>
            <w:noWrap/>
            <w:vAlign w:val="bottom"/>
            <w:hideMark/>
          </w:tcPr>
          <w:p w14:paraId="6992B39B" w14:textId="77777777" w:rsidR="00505BDB" w:rsidRPr="004B0336" w:rsidRDefault="00505BDB" w:rsidP="00EE1D8B">
            <w:pPr>
              <w:spacing w:after="0"/>
              <w:jc w:val="righ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-7.255279384</w:t>
            </w:r>
          </w:p>
        </w:tc>
        <w:tc>
          <w:tcPr>
            <w:tcW w:w="1880" w:type="dxa"/>
            <w:tcBorders>
              <w:top w:val="nil"/>
              <w:left w:val="nil"/>
              <w:bottom w:val="single" w:sz="4" w:space="0" w:color="auto"/>
              <w:right w:val="single" w:sz="4" w:space="0" w:color="auto"/>
            </w:tcBorders>
            <w:shd w:val="clear" w:color="000000" w:fill="FFF2CC"/>
            <w:noWrap/>
            <w:vAlign w:val="bottom"/>
            <w:hideMark/>
          </w:tcPr>
          <w:p w14:paraId="3C013E4A"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w:t>
            </w:r>
          </w:p>
        </w:tc>
        <w:tc>
          <w:tcPr>
            <w:tcW w:w="1580" w:type="dxa"/>
            <w:tcBorders>
              <w:top w:val="nil"/>
              <w:left w:val="nil"/>
              <w:bottom w:val="single" w:sz="4" w:space="0" w:color="auto"/>
              <w:right w:val="single" w:sz="4" w:space="0" w:color="auto"/>
            </w:tcBorders>
            <w:shd w:val="clear" w:color="000000" w:fill="FFF2CC"/>
            <w:noWrap/>
            <w:vAlign w:val="bottom"/>
            <w:hideMark/>
          </w:tcPr>
          <w:p w14:paraId="16BF75D3"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w:t>
            </w:r>
          </w:p>
        </w:tc>
      </w:tr>
      <w:tr w:rsidR="00505BDB" w:rsidRPr="004B0336" w14:paraId="4A1FEE9C"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FFF2CC"/>
            <w:noWrap/>
            <w:vAlign w:val="bottom"/>
            <w:hideMark/>
          </w:tcPr>
          <w:p w14:paraId="12896271"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PI</w:t>
            </w:r>
          </w:p>
        </w:tc>
        <w:tc>
          <w:tcPr>
            <w:tcW w:w="1660" w:type="dxa"/>
            <w:tcBorders>
              <w:top w:val="nil"/>
              <w:left w:val="nil"/>
              <w:bottom w:val="single" w:sz="4" w:space="0" w:color="auto"/>
              <w:right w:val="single" w:sz="4" w:space="0" w:color="auto"/>
            </w:tcBorders>
            <w:shd w:val="clear" w:color="000000" w:fill="FFF2CC"/>
            <w:noWrap/>
            <w:vAlign w:val="bottom"/>
            <w:hideMark/>
          </w:tcPr>
          <w:p w14:paraId="3B9252C8"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0.758157354</w:t>
            </w:r>
          </w:p>
        </w:tc>
        <w:tc>
          <w:tcPr>
            <w:tcW w:w="1880" w:type="dxa"/>
            <w:tcBorders>
              <w:top w:val="nil"/>
              <w:left w:val="nil"/>
              <w:bottom w:val="nil"/>
              <w:right w:val="nil"/>
            </w:tcBorders>
            <w:noWrap/>
            <w:vAlign w:val="bottom"/>
            <w:hideMark/>
          </w:tcPr>
          <w:p w14:paraId="777E924D" w14:textId="77777777" w:rsidR="00505BDB" w:rsidRPr="004B0336" w:rsidRDefault="00505BDB" w:rsidP="00EE1D8B">
            <w:pPr>
              <w:spacing w:after="0"/>
              <w:jc w:val="right"/>
              <w:rPr>
                <w:rFonts w:eastAsia="Times New Roman" w:cs="Arial"/>
                <w:color w:val="000000"/>
                <w:kern w:val="0"/>
                <w:lang w:val="en-GB" w:eastAsia="en-IN"/>
                <w14:ligatures w14:val="none"/>
              </w:rPr>
            </w:pPr>
          </w:p>
        </w:tc>
        <w:tc>
          <w:tcPr>
            <w:tcW w:w="1580" w:type="dxa"/>
            <w:tcBorders>
              <w:top w:val="nil"/>
              <w:left w:val="nil"/>
              <w:bottom w:val="nil"/>
              <w:right w:val="nil"/>
            </w:tcBorders>
            <w:noWrap/>
            <w:vAlign w:val="bottom"/>
            <w:hideMark/>
          </w:tcPr>
          <w:p w14:paraId="4DBF9765" w14:textId="77777777" w:rsidR="00505BDB" w:rsidRPr="004B0336" w:rsidRDefault="00505BDB" w:rsidP="00EE1D8B">
            <w:pPr>
              <w:spacing w:after="0"/>
              <w:jc w:val="left"/>
              <w:rPr>
                <w:rFonts w:eastAsia="Times New Roman" w:cs="Arial"/>
                <w:kern w:val="0"/>
                <w:sz w:val="20"/>
                <w:szCs w:val="20"/>
                <w:lang w:val="en-GB" w:eastAsia="en-IN"/>
                <w14:ligatures w14:val="none"/>
              </w:rPr>
            </w:pPr>
          </w:p>
        </w:tc>
      </w:tr>
    </w:tbl>
    <w:p w14:paraId="3621887E" w14:textId="77777777" w:rsidR="00505BDB" w:rsidRPr="004B0336" w:rsidRDefault="00505BDB" w:rsidP="00EE1D8B">
      <w:pPr>
        <w:rPr>
          <w:rFonts w:cs="Arial"/>
          <w:b/>
          <w:bCs/>
          <w:i/>
          <w:iCs/>
          <w:lang w:val="en-GB"/>
        </w:rPr>
      </w:pPr>
    </w:p>
    <w:p w14:paraId="6D21700E" w14:textId="77777777" w:rsidR="00505BDB" w:rsidRPr="004B0336" w:rsidRDefault="00505BDB" w:rsidP="00EE1D8B">
      <w:pPr>
        <w:rPr>
          <w:rFonts w:cs="Arial"/>
          <w:b/>
          <w:bCs/>
          <w:i/>
          <w:iCs/>
          <w:lang w:val="en-GB"/>
        </w:rPr>
      </w:pPr>
      <w:r w:rsidRPr="004B0336">
        <w:rPr>
          <w:rFonts w:cs="Arial"/>
          <w:b/>
          <w:bCs/>
          <w:i/>
          <w:iCs/>
          <w:lang w:val="en-GB"/>
        </w:rPr>
        <w:t>IRR</w:t>
      </w:r>
    </w:p>
    <w:tbl>
      <w:tblPr>
        <w:tblW w:w="6570" w:type="dxa"/>
        <w:tblLook w:val="04A0" w:firstRow="1" w:lastRow="0" w:firstColumn="1" w:lastColumn="0" w:noHBand="0" w:noVBand="1"/>
      </w:tblPr>
      <w:tblGrid>
        <w:gridCol w:w="1720"/>
        <w:gridCol w:w="1576"/>
        <w:gridCol w:w="1880"/>
        <w:gridCol w:w="1580"/>
      </w:tblGrid>
      <w:tr w:rsidR="00505BDB" w:rsidRPr="004B0336" w14:paraId="6AE8DDC7" w14:textId="77777777" w:rsidTr="00505BDB">
        <w:trPr>
          <w:trHeight w:val="1248"/>
        </w:trPr>
        <w:tc>
          <w:tcPr>
            <w:tcW w:w="1720"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14:paraId="5C108BD3"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Discount Rate</w:t>
            </w:r>
          </w:p>
        </w:tc>
        <w:tc>
          <w:tcPr>
            <w:tcW w:w="1390" w:type="dxa"/>
            <w:tcBorders>
              <w:top w:val="single" w:sz="4" w:space="0" w:color="auto"/>
              <w:left w:val="nil"/>
              <w:bottom w:val="single" w:sz="4" w:space="0" w:color="auto"/>
              <w:right w:val="single" w:sz="4" w:space="0" w:color="auto"/>
            </w:tcBorders>
            <w:shd w:val="clear" w:color="000000" w:fill="FFF2CC"/>
            <w:noWrap/>
            <w:vAlign w:val="bottom"/>
            <w:hideMark/>
          </w:tcPr>
          <w:p w14:paraId="01D1056F" w14:textId="77777777" w:rsidR="00505BDB" w:rsidRPr="004B0336" w:rsidRDefault="00505BDB" w:rsidP="00EE1D8B">
            <w:pPr>
              <w:spacing w:after="0"/>
              <w:jc w:val="righ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1%</w:t>
            </w:r>
          </w:p>
        </w:tc>
        <w:tc>
          <w:tcPr>
            <w:tcW w:w="1880" w:type="dxa"/>
            <w:tcBorders>
              <w:top w:val="nil"/>
              <w:left w:val="nil"/>
              <w:bottom w:val="nil"/>
              <w:right w:val="nil"/>
            </w:tcBorders>
            <w:noWrap/>
            <w:vAlign w:val="bottom"/>
            <w:hideMark/>
          </w:tcPr>
          <w:p w14:paraId="4ACA1664" w14:textId="77777777" w:rsidR="00505BDB" w:rsidRPr="004B0336" w:rsidRDefault="00505BDB" w:rsidP="00EE1D8B">
            <w:pPr>
              <w:spacing w:after="0"/>
              <w:jc w:val="right"/>
              <w:rPr>
                <w:rFonts w:eastAsia="Times New Roman" w:cs="Arial"/>
                <w:b/>
                <w:bCs/>
                <w:color w:val="000000"/>
                <w:kern w:val="0"/>
                <w:lang w:val="en-GB" w:eastAsia="en-IN"/>
                <w14:ligatures w14:val="none"/>
              </w:rPr>
            </w:pPr>
          </w:p>
        </w:tc>
        <w:tc>
          <w:tcPr>
            <w:tcW w:w="1580" w:type="dxa"/>
            <w:tcBorders>
              <w:top w:val="nil"/>
              <w:left w:val="nil"/>
              <w:bottom w:val="nil"/>
              <w:right w:val="nil"/>
            </w:tcBorders>
            <w:noWrap/>
            <w:vAlign w:val="bottom"/>
            <w:hideMark/>
          </w:tcPr>
          <w:p w14:paraId="45C9D478" w14:textId="77777777" w:rsidR="00505BDB" w:rsidRPr="004B0336" w:rsidRDefault="00505BDB" w:rsidP="00EE1D8B">
            <w:pPr>
              <w:spacing w:after="0"/>
              <w:jc w:val="left"/>
              <w:rPr>
                <w:rFonts w:eastAsia="Times New Roman" w:cs="Arial"/>
                <w:kern w:val="0"/>
                <w:sz w:val="20"/>
                <w:szCs w:val="20"/>
                <w:lang w:val="en-GB" w:eastAsia="en-IN"/>
                <w14:ligatures w14:val="none"/>
              </w:rPr>
            </w:pPr>
          </w:p>
        </w:tc>
      </w:tr>
      <w:tr w:rsidR="00505BDB" w:rsidRPr="004B0336" w14:paraId="39AA65A4"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FFF2CC"/>
            <w:noWrap/>
            <w:vAlign w:val="bottom"/>
            <w:hideMark/>
          </w:tcPr>
          <w:p w14:paraId="02910180"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Year</w:t>
            </w:r>
          </w:p>
        </w:tc>
        <w:tc>
          <w:tcPr>
            <w:tcW w:w="1390" w:type="dxa"/>
            <w:tcBorders>
              <w:top w:val="nil"/>
              <w:left w:val="nil"/>
              <w:bottom w:val="single" w:sz="4" w:space="0" w:color="auto"/>
              <w:right w:val="single" w:sz="4" w:space="0" w:color="auto"/>
            </w:tcBorders>
            <w:shd w:val="clear" w:color="000000" w:fill="FFF2CC"/>
            <w:noWrap/>
            <w:vAlign w:val="bottom"/>
            <w:hideMark/>
          </w:tcPr>
          <w:p w14:paraId="0FF335B0"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Formula</w:t>
            </w:r>
          </w:p>
        </w:tc>
        <w:tc>
          <w:tcPr>
            <w:tcW w:w="1880" w:type="dxa"/>
            <w:tcBorders>
              <w:top w:val="single" w:sz="4" w:space="0" w:color="auto"/>
              <w:left w:val="nil"/>
              <w:bottom w:val="single" w:sz="4" w:space="0" w:color="auto"/>
              <w:right w:val="single" w:sz="4" w:space="0" w:color="auto"/>
            </w:tcBorders>
            <w:shd w:val="clear" w:color="000000" w:fill="FFF2CC"/>
            <w:noWrap/>
            <w:vAlign w:val="bottom"/>
            <w:hideMark/>
          </w:tcPr>
          <w:p w14:paraId="005F5E89"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Discount factor</w:t>
            </w:r>
          </w:p>
        </w:tc>
        <w:tc>
          <w:tcPr>
            <w:tcW w:w="1580" w:type="dxa"/>
            <w:tcBorders>
              <w:top w:val="single" w:sz="4" w:space="0" w:color="auto"/>
              <w:left w:val="nil"/>
              <w:bottom w:val="single" w:sz="4" w:space="0" w:color="auto"/>
              <w:right w:val="single" w:sz="4" w:space="0" w:color="auto"/>
            </w:tcBorders>
            <w:shd w:val="clear" w:color="000000" w:fill="FFF2CC"/>
            <w:noWrap/>
            <w:vAlign w:val="bottom"/>
            <w:hideMark/>
          </w:tcPr>
          <w:p w14:paraId="65BA5DB9"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PV</w:t>
            </w:r>
          </w:p>
        </w:tc>
      </w:tr>
      <w:tr w:rsidR="00505BDB" w:rsidRPr="004B0336" w14:paraId="2396F6FD"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FFF2CC"/>
            <w:noWrap/>
            <w:vAlign w:val="bottom"/>
            <w:hideMark/>
          </w:tcPr>
          <w:p w14:paraId="590A07DD"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w:t>
            </w:r>
          </w:p>
        </w:tc>
        <w:tc>
          <w:tcPr>
            <w:tcW w:w="1390" w:type="dxa"/>
            <w:tcBorders>
              <w:top w:val="nil"/>
              <w:left w:val="nil"/>
              <w:bottom w:val="single" w:sz="4" w:space="0" w:color="auto"/>
              <w:right w:val="single" w:sz="4" w:space="0" w:color="auto"/>
            </w:tcBorders>
            <w:shd w:val="clear" w:color="000000" w:fill="FFF2CC"/>
            <w:noWrap/>
            <w:vAlign w:val="bottom"/>
            <w:hideMark/>
          </w:tcPr>
          <w:p w14:paraId="70DC8778" w14:textId="77777777" w:rsidR="00505BDB" w:rsidRPr="004B0336" w:rsidRDefault="00505BDB"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[1/(1+1%)]^1</w:t>
            </w:r>
          </w:p>
        </w:tc>
        <w:tc>
          <w:tcPr>
            <w:tcW w:w="1880" w:type="dxa"/>
            <w:tcBorders>
              <w:top w:val="nil"/>
              <w:left w:val="nil"/>
              <w:bottom w:val="single" w:sz="4" w:space="0" w:color="auto"/>
              <w:right w:val="single" w:sz="4" w:space="0" w:color="auto"/>
            </w:tcBorders>
            <w:shd w:val="clear" w:color="000000" w:fill="FFF2CC"/>
            <w:noWrap/>
            <w:vAlign w:val="bottom"/>
            <w:hideMark/>
          </w:tcPr>
          <w:p w14:paraId="5745ECCB"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w:t>
            </w:r>
          </w:p>
        </w:tc>
        <w:tc>
          <w:tcPr>
            <w:tcW w:w="1580" w:type="dxa"/>
            <w:tcBorders>
              <w:top w:val="nil"/>
              <w:left w:val="nil"/>
              <w:bottom w:val="single" w:sz="4" w:space="0" w:color="auto"/>
              <w:right w:val="single" w:sz="4" w:space="0" w:color="auto"/>
            </w:tcBorders>
            <w:shd w:val="clear" w:color="000000" w:fill="FFF2CC"/>
            <w:noWrap/>
            <w:vAlign w:val="bottom"/>
            <w:hideMark/>
          </w:tcPr>
          <w:p w14:paraId="309A1EA9"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6</w:t>
            </w:r>
          </w:p>
        </w:tc>
      </w:tr>
      <w:tr w:rsidR="00505BDB" w:rsidRPr="004B0336" w14:paraId="728B2BB1"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FFF2CC"/>
            <w:noWrap/>
            <w:vAlign w:val="bottom"/>
            <w:hideMark/>
          </w:tcPr>
          <w:p w14:paraId="718E0739"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w:t>
            </w:r>
          </w:p>
        </w:tc>
        <w:tc>
          <w:tcPr>
            <w:tcW w:w="1390" w:type="dxa"/>
            <w:tcBorders>
              <w:top w:val="nil"/>
              <w:left w:val="nil"/>
              <w:bottom w:val="single" w:sz="4" w:space="0" w:color="auto"/>
              <w:right w:val="single" w:sz="4" w:space="0" w:color="auto"/>
            </w:tcBorders>
            <w:shd w:val="clear" w:color="000000" w:fill="FFF2CC"/>
            <w:noWrap/>
            <w:vAlign w:val="bottom"/>
            <w:hideMark/>
          </w:tcPr>
          <w:p w14:paraId="70B80233" w14:textId="77777777" w:rsidR="00505BDB" w:rsidRPr="004B0336" w:rsidRDefault="00505BDB"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[1/(1+1%)]^2</w:t>
            </w:r>
          </w:p>
        </w:tc>
        <w:tc>
          <w:tcPr>
            <w:tcW w:w="1880" w:type="dxa"/>
            <w:tcBorders>
              <w:top w:val="nil"/>
              <w:left w:val="nil"/>
              <w:bottom w:val="single" w:sz="4" w:space="0" w:color="auto"/>
              <w:right w:val="single" w:sz="4" w:space="0" w:color="auto"/>
            </w:tcBorders>
            <w:shd w:val="clear" w:color="000000" w:fill="FFF2CC"/>
            <w:noWrap/>
            <w:vAlign w:val="bottom"/>
            <w:hideMark/>
          </w:tcPr>
          <w:p w14:paraId="5E395F54"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w:t>
            </w:r>
          </w:p>
        </w:tc>
        <w:tc>
          <w:tcPr>
            <w:tcW w:w="1580" w:type="dxa"/>
            <w:tcBorders>
              <w:top w:val="nil"/>
              <w:left w:val="nil"/>
              <w:bottom w:val="single" w:sz="4" w:space="0" w:color="auto"/>
              <w:right w:val="single" w:sz="4" w:space="0" w:color="auto"/>
            </w:tcBorders>
            <w:shd w:val="clear" w:color="000000" w:fill="FFF2CC"/>
            <w:noWrap/>
            <w:vAlign w:val="bottom"/>
            <w:hideMark/>
          </w:tcPr>
          <w:p w14:paraId="5A0AFCA5"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6</w:t>
            </w:r>
          </w:p>
        </w:tc>
      </w:tr>
      <w:tr w:rsidR="00505BDB" w:rsidRPr="004B0336" w14:paraId="703F1F7C"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FFF2CC"/>
            <w:noWrap/>
            <w:vAlign w:val="bottom"/>
            <w:hideMark/>
          </w:tcPr>
          <w:p w14:paraId="601818C3"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3</w:t>
            </w:r>
          </w:p>
        </w:tc>
        <w:tc>
          <w:tcPr>
            <w:tcW w:w="1390" w:type="dxa"/>
            <w:tcBorders>
              <w:top w:val="nil"/>
              <w:left w:val="nil"/>
              <w:bottom w:val="single" w:sz="4" w:space="0" w:color="auto"/>
              <w:right w:val="single" w:sz="4" w:space="0" w:color="auto"/>
            </w:tcBorders>
            <w:shd w:val="clear" w:color="000000" w:fill="FFF2CC"/>
            <w:noWrap/>
            <w:vAlign w:val="bottom"/>
            <w:hideMark/>
          </w:tcPr>
          <w:p w14:paraId="177AED99" w14:textId="77777777" w:rsidR="00505BDB" w:rsidRPr="004B0336" w:rsidRDefault="00505BDB"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[1/(1+1%)]^3</w:t>
            </w:r>
          </w:p>
        </w:tc>
        <w:tc>
          <w:tcPr>
            <w:tcW w:w="1880" w:type="dxa"/>
            <w:tcBorders>
              <w:top w:val="nil"/>
              <w:left w:val="nil"/>
              <w:bottom w:val="single" w:sz="4" w:space="0" w:color="auto"/>
              <w:right w:val="single" w:sz="4" w:space="0" w:color="auto"/>
            </w:tcBorders>
            <w:shd w:val="clear" w:color="000000" w:fill="FFF2CC"/>
            <w:noWrap/>
            <w:vAlign w:val="bottom"/>
            <w:hideMark/>
          </w:tcPr>
          <w:p w14:paraId="61F9CA9D"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w:t>
            </w:r>
          </w:p>
        </w:tc>
        <w:tc>
          <w:tcPr>
            <w:tcW w:w="1580" w:type="dxa"/>
            <w:tcBorders>
              <w:top w:val="nil"/>
              <w:left w:val="nil"/>
              <w:bottom w:val="single" w:sz="4" w:space="0" w:color="auto"/>
              <w:right w:val="single" w:sz="4" w:space="0" w:color="auto"/>
            </w:tcBorders>
            <w:shd w:val="clear" w:color="000000" w:fill="FFF2CC"/>
            <w:noWrap/>
            <w:vAlign w:val="bottom"/>
            <w:hideMark/>
          </w:tcPr>
          <w:p w14:paraId="46DEE68A"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6</w:t>
            </w:r>
          </w:p>
        </w:tc>
      </w:tr>
      <w:tr w:rsidR="00505BDB" w:rsidRPr="004B0336" w14:paraId="322BB54F"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FFF2CC"/>
            <w:noWrap/>
            <w:vAlign w:val="bottom"/>
            <w:hideMark/>
          </w:tcPr>
          <w:p w14:paraId="40A7D2B4"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4</w:t>
            </w:r>
          </w:p>
        </w:tc>
        <w:tc>
          <w:tcPr>
            <w:tcW w:w="1390" w:type="dxa"/>
            <w:tcBorders>
              <w:top w:val="nil"/>
              <w:left w:val="nil"/>
              <w:bottom w:val="single" w:sz="4" w:space="0" w:color="auto"/>
              <w:right w:val="single" w:sz="4" w:space="0" w:color="auto"/>
            </w:tcBorders>
            <w:shd w:val="clear" w:color="000000" w:fill="FFF2CC"/>
            <w:noWrap/>
            <w:vAlign w:val="bottom"/>
            <w:hideMark/>
          </w:tcPr>
          <w:p w14:paraId="014B2A92" w14:textId="77777777" w:rsidR="00505BDB" w:rsidRPr="004B0336" w:rsidRDefault="00505BDB"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[1/(1+1%)]^4</w:t>
            </w:r>
          </w:p>
        </w:tc>
        <w:tc>
          <w:tcPr>
            <w:tcW w:w="1880" w:type="dxa"/>
            <w:tcBorders>
              <w:top w:val="nil"/>
              <w:left w:val="nil"/>
              <w:bottom w:val="single" w:sz="4" w:space="0" w:color="auto"/>
              <w:right w:val="single" w:sz="4" w:space="0" w:color="auto"/>
            </w:tcBorders>
            <w:shd w:val="clear" w:color="000000" w:fill="FFF2CC"/>
            <w:noWrap/>
            <w:vAlign w:val="bottom"/>
            <w:hideMark/>
          </w:tcPr>
          <w:p w14:paraId="3BACDB16"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w:t>
            </w:r>
          </w:p>
        </w:tc>
        <w:tc>
          <w:tcPr>
            <w:tcW w:w="1580" w:type="dxa"/>
            <w:tcBorders>
              <w:top w:val="nil"/>
              <w:left w:val="nil"/>
              <w:bottom w:val="single" w:sz="4" w:space="0" w:color="auto"/>
              <w:right w:val="single" w:sz="4" w:space="0" w:color="auto"/>
            </w:tcBorders>
            <w:shd w:val="clear" w:color="000000" w:fill="FFF2CC"/>
            <w:noWrap/>
            <w:vAlign w:val="bottom"/>
            <w:hideMark/>
          </w:tcPr>
          <w:p w14:paraId="715DAFBC"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6</w:t>
            </w:r>
          </w:p>
        </w:tc>
      </w:tr>
      <w:tr w:rsidR="00505BDB" w:rsidRPr="004B0336" w14:paraId="29CB8A9A"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FFF2CC"/>
            <w:noWrap/>
            <w:vAlign w:val="bottom"/>
            <w:hideMark/>
          </w:tcPr>
          <w:p w14:paraId="51D774D6"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w:t>
            </w:r>
          </w:p>
        </w:tc>
        <w:tc>
          <w:tcPr>
            <w:tcW w:w="1390" w:type="dxa"/>
            <w:tcBorders>
              <w:top w:val="nil"/>
              <w:left w:val="nil"/>
              <w:bottom w:val="single" w:sz="4" w:space="0" w:color="auto"/>
              <w:right w:val="single" w:sz="4" w:space="0" w:color="auto"/>
            </w:tcBorders>
            <w:shd w:val="clear" w:color="000000" w:fill="FFF2CC"/>
            <w:noWrap/>
            <w:vAlign w:val="bottom"/>
            <w:hideMark/>
          </w:tcPr>
          <w:p w14:paraId="51AA071D" w14:textId="77777777" w:rsidR="00505BDB" w:rsidRPr="004B0336" w:rsidRDefault="00505BDB"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[1/(1+1%)]^5</w:t>
            </w:r>
          </w:p>
        </w:tc>
        <w:tc>
          <w:tcPr>
            <w:tcW w:w="1880" w:type="dxa"/>
            <w:tcBorders>
              <w:top w:val="nil"/>
              <w:left w:val="nil"/>
              <w:bottom w:val="single" w:sz="4" w:space="0" w:color="auto"/>
              <w:right w:val="single" w:sz="4" w:space="0" w:color="auto"/>
            </w:tcBorders>
            <w:shd w:val="clear" w:color="000000" w:fill="FFF2CC"/>
            <w:noWrap/>
            <w:vAlign w:val="bottom"/>
            <w:hideMark/>
          </w:tcPr>
          <w:p w14:paraId="02DFC76B"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w:t>
            </w:r>
          </w:p>
        </w:tc>
        <w:tc>
          <w:tcPr>
            <w:tcW w:w="1580" w:type="dxa"/>
            <w:tcBorders>
              <w:top w:val="nil"/>
              <w:left w:val="nil"/>
              <w:bottom w:val="single" w:sz="4" w:space="0" w:color="auto"/>
              <w:right w:val="single" w:sz="4" w:space="0" w:color="auto"/>
            </w:tcBorders>
            <w:shd w:val="clear" w:color="000000" w:fill="FFF2CC"/>
            <w:noWrap/>
            <w:vAlign w:val="bottom"/>
            <w:hideMark/>
          </w:tcPr>
          <w:p w14:paraId="5DF20C37"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6</w:t>
            </w:r>
          </w:p>
        </w:tc>
      </w:tr>
      <w:tr w:rsidR="00505BDB" w:rsidRPr="004B0336" w14:paraId="7089EC78" w14:textId="77777777" w:rsidTr="00505BDB">
        <w:trPr>
          <w:trHeight w:val="936"/>
        </w:trPr>
        <w:tc>
          <w:tcPr>
            <w:tcW w:w="1720" w:type="dxa"/>
            <w:tcBorders>
              <w:top w:val="nil"/>
              <w:left w:val="single" w:sz="4" w:space="0" w:color="auto"/>
              <w:bottom w:val="single" w:sz="4" w:space="0" w:color="auto"/>
              <w:right w:val="single" w:sz="4" w:space="0" w:color="auto"/>
            </w:tcBorders>
            <w:shd w:val="clear" w:color="000000" w:fill="FFF2CC"/>
            <w:noWrap/>
            <w:vAlign w:val="bottom"/>
            <w:hideMark/>
          </w:tcPr>
          <w:p w14:paraId="009100A7" w14:textId="77777777" w:rsidR="00505BDB" w:rsidRPr="004B0336" w:rsidRDefault="00505BDB"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 </w:t>
            </w:r>
          </w:p>
        </w:tc>
        <w:tc>
          <w:tcPr>
            <w:tcW w:w="1390" w:type="dxa"/>
            <w:tcBorders>
              <w:top w:val="nil"/>
              <w:left w:val="nil"/>
              <w:bottom w:val="single" w:sz="4" w:space="0" w:color="auto"/>
              <w:right w:val="single" w:sz="4" w:space="0" w:color="auto"/>
            </w:tcBorders>
            <w:shd w:val="clear" w:color="000000" w:fill="FFF2CC"/>
            <w:noWrap/>
            <w:vAlign w:val="bottom"/>
            <w:hideMark/>
          </w:tcPr>
          <w:p w14:paraId="55D2BDD0" w14:textId="77777777" w:rsidR="00505BDB" w:rsidRPr="004B0336" w:rsidRDefault="00505BDB"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 </w:t>
            </w:r>
          </w:p>
        </w:tc>
        <w:tc>
          <w:tcPr>
            <w:tcW w:w="1880" w:type="dxa"/>
            <w:tcBorders>
              <w:top w:val="nil"/>
              <w:left w:val="nil"/>
              <w:bottom w:val="single" w:sz="4" w:space="0" w:color="auto"/>
              <w:right w:val="single" w:sz="4" w:space="0" w:color="auto"/>
            </w:tcBorders>
            <w:shd w:val="clear" w:color="000000" w:fill="FFF2CC"/>
            <w:noWrap/>
            <w:vAlign w:val="bottom"/>
            <w:hideMark/>
          </w:tcPr>
          <w:p w14:paraId="10C8C8C8" w14:textId="77777777" w:rsidR="00505BDB" w:rsidRPr="004B0336" w:rsidRDefault="00505BDB"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 </w:t>
            </w:r>
          </w:p>
        </w:tc>
        <w:tc>
          <w:tcPr>
            <w:tcW w:w="1580" w:type="dxa"/>
            <w:tcBorders>
              <w:top w:val="nil"/>
              <w:left w:val="nil"/>
              <w:bottom w:val="single" w:sz="4" w:space="0" w:color="auto"/>
              <w:right w:val="single" w:sz="4" w:space="0" w:color="auto"/>
            </w:tcBorders>
            <w:shd w:val="clear" w:color="000000" w:fill="FFF2CC"/>
            <w:noWrap/>
            <w:vAlign w:val="bottom"/>
            <w:hideMark/>
          </w:tcPr>
          <w:p w14:paraId="01CB5509" w14:textId="77777777" w:rsidR="00505BDB" w:rsidRPr="004B0336" w:rsidRDefault="00505BDB" w:rsidP="00EE1D8B">
            <w:pPr>
              <w:spacing w:after="0"/>
              <w:jc w:val="righ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30</w:t>
            </w:r>
          </w:p>
        </w:tc>
      </w:tr>
      <w:tr w:rsidR="00505BDB" w:rsidRPr="004B0336" w14:paraId="027779B7"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FFF2CC"/>
            <w:noWrap/>
            <w:vAlign w:val="bottom"/>
            <w:hideMark/>
          </w:tcPr>
          <w:p w14:paraId="7641AC42"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NPV</w:t>
            </w:r>
          </w:p>
        </w:tc>
        <w:tc>
          <w:tcPr>
            <w:tcW w:w="1390" w:type="dxa"/>
            <w:tcBorders>
              <w:top w:val="nil"/>
              <w:left w:val="nil"/>
              <w:bottom w:val="single" w:sz="4" w:space="0" w:color="auto"/>
              <w:right w:val="single" w:sz="4" w:space="0" w:color="auto"/>
            </w:tcBorders>
            <w:shd w:val="clear" w:color="000000" w:fill="FFF2CC"/>
            <w:noWrap/>
            <w:vAlign w:val="bottom"/>
            <w:hideMark/>
          </w:tcPr>
          <w:p w14:paraId="507A49B3" w14:textId="77777777" w:rsidR="00505BDB" w:rsidRPr="004B0336" w:rsidRDefault="00505BDB" w:rsidP="00EE1D8B">
            <w:pPr>
              <w:spacing w:after="0"/>
              <w:jc w:val="righ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0</w:t>
            </w:r>
          </w:p>
        </w:tc>
        <w:tc>
          <w:tcPr>
            <w:tcW w:w="1880" w:type="dxa"/>
            <w:tcBorders>
              <w:top w:val="nil"/>
              <w:left w:val="nil"/>
              <w:bottom w:val="single" w:sz="4" w:space="0" w:color="auto"/>
              <w:right w:val="single" w:sz="4" w:space="0" w:color="auto"/>
            </w:tcBorders>
            <w:shd w:val="clear" w:color="000000" w:fill="FFF2CC"/>
            <w:noWrap/>
            <w:vAlign w:val="bottom"/>
            <w:hideMark/>
          </w:tcPr>
          <w:p w14:paraId="7E6A3D41" w14:textId="77777777" w:rsidR="00505BDB" w:rsidRPr="004B0336" w:rsidRDefault="00505BDB"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 </w:t>
            </w:r>
          </w:p>
        </w:tc>
        <w:tc>
          <w:tcPr>
            <w:tcW w:w="1580" w:type="dxa"/>
            <w:tcBorders>
              <w:top w:val="nil"/>
              <w:left w:val="nil"/>
              <w:bottom w:val="single" w:sz="4" w:space="0" w:color="auto"/>
              <w:right w:val="single" w:sz="4" w:space="0" w:color="auto"/>
            </w:tcBorders>
            <w:shd w:val="clear" w:color="000000" w:fill="FFF2CC"/>
            <w:noWrap/>
            <w:vAlign w:val="bottom"/>
            <w:hideMark/>
          </w:tcPr>
          <w:p w14:paraId="4CBCCFAA" w14:textId="77777777" w:rsidR="00505BDB" w:rsidRPr="004B0336" w:rsidRDefault="00505BDB"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 </w:t>
            </w:r>
          </w:p>
        </w:tc>
      </w:tr>
      <w:tr w:rsidR="00505BDB" w:rsidRPr="004B0336" w14:paraId="5B95F52C"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FFF2CC"/>
            <w:noWrap/>
            <w:vAlign w:val="bottom"/>
            <w:hideMark/>
          </w:tcPr>
          <w:p w14:paraId="3C850380"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Discount rate</w:t>
            </w:r>
          </w:p>
        </w:tc>
        <w:tc>
          <w:tcPr>
            <w:tcW w:w="1390" w:type="dxa"/>
            <w:tcBorders>
              <w:top w:val="nil"/>
              <w:left w:val="nil"/>
              <w:bottom w:val="single" w:sz="4" w:space="0" w:color="auto"/>
              <w:right w:val="single" w:sz="4" w:space="0" w:color="auto"/>
            </w:tcBorders>
            <w:shd w:val="clear" w:color="000000" w:fill="FFF2CC"/>
            <w:noWrap/>
            <w:vAlign w:val="bottom"/>
            <w:hideMark/>
          </w:tcPr>
          <w:p w14:paraId="55E40ACF"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10%</w:t>
            </w:r>
          </w:p>
        </w:tc>
        <w:tc>
          <w:tcPr>
            <w:tcW w:w="1880" w:type="dxa"/>
            <w:tcBorders>
              <w:top w:val="nil"/>
              <w:left w:val="nil"/>
              <w:bottom w:val="single" w:sz="4" w:space="0" w:color="auto"/>
              <w:right w:val="single" w:sz="4" w:space="0" w:color="auto"/>
            </w:tcBorders>
            <w:shd w:val="clear" w:color="000000" w:fill="FFF2CC"/>
            <w:noWrap/>
            <w:vAlign w:val="bottom"/>
            <w:hideMark/>
          </w:tcPr>
          <w:p w14:paraId="287F98B8"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w:t>
            </w:r>
          </w:p>
        </w:tc>
        <w:tc>
          <w:tcPr>
            <w:tcW w:w="1580" w:type="dxa"/>
            <w:tcBorders>
              <w:top w:val="nil"/>
              <w:left w:val="nil"/>
              <w:bottom w:val="nil"/>
              <w:right w:val="nil"/>
            </w:tcBorders>
            <w:noWrap/>
            <w:vAlign w:val="bottom"/>
            <w:hideMark/>
          </w:tcPr>
          <w:p w14:paraId="42128570" w14:textId="77777777" w:rsidR="00505BDB" w:rsidRPr="004B0336" w:rsidRDefault="00505BDB" w:rsidP="00EE1D8B">
            <w:pPr>
              <w:spacing w:after="0"/>
              <w:jc w:val="right"/>
              <w:rPr>
                <w:rFonts w:eastAsia="Times New Roman" w:cs="Arial"/>
                <w:color w:val="000000"/>
                <w:kern w:val="0"/>
                <w:lang w:val="en-GB" w:eastAsia="en-IN"/>
                <w14:ligatures w14:val="none"/>
              </w:rPr>
            </w:pPr>
          </w:p>
        </w:tc>
      </w:tr>
      <w:tr w:rsidR="00505BDB" w:rsidRPr="004B0336" w14:paraId="4B914CED"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FFF2CC"/>
            <w:noWrap/>
            <w:vAlign w:val="bottom"/>
            <w:hideMark/>
          </w:tcPr>
          <w:p w14:paraId="22EB90DF"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NPV</w:t>
            </w:r>
          </w:p>
        </w:tc>
        <w:tc>
          <w:tcPr>
            <w:tcW w:w="1390" w:type="dxa"/>
            <w:tcBorders>
              <w:top w:val="nil"/>
              <w:left w:val="nil"/>
              <w:bottom w:val="single" w:sz="4" w:space="0" w:color="auto"/>
              <w:right w:val="single" w:sz="4" w:space="0" w:color="auto"/>
            </w:tcBorders>
            <w:shd w:val="clear" w:color="000000" w:fill="FFF2CC"/>
            <w:noWrap/>
            <w:vAlign w:val="bottom"/>
            <w:hideMark/>
          </w:tcPr>
          <w:p w14:paraId="42218677"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-7.2553</w:t>
            </w:r>
          </w:p>
        </w:tc>
        <w:tc>
          <w:tcPr>
            <w:tcW w:w="1880" w:type="dxa"/>
            <w:tcBorders>
              <w:top w:val="nil"/>
              <w:left w:val="nil"/>
              <w:bottom w:val="single" w:sz="4" w:space="0" w:color="auto"/>
              <w:right w:val="single" w:sz="4" w:space="0" w:color="auto"/>
            </w:tcBorders>
            <w:shd w:val="clear" w:color="000000" w:fill="FFF2CC"/>
            <w:noWrap/>
            <w:vAlign w:val="bottom"/>
            <w:hideMark/>
          </w:tcPr>
          <w:p w14:paraId="1B3059B3"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w:t>
            </w:r>
          </w:p>
        </w:tc>
        <w:tc>
          <w:tcPr>
            <w:tcW w:w="1580" w:type="dxa"/>
            <w:tcBorders>
              <w:top w:val="nil"/>
              <w:left w:val="nil"/>
              <w:bottom w:val="nil"/>
              <w:right w:val="nil"/>
            </w:tcBorders>
            <w:noWrap/>
            <w:vAlign w:val="bottom"/>
            <w:hideMark/>
          </w:tcPr>
          <w:p w14:paraId="28EDF308" w14:textId="77777777" w:rsidR="00505BDB" w:rsidRPr="004B0336" w:rsidRDefault="00505BDB" w:rsidP="00EE1D8B">
            <w:pPr>
              <w:spacing w:after="0"/>
              <w:jc w:val="right"/>
              <w:rPr>
                <w:rFonts w:eastAsia="Times New Roman" w:cs="Arial"/>
                <w:color w:val="000000"/>
                <w:kern w:val="0"/>
                <w:lang w:val="en-GB" w:eastAsia="en-IN"/>
                <w14:ligatures w14:val="none"/>
              </w:rPr>
            </w:pPr>
          </w:p>
        </w:tc>
      </w:tr>
      <w:tr w:rsidR="00505BDB" w:rsidRPr="004B0336" w14:paraId="3AE1D837"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FFF2CC"/>
            <w:noWrap/>
            <w:vAlign w:val="bottom"/>
            <w:hideMark/>
          </w:tcPr>
          <w:p w14:paraId="204103D4"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IRR</w:t>
            </w:r>
          </w:p>
        </w:tc>
        <w:tc>
          <w:tcPr>
            <w:tcW w:w="1390" w:type="dxa"/>
            <w:tcBorders>
              <w:top w:val="nil"/>
              <w:left w:val="nil"/>
              <w:bottom w:val="single" w:sz="4" w:space="0" w:color="auto"/>
              <w:right w:val="single" w:sz="4" w:space="0" w:color="auto"/>
            </w:tcBorders>
            <w:shd w:val="clear" w:color="000000" w:fill="FFF2CC"/>
            <w:noWrap/>
            <w:vAlign w:val="bottom"/>
            <w:hideMark/>
          </w:tcPr>
          <w:p w14:paraId="793CACC9"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w:t>
            </w:r>
          </w:p>
        </w:tc>
        <w:tc>
          <w:tcPr>
            <w:tcW w:w="1880" w:type="dxa"/>
            <w:tcBorders>
              <w:top w:val="nil"/>
              <w:left w:val="nil"/>
              <w:bottom w:val="nil"/>
              <w:right w:val="nil"/>
            </w:tcBorders>
            <w:noWrap/>
            <w:vAlign w:val="bottom"/>
            <w:hideMark/>
          </w:tcPr>
          <w:p w14:paraId="27BD93E1" w14:textId="77777777" w:rsidR="00505BDB" w:rsidRPr="004B0336" w:rsidRDefault="00505BDB" w:rsidP="00EE1D8B">
            <w:pPr>
              <w:spacing w:after="0"/>
              <w:jc w:val="right"/>
              <w:rPr>
                <w:rFonts w:eastAsia="Times New Roman" w:cs="Arial"/>
                <w:color w:val="000000"/>
                <w:kern w:val="0"/>
                <w:lang w:val="en-GB" w:eastAsia="en-IN"/>
                <w14:ligatures w14:val="none"/>
              </w:rPr>
            </w:pPr>
          </w:p>
        </w:tc>
        <w:tc>
          <w:tcPr>
            <w:tcW w:w="1580" w:type="dxa"/>
            <w:tcBorders>
              <w:top w:val="nil"/>
              <w:left w:val="nil"/>
              <w:bottom w:val="nil"/>
              <w:right w:val="nil"/>
            </w:tcBorders>
            <w:noWrap/>
            <w:vAlign w:val="bottom"/>
            <w:hideMark/>
          </w:tcPr>
          <w:p w14:paraId="2EDEF821" w14:textId="77777777" w:rsidR="00505BDB" w:rsidRPr="004B0336" w:rsidRDefault="00505BDB" w:rsidP="00EE1D8B">
            <w:pPr>
              <w:spacing w:after="0"/>
              <w:jc w:val="left"/>
              <w:rPr>
                <w:rFonts w:eastAsia="Times New Roman" w:cs="Arial"/>
                <w:kern w:val="0"/>
                <w:sz w:val="20"/>
                <w:szCs w:val="20"/>
                <w:lang w:val="en-GB" w:eastAsia="en-IN"/>
                <w14:ligatures w14:val="none"/>
              </w:rPr>
            </w:pPr>
          </w:p>
        </w:tc>
      </w:tr>
    </w:tbl>
    <w:p w14:paraId="3FE528C8" w14:textId="77777777" w:rsidR="00505BDB" w:rsidRPr="004B0336" w:rsidRDefault="00505BDB" w:rsidP="00EE1D8B">
      <w:pPr>
        <w:rPr>
          <w:rFonts w:cs="Arial"/>
          <w:b/>
          <w:bCs/>
          <w:i/>
          <w:iCs/>
          <w:lang w:val="en-GB"/>
        </w:rPr>
      </w:pPr>
    </w:p>
    <w:p w14:paraId="4A7C5B0E" w14:textId="28FF003E" w:rsidR="00505BDB" w:rsidRPr="004B0336" w:rsidRDefault="00505BDB" w:rsidP="00EE1D8B">
      <w:pPr>
        <w:rPr>
          <w:rFonts w:cs="Arial"/>
          <w:b/>
          <w:bCs/>
          <w:i/>
          <w:iCs/>
          <w:lang w:val="en-GB"/>
        </w:rPr>
      </w:pPr>
      <w:r w:rsidRPr="004B0336">
        <w:rPr>
          <w:rFonts w:cs="Arial"/>
          <w:b/>
          <w:bCs/>
          <w:i/>
          <w:iCs/>
          <w:lang w:val="en-GB"/>
        </w:rPr>
        <w:t>Project C</w:t>
      </w:r>
    </w:p>
    <w:p w14:paraId="2F5CED81" w14:textId="77777777" w:rsidR="00505BDB" w:rsidRPr="004B0336" w:rsidRDefault="00505BDB" w:rsidP="00EE1D8B">
      <w:pPr>
        <w:rPr>
          <w:rFonts w:cs="Arial"/>
          <w:b/>
          <w:bCs/>
          <w:i/>
          <w:iCs/>
          <w:lang w:val="en-GB"/>
        </w:rPr>
      </w:pPr>
      <w:r w:rsidRPr="004B0336">
        <w:rPr>
          <w:rFonts w:cs="Arial"/>
          <w:b/>
          <w:bCs/>
          <w:i/>
          <w:iCs/>
          <w:lang w:val="en-GB"/>
        </w:rPr>
        <w:t xml:space="preserve">PBP </w:t>
      </w:r>
    </w:p>
    <w:tbl>
      <w:tblPr>
        <w:tblW w:w="8100" w:type="dxa"/>
        <w:tblLook w:val="04A0" w:firstRow="1" w:lastRow="0" w:firstColumn="1" w:lastColumn="0" w:noHBand="0" w:noVBand="1"/>
      </w:tblPr>
      <w:tblGrid>
        <w:gridCol w:w="3460"/>
        <w:gridCol w:w="1560"/>
        <w:gridCol w:w="3080"/>
      </w:tblGrid>
      <w:tr w:rsidR="00505BDB" w:rsidRPr="004B0336" w14:paraId="47F56314" w14:textId="77777777" w:rsidTr="00505BDB">
        <w:trPr>
          <w:trHeight w:val="1248"/>
        </w:trPr>
        <w:tc>
          <w:tcPr>
            <w:tcW w:w="346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53673DB1" w14:textId="77777777" w:rsidR="00505BDB" w:rsidRPr="004B0336" w:rsidRDefault="00505BDB" w:rsidP="00EE1D8B">
            <w:pPr>
              <w:spacing w:after="0"/>
              <w:jc w:val="center"/>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Year</w:t>
            </w:r>
          </w:p>
        </w:tc>
        <w:tc>
          <w:tcPr>
            <w:tcW w:w="1560" w:type="dxa"/>
            <w:tcBorders>
              <w:top w:val="single" w:sz="4" w:space="0" w:color="auto"/>
              <w:left w:val="nil"/>
              <w:bottom w:val="single" w:sz="4" w:space="0" w:color="auto"/>
              <w:right w:val="single" w:sz="4" w:space="0" w:color="auto"/>
            </w:tcBorders>
            <w:shd w:val="clear" w:color="000000" w:fill="CCFFFF"/>
            <w:noWrap/>
            <w:vAlign w:val="bottom"/>
            <w:hideMark/>
          </w:tcPr>
          <w:p w14:paraId="3AB68B3D" w14:textId="77777777" w:rsidR="00505BDB" w:rsidRPr="004B0336" w:rsidRDefault="00505BDB" w:rsidP="00EE1D8B">
            <w:pPr>
              <w:spacing w:after="0"/>
              <w:jc w:val="center"/>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xml:space="preserve">CashFlow </w:t>
            </w:r>
          </w:p>
        </w:tc>
        <w:tc>
          <w:tcPr>
            <w:tcW w:w="3080" w:type="dxa"/>
            <w:tcBorders>
              <w:top w:val="single" w:sz="4" w:space="0" w:color="auto"/>
              <w:left w:val="nil"/>
              <w:bottom w:val="single" w:sz="4" w:space="0" w:color="auto"/>
              <w:right w:val="single" w:sz="4" w:space="0" w:color="auto"/>
            </w:tcBorders>
            <w:shd w:val="clear" w:color="000000" w:fill="CCFFFF"/>
            <w:noWrap/>
            <w:vAlign w:val="bottom"/>
            <w:hideMark/>
          </w:tcPr>
          <w:p w14:paraId="08087822" w14:textId="77777777" w:rsidR="00505BDB" w:rsidRPr="004B0336" w:rsidRDefault="00505BDB" w:rsidP="00EE1D8B">
            <w:pPr>
              <w:spacing w:after="0"/>
              <w:jc w:val="center"/>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Cumulative Cashflow</w:t>
            </w:r>
          </w:p>
        </w:tc>
      </w:tr>
      <w:tr w:rsidR="00505BDB" w:rsidRPr="004B0336" w14:paraId="1D0CB117" w14:textId="77777777" w:rsidTr="00505BDB">
        <w:trPr>
          <w:trHeight w:val="312"/>
        </w:trPr>
        <w:tc>
          <w:tcPr>
            <w:tcW w:w="3460" w:type="dxa"/>
            <w:tcBorders>
              <w:top w:val="nil"/>
              <w:left w:val="single" w:sz="4" w:space="0" w:color="auto"/>
              <w:bottom w:val="single" w:sz="4" w:space="0" w:color="auto"/>
              <w:right w:val="single" w:sz="4" w:space="0" w:color="auto"/>
            </w:tcBorders>
            <w:shd w:val="clear" w:color="000000" w:fill="CCFFFF"/>
            <w:noWrap/>
            <w:vAlign w:val="bottom"/>
            <w:hideMark/>
          </w:tcPr>
          <w:p w14:paraId="2BE6CEFB"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w:t>
            </w:r>
          </w:p>
        </w:tc>
        <w:tc>
          <w:tcPr>
            <w:tcW w:w="1560" w:type="dxa"/>
            <w:tcBorders>
              <w:top w:val="nil"/>
              <w:left w:val="nil"/>
              <w:bottom w:val="single" w:sz="4" w:space="0" w:color="auto"/>
              <w:right w:val="single" w:sz="4" w:space="0" w:color="auto"/>
            </w:tcBorders>
            <w:shd w:val="clear" w:color="000000" w:fill="CCFFFF"/>
            <w:noWrap/>
            <w:vAlign w:val="bottom"/>
            <w:hideMark/>
          </w:tcPr>
          <w:p w14:paraId="509F4F6B"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w:t>
            </w:r>
          </w:p>
        </w:tc>
        <w:tc>
          <w:tcPr>
            <w:tcW w:w="3080" w:type="dxa"/>
            <w:tcBorders>
              <w:top w:val="nil"/>
              <w:left w:val="nil"/>
              <w:bottom w:val="single" w:sz="4" w:space="0" w:color="auto"/>
              <w:right w:val="single" w:sz="4" w:space="0" w:color="auto"/>
            </w:tcBorders>
            <w:shd w:val="clear" w:color="000000" w:fill="CCFFFF"/>
            <w:noWrap/>
            <w:vAlign w:val="bottom"/>
            <w:hideMark/>
          </w:tcPr>
          <w:p w14:paraId="0AB6ACB7"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w:t>
            </w:r>
          </w:p>
        </w:tc>
      </w:tr>
      <w:tr w:rsidR="00505BDB" w:rsidRPr="004B0336" w14:paraId="28AC72C7" w14:textId="77777777" w:rsidTr="00505BDB">
        <w:trPr>
          <w:trHeight w:val="312"/>
        </w:trPr>
        <w:tc>
          <w:tcPr>
            <w:tcW w:w="3460" w:type="dxa"/>
            <w:tcBorders>
              <w:top w:val="nil"/>
              <w:left w:val="single" w:sz="4" w:space="0" w:color="auto"/>
              <w:bottom w:val="single" w:sz="4" w:space="0" w:color="auto"/>
              <w:right w:val="single" w:sz="4" w:space="0" w:color="auto"/>
            </w:tcBorders>
            <w:shd w:val="clear" w:color="000000" w:fill="CCFFFF"/>
            <w:noWrap/>
            <w:vAlign w:val="bottom"/>
            <w:hideMark/>
          </w:tcPr>
          <w:p w14:paraId="0AF27336"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w:t>
            </w:r>
          </w:p>
        </w:tc>
        <w:tc>
          <w:tcPr>
            <w:tcW w:w="1560" w:type="dxa"/>
            <w:tcBorders>
              <w:top w:val="nil"/>
              <w:left w:val="nil"/>
              <w:bottom w:val="single" w:sz="4" w:space="0" w:color="auto"/>
              <w:right w:val="single" w:sz="4" w:space="0" w:color="auto"/>
            </w:tcBorders>
            <w:shd w:val="clear" w:color="000000" w:fill="CCFFFF"/>
            <w:noWrap/>
            <w:vAlign w:val="bottom"/>
            <w:hideMark/>
          </w:tcPr>
          <w:p w14:paraId="123A8668"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10</w:t>
            </w:r>
          </w:p>
        </w:tc>
        <w:tc>
          <w:tcPr>
            <w:tcW w:w="3080" w:type="dxa"/>
            <w:tcBorders>
              <w:top w:val="nil"/>
              <w:left w:val="nil"/>
              <w:bottom w:val="single" w:sz="4" w:space="0" w:color="auto"/>
              <w:right w:val="single" w:sz="4" w:space="0" w:color="auto"/>
            </w:tcBorders>
            <w:shd w:val="clear" w:color="000000" w:fill="CCFFFF"/>
            <w:noWrap/>
            <w:vAlign w:val="bottom"/>
            <w:hideMark/>
          </w:tcPr>
          <w:p w14:paraId="6A430890"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15</w:t>
            </w:r>
          </w:p>
        </w:tc>
      </w:tr>
      <w:tr w:rsidR="00505BDB" w:rsidRPr="004B0336" w14:paraId="1014945E" w14:textId="77777777" w:rsidTr="00505BDB">
        <w:trPr>
          <w:trHeight w:val="312"/>
        </w:trPr>
        <w:tc>
          <w:tcPr>
            <w:tcW w:w="3460" w:type="dxa"/>
            <w:tcBorders>
              <w:top w:val="nil"/>
              <w:left w:val="single" w:sz="4" w:space="0" w:color="auto"/>
              <w:bottom w:val="single" w:sz="4" w:space="0" w:color="auto"/>
              <w:right w:val="single" w:sz="4" w:space="0" w:color="auto"/>
            </w:tcBorders>
            <w:shd w:val="clear" w:color="000000" w:fill="CCFFFF"/>
            <w:noWrap/>
            <w:vAlign w:val="bottom"/>
            <w:hideMark/>
          </w:tcPr>
          <w:p w14:paraId="7ABBF66F"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3</w:t>
            </w:r>
          </w:p>
        </w:tc>
        <w:tc>
          <w:tcPr>
            <w:tcW w:w="1560" w:type="dxa"/>
            <w:tcBorders>
              <w:top w:val="nil"/>
              <w:left w:val="nil"/>
              <w:bottom w:val="single" w:sz="4" w:space="0" w:color="auto"/>
              <w:right w:val="single" w:sz="4" w:space="0" w:color="auto"/>
            </w:tcBorders>
            <w:shd w:val="clear" w:color="000000" w:fill="CCFFFF"/>
            <w:noWrap/>
            <w:vAlign w:val="bottom"/>
            <w:hideMark/>
          </w:tcPr>
          <w:p w14:paraId="17E9FEBB"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20</w:t>
            </w:r>
          </w:p>
        </w:tc>
        <w:tc>
          <w:tcPr>
            <w:tcW w:w="3080" w:type="dxa"/>
            <w:tcBorders>
              <w:top w:val="nil"/>
              <w:left w:val="nil"/>
              <w:bottom w:val="single" w:sz="4" w:space="0" w:color="auto"/>
              <w:right w:val="single" w:sz="4" w:space="0" w:color="auto"/>
            </w:tcBorders>
            <w:shd w:val="clear" w:color="000000" w:fill="CCFFFF"/>
            <w:noWrap/>
            <w:vAlign w:val="bottom"/>
            <w:hideMark/>
          </w:tcPr>
          <w:p w14:paraId="06DE0FE6"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35</w:t>
            </w:r>
          </w:p>
        </w:tc>
      </w:tr>
      <w:tr w:rsidR="00505BDB" w:rsidRPr="004B0336" w14:paraId="3AB21021" w14:textId="77777777" w:rsidTr="00505BDB">
        <w:trPr>
          <w:trHeight w:val="312"/>
        </w:trPr>
        <w:tc>
          <w:tcPr>
            <w:tcW w:w="3460" w:type="dxa"/>
            <w:tcBorders>
              <w:top w:val="nil"/>
              <w:left w:val="single" w:sz="4" w:space="0" w:color="auto"/>
              <w:bottom w:val="single" w:sz="4" w:space="0" w:color="auto"/>
              <w:right w:val="single" w:sz="4" w:space="0" w:color="auto"/>
            </w:tcBorders>
            <w:shd w:val="clear" w:color="000000" w:fill="CCFFFF"/>
            <w:noWrap/>
            <w:vAlign w:val="bottom"/>
            <w:hideMark/>
          </w:tcPr>
          <w:p w14:paraId="008C9B44"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4</w:t>
            </w:r>
          </w:p>
        </w:tc>
        <w:tc>
          <w:tcPr>
            <w:tcW w:w="1560" w:type="dxa"/>
            <w:tcBorders>
              <w:top w:val="nil"/>
              <w:left w:val="nil"/>
              <w:bottom w:val="single" w:sz="4" w:space="0" w:color="auto"/>
              <w:right w:val="single" w:sz="4" w:space="0" w:color="auto"/>
            </w:tcBorders>
            <w:shd w:val="clear" w:color="000000" w:fill="CCFFFF"/>
            <w:noWrap/>
            <w:vAlign w:val="bottom"/>
            <w:hideMark/>
          </w:tcPr>
          <w:p w14:paraId="2D2D2D43"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25</w:t>
            </w:r>
          </w:p>
        </w:tc>
        <w:tc>
          <w:tcPr>
            <w:tcW w:w="3080" w:type="dxa"/>
            <w:tcBorders>
              <w:top w:val="nil"/>
              <w:left w:val="nil"/>
              <w:bottom w:val="single" w:sz="4" w:space="0" w:color="auto"/>
              <w:right w:val="single" w:sz="4" w:space="0" w:color="auto"/>
            </w:tcBorders>
            <w:shd w:val="clear" w:color="000000" w:fill="CCFFFF"/>
            <w:noWrap/>
            <w:vAlign w:val="bottom"/>
            <w:hideMark/>
          </w:tcPr>
          <w:p w14:paraId="392E279A"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60</w:t>
            </w:r>
          </w:p>
        </w:tc>
      </w:tr>
      <w:tr w:rsidR="00505BDB" w:rsidRPr="004B0336" w14:paraId="4A1C1693" w14:textId="77777777" w:rsidTr="00505BDB">
        <w:trPr>
          <w:trHeight w:val="312"/>
        </w:trPr>
        <w:tc>
          <w:tcPr>
            <w:tcW w:w="3460" w:type="dxa"/>
            <w:tcBorders>
              <w:top w:val="nil"/>
              <w:left w:val="single" w:sz="4" w:space="0" w:color="auto"/>
              <w:bottom w:val="single" w:sz="4" w:space="0" w:color="auto"/>
              <w:right w:val="single" w:sz="4" w:space="0" w:color="auto"/>
            </w:tcBorders>
            <w:shd w:val="clear" w:color="000000" w:fill="CCFFFF"/>
            <w:noWrap/>
            <w:vAlign w:val="bottom"/>
            <w:hideMark/>
          </w:tcPr>
          <w:p w14:paraId="5C21A797"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w:t>
            </w:r>
          </w:p>
        </w:tc>
        <w:tc>
          <w:tcPr>
            <w:tcW w:w="1560" w:type="dxa"/>
            <w:tcBorders>
              <w:top w:val="nil"/>
              <w:left w:val="nil"/>
              <w:bottom w:val="single" w:sz="4" w:space="0" w:color="auto"/>
              <w:right w:val="single" w:sz="4" w:space="0" w:color="auto"/>
            </w:tcBorders>
            <w:shd w:val="clear" w:color="000000" w:fill="CCFFFF"/>
            <w:noWrap/>
            <w:vAlign w:val="bottom"/>
            <w:hideMark/>
          </w:tcPr>
          <w:p w14:paraId="12273163"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15</w:t>
            </w:r>
          </w:p>
        </w:tc>
        <w:tc>
          <w:tcPr>
            <w:tcW w:w="3080" w:type="dxa"/>
            <w:tcBorders>
              <w:top w:val="nil"/>
              <w:left w:val="nil"/>
              <w:bottom w:val="single" w:sz="4" w:space="0" w:color="auto"/>
              <w:right w:val="single" w:sz="4" w:space="0" w:color="auto"/>
            </w:tcBorders>
            <w:shd w:val="clear" w:color="000000" w:fill="CCFFFF"/>
            <w:noWrap/>
            <w:vAlign w:val="bottom"/>
            <w:hideMark/>
          </w:tcPr>
          <w:p w14:paraId="049E5B2A"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75</w:t>
            </w:r>
          </w:p>
        </w:tc>
      </w:tr>
      <w:tr w:rsidR="00505BDB" w:rsidRPr="004B0336" w14:paraId="2E656EE0" w14:textId="77777777" w:rsidTr="00505BDB">
        <w:trPr>
          <w:trHeight w:val="312"/>
        </w:trPr>
        <w:tc>
          <w:tcPr>
            <w:tcW w:w="3460" w:type="dxa"/>
            <w:tcBorders>
              <w:top w:val="nil"/>
              <w:left w:val="single" w:sz="4" w:space="0" w:color="auto"/>
              <w:bottom w:val="single" w:sz="4" w:space="0" w:color="auto"/>
              <w:right w:val="single" w:sz="4" w:space="0" w:color="auto"/>
            </w:tcBorders>
            <w:shd w:val="clear" w:color="000000" w:fill="CCFFFF"/>
            <w:noWrap/>
            <w:vAlign w:val="bottom"/>
            <w:hideMark/>
          </w:tcPr>
          <w:p w14:paraId="329AE7B6"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Investment to recover</w:t>
            </w:r>
          </w:p>
        </w:tc>
        <w:tc>
          <w:tcPr>
            <w:tcW w:w="1560" w:type="dxa"/>
            <w:tcBorders>
              <w:top w:val="nil"/>
              <w:left w:val="nil"/>
              <w:bottom w:val="single" w:sz="4" w:space="0" w:color="auto"/>
              <w:right w:val="single" w:sz="4" w:space="0" w:color="auto"/>
            </w:tcBorders>
            <w:shd w:val="clear" w:color="000000" w:fill="CCFFFF"/>
            <w:noWrap/>
            <w:vAlign w:val="bottom"/>
            <w:hideMark/>
          </w:tcPr>
          <w:p w14:paraId="7BB7F094"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50</w:t>
            </w:r>
          </w:p>
        </w:tc>
        <w:tc>
          <w:tcPr>
            <w:tcW w:w="3080" w:type="dxa"/>
            <w:tcBorders>
              <w:top w:val="nil"/>
              <w:left w:val="nil"/>
              <w:bottom w:val="nil"/>
              <w:right w:val="nil"/>
            </w:tcBorders>
            <w:noWrap/>
            <w:vAlign w:val="bottom"/>
            <w:hideMark/>
          </w:tcPr>
          <w:p w14:paraId="5A955832" w14:textId="77777777" w:rsidR="00505BDB" w:rsidRPr="004B0336" w:rsidRDefault="00505BDB" w:rsidP="00EE1D8B">
            <w:pPr>
              <w:spacing w:after="0"/>
              <w:jc w:val="right"/>
              <w:rPr>
                <w:rFonts w:eastAsia="Times New Roman" w:cs="Arial"/>
                <w:color w:val="000000"/>
                <w:kern w:val="0"/>
                <w:lang w:val="en-GB" w:eastAsia="en-IN"/>
                <w14:ligatures w14:val="none"/>
              </w:rPr>
            </w:pPr>
          </w:p>
        </w:tc>
      </w:tr>
      <w:tr w:rsidR="00505BDB" w:rsidRPr="004B0336" w14:paraId="07B5A28B" w14:textId="77777777" w:rsidTr="00505BDB">
        <w:trPr>
          <w:trHeight w:val="312"/>
        </w:trPr>
        <w:tc>
          <w:tcPr>
            <w:tcW w:w="3460" w:type="dxa"/>
            <w:tcBorders>
              <w:top w:val="nil"/>
              <w:left w:val="single" w:sz="4" w:space="0" w:color="auto"/>
              <w:bottom w:val="single" w:sz="4" w:space="0" w:color="auto"/>
              <w:right w:val="single" w:sz="4" w:space="0" w:color="auto"/>
            </w:tcBorders>
            <w:shd w:val="clear" w:color="000000" w:fill="CCFFFF"/>
            <w:noWrap/>
            <w:vAlign w:val="bottom"/>
            <w:hideMark/>
          </w:tcPr>
          <w:p w14:paraId="045B52C2"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After 3 years, recovered</w:t>
            </w:r>
          </w:p>
        </w:tc>
        <w:tc>
          <w:tcPr>
            <w:tcW w:w="1560" w:type="dxa"/>
            <w:tcBorders>
              <w:top w:val="nil"/>
              <w:left w:val="nil"/>
              <w:bottom w:val="single" w:sz="4" w:space="0" w:color="auto"/>
              <w:right w:val="single" w:sz="4" w:space="0" w:color="auto"/>
            </w:tcBorders>
            <w:shd w:val="clear" w:color="000000" w:fill="CCFFFF"/>
            <w:noWrap/>
            <w:vAlign w:val="bottom"/>
            <w:hideMark/>
          </w:tcPr>
          <w:p w14:paraId="3E82859D"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35</w:t>
            </w:r>
          </w:p>
        </w:tc>
        <w:tc>
          <w:tcPr>
            <w:tcW w:w="3080" w:type="dxa"/>
            <w:tcBorders>
              <w:top w:val="nil"/>
              <w:left w:val="nil"/>
              <w:bottom w:val="nil"/>
              <w:right w:val="nil"/>
            </w:tcBorders>
            <w:noWrap/>
            <w:vAlign w:val="bottom"/>
            <w:hideMark/>
          </w:tcPr>
          <w:p w14:paraId="304CA729" w14:textId="77777777" w:rsidR="00505BDB" w:rsidRPr="004B0336" w:rsidRDefault="00505BDB" w:rsidP="00EE1D8B">
            <w:pPr>
              <w:spacing w:after="0"/>
              <w:jc w:val="right"/>
              <w:rPr>
                <w:rFonts w:eastAsia="Times New Roman" w:cs="Arial"/>
                <w:color w:val="000000"/>
                <w:kern w:val="0"/>
                <w:lang w:val="en-GB" w:eastAsia="en-IN"/>
                <w14:ligatures w14:val="none"/>
              </w:rPr>
            </w:pPr>
          </w:p>
        </w:tc>
      </w:tr>
      <w:tr w:rsidR="00505BDB" w:rsidRPr="004B0336" w14:paraId="3C1DC1C2" w14:textId="77777777" w:rsidTr="00505BDB">
        <w:trPr>
          <w:trHeight w:val="312"/>
        </w:trPr>
        <w:tc>
          <w:tcPr>
            <w:tcW w:w="3460" w:type="dxa"/>
            <w:tcBorders>
              <w:top w:val="nil"/>
              <w:left w:val="single" w:sz="4" w:space="0" w:color="auto"/>
              <w:bottom w:val="single" w:sz="4" w:space="0" w:color="auto"/>
              <w:right w:val="single" w:sz="4" w:space="0" w:color="auto"/>
            </w:tcBorders>
            <w:shd w:val="clear" w:color="000000" w:fill="CCFFFF"/>
            <w:noWrap/>
            <w:vAlign w:val="bottom"/>
            <w:hideMark/>
          </w:tcPr>
          <w:p w14:paraId="5E296F62"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xml:space="preserve">Amount remaining </w:t>
            </w:r>
          </w:p>
        </w:tc>
        <w:tc>
          <w:tcPr>
            <w:tcW w:w="1560" w:type="dxa"/>
            <w:tcBorders>
              <w:top w:val="nil"/>
              <w:left w:val="nil"/>
              <w:bottom w:val="single" w:sz="4" w:space="0" w:color="auto"/>
              <w:right w:val="single" w:sz="4" w:space="0" w:color="auto"/>
            </w:tcBorders>
            <w:shd w:val="clear" w:color="000000" w:fill="CCFFFF"/>
            <w:noWrap/>
            <w:vAlign w:val="bottom"/>
            <w:hideMark/>
          </w:tcPr>
          <w:p w14:paraId="76A2E7FA"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15</w:t>
            </w:r>
          </w:p>
        </w:tc>
        <w:tc>
          <w:tcPr>
            <w:tcW w:w="3080" w:type="dxa"/>
            <w:tcBorders>
              <w:top w:val="nil"/>
              <w:left w:val="nil"/>
              <w:bottom w:val="nil"/>
              <w:right w:val="nil"/>
            </w:tcBorders>
            <w:noWrap/>
            <w:vAlign w:val="bottom"/>
            <w:hideMark/>
          </w:tcPr>
          <w:p w14:paraId="62AA58CE" w14:textId="77777777" w:rsidR="00505BDB" w:rsidRPr="004B0336" w:rsidRDefault="00505BDB" w:rsidP="00EE1D8B">
            <w:pPr>
              <w:spacing w:after="0"/>
              <w:jc w:val="right"/>
              <w:rPr>
                <w:rFonts w:eastAsia="Times New Roman" w:cs="Arial"/>
                <w:color w:val="000000"/>
                <w:kern w:val="0"/>
                <w:lang w:val="en-GB" w:eastAsia="en-IN"/>
                <w14:ligatures w14:val="none"/>
              </w:rPr>
            </w:pPr>
          </w:p>
        </w:tc>
      </w:tr>
      <w:tr w:rsidR="00505BDB" w:rsidRPr="004B0336" w14:paraId="3206F711" w14:textId="77777777" w:rsidTr="00505BDB">
        <w:trPr>
          <w:trHeight w:val="312"/>
        </w:trPr>
        <w:tc>
          <w:tcPr>
            <w:tcW w:w="3460" w:type="dxa"/>
            <w:tcBorders>
              <w:top w:val="nil"/>
              <w:left w:val="single" w:sz="4" w:space="0" w:color="auto"/>
              <w:bottom w:val="single" w:sz="4" w:space="0" w:color="auto"/>
              <w:right w:val="single" w:sz="4" w:space="0" w:color="auto"/>
            </w:tcBorders>
            <w:shd w:val="clear" w:color="000000" w:fill="CCFFFF"/>
            <w:noWrap/>
            <w:vAlign w:val="bottom"/>
            <w:hideMark/>
          </w:tcPr>
          <w:p w14:paraId="5C9F1108"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Year 4 Inflow</w:t>
            </w:r>
          </w:p>
        </w:tc>
        <w:tc>
          <w:tcPr>
            <w:tcW w:w="1560" w:type="dxa"/>
            <w:tcBorders>
              <w:top w:val="nil"/>
              <w:left w:val="nil"/>
              <w:bottom w:val="single" w:sz="4" w:space="0" w:color="auto"/>
              <w:right w:val="single" w:sz="4" w:space="0" w:color="auto"/>
            </w:tcBorders>
            <w:shd w:val="clear" w:color="000000" w:fill="CCFFFF"/>
            <w:noWrap/>
            <w:vAlign w:val="bottom"/>
            <w:hideMark/>
          </w:tcPr>
          <w:p w14:paraId="5D5D4CC7"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25</w:t>
            </w:r>
          </w:p>
        </w:tc>
        <w:tc>
          <w:tcPr>
            <w:tcW w:w="3080" w:type="dxa"/>
            <w:tcBorders>
              <w:top w:val="nil"/>
              <w:left w:val="nil"/>
              <w:bottom w:val="nil"/>
              <w:right w:val="nil"/>
            </w:tcBorders>
            <w:noWrap/>
            <w:vAlign w:val="bottom"/>
            <w:hideMark/>
          </w:tcPr>
          <w:p w14:paraId="5F574535" w14:textId="77777777" w:rsidR="00505BDB" w:rsidRPr="004B0336" w:rsidRDefault="00505BDB" w:rsidP="00EE1D8B">
            <w:pPr>
              <w:spacing w:after="0"/>
              <w:jc w:val="right"/>
              <w:rPr>
                <w:rFonts w:eastAsia="Times New Roman" w:cs="Arial"/>
                <w:color w:val="000000"/>
                <w:kern w:val="0"/>
                <w:lang w:val="en-GB" w:eastAsia="en-IN"/>
                <w14:ligatures w14:val="none"/>
              </w:rPr>
            </w:pPr>
          </w:p>
        </w:tc>
      </w:tr>
      <w:tr w:rsidR="00505BDB" w:rsidRPr="004B0336" w14:paraId="5BAA8321" w14:textId="77777777" w:rsidTr="00505BDB">
        <w:trPr>
          <w:trHeight w:val="312"/>
        </w:trPr>
        <w:tc>
          <w:tcPr>
            <w:tcW w:w="3460" w:type="dxa"/>
            <w:tcBorders>
              <w:top w:val="nil"/>
              <w:left w:val="single" w:sz="4" w:space="0" w:color="auto"/>
              <w:bottom w:val="single" w:sz="4" w:space="0" w:color="auto"/>
              <w:right w:val="single" w:sz="4" w:space="0" w:color="auto"/>
            </w:tcBorders>
            <w:shd w:val="clear" w:color="000000" w:fill="CCFFFF"/>
            <w:noWrap/>
            <w:vAlign w:val="bottom"/>
            <w:hideMark/>
          </w:tcPr>
          <w:p w14:paraId="504127D5" w14:textId="77777777" w:rsidR="00505BDB" w:rsidRPr="004B0336" w:rsidRDefault="00505BDB"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 </w:t>
            </w:r>
          </w:p>
        </w:tc>
        <w:tc>
          <w:tcPr>
            <w:tcW w:w="1560" w:type="dxa"/>
            <w:tcBorders>
              <w:top w:val="nil"/>
              <w:left w:val="nil"/>
              <w:bottom w:val="single" w:sz="4" w:space="0" w:color="auto"/>
              <w:right w:val="single" w:sz="4" w:space="0" w:color="auto"/>
            </w:tcBorders>
            <w:shd w:val="clear" w:color="000000" w:fill="CCFFFF"/>
            <w:noWrap/>
            <w:vAlign w:val="bottom"/>
            <w:hideMark/>
          </w:tcPr>
          <w:p w14:paraId="6EA1FC5B" w14:textId="77777777" w:rsidR="00505BDB" w:rsidRPr="004B0336" w:rsidRDefault="00505BDB"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 </w:t>
            </w:r>
          </w:p>
        </w:tc>
        <w:tc>
          <w:tcPr>
            <w:tcW w:w="3080" w:type="dxa"/>
            <w:tcBorders>
              <w:top w:val="nil"/>
              <w:left w:val="nil"/>
              <w:bottom w:val="nil"/>
              <w:right w:val="nil"/>
            </w:tcBorders>
            <w:noWrap/>
            <w:vAlign w:val="bottom"/>
            <w:hideMark/>
          </w:tcPr>
          <w:p w14:paraId="575B1110" w14:textId="77777777" w:rsidR="00505BDB" w:rsidRPr="004B0336" w:rsidRDefault="00505BDB" w:rsidP="00EE1D8B">
            <w:pPr>
              <w:spacing w:after="0"/>
              <w:jc w:val="left"/>
              <w:rPr>
                <w:rFonts w:eastAsia="Times New Roman" w:cs="Arial"/>
                <w:color w:val="000000"/>
                <w:kern w:val="0"/>
                <w:lang w:val="en-GB" w:eastAsia="en-IN"/>
                <w14:ligatures w14:val="none"/>
              </w:rPr>
            </w:pPr>
          </w:p>
        </w:tc>
      </w:tr>
      <w:tr w:rsidR="00505BDB" w:rsidRPr="004B0336" w14:paraId="5D0A96BC" w14:textId="77777777" w:rsidTr="00505BDB">
        <w:trPr>
          <w:trHeight w:val="312"/>
        </w:trPr>
        <w:tc>
          <w:tcPr>
            <w:tcW w:w="3460" w:type="dxa"/>
            <w:tcBorders>
              <w:top w:val="nil"/>
              <w:left w:val="single" w:sz="4" w:space="0" w:color="auto"/>
              <w:bottom w:val="single" w:sz="4" w:space="0" w:color="auto"/>
              <w:right w:val="single" w:sz="4" w:space="0" w:color="auto"/>
            </w:tcBorders>
            <w:shd w:val="clear" w:color="000000" w:fill="CCFFFF"/>
            <w:noWrap/>
            <w:vAlign w:val="bottom"/>
            <w:hideMark/>
          </w:tcPr>
          <w:p w14:paraId="37756D8B"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PBP</w:t>
            </w:r>
          </w:p>
        </w:tc>
        <w:tc>
          <w:tcPr>
            <w:tcW w:w="1560" w:type="dxa"/>
            <w:tcBorders>
              <w:top w:val="nil"/>
              <w:left w:val="nil"/>
              <w:bottom w:val="single" w:sz="4" w:space="0" w:color="auto"/>
              <w:right w:val="single" w:sz="4" w:space="0" w:color="auto"/>
            </w:tcBorders>
            <w:shd w:val="clear" w:color="000000" w:fill="CCFFFF"/>
            <w:noWrap/>
            <w:vAlign w:val="bottom"/>
            <w:hideMark/>
          </w:tcPr>
          <w:p w14:paraId="2EF83E32" w14:textId="7D1ED795" w:rsidR="00505BDB" w:rsidRPr="004B0336" w:rsidRDefault="00505BDB" w:rsidP="00EE1D8B">
            <w:pPr>
              <w:spacing w:after="0"/>
              <w:jc w:val="righ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3.6</w:t>
            </w:r>
            <w:r w:rsidR="0057611D" w:rsidRPr="004B0336">
              <w:rPr>
                <w:rFonts w:eastAsia="Times New Roman" w:cs="Arial"/>
                <w:b/>
                <w:bCs/>
                <w:color w:val="000000"/>
                <w:kern w:val="0"/>
                <w:lang w:val="en-GB" w:eastAsia="en-IN"/>
                <w14:ligatures w14:val="none"/>
              </w:rPr>
              <w:t xml:space="preserve"> Years</w:t>
            </w:r>
          </w:p>
        </w:tc>
        <w:tc>
          <w:tcPr>
            <w:tcW w:w="3080" w:type="dxa"/>
            <w:tcBorders>
              <w:top w:val="nil"/>
              <w:left w:val="nil"/>
              <w:bottom w:val="nil"/>
              <w:right w:val="nil"/>
            </w:tcBorders>
            <w:noWrap/>
            <w:vAlign w:val="bottom"/>
            <w:hideMark/>
          </w:tcPr>
          <w:p w14:paraId="0476CFB2"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Years</w:t>
            </w:r>
          </w:p>
        </w:tc>
      </w:tr>
    </w:tbl>
    <w:p w14:paraId="045514D7" w14:textId="77777777" w:rsidR="00505BDB" w:rsidRPr="004B0336" w:rsidRDefault="00505BDB" w:rsidP="00EE1D8B">
      <w:pPr>
        <w:rPr>
          <w:rFonts w:cs="Arial"/>
          <w:b/>
          <w:bCs/>
          <w:i/>
          <w:iCs/>
          <w:lang w:val="en-GB"/>
        </w:rPr>
      </w:pPr>
    </w:p>
    <w:p w14:paraId="1B1043BC" w14:textId="77777777" w:rsidR="00505BDB" w:rsidRPr="004B0336" w:rsidRDefault="00505BDB" w:rsidP="00EE1D8B">
      <w:pPr>
        <w:rPr>
          <w:rFonts w:cs="Arial"/>
          <w:b/>
          <w:bCs/>
          <w:i/>
          <w:iCs/>
          <w:lang w:val="en-GB"/>
        </w:rPr>
      </w:pPr>
      <w:r w:rsidRPr="004B0336">
        <w:rPr>
          <w:rFonts w:cs="Arial"/>
          <w:b/>
          <w:bCs/>
          <w:i/>
          <w:iCs/>
          <w:lang w:val="en-GB"/>
        </w:rPr>
        <w:t>ARR</w:t>
      </w:r>
      <w:r w:rsidRPr="004B0336">
        <w:rPr>
          <w:rFonts w:cs="Arial"/>
          <w:b/>
          <w:bCs/>
          <w:i/>
          <w:iCs/>
          <w:lang w:val="en-GB"/>
        </w:rPr>
        <w:tab/>
      </w:r>
      <w:r w:rsidRPr="004B0336">
        <w:rPr>
          <w:rFonts w:cs="Arial"/>
          <w:b/>
          <w:bCs/>
          <w:i/>
          <w:iCs/>
          <w:lang w:val="en-GB"/>
        </w:rPr>
        <w:tab/>
      </w:r>
    </w:p>
    <w:tbl>
      <w:tblPr>
        <w:tblW w:w="6440" w:type="dxa"/>
        <w:tblLook w:val="04A0" w:firstRow="1" w:lastRow="0" w:firstColumn="1" w:lastColumn="0" w:noHBand="0" w:noVBand="1"/>
      </w:tblPr>
      <w:tblGrid>
        <w:gridCol w:w="2760"/>
        <w:gridCol w:w="1643"/>
        <w:gridCol w:w="2120"/>
      </w:tblGrid>
      <w:tr w:rsidR="00505BDB" w:rsidRPr="004B0336" w14:paraId="68CC697C" w14:textId="77777777" w:rsidTr="00505BDB">
        <w:trPr>
          <w:trHeight w:val="1248"/>
        </w:trPr>
        <w:tc>
          <w:tcPr>
            <w:tcW w:w="276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550B4BE5"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depreciation</w:t>
            </w:r>
          </w:p>
        </w:tc>
        <w:tc>
          <w:tcPr>
            <w:tcW w:w="1560" w:type="dxa"/>
            <w:tcBorders>
              <w:top w:val="single" w:sz="4" w:space="0" w:color="auto"/>
              <w:left w:val="nil"/>
              <w:bottom w:val="single" w:sz="4" w:space="0" w:color="auto"/>
              <w:right w:val="single" w:sz="4" w:space="0" w:color="auto"/>
            </w:tcBorders>
            <w:shd w:val="clear" w:color="000000" w:fill="CCFFFF"/>
            <w:vAlign w:val="bottom"/>
            <w:hideMark/>
          </w:tcPr>
          <w:p w14:paraId="2D6B7366"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straight-line depreciation to zero</w:t>
            </w:r>
          </w:p>
        </w:tc>
        <w:tc>
          <w:tcPr>
            <w:tcW w:w="2120" w:type="dxa"/>
            <w:tcBorders>
              <w:top w:val="nil"/>
              <w:left w:val="nil"/>
              <w:bottom w:val="nil"/>
              <w:right w:val="nil"/>
            </w:tcBorders>
            <w:noWrap/>
            <w:vAlign w:val="bottom"/>
            <w:hideMark/>
          </w:tcPr>
          <w:p w14:paraId="0E36D66A" w14:textId="77777777" w:rsidR="00505BDB" w:rsidRPr="004B0336" w:rsidRDefault="00505BDB" w:rsidP="00EE1D8B">
            <w:pPr>
              <w:spacing w:after="0"/>
              <w:jc w:val="left"/>
              <w:rPr>
                <w:rFonts w:eastAsia="Times New Roman" w:cs="Arial"/>
                <w:b/>
                <w:bCs/>
                <w:color w:val="000000"/>
                <w:kern w:val="0"/>
                <w:lang w:val="en-GB" w:eastAsia="en-IN"/>
                <w14:ligatures w14:val="none"/>
              </w:rPr>
            </w:pPr>
          </w:p>
        </w:tc>
      </w:tr>
      <w:tr w:rsidR="00505BDB" w:rsidRPr="004B0336" w14:paraId="70C0B655" w14:textId="77777777" w:rsidTr="00505BDB">
        <w:trPr>
          <w:trHeight w:val="312"/>
        </w:trPr>
        <w:tc>
          <w:tcPr>
            <w:tcW w:w="2760" w:type="dxa"/>
            <w:tcBorders>
              <w:top w:val="nil"/>
              <w:left w:val="single" w:sz="4" w:space="0" w:color="auto"/>
              <w:bottom w:val="single" w:sz="4" w:space="0" w:color="auto"/>
              <w:right w:val="single" w:sz="4" w:space="0" w:color="auto"/>
            </w:tcBorders>
            <w:shd w:val="clear" w:color="000000" w:fill="CCFFFF"/>
            <w:noWrap/>
            <w:vAlign w:val="bottom"/>
            <w:hideMark/>
          </w:tcPr>
          <w:p w14:paraId="04F7B71B"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Initial investment £m</w:t>
            </w:r>
          </w:p>
        </w:tc>
        <w:tc>
          <w:tcPr>
            <w:tcW w:w="1560" w:type="dxa"/>
            <w:tcBorders>
              <w:top w:val="nil"/>
              <w:left w:val="nil"/>
              <w:bottom w:val="single" w:sz="4" w:space="0" w:color="auto"/>
              <w:right w:val="single" w:sz="4" w:space="0" w:color="auto"/>
            </w:tcBorders>
            <w:shd w:val="clear" w:color="000000" w:fill="CCFFFF"/>
            <w:noWrap/>
            <w:vAlign w:val="bottom"/>
            <w:hideMark/>
          </w:tcPr>
          <w:p w14:paraId="2E38405B"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50</w:t>
            </w:r>
          </w:p>
        </w:tc>
        <w:tc>
          <w:tcPr>
            <w:tcW w:w="2120" w:type="dxa"/>
            <w:tcBorders>
              <w:top w:val="nil"/>
              <w:left w:val="nil"/>
              <w:bottom w:val="nil"/>
              <w:right w:val="nil"/>
            </w:tcBorders>
            <w:noWrap/>
            <w:vAlign w:val="bottom"/>
            <w:hideMark/>
          </w:tcPr>
          <w:p w14:paraId="3F09A9B7" w14:textId="77777777" w:rsidR="00505BDB" w:rsidRPr="004B0336" w:rsidRDefault="00505BDB" w:rsidP="00EE1D8B">
            <w:pPr>
              <w:spacing w:after="0"/>
              <w:jc w:val="right"/>
              <w:rPr>
                <w:rFonts w:eastAsia="Times New Roman" w:cs="Arial"/>
                <w:color w:val="000000"/>
                <w:kern w:val="0"/>
                <w:lang w:val="en-GB" w:eastAsia="en-IN"/>
                <w14:ligatures w14:val="none"/>
              </w:rPr>
            </w:pPr>
          </w:p>
        </w:tc>
      </w:tr>
      <w:tr w:rsidR="00505BDB" w:rsidRPr="004B0336" w14:paraId="32703FC7" w14:textId="77777777" w:rsidTr="00505BDB">
        <w:trPr>
          <w:trHeight w:val="312"/>
        </w:trPr>
        <w:tc>
          <w:tcPr>
            <w:tcW w:w="2760" w:type="dxa"/>
            <w:tcBorders>
              <w:top w:val="nil"/>
              <w:left w:val="single" w:sz="4" w:space="0" w:color="auto"/>
              <w:bottom w:val="single" w:sz="4" w:space="0" w:color="auto"/>
              <w:right w:val="single" w:sz="4" w:space="0" w:color="auto"/>
            </w:tcBorders>
            <w:shd w:val="clear" w:color="000000" w:fill="CCFFFF"/>
            <w:noWrap/>
            <w:vAlign w:val="bottom"/>
            <w:hideMark/>
          </w:tcPr>
          <w:p w14:paraId="2C1FC774"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Years</w:t>
            </w:r>
          </w:p>
        </w:tc>
        <w:tc>
          <w:tcPr>
            <w:tcW w:w="1560" w:type="dxa"/>
            <w:tcBorders>
              <w:top w:val="nil"/>
              <w:left w:val="nil"/>
              <w:bottom w:val="single" w:sz="4" w:space="0" w:color="auto"/>
              <w:right w:val="single" w:sz="4" w:space="0" w:color="auto"/>
            </w:tcBorders>
            <w:shd w:val="clear" w:color="000000" w:fill="CCFFFF"/>
            <w:noWrap/>
            <w:vAlign w:val="bottom"/>
            <w:hideMark/>
          </w:tcPr>
          <w:p w14:paraId="5A336842"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w:t>
            </w:r>
          </w:p>
        </w:tc>
        <w:tc>
          <w:tcPr>
            <w:tcW w:w="2120" w:type="dxa"/>
            <w:tcBorders>
              <w:top w:val="nil"/>
              <w:left w:val="nil"/>
              <w:bottom w:val="nil"/>
              <w:right w:val="nil"/>
            </w:tcBorders>
            <w:noWrap/>
            <w:vAlign w:val="bottom"/>
            <w:hideMark/>
          </w:tcPr>
          <w:p w14:paraId="013391E2" w14:textId="77777777" w:rsidR="00505BDB" w:rsidRPr="004B0336" w:rsidRDefault="00505BDB" w:rsidP="00EE1D8B">
            <w:pPr>
              <w:spacing w:after="0"/>
              <w:jc w:val="right"/>
              <w:rPr>
                <w:rFonts w:eastAsia="Times New Roman" w:cs="Arial"/>
                <w:color w:val="000000"/>
                <w:kern w:val="0"/>
                <w:lang w:val="en-GB" w:eastAsia="en-IN"/>
                <w14:ligatures w14:val="none"/>
              </w:rPr>
            </w:pPr>
          </w:p>
        </w:tc>
      </w:tr>
      <w:tr w:rsidR="00505BDB" w:rsidRPr="004B0336" w14:paraId="7CEAE59B" w14:textId="77777777" w:rsidTr="00505BDB">
        <w:trPr>
          <w:trHeight w:val="312"/>
        </w:trPr>
        <w:tc>
          <w:tcPr>
            <w:tcW w:w="2760" w:type="dxa"/>
            <w:tcBorders>
              <w:top w:val="nil"/>
              <w:left w:val="single" w:sz="4" w:space="0" w:color="auto"/>
              <w:bottom w:val="single" w:sz="4" w:space="0" w:color="auto"/>
              <w:right w:val="single" w:sz="4" w:space="0" w:color="auto"/>
            </w:tcBorders>
            <w:shd w:val="clear" w:color="000000" w:fill="CCFFFF"/>
            <w:noWrap/>
            <w:vAlign w:val="bottom"/>
            <w:hideMark/>
          </w:tcPr>
          <w:p w14:paraId="174B835F"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Annual depreciation</w:t>
            </w:r>
          </w:p>
        </w:tc>
        <w:tc>
          <w:tcPr>
            <w:tcW w:w="1560" w:type="dxa"/>
            <w:tcBorders>
              <w:top w:val="nil"/>
              <w:left w:val="nil"/>
              <w:bottom w:val="single" w:sz="4" w:space="0" w:color="auto"/>
              <w:right w:val="single" w:sz="4" w:space="0" w:color="auto"/>
            </w:tcBorders>
            <w:shd w:val="clear" w:color="000000" w:fill="CCFFFF"/>
            <w:noWrap/>
            <w:vAlign w:val="bottom"/>
            <w:hideMark/>
          </w:tcPr>
          <w:p w14:paraId="46FB9CD4"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10</w:t>
            </w:r>
          </w:p>
        </w:tc>
        <w:tc>
          <w:tcPr>
            <w:tcW w:w="2120" w:type="dxa"/>
            <w:tcBorders>
              <w:top w:val="nil"/>
              <w:left w:val="nil"/>
              <w:bottom w:val="nil"/>
              <w:right w:val="nil"/>
            </w:tcBorders>
            <w:noWrap/>
            <w:vAlign w:val="bottom"/>
            <w:hideMark/>
          </w:tcPr>
          <w:p w14:paraId="3DBC53E2" w14:textId="77777777" w:rsidR="00505BDB" w:rsidRPr="004B0336" w:rsidRDefault="00505BDB" w:rsidP="00EE1D8B">
            <w:pPr>
              <w:spacing w:after="0"/>
              <w:jc w:val="right"/>
              <w:rPr>
                <w:rFonts w:eastAsia="Times New Roman" w:cs="Arial"/>
                <w:color w:val="000000"/>
                <w:kern w:val="0"/>
                <w:lang w:val="en-GB" w:eastAsia="en-IN"/>
                <w14:ligatures w14:val="none"/>
              </w:rPr>
            </w:pPr>
          </w:p>
        </w:tc>
      </w:tr>
      <w:tr w:rsidR="00505BDB" w:rsidRPr="004B0336" w14:paraId="4698922F" w14:textId="77777777" w:rsidTr="00505BDB">
        <w:trPr>
          <w:trHeight w:val="312"/>
        </w:trPr>
        <w:tc>
          <w:tcPr>
            <w:tcW w:w="2760" w:type="dxa"/>
            <w:tcBorders>
              <w:top w:val="nil"/>
              <w:left w:val="single" w:sz="4" w:space="0" w:color="auto"/>
              <w:bottom w:val="single" w:sz="4" w:space="0" w:color="auto"/>
              <w:right w:val="single" w:sz="4" w:space="0" w:color="auto"/>
            </w:tcBorders>
            <w:shd w:val="clear" w:color="000000" w:fill="CCFFFF"/>
            <w:noWrap/>
            <w:vAlign w:val="bottom"/>
            <w:hideMark/>
          </w:tcPr>
          <w:p w14:paraId="5A7769B6" w14:textId="77777777" w:rsidR="00505BDB" w:rsidRPr="004B0336" w:rsidRDefault="00505BDB" w:rsidP="00EE1D8B">
            <w:pPr>
              <w:spacing w:after="0"/>
              <w:jc w:val="center"/>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Year</w:t>
            </w:r>
          </w:p>
        </w:tc>
        <w:tc>
          <w:tcPr>
            <w:tcW w:w="1560" w:type="dxa"/>
            <w:tcBorders>
              <w:top w:val="nil"/>
              <w:left w:val="nil"/>
              <w:bottom w:val="single" w:sz="4" w:space="0" w:color="auto"/>
              <w:right w:val="single" w:sz="4" w:space="0" w:color="auto"/>
            </w:tcBorders>
            <w:shd w:val="clear" w:color="000000" w:fill="CCFFFF"/>
            <w:noWrap/>
            <w:vAlign w:val="bottom"/>
            <w:hideMark/>
          </w:tcPr>
          <w:p w14:paraId="321F5571" w14:textId="1F2D2D55" w:rsidR="00505BDB" w:rsidRPr="004B0336" w:rsidRDefault="00505BDB" w:rsidP="00EE1D8B">
            <w:pPr>
              <w:spacing w:after="0"/>
              <w:jc w:val="center"/>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xml:space="preserve">Cash Flow </w:t>
            </w:r>
          </w:p>
        </w:tc>
        <w:tc>
          <w:tcPr>
            <w:tcW w:w="2120" w:type="dxa"/>
            <w:tcBorders>
              <w:top w:val="single" w:sz="4" w:space="0" w:color="auto"/>
              <w:left w:val="nil"/>
              <w:bottom w:val="single" w:sz="4" w:space="0" w:color="auto"/>
              <w:right w:val="single" w:sz="4" w:space="0" w:color="auto"/>
            </w:tcBorders>
            <w:shd w:val="clear" w:color="000000" w:fill="CCFFFF"/>
            <w:noWrap/>
            <w:vAlign w:val="bottom"/>
            <w:hideMark/>
          </w:tcPr>
          <w:p w14:paraId="771DA039" w14:textId="77777777" w:rsidR="00505BDB" w:rsidRPr="004B0336" w:rsidRDefault="00505BDB" w:rsidP="00EE1D8B">
            <w:pPr>
              <w:spacing w:after="0"/>
              <w:jc w:val="center"/>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Profit</w:t>
            </w:r>
          </w:p>
        </w:tc>
      </w:tr>
      <w:tr w:rsidR="00505BDB" w:rsidRPr="004B0336" w14:paraId="5152465B" w14:textId="77777777" w:rsidTr="00505BDB">
        <w:trPr>
          <w:trHeight w:val="312"/>
        </w:trPr>
        <w:tc>
          <w:tcPr>
            <w:tcW w:w="2760" w:type="dxa"/>
            <w:tcBorders>
              <w:top w:val="nil"/>
              <w:left w:val="single" w:sz="4" w:space="0" w:color="auto"/>
              <w:bottom w:val="single" w:sz="4" w:space="0" w:color="auto"/>
              <w:right w:val="single" w:sz="4" w:space="0" w:color="auto"/>
            </w:tcBorders>
            <w:shd w:val="clear" w:color="000000" w:fill="CCFFFF"/>
            <w:noWrap/>
            <w:vAlign w:val="bottom"/>
            <w:hideMark/>
          </w:tcPr>
          <w:p w14:paraId="662CE911"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w:t>
            </w:r>
          </w:p>
        </w:tc>
        <w:tc>
          <w:tcPr>
            <w:tcW w:w="1560" w:type="dxa"/>
            <w:tcBorders>
              <w:top w:val="nil"/>
              <w:left w:val="nil"/>
              <w:bottom w:val="single" w:sz="4" w:space="0" w:color="auto"/>
              <w:right w:val="single" w:sz="4" w:space="0" w:color="auto"/>
            </w:tcBorders>
            <w:shd w:val="clear" w:color="000000" w:fill="CCFFFF"/>
            <w:noWrap/>
            <w:vAlign w:val="bottom"/>
            <w:hideMark/>
          </w:tcPr>
          <w:p w14:paraId="63F622C4"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w:t>
            </w:r>
          </w:p>
        </w:tc>
        <w:tc>
          <w:tcPr>
            <w:tcW w:w="2120" w:type="dxa"/>
            <w:tcBorders>
              <w:top w:val="nil"/>
              <w:left w:val="nil"/>
              <w:bottom w:val="single" w:sz="4" w:space="0" w:color="auto"/>
              <w:right w:val="single" w:sz="4" w:space="0" w:color="auto"/>
            </w:tcBorders>
            <w:shd w:val="clear" w:color="000000" w:fill="CCFFFF"/>
            <w:noWrap/>
            <w:vAlign w:val="bottom"/>
            <w:hideMark/>
          </w:tcPr>
          <w:p w14:paraId="74A0A120"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w:t>
            </w:r>
          </w:p>
        </w:tc>
      </w:tr>
      <w:tr w:rsidR="00505BDB" w:rsidRPr="004B0336" w14:paraId="302BED02" w14:textId="77777777" w:rsidTr="00505BDB">
        <w:trPr>
          <w:trHeight w:val="312"/>
        </w:trPr>
        <w:tc>
          <w:tcPr>
            <w:tcW w:w="2760" w:type="dxa"/>
            <w:tcBorders>
              <w:top w:val="nil"/>
              <w:left w:val="single" w:sz="4" w:space="0" w:color="auto"/>
              <w:bottom w:val="single" w:sz="4" w:space="0" w:color="auto"/>
              <w:right w:val="single" w:sz="4" w:space="0" w:color="auto"/>
            </w:tcBorders>
            <w:shd w:val="clear" w:color="000000" w:fill="CCFFFF"/>
            <w:noWrap/>
            <w:vAlign w:val="bottom"/>
            <w:hideMark/>
          </w:tcPr>
          <w:p w14:paraId="5C61E31B"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w:t>
            </w:r>
          </w:p>
        </w:tc>
        <w:tc>
          <w:tcPr>
            <w:tcW w:w="1560" w:type="dxa"/>
            <w:tcBorders>
              <w:top w:val="nil"/>
              <w:left w:val="nil"/>
              <w:bottom w:val="single" w:sz="4" w:space="0" w:color="auto"/>
              <w:right w:val="single" w:sz="4" w:space="0" w:color="auto"/>
            </w:tcBorders>
            <w:shd w:val="clear" w:color="000000" w:fill="CCFFFF"/>
            <w:noWrap/>
            <w:vAlign w:val="bottom"/>
            <w:hideMark/>
          </w:tcPr>
          <w:p w14:paraId="325258AD"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10</w:t>
            </w:r>
          </w:p>
        </w:tc>
        <w:tc>
          <w:tcPr>
            <w:tcW w:w="2120" w:type="dxa"/>
            <w:tcBorders>
              <w:top w:val="nil"/>
              <w:left w:val="nil"/>
              <w:bottom w:val="single" w:sz="4" w:space="0" w:color="auto"/>
              <w:right w:val="single" w:sz="4" w:space="0" w:color="auto"/>
            </w:tcBorders>
            <w:shd w:val="clear" w:color="000000" w:fill="CCFFFF"/>
            <w:noWrap/>
            <w:vAlign w:val="bottom"/>
            <w:hideMark/>
          </w:tcPr>
          <w:p w14:paraId="1C20C4D5"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w:t>
            </w:r>
          </w:p>
        </w:tc>
      </w:tr>
      <w:tr w:rsidR="00505BDB" w:rsidRPr="004B0336" w14:paraId="70172C58" w14:textId="77777777" w:rsidTr="00505BDB">
        <w:trPr>
          <w:trHeight w:val="312"/>
        </w:trPr>
        <w:tc>
          <w:tcPr>
            <w:tcW w:w="2760" w:type="dxa"/>
            <w:tcBorders>
              <w:top w:val="nil"/>
              <w:left w:val="single" w:sz="4" w:space="0" w:color="auto"/>
              <w:bottom w:val="single" w:sz="4" w:space="0" w:color="auto"/>
              <w:right w:val="single" w:sz="4" w:space="0" w:color="auto"/>
            </w:tcBorders>
            <w:shd w:val="clear" w:color="000000" w:fill="CCFFFF"/>
            <w:noWrap/>
            <w:vAlign w:val="bottom"/>
            <w:hideMark/>
          </w:tcPr>
          <w:p w14:paraId="20302019"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3</w:t>
            </w:r>
          </w:p>
        </w:tc>
        <w:tc>
          <w:tcPr>
            <w:tcW w:w="1560" w:type="dxa"/>
            <w:tcBorders>
              <w:top w:val="nil"/>
              <w:left w:val="nil"/>
              <w:bottom w:val="single" w:sz="4" w:space="0" w:color="auto"/>
              <w:right w:val="single" w:sz="4" w:space="0" w:color="auto"/>
            </w:tcBorders>
            <w:shd w:val="clear" w:color="000000" w:fill="CCFFFF"/>
            <w:noWrap/>
            <w:vAlign w:val="bottom"/>
            <w:hideMark/>
          </w:tcPr>
          <w:p w14:paraId="714C25A9"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20</w:t>
            </w:r>
          </w:p>
        </w:tc>
        <w:tc>
          <w:tcPr>
            <w:tcW w:w="2120" w:type="dxa"/>
            <w:tcBorders>
              <w:top w:val="nil"/>
              <w:left w:val="nil"/>
              <w:bottom w:val="single" w:sz="4" w:space="0" w:color="auto"/>
              <w:right w:val="single" w:sz="4" w:space="0" w:color="auto"/>
            </w:tcBorders>
            <w:shd w:val="clear" w:color="000000" w:fill="CCFFFF"/>
            <w:noWrap/>
            <w:vAlign w:val="bottom"/>
            <w:hideMark/>
          </w:tcPr>
          <w:p w14:paraId="114DC8A5"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10</w:t>
            </w:r>
          </w:p>
        </w:tc>
      </w:tr>
      <w:tr w:rsidR="00505BDB" w:rsidRPr="004B0336" w14:paraId="43EC46F7" w14:textId="77777777" w:rsidTr="00505BDB">
        <w:trPr>
          <w:trHeight w:val="312"/>
        </w:trPr>
        <w:tc>
          <w:tcPr>
            <w:tcW w:w="2760" w:type="dxa"/>
            <w:tcBorders>
              <w:top w:val="nil"/>
              <w:left w:val="single" w:sz="4" w:space="0" w:color="auto"/>
              <w:bottom w:val="single" w:sz="4" w:space="0" w:color="auto"/>
              <w:right w:val="single" w:sz="4" w:space="0" w:color="auto"/>
            </w:tcBorders>
            <w:shd w:val="clear" w:color="000000" w:fill="CCFFFF"/>
            <w:noWrap/>
            <w:vAlign w:val="bottom"/>
            <w:hideMark/>
          </w:tcPr>
          <w:p w14:paraId="440D13F8"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4</w:t>
            </w:r>
          </w:p>
        </w:tc>
        <w:tc>
          <w:tcPr>
            <w:tcW w:w="1560" w:type="dxa"/>
            <w:tcBorders>
              <w:top w:val="nil"/>
              <w:left w:val="nil"/>
              <w:bottom w:val="single" w:sz="4" w:space="0" w:color="auto"/>
              <w:right w:val="single" w:sz="4" w:space="0" w:color="auto"/>
            </w:tcBorders>
            <w:shd w:val="clear" w:color="000000" w:fill="CCFFFF"/>
            <w:noWrap/>
            <w:vAlign w:val="bottom"/>
            <w:hideMark/>
          </w:tcPr>
          <w:p w14:paraId="44C3EF6E"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25</w:t>
            </w:r>
          </w:p>
        </w:tc>
        <w:tc>
          <w:tcPr>
            <w:tcW w:w="2120" w:type="dxa"/>
            <w:tcBorders>
              <w:top w:val="nil"/>
              <w:left w:val="nil"/>
              <w:bottom w:val="single" w:sz="4" w:space="0" w:color="auto"/>
              <w:right w:val="single" w:sz="4" w:space="0" w:color="auto"/>
            </w:tcBorders>
            <w:shd w:val="clear" w:color="000000" w:fill="CCFFFF"/>
            <w:noWrap/>
            <w:vAlign w:val="bottom"/>
            <w:hideMark/>
          </w:tcPr>
          <w:p w14:paraId="2BC51CBD"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15</w:t>
            </w:r>
          </w:p>
        </w:tc>
      </w:tr>
      <w:tr w:rsidR="00505BDB" w:rsidRPr="004B0336" w14:paraId="6CDF32DA" w14:textId="77777777" w:rsidTr="00505BDB">
        <w:trPr>
          <w:trHeight w:val="312"/>
        </w:trPr>
        <w:tc>
          <w:tcPr>
            <w:tcW w:w="2760" w:type="dxa"/>
            <w:tcBorders>
              <w:top w:val="nil"/>
              <w:left w:val="single" w:sz="4" w:space="0" w:color="auto"/>
              <w:bottom w:val="single" w:sz="4" w:space="0" w:color="auto"/>
              <w:right w:val="single" w:sz="4" w:space="0" w:color="auto"/>
            </w:tcBorders>
            <w:shd w:val="clear" w:color="000000" w:fill="CCFFFF"/>
            <w:noWrap/>
            <w:vAlign w:val="bottom"/>
            <w:hideMark/>
          </w:tcPr>
          <w:p w14:paraId="5A6B566F"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w:t>
            </w:r>
          </w:p>
        </w:tc>
        <w:tc>
          <w:tcPr>
            <w:tcW w:w="1560" w:type="dxa"/>
            <w:tcBorders>
              <w:top w:val="nil"/>
              <w:left w:val="nil"/>
              <w:bottom w:val="single" w:sz="4" w:space="0" w:color="auto"/>
              <w:right w:val="single" w:sz="4" w:space="0" w:color="auto"/>
            </w:tcBorders>
            <w:shd w:val="clear" w:color="000000" w:fill="CCFFFF"/>
            <w:noWrap/>
            <w:vAlign w:val="bottom"/>
            <w:hideMark/>
          </w:tcPr>
          <w:p w14:paraId="62DFBEF5"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15</w:t>
            </w:r>
          </w:p>
        </w:tc>
        <w:tc>
          <w:tcPr>
            <w:tcW w:w="2120" w:type="dxa"/>
            <w:tcBorders>
              <w:top w:val="nil"/>
              <w:left w:val="nil"/>
              <w:bottom w:val="single" w:sz="4" w:space="0" w:color="auto"/>
              <w:right w:val="single" w:sz="4" w:space="0" w:color="auto"/>
            </w:tcBorders>
            <w:shd w:val="clear" w:color="000000" w:fill="CCFFFF"/>
            <w:noWrap/>
            <w:vAlign w:val="bottom"/>
            <w:hideMark/>
          </w:tcPr>
          <w:p w14:paraId="3CADA6A7"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w:t>
            </w:r>
          </w:p>
        </w:tc>
      </w:tr>
      <w:tr w:rsidR="00505BDB" w:rsidRPr="004B0336" w14:paraId="0FF0603C" w14:textId="77777777" w:rsidTr="00505BDB">
        <w:trPr>
          <w:trHeight w:val="312"/>
        </w:trPr>
        <w:tc>
          <w:tcPr>
            <w:tcW w:w="2760" w:type="dxa"/>
            <w:tcBorders>
              <w:top w:val="nil"/>
              <w:left w:val="single" w:sz="4" w:space="0" w:color="auto"/>
              <w:bottom w:val="single" w:sz="4" w:space="0" w:color="auto"/>
              <w:right w:val="single" w:sz="4" w:space="0" w:color="auto"/>
            </w:tcBorders>
            <w:shd w:val="clear" w:color="000000" w:fill="CCFFFF"/>
            <w:noWrap/>
            <w:vAlign w:val="bottom"/>
            <w:hideMark/>
          </w:tcPr>
          <w:p w14:paraId="49AEBB66" w14:textId="2330D6D8"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xml:space="preserve">Average Annual profit </w:t>
            </w:r>
          </w:p>
        </w:tc>
        <w:tc>
          <w:tcPr>
            <w:tcW w:w="1560" w:type="dxa"/>
            <w:tcBorders>
              <w:top w:val="nil"/>
              <w:left w:val="nil"/>
              <w:bottom w:val="single" w:sz="4" w:space="0" w:color="auto"/>
              <w:right w:val="single" w:sz="4" w:space="0" w:color="auto"/>
            </w:tcBorders>
            <w:shd w:val="clear" w:color="000000" w:fill="CCFFFF"/>
            <w:noWrap/>
            <w:vAlign w:val="bottom"/>
            <w:hideMark/>
          </w:tcPr>
          <w:p w14:paraId="4F58089A"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w:t>
            </w:r>
          </w:p>
        </w:tc>
        <w:tc>
          <w:tcPr>
            <w:tcW w:w="2120" w:type="dxa"/>
            <w:tcBorders>
              <w:top w:val="nil"/>
              <w:left w:val="nil"/>
              <w:bottom w:val="single" w:sz="4" w:space="0" w:color="auto"/>
              <w:right w:val="single" w:sz="4" w:space="0" w:color="auto"/>
            </w:tcBorders>
            <w:shd w:val="clear" w:color="000000" w:fill="CCFFFF"/>
            <w:noWrap/>
            <w:vAlign w:val="bottom"/>
            <w:hideMark/>
          </w:tcPr>
          <w:p w14:paraId="7F4EDFE5" w14:textId="77777777" w:rsidR="00505BDB" w:rsidRPr="004B0336" w:rsidRDefault="00505BDB"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 </w:t>
            </w:r>
          </w:p>
        </w:tc>
      </w:tr>
      <w:tr w:rsidR="00505BDB" w:rsidRPr="004B0336" w14:paraId="272F14A9" w14:textId="77777777" w:rsidTr="00505BDB">
        <w:trPr>
          <w:trHeight w:val="312"/>
        </w:trPr>
        <w:tc>
          <w:tcPr>
            <w:tcW w:w="2760" w:type="dxa"/>
            <w:tcBorders>
              <w:top w:val="nil"/>
              <w:left w:val="single" w:sz="4" w:space="0" w:color="auto"/>
              <w:bottom w:val="single" w:sz="4" w:space="0" w:color="auto"/>
              <w:right w:val="single" w:sz="4" w:space="0" w:color="auto"/>
            </w:tcBorders>
            <w:shd w:val="clear" w:color="000000" w:fill="CCFFFF"/>
            <w:noWrap/>
            <w:vAlign w:val="bottom"/>
            <w:hideMark/>
          </w:tcPr>
          <w:p w14:paraId="13A8A402"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Average Investment</w:t>
            </w:r>
          </w:p>
        </w:tc>
        <w:tc>
          <w:tcPr>
            <w:tcW w:w="1560" w:type="dxa"/>
            <w:tcBorders>
              <w:top w:val="nil"/>
              <w:left w:val="nil"/>
              <w:bottom w:val="single" w:sz="4" w:space="0" w:color="auto"/>
              <w:right w:val="single" w:sz="4" w:space="0" w:color="auto"/>
            </w:tcBorders>
            <w:shd w:val="clear" w:color="000000" w:fill="CCFFFF"/>
            <w:noWrap/>
            <w:vAlign w:val="bottom"/>
            <w:hideMark/>
          </w:tcPr>
          <w:p w14:paraId="47A89BC5"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25</w:t>
            </w:r>
          </w:p>
        </w:tc>
        <w:tc>
          <w:tcPr>
            <w:tcW w:w="2120" w:type="dxa"/>
            <w:tcBorders>
              <w:top w:val="nil"/>
              <w:left w:val="nil"/>
              <w:bottom w:val="single" w:sz="4" w:space="0" w:color="auto"/>
              <w:right w:val="single" w:sz="4" w:space="0" w:color="auto"/>
            </w:tcBorders>
            <w:shd w:val="clear" w:color="000000" w:fill="CCFFFF"/>
            <w:noWrap/>
            <w:vAlign w:val="bottom"/>
            <w:hideMark/>
          </w:tcPr>
          <w:p w14:paraId="2A6CB381" w14:textId="77777777" w:rsidR="00505BDB" w:rsidRPr="004B0336" w:rsidRDefault="00505BDB"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 </w:t>
            </w:r>
          </w:p>
        </w:tc>
      </w:tr>
      <w:tr w:rsidR="00505BDB" w:rsidRPr="004B0336" w14:paraId="21E790ED" w14:textId="77777777" w:rsidTr="00505BDB">
        <w:trPr>
          <w:trHeight w:val="312"/>
        </w:trPr>
        <w:tc>
          <w:tcPr>
            <w:tcW w:w="2760" w:type="dxa"/>
            <w:tcBorders>
              <w:top w:val="nil"/>
              <w:left w:val="single" w:sz="4" w:space="0" w:color="auto"/>
              <w:bottom w:val="single" w:sz="4" w:space="0" w:color="auto"/>
              <w:right w:val="single" w:sz="4" w:space="0" w:color="auto"/>
            </w:tcBorders>
            <w:shd w:val="clear" w:color="000000" w:fill="CCFFFF"/>
            <w:noWrap/>
            <w:vAlign w:val="bottom"/>
            <w:hideMark/>
          </w:tcPr>
          <w:p w14:paraId="54386518"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ARR</w:t>
            </w:r>
          </w:p>
        </w:tc>
        <w:tc>
          <w:tcPr>
            <w:tcW w:w="1560" w:type="dxa"/>
            <w:tcBorders>
              <w:top w:val="nil"/>
              <w:left w:val="nil"/>
              <w:bottom w:val="single" w:sz="4" w:space="0" w:color="auto"/>
              <w:right w:val="single" w:sz="4" w:space="0" w:color="auto"/>
            </w:tcBorders>
            <w:shd w:val="clear" w:color="000000" w:fill="CCFFFF"/>
            <w:noWrap/>
            <w:vAlign w:val="bottom"/>
            <w:hideMark/>
          </w:tcPr>
          <w:p w14:paraId="128B316C"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20</w:t>
            </w:r>
          </w:p>
        </w:tc>
        <w:tc>
          <w:tcPr>
            <w:tcW w:w="2120" w:type="dxa"/>
            <w:tcBorders>
              <w:top w:val="nil"/>
              <w:left w:val="nil"/>
              <w:bottom w:val="single" w:sz="4" w:space="0" w:color="auto"/>
              <w:right w:val="single" w:sz="4" w:space="0" w:color="auto"/>
            </w:tcBorders>
            <w:shd w:val="clear" w:color="000000" w:fill="CCFFFF"/>
            <w:noWrap/>
            <w:vAlign w:val="bottom"/>
            <w:hideMark/>
          </w:tcPr>
          <w:p w14:paraId="00F3BEB3"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xml:space="preserve">In percentage </w:t>
            </w:r>
          </w:p>
        </w:tc>
      </w:tr>
    </w:tbl>
    <w:p w14:paraId="57A25564" w14:textId="77777777" w:rsidR="00505BDB" w:rsidRPr="004B0336" w:rsidRDefault="00505BDB" w:rsidP="00EE1D8B">
      <w:pPr>
        <w:rPr>
          <w:rFonts w:cs="Arial"/>
          <w:b/>
          <w:bCs/>
          <w:i/>
          <w:iCs/>
          <w:lang w:val="en-GB"/>
        </w:rPr>
      </w:pPr>
    </w:p>
    <w:p w14:paraId="073248A5" w14:textId="355709CC" w:rsidR="00505BDB" w:rsidRPr="004B0336" w:rsidRDefault="00505BDB" w:rsidP="00EE1D8B">
      <w:pPr>
        <w:rPr>
          <w:rFonts w:cs="Arial"/>
          <w:b/>
          <w:bCs/>
          <w:i/>
          <w:iCs/>
          <w:lang w:val="en-GB"/>
        </w:rPr>
      </w:pPr>
      <w:r w:rsidRPr="004B0336">
        <w:rPr>
          <w:rFonts w:cs="Arial"/>
          <w:b/>
          <w:bCs/>
          <w:i/>
          <w:iCs/>
          <w:lang w:val="en-GB"/>
        </w:rPr>
        <w:t>NPV</w:t>
      </w:r>
      <w:r w:rsidR="0057611D" w:rsidRPr="004B0336">
        <w:rPr>
          <w:rFonts w:cs="Arial"/>
          <w:b/>
          <w:bCs/>
          <w:i/>
          <w:iCs/>
          <w:lang w:val="en-GB"/>
        </w:rPr>
        <w:t xml:space="preserve"> and PI</w:t>
      </w:r>
    </w:p>
    <w:tbl>
      <w:tblPr>
        <w:tblW w:w="6840" w:type="dxa"/>
        <w:tblLook w:val="04A0" w:firstRow="1" w:lastRow="0" w:firstColumn="1" w:lastColumn="0" w:noHBand="0" w:noVBand="1"/>
      </w:tblPr>
      <w:tblGrid>
        <w:gridCol w:w="1720"/>
        <w:gridCol w:w="1710"/>
        <w:gridCol w:w="1880"/>
        <w:gridCol w:w="1618"/>
      </w:tblGrid>
      <w:tr w:rsidR="00505BDB" w:rsidRPr="004B0336" w14:paraId="59EBCF7E" w14:textId="77777777" w:rsidTr="00505BDB">
        <w:trPr>
          <w:trHeight w:val="1248"/>
        </w:trPr>
        <w:tc>
          <w:tcPr>
            <w:tcW w:w="172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7047FA4A"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Discount Rate</w:t>
            </w:r>
          </w:p>
        </w:tc>
        <w:tc>
          <w:tcPr>
            <w:tcW w:w="1660" w:type="dxa"/>
            <w:tcBorders>
              <w:top w:val="single" w:sz="4" w:space="0" w:color="auto"/>
              <w:left w:val="nil"/>
              <w:bottom w:val="single" w:sz="4" w:space="0" w:color="auto"/>
              <w:right w:val="single" w:sz="4" w:space="0" w:color="auto"/>
            </w:tcBorders>
            <w:shd w:val="clear" w:color="000000" w:fill="CCFFFF"/>
            <w:noWrap/>
            <w:vAlign w:val="bottom"/>
            <w:hideMark/>
          </w:tcPr>
          <w:p w14:paraId="1459EDBC"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10%</w:t>
            </w:r>
          </w:p>
        </w:tc>
        <w:tc>
          <w:tcPr>
            <w:tcW w:w="1880" w:type="dxa"/>
            <w:tcBorders>
              <w:top w:val="nil"/>
              <w:left w:val="nil"/>
              <w:bottom w:val="nil"/>
              <w:right w:val="nil"/>
            </w:tcBorders>
            <w:noWrap/>
            <w:vAlign w:val="bottom"/>
            <w:hideMark/>
          </w:tcPr>
          <w:p w14:paraId="5901FAB8" w14:textId="77777777" w:rsidR="00505BDB" w:rsidRPr="004B0336" w:rsidRDefault="00505BDB" w:rsidP="00EE1D8B">
            <w:pPr>
              <w:spacing w:after="0"/>
              <w:jc w:val="right"/>
              <w:rPr>
                <w:rFonts w:eastAsia="Times New Roman" w:cs="Arial"/>
                <w:color w:val="000000"/>
                <w:kern w:val="0"/>
                <w:lang w:val="en-GB" w:eastAsia="en-IN"/>
                <w14:ligatures w14:val="none"/>
              </w:rPr>
            </w:pPr>
          </w:p>
        </w:tc>
        <w:tc>
          <w:tcPr>
            <w:tcW w:w="1580" w:type="dxa"/>
            <w:tcBorders>
              <w:top w:val="nil"/>
              <w:left w:val="nil"/>
              <w:bottom w:val="nil"/>
              <w:right w:val="nil"/>
            </w:tcBorders>
            <w:noWrap/>
            <w:vAlign w:val="bottom"/>
            <w:hideMark/>
          </w:tcPr>
          <w:p w14:paraId="3BFC523D" w14:textId="77777777" w:rsidR="00505BDB" w:rsidRPr="004B0336" w:rsidRDefault="00505BDB" w:rsidP="00EE1D8B">
            <w:pPr>
              <w:spacing w:after="0"/>
              <w:jc w:val="left"/>
              <w:rPr>
                <w:rFonts w:eastAsia="Times New Roman" w:cs="Arial"/>
                <w:kern w:val="0"/>
                <w:sz w:val="20"/>
                <w:szCs w:val="20"/>
                <w:lang w:val="en-GB" w:eastAsia="en-IN"/>
                <w14:ligatures w14:val="none"/>
              </w:rPr>
            </w:pPr>
          </w:p>
        </w:tc>
      </w:tr>
      <w:tr w:rsidR="00505BDB" w:rsidRPr="004B0336" w14:paraId="7B763FB8" w14:textId="77777777" w:rsidTr="00505BDB">
        <w:trPr>
          <w:trHeight w:val="312"/>
        </w:trPr>
        <w:tc>
          <w:tcPr>
            <w:tcW w:w="1720" w:type="dxa"/>
            <w:tcBorders>
              <w:top w:val="nil"/>
              <w:left w:val="single" w:sz="4" w:space="0" w:color="auto"/>
              <w:bottom w:val="nil"/>
              <w:right w:val="single" w:sz="4" w:space="0" w:color="auto"/>
            </w:tcBorders>
            <w:shd w:val="clear" w:color="000000" w:fill="CCFFFF"/>
            <w:noWrap/>
            <w:vAlign w:val="bottom"/>
            <w:hideMark/>
          </w:tcPr>
          <w:p w14:paraId="4683ECBD"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Year</w:t>
            </w:r>
          </w:p>
        </w:tc>
        <w:tc>
          <w:tcPr>
            <w:tcW w:w="1660" w:type="dxa"/>
            <w:tcBorders>
              <w:top w:val="nil"/>
              <w:left w:val="nil"/>
              <w:bottom w:val="nil"/>
              <w:right w:val="single" w:sz="4" w:space="0" w:color="auto"/>
            </w:tcBorders>
            <w:shd w:val="clear" w:color="000000" w:fill="CCFFFF"/>
            <w:noWrap/>
            <w:vAlign w:val="bottom"/>
            <w:hideMark/>
          </w:tcPr>
          <w:p w14:paraId="4E1DF1F1"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Formula</w:t>
            </w:r>
          </w:p>
        </w:tc>
        <w:tc>
          <w:tcPr>
            <w:tcW w:w="1880" w:type="dxa"/>
            <w:tcBorders>
              <w:top w:val="single" w:sz="4" w:space="0" w:color="auto"/>
              <w:left w:val="nil"/>
              <w:bottom w:val="single" w:sz="4" w:space="0" w:color="auto"/>
              <w:right w:val="single" w:sz="4" w:space="0" w:color="auto"/>
            </w:tcBorders>
            <w:shd w:val="clear" w:color="000000" w:fill="CCFFFF"/>
            <w:noWrap/>
            <w:vAlign w:val="bottom"/>
            <w:hideMark/>
          </w:tcPr>
          <w:p w14:paraId="6DD777E0"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Discount factor</w:t>
            </w:r>
          </w:p>
        </w:tc>
        <w:tc>
          <w:tcPr>
            <w:tcW w:w="1580" w:type="dxa"/>
            <w:tcBorders>
              <w:top w:val="single" w:sz="4" w:space="0" w:color="auto"/>
              <w:left w:val="nil"/>
              <w:bottom w:val="single" w:sz="4" w:space="0" w:color="auto"/>
              <w:right w:val="single" w:sz="4" w:space="0" w:color="auto"/>
            </w:tcBorders>
            <w:shd w:val="clear" w:color="000000" w:fill="CCFFFF"/>
            <w:noWrap/>
            <w:vAlign w:val="bottom"/>
            <w:hideMark/>
          </w:tcPr>
          <w:p w14:paraId="7E1EB798"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PV</w:t>
            </w:r>
          </w:p>
        </w:tc>
      </w:tr>
      <w:tr w:rsidR="00505BDB" w:rsidRPr="004B0336" w14:paraId="7304FA39" w14:textId="77777777" w:rsidTr="00505BDB">
        <w:trPr>
          <w:trHeight w:val="312"/>
        </w:trPr>
        <w:tc>
          <w:tcPr>
            <w:tcW w:w="172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02777FA4"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w:t>
            </w:r>
          </w:p>
        </w:tc>
        <w:tc>
          <w:tcPr>
            <w:tcW w:w="1660" w:type="dxa"/>
            <w:tcBorders>
              <w:top w:val="single" w:sz="4" w:space="0" w:color="auto"/>
              <w:left w:val="nil"/>
              <w:bottom w:val="single" w:sz="4" w:space="0" w:color="auto"/>
              <w:right w:val="single" w:sz="4" w:space="0" w:color="auto"/>
            </w:tcBorders>
            <w:shd w:val="clear" w:color="000000" w:fill="CCFFFF"/>
            <w:noWrap/>
            <w:vAlign w:val="bottom"/>
            <w:hideMark/>
          </w:tcPr>
          <w:p w14:paraId="3D686B8E" w14:textId="77777777" w:rsidR="00505BDB" w:rsidRPr="004B0336" w:rsidRDefault="00505BDB"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[1/(1+10%)]^1</w:t>
            </w:r>
          </w:p>
        </w:tc>
        <w:tc>
          <w:tcPr>
            <w:tcW w:w="1880" w:type="dxa"/>
            <w:tcBorders>
              <w:top w:val="nil"/>
              <w:left w:val="nil"/>
              <w:bottom w:val="single" w:sz="4" w:space="0" w:color="auto"/>
              <w:right w:val="single" w:sz="4" w:space="0" w:color="auto"/>
            </w:tcBorders>
            <w:shd w:val="clear" w:color="000000" w:fill="CCFFFF"/>
            <w:noWrap/>
            <w:vAlign w:val="bottom"/>
            <w:hideMark/>
          </w:tcPr>
          <w:p w14:paraId="69F2EA2C"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0.909090909</w:t>
            </w:r>
          </w:p>
        </w:tc>
        <w:tc>
          <w:tcPr>
            <w:tcW w:w="1580" w:type="dxa"/>
            <w:tcBorders>
              <w:top w:val="nil"/>
              <w:left w:val="nil"/>
              <w:bottom w:val="single" w:sz="4" w:space="0" w:color="auto"/>
              <w:right w:val="single" w:sz="4" w:space="0" w:color="auto"/>
            </w:tcBorders>
            <w:shd w:val="clear" w:color="000000" w:fill="CCFFFF"/>
            <w:noWrap/>
            <w:vAlign w:val="bottom"/>
            <w:hideMark/>
          </w:tcPr>
          <w:p w14:paraId="270E84AF"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4.545454545</w:t>
            </w:r>
          </w:p>
        </w:tc>
      </w:tr>
      <w:tr w:rsidR="00505BDB" w:rsidRPr="004B0336" w14:paraId="3ECC4B03"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CCFFFF"/>
            <w:noWrap/>
            <w:vAlign w:val="bottom"/>
            <w:hideMark/>
          </w:tcPr>
          <w:p w14:paraId="210055F1"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w:t>
            </w:r>
          </w:p>
        </w:tc>
        <w:tc>
          <w:tcPr>
            <w:tcW w:w="1660" w:type="dxa"/>
            <w:tcBorders>
              <w:top w:val="nil"/>
              <w:left w:val="nil"/>
              <w:bottom w:val="single" w:sz="4" w:space="0" w:color="auto"/>
              <w:right w:val="single" w:sz="4" w:space="0" w:color="auto"/>
            </w:tcBorders>
            <w:shd w:val="clear" w:color="000000" w:fill="CCFFFF"/>
            <w:noWrap/>
            <w:vAlign w:val="bottom"/>
            <w:hideMark/>
          </w:tcPr>
          <w:p w14:paraId="24EDD47F" w14:textId="77777777" w:rsidR="00505BDB" w:rsidRPr="004B0336" w:rsidRDefault="00505BDB"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[1/(1+10%)]^2</w:t>
            </w:r>
          </w:p>
        </w:tc>
        <w:tc>
          <w:tcPr>
            <w:tcW w:w="1880" w:type="dxa"/>
            <w:tcBorders>
              <w:top w:val="nil"/>
              <w:left w:val="nil"/>
              <w:bottom w:val="single" w:sz="4" w:space="0" w:color="auto"/>
              <w:right w:val="single" w:sz="4" w:space="0" w:color="auto"/>
            </w:tcBorders>
            <w:shd w:val="clear" w:color="000000" w:fill="CCFFFF"/>
            <w:noWrap/>
            <w:vAlign w:val="bottom"/>
            <w:hideMark/>
          </w:tcPr>
          <w:p w14:paraId="52FDCCB9"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0.826446281</w:t>
            </w:r>
          </w:p>
        </w:tc>
        <w:tc>
          <w:tcPr>
            <w:tcW w:w="1580" w:type="dxa"/>
            <w:tcBorders>
              <w:top w:val="nil"/>
              <w:left w:val="nil"/>
              <w:bottom w:val="single" w:sz="4" w:space="0" w:color="auto"/>
              <w:right w:val="single" w:sz="4" w:space="0" w:color="auto"/>
            </w:tcBorders>
            <w:shd w:val="clear" w:color="000000" w:fill="CCFFFF"/>
            <w:noWrap/>
            <w:vAlign w:val="bottom"/>
            <w:hideMark/>
          </w:tcPr>
          <w:p w14:paraId="6DA3C513"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8.26446281</w:t>
            </w:r>
          </w:p>
        </w:tc>
      </w:tr>
      <w:tr w:rsidR="00505BDB" w:rsidRPr="004B0336" w14:paraId="3A1C6DB3"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CCFFFF"/>
            <w:noWrap/>
            <w:vAlign w:val="bottom"/>
            <w:hideMark/>
          </w:tcPr>
          <w:p w14:paraId="3E667527"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3</w:t>
            </w:r>
          </w:p>
        </w:tc>
        <w:tc>
          <w:tcPr>
            <w:tcW w:w="1660" w:type="dxa"/>
            <w:tcBorders>
              <w:top w:val="nil"/>
              <w:left w:val="nil"/>
              <w:bottom w:val="single" w:sz="4" w:space="0" w:color="auto"/>
              <w:right w:val="single" w:sz="4" w:space="0" w:color="auto"/>
            </w:tcBorders>
            <w:shd w:val="clear" w:color="000000" w:fill="CCFFFF"/>
            <w:noWrap/>
            <w:vAlign w:val="bottom"/>
            <w:hideMark/>
          </w:tcPr>
          <w:p w14:paraId="7BA92272" w14:textId="77777777" w:rsidR="00505BDB" w:rsidRPr="004B0336" w:rsidRDefault="00505BDB"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[1/(1+10%)]^3</w:t>
            </w:r>
          </w:p>
        </w:tc>
        <w:tc>
          <w:tcPr>
            <w:tcW w:w="1880" w:type="dxa"/>
            <w:tcBorders>
              <w:top w:val="nil"/>
              <w:left w:val="nil"/>
              <w:bottom w:val="single" w:sz="4" w:space="0" w:color="auto"/>
              <w:right w:val="single" w:sz="4" w:space="0" w:color="auto"/>
            </w:tcBorders>
            <w:shd w:val="clear" w:color="000000" w:fill="CCFFFF"/>
            <w:noWrap/>
            <w:vAlign w:val="bottom"/>
            <w:hideMark/>
          </w:tcPr>
          <w:p w14:paraId="229B61FB"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0.751314801</w:t>
            </w:r>
          </w:p>
        </w:tc>
        <w:tc>
          <w:tcPr>
            <w:tcW w:w="1580" w:type="dxa"/>
            <w:tcBorders>
              <w:top w:val="nil"/>
              <w:left w:val="nil"/>
              <w:bottom w:val="single" w:sz="4" w:space="0" w:color="auto"/>
              <w:right w:val="single" w:sz="4" w:space="0" w:color="auto"/>
            </w:tcBorders>
            <w:shd w:val="clear" w:color="000000" w:fill="CCFFFF"/>
            <w:noWrap/>
            <w:vAlign w:val="bottom"/>
            <w:hideMark/>
          </w:tcPr>
          <w:p w14:paraId="3E0AA9AF"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15.02629602</w:t>
            </w:r>
          </w:p>
        </w:tc>
      </w:tr>
      <w:tr w:rsidR="00505BDB" w:rsidRPr="004B0336" w14:paraId="3F9EBB4C"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CCFFFF"/>
            <w:noWrap/>
            <w:vAlign w:val="bottom"/>
            <w:hideMark/>
          </w:tcPr>
          <w:p w14:paraId="6FA93EAC"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4</w:t>
            </w:r>
          </w:p>
        </w:tc>
        <w:tc>
          <w:tcPr>
            <w:tcW w:w="1660" w:type="dxa"/>
            <w:tcBorders>
              <w:top w:val="nil"/>
              <w:left w:val="nil"/>
              <w:bottom w:val="single" w:sz="4" w:space="0" w:color="auto"/>
              <w:right w:val="single" w:sz="4" w:space="0" w:color="auto"/>
            </w:tcBorders>
            <w:shd w:val="clear" w:color="000000" w:fill="CCFFFF"/>
            <w:noWrap/>
            <w:vAlign w:val="bottom"/>
            <w:hideMark/>
          </w:tcPr>
          <w:p w14:paraId="4AD633BC" w14:textId="77777777" w:rsidR="00505BDB" w:rsidRPr="004B0336" w:rsidRDefault="00505BDB"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[1/(1+10%)]^4</w:t>
            </w:r>
          </w:p>
        </w:tc>
        <w:tc>
          <w:tcPr>
            <w:tcW w:w="1880" w:type="dxa"/>
            <w:tcBorders>
              <w:top w:val="nil"/>
              <w:left w:val="nil"/>
              <w:bottom w:val="single" w:sz="4" w:space="0" w:color="auto"/>
              <w:right w:val="single" w:sz="4" w:space="0" w:color="auto"/>
            </w:tcBorders>
            <w:shd w:val="clear" w:color="000000" w:fill="CCFFFF"/>
            <w:noWrap/>
            <w:vAlign w:val="bottom"/>
            <w:hideMark/>
          </w:tcPr>
          <w:p w14:paraId="168B98D4"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0.683013455</w:t>
            </w:r>
          </w:p>
        </w:tc>
        <w:tc>
          <w:tcPr>
            <w:tcW w:w="1580" w:type="dxa"/>
            <w:tcBorders>
              <w:top w:val="nil"/>
              <w:left w:val="nil"/>
              <w:bottom w:val="single" w:sz="4" w:space="0" w:color="auto"/>
              <w:right w:val="single" w:sz="4" w:space="0" w:color="auto"/>
            </w:tcBorders>
            <w:shd w:val="clear" w:color="000000" w:fill="CCFFFF"/>
            <w:noWrap/>
            <w:vAlign w:val="bottom"/>
            <w:hideMark/>
          </w:tcPr>
          <w:p w14:paraId="0472B537"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17.07533638</w:t>
            </w:r>
          </w:p>
        </w:tc>
      </w:tr>
      <w:tr w:rsidR="00505BDB" w:rsidRPr="004B0336" w14:paraId="2DFDEE48"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CCFFFF"/>
            <w:noWrap/>
            <w:vAlign w:val="bottom"/>
            <w:hideMark/>
          </w:tcPr>
          <w:p w14:paraId="478434EA"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w:t>
            </w:r>
          </w:p>
        </w:tc>
        <w:tc>
          <w:tcPr>
            <w:tcW w:w="1660" w:type="dxa"/>
            <w:tcBorders>
              <w:top w:val="nil"/>
              <w:left w:val="nil"/>
              <w:bottom w:val="single" w:sz="4" w:space="0" w:color="auto"/>
              <w:right w:val="single" w:sz="4" w:space="0" w:color="auto"/>
            </w:tcBorders>
            <w:shd w:val="clear" w:color="000000" w:fill="CCFFFF"/>
            <w:noWrap/>
            <w:vAlign w:val="bottom"/>
            <w:hideMark/>
          </w:tcPr>
          <w:p w14:paraId="35EEDAD6" w14:textId="77777777" w:rsidR="00505BDB" w:rsidRPr="004B0336" w:rsidRDefault="00505BDB"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[1/(1+10%)]^5</w:t>
            </w:r>
          </w:p>
        </w:tc>
        <w:tc>
          <w:tcPr>
            <w:tcW w:w="1880" w:type="dxa"/>
            <w:tcBorders>
              <w:top w:val="nil"/>
              <w:left w:val="nil"/>
              <w:bottom w:val="single" w:sz="4" w:space="0" w:color="auto"/>
              <w:right w:val="single" w:sz="4" w:space="0" w:color="auto"/>
            </w:tcBorders>
            <w:shd w:val="clear" w:color="000000" w:fill="CCFFFF"/>
            <w:noWrap/>
            <w:vAlign w:val="bottom"/>
            <w:hideMark/>
          </w:tcPr>
          <w:p w14:paraId="274E17D0"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0.620921323</w:t>
            </w:r>
          </w:p>
        </w:tc>
        <w:tc>
          <w:tcPr>
            <w:tcW w:w="1580" w:type="dxa"/>
            <w:tcBorders>
              <w:top w:val="nil"/>
              <w:left w:val="nil"/>
              <w:bottom w:val="single" w:sz="4" w:space="0" w:color="auto"/>
              <w:right w:val="single" w:sz="4" w:space="0" w:color="auto"/>
            </w:tcBorders>
            <w:shd w:val="clear" w:color="000000" w:fill="CCFFFF"/>
            <w:noWrap/>
            <w:vAlign w:val="bottom"/>
            <w:hideMark/>
          </w:tcPr>
          <w:p w14:paraId="79F458C1"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9.313819846</w:t>
            </w:r>
          </w:p>
        </w:tc>
      </w:tr>
      <w:tr w:rsidR="00505BDB" w:rsidRPr="004B0336" w14:paraId="45B50AD9"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CCFFFF"/>
            <w:noWrap/>
            <w:vAlign w:val="bottom"/>
            <w:hideMark/>
          </w:tcPr>
          <w:p w14:paraId="01AB17E7"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w:t>
            </w:r>
          </w:p>
        </w:tc>
        <w:tc>
          <w:tcPr>
            <w:tcW w:w="1660" w:type="dxa"/>
            <w:tcBorders>
              <w:top w:val="nil"/>
              <w:left w:val="nil"/>
              <w:bottom w:val="single" w:sz="4" w:space="0" w:color="auto"/>
              <w:right w:val="single" w:sz="4" w:space="0" w:color="auto"/>
            </w:tcBorders>
            <w:shd w:val="clear" w:color="000000" w:fill="CCFFFF"/>
            <w:noWrap/>
            <w:vAlign w:val="bottom"/>
            <w:hideMark/>
          </w:tcPr>
          <w:p w14:paraId="1BC0A0EF"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w:t>
            </w:r>
          </w:p>
        </w:tc>
        <w:tc>
          <w:tcPr>
            <w:tcW w:w="1880" w:type="dxa"/>
            <w:tcBorders>
              <w:top w:val="nil"/>
              <w:left w:val="nil"/>
              <w:bottom w:val="single" w:sz="4" w:space="0" w:color="auto"/>
              <w:right w:val="single" w:sz="4" w:space="0" w:color="auto"/>
            </w:tcBorders>
            <w:shd w:val="clear" w:color="000000" w:fill="CCFFFF"/>
            <w:noWrap/>
            <w:vAlign w:val="bottom"/>
            <w:hideMark/>
          </w:tcPr>
          <w:p w14:paraId="47EAA427"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w:t>
            </w:r>
          </w:p>
        </w:tc>
        <w:tc>
          <w:tcPr>
            <w:tcW w:w="1580" w:type="dxa"/>
            <w:tcBorders>
              <w:top w:val="nil"/>
              <w:left w:val="nil"/>
              <w:bottom w:val="single" w:sz="4" w:space="0" w:color="auto"/>
              <w:right w:val="single" w:sz="4" w:space="0" w:color="auto"/>
            </w:tcBorders>
            <w:shd w:val="clear" w:color="000000" w:fill="CCFFFF"/>
            <w:noWrap/>
            <w:vAlign w:val="bottom"/>
            <w:hideMark/>
          </w:tcPr>
          <w:p w14:paraId="0FA846E9" w14:textId="77777777" w:rsidR="00505BDB" w:rsidRPr="004B0336" w:rsidRDefault="00505BDB" w:rsidP="00EE1D8B">
            <w:pPr>
              <w:spacing w:after="0"/>
              <w:jc w:val="righ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54.2253696</w:t>
            </w:r>
          </w:p>
        </w:tc>
      </w:tr>
      <w:tr w:rsidR="00505BDB" w:rsidRPr="004B0336" w14:paraId="2826804C"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CCFFFF"/>
            <w:noWrap/>
            <w:vAlign w:val="bottom"/>
            <w:hideMark/>
          </w:tcPr>
          <w:p w14:paraId="4D6DF522"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NPV</w:t>
            </w:r>
          </w:p>
        </w:tc>
        <w:tc>
          <w:tcPr>
            <w:tcW w:w="1660" w:type="dxa"/>
            <w:tcBorders>
              <w:top w:val="nil"/>
              <w:left w:val="nil"/>
              <w:bottom w:val="single" w:sz="4" w:space="0" w:color="auto"/>
              <w:right w:val="single" w:sz="4" w:space="0" w:color="auto"/>
            </w:tcBorders>
            <w:shd w:val="clear" w:color="000000" w:fill="CCFFFF"/>
            <w:noWrap/>
            <w:vAlign w:val="bottom"/>
            <w:hideMark/>
          </w:tcPr>
          <w:p w14:paraId="0E61EC13" w14:textId="77777777" w:rsidR="00505BDB" w:rsidRPr="004B0336" w:rsidRDefault="00505BDB" w:rsidP="00EE1D8B">
            <w:pPr>
              <w:spacing w:after="0"/>
              <w:jc w:val="righ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4.225369603</w:t>
            </w:r>
          </w:p>
        </w:tc>
        <w:tc>
          <w:tcPr>
            <w:tcW w:w="1880" w:type="dxa"/>
            <w:tcBorders>
              <w:top w:val="nil"/>
              <w:left w:val="nil"/>
              <w:bottom w:val="single" w:sz="4" w:space="0" w:color="auto"/>
              <w:right w:val="single" w:sz="4" w:space="0" w:color="auto"/>
            </w:tcBorders>
            <w:shd w:val="clear" w:color="000000" w:fill="CCFFFF"/>
            <w:noWrap/>
            <w:vAlign w:val="bottom"/>
            <w:hideMark/>
          </w:tcPr>
          <w:p w14:paraId="5DAA5CC2"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w:t>
            </w:r>
          </w:p>
        </w:tc>
        <w:tc>
          <w:tcPr>
            <w:tcW w:w="1580" w:type="dxa"/>
            <w:tcBorders>
              <w:top w:val="nil"/>
              <w:left w:val="nil"/>
              <w:bottom w:val="single" w:sz="4" w:space="0" w:color="auto"/>
              <w:right w:val="single" w:sz="4" w:space="0" w:color="auto"/>
            </w:tcBorders>
            <w:shd w:val="clear" w:color="000000" w:fill="CCFFFF"/>
            <w:noWrap/>
            <w:vAlign w:val="bottom"/>
            <w:hideMark/>
          </w:tcPr>
          <w:p w14:paraId="6BB55FBB"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 </w:t>
            </w:r>
          </w:p>
        </w:tc>
      </w:tr>
      <w:tr w:rsidR="00505BDB" w:rsidRPr="004B0336" w14:paraId="16097EB1"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CCFFFF"/>
            <w:noWrap/>
            <w:vAlign w:val="bottom"/>
            <w:hideMark/>
          </w:tcPr>
          <w:p w14:paraId="6814A4B8"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PI</w:t>
            </w:r>
          </w:p>
        </w:tc>
        <w:tc>
          <w:tcPr>
            <w:tcW w:w="1660" w:type="dxa"/>
            <w:tcBorders>
              <w:top w:val="nil"/>
              <w:left w:val="nil"/>
              <w:bottom w:val="single" w:sz="4" w:space="0" w:color="auto"/>
              <w:right w:val="single" w:sz="4" w:space="0" w:color="auto"/>
            </w:tcBorders>
            <w:shd w:val="clear" w:color="000000" w:fill="CCFFFF"/>
            <w:noWrap/>
            <w:vAlign w:val="bottom"/>
            <w:hideMark/>
          </w:tcPr>
          <w:p w14:paraId="7B002120"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1.084507392</w:t>
            </w:r>
          </w:p>
        </w:tc>
        <w:tc>
          <w:tcPr>
            <w:tcW w:w="1880" w:type="dxa"/>
            <w:tcBorders>
              <w:top w:val="nil"/>
              <w:left w:val="nil"/>
              <w:bottom w:val="nil"/>
              <w:right w:val="nil"/>
            </w:tcBorders>
            <w:noWrap/>
            <w:vAlign w:val="bottom"/>
            <w:hideMark/>
          </w:tcPr>
          <w:p w14:paraId="4F03B33F" w14:textId="77777777" w:rsidR="00505BDB" w:rsidRPr="004B0336" w:rsidRDefault="00505BDB" w:rsidP="00EE1D8B">
            <w:pPr>
              <w:spacing w:after="0"/>
              <w:jc w:val="right"/>
              <w:rPr>
                <w:rFonts w:eastAsia="Times New Roman" w:cs="Arial"/>
                <w:color w:val="000000"/>
                <w:kern w:val="0"/>
                <w:lang w:val="en-GB" w:eastAsia="en-IN"/>
                <w14:ligatures w14:val="none"/>
              </w:rPr>
            </w:pPr>
          </w:p>
        </w:tc>
        <w:tc>
          <w:tcPr>
            <w:tcW w:w="1580" w:type="dxa"/>
            <w:tcBorders>
              <w:top w:val="nil"/>
              <w:left w:val="nil"/>
              <w:bottom w:val="nil"/>
              <w:right w:val="nil"/>
            </w:tcBorders>
            <w:noWrap/>
            <w:vAlign w:val="bottom"/>
            <w:hideMark/>
          </w:tcPr>
          <w:p w14:paraId="5C006402" w14:textId="77777777" w:rsidR="00505BDB" w:rsidRPr="004B0336" w:rsidRDefault="00505BDB" w:rsidP="00EE1D8B">
            <w:pPr>
              <w:spacing w:after="0"/>
              <w:jc w:val="left"/>
              <w:rPr>
                <w:rFonts w:eastAsia="Times New Roman" w:cs="Arial"/>
                <w:kern w:val="0"/>
                <w:sz w:val="20"/>
                <w:szCs w:val="20"/>
                <w:lang w:val="en-GB" w:eastAsia="en-IN"/>
                <w14:ligatures w14:val="none"/>
              </w:rPr>
            </w:pPr>
          </w:p>
        </w:tc>
      </w:tr>
    </w:tbl>
    <w:p w14:paraId="5A033CEA" w14:textId="23AEE274" w:rsidR="00505BDB" w:rsidRPr="004B0336" w:rsidRDefault="00505BDB" w:rsidP="00EE1D8B">
      <w:pPr>
        <w:rPr>
          <w:rFonts w:cs="Arial"/>
          <w:b/>
          <w:bCs/>
          <w:i/>
          <w:iCs/>
          <w:lang w:val="en-GB"/>
        </w:rPr>
      </w:pPr>
      <w:r w:rsidRPr="004B0336">
        <w:rPr>
          <w:rFonts w:cs="Arial"/>
          <w:b/>
          <w:bCs/>
          <w:i/>
          <w:iCs/>
          <w:lang w:val="en-GB"/>
        </w:rPr>
        <w:tab/>
      </w:r>
    </w:p>
    <w:p w14:paraId="4944D0FF" w14:textId="77777777" w:rsidR="00505BDB" w:rsidRPr="004B0336" w:rsidRDefault="00505BDB" w:rsidP="00EE1D8B">
      <w:pPr>
        <w:rPr>
          <w:rFonts w:cs="Arial"/>
          <w:b/>
          <w:bCs/>
          <w:i/>
          <w:iCs/>
          <w:lang w:val="en-GB"/>
        </w:rPr>
      </w:pPr>
      <w:r w:rsidRPr="004B0336">
        <w:rPr>
          <w:rFonts w:cs="Arial"/>
          <w:b/>
          <w:bCs/>
          <w:i/>
          <w:iCs/>
          <w:lang w:val="en-GB"/>
        </w:rPr>
        <w:t>IRR</w:t>
      </w:r>
    </w:p>
    <w:tbl>
      <w:tblPr>
        <w:tblW w:w="6704" w:type="dxa"/>
        <w:tblLook w:val="04A0" w:firstRow="1" w:lastRow="0" w:firstColumn="1" w:lastColumn="0" w:noHBand="0" w:noVBand="1"/>
      </w:tblPr>
      <w:tblGrid>
        <w:gridCol w:w="1720"/>
        <w:gridCol w:w="1710"/>
        <w:gridCol w:w="1880"/>
        <w:gridCol w:w="1618"/>
      </w:tblGrid>
      <w:tr w:rsidR="00505BDB" w:rsidRPr="004B0336" w14:paraId="7EE24C1A" w14:textId="77777777" w:rsidTr="00505BDB">
        <w:trPr>
          <w:trHeight w:val="1248"/>
        </w:trPr>
        <w:tc>
          <w:tcPr>
            <w:tcW w:w="172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03B8870D"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Discount Rate</w:t>
            </w:r>
          </w:p>
        </w:tc>
        <w:tc>
          <w:tcPr>
            <w:tcW w:w="1524" w:type="dxa"/>
            <w:tcBorders>
              <w:top w:val="single" w:sz="4" w:space="0" w:color="auto"/>
              <w:left w:val="nil"/>
              <w:bottom w:val="single" w:sz="4" w:space="0" w:color="auto"/>
              <w:right w:val="single" w:sz="4" w:space="0" w:color="auto"/>
            </w:tcBorders>
            <w:shd w:val="clear" w:color="000000" w:fill="CCFFFF"/>
            <w:noWrap/>
            <w:vAlign w:val="bottom"/>
            <w:hideMark/>
          </w:tcPr>
          <w:p w14:paraId="5921B219" w14:textId="77777777" w:rsidR="00505BDB" w:rsidRPr="004B0336" w:rsidRDefault="00505BDB" w:rsidP="00EE1D8B">
            <w:pPr>
              <w:spacing w:after="0"/>
              <w:jc w:val="righ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20%</w:t>
            </w:r>
          </w:p>
        </w:tc>
        <w:tc>
          <w:tcPr>
            <w:tcW w:w="1880" w:type="dxa"/>
            <w:tcBorders>
              <w:top w:val="nil"/>
              <w:left w:val="nil"/>
              <w:bottom w:val="nil"/>
              <w:right w:val="nil"/>
            </w:tcBorders>
            <w:noWrap/>
            <w:vAlign w:val="bottom"/>
            <w:hideMark/>
          </w:tcPr>
          <w:p w14:paraId="7CBA41A5" w14:textId="77777777" w:rsidR="00505BDB" w:rsidRPr="004B0336" w:rsidRDefault="00505BDB" w:rsidP="00EE1D8B">
            <w:pPr>
              <w:spacing w:after="0"/>
              <w:jc w:val="right"/>
              <w:rPr>
                <w:rFonts w:eastAsia="Times New Roman" w:cs="Arial"/>
                <w:b/>
                <w:bCs/>
                <w:color w:val="000000"/>
                <w:kern w:val="0"/>
                <w:lang w:val="en-GB" w:eastAsia="en-IN"/>
                <w14:ligatures w14:val="none"/>
              </w:rPr>
            </w:pPr>
          </w:p>
        </w:tc>
        <w:tc>
          <w:tcPr>
            <w:tcW w:w="1580" w:type="dxa"/>
            <w:tcBorders>
              <w:top w:val="nil"/>
              <w:left w:val="nil"/>
              <w:bottom w:val="nil"/>
              <w:right w:val="nil"/>
            </w:tcBorders>
            <w:noWrap/>
            <w:vAlign w:val="bottom"/>
            <w:hideMark/>
          </w:tcPr>
          <w:p w14:paraId="10754B9C" w14:textId="77777777" w:rsidR="00505BDB" w:rsidRPr="004B0336" w:rsidRDefault="00505BDB" w:rsidP="00EE1D8B">
            <w:pPr>
              <w:spacing w:after="0"/>
              <w:jc w:val="left"/>
              <w:rPr>
                <w:rFonts w:eastAsia="Times New Roman" w:cs="Arial"/>
                <w:kern w:val="0"/>
                <w:sz w:val="20"/>
                <w:szCs w:val="20"/>
                <w:lang w:val="en-GB" w:eastAsia="en-IN"/>
                <w14:ligatures w14:val="none"/>
              </w:rPr>
            </w:pPr>
          </w:p>
        </w:tc>
      </w:tr>
      <w:tr w:rsidR="00505BDB" w:rsidRPr="004B0336" w14:paraId="1E3A45FB"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CCFFFF"/>
            <w:noWrap/>
            <w:vAlign w:val="bottom"/>
            <w:hideMark/>
          </w:tcPr>
          <w:p w14:paraId="4A8E76A2"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Year</w:t>
            </w:r>
          </w:p>
        </w:tc>
        <w:tc>
          <w:tcPr>
            <w:tcW w:w="1524" w:type="dxa"/>
            <w:tcBorders>
              <w:top w:val="nil"/>
              <w:left w:val="nil"/>
              <w:bottom w:val="single" w:sz="4" w:space="0" w:color="auto"/>
              <w:right w:val="single" w:sz="4" w:space="0" w:color="auto"/>
            </w:tcBorders>
            <w:shd w:val="clear" w:color="000000" w:fill="CCFFFF"/>
            <w:noWrap/>
            <w:vAlign w:val="bottom"/>
            <w:hideMark/>
          </w:tcPr>
          <w:p w14:paraId="566A01FD"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Formula</w:t>
            </w:r>
          </w:p>
        </w:tc>
        <w:tc>
          <w:tcPr>
            <w:tcW w:w="1880" w:type="dxa"/>
            <w:tcBorders>
              <w:top w:val="single" w:sz="4" w:space="0" w:color="auto"/>
              <w:left w:val="nil"/>
              <w:bottom w:val="single" w:sz="4" w:space="0" w:color="auto"/>
              <w:right w:val="single" w:sz="4" w:space="0" w:color="auto"/>
            </w:tcBorders>
            <w:shd w:val="clear" w:color="000000" w:fill="CCFFFF"/>
            <w:noWrap/>
            <w:vAlign w:val="bottom"/>
            <w:hideMark/>
          </w:tcPr>
          <w:p w14:paraId="3BDB1848"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Discount factor</w:t>
            </w:r>
          </w:p>
        </w:tc>
        <w:tc>
          <w:tcPr>
            <w:tcW w:w="1580" w:type="dxa"/>
            <w:tcBorders>
              <w:top w:val="single" w:sz="4" w:space="0" w:color="auto"/>
              <w:left w:val="nil"/>
              <w:bottom w:val="single" w:sz="4" w:space="0" w:color="auto"/>
              <w:right w:val="single" w:sz="4" w:space="0" w:color="auto"/>
            </w:tcBorders>
            <w:shd w:val="clear" w:color="000000" w:fill="CCFFFF"/>
            <w:noWrap/>
            <w:vAlign w:val="bottom"/>
            <w:hideMark/>
          </w:tcPr>
          <w:p w14:paraId="5F3F6609"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PV</w:t>
            </w:r>
          </w:p>
        </w:tc>
      </w:tr>
      <w:tr w:rsidR="00505BDB" w:rsidRPr="004B0336" w14:paraId="6019C8D8"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CCFFFF"/>
            <w:noWrap/>
            <w:vAlign w:val="bottom"/>
            <w:hideMark/>
          </w:tcPr>
          <w:p w14:paraId="3C9B7870"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w:t>
            </w:r>
          </w:p>
        </w:tc>
        <w:tc>
          <w:tcPr>
            <w:tcW w:w="1524" w:type="dxa"/>
            <w:tcBorders>
              <w:top w:val="nil"/>
              <w:left w:val="nil"/>
              <w:bottom w:val="single" w:sz="4" w:space="0" w:color="auto"/>
              <w:right w:val="single" w:sz="4" w:space="0" w:color="auto"/>
            </w:tcBorders>
            <w:shd w:val="clear" w:color="000000" w:fill="CCFFFF"/>
            <w:noWrap/>
            <w:vAlign w:val="bottom"/>
            <w:hideMark/>
          </w:tcPr>
          <w:p w14:paraId="33683AC1" w14:textId="77777777" w:rsidR="00505BDB" w:rsidRPr="004B0336" w:rsidRDefault="00505BDB"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[1/(1+20%)]^1</w:t>
            </w:r>
          </w:p>
        </w:tc>
        <w:tc>
          <w:tcPr>
            <w:tcW w:w="1880" w:type="dxa"/>
            <w:tcBorders>
              <w:top w:val="nil"/>
              <w:left w:val="nil"/>
              <w:bottom w:val="single" w:sz="4" w:space="0" w:color="auto"/>
              <w:right w:val="single" w:sz="4" w:space="0" w:color="auto"/>
            </w:tcBorders>
            <w:shd w:val="clear" w:color="000000" w:fill="CCFFFF"/>
            <w:noWrap/>
            <w:vAlign w:val="bottom"/>
            <w:hideMark/>
          </w:tcPr>
          <w:p w14:paraId="40A2BE54"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0.833333333</w:t>
            </w:r>
          </w:p>
        </w:tc>
        <w:tc>
          <w:tcPr>
            <w:tcW w:w="1580" w:type="dxa"/>
            <w:tcBorders>
              <w:top w:val="nil"/>
              <w:left w:val="nil"/>
              <w:bottom w:val="single" w:sz="4" w:space="0" w:color="auto"/>
              <w:right w:val="single" w:sz="4" w:space="0" w:color="auto"/>
            </w:tcBorders>
            <w:shd w:val="clear" w:color="000000" w:fill="CCFFFF"/>
            <w:noWrap/>
            <w:vAlign w:val="bottom"/>
            <w:hideMark/>
          </w:tcPr>
          <w:p w14:paraId="3E6C698B"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4.166666667</w:t>
            </w:r>
          </w:p>
        </w:tc>
      </w:tr>
      <w:tr w:rsidR="00505BDB" w:rsidRPr="004B0336" w14:paraId="2EFF2CB9"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CCFFFF"/>
            <w:noWrap/>
            <w:vAlign w:val="bottom"/>
            <w:hideMark/>
          </w:tcPr>
          <w:p w14:paraId="583AEE05"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w:t>
            </w:r>
          </w:p>
        </w:tc>
        <w:tc>
          <w:tcPr>
            <w:tcW w:w="1524" w:type="dxa"/>
            <w:tcBorders>
              <w:top w:val="nil"/>
              <w:left w:val="nil"/>
              <w:bottom w:val="single" w:sz="4" w:space="0" w:color="auto"/>
              <w:right w:val="single" w:sz="4" w:space="0" w:color="auto"/>
            </w:tcBorders>
            <w:shd w:val="clear" w:color="000000" w:fill="CCFFFF"/>
            <w:noWrap/>
            <w:vAlign w:val="bottom"/>
            <w:hideMark/>
          </w:tcPr>
          <w:p w14:paraId="67CA10B4" w14:textId="77777777" w:rsidR="00505BDB" w:rsidRPr="004B0336" w:rsidRDefault="00505BDB"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[1/(1+20%)]^2</w:t>
            </w:r>
          </w:p>
        </w:tc>
        <w:tc>
          <w:tcPr>
            <w:tcW w:w="1880" w:type="dxa"/>
            <w:tcBorders>
              <w:top w:val="nil"/>
              <w:left w:val="nil"/>
              <w:bottom w:val="single" w:sz="4" w:space="0" w:color="auto"/>
              <w:right w:val="single" w:sz="4" w:space="0" w:color="auto"/>
            </w:tcBorders>
            <w:shd w:val="clear" w:color="000000" w:fill="CCFFFF"/>
            <w:noWrap/>
            <w:vAlign w:val="bottom"/>
            <w:hideMark/>
          </w:tcPr>
          <w:p w14:paraId="4DEFAFE4"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0.694444444</w:t>
            </w:r>
          </w:p>
        </w:tc>
        <w:tc>
          <w:tcPr>
            <w:tcW w:w="1580" w:type="dxa"/>
            <w:tcBorders>
              <w:top w:val="nil"/>
              <w:left w:val="nil"/>
              <w:bottom w:val="single" w:sz="4" w:space="0" w:color="auto"/>
              <w:right w:val="single" w:sz="4" w:space="0" w:color="auto"/>
            </w:tcBorders>
            <w:shd w:val="clear" w:color="000000" w:fill="CCFFFF"/>
            <w:noWrap/>
            <w:vAlign w:val="bottom"/>
            <w:hideMark/>
          </w:tcPr>
          <w:p w14:paraId="7F3BAA3F"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6.944444444</w:t>
            </w:r>
          </w:p>
        </w:tc>
      </w:tr>
      <w:tr w:rsidR="00505BDB" w:rsidRPr="004B0336" w14:paraId="5D129CFD"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CCFFFF"/>
            <w:noWrap/>
            <w:vAlign w:val="bottom"/>
            <w:hideMark/>
          </w:tcPr>
          <w:p w14:paraId="0E63762C"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3</w:t>
            </w:r>
          </w:p>
        </w:tc>
        <w:tc>
          <w:tcPr>
            <w:tcW w:w="1524" w:type="dxa"/>
            <w:tcBorders>
              <w:top w:val="nil"/>
              <w:left w:val="nil"/>
              <w:bottom w:val="single" w:sz="4" w:space="0" w:color="auto"/>
              <w:right w:val="single" w:sz="4" w:space="0" w:color="auto"/>
            </w:tcBorders>
            <w:shd w:val="clear" w:color="000000" w:fill="CCFFFF"/>
            <w:noWrap/>
            <w:vAlign w:val="bottom"/>
            <w:hideMark/>
          </w:tcPr>
          <w:p w14:paraId="18B93BF8" w14:textId="77777777" w:rsidR="00505BDB" w:rsidRPr="004B0336" w:rsidRDefault="00505BDB"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[1/(1+20%)]^3</w:t>
            </w:r>
          </w:p>
        </w:tc>
        <w:tc>
          <w:tcPr>
            <w:tcW w:w="1880" w:type="dxa"/>
            <w:tcBorders>
              <w:top w:val="nil"/>
              <w:left w:val="nil"/>
              <w:bottom w:val="single" w:sz="4" w:space="0" w:color="auto"/>
              <w:right w:val="single" w:sz="4" w:space="0" w:color="auto"/>
            </w:tcBorders>
            <w:shd w:val="clear" w:color="000000" w:fill="CCFFFF"/>
            <w:noWrap/>
            <w:vAlign w:val="bottom"/>
            <w:hideMark/>
          </w:tcPr>
          <w:p w14:paraId="153E6599"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0.578703704</w:t>
            </w:r>
          </w:p>
        </w:tc>
        <w:tc>
          <w:tcPr>
            <w:tcW w:w="1580" w:type="dxa"/>
            <w:tcBorders>
              <w:top w:val="nil"/>
              <w:left w:val="nil"/>
              <w:bottom w:val="single" w:sz="4" w:space="0" w:color="auto"/>
              <w:right w:val="single" w:sz="4" w:space="0" w:color="auto"/>
            </w:tcBorders>
            <w:shd w:val="clear" w:color="000000" w:fill="CCFFFF"/>
            <w:noWrap/>
            <w:vAlign w:val="bottom"/>
            <w:hideMark/>
          </w:tcPr>
          <w:p w14:paraId="15CC6385"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11.57407407</w:t>
            </w:r>
          </w:p>
        </w:tc>
      </w:tr>
      <w:tr w:rsidR="00505BDB" w:rsidRPr="004B0336" w14:paraId="6B211FB2"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CCFFFF"/>
            <w:noWrap/>
            <w:vAlign w:val="bottom"/>
            <w:hideMark/>
          </w:tcPr>
          <w:p w14:paraId="2E1D6E2D"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4</w:t>
            </w:r>
          </w:p>
        </w:tc>
        <w:tc>
          <w:tcPr>
            <w:tcW w:w="1524" w:type="dxa"/>
            <w:tcBorders>
              <w:top w:val="nil"/>
              <w:left w:val="nil"/>
              <w:bottom w:val="single" w:sz="4" w:space="0" w:color="auto"/>
              <w:right w:val="single" w:sz="4" w:space="0" w:color="auto"/>
            </w:tcBorders>
            <w:shd w:val="clear" w:color="000000" w:fill="CCFFFF"/>
            <w:noWrap/>
            <w:vAlign w:val="bottom"/>
            <w:hideMark/>
          </w:tcPr>
          <w:p w14:paraId="3A188D23" w14:textId="77777777" w:rsidR="00505BDB" w:rsidRPr="004B0336" w:rsidRDefault="00505BDB"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[1/(1+20%)]^4</w:t>
            </w:r>
          </w:p>
        </w:tc>
        <w:tc>
          <w:tcPr>
            <w:tcW w:w="1880" w:type="dxa"/>
            <w:tcBorders>
              <w:top w:val="nil"/>
              <w:left w:val="nil"/>
              <w:bottom w:val="single" w:sz="4" w:space="0" w:color="auto"/>
              <w:right w:val="single" w:sz="4" w:space="0" w:color="auto"/>
            </w:tcBorders>
            <w:shd w:val="clear" w:color="000000" w:fill="CCFFFF"/>
            <w:noWrap/>
            <w:vAlign w:val="bottom"/>
            <w:hideMark/>
          </w:tcPr>
          <w:p w14:paraId="5AEB5AEB"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0.482253086</w:t>
            </w:r>
          </w:p>
        </w:tc>
        <w:tc>
          <w:tcPr>
            <w:tcW w:w="1580" w:type="dxa"/>
            <w:tcBorders>
              <w:top w:val="nil"/>
              <w:left w:val="nil"/>
              <w:bottom w:val="single" w:sz="4" w:space="0" w:color="auto"/>
              <w:right w:val="single" w:sz="4" w:space="0" w:color="auto"/>
            </w:tcBorders>
            <w:shd w:val="clear" w:color="000000" w:fill="CCFFFF"/>
            <w:noWrap/>
            <w:vAlign w:val="bottom"/>
            <w:hideMark/>
          </w:tcPr>
          <w:p w14:paraId="120BD618"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12.05632716</w:t>
            </w:r>
          </w:p>
        </w:tc>
      </w:tr>
      <w:tr w:rsidR="00505BDB" w:rsidRPr="004B0336" w14:paraId="0AA2D98A"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CCFFFF"/>
            <w:noWrap/>
            <w:vAlign w:val="bottom"/>
            <w:hideMark/>
          </w:tcPr>
          <w:p w14:paraId="70C9ECB7"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5</w:t>
            </w:r>
          </w:p>
        </w:tc>
        <w:tc>
          <w:tcPr>
            <w:tcW w:w="1524" w:type="dxa"/>
            <w:tcBorders>
              <w:top w:val="nil"/>
              <w:left w:val="nil"/>
              <w:bottom w:val="single" w:sz="4" w:space="0" w:color="auto"/>
              <w:right w:val="single" w:sz="4" w:space="0" w:color="auto"/>
            </w:tcBorders>
            <w:shd w:val="clear" w:color="000000" w:fill="CCFFFF"/>
            <w:noWrap/>
            <w:vAlign w:val="bottom"/>
            <w:hideMark/>
          </w:tcPr>
          <w:p w14:paraId="0D8B2ED5" w14:textId="77777777" w:rsidR="00505BDB" w:rsidRPr="004B0336" w:rsidRDefault="00505BDB" w:rsidP="00EE1D8B">
            <w:pPr>
              <w:spacing w:after="0"/>
              <w:jc w:val="center"/>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[1/(1+20%)]^5</w:t>
            </w:r>
          </w:p>
        </w:tc>
        <w:tc>
          <w:tcPr>
            <w:tcW w:w="1880" w:type="dxa"/>
            <w:tcBorders>
              <w:top w:val="nil"/>
              <w:left w:val="nil"/>
              <w:bottom w:val="single" w:sz="4" w:space="0" w:color="auto"/>
              <w:right w:val="single" w:sz="4" w:space="0" w:color="auto"/>
            </w:tcBorders>
            <w:shd w:val="clear" w:color="000000" w:fill="CCFFFF"/>
            <w:noWrap/>
            <w:vAlign w:val="bottom"/>
            <w:hideMark/>
          </w:tcPr>
          <w:p w14:paraId="2F9048B8"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0.401877572</w:t>
            </w:r>
          </w:p>
        </w:tc>
        <w:tc>
          <w:tcPr>
            <w:tcW w:w="1580" w:type="dxa"/>
            <w:tcBorders>
              <w:top w:val="nil"/>
              <w:left w:val="nil"/>
              <w:bottom w:val="single" w:sz="4" w:space="0" w:color="auto"/>
              <w:right w:val="single" w:sz="4" w:space="0" w:color="auto"/>
            </w:tcBorders>
            <w:shd w:val="clear" w:color="000000" w:fill="CCFFFF"/>
            <w:noWrap/>
            <w:vAlign w:val="bottom"/>
            <w:hideMark/>
          </w:tcPr>
          <w:p w14:paraId="4D427C2E"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6.02816358</w:t>
            </w:r>
          </w:p>
        </w:tc>
      </w:tr>
      <w:tr w:rsidR="00505BDB" w:rsidRPr="004B0336" w14:paraId="4B8B4AD4"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CCFFFF"/>
            <w:noWrap/>
            <w:vAlign w:val="bottom"/>
            <w:hideMark/>
          </w:tcPr>
          <w:p w14:paraId="24803B08" w14:textId="77777777" w:rsidR="00505BDB" w:rsidRPr="004B0336" w:rsidRDefault="00505BDB"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 </w:t>
            </w:r>
          </w:p>
        </w:tc>
        <w:tc>
          <w:tcPr>
            <w:tcW w:w="1524" w:type="dxa"/>
            <w:tcBorders>
              <w:top w:val="nil"/>
              <w:left w:val="nil"/>
              <w:bottom w:val="single" w:sz="4" w:space="0" w:color="auto"/>
              <w:right w:val="single" w:sz="4" w:space="0" w:color="auto"/>
            </w:tcBorders>
            <w:shd w:val="clear" w:color="000000" w:fill="CCFFFF"/>
            <w:noWrap/>
            <w:vAlign w:val="bottom"/>
            <w:hideMark/>
          </w:tcPr>
          <w:p w14:paraId="666568B6" w14:textId="77777777" w:rsidR="00505BDB" w:rsidRPr="004B0336" w:rsidRDefault="00505BDB"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 </w:t>
            </w:r>
          </w:p>
        </w:tc>
        <w:tc>
          <w:tcPr>
            <w:tcW w:w="1880" w:type="dxa"/>
            <w:tcBorders>
              <w:top w:val="nil"/>
              <w:left w:val="nil"/>
              <w:bottom w:val="single" w:sz="4" w:space="0" w:color="auto"/>
              <w:right w:val="single" w:sz="4" w:space="0" w:color="auto"/>
            </w:tcBorders>
            <w:shd w:val="clear" w:color="000000" w:fill="CCFFFF"/>
            <w:noWrap/>
            <w:vAlign w:val="bottom"/>
            <w:hideMark/>
          </w:tcPr>
          <w:p w14:paraId="5B6F00E8" w14:textId="77777777" w:rsidR="00505BDB" w:rsidRPr="004B0336" w:rsidRDefault="00505BDB"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 </w:t>
            </w:r>
          </w:p>
        </w:tc>
        <w:tc>
          <w:tcPr>
            <w:tcW w:w="1580" w:type="dxa"/>
            <w:tcBorders>
              <w:top w:val="nil"/>
              <w:left w:val="nil"/>
              <w:bottom w:val="single" w:sz="4" w:space="0" w:color="auto"/>
              <w:right w:val="single" w:sz="4" w:space="0" w:color="auto"/>
            </w:tcBorders>
            <w:shd w:val="clear" w:color="000000" w:fill="CCFFFF"/>
            <w:noWrap/>
            <w:vAlign w:val="bottom"/>
            <w:hideMark/>
          </w:tcPr>
          <w:p w14:paraId="4C82A89C" w14:textId="77777777" w:rsidR="00505BDB" w:rsidRPr="004B0336" w:rsidRDefault="00505BDB" w:rsidP="00EE1D8B">
            <w:pPr>
              <w:spacing w:after="0"/>
              <w:jc w:val="righ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40.76967593</w:t>
            </w:r>
          </w:p>
        </w:tc>
      </w:tr>
      <w:tr w:rsidR="00505BDB" w:rsidRPr="004B0336" w14:paraId="6E849ED7"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CCFFFF"/>
            <w:noWrap/>
            <w:vAlign w:val="bottom"/>
            <w:hideMark/>
          </w:tcPr>
          <w:p w14:paraId="39C27EE8"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NPV</w:t>
            </w:r>
          </w:p>
        </w:tc>
        <w:tc>
          <w:tcPr>
            <w:tcW w:w="1524" w:type="dxa"/>
            <w:tcBorders>
              <w:top w:val="nil"/>
              <w:left w:val="nil"/>
              <w:bottom w:val="single" w:sz="4" w:space="0" w:color="auto"/>
              <w:right w:val="single" w:sz="4" w:space="0" w:color="auto"/>
            </w:tcBorders>
            <w:shd w:val="clear" w:color="000000" w:fill="CCFFFF"/>
            <w:noWrap/>
            <w:vAlign w:val="bottom"/>
            <w:hideMark/>
          </w:tcPr>
          <w:p w14:paraId="758B6697" w14:textId="77777777" w:rsidR="00505BDB" w:rsidRPr="004B0336" w:rsidRDefault="00505BDB" w:rsidP="00EE1D8B">
            <w:pPr>
              <w:spacing w:after="0"/>
              <w:jc w:val="righ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-9.2303</w:t>
            </w:r>
          </w:p>
        </w:tc>
        <w:tc>
          <w:tcPr>
            <w:tcW w:w="1880" w:type="dxa"/>
            <w:tcBorders>
              <w:top w:val="nil"/>
              <w:left w:val="nil"/>
              <w:bottom w:val="single" w:sz="4" w:space="0" w:color="auto"/>
              <w:right w:val="single" w:sz="4" w:space="0" w:color="auto"/>
            </w:tcBorders>
            <w:shd w:val="clear" w:color="000000" w:fill="CCFFFF"/>
            <w:noWrap/>
            <w:vAlign w:val="bottom"/>
            <w:hideMark/>
          </w:tcPr>
          <w:p w14:paraId="7FEBA6AA" w14:textId="77777777" w:rsidR="00505BDB" w:rsidRPr="004B0336" w:rsidRDefault="00505BDB"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 </w:t>
            </w:r>
          </w:p>
        </w:tc>
        <w:tc>
          <w:tcPr>
            <w:tcW w:w="1580" w:type="dxa"/>
            <w:tcBorders>
              <w:top w:val="nil"/>
              <w:left w:val="nil"/>
              <w:bottom w:val="single" w:sz="4" w:space="0" w:color="auto"/>
              <w:right w:val="single" w:sz="4" w:space="0" w:color="auto"/>
            </w:tcBorders>
            <w:shd w:val="clear" w:color="000000" w:fill="CCFFFF"/>
            <w:noWrap/>
            <w:vAlign w:val="bottom"/>
            <w:hideMark/>
          </w:tcPr>
          <w:p w14:paraId="0E65B2AF" w14:textId="77777777" w:rsidR="00505BDB" w:rsidRPr="004B0336" w:rsidRDefault="00505BDB" w:rsidP="00EE1D8B">
            <w:pPr>
              <w:spacing w:after="0"/>
              <w:jc w:val="lef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 </w:t>
            </w:r>
          </w:p>
        </w:tc>
      </w:tr>
      <w:tr w:rsidR="00505BDB" w:rsidRPr="004B0336" w14:paraId="6349909B"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CCFFFF"/>
            <w:noWrap/>
            <w:vAlign w:val="bottom"/>
            <w:hideMark/>
          </w:tcPr>
          <w:p w14:paraId="70CE91F1"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Discount rate</w:t>
            </w:r>
          </w:p>
        </w:tc>
        <w:tc>
          <w:tcPr>
            <w:tcW w:w="1524" w:type="dxa"/>
            <w:tcBorders>
              <w:top w:val="nil"/>
              <w:left w:val="nil"/>
              <w:bottom w:val="single" w:sz="4" w:space="0" w:color="auto"/>
              <w:right w:val="single" w:sz="4" w:space="0" w:color="auto"/>
            </w:tcBorders>
            <w:shd w:val="clear" w:color="000000" w:fill="CCFFFF"/>
            <w:noWrap/>
            <w:vAlign w:val="bottom"/>
            <w:hideMark/>
          </w:tcPr>
          <w:p w14:paraId="3FC1C3DC"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10%</w:t>
            </w:r>
          </w:p>
        </w:tc>
        <w:tc>
          <w:tcPr>
            <w:tcW w:w="1880" w:type="dxa"/>
            <w:tcBorders>
              <w:top w:val="nil"/>
              <w:left w:val="nil"/>
              <w:bottom w:val="single" w:sz="4" w:space="0" w:color="auto"/>
              <w:right w:val="single" w:sz="4" w:space="0" w:color="auto"/>
            </w:tcBorders>
            <w:shd w:val="clear" w:color="000000" w:fill="CCFFFF"/>
            <w:noWrap/>
            <w:vAlign w:val="bottom"/>
            <w:hideMark/>
          </w:tcPr>
          <w:p w14:paraId="0783ABC3"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20%</w:t>
            </w:r>
          </w:p>
        </w:tc>
        <w:tc>
          <w:tcPr>
            <w:tcW w:w="1580" w:type="dxa"/>
            <w:tcBorders>
              <w:top w:val="nil"/>
              <w:left w:val="nil"/>
              <w:bottom w:val="nil"/>
              <w:right w:val="nil"/>
            </w:tcBorders>
            <w:noWrap/>
            <w:vAlign w:val="bottom"/>
            <w:hideMark/>
          </w:tcPr>
          <w:p w14:paraId="61610D56" w14:textId="77777777" w:rsidR="00505BDB" w:rsidRPr="004B0336" w:rsidRDefault="00505BDB" w:rsidP="00EE1D8B">
            <w:pPr>
              <w:spacing w:after="0"/>
              <w:jc w:val="right"/>
              <w:rPr>
                <w:rFonts w:eastAsia="Times New Roman" w:cs="Arial"/>
                <w:color w:val="000000"/>
                <w:kern w:val="0"/>
                <w:lang w:val="en-GB" w:eastAsia="en-IN"/>
                <w14:ligatures w14:val="none"/>
              </w:rPr>
            </w:pPr>
          </w:p>
        </w:tc>
      </w:tr>
      <w:tr w:rsidR="00505BDB" w:rsidRPr="004B0336" w14:paraId="6FC43753" w14:textId="77777777" w:rsidTr="00505BDB">
        <w:trPr>
          <w:trHeight w:val="312"/>
        </w:trPr>
        <w:tc>
          <w:tcPr>
            <w:tcW w:w="1720" w:type="dxa"/>
            <w:tcBorders>
              <w:top w:val="nil"/>
              <w:left w:val="single" w:sz="4" w:space="0" w:color="auto"/>
              <w:bottom w:val="single" w:sz="4" w:space="0" w:color="auto"/>
              <w:right w:val="single" w:sz="4" w:space="0" w:color="auto"/>
            </w:tcBorders>
            <w:shd w:val="clear" w:color="000000" w:fill="CCFFFF"/>
            <w:noWrap/>
            <w:vAlign w:val="bottom"/>
            <w:hideMark/>
          </w:tcPr>
          <w:p w14:paraId="183D6786" w14:textId="77777777" w:rsidR="00505BDB" w:rsidRPr="004B0336" w:rsidRDefault="00505BDB" w:rsidP="00EE1D8B">
            <w:pPr>
              <w:spacing w:after="0"/>
              <w:jc w:val="left"/>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NPV</w:t>
            </w:r>
          </w:p>
        </w:tc>
        <w:tc>
          <w:tcPr>
            <w:tcW w:w="1524" w:type="dxa"/>
            <w:tcBorders>
              <w:top w:val="nil"/>
              <w:left w:val="nil"/>
              <w:bottom w:val="single" w:sz="4" w:space="0" w:color="auto"/>
              <w:right w:val="single" w:sz="4" w:space="0" w:color="auto"/>
            </w:tcBorders>
            <w:shd w:val="clear" w:color="000000" w:fill="CCFFFF"/>
            <w:noWrap/>
            <w:vAlign w:val="bottom"/>
            <w:hideMark/>
          </w:tcPr>
          <w:p w14:paraId="06B931A9"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4.2254</w:t>
            </w:r>
          </w:p>
        </w:tc>
        <w:tc>
          <w:tcPr>
            <w:tcW w:w="1880" w:type="dxa"/>
            <w:tcBorders>
              <w:top w:val="nil"/>
              <w:left w:val="nil"/>
              <w:bottom w:val="single" w:sz="4" w:space="0" w:color="auto"/>
              <w:right w:val="single" w:sz="4" w:space="0" w:color="auto"/>
            </w:tcBorders>
            <w:shd w:val="clear" w:color="000000" w:fill="CCFFFF"/>
            <w:noWrap/>
            <w:vAlign w:val="bottom"/>
            <w:hideMark/>
          </w:tcPr>
          <w:p w14:paraId="09B2D9CB"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-9.230324074</w:t>
            </w:r>
          </w:p>
        </w:tc>
        <w:tc>
          <w:tcPr>
            <w:tcW w:w="1580" w:type="dxa"/>
            <w:tcBorders>
              <w:top w:val="nil"/>
              <w:left w:val="nil"/>
              <w:bottom w:val="nil"/>
              <w:right w:val="nil"/>
            </w:tcBorders>
            <w:noWrap/>
            <w:vAlign w:val="bottom"/>
            <w:hideMark/>
          </w:tcPr>
          <w:p w14:paraId="2D59F978" w14:textId="77777777" w:rsidR="00505BDB" w:rsidRPr="004B0336" w:rsidRDefault="00505BDB" w:rsidP="00EE1D8B">
            <w:pPr>
              <w:spacing w:after="0"/>
              <w:jc w:val="right"/>
              <w:rPr>
                <w:rFonts w:eastAsia="Times New Roman" w:cs="Arial"/>
                <w:color w:val="000000"/>
                <w:kern w:val="0"/>
                <w:lang w:val="en-GB" w:eastAsia="en-IN"/>
                <w14:ligatures w14:val="none"/>
              </w:rPr>
            </w:pPr>
          </w:p>
        </w:tc>
      </w:tr>
      <w:tr w:rsidR="00505BDB" w:rsidRPr="004B0336" w14:paraId="28A00CD4" w14:textId="77777777" w:rsidTr="00505BDB">
        <w:trPr>
          <w:trHeight w:val="312"/>
        </w:trPr>
        <w:tc>
          <w:tcPr>
            <w:tcW w:w="1720" w:type="dxa"/>
            <w:vMerge w:val="restart"/>
            <w:tcBorders>
              <w:top w:val="nil"/>
              <w:left w:val="single" w:sz="4" w:space="0" w:color="auto"/>
              <w:bottom w:val="single" w:sz="4" w:space="0" w:color="000000"/>
              <w:right w:val="single" w:sz="4" w:space="0" w:color="auto"/>
            </w:tcBorders>
            <w:shd w:val="clear" w:color="000000" w:fill="CCFFFF"/>
            <w:noWrap/>
            <w:vAlign w:val="center"/>
            <w:hideMark/>
          </w:tcPr>
          <w:p w14:paraId="558B56F9" w14:textId="77777777" w:rsidR="00505BDB" w:rsidRPr="004B0336" w:rsidRDefault="00505BDB" w:rsidP="00EE1D8B">
            <w:pPr>
              <w:spacing w:after="0"/>
              <w:jc w:val="center"/>
              <w:rPr>
                <w:rFonts w:eastAsia="Times New Roman" w:cs="Arial"/>
                <w:b/>
                <w:bCs/>
                <w:color w:val="000000"/>
                <w:kern w:val="0"/>
                <w:lang w:val="en-GB" w:eastAsia="en-IN"/>
                <w14:ligatures w14:val="none"/>
              </w:rPr>
            </w:pPr>
            <w:r w:rsidRPr="004B0336">
              <w:rPr>
                <w:rFonts w:eastAsia="Times New Roman" w:cs="Arial"/>
                <w:b/>
                <w:bCs/>
                <w:color w:val="000000"/>
                <w:kern w:val="0"/>
                <w:lang w:val="en-GB" w:eastAsia="en-IN"/>
                <w14:ligatures w14:val="none"/>
              </w:rPr>
              <w:t>IRR</w:t>
            </w:r>
          </w:p>
        </w:tc>
        <w:tc>
          <w:tcPr>
            <w:tcW w:w="1524" w:type="dxa"/>
            <w:tcBorders>
              <w:top w:val="nil"/>
              <w:left w:val="nil"/>
              <w:bottom w:val="single" w:sz="4" w:space="0" w:color="auto"/>
              <w:right w:val="single" w:sz="4" w:space="0" w:color="auto"/>
            </w:tcBorders>
            <w:shd w:val="clear" w:color="000000" w:fill="CCFFFF"/>
            <w:noWrap/>
            <w:vAlign w:val="bottom"/>
            <w:hideMark/>
          </w:tcPr>
          <w:p w14:paraId="5D9476FB"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0.1314</w:t>
            </w:r>
          </w:p>
        </w:tc>
        <w:tc>
          <w:tcPr>
            <w:tcW w:w="1880" w:type="dxa"/>
            <w:tcBorders>
              <w:top w:val="nil"/>
              <w:left w:val="nil"/>
              <w:bottom w:val="nil"/>
              <w:right w:val="nil"/>
            </w:tcBorders>
            <w:noWrap/>
            <w:vAlign w:val="bottom"/>
            <w:hideMark/>
          </w:tcPr>
          <w:p w14:paraId="23A563EF" w14:textId="77777777" w:rsidR="00505BDB" w:rsidRPr="004B0336" w:rsidRDefault="00505BDB" w:rsidP="00EE1D8B">
            <w:pPr>
              <w:spacing w:after="0"/>
              <w:jc w:val="right"/>
              <w:rPr>
                <w:rFonts w:eastAsia="Times New Roman" w:cs="Arial"/>
                <w:color w:val="000000"/>
                <w:kern w:val="0"/>
                <w:lang w:val="en-GB" w:eastAsia="en-IN"/>
                <w14:ligatures w14:val="none"/>
              </w:rPr>
            </w:pPr>
          </w:p>
        </w:tc>
        <w:tc>
          <w:tcPr>
            <w:tcW w:w="1580" w:type="dxa"/>
            <w:tcBorders>
              <w:top w:val="nil"/>
              <w:left w:val="nil"/>
              <w:bottom w:val="nil"/>
              <w:right w:val="nil"/>
            </w:tcBorders>
            <w:noWrap/>
            <w:vAlign w:val="bottom"/>
            <w:hideMark/>
          </w:tcPr>
          <w:p w14:paraId="1AF79F1E" w14:textId="77777777" w:rsidR="00505BDB" w:rsidRPr="004B0336" w:rsidRDefault="00505BDB" w:rsidP="00EE1D8B">
            <w:pPr>
              <w:spacing w:after="0"/>
              <w:jc w:val="left"/>
              <w:rPr>
                <w:rFonts w:eastAsia="Times New Roman" w:cs="Arial"/>
                <w:kern w:val="0"/>
                <w:sz w:val="20"/>
                <w:szCs w:val="20"/>
                <w:lang w:val="en-GB" w:eastAsia="en-IN"/>
                <w14:ligatures w14:val="none"/>
              </w:rPr>
            </w:pPr>
          </w:p>
        </w:tc>
      </w:tr>
      <w:tr w:rsidR="00505BDB" w:rsidRPr="004B0336" w14:paraId="1DEC6C99" w14:textId="77777777" w:rsidTr="00505BDB">
        <w:trPr>
          <w:trHeight w:val="312"/>
        </w:trPr>
        <w:tc>
          <w:tcPr>
            <w:tcW w:w="1720" w:type="dxa"/>
            <w:vMerge/>
            <w:tcBorders>
              <w:top w:val="nil"/>
              <w:left w:val="single" w:sz="4" w:space="0" w:color="auto"/>
              <w:bottom w:val="single" w:sz="4" w:space="0" w:color="000000"/>
              <w:right w:val="single" w:sz="4" w:space="0" w:color="auto"/>
            </w:tcBorders>
            <w:vAlign w:val="center"/>
            <w:hideMark/>
          </w:tcPr>
          <w:p w14:paraId="1F18ED12" w14:textId="77777777" w:rsidR="00505BDB" w:rsidRPr="004B0336" w:rsidRDefault="00505BDB" w:rsidP="00EE1D8B">
            <w:pPr>
              <w:spacing w:after="0"/>
              <w:jc w:val="left"/>
              <w:rPr>
                <w:rFonts w:eastAsia="Times New Roman" w:cs="Arial"/>
                <w:b/>
                <w:bCs/>
                <w:color w:val="000000"/>
                <w:kern w:val="0"/>
                <w:lang w:val="en-GB" w:eastAsia="en-IN"/>
                <w14:ligatures w14:val="none"/>
              </w:rPr>
            </w:pPr>
          </w:p>
        </w:tc>
        <w:tc>
          <w:tcPr>
            <w:tcW w:w="1524" w:type="dxa"/>
            <w:tcBorders>
              <w:top w:val="nil"/>
              <w:left w:val="nil"/>
              <w:bottom w:val="single" w:sz="4" w:space="0" w:color="auto"/>
              <w:right w:val="single" w:sz="4" w:space="0" w:color="auto"/>
            </w:tcBorders>
            <w:shd w:val="clear" w:color="000000" w:fill="CCFFFF"/>
            <w:noWrap/>
            <w:vAlign w:val="bottom"/>
            <w:hideMark/>
          </w:tcPr>
          <w:p w14:paraId="1A4B8D07" w14:textId="77777777" w:rsidR="00505BDB" w:rsidRPr="004B0336" w:rsidRDefault="00505BDB" w:rsidP="00EE1D8B">
            <w:pPr>
              <w:spacing w:after="0"/>
              <w:jc w:val="right"/>
              <w:rPr>
                <w:rFonts w:eastAsia="Times New Roman" w:cs="Arial"/>
                <w:color w:val="000000"/>
                <w:kern w:val="0"/>
                <w:lang w:val="en-GB" w:eastAsia="en-IN"/>
                <w14:ligatures w14:val="none"/>
              </w:rPr>
            </w:pPr>
            <w:r w:rsidRPr="004B0336">
              <w:rPr>
                <w:rFonts w:eastAsia="Times New Roman" w:cs="Arial"/>
                <w:color w:val="000000"/>
                <w:kern w:val="0"/>
                <w:lang w:val="en-GB" w:eastAsia="en-IN"/>
                <w14:ligatures w14:val="none"/>
              </w:rPr>
              <w:t>13.14</w:t>
            </w:r>
          </w:p>
        </w:tc>
        <w:tc>
          <w:tcPr>
            <w:tcW w:w="1880" w:type="dxa"/>
            <w:tcBorders>
              <w:top w:val="nil"/>
              <w:left w:val="nil"/>
              <w:bottom w:val="nil"/>
              <w:right w:val="nil"/>
            </w:tcBorders>
            <w:noWrap/>
            <w:vAlign w:val="bottom"/>
            <w:hideMark/>
          </w:tcPr>
          <w:p w14:paraId="5F6E15F0" w14:textId="77777777" w:rsidR="00505BDB" w:rsidRPr="004B0336" w:rsidRDefault="00505BDB" w:rsidP="00EE1D8B">
            <w:pPr>
              <w:spacing w:after="0"/>
              <w:jc w:val="right"/>
              <w:rPr>
                <w:rFonts w:eastAsia="Times New Roman" w:cs="Arial"/>
                <w:color w:val="000000"/>
                <w:kern w:val="0"/>
                <w:lang w:val="en-GB" w:eastAsia="en-IN"/>
                <w14:ligatures w14:val="none"/>
              </w:rPr>
            </w:pPr>
          </w:p>
        </w:tc>
        <w:tc>
          <w:tcPr>
            <w:tcW w:w="1580" w:type="dxa"/>
            <w:tcBorders>
              <w:top w:val="nil"/>
              <w:left w:val="nil"/>
              <w:bottom w:val="nil"/>
              <w:right w:val="nil"/>
            </w:tcBorders>
            <w:noWrap/>
            <w:vAlign w:val="bottom"/>
            <w:hideMark/>
          </w:tcPr>
          <w:p w14:paraId="1D4C9492" w14:textId="77777777" w:rsidR="00505BDB" w:rsidRPr="004B0336" w:rsidRDefault="00505BDB" w:rsidP="00EE1D8B">
            <w:pPr>
              <w:spacing w:after="0"/>
              <w:jc w:val="left"/>
              <w:rPr>
                <w:rFonts w:eastAsia="Times New Roman" w:cs="Arial"/>
                <w:kern w:val="0"/>
                <w:sz w:val="20"/>
                <w:szCs w:val="20"/>
                <w:lang w:val="en-GB" w:eastAsia="en-IN"/>
                <w14:ligatures w14:val="none"/>
              </w:rPr>
            </w:pPr>
          </w:p>
        </w:tc>
      </w:tr>
    </w:tbl>
    <w:p w14:paraId="3EFE52A6" w14:textId="77777777" w:rsidR="00505BDB" w:rsidRPr="004B0336" w:rsidRDefault="00505BDB" w:rsidP="00EE1D8B">
      <w:pPr>
        <w:rPr>
          <w:rFonts w:cs="Arial"/>
          <w:b/>
          <w:bCs/>
          <w:i/>
          <w:iCs/>
          <w:lang w:val="en-GB"/>
        </w:rPr>
      </w:pPr>
    </w:p>
    <w:p w14:paraId="293347F9" w14:textId="77777777" w:rsidR="00505BDB" w:rsidRPr="004B0336" w:rsidRDefault="00505BDB" w:rsidP="00EE1D8B">
      <w:pPr>
        <w:rPr>
          <w:rFonts w:cs="Arial"/>
          <w:b/>
          <w:bCs/>
          <w:i/>
          <w:iCs/>
          <w:lang w:val="en-GB"/>
        </w:rPr>
      </w:pPr>
    </w:p>
    <w:bookmarkEnd w:id="0"/>
    <w:p w14:paraId="6D0FC61D" w14:textId="77777777" w:rsidR="00F97839" w:rsidRPr="004B0336" w:rsidRDefault="00F97839" w:rsidP="00EE1D8B">
      <w:pPr>
        <w:rPr>
          <w:rFonts w:cs="Arial"/>
          <w:b/>
          <w:bCs/>
          <w:i/>
          <w:iCs/>
          <w:lang w:val="en-GB"/>
        </w:rPr>
      </w:pPr>
    </w:p>
    <w:sectPr w:rsidR="00F97839" w:rsidRPr="004B0336" w:rsidSect="000C72D8">
      <w:footerReference w:type="default" r:id="rId38"/>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9A9A2C9" w14:textId="77777777" w:rsidR="00B9291C" w:rsidRDefault="00B9291C" w:rsidP="00FB6CAC">
      <w:pPr>
        <w:spacing w:after="0" w:line="240" w:lineRule="auto"/>
      </w:pPr>
      <w:r>
        <w:separator/>
      </w:r>
    </w:p>
  </w:endnote>
  <w:endnote w:type="continuationSeparator" w:id="0">
    <w:p w14:paraId="6C5E2857" w14:textId="77777777" w:rsidR="00B9291C" w:rsidRDefault="00B9291C" w:rsidP="00FB6C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cs="Arial"/>
      </w:rPr>
      <w:id w:val="-154688465"/>
      <w:docPartObj>
        <w:docPartGallery w:val="Page Numbers (Bottom of Page)"/>
        <w:docPartUnique/>
      </w:docPartObj>
    </w:sdtPr>
    <w:sdtEndPr>
      <w:rPr>
        <w:noProof/>
      </w:rPr>
    </w:sdtEndPr>
    <w:sdtContent>
      <w:p w14:paraId="6175F586" w14:textId="1E402FF8" w:rsidR="00FB6CAC" w:rsidRPr="00914C50" w:rsidRDefault="00FB6CAC" w:rsidP="00914C50">
        <w:pPr>
          <w:pStyle w:val="Footer"/>
          <w:jc w:val="right"/>
          <w:rPr>
            <w:rFonts w:cs="Arial"/>
          </w:rPr>
        </w:pPr>
        <w:r w:rsidRPr="00574D7D">
          <w:rPr>
            <w:rFonts w:cs="Arial"/>
          </w:rPr>
          <w:fldChar w:fldCharType="begin"/>
        </w:r>
        <w:r w:rsidRPr="00574D7D">
          <w:rPr>
            <w:rFonts w:cs="Arial"/>
          </w:rPr>
          <w:instrText xml:space="preserve"> PAGE   \* MERGEFORMAT </w:instrText>
        </w:r>
        <w:r w:rsidRPr="00574D7D">
          <w:rPr>
            <w:rFonts w:cs="Arial"/>
          </w:rPr>
          <w:fldChar w:fldCharType="separate"/>
        </w:r>
        <w:r w:rsidR="004B0336">
          <w:rPr>
            <w:rFonts w:cs="Arial"/>
            <w:noProof/>
          </w:rPr>
          <w:t>2</w:t>
        </w:r>
        <w:r w:rsidRPr="00574D7D">
          <w:rPr>
            <w:rFonts w:cs="Arial"/>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3BBD157" w14:textId="77777777" w:rsidR="00B9291C" w:rsidRDefault="00B9291C" w:rsidP="00FB6CAC">
      <w:pPr>
        <w:spacing w:after="0" w:line="240" w:lineRule="auto"/>
      </w:pPr>
      <w:r>
        <w:separator/>
      </w:r>
    </w:p>
  </w:footnote>
  <w:footnote w:type="continuationSeparator" w:id="0">
    <w:p w14:paraId="36AFE0E6" w14:textId="77777777" w:rsidR="00B9291C" w:rsidRDefault="00B9291C" w:rsidP="00FB6CA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934504"/>
    <w:multiLevelType w:val="hybridMultilevel"/>
    <w:tmpl w:val="E3ACFA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8120055"/>
    <w:multiLevelType w:val="hybridMultilevel"/>
    <w:tmpl w:val="F216F4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5DF624C"/>
    <w:multiLevelType w:val="hybridMultilevel"/>
    <w:tmpl w:val="9E62C0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92C1A72"/>
    <w:multiLevelType w:val="hybridMultilevel"/>
    <w:tmpl w:val="8EACFA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1826BCB"/>
    <w:multiLevelType w:val="multilevel"/>
    <w:tmpl w:val="89BEB964"/>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nsid w:val="48F81DED"/>
    <w:multiLevelType w:val="hybridMultilevel"/>
    <w:tmpl w:val="A00C62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87B2A02"/>
    <w:multiLevelType w:val="hybridMultilevel"/>
    <w:tmpl w:val="794CEE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6"/>
  </w:num>
  <w:num w:numId="5">
    <w:abstractNumId w:val="3"/>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removePersonalInformation/>
  <w:removeDateAndTime/>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748C"/>
    <w:rsid w:val="00010D32"/>
    <w:rsid w:val="00010F6A"/>
    <w:rsid w:val="00017085"/>
    <w:rsid w:val="00046467"/>
    <w:rsid w:val="0004737C"/>
    <w:rsid w:val="000C2210"/>
    <w:rsid w:val="000C2734"/>
    <w:rsid w:val="000C72D8"/>
    <w:rsid w:val="00103099"/>
    <w:rsid w:val="00121DDB"/>
    <w:rsid w:val="00125357"/>
    <w:rsid w:val="00141FB4"/>
    <w:rsid w:val="0015748C"/>
    <w:rsid w:val="00197921"/>
    <w:rsid w:val="001B3BDB"/>
    <w:rsid w:val="001D49F3"/>
    <w:rsid w:val="001F78D5"/>
    <w:rsid w:val="0023669D"/>
    <w:rsid w:val="00250773"/>
    <w:rsid w:val="002704C0"/>
    <w:rsid w:val="002F25CE"/>
    <w:rsid w:val="002F2D50"/>
    <w:rsid w:val="002F4235"/>
    <w:rsid w:val="003137CE"/>
    <w:rsid w:val="0032475D"/>
    <w:rsid w:val="00325E1E"/>
    <w:rsid w:val="0034459D"/>
    <w:rsid w:val="00356D8B"/>
    <w:rsid w:val="0037566B"/>
    <w:rsid w:val="00396A10"/>
    <w:rsid w:val="003A5C9B"/>
    <w:rsid w:val="003C2316"/>
    <w:rsid w:val="003D4005"/>
    <w:rsid w:val="003D6B3E"/>
    <w:rsid w:val="003E3271"/>
    <w:rsid w:val="003E52BE"/>
    <w:rsid w:val="003F1641"/>
    <w:rsid w:val="00406812"/>
    <w:rsid w:val="004238EE"/>
    <w:rsid w:val="00443C53"/>
    <w:rsid w:val="00460EE8"/>
    <w:rsid w:val="004B0336"/>
    <w:rsid w:val="004C4451"/>
    <w:rsid w:val="004D2E80"/>
    <w:rsid w:val="004D2F66"/>
    <w:rsid w:val="00503241"/>
    <w:rsid w:val="00505BDB"/>
    <w:rsid w:val="00507204"/>
    <w:rsid w:val="005269AB"/>
    <w:rsid w:val="00541044"/>
    <w:rsid w:val="0054285B"/>
    <w:rsid w:val="00544A5D"/>
    <w:rsid w:val="00565EC0"/>
    <w:rsid w:val="005703A8"/>
    <w:rsid w:val="00571660"/>
    <w:rsid w:val="00574D7D"/>
    <w:rsid w:val="0057611D"/>
    <w:rsid w:val="0058566E"/>
    <w:rsid w:val="005B7BFD"/>
    <w:rsid w:val="005C7218"/>
    <w:rsid w:val="005D7F83"/>
    <w:rsid w:val="0061310F"/>
    <w:rsid w:val="0062276C"/>
    <w:rsid w:val="006331AB"/>
    <w:rsid w:val="00644DFA"/>
    <w:rsid w:val="00653F69"/>
    <w:rsid w:val="00670748"/>
    <w:rsid w:val="00670EB2"/>
    <w:rsid w:val="00684132"/>
    <w:rsid w:val="00684D8C"/>
    <w:rsid w:val="006F7791"/>
    <w:rsid w:val="007015DD"/>
    <w:rsid w:val="007071B6"/>
    <w:rsid w:val="007135F4"/>
    <w:rsid w:val="007161AB"/>
    <w:rsid w:val="00732423"/>
    <w:rsid w:val="00741664"/>
    <w:rsid w:val="007B4AE7"/>
    <w:rsid w:val="007B681D"/>
    <w:rsid w:val="007C50B5"/>
    <w:rsid w:val="007E3B54"/>
    <w:rsid w:val="00801A4D"/>
    <w:rsid w:val="008314C3"/>
    <w:rsid w:val="00841583"/>
    <w:rsid w:val="008531D6"/>
    <w:rsid w:val="0087445C"/>
    <w:rsid w:val="008C6026"/>
    <w:rsid w:val="008E05FC"/>
    <w:rsid w:val="008E463F"/>
    <w:rsid w:val="00907032"/>
    <w:rsid w:val="00914C50"/>
    <w:rsid w:val="00937FB8"/>
    <w:rsid w:val="00994EAD"/>
    <w:rsid w:val="00A07C22"/>
    <w:rsid w:val="00A170BB"/>
    <w:rsid w:val="00A24D43"/>
    <w:rsid w:val="00A66BE6"/>
    <w:rsid w:val="00A71E8F"/>
    <w:rsid w:val="00A86155"/>
    <w:rsid w:val="00AD0154"/>
    <w:rsid w:val="00B038E0"/>
    <w:rsid w:val="00B47FB6"/>
    <w:rsid w:val="00B64B58"/>
    <w:rsid w:val="00B9291C"/>
    <w:rsid w:val="00B97F98"/>
    <w:rsid w:val="00BD2E59"/>
    <w:rsid w:val="00BF2628"/>
    <w:rsid w:val="00C1215C"/>
    <w:rsid w:val="00C14E91"/>
    <w:rsid w:val="00C159BA"/>
    <w:rsid w:val="00C47377"/>
    <w:rsid w:val="00C57675"/>
    <w:rsid w:val="00C74A08"/>
    <w:rsid w:val="00C864A1"/>
    <w:rsid w:val="00C86E67"/>
    <w:rsid w:val="00CA0290"/>
    <w:rsid w:val="00CE06D8"/>
    <w:rsid w:val="00CE6A42"/>
    <w:rsid w:val="00D05AEF"/>
    <w:rsid w:val="00D20E89"/>
    <w:rsid w:val="00D250DB"/>
    <w:rsid w:val="00D25A04"/>
    <w:rsid w:val="00D30B28"/>
    <w:rsid w:val="00D377F9"/>
    <w:rsid w:val="00D434E3"/>
    <w:rsid w:val="00D72724"/>
    <w:rsid w:val="00D856E7"/>
    <w:rsid w:val="00DA1C51"/>
    <w:rsid w:val="00DA3E41"/>
    <w:rsid w:val="00DD2F1C"/>
    <w:rsid w:val="00DD3089"/>
    <w:rsid w:val="00DD645F"/>
    <w:rsid w:val="00DE38C2"/>
    <w:rsid w:val="00E017F2"/>
    <w:rsid w:val="00E04CBD"/>
    <w:rsid w:val="00E6682F"/>
    <w:rsid w:val="00E66BEE"/>
    <w:rsid w:val="00EC4E51"/>
    <w:rsid w:val="00EE1D8B"/>
    <w:rsid w:val="00EF7A8D"/>
    <w:rsid w:val="00F05C74"/>
    <w:rsid w:val="00F076D3"/>
    <w:rsid w:val="00F11CD3"/>
    <w:rsid w:val="00F20002"/>
    <w:rsid w:val="00F22B13"/>
    <w:rsid w:val="00F26DB2"/>
    <w:rsid w:val="00F36489"/>
    <w:rsid w:val="00F41B39"/>
    <w:rsid w:val="00F55971"/>
    <w:rsid w:val="00F668F3"/>
    <w:rsid w:val="00F821FE"/>
    <w:rsid w:val="00F917C4"/>
    <w:rsid w:val="00F97839"/>
    <w:rsid w:val="00FB6CAC"/>
    <w:rsid w:val="00FC1B3D"/>
    <w:rsid w:val="00FE627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299AE0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7218"/>
    <w:pPr>
      <w:spacing w:before="120" w:after="120" w:line="360" w:lineRule="auto"/>
      <w:jc w:val="both"/>
    </w:pPr>
    <w:rPr>
      <w:rFonts w:ascii="Arial" w:hAnsi="Arial" w:cs="Times New Roman"/>
      <w:color w:val="000000" w:themeColor="text1"/>
      <w:sz w:val="24"/>
      <w:szCs w:val="24"/>
    </w:rPr>
  </w:style>
  <w:style w:type="paragraph" w:styleId="Heading1">
    <w:name w:val="heading 1"/>
    <w:basedOn w:val="Normal"/>
    <w:next w:val="Normal"/>
    <w:link w:val="Heading1Char"/>
    <w:uiPriority w:val="9"/>
    <w:qFormat/>
    <w:rsid w:val="00C159BA"/>
    <w:pPr>
      <w:outlineLvl w:val="0"/>
    </w:pPr>
    <w:rPr>
      <w:rFonts w:cs="Arial"/>
      <w:b/>
      <w:bCs/>
      <w:sz w:val="28"/>
      <w:szCs w:val="28"/>
    </w:rPr>
  </w:style>
  <w:style w:type="paragraph" w:styleId="Heading2">
    <w:name w:val="heading 2"/>
    <w:basedOn w:val="Normal"/>
    <w:next w:val="Normal"/>
    <w:link w:val="Heading2Char"/>
    <w:uiPriority w:val="9"/>
    <w:unhideWhenUsed/>
    <w:qFormat/>
    <w:rsid w:val="003137CE"/>
    <w:pPr>
      <w:outlineLvl w:val="1"/>
    </w:pPr>
    <w:rPr>
      <w:rFonts w:cs="Arial"/>
      <w:b/>
    </w:rPr>
  </w:style>
  <w:style w:type="paragraph" w:styleId="Heading3">
    <w:name w:val="heading 3"/>
    <w:basedOn w:val="Normal"/>
    <w:next w:val="Normal"/>
    <w:link w:val="Heading3Char"/>
    <w:uiPriority w:val="9"/>
    <w:semiHidden/>
    <w:unhideWhenUsed/>
    <w:qFormat/>
    <w:rsid w:val="0015748C"/>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5748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5748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5748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5748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5748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5748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59BA"/>
    <w:rPr>
      <w:rFonts w:ascii="Arial" w:hAnsi="Arial" w:cs="Arial"/>
      <w:b/>
      <w:bCs/>
      <w:color w:val="000000" w:themeColor="text1"/>
      <w:sz w:val="28"/>
      <w:szCs w:val="28"/>
    </w:rPr>
  </w:style>
  <w:style w:type="character" w:customStyle="1" w:styleId="Heading2Char">
    <w:name w:val="Heading 2 Char"/>
    <w:basedOn w:val="DefaultParagraphFont"/>
    <w:link w:val="Heading2"/>
    <w:uiPriority w:val="9"/>
    <w:rsid w:val="003137CE"/>
    <w:rPr>
      <w:rFonts w:ascii="Arial" w:hAnsi="Arial" w:cs="Arial"/>
      <w:b/>
      <w:sz w:val="24"/>
      <w:szCs w:val="24"/>
    </w:rPr>
  </w:style>
  <w:style w:type="character" w:customStyle="1" w:styleId="Heading3Char">
    <w:name w:val="Heading 3 Char"/>
    <w:basedOn w:val="DefaultParagraphFont"/>
    <w:link w:val="Heading3"/>
    <w:uiPriority w:val="9"/>
    <w:semiHidden/>
    <w:rsid w:val="0015748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5748C"/>
    <w:rPr>
      <w:rFonts w:eastAsiaTheme="majorEastAsia"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15748C"/>
    <w:rPr>
      <w:rFonts w:eastAsiaTheme="majorEastAsia"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15748C"/>
    <w:rPr>
      <w:rFonts w:eastAsiaTheme="majorEastAsia"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15748C"/>
    <w:rPr>
      <w:rFonts w:eastAsiaTheme="majorEastAsia"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15748C"/>
    <w:rPr>
      <w:rFonts w:eastAsiaTheme="majorEastAsia"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15748C"/>
    <w:rPr>
      <w:rFonts w:eastAsiaTheme="majorEastAsia" w:cstheme="majorBidi"/>
      <w:color w:val="272727" w:themeColor="text1" w:themeTint="D8"/>
      <w:sz w:val="24"/>
      <w:szCs w:val="24"/>
    </w:rPr>
  </w:style>
  <w:style w:type="paragraph" w:styleId="Title">
    <w:name w:val="Title"/>
    <w:basedOn w:val="Normal"/>
    <w:next w:val="Normal"/>
    <w:link w:val="TitleChar"/>
    <w:uiPriority w:val="10"/>
    <w:qFormat/>
    <w:rsid w:val="001574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74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748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74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748C"/>
    <w:pPr>
      <w:spacing w:before="160"/>
      <w:jc w:val="center"/>
    </w:pPr>
    <w:rPr>
      <w:i/>
      <w:iCs/>
      <w:color w:val="404040" w:themeColor="text1" w:themeTint="BF"/>
    </w:rPr>
  </w:style>
  <w:style w:type="character" w:customStyle="1" w:styleId="QuoteChar">
    <w:name w:val="Quote Char"/>
    <w:basedOn w:val="DefaultParagraphFont"/>
    <w:link w:val="Quote"/>
    <w:uiPriority w:val="29"/>
    <w:rsid w:val="0015748C"/>
    <w:rPr>
      <w:rFonts w:ascii="Times New Roman" w:hAnsi="Times New Roman" w:cs="Times New Roman"/>
      <w:i/>
      <w:iCs/>
      <w:color w:val="404040" w:themeColor="text1" w:themeTint="BF"/>
      <w:sz w:val="24"/>
      <w:szCs w:val="24"/>
    </w:rPr>
  </w:style>
  <w:style w:type="paragraph" w:styleId="ListParagraph">
    <w:name w:val="List Paragraph"/>
    <w:basedOn w:val="Normal"/>
    <w:uiPriority w:val="34"/>
    <w:qFormat/>
    <w:rsid w:val="0015748C"/>
    <w:pPr>
      <w:ind w:left="720"/>
      <w:contextualSpacing/>
    </w:pPr>
  </w:style>
  <w:style w:type="character" w:styleId="IntenseEmphasis">
    <w:name w:val="Intense Emphasis"/>
    <w:basedOn w:val="DefaultParagraphFont"/>
    <w:uiPriority w:val="21"/>
    <w:qFormat/>
    <w:rsid w:val="0015748C"/>
    <w:rPr>
      <w:i/>
      <w:iCs/>
      <w:color w:val="2F5496" w:themeColor="accent1" w:themeShade="BF"/>
    </w:rPr>
  </w:style>
  <w:style w:type="paragraph" w:styleId="IntenseQuote">
    <w:name w:val="Intense Quote"/>
    <w:basedOn w:val="Normal"/>
    <w:next w:val="Normal"/>
    <w:link w:val="IntenseQuoteChar"/>
    <w:uiPriority w:val="30"/>
    <w:qFormat/>
    <w:rsid w:val="0015748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748C"/>
    <w:rPr>
      <w:rFonts w:ascii="Times New Roman" w:hAnsi="Times New Roman" w:cs="Times New Roman"/>
      <w:i/>
      <w:iCs/>
      <w:color w:val="2F5496" w:themeColor="accent1" w:themeShade="BF"/>
      <w:sz w:val="24"/>
      <w:szCs w:val="24"/>
    </w:rPr>
  </w:style>
  <w:style w:type="character" w:styleId="IntenseReference">
    <w:name w:val="Intense Reference"/>
    <w:basedOn w:val="DefaultParagraphFont"/>
    <w:uiPriority w:val="32"/>
    <w:qFormat/>
    <w:rsid w:val="0015748C"/>
    <w:rPr>
      <w:b/>
      <w:bCs/>
      <w:smallCaps/>
      <w:color w:val="2F5496" w:themeColor="accent1" w:themeShade="BF"/>
      <w:spacing w:val="5"/>
    </w:rPr>
  </w:style>
  <w:style w:type="character" w:styleId="Hyperlink">
    <w:name w:val="Hyperlink"/>
    <w:basedOn w:val="DefaultParagraphFont"/>
    <w:uiPriority w:val="99"/>
    <w:unhideWhenUsed/>
    <w:rsid w:val="006331AB"/>
    <w:rPr>
      <w:color w:val="0563C1" w:themeColor="hyperlink"/>
      <w:u w:val="single"/>
    </w:rPr>
  </w:style>
  <w:style w:type="character" w:customStyle="1" w:styleId="UnresolvedMention1">
    <w:name w:val="Unresolved Mention1"/>
    <w:basedOn w:val="DefaultParagraphFont"/>
    <w:uiPriority w:val="99"/>
    <w:semiHidden/>
    <w:unhideWhenUsed/>
    <w:rsid w:val="006331AB"/>
    <w:rPr>
      <w:color w:val="605E5C"/>
      <w:shd w:val="clear" w:color="auto" w:fill="E1DFDD"/>
    </w:rPr>
  </w:style>
  <w:style w:type="paragraph" w:styleId="Header">
    <w:name w:val="header"/>
    <w:basedOn w:val="Normal"/>
    <w:link w:val="HeaderChar"/>
    <w:uiPriority w:val="99"/>
    <w:unhideWhenUsed/>
    <w:rsid w:val="00FB6C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6CAC"/>
    <w:rPr>
      <w:rFonts w:ascii="Times New Roman" w:hAnsi="Times New Roman" w:cs="Times New Roman"/>
      <w:sz w:val="24"/>
      <w:szCs w:val="24"/>
    </w:rPr>
  </w:style>
  <w:style w:type="paragraph" w:styleId="Footer">
    <w:name w:val="footer"/>
    <w:basedOn w:val="Normal"/>
    <w:link w:val="FooterChar"/>
    <w:uiPriority w:val="99"/>
    <w:unhideWhenUsed/>
    <w:rsid w:val="00FB6C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6CAC"/>
    <w:rPr>
      <w:rFonts w:ascii="Times New Roman" w:hAnsi="Times New Roman" w:cs="Times New Roman"/>
      <w:sz w:val="24"/>
      <w:szCs w:val="24"/>
    </w:rPr>
  </w:style>
  <w:style w:type="paragraph" w:styleId="TOCHeading">
    <w:name w:val="TOC Heading"/>
    <w:basedOn w:val="Heading1"/>
    <w:next w:val="Normal"/>
    <w:uiPriority w:val="39"/>
    <w:unhideWhenUsed/>
    <w:qFormat/>
    <w:rsid w:val="00EE1D8B"/>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EE1D8B"/>
    <w:pPr>
      <w:spacing w:after="100"/>
    </w:pPr>
  </w:style>
  <w:style w:type="paragraph" w:styleId="TOC2">
    <w:name w:val="toc 2"/>
    <w:basedOn w:val="Normal"/>
    <w:next w:val="Normal"/>
    <w:autoRedefine/>
    <w:uiPriority w:val="39"/>
    <w:unhideWhenUsed/>
    <w:rsid w:val="00EE1D8B"/>
    <w:pPr>
      <w:spacing w:after="100"/>
      <w:ind w:left="240"/>
    </w:pPr>
  </w:style>
  <w:style w:type="table" w:styleId="GridTable4-Accent4">
    <w:name w:val="Grid Table 4 Accent 4"/>
    <w:basedOn w:val="TableNormal"/>
    <w:uiPriority w:val="49"/>
    <w:rsid w:val="003F1641"/>
    <w:pPr>
      <w:spacing w:after="0" w:line="240" w:lineRule="auto"/>
    </w:pPr>
    <w:rPr>
      <w:kern w:val="0"/>
      <w:lang w:val="en-US"/>
      <w14:ligatures w14:val="none"/>
    </w:rPr>
    <w:tblPr>
      <w:tblStyleRowBandSize w:val="1"/>
      <w:tblStyleColBandSize w:val="1"/>
      <w:tblInd w:w="0" w:type="dxa"/>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poratefinanceinstitute.com/resources/valuation/divestment/" TargetMode="External"/><Relationship Id="rId18" Type="http://schemas.openxmlformats.org/officeDocument/2006/relationships/hyperlink" Target="https://www.ge.com/news/reports/tag/Annual%20Report" TargetMode="External"/><Relationship Id="rId26" Type="http://schemas.openxmlformats.org/officeDocument/2006/relationships/hyperlink" Target="https://www.prudentialprivatecapital.com/perspectives/the-benefits-of-long-term-vs-short-term-financing" TargetMode="External"/><Relationship Id="rId39" Type="http://schemas.openxmlformats.org/officeDocument/2006/relationships/fontTable" Target="fontTable.xml"/><Relationship Id="rId21" Type="http://schemas.openxmlformats.org/officeDocument/2006/relationships/hyperlink" Target="https://www.investopedia.com/terms/a/altman.asp" TargetMode="External"/><Relationship Id="rId34" Type="http://schemas.openxmlformats.org/officeDocument/2006/relationships/hyperlink" Target="https://ic-ebgc.upnjatim.ac.id/index.php/ic-ebgc/article/view/130/118" TargetMode="External"/><Relationship Id="rId7" Type="http://schemas.openxmlformats.org/officeDocument/2006/relationships/endnotes" Target="endnotes.xml"/><Relationship Id="rId12" Type="http://schemas.openxmlformats.org/officeDocument/2006/relationships/hyperlink" Target="http://dx.doi.org/10.46827/ejefr.v6i3.1346" TargetMode="External"/><Relationship Id="rId17" Type="http://schemas.openxmlformats.org/officeDocument/2006/relationships/hyperlink" Target="https://fmtrust.bank/money-moves-article/is-short-term-or-long-term-financing-best-for-your-business/" TargetMode="External"/><Relationship Id="rId25" Type="http://schemas.openxmlformats.org/officeDocument/2006/relationships/hyperlink" Target="http://dx.doi.org/10.25105/ijca.v5i1.17026" TargetMode="External"/><Relationship Id="rId33" Type="http://schemas.openxmlformats.org/officeDocument/2006/relationships/hyperlink" Target="https://doi.org/10.1108/EJMBE-08-2019-0133"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bc.com/forex/profitability-index-how-to-measure-investment-potential" TargetMode="External"/><Relationship Id="rId20" Type="http://schemas.openxmlformats.org/officeDocument/2006/relationships/hyperlink" Target="https://doi.org/10.3390/su13084266" TargetMode="External"/><Relationship Id="rId29" Type="http://schemas.openxmlformats.org/officeDocument/2006/relationships/hyperlink" Target="https://www.netsuite.com/portal/resource/articles/financial-management/financial-statement-analysis.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x.doi.org/10.6007/IJARBSS/v12-i11/15276" TargetMode="External"/><Relationship Id="rId24" Type="http://schemas.openxmlformats.org/officeDocument/2006/relationships/hyperlink" Target="https://doi.org/10.19192/wsfip.sj4.2022.3" TargetMode="External"/><Relationship Id="rId32" Type="http://schemas.openxmlformats.org/officeDocument/2006/relationships/hyperlink" Target="https://www.researchgate.net/profile/Hussein-Smith/publication/386459911_Inventory_Management_for_Entrepreneurs_Balancing_Costs_Efficiency_and_Customer_Satisfaction/links/6751ec23ef2dc67228ac2399/Inventory-Management-for-Entrepreneurs-Balancing-Costs-Efficiency-and-Customer-Satisfaction.pdf" TargetMode="External"/><Relationship Id="rId37" Type="http://schemas.openxmlformats.org/officeDocument/2006/relationships/hyperlink" Target="https://corporatefinanceinstitute.com/resources/accounting/arr-accounting-rate-of-return/"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doi.org/10.46754/jssm.2021.08.025" TargetMode="External"/><Relationship Id="rId23" Type="http://schemas.openxmlformats.org/officeDocument/2006/relationships/hyperlink" Target="https://doi.org/10.1287/mnsc.2020.3607" TargetMode="External"/><Relationship Id="rId28" Type="http://schemas.openxmlformats.org/officeDocument/2006/relationships/hyperlink" Target="https://www.researchandmarkets.com/reports/6186091/general-electronic-components-market-outlook" TargetMode="External"/><Relationship Id="rId36" Type="http://schemas.openxmlformats.org/officeDocument/2006/relationships/hyperlink" Target="https://preferredcfo.com/insights/determining-payback-period-of-business-investment" TargetMode="External"/><Relationship Id="rId10" Type="http://schemas.openxmlformats.org/officeDocument/2006/relationships/image" Target="media/image2.png"/><Relationship Id="rId19" Type="http://schemas.openxmlformats.org/officeDocument/2006/relationships/hyperlink" Target="https://guardianadvisory.com.sg/resources/restructuring/equity-injection/" TargetMode="External"/><Relationship Id="rId31" Type="http://schemas.openxmlformats.org/officeDocument/2006/relationships/hyperlink" Target="https://commonslibrary.parliament.uk/research-briefings/sn05572/"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corporatefinanceinstitute.com/resources/valuation/net-present-value-rule/" TargetMode="External"/><Relationship Id="rId22" Type="http://schemas.openxmlformats.org/officeDocument/2006/relationships/hyperlink" Target="https://doi.org/10.2991/978-94-6463-811-0_7" TargetMode="External"/><Relationship Id="rId27" Type="http://schemas.openxmlformats.org/officeDocument/2006/relationships/hyperlink" Target="https://www.pwc.com/us/en/services/consulting/deals/divestitures.html" TargetMode="External"/><Relationship Id="rId30" Type="http://schemas.openxmlformats.org/officeDocument/2006/relationships/hyperlink" Target="https://www.academia.edu/download/107843451/417586585.pdf" TargetMode="External"/><Relationship Id="rId35" Type="http://schemas.openxmlformats.org/officeDocument/2006/relationships/hyperlink" Target="https://www.uspec.org/blog/internal-rate-of-return-in-investment-analysi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1C6588-5F0F-435C-9576-CD2828E142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7684</Words>
  <Characters>43805</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2025-11-24T12:24:00Z</dcterms:created>
  <dcterms:modified xsi:type="dcterms:W3CDTF">2025-11-24T12:25:00Z</dcterms:modified>
</cp:coreProperties>
</file>