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D95F8" w14:textId="77777777" w:rsidR="003E2CC0" w:rsidRPr="003E2CC0" w:rsidRDefault="003E2CC0" w:rsidP="003E2CC0">
      <w:pPr>
        <w:rPr>
          <w:b/>
          <w:bCs/>
        </w:rPr>
      </w:pPr>
      <w:r w:rsidRPr="003E2CC0">
        <w:rPr>
          <w:b/>
          <w:bCs/>
        </w:rPr>
        <w:t>Detailed Trend Commentary</w:t>
      </w:r>
    </w:p>
    <w:p w14:paraId="3B6EFF9E" w14:textId="77777777" w:rsidR="003E2CC0" w:rsidRPr="003E2CC0" w:rsidRDefault="003E2CC0" w:rsidP="003E2CC0">
      <w:pPr>
        <w:rPr>
          <w:b/>
          <w:bCs/>
          <w:sz w:val="20"/>
          <w:szCs w:val="20"/>
        </w:rPr>
      </w:pPr>
      <w:r w:rsidRPr="003E2CC0">
        <w:rPr>
          <w:b/>
          <w:bCs/>
          <w:sz w:val="20"/>
          <w:szCs w:val="20"/>
        </w:rPr>
        <w:t>1. Profitability Ratios</w:t>
      </w:r>
    </w:p>
    <w:tbl>
      <w:tblPr>
        <w:tblW w:w="0" w:type="auto"/>
        <w:tblCellMar>
          <w:top w:w="15" w:type="dxa"/>
          <w:left w:w="15" w:type="dxa"/>
          <w:bottom w:w="15" w:type="dxa"/>
          <w:right w:w="15" w:type="dxa"/>
        </w:tblCellMar>
        <w:tblLook w:val="04A0" w:firstRow="1" w:lastRow="0" w:firstColumn="1" w:lastColumn="0" w:noHBand="0" w:noVBand="1"/>
      </w:tblPr>
      <w:tblGrid>
        <w:gridCol w:w="1136"/>
        <w:gridCol w:w="1130"/>
        <w:gridCol w:w="1121"/>
        <w:gridCol w:w="1121"/>
        <w:gridCol w:w="1121"/>
        <w:gridCol w:w="1124"/>
        <w:gridCol w:w="2273"/>
      </w:tblGrid>
      <w:tr w:rsidR="003E2CC0" w:rsidRPr="003E2CC0" w14:paraId="797D7F5B" w14:textId="77777777" w:rsidTr="003E2CC0">
        <w:trPr>
          <w:tblHeader/>
        </w:trPr>
        <w:tc>
          <w:tcPr>
            <w:tcW w:w="1142" w:type="dxa"/>
            <w:tcBorders>
              <w:top w:val="nil"/>
            </w:tcBorders>
            <w:tcMar>
              <w:top w:w="150" w:type="dxa"/>
              <w:left w:w="0" w:type="dxa"/>
              <w:bottom w:w="150" w:type="dxa"/>
              <w:right w:w="240" w:type="dxa"/>
            </w:tcMar>
            <w:vAlign w:val="center"/>
            <w:hideMark/>
          </w:tcPr>
          <w:p w14:paraId="2C5136E7" w14:textId="77777777" w:rsidR="003E2CC0" w:rsidRPr="003E2CC0" w:rsidRDefault="003E2CC0" w:rsidP="003E2CC0">
            <w:pPr>
              <w:rPr>
                <w:sz w:val="20"/>
                <w:szCs w:val="20"/>
              </w:rPr>
            </w:pPr>
            <w:r w:rsidRPr="003E2CC0">
              <w:rPr>
                <w:sz w:val="20"/>
                <w:szCs w:val="20"/>
              </w:rPr>
              <w:t>Ratio</w:t>
            </w:r>
          </w:p>
        </w:tc>
        <w:tc>
          <w:tcPr>
            <w:tcW w:w="1131" w:type="dxa"/>
            <w:tcBorders>
              <w:top w:val="nil"/>
            </w:tcBorders>
            <w:tcMar>
              <w:top w:w="150" w:type="dxa"/>
              <w:left w:w="240" w:type="dxa"/>
              <w:bottom w:w="150" w:type="dxa"/>
              <w:right w:w="240" w:type="dxa"/>
            </w:tcMar>
            <w:vAlign w:val="center"/>
            <w:hideMark/>
          </w:tcPr>
          <w:p w14:paraId="42B401FA" w14:textId="77777777" w:rsidR="003E2CC0" w:rsidRPr="003E2CC0" w:rsidRDefault="003E2CC0" w:rsidP="003E2CC0">
            <w:pPr>
              <w:rPr>
                <w:sz w:val="20"/>
                <w:szCs w:val="20"/>
              </w:rPr>
            </w:pPr>
            <w:r w:rsidRPr="003E2CC0">
              <w:rPr>
                <w:sz w:val="20"/>
                <w:szCs w:val="20"/>
              </w:rPr>
              <w:t>FY2021</w:t>
            </w:r>
          </w:p>
        </w:tc>
        <w:tc>
          <w:tcPr>
            <w:tcW w:w="0" w:type="auto"/>
            <w:tcBorders>
              <w:top w:val="nil"/>
            </w:tcBorders>
            <w:tcMar>
              <w:top w:w="150" w:type="dxa"/>
              <w:left w:w="240" w:type="dxa"/>
              <w:bottom w:w="150" w:type="dxa"/>
              <w:right w:w="240" w:type="dxa"/>
            </w:tcMar>
            <w:vAlign w:val="center"/>
            <w:hideMark/>
          </w:tcPr>
          <w:p w14:paraId="0EBCA74B" w14:textId="77777777" w:rsidR="003E2CC0" w:rsidRPr="003E2CC0" w:rsidRDefault="003E2CC0" w:rsidP="003E2CC0">
            <w:pPr>
              <w:rPr>
                <w:sz w:val="20"/>
                <w:szCs w:val="20"/>
              </w:rPr>
            </w:pPr>
            <w:r w:rsidRPr="003E2CC0">
              <w:rPr>
                <w:sz w:val="20"/>
                <w:szCs w:val="20"/>
              </w:rPr>
              <w:t>FY2022</w:t>
            </w:r>
          </w:p>
        </w:tc>
        <w:tc>
          <w:tcPr>
            <w:tcW w:w="0" w:type="auto"/>
            <w:tcBorders>
              <w:top w:val="nil"/>
            </w:tcBorders>
            <w:tcMar>
              <w:top w:w="150" w:type="dxa"/>
              <w:left w:w="240" w:type="dxa"/>
              <w:bottom w:w="150" w:type="dxa"/>
              <w:right w:w="240" w:type="dxa"/>
            </w:tcMar>
            <w:vAlign w:val="center"/>
            <w:hideMark/>
          </w:tcPr>
          <w:p w14:paraId="766AA90E" w14:textId="77777777" w:rsidR="003E2CC0" w:rsidRPr="003E2CC0" w:rsidRDefault="003E2CC0" w:rsidP="003E2CC0">
            <w:pPr>
              <w:rPr>
                <w:sz w:val="20"/>
                <w:szCs w:val="20"/>
              </w:rPr>
            </w:pPr>
            <w:r w:rsidRPr="003E2CC0">
              <w:rPr>
                <w:sz w:val="20"/>
                <w:szCs w:val="20"/>
              </w:rPr>
              <w:t>FY2023</w:t>
            </w:r>
          </w:p>
        </w:tc>
        <w:tc>
          <w:tcPr>
            <w:tcW w:w="872" w:type="dxa"/>
            <w:tcBorders>
              <w:top w:val="nil"/>
            </w:tcBorders>
            <w:tcMar>
              <w:top w:w="150" w:type="dxa"/>
              <w:left w:w="240" w:type="dxa"/>
              <w:bottom w:w="150" w:type="dxa"/>
              <w:right w:w="240" w:type="dxa"/>
            </w:tcMar>
            <w:vAlign w:val="center"/>
            <w:hideMark/>
          </w:tcPr>
          <w:p w14:paraId="74E482DB" w14:textId="77777777" w:rsidR="003E2CC0" w:rsidRPr="003E2CC0" w:rsidRDefault="003E2CC0" w:rsidP="003E2CC0">
            <w:pPr>
              <w:rPr>
                <w:sz w:val="20"/>
                <w:szCs w:val="20"/>
              </w:rPr>
            </w:pPr>
            <w:r w:rsidRPr="003E2CC0">
              <w:rPr>
                <w:sz w:val="20"/>
                <w:szCs w:val="20"/>
              </w:rPr>
              <w:t>FY2024</w:t>
            </w:r>
          </w:p>
        </w:tc>
        <w:tc>
          <w:tcPr>
            <w:tcW w:w="1370" w:type="dxa"/>
            <w:tcBorders>
              <w:top w:val="nil"/>
            </w:tcBorders>
            <w:tcMar>
              <w:top w:w="150" w:type="dxa"/>
              <w:left w:w="240" w:type="dxa"/>
              <w:bottom w:w="150" w:type="dxa"/>
              <w:right w:w="240" w:type="dxa"/>
            </w:tcMar>
            <w:vAlign w:val="center"/>
            <w:hideMark/>
          </w:tcPr>
          <w:p w14:paraId="7D7D06AA" w14:textId="77777777" w:rsidR="003E2CC0" w:rsidRPr="003E2CC0" w:rsidRDefault="003E2CC0" w:rsidP="003E2CC0">
            <w:pPr>
              <w:rPr>
                <w:sz w:val="20"/>
                <w:szCs w:val="20"/>
              </w:rPr>
            </w:pPr>
            <w:r w:rsidRPr="003E2CC0">
              <w:rPr>
                <w:sz w:val="20"/>
                <w:szCs w:val="20"/>
              </w:rPr>
              <w:t>FY2025</w:t>
            </w:r>
          </w:p>
        </w:tc>
        <w:tc>
          <w:tcPr>
            <w:tcW w:w="2269" w:type="dxa"/>
            <w:tcBorders>
              <w:top w:val="nil"/>
            </w:tcBorders>
            <w:tcMar>
              <w:top w:w="150" w:type="dxa"/>
              <w:left w:w="240" w:type="dxa"/>
              <w:bottom w:w="150" w:type="dxa"/>
              <w:right w:w="240" w:type="dxa"/>
            </w:tcMar>
            <w:vAlign w:val="center"/>
            <w:hideMark/>
          </w:tcPr>
          <w:p w14:paraId="40759262" w14:textId="77777777" w:rsidR="003E2CC0" w:rsidRPr="003E2CC0" w:rsidRDefault="003E2CC0" w:rsidP="003E2CC0">
            <w:pPr>
              <w:rPr>
                <w:sz w:val="20"/>
                <w:szCs w:val="20"/>
              </w:rPr>
            </w:pPr>
            <w:r w:rsidRPr="003E2CC0">
              <w:rPr>
                <w:sz w:val="20"/>
                <w:szCs w:val="20"/>
              </w:rPr>
              <w:t>Trend Commentary</w:t>
            </w:r>
          </w:p>
        </w:tc>
      </w:tr>
      <w:tr w:rsidR="003E2CC0" w:rsidRPr="003E2CC0" w14:paraId="32570118" w14:textId="77777777" w:rsidTr="003E2CC0">
        <w:tc>
          <w:tcPr>
            <w:tcW w:w="1142" w:type="dxa"/>
            <w:tcMar>
              <w:top w:w="150" w:type="dxa"/>
              <w:left w:w="0" w:type="dxa"/>
              <w:bottom w:w="150" w:type="dxa"/>
              <w:right w:w="240" w:type="dxa"/>
            </w:tcMar>
            <w:vAlign w:val="center"/>
            <w:hideMark/>
          </w:tcPr>
          <w:p w14:paraId="5E8BCA61" w14:textId="77777777" w:rsidR="003E2CC0" w:rsidRPr="003E2CC0" w:rsidRDefault="003E2CC0" w:rsidP="003E2CC0">
            <w:pPr>
              <w:rPr>
                <w:sz w:val="20"/>
                <w:szCs w:val="20"/>
              </w:rPr>
            </w:pPr>
            <w:r w:rsidRPr="003E2CC0">
              <w:rPr>
                <w:b/>
                <w:bCs/>
                <w:sz w:val="20"/>
                <w:szCs w:val="20"/>
              </w:rPr>
              <w:t>Gross Margin</w:t>
            </w:r>
          </w:p>
        </w:tc>
        <w:tc>
          <w:tcPr>
            <w:tcW w:w="1131" w:type="dxa"/>
            <w:tcMar>
              <w:top w:w="150" w:type="dxa"/>
              <w:left w:w="240" w:type="dxa"/>
              <w:bottom w:w="150" w:type="dxa"/>
              <w:right w:w="240" w:type="dxa"/>
            </w:tcMar>
            <w:vAlign w:val="center"/>
            <w:hideMark/>
          </w:tcPr>
          <w:p w14:paraId="33DFE30D" w14:textId="77777777" w:rsidR="003E2CC0" w:rsidRPr="003E2CC0" w:rsidRDefault="003E2CC0" w:rsidP="003E2CC0">
            <w:pPr>
              <w:rPr>
                <w:sz w:val="20"/>
                <w:szCs w:val="20"/>
              </w:rPr>
            </w:pPr>
            <w:r w:rsidRPr="003E2CC0">
              <w:rPr>
                <w:sz w:val="20"/>
                <w:szCs w:val="20"/>
              </w:rPr>
              <w:t>87.8%</w:t>
            </w:r>
          </w:p>
        </w:tc>
        <w:tc>
          <w:tcPr>
            <w:tcW w:w="0" w:type="auto"/>
            <w:tcMar>
              <w:top w:w="150" w:type="dxa"/>
              <w:left w:w="240" w:type="dxa"/>
              <w:bottom w:w="150" w:type="dxa"/>
              <w:right w:w="240" w:type="dxa"/>
            </w:tcMar>
            <w:vAlign w:val="center"/>
            <w:hideMark/>
          </w:tcPr>
          <w:p w14:paraId="2F162E35" w14:textId="77777777" w:rsidR="003E2CC0" w:rsidRPr="003E2CC0" w:rsidRDefault="003E2CC0" w:rsidP="003E2CC0">
            <w:pPr>
              <w:rPr>
                <w:sz w:val="20"/>
                <w:szCs w:val="20"/>
              </w:rPr>
            </w:pPr>
            <w:r w:rsidRPr="003E2CC0">
              <w:rPr>
                <w:sz w:val="20"/>
                <w:szCs w:val="20"/>
              </w:rPr>
              <w:t>91.4%</w:t>
            </w:r>
          </w:p>
        </w:tc>
        <w:tc>
          <w:tcPr>
            <w:tcW w:w="0" w:type="auto"/>
            <w:tcMar>
              <w:top w:w="150" w:type="dxa"/>
              <w:left w:w="240" w:type="dxa"/>
              <w:bottom w:w="150" w:type="dxa"/>
              <w:right w:w="240" w:type="dxa"/>
            </w:tcMar>
            <w:vAlign w:val="center"/>
            <w:hideMark/>
          </w:tcPr>
          <w:p w14:paraId="00F781D9" w14:textId="77777777" w:rsidR="003E2CC0" w:rsidRPr="003E2CC0" w:rsidRDefault="003E2CC0" w:rsidP="003E2CC0">
            <w:pPr>
              <w:rPr>
                <w:sz w:val="20"/>
                <w:szCs w:val="20"/>
              </w:rPr>
            </w:pPr>
            <w:r w:rsidRPr="003E2CC0">
              <w:rPr>
                <w:sz w:val="20"/>
                <w:szCs w:val="20"/>
              </w:rPr>
              <w:t>91.3%</w:t>
            </w:r>
          </w:p>
        </w:tc>
        <w:tc>
          <w:tcPr>
            <w:tcW w:w="872" w:type="dxa"/>
            <w:tcMar>
              <w:top w:w="150" w:type="dxa"/>
              <w:left w:w="240" w:type="dxa"/>
              <w:bottom w:w="150" w:type="dxa"/>
              <w:right w:w="240" w:type="dxa"/>
            </w:tcMar>
            <w:vAlign w:val="center"/>
            <w:hideMark/>
          </w:tcPr>
          <w:p w14:paraId="323D0619" w14:textId="77777777" w:rsidR="003E2CC0" w:rsidRPr="003E2CC0" w:rsidRDefault="003E2CC0" w:rsidP="003E2CC0">
            <w:pPr>
              <w:rPr>
                <w:sz w:val="20"/>
                <w:szCs w:val="20"/>
              </w:rPr>
            </w:pPr>
            <w:r w:rsidRPr="003E2CC0">
              <w:rPr>
                <w:sz w:val="20"/>
                <w:szCs w:val="20"/>
              </w:rPr>
              <w:t>91.4%</w:t>
            </w:r>
          </w:p>
        </w:tc>
        <w:tc>
          <w:tcPr>
            <w:tcW w:w="1370" w:type="dxa"/>
            <w:tcMar>
              <w:top w:w="150" w:type="dxa"/>
              <w:left w:w="240" w:type="dxa"/>
              <w:bottom w:w="150" w:type="dxa"/>
              <w:right w:w="240" w:type="dxa"/>
            </w:tcMar>
            <w:vAlign w:val="center"/>
            <w:hideMark/>
          </w:tcPr>
          <w:p w14:paraId="6A1FC3A0" w14:textId="77777777" w:rsidR="003E2CC0" w:rsidRPr="003E2CC0" w:rsidRDefault="003E2CC0" w:rsidP="003E2CC0">
            <w:pPr>
              <w:rPr>
                <w:sz w:val="20"/>
                <w:szCs w:val="20"/>
              </w:rPr>
            </w:pPr>
            <w:r w:rsidRPr="003E2CC0">
              <w:rPr>
                <w:sz w:val="20"/>
                <w:szCs w:val="20"/>
              </w:rPr>
              <w:t>91.1%</w:t>
            </w:r>
          </w:p>
        </w:tc>
        <w:tc>
          <w:tcPr>
            <w:tcW w:w="0" w:type="auto"/>
            <w:tcMar>
              <w:top w:w="150" w:type="dxa"/>
              <w:left w:w="240" w:type="dxa"/>
              <w:bottom w:w="150" w:type="dxa"/>
              <w:right w:w="0" w:type="dxa"/>
            </w:tcMar>
            <w:vAlign w:val="center"/>
            <w:hideMark/>
          </w:tcPr>
          <w:p w14:paraId="5FA0AE99" w14:textId="77777777" w:rsidR="003E2CC0" w:rsidRPr="003E2CC0" w:rsidRDefault="003E2CC0" w:rsidP="003E2CC0">
            <w:pPr>
              <w:rPr>
                <w:sz w:val="20"/>
                <w:szCs w:val="20"/>
              </w:rPr>
            </w:pPr>
            <w:r w:rsidRPr="003E2CC0">
              <w:rPr>
                <w:b/>
                <w:bCs/>
                <w:sz w:val="20"/>
                <w:szCs w:val="20"/>
              </w:rPr>
              <w:t>Stabilized Above 91%.</w:t>
            </w:r>
            <w:r w:rsidRPr="003E2CC0">
              <w:rPr>
                <w:sz w:val="20"/>
                <w:szCs w:val="20"/>
              </w:rPr>
              <w:t> The pandemic shock in FY2021 caused a significant drop due to fixed costs on minimal revenue. A strong recovery followed, stabilizing in the 91.0%–91.4% range, indicating efficient cost management and a return to normalized operational leverage.</w:t>
            </w:r>
          </w:p>
        </w:tc>
      </w:tr>
      <w:tr w:rsidR="003E2CC0" w:rsidRPr="003E2CC0" w14:paraId="569F0DA7" w14:textId="77777777" w:rsidTr="003E2CC0">
        <w:tc>
          <w:tcPr>
            <w:tcW w:w="1142" w:type="dxa"/>
            <w:tcMar>
              <w:top w:w="150" w:type="dxa"/>
              <w:left w:w="0" w:type="dxa"/>
              <w:bottom w:w="150" w:type="dxa"/>
              <w:right w:w="240" w:type="dxa"/>
            </w:tcMar>
            <w:vAlign w:val="center"/>
            <w:hideMark/>
          </w:tcPr>
          <w:p w14:paraId="4ED1C392" w14:textId="77777777" w:rsidR="003E2CC0" w:rsidRPr="003E2CC0" w:rsidRDefault="003E2CC0" w:rsidP="003E2CC0">
            <w:pPr>
              <w:rPr>
                <w:sz w:val="20"/>
                <w:szCs w:val="20"/>
              </w:rPr>
            </w:pPr>
            <w:r w:rsidRPr="003E2CC0">
              <w:rPr>
                <w:b/>
                <w:bCs/>
                <w:sz w:val="20"/>
                <w:szCs w:val="20"/>
              </w:rPr>
              <w:t>Operating Margin</w:t>
            </w:r>
          </w:p>
        </w:tc>
        <w:tc>
          <w:tcPr>
            <w:tcW w:w="1131" w:type="dxa"/>
            <w:tcMar>
              <w:top w:w="150" w:type="dxa"/>
              <w:left w:w="240" w:type="dxa"/>
              <w:bottom w:w="150" w:type="dxa"/>
              <w:right w:w="240" w:type="dxa"/>
            </w:tcMar>
            <w:vAlign w:val="center"/>
            <w:hideMark/>
          </w:tcPr>
          <w:p w14:paraId="60488750" w14:textId="77777777" w:rsidR="003E2CC0" w:rsidRPr="003E2CC0" w:rsidRDefault="003E2CC0" w:rsidP="003E2CC0">
            <w:pPr>
              <w:rPr>
                <w:sz w:val="20"/>
                <w:szCs w:val="20"/>
              </w:rPr>
            </w:pPr>
            <w:r w:rsidRPr="003E2CC0">
              <w:rPr>
                <w:sz w:val="20"/>
                <w:szCs w:val="20"/>
              </w:rPr>
              <w:t>-82.7%</w:t>
            </w:r>
          </w:p>
        </w:tc>
        <w:tc>
          <w:tcPr>
            <w:tcW w:w="0" w:type="auto"/>
            <w:tcMar>
              <w:top w:w="150" w:type="dxa"/>
              <w:left w:w="240" w:type="dxa"/>
              <w:bottom w:w="150" w:type="dxa"/>
              <w:right w:w="240" w:type="dxa"/>
            </w:tcMar>
            <w:vAlign w:val="center"/>
            <w:hideMark/>
          </w:tcPr>
          <w:p w14:paraId="597BE8A5" w14:textId="77777777" w:rsidR="003E2CC0" w:rsidRPr="003E2CC0" w:rsidRDefault="003E2CC0" w:rsidP="003E2CC0">
            <w:pPr>
              <w:rPr>
                <w:sz w:val="20"/>
                <w:szCs w:val="20"/>
              </w:rPr>
            </w:pPr>
            <w:r w:rsidRPr="003E2CC0">
              <w:rPr>
                <w:sz w:val="20"/>
                <w:szCs w:val="20"/>
              </w:rPr>
              <w:t>9.0%</w:t>
            </w:r>
          </w:p>
        </w:tc>
        <w:tc>
          <w:tcPr>
            <w:tcW w:w="0" w:type="auto"/>
            <w:tcMar>
              <w:top w:w="150" w:type="dxa"/>
              <w:left w:w="240" w:type="dxa"/>
              <w:bottom w:w="150" w:type="dxa"/>
              <w:right w:w="240" w:type="dxa"/>
            </w:tcMar>
            <w:vAlign w:val="center"/>
            <w:hideMark/>
          </w:tcPr>
          <w:p w14:paraId="0198E0F4" w14:textId="77777777" w:rsidR="003E2CC0" w:rsidRPr="003E2CC0" w:rsidRDefault="003E2CC0" w:rsidP="003E2CC0">
            <w:pPr>
              <w:rPr>
                <w:sz w:val="20"/>
                <w:szCs w:val="20"/>
              </w:rPr>
            </w:pPr>
            <w:r w:rsidRPr="003E2CC0">
              <w:rPr>
                <w:sz w:val="20"/>
                <w:szCs w:val="20"/>
              </w:rPr>
              <w:t>20.7%</w:t>
            </w:r>
          </w:p>
        </w:tc>
        <w:tc>
          <w:tcPr>
            <w:tcW w:w="872" w:type="dxa"/>
            <w:tcMar>
              <w:top w:w="150" w:type="dxa"/>
              <w:left w:w="240" w:type="dxa"/>
              <w:bottom w:w="150" w:type="dxa"/>
              <w:right w:w="240" w:type="dxa"/>
            </w:tcMar>
            <w:vAlign w:val="center"/>
            <w:hideMark/>
          </w:tcPr>
          <w:p w14:paraId="60FAB067" w14:textId="77777777" w:rsidR="003E2CC0" w:rsidRPr="003E2CC0" w:rsidRDefault="003E2CC0" w:rsidP="003E2CC0">
            <w:pPr>
              <w:rPr>
                <w:sz w:val="20"/>
                <w:szCs w:val="20"/>
              </w:rPr>
            </w:pPr>
            <w:r w:rsidRPr="003E2CC0">
              <w:rPr>
                <w:sz w:val="20"/>
                <w:szCs w:val="20"/>
              </w:rPr>
              <w:t>22.8%</w:t>
            </w:r>
          </w:p>
        </w:tc>
        <w:tc>
          <w:tcPr>
            <w:tcW w:w="1370" w:type="dxa"/>
            <w:tcMar>
              <w:top w:w="150" w:type="dxa"/>
              <w:left w:w="240" w:type="dxa"/>
              <w:bottom w:w="150" w:type="dxa"/>
              <w:right w:w="240" w:type="dxa"/>
            </w:tcMar>
            <w:vAlign w:val="center"/>
            <w:hideMark/>
          </w:tcPr>
          <w:p w14:paraId="0C4E4F5E" w14:textId="77777777" w:rsidR="003E2CC0" w:rsidRPr="003E2CC0" w:rsidRDefault="003E2CC0" w:rsidP="003E2CC0">
            <w:pPr>
              <w:rPr>
                <w:sz w:val="20"/>
                <w:szCs w:val="20"/>
              </w:rPr>
            </w:pPr>
            <w:r w:rsidRPr="003E2CC0">
              <w:rPr>
                <w:sz w:val="20"/>
                <w:szCs w:val="20"/>
              </w:rPr>
              <w:t>22.6%</w:t>
            </w:r>
          </w:p>
        </w:tc>
        <w:tc>
          <w:tcPr>
            <w:tcW w:w="0" w:type="auto"/>
            <w:tcMar>
              <w:top w:w="150" w:type="dxa"/>
              <w:left w:w="240" w:type="dxa"/>
              <w:bottom w:w="150" w:type="dxa"/>
              <w:right w:w="0" w:type="dxa"/>
            </w:tcMar>
            <w:vAlign w:val="center"/>
            <w:hideMark/>
          </w:tcPr>
          <w:p w14:paraId="33476FF6" w14:textId="77777777" w:rsidR="003E2CC0" w:rsidRPr="003E2CC0" w:rsidRDefault="003E2CC0" w:rsidP="003E2CC0">
            <w:pPr>
              <w:rPr>
                <w:sz w:val="20"/>
                <w:szCs w:val="20"/>
              </w:rPr>
            </w:pPr>
            <w:r w:rsidRPr="003E2CC0">
              <w:rPr>
                <w:b/>
                <w:bCs/>
                <w:sz w:val="20"/>
                <w:szCs w:val="20"/>
              </w:rPr>
              <w:t>Stellar Turnaround &amp; Record Levels.</w:t>
            </w:r>
            <w:r w:rsidRPr="003E2CC0">
              <w:rPr>
                <w:sz w:val="20"/>
                <w:szCs w:val="20"/>
              </w:rPr>
              <w:t> This metric showcases the power of Whitbread's operating model. It moved from a massive loss during the pandemic to record-high levels post-pandemic. Maintaining &gt;22% in FY2025 confirms the sustainability of the "investing to win" strategy and the structural benefits of the decline in competitor supply.</w:t>
            </w:r>
          </w:p>
        </w:tc>
      </w:tr>
      <w:tr w:rsidR="003E2CC0" w:rsidRPr="003E2CC0" w14:paraId="70CB3274" w14:textId="77777777" w:rsidTr="003E2CC0">
        <w:tc>
          <w:tcPr>
            <w:tcW w:w="1142" w:type="dxa"/>
            <w:tcMar>
              <w:top w:w="150" w:type="dxa"/>
              <w:left w:w="0" w:type="dxa"/>
              <w:bottom w:w="150" w:type="dxa"/>
              <w:right w:w="240" w:type="dxa"/>
            </w:tcMar>
            <w:vAlign w:val="center"/>
            <w:hideMark/>
          </w:tcPr>
          <w:p w14:paraId="2EDB9EFA" w14:textId="77777777" w:rsidR="003E2CC0" w:rsidRPr="003E2CC0" w:rsidRDefault="003E2CC0" w:rsidP="003E2CC0">
            <w:pPr>
              <w:rPr>
                <w:sz w:val="20"/>
                <w:szCs w:val="20"/>
              </w:rPr>
            </w:pPr>
            <w:r w:rsidRPr="003E2CC0">
              <w:rPr>
                <w:b/>
                <w:bCs/>
                <w:sz w:val="20"/>
                <w:szCs w:val="20"/>
              </w:rPr>
              <w:t>Net Margin</w:t>
            </w:r>
          </w:p>
        </w:tc>
        <w:tc>
          <w:tcPr>
            <w:tcW w:w="1131" w:type="dxa"/>
            <w:tcMar>
              <w:top w:w="150" w:type="dxa"/>
              <w:left w:w="240" w:type="dxa"/>
              <w:bottom w:w="150" w:type="dxa"/>
              <w:right w:w="240" w:type="dxa"/>
            </w:tcMar>
            <w:vAlign w:val="center"/>
            <w:hideMark/>
          </w:tcPr>
          <w:p w14:paraId="3A6EB875" w14:textId="77777777" w:rsidR="003E2CC0" w:rsidRPr="003E2CC0" w:rsidRDefault="003E2CC0" w:rsidP="003E2CC0">
            <w:pPr>
              <w:rPr>
                <w:sz w:val="20"/>
                <w:szCs w:val="20"/>
              </w:rPr>
            </w:pPr>
            <w:r w:rsidRPr="003E2CC0">
              <w:rPr>
                <w:sz w:val="20"/>
                <w:szCs w:val="20"/>
              </w:rPr>
              <w:t>-107.8%</w:t>
            </w:r>
          </w:p>
        </w:tc>
        <w:tc>
          <w:tcPr>
            <w:tcW w:w="0" w:type="auto"/>
            <w:tcMar>
              <w:top w:w="150" w:type="dxa"/>
              <w:left w:w="240" w:type="dxa"/>
              <w:bottom w:w="150" w:type="dxa"/>
              <w:right w:w="240" w:type="dxa"/>
            </w:tcMar>
            <w:vAlign w:val="center"/>
            <w:hideMark/>
          </w:tcPr>
          <w:p w14:paraId="44A73FF6" w14:textId="77777777" w:rsidR="003E2CC0" w:rsidRPr="003E2CC0" w:rsidRDefault="003E2CC0" w:rsidP="003E2CC0">
            <w:pPr>
              <w:rPr>
                <w:sz w:val="20"/>
                <w:szCs w:val="20"/>
              </w:rPr>
            </w:pPr>
            <w:r w:rsidRPr="003E2CC0">
              <w:rPr>
                <w:sz w:val="20"/>
                <w:szCs w:val="20"/>
              </w:rPr>
              <w:t>-0.9%</w:t>
            </w:r>
          </w:p>
        </w:tc>
        <w:tc>
          <w:tcPr>
            <w:tcW w:w="0" w:type="auto"/>
            <w:tcMar>
              <w:top w:w="150" w:type="dxa"/>
              <w:left w:w="240" w:type="dxa"/>
              <w:bottom w:w="150" w:type="dxa"/>
              <w:right w:w="240" w:type="dxa"/>
            </w:tcMar>
            <w:vAlign w:val="center"/>
            <w:hideMark/>
          </w:tcPr>
          <w:p w14:paraId="5F4DA9F1" w14:textId="77777777" w:rsidR="003E2CC0" w:rsidRPr="003E2CC0" w:rsidRDefault="003E2CC0" w:rsidP="003E2CC0">
            <w:pPr>
              <w:rPr>
                <w:sz w:val="20"/>
                <w:szCs w:val="20"/>
              </w:rPr>
            </w:pPr>
            <w:r w:rsidRPr="003E2CC0">
              <w:rPr>
                <w:sz w:val="20"/>
                <w:szCs w:val="20"/>
              </w:rPr>
              <w:t>15.7%</w:t>
            </w:r>
          </w:p>
        </w:tc>
        <w:tc>
          <w:tcPr>
            <w:tcW w:w="872" w:type="dxa"/>
            <w:tcMar>
              <w:top w:w="150" w:type="dxa"/>
              <w:left w:w="240" w:type="dxa"/>
              <w:bottom w:w="150" w:type="dxa"/>
              <w:right w:w="240" w:type="dxa"/>
            </w:tcMar>
            <w:vAlign w:val="center"/>
            <w:hideMark/>
          </w:tcPr>
          <w:p w14:paraId="417D59C4" w14:textId="77777777" w:rsidR="003E2CC0" w:rsidRPr="003E2CC0" w:rsidRDefault="003E2CC0" w:rsidP="003E2CC0">
            <w:pPr>
              <w:rPr>
                <w:sz w:val="20"/>
                <w:szCs w:val="20"/>
              </w:rPr>
            </w:pPr>
            <w:r w:rsidRPr="003E2CC0">
              <w:rPr>
                <w:sz w:val="20"/>
                <w:szCs w:val="20"/>
              </w:rPr>
              <w:t>19.0%</w:t>
            </w:r>
          </w:p>
        </w:tc>
        <w:tc>
          <w:tcPr>
            <w:tcW w:w="1370" w:type="dxa"/>
            <w:tcMar>
              <w:top w:w="150" w:type="dxa"/>
              <w:left w:w="240" w:type="dxa"/>
              <w:bottom w:w="150" w:type="dxa"/>
              <w:right w:w="240" w:type="dxa"/>
            </w:tcMar>
            <w:vAlign w:val="center"/>
            <w:hideMark/>
          </w:tcPr>
          <w:p w14:paraId="00E99E88" w14:textId="77777777" w:rsidR="003E2CC0" w:rsidRPr="003E2CC0" w:rsidRDefault="003E2CC0" w:rsidP="003E2CC0">
            <w:pPr>
              <w:rPr>
                <w:sz w:val="20"/>
                <w:szCs w:val="20"/>
              </w:rPr>
            </w:pPr>
            <w:r w:rsidRPr="003E2CC0">
              <w:rPr>
                <w:sz w:val="20"/>
                <w:szCs w:val="20"/>
              </w:rPr>
              <w:t>19.3%</w:t>
            </w:r>
          </w:p>
        </w:tc>
        <w:tc>
          <w:tcPr>
            <w:tcW w:w="0" w:type="auto"/>
            <w:tcMar>
              <w:top w:w="150" w:type="dxa"/>
              <w:left w:w="240" w:type="dxa"/>
              <w:bottom w:w="150" w:type="dxa"/>
              <w:right w:w="0" w:type="dxa"/>
            </w:tcMar>
            <w:vAlign w:val="center"/>
            <w:hideMark/>
          </w:tcPr>
          <w:p w14:paraId="1D737138" w14:textId="77777777" w:rsidR="003E2CC0" w:rsidRPr="003E2CC0" w:rsidRDefault="003E2CC0" w:rsidP="003E2CC0">
            <w:pPr>
              <w:rPr>
                <w:sz w:val="20"/>
                <w:szCs w:val="20"/>
              </w:rPr>
            </w:pPr>
            <w:r w:rsidRPr="003E2CC0">
              <w:rPr>
                <w:b/>
                <w:bCs/>
                <w:sz w:val="20"/>
                <w:szCs w:val="20"/>
              </w:rPr>
              <w:t>Return to Profitability.</w:t>
            </w:r>
            <w:r w:rsidRPr="003E2CC0">
              <w:rPr>
                <w:sz w:val="20"/>
                <w:szCs w:val="20"/>
              </w:rPr>
              <w:t> </w:t>
            </w:r>
            <w:proofErr w:type="gramStart"/>
            <w:r w:rsidRPr="003E2CC0">
              <w:rPr>
                <w:sz w:val="20"/>
                <w:szCs w:val="20"/>
              </w:rPr>
              <w:t>Similar to</w:t>
            </w:r>
            <w:proofErr w:type="gramEnd"/>
            <w:r w:rsidRPr="003E2CC0">
              <w:rPr>
                <w:sz w:val="20"/>
                <w:szCs w:val="20"/>
              </w:rPr>
              <w:t xml:space="preserve"> operating margin, net margin demonstrates a complete recovery and stabilization at strong levels. FY2022 was the final year of marginal losses, with FY2023, FY2024, and FY2025 </w:t>
            </w:r>
            <w:r w:rsidRPr="003E2CC0">
              <w:rPr>
                <w:sz w:val="20"/>
                <w:szCs w:val="20"/>
              </w:rPr>
              <w:lastRenderedPageBreak/>
              <w:t>showing strong, consistent profitability.</w:t>
            </w:r>
          </w:p>
        </w:tc>
      </w:tr>
    </w:tbl>
    <w:p w14:paraId="3E5B91ED" w14:textId="77777777" w:rsidR="003E2CC0" w:rsidRPr="003E2CC0" w:rsidRDefault="003E2CC0" w:rsidP="003E2CC0">
      <w:pPr>
        <w:rPr>
          <w:sz w:val="20"/>
          <w:szCs w:val="20"/>
        </w:rPr>
      </w:pPr>
      <w:r w:rsidRPr="003E2CC0">
        <w:rPr>
          <w:sz w:val="20"/>
          <w:szCs w:val="20"/>
        </w:rPr>
        <w:lastRenderedPageBreak/>
        <w:pict w14:anchorId="2B9C623C">
          <v:rect id="_x0000_i1115" style="width:0;height:.75pt" o:hralign="center" o:hrstd="t" o:hr="t" fillcolor="#a0a0a0" stroked="f"/>
        </w:pict>
      </w:r>
    </w:p>
    <w:p w14:paraId="59FA040B" w14:textId="77777777" w:rsidR="003E2CC0" w:rsidRPr="003E2CC0" w:rsidRDefault="003E2CC0" w:rsidP="003E2CC0">
      <w:pPr>
        <w:rPr>
          <w:b/>
          <w:bCs/>
          <w:sz w:val="20"/>
          <w:szCs w:val="20"/>
        </w:rPr>
      </w:pPr>
      <w:r w:rsidRPr="003E2CC0">
        <w:rPr>
          <w:b/>
          <w:bCs/>
          <w:sz w:val="20"/>
          <w:szCs w:val="20"/>
        </w:rPr>
        <w:t>2. Liquidity Ratios</w:t>
      </w:r>
    </w:p>
    <w:tbl>
      <w:tblPr>
        <w:tblW w:w="0" w:type="auto"/>
        <w:tblCellMar>
          <w:top w:w="15" w:type="dxa"/>
          <w:left w:w="15" w:type="dxa"/>
          <w:bottom w:w="15" w:type="dxa"/>
          <w:right w:w="15" w:type="dxa"/>
        </w:tblCellMar>
        <w:tblLook w:val="04A0" w:firstRow="1" w:lastRow="0" w:firstColumn="1" w:lastColumn="0" w:noHBand="0" w:noVBand="1"/>
      </w:tblPr>
      <w:tblGrid>
        <w:gridCol w:w="955"/>
        <w:gridCol w:w="1121"/>
        <w:gridCol w:w="1121"/>
        <w:gridCol w:w="1121"/>
        <w:gridCol w:w="1121"/>
        <w:gridCol w:w="1121"/>
        <w:gridCol w:w="2466"/>
      </w:tblGrid>
      <w:tr w:rsidR="003E2CC0" w:rsidRPr="003E2CC0" w14:paraId="19938FF7" w14:textId="77777777">
        <w:trPr>
          <w:tblHeader/>
        </w:trPr>
        <w:tc>
          <w:tcPr>
            <w:tcW w:w="0" w:type="auto"/>
            <w:tcBorders>
              <w:top w:val="nil"/>
            </w:tcBorders>
            <w:tcMar>
              <w:top w:w="150" w:type="dxa"/>
              <w:left w:w="0" w:type="dxa"/>
              <w:bottom w:w="150" w:type="dxa"/>
              <w:right w:w="240" w:type="dxa"/>
            </w:tcMar>
            <w:vAlign w:val="center"/>
            <w:hideMark/>
          </w:tcPr>
          <w:p w14:paraId="6779F6C1" w14:textId="77777777" w:rsidR="003E2CC0" w:rsidRPr="003E2CC0" w:rsidRDefault="003E2CC0" w:rsidP="003E2CC0">
            <w:pPr>
              <w:rPr>
                <w:sz w:val="20"/>
                <w:szCs w:val="20"/>
              </w:rPr>
            </w:pPr>
            <w:r w:rsidRPr="003E2CC0">
              <w:rPr>
                <w:sz w:val="20"/>
                <w:szCs w:val="20"/>
              </w:rPr>
              <w:t>Ratio</w:t>
            </w:r>
          </w:p>
        </w:tc>
        <w:tc>
          <w:tcPr>
            <w:tcW w:w="0" w:type="auto"/>
            <w:tcBorders>
              <w:top w:val="nil"/>
            </w:tcBorders>
            <w:tcMar>
              <w:top w:w="150" w:type="dxa"/>
              <w:left w:w="240" w:type="dxa"/>
              <w:bottom w:w="150" w:type="dxa"/>
              <w:right w:w="240" w:type="dxa"/>
            </w:tcMar>
            <w:vAlign w:val="center"/>
            <w:hideMark/>
          </w:tcPr>
          <w:p w14:paraId="4CFC455F" w14:textId="77777777" w:rsidR="003E2CC0" w:rsidRPr="003E2CC0" w:rsidRDefault="003E2CC0" w:rsidP="003E2CC0">
            <w:pPr>
              <w:rPr>
                <w:sz w:val="20"/>
                <w:szCs w:val="20"/>
              </w:rPr>
            </w:pPr>
            <w:r w:rsidRPr="003E2CC0">
              <w:rPr>
                <w:sz w:val="20"/>
                <w:szCs w:val="20"/>
              </w:rPr>
              <w:t>FY2021</w:t>
            </w:r>
          </w:p>
        </w:tc>
        <w:tc>
          <w:tcPr>
            <w:tcW w:w="0" w:type="auto"/>
            <w:tcBorders>
              <w:top w:val="nil"/>
            </w:tcBorders>
            <w:tcMar>
              <w:top w:w="150" w:type="dxa"/>
              <w:left w:w="240" w:type="dxa"/>
              <w:bottom w:w="150" w:type="dxa"/>
              <w:right w:w="240" w:type="dxa"/>
            </w:tcMar>
            <w:vAlign w:val="center"/>
            <w:hideMark/>
          </w:tcPr>
          <w:p w14:paraId="04FE1FA3" w14:textId="77777777" w:rsidR="003E2CC0" w:rsidRPr="003E2CC0" w:rsidRDefault="003E2CC0" w:rsidP="003E2CC0">
            <w:pPr>
              <w:rPr>
                <w:sz w:val="20"/>
                <w:szCs w:val="20"/>
              </w:rPr>
            </w:pPr>
            <w:r w:rsidRPr="003E2CC0">
              <w:rPr>
                <w:sz w:val="20"/>
                <w:szCs w:val="20"/>
              </w:rPr>
              <w:t>FY2022</w:t>
            </w:r>
          </w:p>
        </w:tc>
        <w:tc>
          <w:tcPr>
            <w:tcW w:w="0" w:type="auto"/>
            <w:tcBorders>
              <w:top w:val="nil"/>
            </w:tcBorders>
            <w:tcMar>
              <w:top w:w="150" w:type="dxa"/>
              <w:left w:w="240" w:type="dxa"/>
              <w:bottom w:w="150" w:type="dxa"/>
              <w:right w:w="240" w:type="dxa"/>
            </w:tcMar>
            <w:vAlign w:val="center"/>
            <w:hideMark/>
          </w:tcPr>
          <w:p w14:paraId="241066B1" w14:textId="77777777" w:rsidR="003E2CC0" w:rsidRPr="003E2CC0" w:rsidRDefault="003E2CC0" w:rsidP="003E2CC0">
            <w:pPr>
              <w:rPr>
                <w:sz w:val="20"/>
                <w:szCs w:val="20"/>
              </w:rPr>
            </w:pPr>
            <w:r w:rsidRPr="003E2CC0">
              <w:rPr>
                <w:sz w:val="20"/>
                <w:szCs w:val="20"/>
              </w:rPr>
              <w:t>FY2023</w:t>
            </w:r>
          </w:p>
        </w:tc>
        <w:tc>
          <w:tcPr>
            <w:tcW w:w="0" w:type="auto"/>
            <w:tcBorders>
              <w:top w:val="nil"/>
            </w:tcBorders>
            <w:tcMar>
              <w:top w:w="150" w:type="dxa"/>
              <w:left w:w="240" w:type="dxa"/>
              <w:bottom w:w="150" w:type="dxa"/>
              <w:right w:w="240" w:type="dxa"/>
            </w:tcMar>
            <w:vAlign w:val="center"/>
            <w:hideMark/>
          </w:tcPr>
          <w:p w14:paraId="244049CD" w14:textId="77777777" w:rsidR="003E2CC0" w:rsidRPr="003E2CC0" w:rsidRDefault="003E2CC0" w:rsidP="003E2CC0">
            <w:pPr>
              <w:rPr>
                <w:sz w:val="20"/>
                <w:szCs w:val="20"/>
              </w:rPr>
            </w:pPr>
            <w:r w:rsidRPr="003E2CC0">
              <w:rPr>
                <w:sz w:val="20"/>
                <w:szCs w:val="20"/>
              </w:rPr>
              <w:t>FY2024</w:t>
            </w:r>
          </w:p>
        </w:tc>
        <w:tc>
          <w:tcPr>
            <w:tcW w:w="0" w:type="auto"/>
            <w:tcBorders>
              <w:top w:val="nil"/>
            </w:tcBorders>
            <w:tcMar>
              <w:top w:w="150" w:type="dxa"/>
              <w:left w:w="240" w:type="dxa"/>
              <w:bottom w:w="150" w:type="dxa"/>
              <w:right w:w="240" w:type="dxa"/>
            </w:tcMar>
            <w:vAlign w:val="center"/>
            <w:hideMark/>
          </w:tcPr>
          <w:p w14:paraId="515C0B79" w14:textId="77777777" w:rsidR="003E2CC0" w:rsidRPr="003E2CC0" w:rsidRDefault="003E2CC0" w:rsidP="003E2CC0">
            <w:pPr>
              <w:rPr>
                <w:sz w:val="20"/>
                <w:szCs w:val="20"/>
              </w:rPr>
            </w:pPr>
            <w:r w:rsidRPr="003E2CC0">
              <w:rPr>
                <w:sz w:val="20"/>
                <w:szCs w:val="20"/>
              </w:rPr>
              <w:t>FY2025</w:t>
            </w:r>
          </w:p>
        </w:tc>
        <w:tc>
          <w:tcPr>
            <w:tcW w:w="0" w:type="auto"/>
            <w:tcBorders>
              <w:top w:val="nil"/>
            </w:tcBorders>
            <w:tcMar>
              <w:top w:w="150" w:type="dxa"/>
              <w:left w:w="240" w:type="dxa"/>
              <w:bottom w:w="150" w:type="dxa"/>
              <w:right w:w="240" w:type="dxa"/>
            </w:tcMar>
            <w:vAlign w:val="center"/>
            <w:hideMark/>
          </w:tcPr>
          <w:p w14:paraId="5330FE2B" w14:textId="77777777" w:rsidR="003E2CC0" w:rsidRPr="003E2CC0" w:rsidRDefault="003E2CC0" w:rsidP="003E2CC0">
            <w:pPr>
              <w:rPr>
                <w:sz w:val="20"/>
                <w:szCs w:val="20"/>
              </w:rPr>
            </w:pPr>
            <w:r w:rsidRPr="003E2CC0">
              <w:rPr>
                <w:sz w:val="20"/>
                <w:szCs w:val="20"/>
              </w:rPr>
              <w:t>Trend Commentary</w:t>
            </w:r>
          </w:p>
        </w:tc>
      </w:tr>
      <w:tr w:rsidR="003E2CC0" w:rsidRPr="003E2CC0" w14:paraId="7B58DBAD" w14:textId="77777777">
        <w:tc>
          <w:tcPr>
            <w:tcW w:w="0" w:type="auto"/>
            <w:tcMar>
              <w:top w:w="150" w:type="dxa"/>
              <w:left w:w="0" w:type="dxa"/>
              <w:bottom w:w="150" w:type="dxa"/>
              <w:right w:w="240" w:type="dxa"/>
            </w:tcMar>
            <w:vAlign w:val="center"/>
            <w:hideMark/>
          </w:tcPr>
          <w:p w14:paraId="4D06B020" w14:textId="77777777" w:rsidR="003E2CC0" w:rsidRPr="003E2CC0" w:rsidRDefault="003E2CC0" w:rsidP="003E2CC0">
            <w:pPr>
              <w:rPr>
                <w:sz w:val="20"/>
                <w:szCs w:val="20"/>
              </w:rPr>
            </w:pPr>
            <w:r w:rsidRPr="003E2CC0">
              <w:rPr>
                <w:b/>
                <w:bCs/>
                <w:sz w:val="20"/>
                <w:szCs w:val="20"/>
              </w:rPr>
              <w:t>Current Ratio</w:t>
            </w:r>
          </w:p>
        </w:tc>
        <w:tc>
          <w:tcPr>
            <w:tcW w:w="0" w:type="auto"/>
            <w:tcMar>
              <w:top w:w="150" w:type="dxa"/>
              <w:left w:w="240" w:type="dxa"/>
              <w:bottom w:w="150" w:type="dxa"/>
              <w:right w:w="240" w:type="dxa"/>
            </w:tcMar>
            <w:vAlign w:val="center"/>
            <w:hideMark/>
          </w:tcPr>
          <w:p w14:paraId="149F9AB6" w14:textId="77777777" w:rsidR="003E2CC0" w:rsidRPr="003E2CC0" w:rsidRDefault="003E2CC0" w:rsidP="003E2CC0">
            <w:pPr>
              <w:rPr>
                <w:sz w:val="20"/>
                <w:szCs w:val="20"/>
              </w:rPr>
            </w:pPr>
            <w:r w:rsidRPr="003E2CC0">
              <w:rPr>
                <w:sz w:val="20"/>
                <w:szCs w:val="20"/>
              </w:rPr>
              <w:t>1.7x</w:t>
            </w:r>
          </w:p>
        </w:tc>
        <w:tc>
          <w:tcPr>
            <w:tcW w:w="0" w:type="auto"/>
            <w:tcMar>
              <w:top w:w="150" w:type="dxa"/>
              <w:left w:w="240" w:type="dxa"/>
              <w:bottom w:w="150" w:type="dxa"/>
              <w:right w:w="240" w:type="dxa"/>
            </w:tcMar>
            <w:vAlign w:val="center"/>
            <w:hideMark/>
          </w:tcPr>
          <w:p w14:paraId="49FEFED9" w14:textId="77777777" w:rsidR="003E2CC0" w:rsidRPr="003E2CC0" w:rsidRDefault="003E2CC0" w:rsidP="003E2CC0">
            <w:pPr>
              <w:rPr>
                <w:sz w:val="20"/>
                <w:szCs w:val="20"/>
              </w:rPr>
            </w:pPr>
            <w:r w:rsidRPr="003E2CC0">
              <w:rPr>
                <w:sz w:val="20"/>
                <w:szCs w:val="20"/>
              </w:rPr>
              <w:t>1.8x</w:t>
            </w:r>
          </w:p>
        </w:tc>
        <w:tc>
          <w:tcPr>
            <w:tcW w:w="0" w:type="auto"/>
            <w:tcMar>
              <w:top w:w="150" w:type="dxa"/>
              <w:left w:w="240" w:type="dxa"/>
              <w:bottom w:w="150" w:type="dxa"/>
              <w:right w:w="240" w:type="dxa"/>
            </w:tcMar>
            <w:vAlign w:val="center"/>
            <w:hideMark/>
          </w:tcPr>
          <w:p w14:paraId="5683B6A7" w14:textId="77777777" w:rsidR="003E2CC0" w:rsidRPr="003E2CC0" w:rsidRDefault="003E2CC0" w:rsidP="003E2CC0">
            <w:pPr>
              <w:rPr>
                <w:sz w:val="20"/>
                <w:szCs w:val="20"/>
              </w:rPr>
            </w:pPr>
            <w:r w:rsidRPr="003E2CC0">
              <w:rPr>
                <w:sz w:val="20"/>
                <w:szCs w:val="20"/>
              </w:rPr>
              <w:t>1.6x</w:t>
            </w:r>
          </w:p>
        </w:tc>
        <w:tc>
          <w:tcPr>
            <w:tcW w:w="0" w:type="auto"/>
            <w:tcMar>
              <w:top w:w="150" w:type="dxa"/>
              <w:left w:w="240" w:type="dxa"/>
              <w:bottom w:w="150" w:type="dxa"/>
              <w:right w:w="240" w:type="dxa"/>
            </w:tcMar>
            <w:vAlign w:val="center"/>
            <w:hideMark/>
          </w:tcPr>
          <w:p w14:paraId="16030D1F" w14:textId="77777777" w:rsidR="003E2CC0" w:rsidRPr="003E2CC0" w:rsidRDefault="003E2CC0" w:rsidP="003E2CC0">
            <w:pPr>
              <w:rPr>
                <w:sz w:val="20"/>
                <w:szCs w:val="20"/>
              </w:rPr>
            </w:pPr>
            <w:r w:rsidRPr="003E2CC0">
              <w:rPr>
                <w:sz w:val="20"/>
                <w:szCs w:val="20"/>
              </w:rPr>
              <w:t>1.0x</w:t>
            </w:r>
          </w:p>
        </w:tc>
        <w:tc>
          <w:tcPr>
            <w:tcW w:w="0" w:type="auto"/>
            <w:tcMar>
              <w:top w:w="150" w:type="dxa"/>
              <w:left w:w="240" w:type="dxa"/>
              <w:bottom w:w="150" w:type="dxa"/>
              <w:right w:w="240" w:type="dxa"/>
            </w:tcMar>
            <w:vAlign w:val="center"/>
            <w:hideMark/>
          </w:tcPr>
          <w:p w14:paraId="0E1B19AF" w14:textId="77777777" w:rsidR="003E2CC0" w:rsidRPr="003E2CC0" w:rsidRDefault="003E2CC0" w:rsidP="003E2CC0">
            <w:pPr>
              <w:rPr>
                <w:sz w:val="20"/>
                <w:szCs w:val="20"/>
              </w:rPr>
            </w:pPr>
            <w:r w:rsidRPr="003E2CC0">
              <w:rPr>
                <w:sz w:val="20"/>
                <w:szCs w:val="20"/>
              </w:rPr>
              <w:t>0.9x</w:t>
            </w:r>
          </w:p>
        </w:tc>
        <w:tc>
          <w:tcPr>
            <w:tcW w:w="0" w:type="auto"/>
            <w:tcMar>
              <w:top w:w="150" w:type="dxa"/>
              <w:left w:w="240" w:type="dxa"/>
              <w:bottom w:w="150" w:type="dxa"/>
              <w:right w:w="0" w:type="dxa"/>
            </w:tcMar>
            <w:vAlign w:val="center"/>
            <w:hideMark/>
          </w:tcPr>
          <w:p w14:paraId="40B503A0" w14:textId="77777777" w:rsidR="003E2CC0" w:rsidRPr="003E2CC0" w:rsidRDefault="003E2CC0" w:rsidP="003E2CC0">
            <w:pPr>
              <w:rPr>
                <w:sz w:val="20"/>
                <w:szCs w:val="20"/>
              </w:rPr>
            </w:pPr>
            <w:r w:rsidRPr="003E2CC0">
              <w:rPr>
                <w:b/>
                <w:bCs/>
                <w:sz w:val="20"/>
                <w:szCs w:val="20"/>
              </w:rPr>
              <w:t>Normalizing to Healthy Levels.</w:t>
            </w:r>
            <w:r w:rsidRPr="003E2CC0">
              <w:rPr>
                <w:sz w:val="20"/>
                <w:szCs w:val="20"/>
              </w:rPr>
              <w:t> The extremely high liquidity in FY2021-FY2023 was a direct result of the £1bn rights issue and COVID-related grants. The ratio has normalized as cash has been deployed for capex, dividends, and share buybacks. A ratio around 1.0x is not a concern for a business with such strong recurring cash flow.</w:t>
            </w:r>
          </w:p>
        </w:tc>
      </w:tr>
      <w:tr w:rsidR="003E2CC0" w:rsidRPr="003E2CC0" w14:paraId="2C385351" w14:textId="77777777">
        <w:tc>
          <w:tcPr>
            <w:tcW w:w="0" w:type="auto"/>
            <w:tcMar>
              <w:top w:w="150" w:type="dxa"/>
              <w:left w:w="0" w:type="dxa"/>
              <w:bottom w:w="150" w:type="dxa"/>
              <w:right w:w="240" w:type="dxa"/>
            </w:tcMar>
            <w:vAlign w:val="center"/>
            <w:hideMark/>
          </w:tcPr>
          <w:p w14:paraId="1AF071CA" w14:textId="77777777" w:rsidR="003E2CC0" w:rsidRPr="003E2CC0" w:rsidRDefault="003E2CC0" w:rsidP="003E2CC0">
            <w:pPr>
              <w:rPr>
                <w:sz w:val="20"/>
                <w:szCs w:val="20"/>
              </w:rPr>
            </w:pPr>
            <w:r w:rsidRPr="003E2CC0">
              <w:rPr>
                <w:b/>
                <w:bCs/>
                <w:sz w:val="20"/>
                <w:szCs w:val="20"/>
              </w:rPr>
              <w:t>Quick Ratio</w:t>
            </w:r>
          </w:p>
        </w:tc>
        <w:tc>
          <w:tcPr>
            <w:tcW w:w="0" w:type="auto"/>
            <w:tcMar>
              <w:top w:w="150" w:type="dxa"/>
              <w:left w:w="240" w:type="dxa"/>
              <w:bottom w:w="150" w:type="dxa"/>
              <w:right w:w="240" w:type="dxa"/>
            </w:tcMar>
            <w:vAlign w:val="center"/>
            <w:hideMark/>
          </w:tcPr>
          <w:p w14:paraId="154A0244" w14:textId="77777777" w:rsidR="003E2CC0" w:rsidRPr="003E2CC0" w:rsidRDefault="003E2CC0" w:rsidP="003E2CC0">
            <w:pPr>
              <w:rPr>
                <w:sz w:val="20"/>
                <w:szCs w:val="20"/>
              </w:rPr>
            </w:pPr>
            <w:r w:rsidRPr="003E2CC0">
              <w:rPr>
                <w:sz w:val="20"/>
                <w:szCs w:val="20"/>
              </w:rPr>
              <w:t>1.7x</w:t>
            </w:r>
          </w:p>
        </w:tc>
        <w:tc>
          <w:tcPr>
            <w:tcW w:w="0" w:type="auto"/>
            <w:tcMar>
              <w:top w:w="150" w:type="dxa"/>
              <w:left w:w="240" w:type="dxa"/>
              <w:bottom w:w="150" w:type="dxa"/>
              <w:right w:w="240" w:type="dxa"/>
            </w:tcMar>
            <w:vAlign w:val="center"/>
            <w:hideMark/>
          </w:tcPr>
          <w:p w14:paraId="5345A0CD" w14:textId="77777777" w:rsidR="003E2CC0" w:rsidRPr="003E2CC0" w:rsidRDefault="003E2CC0" w:rsidP="003E2CC0">
            <w:pPr>
              <w:rPr>
                <w:sz w:val="20"/>
                <w:szCs w:val="20"/>
              </w:rPr>
            </w:pPr>
            <w:r w:rsidRPr="003E2CC0">
              <w:rPr>
                <w:sz w:val="20"/>
                <w:szCs w:val="20"/>
              </w:rPr>
              <w:t>1.7x</w:t>
            </w:r>
          </w:p>
        </w:tc>
        <w:tc>
          <w:tcPr>
            <w:tcW w:w="0" w:type="auto"/>
            <w:tcMar>
              <w:top w:w="150" w:type="dxa"/>
              <w:left w:w="240" w:type="dxa"/>
              <w:bottom w:w="150" w:type="dxa"/>
              <w:right w:w="240" w:type="dxa"/>
            </w:tcMar>
            <w:vAlign w:val="center"/>
            <w:hideMark/>
          </w:tcPr>
          <w:p w14:paraId="3136B7DC" w14:textId="77777777" w:rsidR="003E2CC0" w:rsidRPr="003E2CC0" w:rsidRDefault="003E2CC0" w:rsidP="003E2CC0">
            <w:pPr>
              <w:rPr>
                <w:sz w:val="20"/>
                <w:szCs w:val="20"/>
              </w:rPr>
            </w:pPr>
            <w:r w:rsidRPr="003E2CC0">
              <w:rPr>
                <w:sz w:val="20"/>
                <w:szCs w:val="20"/>
              </w:rPr>
              <w:t>1.6x</w:t>
            </w:r>
          </w:p>
        </w:tc>
        <w:tc>
          <w:tcPr>
            <w:tcW w:w="0" w:type="auto"/>
            <w:tcMar>
              <w:top w:w="150" w:type="dxa"/>
              <w:left w:w="240" w:type="dxa"/>
              <w:bottom w:w="150" w:type="dxa"/>
              <w:right w:w="240" w:type="dxa"/>
            </w:tcMar>
            <w:vAlign w:val="center"/>
            <w:hideMark/>
          </w:tcPr>
          <w:p w14:paraId="1B382F2B" w14:textId="77777777" w:rsidR="003E2CC0" w:rsidRPr="003E2CC0" w:rsidRDefault="003E2CC0" w:rsidP="003E2CC0">
            <w:pPr>
              <w:rPr>
                <w:sz w:val="20"/>
                <w:szCs w:val="20"/>
              </w:rPr>
            </w:pPr>
            <w:r w:rsidRPr="003E2CC0">
              <w:rPr>
                <w:sz w:val="20"/>
                <w:szCs w:val="20"/>
              </w:rPr>
              <w:t>0.9x</w:t>
            </w:r>
          </w:p>
        </w:tc>
        <w:tc>
          <w:tcPr>
            <w:tcW w:w="0" w:type="auto"/>
            <w:tcMar>
              <w:top w:w="150" w:type="dxa"/>
              <w:left w:w="240" w:type="dxa"/>
              <w:bottom w:w="150" w:type="dxa"/>
              <w:right w:w="240" w:type="dxa"/>
            </w:tcMar>
            <w:vAlign w:val="center"/>
            <w:hideMark/>
          </w:tcPr>
          <w:p w14:paraId="55763998" w14:textId="77777777" w:rsidR="003E2CC0" w:rsidRPr="003E2CC0" w:rsidRDefault="003E2CC0" w:rsidP="003E2CC0">
            <w:pPr>
              <w:rPr>
                <w:sz w:val="20"/>
                <w:szCs w:val="20"/>
              </w:rPr>
            </w:pPr>
            <w:r w:rsidRPr="003E2CC0">
              <w:rPr>
                <w:sz w:val="20"/>
                <w:szCs w:val="20"/>
              </w:rPr>
              <w:t>0.9x</w:t>
            </w:r>
          </w:p>
        </w:tc>
        <w:tc>
          <w:tcPr>
            <w:tcW w:w="0" w:type="auto"/>
            <w:tcMar>
              <w:top w:w="150" w:type="dxa"/>
              <w:left w:w="240" w:type="dxa"/>
              <w:bottom w:w="150" w:type="dxa"/>
              <w:right w:w="0" w:type="dxa"/>
            </w:tcMar>
            <w:vAlign w:val="center"/>
            <w:hideMark/>
          </w:tcPr>
          <w:p w14:paraId="338C662B" w14:textId="77777777" w:rsidR="003E2CC0" w:rsidRPr="003E2CC0" w:rsidRDefault="003E2CC0" w:rsidP="003E2CC0">
            <w:pPr>
              <w:rPr>
                <w:sz w:val="20"/>
                <w:szCs w:val="20"/>
              </w:rPr>
            </w:pPr>
            <w:r w:rsidRPr="003E2CC0">
              <w:rPr>
                <w:b/>
                <w:bCs/>
                <w:sz w:val="20"/>
                <w:szCs w:val="20"/>
              </w:rPr>
              <w:t>Following Current Ratio.</w:t>
            </w:r>
            <w:r w:rsidRPr="003E2CC0">
              <w:rPr>
                <w:sz w:val="20"/>
                <w:szCs w:val="20"/>
              </w:rPr>
              <w:t> This ratio mirrors the current ratio trend. The slight dip below 1.0x in FY2024 and FY2025 is driven by high deferred revenue (customer deposits for bookings), which is a non-cash liability and does not represent a liquidity risk.</w:t>
            </w:r>
          </w:p>
        </w:tc>
      </w:tr>
      <w:tr w:rsidR="003E2CC0" w:rsidRPr="003E2CC0" w14:paraId="62874C6A" w14:textId="77777777">
        <w:tc>
          <w:tcPr>
            <w:tcW w:w="0" w:type="auto"/>
            <w:tcMar>
              <w:top w:w="150" w:type="dxa"/>
              <w:left w:w="0" w:type="dxa"/>
              <w:bottom w:w="150" w:type="dxa"/>
              <w:right w:w="240" w:type="dxa"/>
            </w:tcMar>
            <w:vAlign w:val="center"/>
            <w:hideMark/>
          </w:tcPr>
          <w:p w14:paraId="07E12026" w14:textId="77777777" w:rsidR="003E2CC0" w:rsidRPr="003E2CC0" w:rsidRDefault="003E2CC0" w:rsidP="003E2CC0">
            <w:pPr>
              <w:rPr>
                <w:sz w:val="20"/>
                <w:szCs w:val="20"/>
              </w:rPr>
            </w:pPr>
            <w:r w:rsidRPr="003E2CC0">
              <w:rPr>
                <w:b/>
                <w:bCs/>
                <w:sz w:val="20"/>
                <w:szCs w:val="20"/>
              </w:rPr>
              <w:t>Cash Ratio</w:t>
            </w:r>
          </w:p>
        </w:tc>
        <w:tc>
          <w:tcPr>
            <w:tcW w:w="0" w:type="auto"/>
            <w:tcMar>
              <w:top w:w="150" w:type="dxa"/>
              <w:left w:w="240" w:type="dxa"/>
              <w:bottom w:w="150" w:type="dxa"/>
              <w:right w:w="240" w:type="dxa"/>
            </w:tcMar>
            <w:vAlign w:val="center"/>
            <w:hideMark/>
          </w:tcPr>
          <w:p w14:paraId="629AFD7C" w14:textId="77777777" w:rsidR="003E2CC0" w:rsidRPr="003E2CC0" w:rsidRDefault="003E2CC0" w:rsidP="003E2CC0">
            <w:pPr>
              <w:rPr>
                <w:sz w:val="20"/>
                <w:szCs w:val="20"/>
              </w:rPr>
            </w:pPr>
            <w:r w:rsidRPr="003E2CC0">
              <w:rPr>
                <w:sz w:val="20"/>
                <w:szCs w:val="20"/>
              </w:rPr>
              <w:t>1.6x</w:t>
            </w:r>
          </w:p>
        </w:tc>
        <w:tc>
          <w:tcPr>
            <w:tcW w:w="0" w:type="auto"/>
            <w:tcMar>
              <w:top w:w="150" w:type="dxa"/>
              <w:left w:w="240" w:type="dxa"/>
              <w:bottom w:w="150" w:type="dxa"/>
              <w:right w:w="240" w:type="dxa"/>
            </w:tcMar>
            <w:vAlign w:val="center"/>
            <w:hideMark/>
          </w:tcPr>
          <w:p w14:paraId="6EFB7A47" w14:textId="77777777" w:rsidR="003E2CC0" w:rsidRPr="003E2CC0" w:rsidRDefault="003E2CC0" w:rsidP="003E2CC0">
            <w:pPr>
              <w:rPr>
                <w:sz w:val="20"/>
                <w:szCs w:val="20"/>
              </w:rPr>
            </w:pPr>
            <w:r w:rsidRPr="003E2CC0">
              <w:rPr>
                <w:sz w:val="20"/>
                <w:szCs w:val="20"/>
              </w:rPr>
              <w:t>1.6x</w:t>
            </w:r>
          </w:p>
        </w:tc>
        <w:tc>
          <w:tcPr>
            <w:tcW w:w="0" w:type="auto"/>
            <w:tcMar>
              <w:top w:w="150" w:type="dxa"/>
              <w:left w:w="240" w:type="dxa"/>
              <w:bottom w:w="150" w:type="dxa"/>
              <w:right w:w="240" w:type="dxa"/>
            </w:tcMar>
            <w:vAlign w:val="center"/>
            <w:hideMark/>
          </w:tcPr>
          <w:p w14:paraId="408ED5C7" w14:textId="77777777" w:rsidR="003E2CC0" w:rsidRPr="003E2CC0" w:rsidRDefault="003E2CC0" w:rsidP="003E2CC0">
            <w:pPr>
              <w:rPr>
                <w:sz w:val="20"/>
                <w:szCs w:val="20"/>
              </w:rPr>
            </w:pPr>
            <w:r w:rsidRPr="003E2CC0">
              <w:rPr>
                <w:sz w:val="20"/>
                <w:szCs w:val="20"/>
              </w:rPr>
              <w:t>1.4x</w:t>
            </w:r>
          </w:p>
        </w:tc>
        <w:tc>
          <w:tcPr>
            <w:tcW w:w="0" w:type="auto"/>
            <w:tcMar>
              <w:top w:w="150" w:type="dxa"/>
              <w:left w:w="240" w:type="dxa"/>
              <w:bottom w:w="150" w:type="dxa"/>
              <w:right w:w="240" w:type="dxa"/>
            </w:tcMar>
            <w:vAlign w:val="center"/>
            <w:hideMark/>
          </w:tcPr>
          <w:p w14:paraId="42AC00FE" w14:textId="77777777" w:rsidR="003E2CC0" w:rsidRPr="003E2CC0" w:rsidRDefault="003E2CC0" w:rsidP="003E2CC0">
            <w:pPr>
              <w:rPr>
                <w:sz w:val="20"/>
                <w:szCs w:val="20"/>
              </w:rPr>
            </w:pPr>
            <w:r w:rsidRPr="003E2CC0">
              <w:rPr>
                <w:sz w:val="20"/>
                <w:szCs w:val="20"/>
              </w:rPr>
              <w:t>0.8x</w:t>
            </w:r>
          </w:p>
        </w:tc>
        <w:tc>
          <w:tcPr>
            <w:tcW w:w="0" w:type="auto"/>
            <w:tcMar>
              <w:top w:w="150" w:type="dxa"/>
              <w:left w:w="240" w:type="dxa"/>
              <w:bottom w:w="150" w:type="dxa"/>
              <w:right w:w="240" w:type="dxa"/>
            </w:tcMar>
            <w:vAlign w:val="center"/>
            <w:hideMark/>
          </w:tcPr>
          <w:p w14:paraId="5BAEF7F9" w14:textId="77777777" w:rsidR="003E2CC0" w:rsidRPr="003E2CC0" w:rsidRDefault="003E2CC0" w:rsidP="003E2CC0">
            <w:pPr>
              <w:rPr>
                <w:sz w:val="20"/>
                <w:szCs w:val="20"/>
              </w:rPr>
            </w:pPr>
            <w:r w:rsidRPr="003E2CC0">
              <w:rPr>
                <w:sz w:val="20"/>
                <w:szCs w:val="20"/>
              </w:rPr>
              <w:t>0.6x</w:t>
            </w:r>
          </w:p>
        </w:tc>
        <w:tc>
          <w:tcPr>
            <w:tcW w:w="0" w:type="auto"/>
            <w:tcMar>
              <w:top w:w="150" w:type="dxa"/>
              <w:left w:w="240" w:type="dxa"/>
              <w:bottom w:w="150" w:type="dxa"/>
              <w:right w:w="0" w:type="dxa"/>
            </w:tcMar>
            <w:vAlign w:val="center"/>
            <w:hideMark/>
          </w:tcPr>
          <w:p w14:paraId="626BF448" w14:textId="77777777" w:rsidR="003E2CC0" w:rsidRPr="003E2CC0" w:rsidRDefault="003E2CC0" w:rsidP="003E2CC0">
            <w:pPr>
              <w:rPr>
                <w:sz w:val="20"/>
                <w:szCs w:val="20"/>
              </w:rPr>
            </w:pPr>
            <w:r w:rsidRPr="003E2CC0">
              <w:rPr>
                <w:b/>
                <w:bCs/>
                <w:sz w:val="20"/>
                <w:szCs w:val="20"/>
              </w:rPr>
              <w:t>Significant Cash Deployment.</w:t>
            </w:r>
            <w:r w:rsidRPr="003E2CC0">
              <w:rPr>
                <w:sz w:val="20"/>
                <w:szCs w:val="20"/>
              </w:rPr>
              <w:t xml:space="preserve"> This shows the most dramatic normalization. The extreme cash levels from the rights issue have been actively managed. The decrease in FY2024 and FY2025 reflects the </w:t>
            </w:r>
            <w:r w:rsidRPr="003E2CC0">
              <w:rPr>
                <w:sz w:val="20"/>
                <w:szCs w:val="20"/>
              </w:rPr>
              <w:lastRenderedPageBreak/>
              <w:t xml:space="preserve">company's £600m+ share buyback programs and increased investment in its estate, </w:t>
            </w:r>
            <w:proofErr w:type="spellStart"/>
            <w:r w:rsidRPr="003E2CC0">
              <w:rPr>
                <w:sz w:val="20"/>
                <w:szCs w:val="20"/>
              </w:rPr>
              <w:t>signaling</w:t>
            </w:r>
            <w:proofErr w:type="spellEnd"/>
            <w:r w:rsidRPr="003E2CC0">
              <w:rPr>
                <w:sz w:val="20"/>
                <w:szCs w:val="20"/>
              </w:rPr>
              <w:t xml:space="preserve"> confidence in its long-term outlook.</w:t>
            </w:r>
          </w:p>
        </w:tc>
      </w:tr>
    </w:tbl>
    <w:p w14:paraId="7B8B6BAD" w14:textId="77777777" w:rsidR="003E2CC0" w:rsidRPr="003E2CC0" w:rsidRDefault="003E2CC0" w:rsidP="003E2CC0">
      <w:pPr>
        <w:rPr>
          <w:sz w:val="20"/>
          <w:szCs w:val="20"/>
        </w:rPr>
      </w:pPr>
      <w:r w:rsidRPr="003E2CC0">
        <w:rPr>
          <w:sz w:val="20"/>
          <w:szCs w:val="20"/>
        </w:rPr>
        <w:lastRenderedPageBreak/>
        <w:pict w14:anchorId="29715577">
          <v:rect id="_x0000_i1116" style="width:0;height:.75pt" o:hralign="center" o:hrstd="t" o:hr="t" fillcolor="#a0a0a0" stroked="f"/>
        </w:pict>
      </w:r>
    </w:p>
    <w:p w14:paraId="2EAEBEA4" w14:textId="77777777" w:rsidR="003E2CC0" w:rsidRPr="003E2CC0" w:rsidRDefault="003E2CC0" w:rsidP="003E2CC0">
      <w:pPr>
        <w:rPr>
          <w:b/>
          <w:bCs/>
          <w:sz w:val="20"/>
          <w:szCs w:val="20"/>
        </w:rPr>
      </w:pPr>
      <w:r w:rsidRPr="003E2CC0">
        <w:rPr>
          <w:b/>
          <w:bCs/>
          <w:sz w:val="20"/>
          <w:szCs w:val="20"/>
        </w:rPr>
        <w:t>3. Efficiency Ratios</w:t>
      </w:r>
    </w:p>
    <w:tbl>
      <w:tblPr>
        <w:tblW w:w="0" w:type="auto"/>
        <w:tblCellMar>
          <w:top w:w="15" w:type="dxa"/>
          <w:left w:w="15" w:type="dxa"/>
          <w:bottom w:w="15" w:type="dxa"/>
          <w:right w:w="15" w:type="dxa"/>
        </w:tblCellMar>
        <w:tblLook w:val="04A0" w:firstRow="1" w:lastRow="0" w:firstColumn="1" w:lastColumn="0" w:noHBand="0" w:noVBand="1"/>
      </w:tblPr>
      <w:tblGrid>
        <w:gridCol w:w="1065"/>
        <w:gridCol w:w="1121"/>
        <w:gridCol w:w="1121"/>
        <w:gridCol w:w="1121"/>
        <w:gridCol w:w="1121"/>
        <w:gridCol w:w="1121"/>
        <w:gridCol w:w="2356"/>
      </w:tblGrid>
      <w:tr w:rsidR="003E2CC0" w:rsidRPr="003E2CC0" w14:paraId="4416C8FC" w14:textId="77777777">
        <w:trPr>
          <w:tblHeader/>
        </w:trPr>
        <w:tc>
          <w:tcPr>
            <w:tcW w:w="0" w:type="auto"/>
            <w:tcBorders>
              <w:top w:val="nil"/>
            </w:tcBorders>
            <w:tcMar>
              <w:top w:w="150" w:type="dxa"/>
              <w:left w:w="0" w:type="dxa"/>
              <w:bottom w:w="150" w:type="dxa"/>
              <w:right w:w="240" w:type="dxa"/>
            </w:tcMar>
            <w:vAlign w:val="center"/>
            <w:hideMark/>
          </w:tcPr>
          <w:p w14:paraId="00D4578C" w14:textId="77777777" w:rsidR="003E2CC0" w:rsidRPr="003E2CC0" w:rsidRDefault="003E2CC0" w:rsidP="003E2CC0">
            <w:pPr>
              <w:rPr>
                <w:sz w:val="20"/>
                <w:szCs w:val="20"/>
              </w:rPr>
            </w:pPr>
            <w:r w:rsidRPr="003E2CC0">
              <w:rPr>
                <w:sz w:val="20"/>
                <w:szCs w:val="20"/>
              </w:rPr>
              <w:t>Ratio</w:t>
            </w:r>
          </w:p>
        </w:tc>
        <w:tc>
          <w:tcPr>
            <w:tcW w:w="0" w:type="auto"/>
            <w:tcBorders>
              <w:top w:val="nil"/>
            </w:tcBorders>
            <w:tcMar>
              <w:top w:w="150" w:type="dxa"/>
              <w:left w:w="240" w:type="dxa"/>
              <w:bottom w:w="150" w:type="dxa"/>
              <w:right w:w="240" w:type="dxa"/>
            </w:tcMar>
            <w:vAlign w:val="center"/>
            <w:hideMark/>
          </w:tcPr>
          <w:p w14:paraId="6D2F51A6" w14:textId="77777777" w:rsidR="003E2CC0" w:rsidRPr="003E2CC0" w:rsidRDefault="003E2CC0" w:rsidP="003E2CC0">
            <w:pPr>
              <w:rPr>
                <w:sz w:val="20"/>
                <w:szCs w:val="20"/>
              </w:rPr>
            </w:pPr>
            <w:r w:rsidRPr="003E2CC0">
              <w:rPr>
                <w:sz w:val="20"/>
                <w:szCs w:val="20"/>
              </w:rPr>
              <w:t>FY2021</w:t>
            </w:r>
          </w:p>
        </w:tc>
        <w:tc>
          <w:tcPr>
            <w:tcW w:w="0" w:type="auto"/>
            <w:tcBorders>
              <w:top w:val="nil"/>
            </w:tcBorders>
            <w:tcMar>
              <w:top w:w="150" w:type="dxa"/>
              <w:left w:w="240" w:type="dxa"/>
              <w:bottom w:w="150" w:type="dxa"/>
              <w:right w:w="240" w:type="dxa"/>
            </w:tcMar>
            <w:vAlign w:val="center"/>
            <w:hideMark/>
          </w:tcPr>
          <w:p w14:paraId="4B5C4B8F" w14:textId="77777777" w:rsidR="003E2CC0" w:rsidRPr="003E2CC0" w:rsidRDefault="003E2CC0" w:rsidP="003E2CC0">
            <w:pPr>
              <w:rPr>
                <w:sz w:val="20"/>
                <w:szCs w:val="20"/>
              </w:rPr>
            </w:pPr>
            <w:r w:rsidRPr="003E2CC0">
              <w:rPr>
                <w:sz w:val="20"/>
                <w:szCs w:val="20"/>
              </w:rPr>
              <w:t>FY2022</w:t>
            </w:r>
          </w:p>
        </w:tc>
        <w:tc>
          <w:tcPr>
            <w:tcW w:w="0" w:type="auto"/>
            <w:tcBorders>
              <w:top w:val="nil"/>
            </w:tcBorders>
            <w:tcMar>
              <w:top w:w="150" w:type="dxa"/>
              <w:left w:w="240" w:type="dxa"/>
              <w:bottom w:w="150" w:type="dxa"/>
              <w:right w:w="240" w:type="dxa"/>
            </w:tcMar>
            <w:vAlign w:val="center"/>
            <w:hideMark/>
          </w:tcPr>
          <w:p w14:paraId="2ECB94E0" w14:textId="77777777" w:rsidR="003E2CC0" w:rsidRPr="003E2CC0" w:rsidRDefault="003E2CC0" w:rsidP="003E2CC0">
            <w:pPr>
              <w:rPr>
                <w:sz w:val="20"/>
                <w:szCs w:val="20"/>
              </w:rPr>
            </w:pPr>
            <w:r w:rsidRPr="003E2CC0">
              <w:rPr>
                <w:sz w:val="20"/>
                <w:szCs w:val="20"/>
              </w:rPr>
              <w:t>FY2023</w:t>
            </w:r>
          </w:p>
        </w:tc>
        <w:tc>
          <w:tcPr>
            <w:tcW w:w="0" w:type="auto"/>
            <w:tcBorders>
              <w:top w:val="nil"/>
            </w:tcBorders>
            <w:tcMar>
              <w:top w:w="150" w:type="dxa"/>
              <w:left w:w="240" w:type="dxa"/>
              <w:bottom w:w="150" w:type="dxa"/>
              <w:right w:w="240" w:type="dxa"/>
            </w:tcMar>
            <w:vAlign w:val="center"/>
            <w:hideMark/>
          </w:tcPr>
          <w:p w14:paraId="531B2CBE" w14:textId="77777777" w:rsidR="003E2CC0" w:rsidRPr="003E2CC0" w:rsidRDefault="003E2CC0" w:rsidP="003E2CC0">
            <w:pPr>
              <w:rPr>
                <w:sz w:val="20"/>
                <w:szCs w:val="20"/>
              </w:rPr>
            </w:pPr>
            <w:r w:rsidRPr="003E2CC0">
              <w:rPr>
                <w:sz w:val="20"/>
                <w:szCs w:val="20"/>
              </w:rPr>
              <w:t>FY2024</w:t>
            </w:r>
          </w:p>
        </w:tc>
        <w:tc>
          <w:tcPr>
            <w:tcW w:w="0" w:type="auto"/>
            <w:tcBorders>
              <w:top w:val="nil"/>
            </w:tcBorders>
            <w:tcMar>
              <w:top w:w="150" w:type="dxa"/>
              <w:left w:w="240" w:type="dxa"/>
              <w:bottom w:w="150" w:type="dxa"/>
              <w:right w:w="240" w:type="dxa"/>
            </w:tcMar>
            <w:vAlign w:val="center"/>
            <w:hideMark/>
          </w:tcPr>
          <w:p w14:paraId="549046EB" w14:textId="77777777" w:rsidR="003E2CC0" w:rsidRPr="003E2CC0" w:rsidRDefault="003E2CC0" w:rsidP="003E2CC0">
            <w:pPr>
              <w:rPr>
                <w:sz w:val="20"/>
                <w:szCs w:val="20"/>
              </w:rPr>
            </w:pPr>
            <w:r w:rsidRPr="003E2CC0">
              <w:rPr>
                <w:sz w:val="20"/>
                <w:szCs w:val="20"/>
              </w:rPr>
              <w:t>FY2025</w:t>
            </w:r>
          </w:p>
        </w:tc>
        <w:tc>
          <w:tcPr>
            <w:tcW w:w="0" w:type="auto"/>
            <w:tcBorders>
              <w:top w:val="nil"/>
            </w:tcBorders>
            <w:tcMar>
              <w:top w:w="150" w:type="dxa"/>
              <w:left w:w="240" w:type="dxa"/>
              <w:bottom w:w="150" w:type="dxa"/>
              <w:right w:w="240" w:type="dxa"/>
            </w:tcMar>
            <w:vAlign w:val="center"/>
            <w:hideMark/>
          </w:tcPr>
          <w:p w14:paraId="3DFD93AA" w14:textId="77777777" w:rsidR="003E2CC0" w:rsidRPr="003E2CC0" w:rsidRDefault="003E2CC0" w:rsidP="003E2CC0">
            <w:pPr>
              <w:rPr>
                <w:sz w:val="20"/>
                <w:szCs w:val="20"/>
              </w:rPr>
            </w:pPr>
            <w:r w:rsidRPr="003E2CC0">
              <w:rPr>
                <w:sz w:val="20"/>
                <w:szCs w:val="20"/>
              </w:rPr>
              <w:t>Trend Commentary</w:t>
            </w:r>
          </w:p>
        </w:tc>
      </w:tr>
      <w:tr w:rsidR="003E2CC0" w:rsidRPr="003E2CC0" w14:paraId="19A48FD5" w14:textId="77777777">
        <w:tc>
          <w:tcPr>
            <w:tcW w:w="0" w:type="auto"/>
            <w:tcMar>
              <w:top w:w="150" w:type="dxa"/>
              <w:left w:w="0" w:type="dxa"/>
              <w:bottom w:w="150" w:type="dxa"/>
              <w:right w:w="240" w:type="dxa"/>
            </w:tcMar>
            <w:vAlign w:val="center"/>
            <w:hideMark/>
          </w:tcPr>
          <w:p w14:paraId="3929386D" w14:textId="77777777" w:rsidR="003E2CC0" w:rsidRPr="003E2CC0" w:rsidRDefault="003E2CC0" w:rsidP="003E2CC0">
            <w:pPr>
              <w:rPr>
                <w:sz w:val="20"/>
                <w:szCs w:val="20"/>
              </w:rPr>
            </w:pPr>
            <w:r w:rsidRPr="003E2CC0">
              <w:rPr>
                <w:b/>
                <w:bCs/>
                <w:sz w:val="20"/>
                <w:szCs w:val="20"/>
              </w:rPr>
              <w:t>Asset Turnover</w:t>
            </w:r>
          </w:p>
        </w:tc>
        <w:tc>
          <w:tcPr>
            <w:tcW w:w="0" w:type="auto"/>
            <w:tcMar>
              <w:top w:w="150" w:type="dxa"/>
              <w:left w:w="240" w:type="dxa"/>
              <w:bottom w:w="150" w:type="dxa"/>
              <w:right w:w="240" w:type="dxa"/>
            </w:tcMar>
            <w:vAlign w:val="center"/>
            <w:hideMark/>
          </w:tcPr>
          <w:p w14:paraId="7D666F02" w14:textId="77777777" w:rsidR="003E2CC0" w:rsidRPr="003E2CC0" w:rsidRDefault="003E2CC0" w:rsidP="003E2CC0">
            <w:pPr>
              <w:rPr>
                <w:sz w:val="20"/>
                <w:szCs w:val="20"/>
              </w:rPr>
            </w:pPr>
            <w:r w:rsidRPr="003E2CC0">
              <w:rPr>
                <w:sz w:val="20"/>
                <w:szCs w:val="20"/>
              </w:rPr>
              <w:t>0.07x</w:t>
            </w:r>
          </w:p>
        </w:tc>
        <w:tc>
          <w:tcPr>
            <w:tcW w:w="0" w:type="auto"/>
            <w:tcMar>
              <w:top w:w="150" w:type="dxa"/>
              <w:left w:w="240" w:type="dxa"/>
              <w:bottom w:w="150" w:type="dxa"/>
              <w:right w:w="240" w:type="dxa"/>
            </w:tcMar>
            <w:vAlign w:val="center"/>
            <w:hideMark/>
          </w:tcPr>
          <w:p w14:paraId="5DBD8F85" w14:textId="77777777" w:rsidR="003E2CC0" w:rsidRPr="003E2CC0" w:rsidRDefault="003E2CC0" w:rsidP="003E2CC0">
            <w:pPr>
              <w:rPr>
                <w:sz w:val="20"/>
                <w:szCs w:val="20"/>
              </w:rPr>
            </w:pPr>
            <w:r w:rsidRPr="003E2CC0">
              <w:rPr>
                <w:sz w:val="20"/>
                <w:szCs w:val="20"/>
              </w:rPr>
              <w:t>0.18x</w:t>
            </w:r>
          </w:p>
        </w:tc>
        <w:tc>
          <w:tcPr>
            <w:tcW w:w="0" w:type="auto"/>
            <w:tcMar>
              <w:top w:w="150" w:type="dxa"/>
              <w:left w:w="240" w:type="dxa"/>
              <w:bottom w:w="150" w:type="dxa"/>
              <w:right w:w="240" w:type="dxa"/>
            </w:tcMar>
            <w:vAlign w:val="center"/>
            <w:hideMark/>
          </w:tcPr>
          <w:p w14:paraId="4C37BB74" w14:textId="77777777" w:rsidR="003E2CC0" w:rsidRPr="003E2CC0" w:rsidRDefault="003E2CC0" w:rsidP="003E2CC0">
            <w:pPr>
              <w:rPr>
                <w:sz w:val="20"/>
                <w:szCs w:val="20"/>
              </w:rPr>
            </w:pPr>
            <w:r w:rsidRPr="003E2CC0">
              <w:rPr>
                <w:sz w:val="20"/>
                <w:szCs w:val="20"/>
              </w:rPr>
              <w:t>0.26x</w:t>
            </w:r>
          </w:p>
        </w:tc>
        <w:tc>
          <w:tcPr>
            <w:tcW w:w="0" w:type="auto"/>
            <w:tcMar>
              <w:top w:w="150" w:type="dxa"/>
              <w:left w:w="240" w:type="dxa"/>
              <w:bottom w:w="150" w:type="dxa"/>
              <w:right w:w="240" w:type="dxa"/>
            </w:tcMar>
            <w:vAlign w:val="center"/>
            <w:hideMark/>
          </w:tcPr>
          <w:p w14:paraId="111F3EB0" w14:textId="77777777" w:rsidR="003E2CC0" w:rsidRPr="003E2CC0" w:rsidRDefault="003E2CC0" w:rsidP="003E2CC0">
            <w:pPr>
              <w:rPr>
                <w:sz w:val="20"/>
                <w:szCs w:val="20"/>
              </w:rPr>
            </w:pPr>
            <w:r w:rsidRPr="003E2CC0">
              <w:rPr>
                <w:sz w:val="20"/>
                <w:szCs w:val="20"/>
              </w:rPr>
              <w:t>0.31x</w:t>
            </w:r>
          </w:p>
        </w:tc>
        <w:tc>
          <w:tcPr>
            <w:tcW w:w="0" w:type="auto"/>
            <w:tcMar>
              <w:top w:w="150" w:type="dxa"/>
              <w:left w:w="240" w:type="dxa"/>
              <w:bottom w:w="150" w:type="dxa"/>
              <w:right w:w="240" w:type="dxa"/>
            </w:tcMar>
            <w:vAlign w:val="center"/>
            <w:hideMark/>
          </w:tcPr>
          <w:p w14:paraId="76B4AED7" w14:textId="77777777" w:rsidR="003E2CC0" w:rsidRPr="003E2CC0" w:rsidRDefault="003E2CC0" w:rsidP="003E2CC0">
            <w:pPr>
              <w:rPr>
                <w:sz w:val="20"/>
                <w:szCs w:val="20"/>
              </w:rPr>
            </w:pPr>
            <w:r w:rsidRPr="003E2CC0">
              <w:rPr>
                <w:sz w:val="20"/>
                <w:szCs w:val="20"/>
              </w:rPr>
              <w:t>0.31x</w:t>
            </w:r>
          </w:p>
        </w:tc>
        <w:tc>
          <w:tcPr>
            <w:tcW w:w="0" w:type="auto"/>
            <w:tcMar>
              <w:top w:w="150" w:type="dxa"/>
              <w:left w:w="240" w:type="dxa"/>
              <w:bottom w:w="150" w:type="dxa"/>
              <w:right w:w="0" w:type="dxa"/>
            </w:tcMar>
            <w:vAlign w:val="center"/>
            <w:hideMark/>
          </w:tcPr>
          <w:p w14:paraId="0CA46432" w14:textId="77777777" w:rsidR="003E2CC0" w:rsidRPr="003E2CC0" w:rsidRDefault="003E2CC0" w:rsidP="003E2CC0">
            <w:pPr>
              <w:rPr>
                <w:sz w:val="20"/>
                <w:szCs w:val="20"/>
              </w:rPr>
            </w:pPr>
            <w:r w:rsidRPr="003E2CC0">
              <w:rPr>
                <w:b/>
                <w:bCs/>
                <w:sz w:val="20"/>
                <w:szCs w:val="20"/>
              </w:rPr>
              <w:t>Strong &amp; Consistent Recovery.</w:t>
            </w:r>
            <w:r w:rsidRPr="003E2CC0">
              <w:rPr>
                <w:sz w:val="20"/>
                <w:szCs w:val="20"/>
              </w:rPr>
              <w:t> The rebound from FY2021 to FY2023 was significant, reflecting the rapid recovery in revenue. Stabilization around 0.31x in the last two years indicates a highly efficient operation, generating about £0.31 of revenue for every £1 of assets, which is excellent for an asset-heavy hospitality business.</w:t>
            </w:r>
          </w:p>
        </w:tc>
      </w:tr>
      <w:tr w:rsidR="003E2CC0" w:rsidRPr="003E2CC0" w14:paraId="25EF9546" w14:textId="77777777">
        <w:tc>
          <w:tcPr>
            <w:tcW w:w="0" w:type="auto"/>
            <w:tcMar>
              <w:top w:w="150" w:type="dxa"/>
              <w:left w:w="0" w:type="dxa"/>
              <w:bottom w:w="150" w:type="dxa"/>
              <w:right w:w="240" w:type="dxa"/>
            </w:tcMar>
            <w:vAlign w:val="center"/>
            <w:hideMark/>
          </w:tcPr>
          <w:p w14:paraId="592EA4A9" w14:textId="77777777" w:rsidR="003E2CC0" w:rsidRPr="003E2CC0" w:rsidRDefault="003E2CC0" w:rsidP="003E2CC0">
            <w:pPr>
              <w:rPr>
                <w:sz w:val="20"/>
                <w:szCs w:val="20"/>
              </w:rPr>
            </w:pPr>
            <w:r w:rsidRPr="003E2CC0">
              <w:rPr>
                <w:b/>
                <w:bCs/>
                <w:sz w:val="20"/>
                <w:szCs w:val="20"/>
              </w:rPr>
              <w:t>Fixed Asset Turnover</w:t>
            </w:r>
          </w:p>
        </w:tc>
        <w:tc>
          <w:tcPr>
            <w:tcW w:w="0" w:type="auto"/>
            <w:tcMar>
              <w:top w:w="150" w:type="dxa"/>
              <w:left w:w="240" w:type="dxa"/>
              <w:bottom w:w="150" w:type="dxa"/>
              <w:right w:w="240" w:type="dxa"/>
            </w:tcMar>
            <w:vAlign w:val="center"/>
            <w:hideMark/>
          </w:tcPr>
          <w:p w14:paraId="6D6FCFC4" w14:textId="77777777" w:rsidR="003E2CC0" w:rsidRPr="003E2CC0" w:rsidRDefault="003E2CC0" w:rsidP="003E2CC0">
            <w:pPr>
              <w:rPr>
                <w:sz w:val="20"/>
                <w:szCs w:val="20"/>
              </w:rPr>
            </w:pPr>
            <w:r w:rsidRPr="003E2CC0">
              <w:rPr>
                <w:sz w:val="20"/>
                <w:szCs w:val="20"/>
              </w:rPr>
              <w:t>0.08x</w:t>
            </w:r>
          </w:p>
        </w:tc>
        <w:tc>
          <w:tcPr>
            <w:tcW w:w="0" w:type="auto"/>
            <w:tcMar>
              <w:top w:w="150" w:type="dxa"/>
              <w:left w:w="240" w:type="dxa"/>
              <w:bottom w:w="150" w:type="dxa"/>
              <w:right w:w="240" w:type="dxa"/>
            </w:tcMar>
            <w:vAlign w:val="center"/>
            <w:hideMark/>
          </w:tcPr>
          <w:p w14:paraId="75829360" w14:textId="77777777" w:rsidR="003E2CC0" w:rsidRPr="003E2CC0" w:rsidRDefault="003E2CC0" w:rsidP="003E2CC0">
            <w:pPr>
              <w:rPr>
                <w:sz w:val="20"/>
                <w:szCs w:val="20"/>
              </w:rPr>
            </w:pPr>
            <w:r w:rsidRPr="003E2CC0">
              <w:rPr>
                <w:sz w:val="20"/>
                <w:szCs w:val="20"/>
              </w:rPr>
              <w:t>0.23x</w:t>
            </w:r>
          </w:p>
        </w:tc>
        <w:tc>
          <w:tcPr>
            <w:tcW w:w="0" w:type="auto"/>
            <w:tcMar>
              <w:top w:w="150" w:type="dxa"/>
              <w:left w:w="240" w:type="dxa"/>
              <w:bottom w:w="150" w:type="dxa"/>
              <w:right w:w="240" w:type="dxa"/>
            </w:tcMar>
            <w:vAlign w:val="center"/>
            <w:hideMark/>
          </w:tcPr>
          <w:p w14:paraId="2D5CCFC6" w14:textId="77777777" w:rsidR="003E2CC0" w:rsidRPr="003E2CC0" w:rsidRDefault="003E2CC0" w:rsidP="003E2CC0">
            <w:pPr>
              <w:rPr>
                <w:sz w:val="20"/>
                <w:szCs w:val="20"/>
              </w:rPr>
            </w:pPr>
            <w:r w:rsidRPr="003E2CC0">
              <w:rPr>
                <w:sz w:val="20"/>
                <w:szCs w:val="20"/>
              </w:rPr>
              <w:t>0.33x</w:t>
            </w:r>
          </w:p>
        </w:tc>
        <w:tc>
          <w:tcPr>
            <w:tcW w:w="0" w:type="auto"/>
            <w:tcMar>
              <w:top w:w="150" w:type="dxa"/>
              <w:left w:w="240" w:type="dxa"/>
              <w:bottom w:w="150" w:type="dxa"/>
              <w:right w:w="240" w:type="dxa"/>
            </w:tcMar>
            <w:vAlign w:val="center"/>
            <w:hideMark/>
          </w:tcPr>
          <w:p w14:paraId="5C9BA92F" w14:textId="77777777" w:rsidR="003E2CC0" w:rsidRPr="003E2CC0" w:rsidRDefault="003E2CC0" w:rsidP="003E2CC0">
            <w:pPr>
              <w:rPr>
                <w:sz w:val="20"/>
                <w:szCs w:val="20"/>
              </w:rPr>
            </w:pPr>
            <w:r w:rsidRPr="003E2CC0">
              <w:rPr>
                <w:sz w:val="20"/>
                <w:szCs w:val="20"/>
              </w:rPr>
              <w:t>0.36x</w:t>
            </w:r>
          </w:p>
        </w:tc>
        <w:tc>
          <w:tcPr>
            <w:tcW w:w="0" w:type="auto"/>
            <w:tcMar>
              <w:top w:w="150" w:type="dxa"/>
              <w:left w:w="240" w:type="dxa"/>
              <w:bottom w:w="150" w:type="dxa"/>
              <w:right w:w="240" w:type="dxa"/>
            </w:tcMar>
            <w:vAlign w:val="center"/>
            <w:hideMark/>
          </w:tcPr>
          <w:p w14:paraId="5AB64A23" w14:textId="77777777" w:rsidR="003E2CC0" w:rsidRPr="003E2CC0" w:rsidRDefault="003E2CC0" w:rsidP="003E2CC0">
            <w:pPr>
              <w:rPr>
                <w:sz w:val="20"/>
                <w:szCs w:val="20"/>
              </w:rPr>
            </w:pPr>
            <w:r w:rsidRPr="003E2CC0">
              <w:rPr>
                <w:sz w:val="20"/>
                <w:szCs w:val="20"/>
              </w:rPr>
              <w:t>0.37x</w:t>
            </w:r>
          </w:p>
        </w:tc>
        <w:tc>
          <w:tcPr>
            <w:tcW w:w="0" w:type="auto"/>
            <w:tcMar>
              <w:top w:w="150" w:type="dxa"/>
              <w:left w:w="240" w:type="dxa"/>
              <w:bottom w:w="150" w:type="dxa"/>
              <w:right w:w="0" w:type="dxa"/>
            </w:tcMar>
            <w:vAlign w:val="center"/>
            <w:hideMark/>
          </w:tcPr>
          <w:p w14:paraId="1E47074B" w14:textId="77777777" w:rsidR="003E2CC0" w:rsidRPr="003E2CC0" w:rsidRDefault="003E2CC0" w:rsidP="003E2CC0">
            <w:pPr>
              <w:rPr>
                <w:sz w:val="20"/>
                <w:szCs w:val="20"/>
              </w:rPr>
            </w:pPr>
            <w:r w:rsidRPr="003E2CC0">
              <w:rPr>
                <w:b/>
                <w:bCs/>
                <w:sz w:val="20"/>
                <w:szCs w:val="20"/>
              </w:rPr>
              <w:t>Excellent Trend.</w:t>
            </w:r>
            <w:r w:rsidRPr="003E2CC0">
              <w:rPr>
                <w:sz w:val="20"/>
                <w:szCs w:val="20"/>
              </w:rPr>
              <w:t> This is a key metric for a hotel company. The steady increase shows that Whitbread is generating significantly more revenue from its core operating assets (hotels and restaurants). This is a direct result of the "investing to win" strategy and the competitive advantage of its strong brand and direct distribution model.</w:t>
            </w:r>
          </w:p>
        </w:tc>
      </w:tr>
    </w:tbl>
    <w:p w14:paraId="733E6DC7" w14:textId="77777777" w:rsidR="003E2CC0" w:rsidRPr="003E2CC0" w:rsidRDefault="003E2CC0" w:rsidP="003E2CC0">
      <w:pPr>
        <w:rPr>
          <w:sz w:val="20"/>
          <w:szCs w:val="20"/>
        </w:rPr>
      </w:pPr>
      <w:r w:rsidRPr="003E2CC0">
        <w:rPr>
          <w:sz w:val="20"/>
          <w:szCs w:val="20"/>
        </w:rPr>
        <w:pict w14:anchorId="7BE87C83">
          <v:rect id="_x0000_i1117" style="width:0;height:.75pt" o:hralign="center" o:hrstd="t" o:hr="t" fillcolor="#a0a0a0" stroked="f"/>
        </w:pict>
      </w:r>
    </w:p>
    <w:p w14:paraId="3D0652D8" w14:textId="77777777" w:rsidR="003E2CC0" w:rsidRPr="003E2CC0" w:rsidRDefault="003E2CC0" w:rsidP="003E2CC0">
      <w:pPr>
        <w:rPr>
          <w:b/>
          <w:bCs/>
          <w:sz w:val="20"/>
          <w:szCs w:val="20"/>
        </w:rPr>
      </w:pPr>
      <w:r w:rsidRPr="003E2CC0">
        <w:rPr>
          <w:b/>
          <w:bCs/>
          <w:sz w:val="20"/>
          <w:szCs w:val="20"/>
        </w:rPr>
        <w:lastRenderedPageBreak/>
        <w:t>4. Leverage Ratios</w:t>
      </w:r>
    </w:p>
    <w:tbl>
      <w:tblPr>
        <w:tblW w:w="0" w:type="auto"/>
        <w:tblCellMar>
          <w:top w:w="15" w:type="dxa"/>
          <w:left w:w="15" w:type="dxa"/>
          <w:bottom w:w="15" w:type="dxa"/>
          <w:right w:w="15" w:type="dxa"/>
        </w:tblCellMar>
        <w:tblLook w:val="04A0" w:firstRow="1" w:lastRow="0" w:firstColumn="1" w:lastColumn="0" w:noHBand="0" w:noVBand="1"/>
      </w:tblPr>
      <w:tblGrid>
        <w:gridCol w:w="1333"/>
        <w:gridCol w:w="1121"/>
        <w:gridCol w:w="1121"/>
        <w:gridCol w:w="1121"/>
        <w:gridCol w:w="1121"/>
        <w:gridCol w:w="1121"/>
        <w:gridCol w:w="2088"/>
      </w:tblGrid>
      <w:tr w:rsidR="003E2CC0" w:rsidRPr="003E2CC0" w14:paraId="474B6506" w14:textId="77777777">
        <w:trPr>
          <w:tblHeader/>
        </w:trPr>
        <w:tc>
          <w:tcPr>
            <w:tcW w:w="0" w:type="auto"/>
            <w:tcBorders>
              <w:top w:val="nil"/>
            </w:tcBorders>
            <w:tcMar>
              <w:top w:w="150" w:type="dxa"/>
              <w:left w:w="0" w:type="dxa"/>
              <w:bottom w:w="150" w:type="dxa"/>
              <w:right w:w="240" w:type="dxa"/>
            </w:tcMar>
            <w:vAlign w:val="center"/>
            <w:hideMark/>
          </w:tcPr>
          <w:p w14:paraId="36A50382" w14:textId="77777777" w:rsidR="003E2CC0" w:rsidRPr="003E2CC0" w:rsidRDefault="003E2CC0" w:rsidP="003E2CC0">
            <w:pPr>
              <w:rPr>
                <w:sz w:val="20"/>
                <w:szCs w:val="20"/>
              </w:rPr>
            </w:pPr>
            <w:r w:rsidRPr="003E2CC0">
              <w:rPr>
                <w:sz w:val="20"/>
                <w:szCs w:val="20"/>
              </w:rPr>
              <w:t>Ratio</w:t>
            </w:r>
          </w:p>
        </w:tc>
        <w:tc>
          <w:tcPr>
            <w:tcW w:w="0" w:type="auto"/>
            <w:tcBorders>
              <w:top w:val="nil"/>
            </w:tcBorders>
            <w:tcMar>
              <w:top w:w="150" w:type="dxa"/>
              <w:left w:w="240" w:type="dxa"/>
              <w:bottom w:w="150" w:type="dxa"/>
              <w:right w:w="240" w:type="dxa"/>
            </w:tcMar>
            <w:vAlign w:val="center"/>
            <w:hideMark/>
          </w:tcPr>
          <w:p w14:paraId="7384604D" w14:textId="77777777" w:rsidR="003E2CC0" w:rsidRPr="003E2CC0" w:rsidRDefault="003E2CC0" w:rsidP="003E2CC0">
            <w:pPr>
              <w:rPr>
                <w:sz w:val="20"/>
                <w:szCs w:val="20"/>
              </w:rPr>
            </w:pPr>
            <w:r w:rsidRPr="003E2CC0">
              <w:rPr>
                <w:sz w:val="20"/>
                <w:szCs w:val="20"/>
              </w:rPr>
              <w:t>FY2021</w:t>
            </w:r>
          </w:p>
        </w:tc>
        <w:tc>
          <w:tcPr>
            <w:tcW w:w="0" w:type="auto"/>
            <w:tcBorders>
              <w:top w:val="nil"/>
            </w:tcBorders>
            <w:tcMar>
              <w:top w:w="150" w:type="dxa"/>
              <w:left w:w="240" w:type="dxa"/>
              <w:bottom w:w="150" w:type="dxa"/>
              <w:right w:w="240" w:type="dxa"/>
            </w:tcMar>
            <w:vAlign w:val="center"/>
            <w:hideMark/>
          </w:tcPr>
          <w:p w14:paraId="386F4E27" w14:textId="77777777" w:rsidR="003E2CC0" w:rsidRPr="003E2CC0" w:rsidRDefault="003E2CC0" w:rsidP="003E2CC0">
            <w:pPr>
              <w:rPr>
                <w:sz w:val="20"/>
                <w:szCs w:val="20"/>
              </w:rPr>
            </w:pPr>
            <w:r w:rsidRPr="003E2CC0">
              <w:rPr>
                <w:sz w:val="20"/>
                <w:szCs w:val="20"/>
              </w:rPr>
              <w:t>FY2022</w:t>
            </w:r>
          </w:p>
        </w:tc>
        <w:tc>
          <w:tcPr>
            <w:tcW w:w="0" w:type="auto"/>
            <w:tcBorders>
              <w:top w:val="nil"/>
            </w:tcBorders>
            <w:tcMar>
              <w:top w:w="150" w:type="dxa"/>
              <w:left w:w="240" w:type="dxa"/>
              <w:bottom w:w="150" w:type="dxa"/>
              <w:right w:w="240" w:type="dxa"/>
            </w:tcMar>
            <w:vAlign w:val="center"/>
            <w:hideMark/>
          </w:tcPr>
          <w:p w14:paraId="21160277" w14:textId="77777777" w:rsidR="003E2CC0" w:rsidRPr="003E2CC0" w:rsidRDefault="003E2CC0" w:rsidP="003E2CC0">
            <w:pPr>
              <w:rPr>
                <w:sz w:val="20"/>
                <w:szCs w:val="20"/>
              </w:rPr>
            </w:pPr>
            <w:r w:rsidRPr="003E2CC0">
              <w:rPr>
                <w:sz w:val="20"/>
                <w:szCs w:val="20"/>
              </w:rPr>
              <w:t>FY2023</w:t>
            </w:r>
          </w:p>
        </w:tc>
        <w:tc>
          <w:tcPr>
            <w:tcW w:w="0" w:type="auto"/>
            <w:tcBorders>
              <w:top w:val="nil"/>
            </w:tcBorders>
            <w:tcMar>
              <w:top w:w="150" w:type="dxa"/>
              <w:left w:w="240" w:type="dxa"/>
              <w:bottom w:w="150" w:type="dxa"/>
              <w:right w:w="240" w:type="dxa"/>
            </w:tcMar>
            <w:vAlign w:val="center"/>
            <w:hideMark/>
          </w:tcPr>
          <w:p w14:paraId="64694FF7" w14:textId="77777777" w:rsidR="003E2CC0" w:rsidRPr="003E2CC0" w:rsidRDefault="003E2CC0" w:rsidP="003E2CC0">
            <w:pPr>
              <w:rPr>
                <w:sz w:val="20"/>
                <w:szCs w:val="20"/>
              </w:rPr>
            </w:pPr>
            <w:r w:rsidRPr="003E2CC0">
              <w:rPr>
                <w:sz w:val="20"/>
                <w:szCs w:val="20"/>
              </w:rPr>
              <w:t>FY2024</w:t>
            </w:r>
          </w:p>
        </w:tc>
        <w:tc>
          <w:tcPr>
            <w:tcW w:w="0" w:type="auto"/>
            <w:tcBorders>
              <w:top w:val="nil"/>
            </w:tcBorders>
            <w:tcMar>
              <w:top w:w="150" w:type="dxa"/>
              <w:left w:w="240" w:type="dxa"/>
              <w:bottom w:w="150" w:type="dxa"/>
              <w:right w:w="240" w:type="dxa"/>
            </w:tcMar>
            <w:vAlign w:val="center"/>
            <w:hideMark/>
          </w:tcPr>
          <w:p w14:paraId="372DB489" w14:textId="77777777" w:rsidR="003E2CC0" w:rsidRPr="003E2CC0" w:rsidRDefault="003E2CC0" w:rsidP="003E2CC0">
            <w:pPr>
              <w:rPr>
                <w:sz w:val="20"/>
                <w:szCs w:val="20"/>
              </w:rPr>
            </w:pPr>
            <w:r w:rsidRPr="003E2CC0">
              <w:rPr>
                <w:sz w:val="20"/>
                <w:szCs w:val="20"/>
              </w:rPr>
              <w:t>FY2025</w:t>
            </w:r>
          </w:p>
        </w:tc>
        <w:tc>
          <w:tcPr>
            <w:tcW w:w="0" w:type="auto"/>
            <w:tcBorders>
              <w:top w:val="nil"/>
            </w:tcBorders>
            <w:tcMar>
              <w:top w:w="150" w:type="dxa"/>
              <w:left w:w="240" w:type="dxa"/>
              <w:bottom w:w="150" w:type="dxa"/>
              <w:right w:w="240" w:type="dxa"/>
            </w:tcMar>
            <w:vAlign w:val="center"/>
            <w:hideMark/>
          </w:tcPr>
          <w:p w14:paraId="6F73C4A2" w14:textId="77777777" w:rsidR="003E2CC0" w:rsidRPr="003E2CC0" w:rsidRDefault="003E2CC0" w:rsidP="003E2CC0">
            <w:pPr>
              <w:rPr>
                <w:sz w:val="20"/>
                <w:szCs w:val="20"/>
              </w:rPr>
            </w:pPr>
            <w:r w:rsidRPr="003E2CC0">
              <w:rPr>
                <w:sz w:val="20"/>
                <w:szCs w:val="20"/>
              </w:rPr>
              <w:t>Trend Commentary</w:t>
            </w:r>
          </w:p>
        </w:tc>
      </w:tr>
      <w:tr w:rsidR="003E2CC0" w:rsidRPr="003E2CC0" w14:paraId="4881E429" w14:textId="77777777">
        <w:tc>
          <w:tcPr>
            <w:tcW w:w="0" w:type="auto"/>
            <w:tcMar>
              <w:top w:w="150" w:type="dxa"/>
              <w:left w:w="0" w:type="dxa"/>
              <w:bottom w:w="150" w:type="dxa"/>
              <w:right w:w="240" w:type="dxa"/>
            </w:tcMar>
            <w:vAlign w:val="center"/>
            <w:hideMark/>
          </w:tcPr>
          <w:p w14:paraId="326F7FDB" w14:textId="77777777" w:rsidR="003E2CC0" w:rsidRPr="003E2CC0" w:rsidRDefault="003E2CC0" w:rsidP="003E2CC0">
            <w:pPr>
              <w:rPr>
                <w:sz w:val="20"/>
                <w:szCs w:val="20"/>
              </w:rPr>
            </w:pPr>
            <w:r w:rsidRPr="003E2CC0">
              <w:rPr>
                <w:b/>
                <w:bCs/>
                <w:sz w:val="20"/>
                <w:szCs w:val="20"/>
              </w:rPr>
              <w:t>Interest Coverage</w:t>
            </w:r>
          </w:p>
        </w:tc>
        <w:tc>
          <w:tcPr>
            <w:tcW w:w="0" w:type="auto"/>
            <w:tcMar>
              <w:top w:w="150" w:type="dxa"/>
              <w:left w:w="240" w:type="dxa"/>
              <w:bottom w:w="150" w:type="dxa"/>
              <w:right w:w="240" w:type="dxa"/>
            </w:tcMar>
            <w:vAlign w:val="center"/>
            <w:hideMark/>
          </w:tcPr>
          <w:p w14:paraId="7A88C4E1" w14:textId="77777777" w:rsidR="003E2CC0" w:rsidRPr="003E2CC0" w:rsidRDefault="003E2CC0" w:rsidP="003E2CC0">
            <w:pPr>
              <w:rPr>
                <w:sz w:val="20"/>
                <w:szCs w:val="20"/>
              </w:rPr>
            </w:pPr>
            <w:r w:rsidRPr="003E2CC0">
              <w:rPr>
                <w:sz w:val="20"/>
                <w:szCs w:val="20"/>
              </w:rPr>
              <w:t>-4.3x</w:t>
            </w:r>
          </w:p>
        </w:tc>
        <w:tc>
          <w:tcPr>
            <w:tcW w:w="0" w:type="auto"/>
            <w:tcMar>
              <w:top w:w="150" w:type="dxa"/>
              <w:left w:w="240" w:type="dxa"/>
              <w:bottom w:w="150" w:type="dxa"/>
              <w:right w:w="240" w:type="dxa"/>
            </w:tcMar>
            <w:vAlign w:val="center"/>
            <w:hideMark/>
          </w:tcPr>
          <w:p w14:paraId="6BF5E126" w14:textId="77777777" w:rsidR="003E2CC0" w:rsidRPr="003E2CC0" w:rsidRDefault="003E2CC0" w:rsidP="003E2CC0">
            <w:pPr>
              <w:rPr>
                <w:sz w:val="20"/>
                <w:szCs w:val="20"/>
              </w:rPr>
            </w:pPr>
            <w:r w:rsidRPr="003E2CC0">
              <w:rPr>
                <w:sz w:val="20"/>
                <w:szCs w:val="20"/>
              </w:rPr>
              <w:t>-0.1x</w:t>
            </w:r>
          </w:p>
        </w:tc>
        <w:tc>
          <w:tcPr>
            <w:tcW w:w="0" w:type="auto"/>
            <w:tcMar>
              <w:top w:w="150" w:type="dxa"/>
              <w:left w:w="240" w:type="dxa"/>
              <w:bottom w:w="150" w:type="dxa"/>
              <w:right w:w="240" w:type="dxa"/>
            </w:tcMar>
            <w:vAlign w:val="center"/>
            <w:hideMark/>
          </w:tcPr>
          <w:p w14:paraId="52CB60EB" w14:textId="77777777" w:rsidR="003E2CC0" w:rsidRPr="003E2CC0" w:rsidRDefault="003E2CC0" w:rsidP="003E2CC0">
            <w:pPr>
              <w:rPr>
                <w:sz w:val="20"/>
                <w:szCs w:val="20"/>
              </w:rPr>
            </w:pPr>
            <w:r w:rsidRPr="003E2CC0">
              <w:rPr>
                <w:sz w:val="20"/>
                <w:szCs w:val="20"/>
              </w:rPr>
              <w:t>3.2x</w:t>
            </w:r>
          </w:p>
        </w:tc>
        <w:tc>
          <w:tcPr>
            <w:tcW w:w="0" w:type="auto"/>
            <w:tcMar>
              <w:top w:w="150" w:type="dxa"/>
              <w:left w:w="240" w:type="dxa"/>
              <w:bottom w:w="150" w:type="dxa"/>
              <w:right w:w="240" w:type="dxa"/>
            </w:tcMar>
            <w:vAlign w:val="center"/>
            <w:hideMark/>
          </w:tcPr>
          <w:p w14:paraId="5F5209C9" w14:textId="77777777" w:rsidR="003E2CC0" w:rsidRPr="003E2CC0" w:rsidRDefault="003E2CC0" w:rsidP="003E2CC0">
            <w:pPr>
              <w:rPr>
                <w:sz w:val="20"/>
                <w:szCs w:val="20"/>
              </w:rPr>
            </w:pPr>
            <w:r w:rsidRPr="003E2CC0">
              <w:rPr>
                <w:sz w:val="20"/>
                <w:szCs w:val="20"/>
              </w:rPr>
              <w:t>5.0x</w:t>
            </w:r>
          </w:p>
        </w:tc>
        <w:tc>
          <w:tcPr>
            <w:tcW w:w="0" w:type="auto"/>
            <w:tcMar>
              <w:top w:w="150" w:type="dxa"/>
              <w:left w:w="240" w:type="dxa"/>
              <w:bottom w:w="150" w:type="dxa"/>
              <w:right w:w="240" w:type="dxa"/>
            </w:tcMar>
            <w:vAlign w:val="center"/>
            <w:hideMark/>
          </w:tcPr>
          <w:p w14:paraId="694E4BDE" w14:textId="77777777" w:rsidR="003E2CC0" w:rsidRPr="003E2CC0" w:rsidRDefault="003E2CC0" w:rsidP="003E2CC0">
            <w:pPr>
              <w:rPr>
                <w:sz w:val="20"/>
                <w:szCs w:val="20"/>
              </w:rPr>
            </w:pPr>
            <w:r w:rsidRPr="003E2CC0">
              <w:rPr>
                <w:sz w:val="20"/>
                <w:szCs w:val="20"/>
              </w:rPr>
              <w:t>4.5x</w:t>
            </w:r>
          </w:p>
        </w:tc>
        <w:tc>
          <w:tcPr>
            <w:tcW w:w="0" w:type="auto"/>
            <w:tcMar>
              <w:top w:w="150" w:type="dxa"/>
              <w:left w:w="240" w:type="dxa"/>
              <w:bottom w:w="150" w:type="dxa"/>
              <w:right w:w="0" w:type="dxa"/>
            </w:tcMar>
            <w:vAlign w:val="center"/>
            <w:hideMark/>
          </w:tcPr>
          <w:p w14:paraId="7BC17A68" w14:textId="77777777" w:rsidR="003E2CC0" w:rsidRPr="003E2CC0" w:rsidRDefault="003E2CC0" w:rsidP="003E2CC0">
            <w:pPr>
              <w:rPr>
                <w:sz w:val="20"/>
                <w:szCs w:val="20"/>
              </w:rPr>
            </w:pPr>
            <w:r w:rsidRPr="003E2CC0">
              <w:rPr>
                <w:b/>
                <w:bCs/>
                <w:sz w:val="20"/>
                <w:szCs w:val="20"/>
              </w:rPr>
              <w:t>Exceptional Turnaround.</w:t>
            </w:r>
            <w:r w:rsidRPr="003E2CC0">
              <w:rPr>
                <w:sz w:val="20"/>
                <w:szCs w:val="20"/>
              </w:rPr>
              <w:t> The negative ratios in FY2021 and FY2022 reflected operating losses. The recovery to 5.0x in FY2024 and a strong 4.5x in FY2025 indicates that Whitbread's operating profit is more than 4.5 times its interest costs, providing a significant margin of safety.</w:t>
            </w:r>
          </w:p>
        </w:tc>
      </w:tr>
      <w:tr w:rsidR="003E2CC0" w:rsidRPr="003E2CC0" w14:paraId="73948237" w14:textId="77777777">
        <w:tc>
          <w:tcPr>
            <w:tcW w:w="0" w:type="auto"/>
            <w:tcMar>
              <w:top w:w="150" w:type="dxa"/>
              <w:left w:w="0" w:type="dxa"/>
              <w:bottom w:w="150" w:type="dxa"/>
              <w:right w:w="240" w:type="dxa"/>
            </w:tcMar>
            <w:vAlign w:val="center"/>
            <w:hideMark/>
          </w:tcPr>
          <w:p w14:paraId="3A1AE6D1" w14:textId="77777777" w:rsidR="003E2CC0" w:rsidRPr="003E2CC0" w:rsidRDefault="003E2CC0" w:rsidP="003E2CC0">
            <w:pPr>
              <w:rPr>
                <w:sz w:val="20"/>
                <w:szCs w:val="20"/>
              </w:rPr>
            </w:pPr>
            <w:r w:rsidRPr="003E2CC0">
              <w:rPr>
                <w:b/>
                <w:bCs/>
                <w:sz w:val="20"/>
                <w:szCs w:val="20"/>
              </w:rPr>
              <w:t>Debt/Equity</w:t>
            </w:r>
          </w:p>
        </w:tc>
        <w:tc>
          <w:tcPr>
            <w:tcW w:w="0" w:type="auto"/>
            <w:tcMar>
              <w:top w:w="150" w:type="dxa"/>
              <w:left w:w="240" w:type="dxa"/>
              <w:bottom w:w="150" w:type="dxa"/>
              <w:right w:w="240" w:type="dxa"/>
            </w:tcMar>
            <w:vAlign w:val="center"/>
            <w:hideMark/>
          </w:tcPr>
          <w:p w14:paraId="3515A54F" w14:textId="77777777" w:rsidR="003E2CC0" w:rsidRPr="003E2CC0" w:rsidRDefault="003E2CC0" w:rsidP="003E2CC0">
            <w:pPr>
              <w:rPr>
                <w:sz w:val="20"/>
                <w:szCs w:val="20"/>
              </w:rPr>
            </w:pPr>
            <w:r w:rsidRPr="003E2CC0">
              <w:rPr>
                <w:sz w:val="20"/>
                <w:szCs w:val="20"/>
              </w:rPr>
              <w:t>0.34x</w:t>
            </w:r>
          </w:p>
        </w:tc>
        <w:tc>
          <w:tcPr>
            <w:tcW w:w="0" w:type="auto"/>
            <w:tcMar>
              <w:top w:w="150" w:type="dxa"/>
              <w:left w:w="240" w:type="dxa"/>
              <w:bottom w:w="150" w:type="dxa"/>
              <w:right w:w="240" w:type="dxa"/>
            </w:tcMar>
            <w:vAlign w:val="center"/>
            <w:hideMark/>
          </w:tcPr>
          <w:p w14:paraId="1A73A92F" w14:textId="77777777" w:rsidR="003E2CC0" w:rsidRPr="003E2CC0" w:rsidRDefault="003E2CC0" w:rsidP="003E2CC0">
            <w:pPr>
              <w:rPr>
                <w:sz w:val="20"/>
                <w:szCs w:val="20"/>
              </w:rPr>
            </w:pPr>
            <w:r w:rsidRPr="003E2CC0">
              <w:rPr>
                <w:sz w:val="20"/>
                <w:szCs w:val="20"/>
              </w:rPr>
              <w:t>0.24x</w:t>
            </w:r>
          </w:p>
        </w:tc>
        <w:tc>
          <w:tcPr>
            <w:tcW w:w="0" w:type="auto"/>
            <w:tcMar>
              <w:top w:w="150" w:type="dxa"/>
              <w:left w:w="240" w:type="dxa"/>
              <w:bottom w:w="150" w:type="dxa"/>
              <w:right w:w="240" w:type="dxa"/>
            </w:tcMar>
            <w:vAlign w:val="center"/>
            <w:hideMark/>
          </w:tcPr>
          <w:p w14:paraId="622E2F9D" w14:textId="77777777" w:rsidR="003E2CC0" w:rsidRPr="003E2CC0" w:rsidRDefault="003E2CC0" w:rsidP="003E2CC0">
            <w:pPr>
              <w:rPr>
                <w:sz w:val="20"/>
                <w:szCs w:val="20"/>
              </w:rPr>
            </w:pPr>
            <w:r w:rsidRPr="003E2CC0">
              <w:rPr>
                <w:sz w:val="20"/>
                <w:szCs w:val="20"/>
              </w:rPr>
              <w:t>0.24x</w:t>
            </w:r>
          </w:p>
        </w:tc>
        <w:tc>
          <w:tcPr>
            <w:tcW w:w="0" w:type="auto"/>
            <w:tcMar>
              <w:top w:w="150" w:type="dxa"/>
              <w:left w:w="240" w:type="dxa"/>
              <w:bottom w:w="150" w:type="dxa"/>
              <w:right w:w="240" w:type="dxa"/>
            </w:tcMar>
            <w:vAlign w:val="center"/>
            <w:hideMark/>
          </w:tcPr>
          <w:p w14:paraId="20E57513" w14:textId="77777777" w:rsidR="003E2CC0" w:rsidRPr="003E2CC0" w:rsidRDefault="003E2CC0" w:rsidP="003E2CC0">
            <w:pPr>
              <w:rPr>
                <w:sz w:val="20"/>
                <w:szCs w:val="20"/>
              </w:rPr>
            </w:pPr>
            <w:r w:rsidRPr="003E2CC0">
              <w:rPr>
                <w:sz w:val="20"/>
                <w:szCs w:val="20"/>
              </w:rPr>
              <w:t>0.28x</w:t>
            </w:r>
          </w:p>
        </w:tc>
        <w:tc>
          <w:tcPr>
            <w:tcW w:w="0" w:type="auto"/>
            <w:tcMar>
              <w:top w:w="150" w:type="dxa"/>
              <w:left w:w="240" w:type="dxa"/>
              <w:bottom w:w="150" w:type="dxa"/>
              <w:right w:w="240" w:type="dxa"/>
            </w:tcMar>
            <w:vAlign w:val="center"/>
            <w:hideMark/>
          </w:tcPr>
          <w:p w14:paraId="1DC927FB" w14:textId="77777777" w:rsidR="003E2CC0" w:rsidRPr="003E2CC0" w:rsidRDefault="003E2CC0" w:rsidP="003E2CC0">
            <w:pPr>
              <w:rPr>
                <w:sz w:val="20"/>
                <w:szCs w:val="20"/>
              </w:rPr>
            </w:pPr>
            <w:r w:rsidRPr="003E2CC0">
              <w:rPr>
                <w:sz w:val="20"/>
                <w:szCs w:val="20"/>
              </w:rPr>
              <w:t>0.31x</w:t>
            </w:r>
          </w:p>
        </w:tc>
        <w:tc>
          <w:tcPr>
            <w:tcW w:w="0" w:type="auto"/>
            <w:tcMar>
              <w:top w:w="150" w:type="dxa"/>
              <w:left w:w="240" w:type="dxa"/>
              <w:bottom w:w="150" w:type="dxa"/>
              <w:right w:w="0" w:type="dxa"/>
            </w:tcMar>
            <w:vAlign w:val="center"/>
            <w:hideMark/>
          </w:tcPr>
          <w:p w14:paraId="3A1EFE14" w14:textId="77777777" w:rsidR="003E2CC0" w:rsidRDefault="003E2CC0" w:rsidP="003E2CC0">
            <w:pPr>
              <w:rPr>
                <w:sz w:val="20"/>
                <w:szCs w:val="20"/>
              </w:rPr>
            </w:pPr>
            <w:r w:rsidRPr="003E2CC0">
              <w:rPr>
                <w:b/>
                <w:bCs/>
                <w:sz w:val="20"/>
                <w:szCs w:val="20"/>
              </w:rPr>
              <w:t>Conservative and Stable.</w:t>
            </w:r>
            <w:r w:rsidRPr="003E2CC0">
              <w:rPr>
                <w:sz w:val="20"/>
                <w:szCs w:val="20"/>
              </w:rPr>
              <w:t> Whitbread's leverage remains very low, highlighting its conservative, asset-backed balance sheet. The slight increase in the last two years is due to the share buybacks (reducing equity) and a return to a normal level of debt. This remains a key competitive advantage, allowing the company to invest while others are constrained.</w:t>
            </w:r>
          </w:p>
          <w:p w14:paraId="4E96AF7B" w14:textId="77777777" w:rsidR="003E2CC0" w:rsidRDefault="003E2CC0" w:rsidP="003E2CC0">
            <w:pPr>
              <w:rPr>
                <w:sz w:val="20"/>
                <w:szCs w:val="20"/>
              </w:rPr>
            </w:pPr>
          </w:p>
          <w:p w14:paraId="2145979C" w14:textId="77777777" w:rsidR="003E2CC0" w:rsidRDefault="003E2CC0" w:rsidP="003E2CC0">
            <w:pPr>
              <w:rPr>
                <w:sz w:val="20"/>
                <w:szCs w:val="20"/>
              </w:rPr>
            </w:pPr>
          </w:p>
          <w:p w14:paraId="7CE243DA" w14:textId="77777777" w:rsidR="003E2CC0" w:rsidRDefault="003E2CC0" w:rsidP="003E2CC0">
            <w:pPr>
              <w:rPr>
                <w:sz w:val="20"/>
                <w:szCs w:val="20"/>
              </w:rPr>
            </w:pPr>
          </w:p>
          <w:p w14:paraId="490F8600" w14:textId="77777777" w:rsidR="003E2CC0" w:rsidRPr="003E2CC0" w:rsidRDefault="003E2CC0" w:rsidP="003E2CC0">
            <w:pPr>
              <w:rPr>
                <w:sz w:val="20"/>
                <w:szCs w:val="20"/>
              </w:rPr>
            </w:pPr>
          </w:p>
        </w:tc>
      </w:tr>
    </w:tbl>
    <w:p w14:paraId="7063B5E1" w14:textId="77777777" w:rsidR="006B2424" w:rsidRDefault="006B2424" w:rsidP="00C907E0">
      <w:pPr>
        <w:rPr>
          <w:b/>
          <w:bCs/>
          <w:sz w:val="28"/>
          <w:szCs w:val="28"/>
        </w:rPr>
      </w:pPr>
    </w:p>
    <w:p w14:paraId="3D6243D2" w14:textId="7B7FC98A" w:rsidR="00C907E0" w:rsidRPr="00C907E0" w:rsidRDefault="00C907E0" w:rsidP="00C907E0">
      <w:pPr>
        <w:rPr>
          <w:b/>
          <w:bCs/>
          <w:sz w:val="28"/>
          <w:szCs w:val="28"/>
        </w:rPr>
      </w:pPr>
      <w:proofErr w:type="gramStart"/>
      <w:r w:rsidRPr="00C907E0">
        <w:rPr>
          <w:b/>
          <w:bCs/>
          <w:sz w:val="28"/>
          <w:szCs w:val="28"/>
        </w:rPr>
        <w:lastRenderedPageBreak/>
        <w:t xml:space="preserve">Summary </w:t>
      </w:r>
      <w:r>
        <w:rPr>
          <w:b/>
          <w:bCs/>
          <w:sz w:val="28"/>
          <w:szCs w:val="28"/>
        </w:rPr>
        <w:t>:</w:t>
      </w:r>
      <w:proofErr w:type="gramEnd"/>
    </w:p>
    <w:p w14:paraId="13982F6B" w14:textId="77777777" w:rsidR="00C907E0" w:rsidRPr="00C907E0" w:rsidRDefault="00C907E0" w:rsidP="00C907E0">
      <w:pPr>
        <w:numPr>
          <w:ilvl w:val="0"/>
          <w:numId w:val="1"/>
        </w:numPr>
      </w:pPr>
      <w:r w:rsidRPr="00C907E0">
        <w:rPr>
          <w:b/>
          <w:bCs/>
        </w:rPr>
        <w:t>Profitability Rebound</w:t>
      </w:r>
      <w:r w:rsidRPr="00C907E0">
        <w:t>: The most significant trend is the exceptional recovery in profitability. Margins have bounced back from the pandemic lows to reach record highs in FY2024 and FY2025. This demonstrates the power of Whitbread's "investing to win" strategy and its unique, vertically integrated business model.</w:t>
      </w:r>
    </w:p>
    <w:p w14:paraId="505FCF0C" w14:textId="77777777" w:rsidR="00C907E0" w:rsidRPr="00C907E0" w:rsidRDefault="00C907E0" w:rsidP="00C907E0">
      <w:pPr>
        <w:numPr>
          <w:ilvl w:val="0"/>
          <w:numId w:val="1"/>
        </w:numPr>
      </w:pPr>
      <w:r w:rsidRPr="00C907E0">
        <w:rPr>
          <w:b/>
          <w:bCs/>
        </w:rPr>
        <w:t>Efficient Growth: </w:t>
      </w:r>
      <w:r w:rsidRPr="00C907E0">
        <w:t>The fixed asset turnover ratio has shown a strong, consistent rise, proving that the company's significant investment in its estate is generating superior returns. The business is becoming more efficient at turning its assets into revenue.</w:t>
      </w:r>
    </w:p>
    <w:p w14:paraId="0696DB86" w14:textId="77777777" w:rsidR="00C907E0" w:rsidRPr="00C907E0" w:rsidRDefault="00C907E0" w:rsidP="00C907E0">
      <w:pPr>
        <w:numPr>
          <w:ilvl w:val="0"/>
          <w:numId w:val="1"/>
        </w:numPr>
        <w:rPr>
          <w:b/>
          <w:bCs/>
        </w:rPr>
      </w:pPr>
      <w:r w:rsidRPr="00C907E0">
        <w:rPr>
          <w:b/>
          <w:bCs/>
        </w:rPr>
        <w:t>Strong Financial Health</w:t>
      </w:r>
      <w:r w:rsidRPr="00C907E0">
        <w:t>: Liquidity, while normalized from a short-term peak, remains healthy and more than adequate to cover current obligations. Leverage is very low and stable, and the interest coverage ratio is exceptionally strong, highlighting a highly resilient financial position.</w:t>
      </w:r>
    </w:p>
    <w:p w14:paraId="64706730" w14:textId="77777777" w:rsidR="00C907E0" w:rsidRPr="00C907E0" w:rsidRDefault="00C907E0" w:rsidP="00C907E0">
      <w:pPr>
        <w:numPr>
          <w:ilvl w:val="0"/>
          <w:numId w:val="1"/>
        </w:numPr>
        <w:rPr>
          <w:b/>
          <w:bCs/>
        </w:rPr>
      </w:pPr>
      <w:r w:rsidRPr="00C907E0">
        <w:rPr>
          <w:b/>
          <w:bCs/>
        </w:rPr>
        <w:t>Consistent Execution</w:t>
      </w:r>
      <w:r w:rsidRPr="00C907E0">
        <w:t>: The data for FY2024 and FY2025 shows that the company has successfully transitioned from a post-pandemic recovery phase into a phase of stable, high profitability and efficient growth, validating its long-term strategy</w:t>
      </w:r>
      <w:r w:rsidRPr="00C907E0">
        <w:rPr>
          <w:b/>
          <w:bCs/>
        </w:rPr>
        <w:t>.</w:t>
      </w:r>
    </w:p>
    <w:p w14:paraId="5779229A" w14:textId="77777777" w:rsidR="00B268F0" w:rsidRDefault="00B268F0" w:rsidP="00C907E0">
      <w:pPr>
        <w:ind w:left="720"/>
      </w:pPr>
    </w:p>
    <w:sectPr w:rsidR="00B268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60705"/>
    <w:multiLevelType w:val="multilevel"/>
    <w:tmpl w:val="D32A7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990799"/>
    <w:multiLevelType w:val="multilevel"/>
    <w:tmpl w:val="7778D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6117908">
    <w:abstractNumId w:val="0"/>
  </w:num>
  <w:num w:numId="2" w16cid:durableId="1494174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7E0"/>
    <w:rsid w:val="003E2CC0"/>
    <w:rsid w:val="004C7231"/>
    <w:rsid w:val="006B2424"/>
    <w:rsid w:val="00B268F0"/>
    <w:rsid w:val="00C907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602E0"/>
  <w15:chartTrackingRefBased/>
  <w15:docId w15:val="{94E0378C-3901-4EEF-BAD2-63D6631C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7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7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7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7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7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7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7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7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7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7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7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7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7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7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7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7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7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7E0"/>
    <w:rPr>
      <w:rFonts w:eastAsiaTheme="majorEastAsia" w:cstheme="majorBidi"/>
      <w:color w:val="272727" w:themeColor="text1" w:themeTint="D8"/>
    </w:rPr>
  </w:style>
  <w:style w:type="paragraph" w:styleId="Title">
    <w:name w:val="Title"/>
    <w:basedOn w:val="Normal"/>
    <w:next w:val="Normal"/>
    <w:link w:val="TitleChar"/>
    <w:uiPriority w:val="10"/>
    <w:qFormat/>
    <w:rsid w:val="00C907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7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7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7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7E0"/>
    <w:pPr>
      <w:spacing w:before="160"/>
      <w:jc w:val="center"/>
    </w:pPr>
    <w:rPr>
      <w:i/>
      <w:iCs/>
      <w:color w:val="404040" w:themeColor="text1" w:themeTint="BF"/>
    </w:rPr>
  </w:style>
  <w:style w:type="character" w:customStyle="1" w:styleId="QuoteChar">
    <w:name w:val="Quote Char"/>
    <w:basedOn w:val="DefaultParagraphFont"/>
    <w:link w:val="Quote"/>
    <w:uiPriority w:val="29"/>
    <w:rsid w:val="00C907E0"/>
    <w:rPr>
      <w:i/>
      <w:iCs/>
      <w:color w:val="404040" w:themeColor="text1" w:themeTint="BF"/>
    </w:rPr>
  </w:style>
  <w:style w:type="paragraph" w:styleId="ListParagraph">
    <w:name w:val="List Paragraph"/>
    <w:basedOn w:val="Normal"/>
    <w:uiPriority w:val="34"/>
    <w:qFormat/>
    <w:rsid w:val="00C907E0"/>
    <w:pPr>
      <w:ind w:left="720"/>
      <w:contextualSpacing/>
    </w:pPr>
  </w:style>
  <w:style w:type="character" w:styleId="IntenseEmphasis">
    <w:name w:val="Intense Emphasis"/>
    <w:basedOn w:val="DefaultParagraphFont"/>
    <w:uiPriority w:val="21"/>
    <w:qFormat/>
    <w:rsid w:val="00C907E0"/>
    <w:rPr>
      <w:i/>
      <w:iCs/>
      <w:color w:val="0F4761" w:themeColor="accent1" w:themeShade="BF"/>
    </w:rPr>
  </w:style>
  <w:style w:type="paragraph" w:styleId="IntenseQuote">
    <w:name w:val="Intense Quote"/>
    <w:basedOn w:val="Normal"/>
    <w:next w:val="Normal"/>
    <w:link w:val="IntenseQuoteChar"/>
    <w:uiPriority w:val="30"/>
    <w:qFormat/>
    <w:rsid w:val="00C907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7E0"/>
    <w:rPr>
      <w:i/>
      <w:iCs/>
      <w:color w:val="0F4761" w:themeColor="accent1" w:themeShade="BF"/>
    </w:rPr>
  </w:style>
  <w:style w:type="character" w:styleId="IntenseReference">
    <w:name w:val="Intense Reference"/>
    <w:basedOn w:val="DefaultParagraphFont"/>
    <w:uiPriority w:val="32"/>
    <w:qFormat/>
    <w:rsid w:val="00C907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Harshil Ghanshyambhai Beladiya (2543506)</dc:creator>
  <cp:keywords/>
  <dc:description/>
  <cp:lastModifiedBy>Harshil Ghanshyambhai Beladiya (2543506)</cp:lastModifiedBy>
  <cp:revision>2</cp:revision>
  <dcterms:created xsi:type="dcterms:W3CDTF">2026-07-10T16:31:00Z</dcterms:created>
  <dcterms:modified xsi:type="dcterms:W3CDTF">2026-07-10T16:44:00Z</dcterms:modified>
</cp:coreProperties>
</file>