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6B2A8728" w:rsidR="00BD7E0A" w:rsidRPr="008D4A7C" w:rsidRDefault="00BD7E0A" w:rsidP="008D4A7C">
      <w:pPr>
        <w:rPr>
          <w:rFonts w:ascii="Arial" w:hAnsi="Arial" w:cs="Arial"/>
          <w:sz w:val="22"/>
        </w:rPr>
      </w:pPr>
    </w:p>
    <w:p w14:paraId="585F3537" w14:textId="57896CF9" w:rsidR="00074402" w:rsidRPr="008D4A7C" w:rsidRDefault="00074402" w:rsidP="008D4A7C">
      <w:pPr>
        <w:rPr>
          <w:rFonts w:ascii="Arial" w:hAnsi="Arial" w:cs="Arial"/>
          <w:sz w:val="22"/>
        </w:rPr>
      </w:pPr>
    </w:p>
    <w:p w14:paraId="4E267F2C" w14:textId="35E99859" w:rsidR="00074402" w:rsidRPr="008D4A7C" w:rsidRDefault="00074402" w:rsidP="008D4A7C">
      <w:pPr>
        <w:rPr>
          <w:rFonts w:ascii="Arial" w:hAnsi="Arial" w:cs="Arial"/>
          <w:sz w:val="22"/>
        </w:rPr>
      </w:pPr>
    </w:p>
    <w:p w14:paraId="26C4A4C7" w14:textId="77777777" w:rsidR="00D71774" w:rsidRDefault="00D71774" w:rsidP="008D4A7C">
      <w:pPr>
        <w:tabs>
          <w:tab w:val="left" w:pos="6540"/>
        </w:tabs>
        <w:rPr>
          <w:rFonts w:ascii="Arial" w:hAnsi="Arial" w:cs="Arial"/>
          <w:b/>
          <w:bCs/>
          <w:sz w:val="32"/>
          <w:szCs w:val="32"/>
        </w:rPr>
      </w:pPr>
    </w:p>
    <w:p w14:paraId="45E428EF" w14:textId="77777777" w:rsidR="00D71774" w:rsidRDefault="00D71774" w:rsidP="008D4A7C">
      <w:pPr>
        <w:tabs>
          <w:tab w:val="left" w:pos="6540"/>
        </w:tabs>
        <w:rPr>
          <w:rFonts w:ascii="Arial" w:hAnsi="Arial" w:cs="Arial"/>
          <w:b/>
          <w:bCs/>
          <w:sz w:val="32"/>
          <w:szCs w:val="32"/>
        </w:rPr>
      </w:pPr>
    </w:p>
    <w:p w14:paraId="5CCA2BCD" w14:textId="77777777" w:rsidR="00D71774" w:rsidRDefault="00D71774" w:rsidP="008D4A7C">
      <w:pPr>
        <w:tabs>
          <w:tab w:val="left" w:pos="6540"/>
        </w:tabs>
        <w:rPr>
          <w:rFonts w:ascii="Arial" w:hAnsi="Arial" w:cs="Arial"/>
          <w:b/>
          <w:bCs/>
          <w:sz w:val="32"/>
          <w:szCs w:val="32"/>
        </w:rPr>
      </w:pPr>
    </w:p>
    <w:p w14:paraId="265DD5D8" w14:textId="77777777" w:rsidR="00D71774" w:rsidRDefault="00D71774" w:rsidP="008D4A7C">
      <w:pPr>
        <w:tabs>
          <w:tab w:val="left" w:pos="6540"/>
        </w:tabs>
        <w:rPr>
          <w:rFonts w:ascii="Arial" w:hAnsi="Arial" w:cs="Arial"/>
          <w:b/>
          <w:bCs/>
          <w:sz w:val="32"/>
          <w:szCs w:val="32"/>
        </w:rPr>
      </w:pPr>
    </w:p>
    <w:p w14:paraId="4F8BE5D2" w14:textId="52FF4744" w:rsidR="009B28B0" w:rsidRPr="00EA627E" w:rsidRDefault="00074402" w:rsidP="008D4A7C">
      <w:pPr>
        <w:tabs>
          <w:tab w:val="left" w:pos="6540"/>
        </w:tabs>
        <w:rPr>
          <w:rFonts w:ascii="Arial" w:hAnsi="Arial" w:cs="Arial"/>
          <w:sz w:val="32"/>
          <w:szCs w:val="32"/>
        </w:rPr>
      </w:pPr>
      <w:r w:rsidRPr="00EA627E">
        <w:rPr>
          <w:rFonts w:ascii="Arial" w:hAnsi="Arial" w:cs="Arial"/>
          <w:b/>
          <w:bCs/>
          <w:sz w:val="32"/>
          <w:szCs w:val="32"/>
        </w:rPr>
        <w:t>Module name</w:t>
      </w:r>
      <w:r w:rsidRPr="00EA627E">
        <w:rPr>
          <w:rFonts w:ascii="Arial" w:hAnsi="Arial" w:cs="Arial"/>
          <w:sz w:val="32"/>
          <w:szCs w:val="32"/>
        </w:rPr>
        <w:t xml:space="preserve">: </w:t>
      </w:r>
      <w:r w:rsidR="009B28B0" w:rsidRPr="00EA627E">
        <w:rPr>
          <w:rFonts w:ascii="Arial" w:hAnsi="Arial" w:cs="Arial"/>
          <w:sz w:val="32"/>
          <w:szCs w:val="32"/>
        </w:rPr>
        <w:t>Children, Young People</w:t>
      </w:r>
      <w:r w:rsidR="00EA627E" w:rsidRPr="00EA627E">
        <w:rPr>
          <w:rFonts w:ascii="Arial" w:hAnsi="Arial" w:cs="Arial"/>
          <w:sz w:val="32"/>
          <w:szCs w:val="32"/>
        </w:rPr>
        <w:t>,</w:t>
      </w:r>
      <w:r w:rsidR="009B28B0" w:rsidRPr="00EA627E">
        <w:rPr>
          <w:rFonts w:ascii="Arial" w:hAnsi="Arial" w:cs="Arial"/>
          <w:sz w:val="32"/>
          <w:szCs w:val="32"/>
        </w:rPr>
        <w:t xml:space="preserve"> and Families</w:t>
      </w:r>
    </w:p>
    <w:p w14:paraId="4E5B279A" w14:textId="4CEDA5B9" w:rsidR="00074402" w:rsidRPr="00EA627E" w:rsidRDefault="00074402" w:rsidP="008D4A7C">
      <w:pPr>
        <w:tabs>
          <w:tab w:val="left" w:pos="6540"/>
        </w:tabs>
        <w:rPr>
          <w:rFonts w:ascii="Arial" w:hAnsi="Arial" w:cs="Arial"/>
          <w:b/>
          <w:bCs/>
          <w:sz w:val="32"/>
          <w:szCs w:val="32"/>
        </w:rPr>
      </w:pPr>
      <w:r w:rsidRPr="00EA627E">
        <w:rPr>
          <w:rFonts w:ascii="Arial" w:hAnsi="Arial" w:cs="Arial"/>
          <w:b/>
          <w:bCs/>
          <w:sz w:val="32"/>
          <w:szCs w:val="32"/>
        </w:rPr>
        <w:t>Module code</w:t>
      </w:r>
      <w:r w:rsidRPr="00EA627E">
        <w:rPr>
          <w:rFonts w:ascii="Arial" w:hAnsi="Arial" w:cs="Arial"/>
          <w:sz w:val="32"/>
          <w:szCs w:val="32"/>
        </w:rPr>
        <w:t>:</w:t>
      </w:r>
      <w:r w:rsidR="009B28B0" w:rsidRPr="00EA627E">
        <w:rPr>
          <w:rFonts w:ascii="Arial" w:hAnsi="Arial" w:cs="Arial"/>
          <w:sz w:val="32"/>
          <w:szCs w:val="32"/>
        </w:rPr>
        <w:t xml:space="preserve"> BMHP5004</w:t>
      </w:r>
    </w:p>
    <w:p w14:paraId="743BA44F" w14:textId="621DF621" w:rsidR="00402BB3" w:rsidRPr="00EA627E" w:rsidRDefault="00402BB3" w:rsidP="008D4A7C">
      <w:pPr>
        <w:tabs>
          <w:tab w:val="left" w:pos="6540"/>
        </w:tabs>
        <w:rPr>
          <w:rFonts w:ascii="Arial" w:hAnsi="Arial" w:cs="Arial"/>
          <w:b/>
          <w:bCs/>
          <w:sz w:val="32"/>
          <w:szCs w:val="32"/>
        </w:rPr>
      </w:pPr>
      <w:r w:rsidRPr="00EA627E">
        <w:rPr>
          <w:rFonts w:ascii="Arial" w:hAnsi="Arial" w:cs="Arial"/>
          <w:b/>
          <w:bCs/>
          <w:sz w:val="32"/>
          <w:szCs w:val="32"/>
        </w:rPr>
        <w:t xml:space="preserve">Lecture name: </w:t>
      </w:r>
      <w:r w:rsidRPr="00EA627E">
        <w:rPr>
          <w:rFonts w:ascii="Arial" w:hAnsi="Arial" w:cs="Arial"/>
          <w:sz w:val="32"/>
          <w:szCs w:val="32"/>
        </w:rPr>
        <w:t>Jolly Nwankwo</w:t>
      </w:r>
    </w:p>
    <w:p w14:paraId="71706501" w14:textId="25B38447" w:rsidR="00F75884" w:rsidRPr="00EA627E" w:rsidRDefault="00402BB3" w:rsidP="008D4A7C">
      <w:pPr>
        <w:tabs>
          <w:tab w:val="left" w:pos="6540"/>
        </w:tabs>
        <w:rPr>
          <w:rFonts w:ascii="Arial" w:hAnsi="Arial" w:cs="Arial"/>
          <w:sz w:val="32"/>
          <w:szCs w:val="32"/>
        </w:rPr>
      </w:pPr>
      <w:r w:rsidRPr="00EA627E">
        <w:rPr>
          <w:rFonts w:ascii="Arial" w:hAnsi="Arial" w:cs="Arial"/>
          <w:b/>
          <w:bCs/>
          <w:sz w:val="32"/>
          <w:szCs w:val="32"/>
        </w:rPr>
        <w:t xml:space="preserve">Student Name: </w:t>
      </w:r>
      <w:r w:rsidRPr="00EA627E">
        <w:rPr>
          <w:rFonts w:ascii="Arial" w:hAnsi="Arial" w:cs="Arial"/>
          <w:sz w:val="32"/>
          <w:szCs w:val="32"/>
        </w:rPr>
        <w:t>Portia Boateng Turkson</w:t>
      </w:r>
    </w:p>
    <w:p w14:paraId="367A96F9" w14:textId="1B4A302E" w:rsidR="00402BB3" w:rsidRPr="00EA627E" w:rsidRDefault="00402BB3" w:rsidP="008D4A7C">
      <w:pPr>
        <w:tabs>
          <w:tab w:val="left" w:pos="6540"/>
        </w:tabs>
        <w:rPr>
          <w:rFonts w:ascii="Arial" w:hAnsi="Arial" w:cs="Arial"/>
          <w:sz w:val="32"/>
          <w:szCs w:val="32"/>
        </w:rPr>
      </w:pPr>
      <w:r w:rsidRPr="00EA627E">
        <w:rPr>
          <w:rFonts w:ascii="Arial" w:hAnsi="Arial" w:cs="Arial"/>
          <w:b/>
          <w:bCs/>
          <w:sz w:val="32"/>
          <w:szCs w:val="32"/>
        </w:rPr>
        <w:t xml:space="preserve">Student ID: </w:t>
      </w:r>
      <w:r w:rsidRPr="00EA627E">
        <w:rPr>
          <w:rFonts w:ascii="Arial" w:hAnsi="Arial" w:cs="Arial"/>
          <w:sz w:val="32"/>
          <w:szCs w:val="32"/>
        </w:rPr>
        <w:t>2122363</w:t>
      </w:r>
    </w:p>
    <w:p w14:paraId="50F25A39" w14:textId="16C382F2" w:rsidR="00402BB3" w:rsidRPr="008D4A7C" w:rsidRDefault="00402BB3" w:rsidP="008D4A7C">
      <w:pPr>
        <w:tabs>
          <w:tab w:val="left" w:pos="6540"/>
        </w:tabs>
        <w:rPr>
          <w:rFonts w:ascii="Arial" w:hAnsi="Arial" w:cs="Arial"/>
          <w:b/>
          <w:bCs/>
          <w:sz w:val="22"/>
        </w:rPr>
      </w:pPr>
    </w:p>
    <w:p w14:paraId="6C38B1F4" w14:textId="77777777" w:rsidR="00F75884" w:rsidRPr="008D4A7C" w:rsidRDefault="00F75884" w:rsidP="008D4A7C">
      <w:pPr>
        <w:tabs>
          <w:tab w:val="left" w:pos="6540"/>
        </w:tabs>
        <w:rPr>
          <w:rFonts w:ascii="Arial" w:hAnsi="Arial" w:cs="Arial"/>
          <w:b/>
          <w:bCs/>
          <w:sz w:val="22"/>
        </w:rPr>
      </w:pPr>
    </w:p>
    <w:p w14:paraId="492CD516" w14:textId="53125F57" w:rsidR="00F75884" w:rsidRDefault="00F75884" w:rsidP="008D4A7C">
      <w:pPr>
        <w:tabs>
          <w:tab w:val="left" w:pos="6540"/>
        </w:tabs>
        <w:rPr>
          <w:rFonts w:ascii="Arial" w:hAnsi="Arial" w:cs="Arial"/>
          <w:b/>
          <w:bCs/>
          <w:sz w:val="22"/>
        </w:rPr>
      </w:pPr>
    </w:p>
    <w:p w14:paraId="5A9C0EBC" w14:textId="77777777" w:rsidR="008D4A7C" w:rsidRDefault="008D4A7C" w:rsidP="008D4A7C">
      <w:pPr>
        <w:tabs>
          <w:tab w:val="left" w:pos="6540"/>
        </w:tabs>
        <w:rPr>
          <w:rFonts w:ascii="Arial" w:hAnsi="Arial" w:cs="Arial"/>
          <w:b/>
          <w:bCs/>
          <w:sz w:val="22"/>
        </w:rPr>
      </w:pPr>
    </w:p>
    <w:p w14:paraId="5CB19CC6" w14:textId="77777777" w:rsidR="008D4A7C" w:rsidRDefault="008D4A7C" w:rsidP="008D4A7C">
      <w:pPr>
        <w:tabs>
          <w:tab w:val="left" w:pos="6540"/>
        </w:tabs>
        <w:rPr>
          <w:rFonts w:ascii="Arial" w:hAnsi="Arial" w:cs="Arial"/>
          <w:b/>
          <w:bCs/>
          <w:sz w:val="22"/>
        </w:rPr>
      </w:pPr>
    </w:p>
    <w:p w14:paraId="16C32FAE" w14:textId="77777777" w:rsidR="008D4A7C" w:rsidRDefault="008D4A7C" w:rsidP="008D4A7C">
      <w:pPr>
        <w:tabs>
          <w:tab w:val="left" w:pos="6540"/>
        </w:tabs>
        <w:rPr>
          <w:rFonts w:ascii="Arial" w:hAnsi="Arial" w:cs="Arial"/>
          <w:b/>
          <w:bCs/>
          <w:sz w:val="22"/>
        </w:rPr>
      </w:pPr>
    </w:p>
    <w:p w14:paraId="781D9008" w14:textId="1A461EA0" w:rsidR="002B2E7E" w:rsidRPr="00AE2888" w:rsidRDefault="002B2E7E" w:rsidP="00B07B64">
      <w:pPr>
        <w:pStyle w:val="TOCHeading"/>
      </w:pPr>
    </w:p>
    <w:p w14:paraId="0131F854" w14:textId="77777777" w:rsidR="00D71774" w:rsidRDefault="00D71774" w:rsidP="00762C8C">
      <w:pPr>
        <w:rPr>
          <w:rFonts w:ascii="Arial" w:hAnsi="Arial" w:cs="Arial"/>
          <w:sz w:val="32"/>
          <w:szCs w:val="32"/>
        </w:rPr>
      </w:pPr>
      <w:bookmarkStart w:id="0" w:name="_Toc142925912"/>
      <w:bookmarkStart w:id="1" w:name="_Toc143167080"/>
    </w:p>
    <w:p w14:paraId="1301A2A1" w14:textId="77777777" w:rsidR="00D71774" w:rsidRDefault="00D71774" w:rsidP="00762C8C">
      <w:pPr>
        <w:rPr>
          <w:rFonts w:ascii="Arial" w:hAnsi="Arial" w:cs="Arial"/>
          <w:sz w:val="32"/>
          <w:szCs w:val="32"/>
        </w:rPr>
      </w:pPr>
    </w:p>
    <w:p w14:paraId="6C6DBDEB" w14:textId="77777777" w:rsidR="00D71774" w:rsidRDefault="00D71774" w:rsidP="00762C8C">
      <w:pPr>
        <w:rPr>
          <w:rFonts w:ascii="Arial" w:hAnsi="Arial" w:cs="Arial"/>
          <w:sz w:val="32"/>
          <w:szCs w:val="32"/>
        </w:rPr>
      </w:pPr>
    </w:p>
    <w:p w14:paraId="4CD1012B" w14:textId="77777777" w:rsidR="00D71774" w:rsidRDefault="00D71774" w:rsidP="00762C8C">
      <w:pPr>
        <w:rPr>
          <w:rFonts w:ascii="Arial" w:hAnsi="Arial" w:cs="Arial"/>
          <w:sz w:val="32"/>
          <w:szCs w:val="32"/>
        </w:rPr>
      </w:pPr>
    </w:p>
    <w:p w14:paraId="42C76474" w14:textId="3FC21FEE" w:rsidR="006751F4" w:rsidRDefault="006751F4" w:rsidP="00762C8C">
      <w:pPr>
        <w:rPr>
          <w:rFonts w:ascii="Arial" w:hAnsi="Arial" w:cs="Arial"/>
          <w:sz w:val="32"/>
          <w:szCs w:val="32"/>
        </w:rPr>
      </w:pPr>
      <w:r>
        <w:rPr>
          <w:rFonts w:ascii="Arial" w:hAnsi="Arial" w:cs="Arial"/>
          <w:sz w:val="32"/>
          <w:szCs w:val="32"/>
        </w:rPr>
        <w:t>Introduction</w:t>
      </w:r>
    </w:p>
    <w:p w14:paraId="3FE28880" w14:textId="75907AE4" w:rsidR="00762C8C" w:rsidRPr="00771F16" w:rsidRDefault="00762C8C" w:rsidP="00762C8C">
      <w:pPr>
        <w:rPr>
          <w:rFonts w:ascii="Arial" w:hAnsi="Arial" w:cs="Arial"/>
          <w:sz w:val="32"/>
          <w:szCs w:val="32"/>
        </w:rPr>
      </w:pPr>
      <w:r w:rsidRPr="00771F16">
        <w:rPr>
          <w:rFonts w:ascii="Arial" w:hAnsi="Arial" w:cs="Arial"/>
          <w:sz w:val="32"/>
          <w:szCs w:val="32"/>
        </w:rPr>
        <w:t xml:space="preserve">Present the case </w:t>
      </w:r>
      <w:r w:rsidR="00771F16" w:rsidRPr="00771F16">
        <w:rPr>
          <w:rFonts w:ascii="Arial" w:hAnsi="Arial" w:cs="Arial"/>
          <w:sz w:val="32"/>
          <w:szCs w:val="32"/>
        </w:rPr>
        <w:t>study.</w:t>
      </w:r>
    </w:p>
    <w:p w14:paraId="20858343" w14:textId="7013D3DD" w:rsidR="00762C8C" w:rsidRPr="00771F16" w:rsidRDefault="00762C8C" w:rsidP="00762C8C">
      <w:pPr>
        <w:rPr>
          <w:rFonts w:ascii="Arial" w:hAnsi="Arial" w:cs="Arial"/>
          <w:sz w:val="32"/>
          <w:szCs w:val="32"/>
        </w:rPr>
      </w:pPr>
      <w:r w:rsidRPr="00771F16">
        <w:rPr>
          <w:rFonts w:ascii="Arial" w:hAnsi="Arial" w:cs="Arial"/>
          <w:sz w:val="32"/>
          <w:szCs w:val="32"/>
        </w:rPr>
        <w:t>Factors of vulnerability children, young people, and family within the case study</w:t>
      </w:r>
    </w:p>
    <w:p w14:paraId="60227B62" w14:textId="5BA956B9" w:rsidR="00762C8C" w:rsidRPr="00771F16" w:rsidRDefault="00762C8C" w:rsidP="00762C8C">
      <w:pPr>
        <w:rPr>
          <w:rFonts w:ascii="Arial" w:hAnsi="Arial" w:cs="Arial"/>
          <w:sz w:val="32"/>
          <w:szCs w:val="32"/>
        </w:rPr>
      </w:pPr>
      <w:r w:rsidRPr="00771F16">
        <w:rPr>
          <w:rFonts w:ascii="Arial" w:hAnsi="Arial" w:cs="Arial"/>
          <w:sz w:val="32"/>
          <w:szCs w:val="32"/>
        </w:rPr>
        <w:t xml:space="preserve">The impact of these factors </w:t>
      </w:r>
    </w:p>
    <w:p w14:paraId="32AA0127" w14:textId="0A70D878" w:rsidR="00762C8C" w:rsidRPr="00771F16" w:rsidRDefault="00762C8C" w:rsidP="00762C8C">
      <w:pPr>
        <w:rPr>
          <w:rFonts w:ascii="Arial" w:hAnsi="Arial" w:cs="Arial"/>
          <w:sz w:val="32"/>
          <w:szCs w:val="32"/>
        </w:rPr>
      </w:pPr>
      <w:r w:rsidRPr="00771F16">
        <w:rPr>
          <w:rFonts w:ascii="Arial" w:hAnsi="Arial" w:cs="Arial"/>
          <w:sz w:val="32"/>
          <w:szCs w:val="32"/>
        </w:rPr>
        <w:t xml:space="preserve">The process of intervention </w:t>
      </w:r>
    </w:p>
    <w:p w14:paraId="5032D693" w14:textId="45EDFFF2" w:rsidR="00762C8C" w:rsidRPr="00771F16" w:rsidRDefault="00771F16" w:rsidP="00762C8C">
      <w:pPr>
        <w:rPr>
          <w:rFonts w:ascii="Arial" w:hAnsi="Arial" w:cs="Arial"/>
          <w:sz w:val="32"/>
          <w:szCs w:val="32"/>
        </w:rPr>
      </w:pPr>
      <w:r w:rsidRPr="00771F16">
        <w:rPr>
          <w:rFonts w:ascii="Arial" w:hAnsi="Arial" w:cs="Arial"/>
          <w:sz w:val="32"/>
          <w:szCs w:val="32"/>
        </w:rPr>
        <w:t>The action</w:t>
      </w:r>
      <w:r w:rsidR="00762C8C" w:rsidRPr="00771F16">
        <w:rPr>
          <w:rFonts w:ascii="Arial" w:hAnsi="Arial" w:cs="Arial"/>
          <w:sz w:val="32"/>
          <w:szCs w:val="32"/>
        </w:rPr>
        <w:t xml:space="preserve"> of social services with </w:t>
      </w:r>
      <w:r w:rsidRPr="00771F16">
        <w:rPr>
          <w:rFonts w:ascii="Arial" w:hAnsi="Arial" w:cs="Arial"/>
          <w:sz w:val="32"/>
          <w:szCs w:val="32"/>
        </w:rPr>
        <w:t>the family</w:t>
      </w:r>
    </w:p>
    <w:p w14:paraId="26F080F3" w14:textId="3964B76C" w:rsidR="00771F16" w:rsidRPr="00771F16" w:rsidRDefault="00771F16" w:rsidP="00762C8C">
      <w:pPr>
        <w:rPr>
          <w:rFonts w:ascii="Arial" w:hAnsi="Arial" w:cs="Arial"/>
          <w:sz w:val="32"/>
          <w:szCs w:val="32"/>
        </w:rPr>
      </w:pPr>
      <w:r w:rsidRPr="00771F16">
        <w:rPr>
          <w:rFonts w:ascii="Arial" w:hAnsi="Arial" w:cs="Arial"/>
          <w:sz w:val="32"/>
          <w:szCs w:val="32"/>
        </w:rPr>
        <w:t>Result and the outcome</w:t>
      </w:r>
    </w:p>
    <w:p w14:paraId="36EA2C8B" w14:textId="7F8E2B1A" w:rsidR="00771F16" w:rsidRPr="00771F16" w:rsidRDefault="00771F16" w:rsidP="00762C8C">
      <w:pPr>
        <w:rPr>
          <w:rFonts w:ascii="Arial" w:hAnsi="Arial" w:cs="Arial"/>
          <w:sz w:val="32"/>
          <w:szCs w:val="32"/>
        </w:rPr>
      </w:pPr>
      <w:r w:rsidRPr="00771F16">
        <w:rPr>
          <w:rFonts w:ascii="Arial" w:hAnsi="Arial" w:cs="Arial"/>
          <w:sz w:val="32"/>
          <w:szCs w:val="32"/>
        </w:rPr>
        <w:t xml:space="preserve">Policy and legislation related to </w:t>
      </w:r>
      <w:r w:rsidR="00DA754F" w:rsidRPr="00771F16">
        <w:rPr>
          <w:rFonts w:ascii="Arial" w:hAnsi="Arial" w:cs="Arial"/>
          <w:sz w:val="32"/>
          <w:szCs w:val="32"/>
        </w:rPr>
        <w:t>safeguarding.</w:t>
      </w:r>
      <w:r w:rsidRPr="00771F16">
        <w:rPr>
          <w:rFonts w:ascii="Arial" w:hAnsi="Arial" w:cs="Arial"/>
          <w:sz w:val="32"/>
          <w:szCs w:val="32"/>
        </w:rPr>
        <w:t xml:space="preserve"> </w:t>
      </w:r>
    </w:p>
    <w:p w14:paraId="4A62F434" w14:textId="2D976129" w:rsidR="00771F16" w:rsidRPr="00771F16" w:rsidRDefault="00771F16" w:rsidP="00762C8C">
      <w:pPr>
        <w:rPr>
          <w:rFonts w:ascii="Arial" w:hAnsi="Arial" w:cs="Arial"/>
          <w:sz w:val="32"/>
          <w:szCs w:val="32"/>
        </w:rPr>
      </w:pPr>
      <w:r w:rsidRPr="00771F16">
        <w:rPr>
          <w:rFonts w:ascii="Arial" w:hAnsi="Arial" w:cs="Arial"/>
          <w:sz w:val="32"/>
          <w:szCs w:val="32"/>
        </w:rPr>
        <w:t>Theories guiding interventions of social services in case of safeguarding issues.</w:t>
      </w:r>
    </w:p>
    <w:p w14:paraId="3C69EB17" w14:textId="77777777" w:rsidR="00771F16" w:rsidRDefault="00771F16" w:rsidP="00762C8C">
      <w:pPr>
        <w:rPr>
          <w:rFonts w:ascii="Arial" w:hAnsi="Arial" w:cs="Arial"/>
          <w:sz w:val="32"/>
          <w:szCs w:val="32"/>
        </w:rPr>
      </w:pPr>
      <w:r w:rsidRPr="00771F16">
        <w:rPr>
          <w:rFonts w:ascii="Arial" w:hAnsi="Arial" w:cs="Arial"/>
          <w:sz w:val="32"/>
          <w:szCs w:val="32"/>
        </w:rPr>
        <w:t>Conclusion and Recommendation</w:t>
      </w:r>
    </w:p>
    <w:p w14:paraId="1AC7C6DF" w14:textId="0C0BD152" w:rsidR="00771F16" w:rsidRPr="00771F16" w:rsidRDefault="00771F16" w:rsidP="00762C8C">
      <w:pPr>
        <w:rPr>
          <w:rFonts w:ascii="Arial" w:hAnsi="Arial" w:cs="Arial"/>
          <w:sz w:val="32"/>
          <w:szCs w:val="32"/>
        </w:rPr>
      </w:pPr>
      <w:r w:rsidRPr="00771F16">
        <w:rPr>
          <w:rFonts w:ascii="Arial" w:hAnsi="Arial" w:cs="Arial"/>
          <w:sz w:val="32"/>
          <w:szCs w:val="32"/>
        </w:rPr>
        <w:t>References</w:t>
      </w:r>
    </w:p>
    <w:p w14:paraId="1600AD7B" w14:textId="77777777" w:rsidR="00762C8C" w:rsidRDefault="00762C8C" w:rsidP="00762C8C"/>
    <w:p w14:paraId="46C0A326" w14:textId="77777777" w:rsidR="00771F16" w:rsidRDefault="00771F16" w:rsidP="00762C8C"/>
    <w:p w14:paraId="0BD1869E" w14:textId="6D31C1C5" w:rsidR="00762C8C" w:rsidRPr="00762C8C" w:rsidRDefault="00762C8C" w:rsidP="00762C8C">
      <w:pPr>
        <w:sectPr w:rsidR="00762C8C" w:rsidRPr="00762C8C" w:rsidSect="005222F9">
          <w:footerReference w:type="default" r:id="rId8"/>
          <w:pgSz w:w="11906" w:h="16838"/>
          <w:pgMar w:top="1440" w:right="1440" w:bottom="1440" w:left="1440" w:header="708" w:footer="708" w:gutter="0"/>
          <w:cols w:space="708"/>
          <w:titlePg/>
          <w:docGrid w:linePitch="360"/>
        </w:sectPr>
      </w:pPr>
    </w:p>
    <w:p w14:paraId="0EB66CF1" w14:textId="1CE36E96" w:rsidR="00277FD0" w:rsidRPr="00596B23" w:rsidRDefault="00277FD0" w:rsidP="00277FD0">
      <w:pPr>
        <w:tabs>
          <w:tab w:val="left" w:pos="2709"/>
        </w:tabs>
        <w:rPr>
          <w:rFonts w:ascii="Arial" w:eastAsiaTheme="majorEastAsia" w:hAnsi="Arial" w:cs="Arial"/>
          <w:b/>
          <w:sz w:val="28"/>
          <w:szCs w:val="32"/>
        </w:rPr>
      </w:pPr>
    </w:p>
    <w:p w14:paraId="6E86B83C" w14:textId="2BED7E79" w:rsidR="00F75884" w:rsidRDefault="00F75884" w:rsidP="00B07B64">
      <w:pPr>
        <w:pStyle w:val="Heading1"/>
      </w:pPr>
      <w:r w:rsidRPr="00B07B64">
        <w:t>Introduction</w:t>
      </w:r>
      <w:bookmarkEnd w:id="0"/>
      <w:bookmarkEnd w:id="1"/>
    </w:p>
    <w:p w14:paraId="03062CDB" w14:textId="77777777" w:rsidR="00E8067A" w:rsidRPr="00E8067A" w:rsidRDefault="00E8067A" w:rsidP="00E8067A"/>
    <w:p w14:paraId="006E49A4" w14:textId="2370C178" w:rsidR="002B2E7E" w:rsidRPr="00596B23" w:rsidRDefault="007C62F4" w:rsidP="002B2E7E">
      <w:pPr>
        <w:rPr>
          <w:rFonts w:ascii="Arial" w:hAnsi="Arial" w:cs="Arial"/>
          <w:sz w:val="28"/>
          <w:szCs w:val="28"/>
        </w:rPr>
      </w:pPr>
      <w:r w:rsidRPr="00596B23">
        <w:rPr>
          <w:rFonts w:ascii="Arial" w:hAnsi="Arial" w:cs="Arial"/>
          <w:sz w:val="28"/>
          <w:szCs w:val="28"/>
        </w:rPr>
        <w:t>This</w:t>
      </w:r>
      <w:r w:rsidR="00111652">
        <w:rPr>
          <w:rFonts w:ascii="Arial" w:hAnsi="Arial" w:cs="Arial"/>
          <w:sz w:val="28"/>
          <w:szCs w:val="28"/>
        </w:rPr>
        <w:t xml:space="preserve"> is</w:t>
      </w:r>
      <w:r w:rsidRPr="00596B23">
        <w:rPr>
          <w:rFonts w:ascii="Arial" w:hAnsi="Arial" w:cs="Arial"/>
          <w:sz w:val="28"/>
          <w:szCs w:val="28"/>
        </w:rPr>
        <w:t xml:space="preserve"> </w:t>
      </w:r>
      <w:r w:rsidR="00111652">
        <w:rPr>
          <w:rFonts w:ascii="Arial" w:hAnsi="Arial" w:cs="Arial"/>
          <w:sz w:val="28"/>
          <w:szCs w:val="28"/>
        </w:rPr>
        <w:t>Bradford's</w:t>
      </w:r>
      <w:r w:rsidRPr="00596B23">
        <w:rPr>
          <w:rFonts w:ascii="Arial" w:hAnsi="Arial" w:cs="Arial"/>
          <w:sz w:val="28"/>
          <w:szCs w:val="28"/>
        </w:rPr>
        <w:t xml:space="preserve"> </w:t>
      </w:r>
      <w:r w:rsidR="00500650">
        <w:rPr>
          <w:rFonts w:ascii="Arial" w:hAnsi="Arial" w:cs="Arial"/>
          <w:sz w:val="28"/>
          <w:szCs w:val="28"/>
        </w:rPr>
        <w:t xml:space="preserve">case study, </w:t>
      </w:r>
      <w:r w:rsidRPr="00596B23">
        <w:rPr>
          <w:rFonts w:ascii="Arial" w:hAnsi="Arial" w:cs="Arial"/>
          <w:sz w:val="28"/>
          <w:szCs w:val="28"/>
        </w:rPr>
        <w:t xml:space="preserve">family's </w:t>
      </w:r>
      <w:r w:rsidR="00600E32">
        <w:rPr>
          <w:rFonts w:ascii="Arial" w:hAnsi="Arial" w:cs="Arial"/>
          <w:sz w:val="28"/>
          <w:szCs w:val="28"/>
        </w:rPr>
        <w:t>Transformation</w:t>
      </w:r>
      <w:r w:rsidRPr="00596B23">
        <w:rPr>
          <w:rFonts w:ascii="Arial" w:hAnsi="Arial" w:cs="Arial"/>
          <w:sz w:val="28"/>
          <w:szCs w:val="28"/>
        </w:rPr>
        <w:t xml:space="preserve">, </w:t>
      </w:r>
      <w:r w:rsidR="00111652">
        <w:rPr>
          <w:rFonts w:ascii="Arial" w:hAnsi="Arial" w:cs="Arial"/>
          <w:sz w:val="28"/>
          <w:szCs w:val="28"/>
        </w:rPr>
        <w:t xml:space="preserve">which </w:t>
      </w:r>
      <w:r w:rsidR="00500650">
        <w:rPr>
          <w:rFonts w:ascii="Arial" w:hAnsi="Arial" w:cs="Arial"/>
          <w:sz w:val="28"/>
          <w:szCs w:val="28"/>
        </w:rPr>
        <w:t>highlights</w:t>
      </w:r>
      <w:r w:rsidRPr="00596B23">
        <w:rPr>
          <w:rFonts w:ascii="Arial" w:hAnsi="Arial" w:cs="Arial"/>
          <w:sz w:val="28"/>
          <w:szCs w:val="28"/>
        </w:rPr>
        <w:t xml:space="preserve"> the need for focused intervention strategies in preserving at-risk families. This </w:t>
      </w:r>
      <w:r w:rsidR="00600E32">
        <w:rPr>
          <w:rFonts w:ascii="Arial" w:hAnsi="Arial" w:cs="Arial"/>
          <w:sz w:val="28"/>
          <w:szCs w:val="28"/>
        </w:rPr>
        <w:t xml:space="preserve">case study </w:t>
      </w:r>
      <w:r w:rsidRPr="00596B23">
        <w:rPr>
          <w:rFonts w:ascii="Arial" w:hAnsi="Arial" w:cs="Arial"/>
          <w:sz w:val="28"/>
          <w:szCs w:val="28"/>
        </w:rPr>
        <w:t xml:space="preserve">examines the theories, policies, actions, outcomes, and suggestions that changed during the intervention to shed light on safeguarding </w:t>
      </w:r>
      <w:r w:rsidR="00EA627E" w:rsidRPr="00596B23">
        <w:rPr>
          <w:rFonts w:ascii="Arial" w:hAnsi="Arial" w:cs="Arial"/>
          <w:sz w:val="28"/>
          <w:szCs w:val="28"/>
        </w:rPr>
        <w:t>programs'</w:t>
      </w:r>
      <w:r w:rsidRPr="00596B23">
        <w:rPr>
          <w:rFonts w:ascii="Arial" w:hAnsi="Arial" w:cs="Arial"/>
          <w:sz w:val="28"/>
          <w:szCs w:val="28"/>
        </w:rPr>
        <w:t xml:space="preserve"> complex dynamics (Nyabanyaba, 2009). The positive transformation and vulnerable family </w:t>
      </w:r>
      <w:r w:rsidR="00EA627E" w:rsidRPr="00596B23">
        <w:rPr>
          <w:rFonts w:ascii="Arial" w:hAnsi="Arial" w:cs="Arial"/>
          <w:sz w:val="28"/>
          <w:szCs w:val="28"/>
        </w:rPr>
        <w:t>well-being</w:t>
      </w:r>
      <w:r w:rsidR="002B2E7E" w:rsidRPr="00596B23">
        <w:rPr>
          <w:rFonts w:ascii="Arial" w:hAnsi="Arial" w:cs="Arial"/>
          <w:sz w:val="28"/>
          <w:szCs w:val="28"/>
        </w:rPr>
        <w:t>.</w:t>
      </w:r>
    </w:p>
    <w:p w14:paraId="5DF65608" w14:textId="77777777" w:rsidR="00231AFA" w:rsidRPr="00596B23" w:rsidRDefault="00231AFA" w:rsidP="00A40225">
      <w:pPr>
        <w:rPr>
          <w:rFonts w:ascii="Arial" w:hAnsi="Arial" w:cs="Arial"/>
          <w:sz w:val="28"/>
          <w:szCs w:val="28"/>
        </w:rPr>
      </w:pPr>
      <w:r w:rsidRPr="00596B23">
        <w:rPr>
          <w:rFonts w:ascii="Arial" w:hAnsi="Arial" w:cs="Arial"/>
          <w:noProof/>
          <w:sz w:val="28"/>
          <w:szCs w:val="28"/>
          <w:lang w:val="en-US"/>
        </w:rPr>
        <w:drawing>
          <wp:inline distT="0" distB="0" distL="0" distR="0" wp14:anchorId="20055511" wp14:editId="079D2C6B">
            <wp:extent cx="1971675" cy="2190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71675" cy="219075"/>
                    </a:xfrm>
                    <a:prstGeom prst="rect">
                      <a:avLst/>
                    </a:prstGeom>
                  </pic:spPr>
                </pic:pic>
              </a:graphicData>
            </a:graphic>
          </wp:inline>
        </w:drawing>
      </w:r>
    </w:p>
    <w:p w14:paraId="20251FC7" w14:textId="412B35D3" w:rsidR="00F62A9C" w:rsidRPr="00596B23" w:rsidRDefault="00F62A9C" w:rsidP="00F62A9C">
      <w:pPr>
        <w:pStyle w:val="NormalWeb"/>
        <w:spacing w:line="360" w:lineRule="auto"/>
        <w:jc w:val="both"/>
        <w:rPr>
          <w:rFonts w:ascii="Arial" w:hAnsi="Arial" w:cs="Arial"/>
          <w:color w:val="252525"/>
          <w:sz w:val="28"/>
          <w:szCs w:val="28"/>
        </w:rPr>
      </w:pPr>
      <w:r w:rsidRPr="00596B23">
        <w:rPr>
          <w:rFonts w:ascii="Arial" w:hAnsi="Arial" w:cs="Arial"/>
          <w:color w:val="252525"/>
          <w:sz w:val="28"/>
          <w:szCs w:val="28"/>
        </w:rPr>
        <w:t>In Bradford, Julie is a single mother of six. Prostitution and heroin usage caused Julie's neglect and school absences</w:t>
      </w:r>
      <w:r w:rsidR="00EA627E" w:rsidRPr="00596B23">
        <w:rPr>
          <w:rFonts w:ascii="Arial" w:hAnsi="Arial" w:cs="Arial"/>
          <w:color w:val="252525"/>
          <w:sz w:val="28"/>
          <w:szCs w:val="28"/>
        </w:rPr>
        <w:t>: antisocial</w:t>
      </w:r>
      <w:r w:rsidRPr="00596B23">
        <w:rPr>
          <w:rFonts w:ascii="Arial" w:hAnsi="Arial" w:cs="Arial"/>
          <w:color w:val="252525"/>
          <w:sz w:val="28"/>
          <w:szCs w:val="28"/>
        </w:rPr>
        <w:t xml:space="preserve"> </w:t>
      </w:r>
      <w:r w:rsidR="00EA627E" w:rsidRPr="00596B23">
        <w:rPr>
          <w:rFonts w:ascii="Arial" w:hAnsi="Arial" w:cs="Arial"/>
          <w:color w:val="252525"/>
          <w:sz w:val="28"/>
          <w:szCs w:val="28"/>
        </w:rPr>
        <w:t>behaviour</w:t>
      </w:r>
      <w:r w:rsidRPr="00596B23">
        <w:rPr>
          <w:rFonts w:ascii="Arial" w:hAnsi="Arial" w:cs="Arial"/>
          <w:color w:val="252525"/>
          <w:sz w:val="28"/>
          <w:szCs w:val="28"/>
        </w:rPr>
        <w:t xml:space="preserve"> and vandalism complicated housing difficulties. A key worker directed Julie to drug support and literacy </w:t>
      </w:r>
      <w:r w:rsidR="00EA627E" w:rsidRPr="00596B23">
        <w:rPr>
          <w:rFonts w:ascii="Arial" w:hAnsi="Arial" w:cs="Arial"/>
          <w:color w:val="252525"/>
          <w:sz w:val="28"/>
          <w:szCs w:val="28"/>
        </w:rPr>
        <w:t>programs</w:t>
      </w:r>
      <w:r w:rsidRPr="00596B23">
        <w:rPr>
          <w:rFonts w:ascii="Arial" w:hAnsi="Arial" w:cs="Arial"/>
          <w:color w:val="252525"/>
          <w:sz w:val="28"/>
          <w:szCs w:val="28"/>
        </w:rPr>
        <w:t xml:space="preserve">, which improved her </w:t>
      </w:r>
      <w:r w:rsidR="00EA627E" w:rsidRPr="00596B23">
        <w:rPr>
          <w:rFonts w:ascii="Arial" w:hAnsi="Arial" w:cs="Arial"/>
          <w:color w:val="252525"/>
          <w:sz w:val="28"/>
          <w:szCs w:val="28"/>
        </w:rPr>
        <w:t>behaviour</w:t>
      </w:r>
      <w:r w:rsidRPr="00596B23">
        <w:rPr>
          <w:rFonts w:ascii="Arial" w:hAnsi="Arial" w:cs="Arial"/>
          <w:color w:val="252525"/>
          <w:sz w:val="28"/>
          <w:szCs w:val="28"/>
        </w:rPr>
        <w:t xml:space="preserve"> and reduced her crime. Aunt Sonia improved her parenting with a loving plan and </w:t>
      </w:r>
      <w:r w:rsidR="00111652">
        <w:rPr>
          <w:rFonts w:ascii="Arial" w:hAnsi="Arial" w:cs="Arial"/>
          <w:color w:val="252525"/>
          <w:sz w:val="28"/>
          <w:szCs w:val="28"/>
        </w:rPr>
        <w:t>financial</w:t>
      </w:r>
      <w:r w:rsidRPr="00596B23">
        <w:rPr>
          <w:rFonts w:ascii="Arial" w:hAnsi="Arial" w:cs="Arial"/>
          <w:color w:val="252525"/>
          <w:sz w:val="28"/>
          <w:szCs w:val="28"/>
        </w:rPr>
        <w:t xml:space="preserve"> help (Yarnal, 2016). </w:t>
      </w:r>
      <w:r w:rsidR="00EA627E" w:rsidRPr="00596B23">
        <w:rPr>
          <w:rFonts w:ascii="Arial" w:hAnsi="Arial" w:cs="Arial"/>
          <w:color w:val="252525"/>
          <w:sz w:val="28"/>
          <w:szCs w:val="28"/>
        </w:rPr>
        <w:t>Tom</w:t>
      </w:r>
      <w:r w:rsidRPr="00596B23">
        <w:rPr>
          <w:rFonts w:ascii="Arial" w:hAnsi="Arial" w:cs="Arial"/>
          <w:color w:val="252525"/>
          <w:sz w:val="28"/>
          <w:szCs w:val="28"/>
        </w:rPr>
        <w:t xml:space="preserve"> turned his back on </w:t>
      </w:r>
      <w:r w:rsidR="00EA627E" w:rsidRPr="00596B23">
        <w:rPr>
          <w:rFonts w:ascii="Arial" w:hAnsi="Arial" w:cs="Arial"/>
          <w:color w:val="252525"/>
          <w:sz w:val="28"/>
          <w:szCs w:val="28"/>
        </w:rPr>
        <w:t>offense</w:t>
      </w:r>
      <w:r w:rsidRPr="00596B23">
        <w:rPr>
          <w:rFonts w:ascii="Arial" w:hAnsi="Arial" w:cs="Arial"/>
          <w:color w:val="252525"/>
          <w:sz w:val="28"/>
          <w:szCs w:val="28"/>
        </w:rPr>
        <w:t>, and the family attended school more. Housing association supervision and a permanent lease provided long-term stability</w:t>
      </w:r>
      <w:r w:rsidR="00FE017D">
        <w:rPr>
          <w:rFonts w:ascii="Arial" w:hAnsi="Arial" w:cs="Arial"/>
          <w:color w:val="252525"/>
          <w:sz w:val="28"/>
          <w:szCs w:val="28"/>
        </w:rPr>
        <w:t>.</w:t>
      </w:r>
    </w:p>
    <w:p w14:paraId="010978AD" w14:textId="3DEBCDBC" w:rsidR="00A40225" w:rsidRDefault="00231AFA" w:rsidP="00A40225">
      <w:r>
        <w:rPr>
          <w:noProof/>
          <w:lang w:val="en-US"/>
        </w:rPr>
        <w:drawing>
          <wp:inline distT="0" distB="0" distL="0" distR="0" wp14:anchorId="60337079" wp14:editId="490C7B86">
            <wp:extent cx="5731510" cy="65341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653415"/>
                    </a:xfrm>
                    <a:prstGeom prst="rect">
                      <a:avLst/>
                    </a:prstGeom>
                  </pic:spPr>
                </pic:pic>
              </a:graphicData>
            </a:graphic>
          </wp:inline>
        </w:drawing>
      </w:r>
      <w:r w:rsidR="00F56C4D" w:rsidRPr="00596B23">
        <w:rPr>
          <w:rFonts w:ascii="Arial" w:hAnsi="Arial" w:cs="Arial"/>
          <w:sz w:val="28"/>
          <w:szCs w:val="28"/>
        </w:rPr>
        <w:t xml:space="preserve">The Bradford case study shows </w:t>
      </w:r>
      <w:r w:rsidR="00B07B64">
        <w:rPr>
          <w:rFonts w:ascii="Arial" w:hAnsi="Arial" w:cs="Arial"/>
          <w:sz w:val="28"/>
          <w:szCs w:val="28"/>
        </w:rPr>
        <w:t>children</w:t>
      </w:r>
      <w:r w:rsidR="00F56C4D" w:rsidRPr="00596B23">
        <w:rPr>
          <w:rFonts w:ascii="Arial" w:hAnsi="Arial" w:cs="Arial"/>
          <w:sz w:val="28"/>
          <w:szCs w:val="28"/>
        </w:rPr>
        <w:t xml:space="preserve">, teenagers, and families' weaknesses. Single parenthood makes it hard for Julie to </w:t>
      </w:r>
      <w:r w:rsidR="006751F4">
        <w:rPr>
          <w:rFonts w:ascii="Arial" w:hAnsi="Arial" w:cs="Arial"/>
          <w:sz w:val="28"/>
          <w:szCs w:val="28"/>
        </w:rPr>
        <w:t>give her children</w:t>
      </w:r>
      <w:r w:rsidR="00EA627E" w:rsidRPr="00596B23">
        <w:rPr>
          <w:rFonts w:ascii="Arial" w:hAnsi="Arial" w:cs="Arial"/>
          <w:sz w:val="28"/>
          <w:szCs w:val="28"/>
        </w:rPr>
        <w:t xml:space="preserve"> </w:t>
      </w:r>
      <w:r w:rsidR="00F56C4D" w:rsidRPr="00596B23">
        <w:rPr>
          <w:rFonts w:ascii="Arial" w:hAnsi="Arial" w:cs="Arial"/>
          <w:sz w:val="28"/>
          <w:szCs w:val="28"/>
        </w:rPr>
        <w:t xml:space="preserve">the time and support they need. Her heroin addiction, criminal activity, sporadic school attendance, absence of </w:t>
      </w:r>
      <w:r w:rsidR="00EA627E" w:rsidRPr="00596B23">
        <w:rPr>
          <w:rFonts w:ascii="Arial" w:hAnsi="Arial" w:cs="Arial"/>
          <w:sz w:val="28"/>
          <w:szCs w:val="28"/>
        </w:rPr>
        <w:t>immunizations</w:t>
      </w:r>
      <w:r w:rsidR="00F56C4D" w:rsidRPr="00596B23">
        <w:rPr>
          <w:rFonts w:ascii="Arial" w:hAnsi="Arial" w:cs="Arial"/>
          <w:sz w:val="28"/>
          <w:szCs w:val="28"/>
        </w:rPr>
        <w:t xml:space="preserve">, and lack of routines endanger the </w:t>
      </w:r>
      <w:r w:rsidR="00A76F24">
        <w:rPr>
          <w:rFonts w:ascii="Arial" w:hAnsi="Arial" w:cs="Arial"/>
          <w:sz w:val="28"/>
          <w:szCs w:val="28"/>
        </w:rPr>
        <w:t xml:space="preserve">children </w:t>
      </w:r>
      <w:r w:rsidR="00F56C4D" w:rsidRPr="00596B23">
        <w:rPr>
          <w:rFonts w:ascii="Arial" w:hAnsi="Arial" w:cs="Arial"/>
          <w:sz w:val="28"/>
          <w:szCs w:val="28"/>
        </w:rPr>
        <w:t xml:space="preserve">(Arun, 2012). The family's disruptive, criminal, and unruly attitude alienates the community, which resents them. </w:t>
      </w:r>
      <w:r w:rsidR="00F56C4D" w:rsidRPr="00596B23">
        <w:rPr>
          <w:rFonts w:ascii="Arial" w:hAnsi="Arial" w:cs="Arial"/>
          <w:sz w:val="28"/>
          <w:szCs w:val="28"/>
        </w:rPr>
        <w:lastRenderedPageBreak/>
        <w:t xml:space="preserve">Mistrust of services and lack of stable housing add to </w:t>
      </w:r>
      <w:r w:rsidR="00EA627E" w:rsidRPr="00596B23">
        <w:rPr>
          <w:rFonts w:ascii="Arial" w:hAnsi="Arial" w:cs="Arial"/>
          <w:sz w:val="28"/>
          <w:szCs w:val="28"/>
        </w:rPr>
        <w:t xml:space="preserve">the </w:t>
      </w:r>
      <w:r w:rsidR="00F56C4D" w:rsidRPr="00596B23">
        <w:rPr>
          <w:rFonts w:ascii="Arial" w:hAnsi="Arial" w:cs="Arial"/>
          <w:sz w:val="28"/>
          <w:szCs w:val="28"/>
        </w:rPr>
        <w:t>stress. The youth offending team's contact with Tom perpetuates crime. Instability and maltreatment also severely impact children emotionally</w:t>
      </w:r>
      <w:r w:rsidR="00A2278E" w:rsidRPr="00596B23">
        <w:rPr>
          <w:rFonts w:ascii="Arial" w:hAnsi="Arial" w:cs="Arial"/>
          <w:sz w:val="28"/>
          <w:szCs w:val="28"/>
        </w:rPr>
        <w:t>.</w:t>
      </w:r>
    </w:p>
    <w:p w14:paraId="13A4AFBC" w14:textId="627C6E0D" w:rsidR="00A40225" w:rsidRDefault="00231AFA" w:rsidP="00B07B64">
      <w:pPr>
        <w:pStyle w:val="Heading1"/>
      </w:pPr>
      <w:r>
        <w:rPr>
          <w:noProof/>
          <w:lang w:val="en-US"/>
        </w:rPr>
        <w:drawing>
          <wp:inline distT="0" distB="0" distL="0" distR="0" wp14:anchorId="5A96D54B" wp14:editId="67817FA7">
            <wp:extent cx="5305425" cy="2667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05425" cy="266700"/>
                    </a:xfrm>
                    <a:prstGeom prst="rect">
                      <a:avLst/>
                    </a:prstGeom>
                  </pic:spPr>
                </pic:pic>
              </a:graphicData>
            </a:graphic>
          </wp:inline>
        </w:drawing>
      </w:r>
    </w:p>
    <w:p w14:paraId="7E4157A9" w14:textId="6CDBEC7F" w:rsidR="00A40225" w:rsidRPr="00596B23" w:rsidRDefault="007C62F4" w:rsidP="007D43ED">
      <w:pPr>
        <w:rPr>
          <w:rFonts w:ascii="Arial" w:hAnsi="Arial" w:cs="Arial"/>
          <w:sz w:val="28"/>
          <w:szCs w:val="28"/>
        </w:rPr>
      </w:pPr>
      <w:r w:rsidRPr="00596B23">
        <w:rPr>
          <w:rFonts w:ascii="Arial" w:hAnsi="Arial" w:cs="Arial"/>
          <w:sz w:val="28"/>
          <w:szCs w:val="28"/>
        </w:rPr>
        <w:t xml:space="preserve">The Bradford case's vulnerabilities affect children and youth profoundly. The unstable family environment, criminal behaviour, and neglect can induce mental distress and confusion. Regular school absences and community animosity isolate children, decreasing peer </w:t>
      </w:r>
      <w:r w:rsidR="00596B23" w:rsidRPr="00596B23">
        <w:rPr>
          <w:rFonts w:ascii="Arial" w:hAnsi="Arial" w:cs="Arial"/>
          <w:sz w:val="28"/>
          <w:szCs w:val="28"/>
        </w:rPr>
        <w:t>contact</w:t>
      </w:r>
      <w:r w:rsidRPr="00596B23">
        <w:rPr>
          <w:rFonts w:ascii="Arial" w:hAnsi="Arial" w:cs="Arial"/>
          <w:sz w:val="28"/>
          <w:szCs w:val="28"/>
        </w:rPr>
        <w:t xml:space="preserve"> and intellectual growth (Galatti, 2022). Family substance abuse and criminal activity increase safety issues. Criminal and neglect-related trauma can have long-term psychological effects.</w:t>
      </w:r>
      <w:r w:rsidR="0026006B">
        <w:rPr>
          <w:rFonts w:ascii="Arial" w:hAnsi="Arial" w:cs="Arial"/>
          <w:sz w:val="28"/>
          <w:szCs w:val="28"/>
        </w:rPr>
        <w:t xml:space="preserve"> </w:t>
      </w:r>
      <w:r w:rsidRPr="00596B23">
        <w:rPr>
          <w:rFonts w:ascii="Arial" w:hAnsi="Arial" w:cs="Arial"/>
          <w:sz w:val="28"/>
          <w:szCs w:val="28"/>
        </w:rPr>
        <w:t>These factors lower self-esteem and may create health issues, perpetuating vulnerability</w:t>
      </w:r>
      <w:r w:rsidR="00A2278E" w:rsidRPr="00596B23">
        <w:rPr>
          <w:rFonts w:ascii="Arial" w:hAnsi="Arial" w:cs="Arial"/>
          <w:sz w:val="28"/>
          <w:szCs w:val="28"/>
        </w:rPr>
        <w:t>.</w:t>
      </w:r>
    </w:p>
    <w:p w14:paraId="22DB09E8" w14:textId="03962D37" w:rsidR="00A40225" w:rsidRDefault="00231AFA" w:rsidP="007D43ED">
      <w:r>
        <w:rPr>
          <w:noProof/>
          <w:lang w:val="en-US"/>
        </w:rPr>
        <w:drawing>
          <wp:inline distT="0" distB="0" distL="0" distR="0" wp14:anchorId="1C924E25" wp14:editId="4AED49F6">
            <wp:extent cx="5731510" cy="561975"/>
            <wp:effectExtent l="0" t="0" r="254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61975"/>
                    </a:xfrm>
                    <a:prstGeom prst="rect">
                      <a:avLst/>
                    </a:prstGeom>
                  </pic:spPr>
                </pic:pic>
              </a:graphicData>
            </a:graphic>
          </wp:inline>
        </w:drawing>
      </w:r>
      <w:r w:rsidR="00F56C4D" w:rsidRPr="00596B23">
        <w:rPr>
          <w:rFonts w:ascii="Arial" w:hAnsi="Arial" w:cs="Arial"/>
          <w:sz w:val="28"/>
          <w:szCs w:val="28"/>
        </w:rPr>
        <w:t xml:space="preserve">In Bradford, relevant health and social care groups began a complex intervention to help the family. Given </w:t>
      </w:r>
      <w:r w:rsidR="00A76F24">
        <w:rPr>
          <w:rFonts w:ascii="Arial" w:hAnsi="Arial" w:cs="Arial"/>
          <w:sz w:val="28"/>
          <w:szCs w:val="28"/>
        </w:rPr>
        <w:t>the children and youth's challenges</w:t>
      </w:r>
      <w:r w:rsidR="00F56C4D" w:rsidRPr="00596B23">
        <w:rPr>
          <w:rFonts w:ascii="Arial" w:hAnsi="Arial" w:cs="Arial"/>
          <w:sz w:val="28"/>
          <w:szCs w:val="28"/>
        </w:rPr>
        <w:t xml:space="preserve">, a key worker was recruited to manage the intervention. Julie </w:t>
      </w:r>
      <w:r w:rsidR="00B21DEA">
        <w:rPr>
          <w:rFonts w:ascii="Arial" w:hAnsi="Arial" w:cs="Arial"/>
          <w:sz w:val="28"/>
          <w:szCs w:val="28"/>
        </w:rPr>
        <w:t>went</w:t>
      </w:r>
      <w:r w:rsidR="00F56C4D" w:rsidRPr="00596B23">
        <w:rPr>
          <w:rFonts w:ascii="Arial" w:hAnsi="Arial" w:cs="Arial"/>
          <w:sz w:val="28"/>
          <w:szCs w:val="28"/>
        </w:rPr>
        <w:t xml:space="preserve"> to a local drug assistance programme to quit heroin and cease committing crimes (Maroof, 2015). The Family Links Nurturing Programme helped Sonia enhance her parenting and relationship skills. The main worker advised on budgeting, debt management, and everyday responsibilities. Cooperation with other agencies improved the children's school attendance, and Tom completed his juvenile offending team order</w:t>
      </w:r>
      <w:r w:rsidR="00A2278E" w:rsidRPr="00596B23">
        <w:rPr>
          <w:rFonts w:ascii="Arial" w:hAnsi="Arial" w:cs="Arial"/>
          <w:sz w:val="28"/>
          <w:szCs w:val="28"/>
        </w:rPr>
        <w:t>.</w:t>
      </w:r>
    </w:p>
    <w:p w14:paraId="4817DDE0" w14:textId="15D447F7" w:rsidR="00A40225" w:rsidRDefault="00231AFA" w:rsidP="00B07B64">
      <w:pPr>
        <w:pStyle w:val="Heading1"/>
      </w:pPr>
      <w:r>
        <w:rPr>
          <w:noProof/>
          <w:lang w:val="en-US"/>
        </w:rPr>
        <w:drawing>
          <wp:inline distT="0" distB="0" distL="0" distR="0" wp14:anchorId="0BD99817" wp14:editId="35AC572A">
            <wp:extent cx="3533775" cy="2762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33775" cy="276225"/>
                    </a:xfrm>
                    <a:prstGeom prst="rect">
                      <a:avLst/>
                    </a:prstGeom>
                  </pic:spPr>
                </pic:pic>
              </a:graphicData>
            </a:graphic>
          </wp:inline>
        </w:drawing>
      </w:r>
    </w:p>
    <w:p w14:paraId="0B7C43A3" w14:textId="48A1FCA0" w:rsidR="004128E2" w:rsidRPr="00596B23" w:rsidRDefault="00F56C4D" w:rsidP="007D43ED">
      <w:pPr>
        <w:rPr>
          <w:rFonts w:ascii="Arial" w:hAnsi="Arial" w:cs="Arial"/>
          <w:sz w:val="28"/>
          <w:szCs w:val="28"/>
        </w:rPr>
      </w:pPr>
      <w:r w:rsidRPr="00596B23">
        <w:rPr>
          <w:rFonts w:ascii="Arial" w:hAnsi="Arial" w:cs="Arial"/>
          <w:sz w:val="28"/>
          <w:szCs w:val="28"/>
        </w:rPr>
        <w:t xml:space="preserve">In Bradford, social services took proactive steps to improve the family's health and address their vulnerabilities. The family's diverse needs were known by social services' key </w:t>
      </w:r>
      <w:r w:rsidR="00596B23" w:rsidRPr="00596B23">
        <w:rPr>
          <w:rFonts w:ascii="Arial" w:hAnsi="Arial" w:cs="Arial"/>
          <w:sz w:val="28"/>
          <w:szCs w:val="28"/>
        </w:rPr>
        <w:t>workers</w:t>
      </w:r>
      <w:r w:rsidRPr="00596B23">
        <w:rPr>
          <w:rFonts w:ascii="Arial" w:hAnsi="Arial" w:cs="Arial"/>
          <w:sz w:val="28"/>
          <w:szCs w:val="28"/>
        </w:rPr>
        <w:t xml:space="preserve">, who helped arrange therapies </w:t>
      </w:r>
      <w:r w:rsidRPr="00596B23">
        <w:rPr>
          <w:rFonts w:ascii="Arial" w:hAnsi="Arial" w:cs="Arial"/>
          <w:sz w:val="28"/>
          <w:szCs w:val="28"/>
        </w:rPr>
        <w:lastRenderedPageBreak/>
        <w:t>(Sakasa, 2005). They helped Julie join a community drug treatment to overcome addiction and crime. Sonia's parenting skills improved with Family Links Nurturing Programme instruction. The key worker also helped with routines, debt management, and budgets. Working with other agencies, social services helped Tom complete his juvenile offending team order and improved the children's school attendance</w:t>
      </w:r>
      <w:r w:rsidR="007D43ED" w:rsidRPr="00596B23">
        <w:rPr>
          <w:rFonts w:ascii="Arial" w:hAnsi="Arial" w:cs="Arial"/>
          <w:sz w:val="28"/>
          <w:szCs w:val="28"/>
        </w:rPr>
        <w:t xml:space="preserve"> (Stevens and Morris, 2016)</w:t>
      </w:r>
      <w:r w:rsidR="00A2278E" w:rsidRPr="00596B23">
        <w:rPr>
          <w:rFonts w:ascii="Arial" w:hAnsi="Arial" w:cs="Arial"/>
          <w:sz w:val="28"/>
          <w:szCs w:val="28"/>
        </w:rPr>
        <w:t>.</w:t>
      </w:r>
    </w:p>
    <w:p w14:paraId="4FDB68CF" w14:textId="77777777" w:rsidR="00152E89" w:rsidRDefault="00152E89" w:rsidP="007D43ED"/>
    <w:p w14:paraId="3E9155CB" w14:textId="0844BB8B" w:rsidR="00231AFA" w:rsidRDefault="00231AFA" w:rsidP="007D43ED">
      <w:r>
        <w:rPr>
          <w:noProof/>
          <w:lang w:val="en-US"/>
        </w:rPr>
        <w:drawing>
          <wp:inline distT="0" distB="0" distL="0" distR="0" wp14:anchorId="15E5D07D" wp14:editId="2C7BF7EB">
            <wp:extent cx="2009775" cy="2857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09775" cy="285750"/>
                    </a:xfrm>
                    <a:prstGeom prst="rect">
                      <a:avLst/>
                    </a:prstGeom>
                  </pic:spPr>
                </pic:pic>
              </a:graphicData>
            </a:graphic>
          </wp:inline>
        </w:drawing>
      </w:r>
    </w:p>
    <w:p w14:paraId="3B60C23C" w14:textId="660BA329" w:rsidR="007D43ED" w:rsidRPr="00024082" w:rsidRDefault="007D43ED" w:rsidP="007D43ED">
      <w:pPr>
        <w:pStyle w:val="NormalWeb"/>
        <w:spacing w:line="360" w:lineRule="auto"/>
        <w:jc w:val="both"/>
        <w:rPr>
          <w:rFonts w:ascii="Arial" w:hAnsi="Arial" w:cs="Arial"/>
          <w:color w:val="252525"/>
          <w:sz w:val="28"/>
          <w:szCs w:val="28"/>
        </w:rPr>
      </w:pPr>
      <w:r w:rsidRPr="00024082">
        <w:rPr>
          <w:rFonts w:ascii="Arial" w:hAnsi="Arial" w:cs="Arial"/>
          <w:color w:val="252525"/>
          <w:sz w:val="28"/>
          <w:szCs w:val="28"/>
        </w:rPr>
        <w:t>Bradford's intervention was beneficial. Sonia and Julie improved communication and parenting with support groups. Drug assistance ended Julie's heroin addiction and ceased her crimes, making her household safer (Taylor, 2018). Children's school attendance improved</w:t>
      </w:r>
      <w:r w:rsidR="004D4CC4">
        <w:rPr>
          <w:rFonts w:ascii="Arial" w:hAnsi="Arial" w:cs="Arial"/>
          <w:color w:val="252525"/>
          <w:sz w:val="28"/>
          <w:szCs w:val="28"/>
        </w:rPr>
        <w:t>.</w:t>
      </w:r>
      <w:r w:rsidRPr="00024082">
        <w:rPr>
          <w:rFonts w:ascii="Arial" w:hAnsi="Arial" w:cs="Arial"/>
          <w:color w:val="252525"/>
          <w:sz w:val="28"/>
          <w:szCs w:val="28"/>
        </w:rPr>
        <w:t xml:space="preserve"> demonstrating dedication to education. Tom's siblings benefited from his reduced antisocial behaviour after his juvenile offender team order. Tenancy stability boosted housing security. Community relationships, emotional well-being, and new skills boosted the intervention's success</w:t>
      </w:r>
      <w:r w:rsidR="00277FD0" w:rsidRPr="00024082">
        <w:rPr>
          <w:rFonts w:ascii="Arial" w:hAnsi="Arial" w:cs="Arial"/>
          <w:sz w:val="28"/>
          <w:szCs w:val="28"/>
        </w:rPr>
        <w:t xml:space="preserve"> (Wells </w:t>
      </w:r>
      <w:r w:rsidR="00277FD0" w:rsidRPr="00024082">
        <w:rPr>
          <w:rFonts w:ascii="Arial" w:hAnsi="Arial" w:cs="Arial"/>
          <w:i/>
          <w:iCs/>
          <w:sz w:val="28"/>
          <w:szCs w:val="28"/>
        </w:rPr>
        <w:t>et al</w:t>
      </w:r>
      <w:r w:rsidR="00277FD0" w:rsidRPr="00024082">
        <w:rPr>
          <w:rFonts w:ascii="Arial" w:hAnsi="Arial" w:cs="Arial"/>
          <w:sz w:val="28"/>
          <w:szCs w:val="28"/>
        </w:rPr>
        <w:t>., 2004)</w:t>
      </w:r>
      <w:r w:rsidRPr="00024082">
        <w:rPr>
          <w:rFonts w:ascii="Arial" w:hAnsi="Arial" w:cs="Arial"/>
          <w:color w:val="252525"/>
          <w:sz w:val="28"/>
          <w:szCs w:val="28"/>
        </w:rPr>
        <w:t>.</w:t>
      </w:r>
    </w:p>
    <w:p w14:paraId="24B02724" w14:textId="5749EABA" w:rsidR="00277FD0" w:rsidRDefault="00231AFA" w:rsidP="00277FD0">
      <w:pPr>
        <w:pStyle w:val="NormalWeb"/>
        <w:spacing w:line="360" w:lineRule="auto"/>
        <w:jc w:val="both"/>
        <w:rPr>
          <w:color w:val="252525"/>
        </w:rPr>
      </w:pPr>
      <w:r>
        <w:rPr>
          <w:noProof/>
          <w:lang w:val="en-US"/>
        </w:rPr>
        <w:drawing>
          <wp:inline distT="0" distB="0" distL="0" distR="0" wp14:anchorId="7BC8A080" wp14:editId="0FA6405E">
            <wp:extent cx="5731510" cy="605155"/>
            <wp:effectExtent l="0" t="0" r="254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605155"/>
                    </a:xfrm>
                    <a:prstGeom prst="rect">
                      <a:avLst/>
                    </a:prstGeom>
                  </pic:spPr>
                </pic:pic>
              </a:graphicData>
            </a:graphic>
          </wp:inline>
        </w:drawing>
      </w:r>
      <w:r w:rsidR="00277FD0" w:rsidRPr="00277FD0">
        <w:rPr>
          <w:color w:val="252525"/>
        </w:rPr>
        <w:t xml:space="preserve"> </w:t>
      </w:r>
      <w:r w:rsidR="00277FD0" w:rsidRPr="00024082">
        <w:rPr>
          <w:rFonts w:ascii="Arial" w:hAnsi="Arial" w:cs="Arial"/>
          <w:color w:val="252525"/>
          <w:sz w:val="28"/>
          <w:szCs w:val="28"/>
        </w:rPr>
        <w:t xml:space="preserve">The Children Act 1989, which served as the foundation for child protection in the UK, is an important piece of law (Burton and Maroof, 2015). It emphasises child welfare and local authorities' duties to offer care and support (Chandrika, 2015). The 2004 Children Act established Every Child Matters, a framework for children's welfare that prioritises safety, health, enjoyment, excellence, </w:t>
      </w:r>
      <w:r w:rsidR="00EA627E" w:rsidRPr="00024082">
        <w:rPr>
          <w:rFonts w:ascii="Arial" w:hAnsi="Arial" w:cs="Arial"/>
          <w:color w:val="252525"/>
          <w:sz w:val="28"/>
          <w:szCs w:val="28"/>
        </w:rPr>
        <w:t>contribution</w:t>
      </w:r>
      <w:r w:rsidR="00277FD0" w:rsidRPr="00024082">
        <w:rPr>
          <w:rFonts w:ascii="Arial" w:hAnsi="Arial" w:cs="Arial"/>
          <w:color w:val="252525"/>
          <w:sz w:val="28"/>
          <w:szCs w:val="28"/>
        </w:rPr>
        <w:t xml:space="preserve">, and economic well-being. The Safeguarding Vulnerable Groups Act of 2006 strengthened requirements </w:t>
      </w:r>
      <w:r w:rsidR="00277FD0" w:rsidRPr="00024082">
        <w:rPr>
          <w:rFonts w:ascii="Arial" w:hAnsi="Arial" w:cs="Arial"/>
          <w:color w:val="252525"/>
          <w:sz w:val="28"/>
          <w:szCs w:val="28"/>
        </w:rPr>
        <w:lastRenderedPageBreak/>
        <w:t xml:space="preserve">and background checks for child workers. These policies and laws highlight agency cooperation, timely interventions, and a </w:t>
      </w:r>
      <w:r w:rsidR="00EA627E" w:rsidRPr="00024082">
        <w:rPr>
          <w:rFonts w:ascii="Arial" w:hAnsi="Arial" w:cs="Arial"/>
          <w:color w:val="252525"/>
          <w:sz w:val="28"/>
          <w:szCs w:val="28"/>
        </w:rPr>
        <w:t>child-centered</w:t>
      </w:r>
      <w:r w:rsidR="00277FD0" w:rsidRPr="00024082">
        <w:rPr>
          <w:rFonts w:ascii="Arial" w:hAnsi="Arial" w:cs="Arial"/>
          <w:color w:val="252525"/>
          <w:sz w:val="28"/>
          <w:szCs w:val="28"/>
        </w:rPr>
        <w:t xml:space="preserve"> approach to providing a safe and loving environment for children and young people (Yucel </w:t>
      </w:r>
      <w:r w:rsidR="00277FD0" w:rsidRPr="00024082">
        <w:rPr>
          <w:rStyle w:val="Emphasis"/>
          <w:rFonts w:ascii="Arial" w:hAnsi="Arial" w:cs="Arial"/>
          <w:color w:val="252525"/>
          <w:sz w:val="28"/>
          <w:szCs w:val="28"/>
        </w:rPr>
        <w:t>et al</w:t>
      </w:r>
      <w:r w:rsidR="00277FD0" w:rsidRPr="00024082">
        <w:rPr>
          <w:rFonts w:ascii="Arial" w:hAnsi="Arial" w:cs="Arial"/>
          <w:color w:val="252525"/>
          <w:sz w:val="28"/>
          <w:szCs w:val="28"/>
        </w:rPr>
        <w:t>., 2012).</w:t>
      </w:r>
    </w:p>
    <w:p w14:paraId="514A8238" w14:textId="2EA0D9E8" w:rsidR="004128E2" w:rsidRPr="00F62A9C" w:rsidRDefault="00231AFA" w:rsidP="00277FD0">
      <w:pPr>
        <w:rPr>
          <w:color w:val="252525"/>
        </w:rPr>
      </w:pPr>
      <w:r>
        <w:rPr>
          <w:noProof/>
          <w:lang w:val="en-US"/>
        </w:rPr>
        <w:drawing>
          <wp:inline distT="0" distB="0" distL="0" distR="0" wp14:anchorId="6EE344E2" wp14:editId="0E6136A0">
            <wp:extent cx="5731510" cy="56070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560705"/>
                    </a:xfrm>
                    <a:prstGeom prst="rect">
                      <a:avLst/>
                    </a:prstGeom>
                  </pic:spPr>
                </pic:pic>
              </a:graphicData>
            </a:graphic>
          </wp:inline>
        </w:drawing>
      </w:r>
      <w:r w:rsidR="00F62A9C" w:rsidRPr="00F62A9C">
        <w:rPr>
          <w:color w:val="252525"/>
        </w:rPr>
        <w:t xml:space="preserve"> </w:t>
      </w:r>
      <w:r w:rsidR="007D43ED" w:rsidRPr="00024082">
        <w:rPr>
          <w:rFonts w:ascii="Arial" w:hAnsi="Arial" w:cs="Arial"/>
          <w:color w:val="252525"/>
          <w:sz w:val="28"/>
          <w:szCs w:val="28"/>
        </w:rPr>
        <w:t xml:space="preserve">Social service protection plans use various frameworks. Bronfenbrenner's Ecological Systems Theory views a child's environment as a network. Carer-child bonds are fundamental in Bowlby's attachment theory (Morris, 2016). </w:t>
      </w:r>
      <w:r w:rsidR="00F54957">
        <w:rPr>
          <w:rFonts w:ascii="Arial" w:hAnsi="Arial" w:cs="Arial"/>
          <w:color w:val="252525"/>
          <w:sz w:val="28"/>
          <w:szCs w:val="28"/>
        </w:rPr>
        <w:t>Child-centered</w:t>
      </w:r>
      <w:r w:rsidR="007D43ED" w:rsidRPr="00024082">
        <w:rPr>
          <w:rFonts w:ascii="Arial" w:hAnsi="Arial" w:cs="Arial"/>
          <w:color w:val="252525"/>
          <w:sz w:val="28"/>
          <w:szCs w:val="28"/>
        </w:rPr>
        <w:t xml:space="preserve"> </w:t>
      </w:r>
      <w:r w:rsidR="00EA627E" w:rsidRPr="00024082">
        <w:rPr>
          <w:rFonts w:ascii="Arial" w:hAnsi="Arial" w:cs="Arial"/>
          <w:color w:val="252525"/>
          <w:sz w:val="28"/>
          <w:szCs w:val="28"/>
        </w:rPr>
        <w:t>practices</w:t>
      </w:r>
      <w:r w:rsidR="007D43ED" w:rsidRPr="00024082">
        <w:rPr>
          <w:rFonts w:ascii="Arial" w:hAnsi="Arial" w:cs="Arial"/>
          <w:color w:val="252525"/>
          <w:sz w:val="28"/>
          <w:szCs w:val="28"/>
        </w:rPr>
        <w:t xml:space="preserve"> factor children's needs and views into decision-making. Trauma-informed care acknowledges trauma to foster recovery. With assets, strong families empower </w:t>
      </w:r>
      <w:r w:rsidR="00B21DEA" w:rsidRPr="00024082">
        <w:rPr>
          <w:rFonts w:ascii="Arial" w:hAnsi="Arial" w:cs="Arial"/>
          <w:color w:val="252525"/>
          <w:sz w:val="28"/>
          <w:szCs w:val="28"/>
        </w:rPr>
        <w:t>themselves</w:t>
      </w:r>
      <w:r w:rsidR="007D43ED" w:rsidRPr="00024082">
        <w:rPr>
          <w:rFonts w:ascii="Arial" w:hAnsi="Arial" w:cs="Arial"/>
          <w:color w:val="252525"/>
          <w:sz w:val="28"/>
          <w:szCs w:val="28"/>
        </w:rPr>
        <w:t xml:space="preserve">. </w:t>
      </w:r>
      <w:r w:rsidR="004D4CC4">
        <w:rPr>
          <w:rFonts w:ascii="Arial" w:hAnsi="Arial" w:cs="Arial"/>
          <w:color w:val="252525"/>
          <w:sz w:val="28"/>
          <w:szCs w:val="28"/>
        </w:rPr>
        <w:t>Cognitive-behavioral</w:t>
      </w:r>
      <w:r w:rsidR="007D43ED" w:rsidRPr="00024082">
        <w:rPr>
          <w:rFonts w:ascii="Arial" w:hAnsi="Arial" w:cs="Arial"/>
          <w:color w:val="252525"/>
          <w:sz w:val="28"/>
          <w:szCs w:val="28"/>
        </w:rPr>
        <w:t xml:space="preserve"> therapy attacks bad habits</w:t>
      </w:r>
      <w:r w:rsidR="007D43ED" w:rsidRPr="00024082">
        <w:rPr>
          <w:rFonts w:ascii="Arial" w:hAnsi="Arial" w:cs="Arial"/>
          <w:sz w:val="28"/>
          <w:szCs w:val="28"/>
        </w:rPr>
        <w:t xml:space="preserve"> (Uhle </w:t>
      </w:r>
      <w:r w:rsidR="007D43ED" w:rsidRPr="00024082">
        <w:rPr>
          <w:rFonts w:ascii="Arial" w:hAnsi="Arial" w:cs="Arial"/>
          <w:i/>
          <w:iCs/>
          <w:sz w:val="28"/>
          <w:szCs w:val="28"/>
        </w:rPr>
        <w:t>et al</w:t>
      </w:r>
      <w:r w:rsidR="007D43ED" w:rsidRPr="00024082">
        <w:rPr>
          <w:rFonts w:ascii="Arial" w:hAnsi="Arial" w:cs="Arial"/>
          <w:sz w:val="28"/>
          <w:szCs w:val="28"/>
        </w:rPr>
        <w:t>., 2022)</w:t>
      </w:r>
      <w:r w:rsidR="007D43ED" w:rsidRPr="00024082">
        <w:rPr>
          <w:rFonts w:ascii="Arial" w:hAnsi="Arial" w:cs="Arial"/>
          <w:color w:val="252525"/>
          <w:sz w:val="28"/>
          <w:szCs w:val="28"/>
        </w:rPr>
        <w:t>. These ideas lead to custom solutions for complicated dynamics and diverse needs</w:t>
      </w:r>
      <w:r w:rsidR="007D43ED" w:rsidRPr="00024082">
        <w:rPr>
          <w:rFonts w:ascii="Arial" w:hAnsi="Arial" w:cs="Arial"/>
          <w:sz w:val="28"/>
          <w:szCs w:val="28"/>
        </w:rPr>
        <w:t xml:space="preserve"> (Hung </w:t>
      </w:r>
      <w:r w:rsidR="007D43ED" w:rsidRPr="00024082">
        <w:rPr>
          <w:rFonts w:ascii="Arial" w:hAnsi="Arial" w:cs="Arial"/>
          <w:i/>
          <w:iCs/>
          <w:sz w:val="28"/>
          <w:szCs w:val="28"/>
        </w:rPr>
        <w:t>et al</w:t>
      </w:r>
      <w:r w:rsidR="007D43ED" w:rsidRPr="00024082">
        <w:rPr>
          <w:rFonts w:ascii="Arial" w:hAnsi="Arial" w:cs="Arial"/>
          <w:sz w:val="28"/>
          <w:szCs w:val="28"/>
        </w:rPr>
        <w:t>., 2016)</w:t>
      </w:r>
      <w:r w:rsidR="007D43ED" w:rsidRPr="00024082">
        <w:rPr>
          <w:rFonts w:ascii="Arial" w:hAnsi="Arial" w:cs="Arial"/>
          <w:color w:val="252525"/>
          <w:sz w:val="28"/>
          <w:szCs w:val="28"/>
        </w:rPr>
        <w:t>.</w:t>
      </w:r>
    </w:p>
    <w:p w14:paraId="368409B8" w14:textId="77777777" w:rsidR="00231AFA" w:rsidRDefault="00231AFA" w:rsidP="004128E2">
      <w:r>
        <w:rPr>
          <w:noProof/>
          <w:lang w:val="en-US"/>
        </w:rPr>
        <w:drawing>
          <wp:inline distT="0" distB="0" distL="0" distR="0" wp14:anchorId="31184640" wp14:editId="0B4BC7A4">
            <wp:extent cx="3143250" cy="5238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43250" cy="523875"/>
                    </a:xfrm>
                    <a:prstGeom prst="rect">
                      <a:avLst/>
                    </a:prstGeom>
                  </pic:spPr>
                </pic:pic>
              </a:graphicData>
            </a:graphic>
          </wp:inline>
        </w:drawing>
      </w:r>
    </w:p>
    <w:p w14:paraId="4C254A7F" w14:textId="669747B9" w:rsidR="004128E2" w:rsidRPr="00024082" w:rsidRDefault="00A2278E" w:rsidP="004128E2">
      <w:pPr>
        <w:rPr>
          <w:rFonts w:ascii="Arial" w:hAnsi="Arial" w:cs="Arial"/>
          <w:sz w:val="28"/>
          <w:szCs w:val="28"/>
        </w:rPr>
      </w:pPr>
      <w:r w:rsidRPr="00024082">
        <w:rPr>
          <w:rFonts w:ascii="Arial" w:hAnsi="Arial" w:cs="Arial"/>
          <w:sz w:val="28"/>
          <w:szCs w:val="28"/>
        </w:rPr>
        <w:t>A holistic approach can have a transforming effect on vulnerable families, as evidenced by the intervention efforts of health and social care organisations in the instance of the Bradford family</w:t>
      </w:r>
      <w:r w:rsidR="007D43ED" w:rsidRPr="00024082">
        <w:rPr>
          <w:rFonts w:ascii="Arial" w:hAnsi="Arial" w:cs="Arial"/>
          <w:sz w:val="28"/>
          <w:szCs w:val="28"/>
        </w:rPr>
        <w:t xml:space="preserve"> (Edwards and Sakasa, 2005)</w:t>
      </w:r>
      <w:r w:rsidRPr="00024082">
        <w:rPr>
          <w:rFonts w:ascii="Arial" w:hAnsi="Arial" w:cs="Arial"/>
          <w:sz w:val="28"/>
          <w:szCs w:val="28"/>
        </w:rPr>
        <w:t>. Julie's addiction, criminal activity, and Sonia's parenting abilities were all addressed, which had a good impact on the family's dynamics and circumstances</w:t>
      </w:r>
      <w:r w:rsidR="00B7292F" w:rsidRPr="00024082">
        <w:rPr>
          <w:rFonts w:ascii="Arial" w:hAnsi="Arial" w:cs="Arial"/>
          <w:sz w:val="28"/>
          <w:szCs w:val="28"/>
        </w:rPr>
        <w:t xml:space="preserve"> (Wallerstein, 2004)</w:t>
      </w:r>
      <w:r w:rsidRPr="00024082">
        <w:rPr>
          <w:rFonts w:ascii="Arial" w:hAnsi="Arial" w:cs="Arial"/>
          <w:sz w:val="28"/>
          <w:szCs w:val="28"/>
        </w:rPr>
        <w:t xml:space="preserve">. The </w:t>
      </w:r>
      <w:r w:rsidR="004D4CC4">
        <w:rPr>
          <w:rFonts w:ascii="Arial" w:hAnsi="Arial" w:cs="Arial"/>
          <w:sz w:val="28"/>
          <w:szCs w:val="28"/>
        </w:rPr>
        <w:t>children</w:t>
      </w:r>
      <w:r w:rsidRPr="00024082">
        <w:rPr>
          <w:rFonts w:ascii="Arial" w:hAnsi="Arial" w:cs="Arial"/>
          <w:sz w:val="28"/>
          <w:szCs w:val="28"/>
        </w:rPr>
        <w:t xml:space="preserve"> increased emotional stability, increased school attendance, and decreased engagement in anti-social behaviour show how successful customised interventions may be. The coordinated efforts of the agencies and a helpful key worker were </w:t>
      </w:r>
      <w:r w:rsidRPr="00024082">
        <w:rPr>
          <w:rFonts w:ascii="Arial" w:hAnsi="Arial" w:cs="Arial"/>
          <w:sz w:val="28"/>
          <w:szCs w:val="28"/>
        </w:rPr>
        <w:lastRenderedPageBreak/>
        <w:t xml:space="preserve">crucial in resolving the family's dilemma and fostering long-term </w:t>
      </w:r>
      <w:r w:rsidR="00EA627E" w:rsidRPr="00024082">
        <w:rPr>
          <w:rFonts w:ascii="Arial" w:hAnsi="Arial" w:cs="Arial"/>
          <w:sz w:val="28"/>
          <w:szCs w:val="28"/>
        </w:rPr>
        <w:t>well-being</w:t>
      </w:r>
      <w:r w:rsidR="004128E2" w:rsidRPr="00024082">
        <w:rPr>
          <w:rFonts w:ascii="Arial" w:hAnsi="Arial" w:cs="Arial"/>
          <w:sz w:val="28"/>
          <w:szCs w:val="28"/>
        </w:rPr>
        <w:t>.</w:t>
      </w:r>
    </w:p>
    <w:p w14:paraId="3B57B9FD" w14:textId="00B4B5F3" w:rsidR="004128E2" w:rsidRPr="00024082" w:rsidRDefault="004128E2" w:rsidP="004128E2">
      <w:pPr>
        <w:rPr>
          <w:rFonts w:ascii="Arial" w:hAnsi="Arial" w:cs="Arial"/>
          <w:b/>
          <w:sz w:val="28"/>
          <w:szCs w:val="28"/>
        </w:rPr>
      </w:pPr>
      <w:r w:rsidRPr="00024082">
        <w:rPr>
          <w:rFonts w:ascii="Arial" w:hAnsi="Arial" w:cs="Arial"/>
          <w:b/>
          <w:sz w:val="28"/>
          <w:szCs w:val="28"/>
        </w:rPr>
        <w:t>Recommendations:</w:t>
      </w:r>
    </w:p>
    <w:p w14:paraId="19CF319A" w14:textId="4E366BA5" w:rsidR="00A2278E" w:rsidRPr="00024082" w:rsidRDefault="00A2278E" w:rsidP="00A2278E">
      <w:pPr>
        <w:pStyle w:val="ListParagraph"/>
        <w:numPr>
          <w:ilvl w:val="0"/>
          <w:numId w:val="5"/>
        </w:numPr>
        <w:rPr>
          <w:rFonts w:ascii="Arial" w:hAnsi="Arial" w:cs="Arial"/>
          <w:sz w:val="28"/>
          <w:szCs w:val="28"/>
        </w:rPr>
      </w:pPr>
      <w:bookmarkStart w:id="2" w:name="_Toc142925922"/>
      <w:r w:rsidRPr="00024082">
        <w:rPr>
          <w:rFonts w:ascii="Arial" w:hAnsi="Arial" w:cs="Arial"/>
          <w:sz w:val="28"/>
          <w:szCs w:val="28"/>
        </w:rPr>
        <w:t xml:space="preserve">Early Intervention: Detecting and resolving problems early on helps avert crises and lessen the risk of harm to </w:t>
      </w:r>
      <w:r w:rsidR="00564671">
        <w:rPr>
          <w:rFonts w:ascii="Arial" w:hAnsi="Arial" w:cs="Arial"/>
          <w:sz w:val="28"/>
          <w:szCs w:val="28"/>
        </w:rPr>
        <w:t>children</w:t>
      </w:r>
      <w:r w:rsidRPr="00024082">
        <w:rPr>
          <w:rFonts w:ascii="Arial" w:hAnsi="Arial" w:cs="Arial"/>
          <w:sz w:val="28"/>
          <w:szCs w:val="28"/>
        </w:rPr>
        <w:t xml:space="preserve"> and families.</w:t>
      </w:r>
    </w:p>
    <w:p w14:paraId="149715D6" w14:textId="516D1EAA" w:rsidR="00A2278E" w:rsidRPr="00024082" w:rsidRDefault="00A2278E" w:rsidP="00A2278E">
      <w:pPr>
        <w:pStyle w:val="ListParagraph"/>
        <w:numPr>
          <w:ilvl w:val="0"/>
          <w:numId w:val="5"/>
        </w:numPr>
        <w:rPr>
          <w:rFonts w:ascii="Arial" w:hAnsi="Arial" w:cs="Arial"/>
          <w:sz w:val="28"/>
          <w:szCs w:val="28"/>
        </w:rPr>
      </w:pPr>
      <w:r w:rsidRPr="00024082">
        <w:rPr>
          <w:rFonts w:ascii="Arial" w:hAnsi="Arial" w:cs="Arial"/>
          <w:sz w:val="28"/>
          <w:szCs w:val="28"/>
        </w:rPr>
        <w:t>Holistic Approach: Keep implementing holistic therapies that deal with several facets of family life, such as parenting, education, housing, and addiction.</w:t>
      </w:r>
    </w:p>
    <w:p w14:paraId="7F108B83" w14:textId="5B568405" w:rsidR="00A2278E" w:rsidRPr="00024082" w:rsidRDefault="00A2278E" w:rsidP="00A2278E">
      <w:pPr>
        <w:pStyle w:val="ListParagraph"/>
        <w:numPr>
          <w:ilvl w:val="0"/>
          <w:numId w:val="5"/>
        </w:numPr>
        <w:rPr>
          <w:rFonts w:ascii="Arial" w:hAnsi="Arial" w:cs="Arial"/>
          <w:sz w:val="28"/>
          <w:szCs w:val="28"/>
        </w:rPr>
      </w:pPr>
      <w:r w:rsidRPr="00024082">
        <w:rPr>
          <w:rFonts w:ascii="Arial" w:hAnsi="Arial" w:cs="Arial"/>
          <w:sz w:val="28"/>
          <w:szCs w:val="28"/>
        </w:rPr>
        <w:t xml:space="preserve">Community Engagement: Work with the </w:t>
      </w:r>
      <w:r w:rsidR="00EA627E" w:rsidRPr="00024082">
        <w:rPr>
          <w:rFonts w:ascii="Arial" w:hAnsi="Arial" w:cs="Arial"/>
          <w:sz w:val="28"/>
          <w:szCs w:val="28"/>
        </w:rPr>
        <w:t>neighbourhood</w:t>
      </w:r>
      <w:r w:rsidRPr="00024082">
        <w:rPr>
          <w:rFonts w:ascii="Arial" w:hAnsi="Arial" w:cs="Arial"/>
          <w:sz w:val="28"/>
          <w:szCs w:val="28"/>
        </w:rPr>
        <w:t xml:space="preserve"> to create networks of support and handle issues cooperatively to make the </w:t>
      </w:r>
      <w:r w:rsidR="00EA627E" w:rsidRPr="00024082">
        <w:rPr>
          <w:rFonts w:ascii="Arial" w:hAnsi="Arial" w:cs="Arial"/>
          <w:sz w:val="28"/>
          <w:szCs w:val="28"/>
        </w:rPr>
        <w:t>neighbourhood</w:t>
      </w:r>
      <w:r w:rsidRPr="00024082">
        <w:rPr>
          <w:rFonts w:ascii="Arial" w:hAnsi="Arial" w:cs="Arial"/>
          <w:sz w:val="28"/>
          <w:szCs w:val="28"/>
        </w:rPr>
        <w:t xml:space="preserve"> safer for families.</w:t>
      </w:r>
    </w:p>
    <w:p w14:paraId="7EC9E5EF" w14:textId="2D291BDC" w:rsidR="00A2278E" w:rsidRPr="00024082" w:rsidRDefault="00A2278E" w:rsidP="00A2278E">
      <w:pPr>
        <w:pStyle w:val="ListParagraph"/>
        <w:numPr>
          <w:ilvl w:val="0"/>
          <w:numId w:val="5"/>
        </w:numPr>
        <w:rPr>
          <w:rFonts w:ascii="Arial" w:hAnsi="Arial" w:cs="Arial"/>
          <w:sz w:val="28"/>
          <w:szCs w:val="28"/>
        </w:rPr>
      </w:pPr>
      <w:r w:rsidRPr="00024082">
        <w:rPr>
          <w:rFonts w:ascii="Arial" w:hAnsi="Arial" w:cs="Arial"/>
          <w:sz w:val="28"/>
          <w:szCs w:val="28"/>
        </w:rPr>
        <w:t>Cultural Sensitivity: To effectively support families from various backgrounds, interventions must be culturally aware and respectful of various traditions and beliefs.</w:t>
      </w:r>
    </w:p>
    <w:p w14:paraId="2567EAA0" w14:textId="07931D33" w:rsidR="00A2278E" w:rsidRPr="00024082" w:rsidRDefault="00A2278E" w:rsidP="00A2278E">
      <w:pPr>
        <w:pStyle w:val="ListParagraph"/>
        <w:numPr>
          <w:ilvl w:val="0"/>
          <w:numId w:val="5"/>
        </w:numPr>
        <w:rPr>
          <w:sz w:val="28"/>
          <w:szCs w:val="28"/>
        </w:rPr>
      </w:pPr>
      <w:r w:rsidRPr="00024082">
        <w:rPr>
          <w:rFonts w:ascii="Arial" w:hAnsi="Arial" w:cs="Arial"/>
          <w:sz w:val="28"/>
          <w:szCs w:val="28"/>
        </w:rPr>
        <w:t xml:space="preserve">Education and Training: Continually update social workers, key personnel, and professionals on the best safeguarding </w:t>
      </w:r>
      <w:r w:rsidR="00EA627E" w:rsidRPr="00024082">
        <w:rPr>
          <w:rFonts w:ascii="Arial" w:hAnsi="Arial" w:cs="Arial"/>
          <w:sz w:val="28"/>
          <w:szCs w:val="28"/>
        </w:rPr>
        <w:t>practices</w:t>
      </w:r>
      <w:r w:rsidRPr="00024082">
        <w:rPr>
          <w:rFonts w:ascii="Arial" w:hAnsi="Arial" w:cs="Arial"/>
          <w:sz w:val="28"/>
          <w:szCs w:val="28"/>
        </w:rPr>
        <w:t>.</w:t>
      </w:r>
      <w:r w:rsidRPr="00024082">
        <w:rPr>
          <w:sz w:val="28"/>
          <w:szCs w:val="28"/>
        </w:rPr>
        <w:br w:type="page"/>
      </w:r>
    </w:p>
    <w:p w14:paraId="291524A2" w14:textId="3B6ED180" w:rsidR="00074402" w:rsidRPr="00024082" w:rsidRDefault="00F75884" w:rsidP="00B07B64">
      <w:pPr>
        <w:pStyle w:val="Heading1"/>
      </w:pPr>
      <w:bookmarkStart w:id="3" w:name="_Toc143167090"/>
      <w:r w:rsidRPr="00024082">
        <w:lastRenderedPageBreak/>
        <w:t>References</w:t>
      </w:r>
      <w:bookmarkEnd w:id="2"/>
      <w:bookmarkEnd w:id="3"/>
    </w:p>
    <w:p w14:paraId="72A784D8" w14:textId="1ED9BB3D" w:rsidR="00A3276E" w:rsidRPr="00024082" w:rsidRDefault="00777571" w:rsidP="00A3276E">
      <w:pPr>
        <w:shd w:val="clear" w:color="auto" w:fill="FFFFFF"/>
        <w:spacing w:line="270" w:lineRule="atLeast"/>
        <w:jc w:val="left"/>
        <w:rPr>
          <w:rFonts w:ascii="Arial" w:hAnsi="Arial" w:cs="Arial"/>
          <w:color w:val="333333"/>
          <w:szCs w:val="24"/>
        </w:rPr>
      </w:pPr>
      <w:r w:rsidRPr="00024082">
        <w:rPr>
          <w:rFonts w:ascii="Arial" w:hAnsi="Arial" w:cs="Arial"/>
          <w:szCs w:val="24"/>
        </w:rPr>
        <w:t xml:space="preserve">Nyabanyaba, T., 2009. Factors influencing access and retention in secondary schooling for orphaned and vulnerable children and young people: </w:t>
      </w:r>
      <w:r w:rsidRPr="00024082">
        <w:rPr>
          <w:rFonts w:ascii="Arial" w:hAnsi="Arial" w:cs="Arial"/>
          <w:i/>
          <w:iCs/>
          <w:szCs w:val="24"/>
        </w:rPr>
        <w:t xml:space="preserve">SOFIE </w:t>
      </w:r>
      <w:r w:rsidR="00A3276E" w:rsidRPr="00024082">
        <w:rPr>
          <w:rFonts w:ascii="Arial" w:hAnsi="Arial" w:cs="Arial"/>
          <w:i/>
          <w:iCs/>
          <w:szCs w:val="24"/>
        </w:rPr>
        <w:t>opening</w:t>
      </w:r>
      <w:r w:rsidRPr="00024082">
        <w:rPr>
          <w:rFonts w:ascii="Arial" w:hAnsi="Arial" w:cs="Arial"/>
          <w:i/>
          <w:iCs/>
          <w:szCs w:val="24"/>
        </w:rPr>
        <w:t xml:space="preserve"> Access Series</w:t>
      </w:r>
      <w:r w:rsidRPr="00024082">
        <w:rPr>
          <w:rFonts w:ascii="Arial" w:hAnsi="Arial" w:cs="Arial"/>
          <w:szCs w:val="24"/>
        </w:rPr>
        <w:t>, (7)</w:t>
      </w:r>
      <w:r w:rsidR="00A3276E" w:rsidRPr="00024082">
        <w:rPr>
          <w:rFonts w:ascii="Arial" w:hAnsi="Arial" w:cs="Arial"/>
          <w:szCs w:val="24"/>
        </w:rPr>
        <w:t>.</w:t>
      </w:r>
    </w:p>
    <w:p w14:paraId="36A0C4FA" w14:textId="1FA04842" w:rsidR="00777571" w:rsidRPr="00024082" w:rsidRDefault="00000000" w:rsidP="00A3276E">
      <w:pPr>
        <w:rPr>
          <w:rFonts w:ascii="Arial" w:hAnsi="Arial" w:cs="Arial"/>
          <w:szCs w:val="24"/>
        </w:rPr>
      </w:pPr>
      <w:hyperlink r:id="rId18" w:tgtFrame="_blank" w:history="1">
        <w:r w:rsidR="00A3276E" w:rsidRPr="00024082">
          <w:rPr>
            <w:rStyle w:val="Hyperlink"/>
            <w:rFonts w:ascii="Arial" w:hAnsi="Arial" w:cs="Arial"/>
            <w:b/>
            <w:bCs/>
            <w:color w:val="00799E"/>
            <w:szCs w:val="24"/>
            <w:bdr w:val="none" w:sz="0" w:space="0" w:color="auto" w:frame="1"/>
            <w:shd w:val="clear" w:color="auto" w:fill="FFFFFF"/>
          </w:rPr>
          <w:t>https://healtheducationresources.unesco.org/library/documents/factors-influencing...</w:t>
        </w:r>
      </w:hyperlink>
    </w:p>
    <w:p w14:paraId="795E62FC" w14:textId="2ECE6AE9" w:rsidR="00777571" w:rsidRPr="00024082" w:rsidRDefault="00777571" w:rsidP="00024082">
      <w:pPr>
        <w:jc w:val="left"/>
        <w:rPr>
          <w:rFonts w:ascii="Arial" w:hAnsi="Arial" w:cs="Arial"/>
          <w:szCs w:val="24"/>
        </w:rPr>
      </w:pPr>
      <w:r w:rsidRPr="00024082">
        <w:rPr>
          <w:rFonts w:ascii="Arial" w:hAnsi="Arial" w:cs="Arial"/>
          <w:szCs w:val="24"/>
        </w:rPr>
        <w:t xml:space="preserve">Hung, L.S., Wang, C. and Yarnal, B., 2016. Vulnerability of families and households to natural hazards: A case study of storm surge flooding in Sarasota County, Florida. </w:t>
      </w:r>
      <w:r w:rsidR="00B245B7">
        <w:rPr>
          <w:rFonts w:ascii="Arial" w:hAnsi="Arial" w:cs="Arial"/>
          <w:i/>
          <w:iCs/>
          <w:szCs w:val="24"/>
        </w:rPr>
        <w:t>Applied Geography</w:t>
      </w:r>
      <w:r w:rsidRPr="00024082">
        <w:rPr>
          <w:rFonts w:ascii="Arial" w:hAnsi="Arial" w:cs="Arial"/>
          <w:szCs w:val="24"/>
        </w:rPr>
        <w:t>,76</w:t>
      </w:r>
      <w:r w:rsidR="00A3276E" w:rsidRPr="00024082">
        <w:rPr>
          <w:rFonts w:ascii="Arial" w:hAnsi="Arial" w:cs="Arial"/>
          <w:szCs w:val="24"/>
        </w:rPr>
        <w:t>,</w:t>
      </w:r>
      <w:r w:rsidR="00B245B7">
        <w:rPr>
          <w:rFonts w:ascii="Arial" w:hAnsi="Arial" w:cs="Arial"/>
          <w:szCs w:val="24"/>
        </w:rPr>
        <w:t xml:space="preserve"> </w:t>
      </w:r>
      <w:r w:rsidRPr="00024082">
        <w:rPr>
          <w:rFonts w:ascii="Arial" w:hAnsi="Arial" w:cs="Arial"/>
          <w:szCs w:val="24"/>
        </w:rPr>
        <w:t>pp.</w:t>
      </w:r>
      <w:r w:rsidR="00B245B7">
        <w:rPr>
          <w:rFonts w:ascii="Arial" w:hAnsi="Arial" w:cs="Arial"/>
          <w:szCs w:val="24"/>
        </w:rPr>
        <w:t xml:space="preserve"> </w:t>
      </w:r>
      <w:r w:rsidRPr="00024082">
        <w:rPr>
          <w:rFonts w:ascii="Arial" w:hAnsi="Arial" w:cs="Arial"/>
          <w:szCs w:val="24"/>
        </w:rPr>
        <w:t>184-197.</w:t>
      </w:r>
      <w:r w:rsidR="00A3276E" w:rsidRPr="00024082">
        <w:rPr>
          <w:rFonts w:ascii="Arial" w:hAnsi="Arial" w:cs="Arial"/>
          <w:szCs w:val="24"/>
        </w:rPr>
        <w:t xml:space="preserve"> </w:t>
      </w:r>
      <w:r w:rsidR="00A3276E" w:rsidRPr="00024082">
        <w:rPr>
          <w:rFonts w:ascii="Arial" w:hAnsi="Arial" w:cs="Arial"/>
          <w:szCs w:val="24"/>
        </w:rPr>
        <w:br/>
      </w:r>
      <w:r w:rsidR="00A3276E" w:rsidRPr="00024082">
        <w:rPr>
          <w:rFonts w:ascii="Arial" w:hAnsi="Arial" w:cs="Arial"/>
          <w:b/>
          <w:bCs/>
          <w:color w:val="00799E"/>
          <w:szCs w:val="24"/>
          <w:shd w:val="clear" w:color="auto" w:fill="FFFFFF"/>
        </w:rPr>
        <w:t>https://www.semanticscholar.org/paper/Vulnerability-of-families-and-households-to...</w:t>
      </w:r>
    </w:p>
    <w:p w14:paraId="1EE38417" w14:textId="1B871C85" w:rsidR="000D0684" w:rsidRPr="00024082" w:rsidRDefault="00777571" w:rsidP="000D0684">
      <w:pPr>
        <w:rPr>
          <w:rFonts w:ascii="Arial" w:hAnsi="Arial" w:cs="Arial"/>
          <w:szCs w:val="24"/>
        </w:rPr>
      </w:pPr>
      <w:r w:rsidRPr="00024082">
        <w:rPr>
          <w:rFonts w:ascii="Arial" w:hAnsi="Arial" w:cs="Arial"/>
          <w:szCs w:val="24"/>
        </w:rPr>
        <w:t xml:space="preserve">Yucel, G. and Arun, G., 2012. Earthquake and physical and social vulnerability assessment for settlements: Case study Avcilar District. </w:t>
      </w:r>
      <w:r w:rsidRPr="00024082">
        <w:rPr>
          <w:rFonts w:ascii="Arial" w:hAnsi="Arial" w:cs="Arial"/>
          <w:i/>
          <w:iCs/>
          <w:szCs w:val="24"/>
        </w:rPr>
        <w:t>In World conference on earthquake engineering</w:t>
      </w:r>
      <w:r w:rsidR="000D0684" w:rsidRPr="00024082">
        <w:rPr>
          <w:rFonts w:ascii="Arial" w:hAnsi="Arial" w:cs="Arial"/>
          <w:szCs w:val="24"/>
        </w:rPr>
        <w:t>.</w:t>
      </w:r>
    </w:p>
    <w:p w14:paraId="434B1798" w14:textId="194F2466" w:rsidR="000D0684" w:rsidRPr="00024082" w:rsidRDefault="00000000" w:rsidP="000D0684">
      <w:pPr>
        <w:rPr>
          <w:rFonts w:ascii="Arial" w:hAnsi="Arial" w:cs="Arial"/>
          <w:szCs w:val="24"/>
        </w:rPr>
      </w:pPr>
      <w:hyperlink r:id="rId19" w:tgtFrame="_blank" w:history="1">
        <w:r w:rsidR="000D0684" w:rsidRPr="00024082">
          <w:rPr>
            <w:rStyle w:val="Hyperlink"/>
            <w:rFonts w:ascii="Arial" w:hAnsi="Arial" w:cs="Arial"/>
            <w:b/>
            <w:bCs/>
            <w:color w:val="00799E"/>
            <w:szCs w:val="24"/>
            <w:bdr w:val="none" w:sz="0" w:space="0" w:color="auto" w:frame="1"/>
            <w:shd w:val="clear" w:color="auto" w:fill="FFFFFF"/>
          </w:rPr>
          <w:t>https://www.researchgate.net/publication/358692315_Spatial_analysis_of_the_urban...</w:t>
        </w:r>
      </w:hyperlink>
    </w:p>
    <w:p w14:paraId="70CA4E9A" w14:textId="68CB584B" w:rsidR="000D0684" w:rsidRPr="00024082" w:rsidRDefault="00777571" w:rsidP="000D0684">
      <w:pPr>
        <w:shd w:val="clear" w:color="auto" w:fill="FFFFFF"/>
        <w:spacing w:line="270" w:lineRule="atLeast"/>
        <w:jc w:val="left"/>
        <w:rPr>
          <w:rFonts w:ascii="Arial" w:hAnsi="Arial" w:cs="Arial"/>
          <w:color w:val="333333"/>
          <w:szCs w:val="24"/>
        </w:rPr>
      </w:pPr>
      <w:r w:rsidRPr="00024082">
        <w:rPr>
          <w:rFonts w:ascii="Arial" w:hAnsi="Arial" w:cs="Arial"/>
          <w:szCs w:val="24"/>
        </w:rPr>
        <w:t xml:space="preserve">Uhle, E.R., Palma, B.P., Luguetti, C. and Galatti, L.R., 2022. Sensitivity, shared purpose, and learning community: </w:t>
      </w:r>
      <w:r w:rsidRPr="00024082">
        <w:rPr>
          <w:rFonts w:ascii="Arial" w:hAnsi="Arial" w:cs="Arial"/>
          <w:i/>
          <w:iCs/>
          <w:szCs w:val="24"/>
        </w:rPr>
        <w:t>Physical Education and Sport Pedagogy</w:t>
      </w:r>
      <w:r w:rsidRPr="00024082">
        <w:rPr>
          <w:rFonts w:ascii="Arial" w:hAnsi="Arial" w:cs="Arial"/>
          <w:szCs w:val="24"/>
        </w:rPr>
        <w:t xml:space="preserve">, </w:t>
      </w:r>
      <w:r w:rsidR="000D0684" w:rsidRPr="00024082">
        <w:rPr>
          <w:rFonts w:ascii="Arial" w:hAnsi="Arial" w:cs="Arial"/>
          <w:szCs w:val="24"/>
        </w:rPr>
        <w:t>pp1_18.</w:t>
      </w:r>
    </w:p>
    <w:p w14:paraId="759E66B0" w14:textId="1C365000" w:rsidR="00777571" w:rsidRPr="00024082" w:rsidRDefault="00000000" w:rsidP="000D0684">
      <w:pPr>
        <w:shd w:val="clear" w:color="auto" w:fill="FFFFFF"/>
        <w:spacing w:line="270" w:lineRule="atLeast"/>
        <w:jc w:val="left"/>
        <w:rPr>
          <w:rFonts w:ascii="Arial" w:hAnsi="Arial" w:cs="Arial"/>
          <w:color w:val="333333"/>
          <w:szCs w:val="24"/>
        </w:rPr>
      </w:pPr>
      <w:hyperlink r:id="rId20" w:tgtFrame="_blank" w:history="1">
        <w:r w:rsidR="000D0684" w:rsidRPr="00024082">
          <w:rPr>
            <w:rStyle w:val="Hyperlink"/>
            <w:rFonts w:ascii="Arial" w:hAnsi="Arial" w:cs="Arial"/>
            <w:b/>
            <w:bCs/>
            <w:color w:val="00799E"/>
            <w:szCs w:val="24"/>
            <w:bdr w:val="none" w:sz="0" w:space="0" w:color="auto" w:frame="1"/>
            <w:shd w:val="clear" w:color="auto" w:fill="FFFFFF"/>
          </w:rPr>
          <w:t>https://vuir.vu.edu.au/45225</w:t>
        </w:r>
      </w:hyperlink>
    </w:p>
    <w:p w14:paraId="785B15D1" w14:textId="1DB3220D" w:rsidR="00163521" w:rsidRPr="00024082" w:rsidRDefault="00777571" w:rsidP="00777571">
      <w:pPr>
        <w:rPr>
          <w:rFonts w:ascii="Arial" w:hAnsi="Arial" w:cs="Arial"/>
          <w:szCs w:val="24"/>
        </w:rPr>
      </w:pPr>
      <w:r w:rsidRPr="00024082">
        <w:rPr>
          <w:rFonts w:ascii="Arial" w:hAnsi="Arial" w:cs="Arial"/>
          <w:szCs w:val="24"/>
        </w:rPr>
        <w:t xml:space="preserve">Burton, C. and Maroof, A.S., 2015. Social vulnerability to floods: Review of case studies and implications for measurement. </w:t>
      </w:r>
      <w:r w:rsidRPr="00024082">
        <w:rPr>
          <w:rFonts w:ascii="Arial" w:hAnsi="Arial" w:cs="Arial"/>
          <w:i/>
          <w:iCs/>
          <w:szCs w:val="24"/>
        </w:rPr>
        <w:t>International journal of disaster risk reduction</w:t>
      </w:r>
      <w:r w:rsidRPr="00024082">
        <w:rPr>
          <w:rFonts w:ascii="Arial" w:hAnsi="Arial" w:cs="Arial"/>
          <w:szCs w:val="24"/>
        </w:rPr>
        <w:t>, 14, pp.470-486.</w:t>
      </w:r>
      <w:r w:rsidR="00163521" w:rsidRPr="00024082">
        <w:rPr>
          <w:rFonts w:ascii="Arial" w:hAnsi="Arial" w:cs="Arial"/>
          <w:szCs w:val="24"/>
        </w:rPr>
        <w:t xml:space="preserve"> </w:t>
      </w:r>
      <w:r w:rsidR="00163521" w:rsidRPr="00024082">
        <w:rPr>
          <w:rFonts w:ascii="Arial" w:hAnsi="Arial" w:cs="Arial"/>
          <w:b/>
          <w:bCs/>
          <w:color w:val="00799E"/>
          <w:szCs w:val="24"/>
          <w:shd w:val="clear" w:color="auto" w:fill="FFFFFF"/>
        </w:rPr>
        <w:t>https://www.semanticscholar.org/paper/Social-vulnerability-to-floods:-Review-of-case...</w:t>
      </w:r>
    </w:p>
    <w:p w14:paraId="3428A3BB" w14:textId="77777777" w:rsidR="00163521" w:rsidRPr="00024082" w:rsidRDefault="00B7292F" w:rsidP="00163521">
      <w:pPr>
        <w:rPr>
          <w:rFonts w:ascii="Arial" w:hAnsi="Arial" w:cs="Arial"/>
        </w:rPr>
      </w:pPr>
      <w:r w:rsidRPr="00024082">
        <w:rPr>
          <w:rFonts w:ascii="Arial" w:hAnsi="Arial" w:cs="Arial"/>
        </w:rPr>
        <w:t xml:space="preserve">Edwards, D., Sakasa, P. </w:t>
      </w:r>
      <w:r w:rsidR="00777571" w:rsidRPr="00024082">
        <w:rPr>
          <w:rFonts w:ascii="Arial" w:hAnsi="Arial" w:cs="Arial"/>
        </w:rPr>
        <w:t>2005. Trauma, resilience</w:t>
      </w:r>
      <w:r w:rsidR="00A3276E" w:rsidRPr="00024082">
        <w:rPr>
          <w:rFonts w:ascii="Arial" w:hAnsi="Arial" w:cs="Arial"/>
        </w:rPr>
        <w:t>,</w:t>
      </w:r>
      <w:r w:rsidR="00777571" w:rsidRPr="00024082">
        <w:rPr>
          <w:rFonts w:ascii="Arial" w:hAnsi="Arial" w:cs="Arial"/>
        </w:rPr>
        <w:t xml:space="preserve"> and vulnerability: A review and clinical case analysis. </w:t>
      </w:r>
      <w:r w:rsidR="00777571" w:rsidRPr="00024082">
        <w:rPr>
          <w:rFonts w:ascii="Arial" w:hAnsi="Arial" w:cs="Arial"/>
          <w:i/>
          <w:iCs/>
        </w:rPr>
        <w:t xml:space="preserve">Journal of </w:t>
      </w:r>
      <w:r w:rsidR="00A3276E" w:rsidRPr="00024082">
        <w:rPr>
          <w:rFonts w:ascii="Arial" w:hAnsi="Arial" w:cs="Arial"/>
          <w:i/>
          <w:iCs/>
        </w:rPr>
        <w:t>Psychology</w:t>
      </w:r>
      <w:r w:rsidR="00777571" w:rsidRPr="00024082">
        <w:rPr>
          <w:rFonts w:ascii="Arial" w:hAnsi="Arial" w:cs="Arial"/>
          <w:i/>
          <w:iCs/>
        </w:rPr>
        <w:t xml:space="preserve"> in Africa</w:t>
      </w:r>
      <w:r w:rsidR="00777571" w:rsidRPr="00024082">
        <w:rPr>
          <w:rFonts w:ascii="Arial" w:hAnsi="Arial" w:cs="Arial"/>
        </w:rPr>
        <w:t>, 15(2), pp.143-153.</w:t>
      </w:r>
    </w:p>
    <w:p w14:paraId="6E04CEF4" w14:textId="7C41A45B" w:rsidR="00163521" w:rsidRPr="00B245B7" w:rsidRDefault="00000000" w:rsidP="00163521">
      <w:pPr>
        <w:rPr>
          <w:rFonts w:ascii="Arial" w:hAnsi="Arial" w:cs="Arial"/>
          <w:szCs w:val="24"/>
        </w:rPr>
      </w:pPr>
      <w:hyperlink r:id="rId21" w:history="1">
        <w:r w:rsidR="00163521" w:rsidRPr="00B245B7">
          <w:rPr>
            <w:rStyle w:val="Hyperlink"/>
            <w:rFonts w:ascii="Arial" w:hAnsi="Arial" w:cs="Arial"/>
            <w:b/>
            <w:bCs/>
            <w:szCs w:val="24"/>
            <w:bdr w:val="none" w:sz="0" w:space="0" w:color="auto" w:frame="1"/>
            <w:shd w:val="clear" w:color="auto" w:fill="FFFFFF"/>
          </w:rPr>
          <w:t>https://www.ru.ac.za/media/rhodesuniversity/content/psychology/documents/David_Edwards...</w:t>
        </w:r>
      </w:hyperlink>
    </w:p>
    <w:p w14:paraId="53481F74" w14:textId="77777777" w:rsidR="00163521" w:rsidRPr="00B245B7" w:rsidRDefault="00777571" w:rsidP="00777571">
      <w:pPr>
        <w:rPr>
          <w:rFonts w:ascii="Arial" w:hAnsi="Arial" w:cs="Arial"/>
          <w:szCs w:val="24"/>
        </w:rPr>
      </w:pPr>
      <w:r w:rsidRPr="00B245B7">
        <w:rPr>
          <w:rFonts w:ascii="Arial" w:hAnsi="Arial" w:cs="Arial"/>
          <w:szCs w:val="24"/>
        </w:rPr>
        <w:t xml:space="preserve">Taylor, K.C., 2018. </w:t>
      </w:r>
      <w:r w:rsidRPr="00B245B7">
        <w:rPr>
          <w:rFonts w:ascii="Arial" w:hAnsi="Arial" w:cs="Arial"/>
          <w:i/>
          <w:iCs/>
          <w:szCs w:val="24"/>
        </w:rPr>
        <w:t>Teaching decision-making and building resilience in youth–European Journal of Operational Research</w:t>
      </w:r>
      <w:r w:rsidRPr="00B245B7">
        <w:rPr>
          <w:rFonts w:ascii="Arial" w:hAnsi="Arial" w:cs="Arial"/>
          <w:szCs w:val="24"/>
        </w:rPr>
        <w:t>, 268(3), pp.960-970.</w:t>
      </w:r>
    </w:p>
    <w:p w14:paraId="7AA711BB" w14:textId="3ED382A7" w:rsidR="00163521" w:rsidRPr="00B245B7" w:rsidRDefault="00163521" w:rsidP="00777571">
      <w:pPr>
        <w:rPr>
          <w:rFonts w:ascii="Arial" w:hAnsi="Arial" w:cs="Arial"/>
          <w:szCs w:val="24"/>
        </w:rPr>
      </w:pPr>
      <w:r w:rsidRPr="00B245B7">
        <w:rPr>
          <w:rFonts w:ascii="Arial" w:hAnsi="Arial" w:cs="Arial"/>
          <w:b/>
          <w:bCs/>
          <w:color w:val="00799E"/>
          <w:szCs w:val="24"/>
          <w:u w:val="single"/>
          <w:shd w:val="clear" w:color="auto" w:fill="FFFFFF"/>
        </w:rPr>
        <w:t>https://www.sciencedirect.com/science/article/pii/S0377221717310780</w:t>
      </w:r>
    </w:p>
    <w:p w14:paraId="34912250" w14:textId="77777777" w:rsidR="00C05AF6" w:rsidRPr="00B245B7" w:rsidRDefault="00777571" w:rsidP="00777571">
      <w:pPr>
        <w:rPr>
          <w:rFonts w:ascii="Arial" w:hAnsi="Arial" w:cs="Arial"/>
          <w:szCs w:val="24"/>
        </w:rPr>
      </w:pPr>
      <w:r w:rsidRPr="00B245B7">
        <w:rPr>
          <w:rFonts w:ascii="Arial" w:hAnsi="Arial" w:cs="Arial"/>
          <w:szCs w:val="24"/>
        </w:rPr>
        <w:lastRenderedPageBreak/>
        <w:t xml:space="preserve">Chandrika, K.B., 2015. Need and intervention of social workers in public health care services and social development. </w:t>
      </w:r>
      <w:r w:rsidRPr="00B245B7">
        <w:rPr>
          <w:rFonts w:ascii="Arial" w:hAnsi="Arial" w:cs="Arial"/>
          <w:i/>
          <w:iCs/>
          <w:szCs w:val="24"/>
        </w:rPr>
        <w:t>International Journal of Humanities and Social Sciences</w:t>
      </w:r>
      <w:r w:rsidRPr="00B245B7">
        <w:rPr>
          <w:rFonts w:ascii="Arial" w:hAnsi="Arial" w:cs="Arial"/>
          <w:szCs w:val="24"/>
        </w:rPr>
        <w:t>, 4(1), pp.57-62.</w:t>
      </w:r>
    </w:p>
    <w:p w14:paraId="1BE34333" w14:textId="67153B4F" w:rsidR="00C05AF6" w:rsidRPr="00B245B7" w:rsidRDefault="00C05AF6" w:rsidP="00777571">
      <w:pPr>
        <w:rPr>
          <w:rFonts w:ascii="Arial" w:hAnsi="Arial" w:cs="Arial"/>
          <w:szCs w:val="24"/>
        </w:rPr>
      </w:pPr>
      <w:r w:rsidRPr="00B245B7">
        <w:rPr>
          <w:rFonts w:ascii="Arial" w:hAnsi="Arial" w:cs="Arial"/>
          <w:b/>
          <w:bCs/>
          <w:color w:val="00799E"/>
          <w:szCs w:val="24"/>
          <w:shd w:val="clear" w:color="auto" w:fill="FFFFFF"/>
        </w:rPr>
        <w:t>https://iaset.us/download/archives/2-72-1420268427-6. IJHSS -NEED AND INTERVENTION OF...</w:t>
      </w:r>
    </w:p>
    <w:p w14:paraId="37505920" w14:textId="791F14DD" w:rsidR="00777571" w:rsidRPr="00B245B7" w:rsidRDefault="00777571" w:rsidP="00596B23">
      <w:pPr>
        <w:shd w:val="clear" w:color="auto" w:fill="FFFFFF"/>
        <w:spacing w:line="270" w:lineRule="atLeast"/>
        <w:jc w:val="left"/>
        <w:rPr>
          <w:rFonts w:ascii="Arial" w:hAnsi="Arial" w:cs="Arial"/>
          <w:color w:val="333333"/>
          <w:szCs w:val="24"/>
        </w:rPr>
      </w:pPr>
      <w:r w:rsidRPr="00B245B7">
        <w:rPr>
          <w:rFonts w:ascii="Arial" w:hAnsi="Arial" w:cs="Arial"/>
          <w:szCs w:val="24"/>
        </w:rPr>
        <w:t xml:space="preserve">Stevens, M. and Morris, D., 2016. Developing and </w:t>
      </w:r>
      <w:r w:rsidR="00596B23" w:rsidRPr="00B245B7">
        <w:rPr>
          <w:rFonts w:ascii="Arial" w:hAnsi="Arial" w:cs="Arial"/>
          <w:szCs w:val="24"/>
        </w:rPr>
        <w:t>modelling</w:t>
      </w:r>
      <w:r w:rsidRPr="00B245B7">
        <w:rPr>
          <w:rFonts w:ascii="Arial" w:hAnsi="Arial" w:cs="Arial"/>
          <w:szCs w:val="24"/>
        </w:rPr>
        <w:t xml:space="preserve"> complex social interventions: </w:t>
      </w:r>
      <w:r w:rsidRPr="00B245B7">
        <w:rPr>
          <w:rFonts w:ascii="Arial" w:hAnsi="Arial" w:cs="Arial"/>
          <w:i/>
          <w:iCs/>
          <w:szCs w:val="24"/>
        </w:rPr>
        <w:t>Research on Social Work Practice</w:t>
      </w:r>
      <w:r w:rsidRPr="00B245B7">
        <w:rPr>
          <w:rFonts w:ascii="Arial" w:hAnsi="Arial" w:cs="Arial"/>
          <w:szCs w:val="24"/>
        </w:rPr>
        <w:t>, 26(1), pp.14-19.</w:t>
      </w:r>
      <w:hyperlink r:id="rId22" w:history="1">
        <w:r w:rsidR="00596B23" w:rsidRPr="00B245B7">
          <w:rPr>
            <w:rStyle w:val="Hyperlink"/>
            <w:rFonts w:ascii="Arial" w:hAnsi="Arial" w:cs="Arial"/>
            <w:b/>
            <w:bCs/>
            <w:szCs w:val="24"/>
            <w:bdr w:val="none" w:sz="0" w:space="0" w:color="auto" w:frame="1"/>
            <w:shd w:val="clear" w:color="auto" w:fill="FFFFFF"/>
          </w:rPr>
          <w:t>https://clok.uclan.ac.uk/11566/1/Research on Social Work Practice paper.pdf</w:t>
        </w:r>
      </w:hyperlink>
    </w:p>
    <w:p w14:paraId="1C1863A1" w14:textId="77777777" w:rsidR="00596B23" w:rsidRPr="00B245B7" w:rsidRDefault="00596B23" w:rsidP="00777571">
      <w:pPr>
        <w:rPr>
          <w:rFonts w:ascii="Arial" w:hAnsi="Arial" w:cs="Arial"/>
          <w:szCs w:val="24"/>
        </w:rPr>
      </w:pPr>
    </w:p>
    <w:p w14:paraId="2364DA53" w14:textId="6F93EDF9" w:rsidR="00596B23" w:rsidRPr="00B245B7" w:rsidRDefault="00777571" w:rsidP="00596B23">
      <w:pPr>
        <w:shd w:val="clear" w:color="auto" w:fill="FFFFFF"/>
        <w:spacing w:line="270" w:lineRule="atLeast"/>
        <w:jc w:val="left"/>
        <w:rPr>
          <w:rFonts w:ascii="Arial" w:hAnsi="Arial" w:cs="Arial"/>
          <w:color w:val="333333"/>
          <w:szCs w:val="24"/>
        </w:rPr>
      </w:pPr>
      <w:r w:rsidRPr="00B245B7">
        <w:rPr>
          <w:rFonts w:ascii="Arial" w:hAnsi="Arial" w:cs="Arial"/>
          <w:szCs w:val="24"/>
        </w:rPr>
        <w:t xml:space="preserve">Wells, K., Miranda, J., Bruce, M.L., Alegria, M. and Wallerstein, N., 2004. Bridging community intervention and mental health services research. </w:t>
      </w:r>
      <w:r w:rsidRPr="00B245B7">
        <w:rPr>
          <w:rFonts w:ascii="Arial" w:hAnsi="Arial" w:cs="Arial"/>
          <w:i/>
          <w:iCs/>
          <w:szCs w:val="24"/>
        </w:rPr>
        <w:t>American Journal of Psychiatry</w:t>
      </w:r>
      <w:r w:rsidRPr="00B245B7">
        <w:rPr>
          <w:rFonts w:ascii="Arial" w:hAnsi="Arial" w:cs="Arial"/>
          <w:szCs w:val="24"/>
        </w:rPr>
        <w:t>, 161(6), pp.955-963</w:t>
      </w:r>
      <w:r w:rsidR="00596B23" w:rsidRPr="00B245B7">
        <w:rPr>
          <w:rFonts w:ascii="Arial" w:hAnsi="Arial" w:cs="Arial"/>
          <w:szCs w:val="24"/>
        </w:rPr>
        <w:t>.</w:t>
      </w:r>
    </w:p>
    <w:p w14:paraId="5AF61934" w14:textId="6F187A6A" w:rsidR="00777571" w:rsidRDefault="00000000" w:rsidP="00596B23">
      <w:hyperlink r:id="rId23" w:tgtFrame="_blank" w:history="1">
        <w:r w:rsidR="00596B23">
          <w:rPr>
            <w:rStyle w:val="Hyperlink"/>
            <w:rFonts w:ascii="Helvetica" w:hAnsi="Helvetica" w:cs="Helvetica"/>
            <w:b/>
            <w:bCs/>
            <w:color w:val="00799E"/>
            <w:sz w:val="21"/>
            <w:szCs w:val="21"/>
            <w:bdr w:val="none" w:sz="0" w:space="0" w:color="auto" w:frame="1"/>
            <w:shd w:val="clear" w:color="auto" w:fill="FFFFFF"/>
          </w:rPr>
          <w:t>https://www.ncbi.nlm.nih.gov/pmc/articles/PMC3780560</w:t>
        </w:r>
      </w:hyperlink>
    </w:p>
    <w:p w14:paraId="5910F224" w14:textId="77777777" w:rsidR="00777571" w:rsidRPr="00777571" w:rsidRDefault="00777571" w:rsidP="00777571"/>
    <w:sectPr w:rsidR="00777571" w:rsidRPr="00777571" w:rsidSect="00277FD0">
      <w:footerReference w:type="default" r:id="rId24"/>
      <w:footerReference w:type="first" r:id="rId2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AF0BB" w14:textId="77777777" w:rsidR="00637A3C" w:rsidRDefault="00637A3C" w:rsidP="001C2725">
      <w:pPr>
        <w:spacing w:after="0" w:line="240" w:lineRule="auto"/>
      </w:pPr>
      <w:r>
        <w:separator/>
      </w:r>
    </w:p>
  </w:endnote>
  <w:endnote w:type="continuationSeparator" w:id="0">
    <w:p w14:paraId="476BA62F" w14:textId="77777777" w:rsidR="00637A3C" w:rsidRDefault="00637A3C" w:rsidP="001C2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DC658" w14:textId="7F54A655" w:rsidR="005222F9" w:rsidRPr="005222F9" w:rsidRDefault="005222F9">
    <w:pPr>
      <w:pStyle w:val="Footer"/>
      <w:jc w:val="center"/>
      <w:rPr>
        <w:rFonts w:ascii="Arial" w:hAnsi="Arial" w:cs="Arial"/>
      </w:rPr>
    </w:pPr>
  </w:p>
  <w:p w14:paraId="167019E9" w14:textId="659EB165" w:rsidR="00D52F8B" w:rsidRDefault="00D52F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1646044"/>
      <w:docPartObj>
        <w:docPartGallery w:val="Page Numbers (Bottom of Page)"/>
        <w:docPartUnique/>
      </w:docPartObj>
    </w:sdtPr>
    <w:sdtEndPr>
      <w:rPr>
        <w:noProof/>
      </w:rPr>
    </w:sdtEndPr>
    <w:sdtContent>
      <w:p w14:paraId="24A1A7AB" w14:textId="3BF4B431" w:rsidR="00277FD0" w:rsidRDefault="00277FD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988646" w14:textId="77777777" w:rsidR="00277FD0" w:rsidRDefault="00277F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5239173"/>
      <w:docPartObj>
        <w:docPartGallery w:val="Page Numbers (Bottom of Page)"/>
        <w:docPartUnique/>
      </w:docPartObj>
    </w:sdtPr>
    <w:sdtEndPr>
      <w:rPr>
        <w:noProof/>
      </w:rPr>
    </w:sdtEndPr>
    <w:sdtContent>
      <w:p w14:paraId="68E28644" w14:textId="627C641F" w:rsidR="00277FD0" w:rsidRDefault="00277FD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FDF318" w14:textId="77777777" w:rsidR="00D52F8B" w:rsidRDefault="00D52F8B" w:rsidP="00D52F8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2F9B6" w14:textId="77777777" w:rsidR="00637A3C" w:rsidRDefault="00637A3C" w:rsidP="001C2725">
      <w:pPr>
        <w:spacing w:after="0" w:line="240" w:lineRule="auto"/>
      </w:pPr>
      <w:r>
        <w:separator/>
      </w:r>
    </w:p>
  </w:footnote>
  <w:footnote w:type="continuationSeparator" w:id="0">
    <w:p w14:paraId="4B560721" w14:textId="77777777" w:rsidR="00637A3C" w:rsidRDefault="00637A3C" w:rsidP="001C27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10B9D"/>
    <w:multiLevelType w:val="hybridMultilevel"/>
    <w:tmpl w:val="B0F8C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D75D78"/>
    <w:multiLevelType w:val="hybridMultilevel"/>
    <w:tmpl w:val="0D446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436764"/>
    <w:multiLevelType w:val="hybridMultilevel"/>
    <w:tmpl w:val="8946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E12C2F"/>
    <w:multiLevelType w:val="hybridMultilevel"/>
    <w:tmpl w:val="88604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2D5250"/>
    <w:multiLevelType w:val="hybridMultilevel"/>
    <w:tmpl w:val="29064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9308867">
    <w:abstractNumId w:val="0"/>
  </w:num>
  <w:num w:numId="2" w16cid:durableId="688288555">
    <w:abstractNumId w:val="3"/>
  </w:num>
  <w:num w:numId="3" w16cid:durableId="1948191243">
    <w:abstractNumId w:val="1"/>
  </w:num>
  <w:num w:numId="4" w16cid:durableId="889850361">
    <w:abstractNumId w:val="2"/>
  </w:num>
  <w:num w:numId="5" w16cid:durableId="2361390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402"/>
    <w:rsid w:val="00024082"/>
    <w:rsid w:val="00072B58"/>
    <w:rsid w:val="00074402"/>
    <w:rsid w:val="000759ED"/>
    <w:rsid w:val="000D0684"/>
    <w:rsid w:val="00111652"/>
    <w:rsid w:val="00152E89"/>
    <w:rsid w:val="00163521"/>
    <w:rsid w:val="001C2725"/>
    <w:rsid w:val="001E184A"/>
    <w:rsid w:val="00216C85"/>
    <w:rsid w:val="002234D3"/>
    <w:rsid w:val="00231AFA"/>
    <w:rsid w:val="00245822"/>
    <w:rsid w:val="0026006B"/>
    <w:rsid w:val="00273EDD"/>
    <w:rsid w:val="00277FD0"/>
    <w:rsid w:val="002A7124"/>
    <w:rsid w:val="002B2E7E"/>
    <w:rsid w:val="002C3965"/>
    <w:rsid w:val="00321C4C"/>
    <w:rsid w:val="003246F6"/>
    <w:rsid w:val="003440B0"/>
    <w:rsid w:val="00346233"/>
    <w:rsid w:val="00396277"/>
    <w:rsid w:val="003B2B30"/>
    <w:rsid w:val="0040067D"/>
    <w:rsid w:val="00402BB3"/>
    <w:rsid w:val="0040516E"/>
    <w:rsid w:val="004128E2"/>
    <w:rsid w:val="004D4CC4"/>
    <w:rsid w:val="004F3C11"/>
    <w:rsid w:val="00500650"/>
    <w:rsid w:val="005222F9"/>
    <w:rsid w:val="00564671"/>
    <w:rsid w:val="0058192C"/>
    <w:rsid w:val="00596B23"/>
    <w:rsid w:val="00600E32"/>
    <w:rsid w:val="00637A3C"/>
    <w:rsid w:val="00641EC4"/>
    <w:rsid w:val="00642BC8"/>
    <w:rsid w:val="006751F4"/>
    <w:rsid w:val="006E571D"/>
    <w:rsid w:val="006F0978"/>
    <w:rsid w:val="00702663"/>
    <w:rsid w:val="00762C8C"/>
    <w:rsid w:val="00771F16"/>
    <w:rsid w:val="00777571"/>
    <w:rsid w:val="007C62F4"/>
    <w:rsid w:val="007D43ED"/>
    <w:rsid w:val="007F72D8"/>
    <w:rsid w:val="008336C6"/>
    <w:rsid w:val="008802E4"/>
    <w:rsid w:val="008D4A7C"/>
    <w:rsid w:val="008F05EB"/>
    <w:rsid w:val="008F3B75"/>
    <w:rsid w:val="00957BE1"/>
    <w:rsid w:val="00964AB3"/>
    <w:rsid w:val="009756FB"/>
    <w:rsid w:val="009B28B0"/>
    <w:rsid w:val="009D1D1E"/>
    <w:rsid w:val="00A035FD"/>
    <w:rsid w:val="00A2278E"/>
    <w:rsid w:val="00A3276E"/>
    <w:rsid w:val="00A40225"/>
    <w:rsid w:val="00A76F24"/>
    <w:rsid w:val="00AE2888"/>
    <w:rsid w:val="00AE7247"/>
    <w:rsid w:val="00B07B64"/>
    <w:rsid w:val="00B21DEA"/>
    <w:rsid w:val="00B245B7"/>
    <w:rsid w:val="00B26D66"/>
    <w:rsid w:val="00B7292F"/>
    <w:rsid w:val="00BB7B97"/>
    <w:rsid w:val="00BD7E0A"/>
    <w:rsid w:val="00BE2C2B"/>
    <w:rsid w:val="00BE7924"/>
    <w:rsid w:val="00C05AF6"/>
    <w:rsid w:val="00C37ABF"/>
    <w:rsid w:val="00C52637"/>
    <w:rsid w:val="00CD55CF"/>
    <w:rsid w:val="00D52F8B"/>
    <w:rsid w:val="00D71774"/>
    <w:rsid w:val="00DA754F"/>
    <w:rsid w:val="00DF13D4"/>
    <w:rsid w:val="00E26E1E"/>
    <w:rsid w:val="00E8067A"/>
    <w:rsid w:val="00EA0033"/>
    <w:rsid w:val="00EA627E"/>
    <w:rsid w:val="00F062D2"/>
    <w:rsid w:val="00F54957"/>
    <w:rsid w:val="00F56C4D"/>
    <w:rsid w:val="00F62A9C"/>
    <w:rsid w:val="00F75884"/>
    <w:rsid w:val="00FE017D"/>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8A6F01F-BA29-4475-87C0-EDF147F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67D"/>
    <w:pPr>
      <w:spacing w:line="360" w:lineRule="auto"/>
      <w:jc w:val="both"/>
    </w:pPr>
  </w:style>
  <w:style w:type="paragraph" w:styleId="Heading1">
    <w:name w:val="heading 1"/>
    <w:basedOn w:val="Normal"/>
    <w:next w:val="Normal"/>
    <w:link w:val="Heading1Char"/>
    <w:autoRedefine/>
    <w:uiPriority w:val="9"/>
    <w:qFormat/>
    <w:rsid w:val="00B07B64"/>
    <w:pPr>
      <w:keepNext/>
      <w:keepLines/>
      <w:spacing w:before="240" w:after="0"/>
      <w:jc w:val="left"/>
      <w:outlineLvl w:val="0"/>
    </w:pPr>
    <w:rPr>
      <w:rFonts w:ascii="Arial" w:eastAsiaTheme="majorEastAsia" w:hAnsi="Arial" w:cstheme="majorBidi"/>
      <w:b/>
      <w:sz w:val="28"/>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B64"/>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ListParagraph">
    <w:name w:val="List Paragraph"/>
    <w:basedOn w:val="Normal"/>
    <w:uiPriority w:val="34"/>
    <w:qFormat/>
    <w:rsid w:val="00F75884"/>
    <w:pPr>
      <w:ind w:left="720"/>
      <w:contextualSpacing/>
    </w:pPr>
  </w:style>
  <w:style w:type="paragraph" w:styleId="Header">
    <w:name w:val="header"/>
    <w:basedOn w:val="Normal"/>
    <w:link w:val="HeaderChar"/>
    <w:uiPriority w:val="99"/>
    <w:unhideWhenUsed/>
    <w:rsid w:val="001C2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725"/>
  </w:style>
  <w:style w:type="paragraph" w:styleId="Footer">
    <w:name w:val="footer"/>
    <w:basedOn w:val="Normal"/>
    <w:link w:val="FooterChar"/>
    <w:uiPriority w:val="99"/>
    <w:unhideWhenUsed/>
    <w:rsid w:val="001C2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725"/>
  </w:style>
  <w:style w:type="paragraph" w:styleId="TOCHeading">
    <w:name w:val="TOC Heading"/>
    <w:basedOn w:val="Heading1"/>
    <w:next w:val="Normal"/>
    <w:uiPriority w:val="39"/>
    <w:unhideWhenUsed/>
    <w:qFormat/>
    <w:rsid w:val="00BE7924"/>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E7924"/>
    <w:pPr>
      <w:spacing w:before="120" w:after="0"/>
      <w:jc w:val="left"/>
    </w:pPr>
    <w:rPr>
      <w:rFonts w:asciiTheme="minorHAnsi" w:hAnsiTheme="minorHAnsi" w:cstheme="minorHAnsi"/>
      <w:b/>
      <w:bCs/>
      <w:i/>
      <w:iCs/>
      <w:szCs w:val="28"/>
    </w:rPr>
  </w:style>
  <w:style w:type="character" w:styleId="Hyperlink">
    <w:name w:val="Hyperlink"/>
    <w:basedOn w:val="DefaultParagraphFont"/>
    <w:uiPriority w:val="99"/>
    <w:unhideWhenUsed/>
    <w:rsid w:val="00BE7924"/>
    <w:rPr>
      <w:color w:val="0563C1" w:themeColor="hyperlink"/>
      <w:u w:val="single"/>
    </w:rPr>
  </w:style>
  <w:style w:type="character" w:styleId="PageNumber">
    <w:name w:val="page number"/>
    <w:basedOn w:val="DefaultParagraphFont"/>
    <w:uiPriority w:val="99"/>
    <w:semiHidden/>
    <w:unhideWhenUsed/>
    <w:rsid w:val="00D52F8B"/>
  </w:style>
  <w:style w:type="paragraph" w:styleId="TOC2">
    <w:name w:val="toc 2"/>
    <w:basedOn w:val="Normal"/>
    <w:next w:val="Normal"/>
    <w:autoRedefine/>
    <w:uiPriority w:val="39"/>
    <w:semiHidden/>
    <w:unhideWhenUsed/>
    <w:rsid w:val="00D52F8B"/>
    <w:pPr>
      <w:spacing w:before="120" w:after="0"/>
      <w:ind w:left="240"/>
      <w:jc w:val="left"/>
    </w:pPr>
    <w:rPr>
      <w:rFonts w:asciiTheme="minorHAnsi" w:hAnsiTheme="minorHAnsi" w:cstheme="minorHAnsi"/>
      <w:b/>
      <w:bCs/>
      <w:sz w:val="22"/>
      <w:szCs w:val="26"/>
    </w:rPr>
  </w:style>
  <w:style w:type="paragraph" w:styleId="TOC3">
    <w:name w:val="toc 3"/>
    <w:basedOn w:val="Normal"/>
    <w:next w:val="Normal"/>
    <w:autoRedefine/>
    <w:uiPriority w:val="39"/>
    <w:semiHidden/>
    <w:unhideWhenUsed/>
    <w:rsid w:val="00D52F8B"/>
    <w:pPr>
      <w:spacing w:after="0"/>
      <w:ind w:left="480"/>
      <w:jc w:val="left"/>
    </w:pPr>
    <w:rPr>
      <w:rFonts w:asciiTheme="minorHAnsi" w:hAnsiTheme="minorHAnsi" w:cstheme="minorHAnsi"/>
      <w:sz w:val="20"/>
      <w:szCs w:val="24"/>
    </w:rPr>
  </w:style>
  <w:style w:type="paragraph" w:styleId="TOC4">
    <w:name w:val="toc 4"/>
    <w:basedOn w:val="Normal"/>
    <w:next w:val="Normal"/>
    <w:autoRedefine/>
    <w:uiPriority w:val="39"/>
    <w:semiHidden/>
    <w:unhideWhenUsed/>
    <w:rsid w:val="00D52F8B"/>
    <w:pPr>
      <w:spacing w:after="0"/>
      <w:ind w:left="72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D52F8B"/>
    <w:pPr>
      <w:spacing w:after="0"/>
      <w:ind w:left="96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D52F8B"/>
    <w:pPr>
      <w:spacing w:after="0"/>
      <w:ind w:left="12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D52F8B"/>
    <w:pPr>
      <w:spacing w:after="0"/>
      <w:ind w:left="144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D52F8B"/>
    <w:pPr>
      <w:spacing w:after="0"/>
      <w:ind w:left="168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D52F8B"/>
    <w:pPr>
      <w:spacing w:after="0"/>
      <w:ind w:left="1920"/>
      <w:jc w:val="left"/>
    </w:pPr>
    <w:rPr>
      <w:rFonts w:asciiTheme="minorHAnsi" w:hAnsiTheme="minorHAnsi" w:cstheme="minorHAnsi"/>
      <w:sz w:val="20"/>
      <w:szCs w:val="24"/>
    </w:rPr>
  </w:style>
  <w:style w:type="paragraph" w:styleId="NormalWeb">
    <w:name w:val="Normal (Web)"/>
    <w:basedOn w:val="Normal"/>
    <w:uiPriority w:val="99"/>
    <w:unhideWhenUsed/>
    <w:rsid w:val="00F62A9C"/>
    <w:pPr>
      <w:spacing w:before="100" w:beforeAutospacing="1" w:after="100" w:afterAutospacing="1" w:line="240" w:lineRule="auto"/>
      <w:jc w:val="left"/>
    </w:pPr>
    <w:rPr>
      <w:rFonts w:eastAsia="Times New Roman" w:cs="Times New Roman"/>
      <w:szCs w:val="24"/>
      <w:lang w:eastAsia="en-GB"/>
    </w:rPr>
  </w:style>
  <w:style w:type="character" w:styleId="Emphasis">
    <w:name w:val="Emphasis"/>
    <w:basedOn w:val="DefaultParagraphFont"/>
    <w:uiPriority w:val="20"/>
    <w:qFormat/>
    <w:rsid w:val="00277FD0"/>
    <w:rPr>
      <w:i/>
      <w:iCs/>
    </w:rPr>
  </w:style>
  <w:style w:type="character" w:styleId="UnresolvedMention">
    <w:name w:val="Unresolved Mention"/>
    <w:basedOn w:val="DefaultParagraphFont"/>
    <w:uiPriority w:val="99"/>
    <w:semiHidden/>
    <w:unhideWhenUsed/>
    <w:rsid w:val="000D06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26204">
      <w:bodyDiv w:val="1"/>
      <w:marLeft w:val="0"/>
      <w:marRight w:val="0"/>
      <w:marTop w:val="0"/>
      <w:marBottom w:val="0"/>
      <w:divBdr>
        <w:top w:val="none" w:sz="0" w:space="0" w:color="auto"/>
        <w:left w:val="none" w:sz="0" w:space="0" w:color="auto"/>
        <w:bottom w:val="none" w:sz="0" w:space="0" w:color="auto"/>
        <w:right w:val="none" w:sz="0" w:space="0" w:color="auto"/>
      </w:divBdr>
      <w:divsChild>
        <w:div w:id="1209144091">
          <w:marLeft w:val="0"/>
          <w:marRight w:val="0"/>
          <w:marTop w:val="150"/>
          <w:marBottom w:val="0"/>
          <w:divBdr>
            <w:top w:val="none" w:sz="0" w:space="0" w:color="auto"/>
            <w:left w:val="none" w:sz="0" w:space="0" w:color="auto"/>
            <w:bottom w:val="none" w:sz="0" w:space="0" w:color="auto"/>
            <w:right w:val="none" w:sz="0" w:space="0" w:color="auto"/>
          </w:divBdr>
        </w:div>
      </w:divsChild>
    </w:div>
    <w:div w:id="175922182">
      <w:bodyDiv w:val="1"/>
      <w:marLeft w:val="0"/>
      <w:marRight w:val="0"/>
      <w:marTop w:val="0"/>
      <w:marBottom w:val="0"/>
      <w:divBdr>
        <w:top w:val="none" w:sz="0" w:space="0" w:color="auto"/>
        <w:left w:val="none" w:sz="0" w:space="0" w:color="auto"/>
        <w:bottom w:val="none" w:sz="0" w:space="0" w:color="auto"/>
        <w:right w:val="none" w:sz="0" w:space="0" w:color="auto"/>
      </w:divBdr>
    </w:div>
    <w:div w:id="216937223">
      <w:bodyDiv w:val="1"/>
      <w:marLeft w:val="0"/>
      <w:marRight w:val="0"/>
      <w:marTop w:val="0"/>
      <w:marBottom w:val="0"/>
      <w:divBdr>
        <w:top w:val="none" w:sz="0" w:space="0" w:color="auto"/>
        <w:left w:val="none" w:sz="0" w:space="0" w:color="auto"/>
        <w:bottom w:val="none" w:sz="0" w:space="0" w:color="auto"/>
        <w:right w:val="none" w:sz="0" w:space="0" w:color="auto"/>
      </w:divBdr>
    </w:div>
    <w:div w:id="357198912">
      <w:bodyDiv w:val="1"/>
      <w:marLeft w:val="0"/>
      <w:marRight w:val="0"/>
      <w:marTop w:val="0"/>
      <w:marBottom w:val="0"/>
      <w:divBdr>
        <w:top w:val="none" w:sz="0" w:space="0" w:color="auto"/>
        <w:left w:val="none" w:sz="0" w:space="0" w:color="auto"/>
        <w:bottom w:val="none" w:sz="0" w:space="0" w:color="auto"/>
        <w:right w:val="none" w:sz="0" w:space="0" w:color="auto"/>
      </w:divBdr>
      <w:divsChild>
        <w:div w:id="1906454398">
          <w:marLeft w:val="0"/>
          <w:marRight w:val="0"/>
          <w:marTop w:val="150"/>
          <w:marBottom w:val="0"/>
          <w:divBdr>
            <w:top w:val="none" w:sz="0" w:space="0" w:color="auto"/>
            <w:left w:val="none" w:sz="0" w:space="0" w:color="auto"/>
            <w:bottom w:val="none" w:sz="0" w:space="0" w:color="auto"/>
            <w:right w:val="none" w:sz="0" w:space="0" w:color="auto"/>
          </w:divBdr>
        </w:div>
      </w:divsChild>
    </w:div>
    <w:div w:id="495387254">
      <w:bodyDiv w:val="1"/>
      <w:marLeft w:val="0"/>
      <w:marRight w:val="0"/>
      <w:marTop w:val="0"/>
      <w:marBottom w:val="0"/>
      <w:divBdr>
        <w:top w:val="none" w:sz="0" w:space="0" w:color="auto"/>
        <w:left w:val="none" w:sz="0" w:space="0" w:color="auto"/>
        <w:bottom w:val="none" w:sz="0" w:space="0" w:color="auto"/>
        <w:right w:val="none" w:sz="0" w:space="0" w:color="auto"/>
      </w:divBdr>
    </w:div>
    <w:div w:id="985233541">
      <w:bodyDiv w:val="1"/>
      <w:marLeft w:val="0"/>
      <w:marRight w:val="0"/>
      <w:marTop w:val="0"/>
      <w:marBottom w:val="0"/>
      <w:divBdr>
        <w:top w:val="none" w:sz="0" w:space="0" w:color="auto"/>
        <w:left w:val="none" w:sz="0" w:space="0" w:color="auto"/>
        <w:bottom w:val="none" w:sz="0" w:space="0" w:color="auto"/>
        <w:right w:val="none" w:sz="0" w:space="0" w:color="auto"/>
      </w:divBdr>
      <w:divsChild>
        <w:div w:id="313602780">
          <w:marLeft w:val="0"/>
          <w:marRight w:val="0"/>
          <w:marTop w:val="150"/>
          <w:marBottom w:val="0"/>
          <w:divBdr>
            <w:top w:val="none" w:sz="0" w:space="0" w:color="auto"/>
            <w:left w:val="none" w:sz="0" w:space="0" w:color="auto"/>
            <w:bottom w:val="none" w:sz="0" w:space="0" w:color="auto"/>
            <w:right w:val="none" w:sz="0" w:space="0" w:color="auto"/>
          </w:divBdr>
        </w:div>
      </w:divsChild>
    </w:div>
    <w:div w:id="1043090362">
      <w:bodyDiv w:val="1"/>
      <w:marLeft w:val="0"/>
      <w:marRight w:val="0"/>
      <w:marTop w:val="0"/>
      <w:marBottom w:val="0"/>
      <w:divBdr>
        <w:top w:val="none" w:sz="0" w:space="0" w:color="auto"/>
        <w:left w:val="none" w:sz="0" w:space="0" w:color="auto"/>
        <w:bottom w:val="none" w:sz="0" w:space="0" w:color="auto"/>
        <w:right w:val="none" w:sz="0" w:space="0" w:color="auto"/>
      </w:divBdr>
    </w:div>
    <w:div w:id="1250696328">
      <w:bodyDiv w:val="1"/>
      <w:marLeft w:val="0"/>
      <w:marRight w:val="0"/>
      <w:marTop w:val="0"/>
      <w:marBottom w:val="0"/>
      <w:divBdr>
        <w:top w:val="none" w:sz="0" w:space="0" w:color="auto"/>
        <w:left w:val="none" w:sz="0" w:space="0" w:color="auto"/>
        <w:bottom w:val="none" w:sz="0" w:space="0" w:color="auto"/>
        <w:right w:val="none" w:sz="0" w:space="0" w:color="auto"/>
      </w:divBdr>
    </w:div>
    <w:div w:id="1570194836">
      <w:bodyDiv w:val="1"/>
      <w:marLeft w:val="0"/>
      <w:marRight w:val="0"/>
      <w:marTop w:val="0"/>
      <w:marBottom w:val="0"/>
      <w:divBdr>
        <w:top w:val="none" w:sz="0" w:space="0" w:color="auto"/>
        <w:left w:val="none" w:sz="0" w:space="0" w:color="auto"/>
        <w:bottom w:val="none" w:sz="0" w:space="0" w:color="auto"/>
        <w:right w:val="none" w:sz="0" w:space="0" w:color="auto"/>
      </w:divBdr>
      <w:divsChild>
        <w:div w:id="447240591">
          <w:marLeft w:val="0"/>
          <w:marRight w:val="0"/>
          <w:marTop w:val="150"/>
          <w:marBottom w:val="0"/>
          <w:divBdr>
            <w:top w:val="none" w:sz="0" w:space="0" w:color="auto"/>
            <w:left w:val="none" w:sz="0" w:space="0" w:color="auto"/>
            <w:bottom w:val="none" w:sz="0" w:space="0" w:color="auto"/>
            <w:right w:val="none" w:sz="0" w:space="0" w:color="auto"/>
          </w:divBdr>
        </w:div>
      </w:divsChild>
    </w:div>
    <w:div w:id="1742604670">
      <w:bodyDiv w:val="1"/>
      <w:marLeft w:val="0"/>
      <w:marRight w:val="0"/>
      <w:marTop w:val="0"/>
      <w:marBottom w:val="0"/>
      <w:divBdr>
        <w:top w:val="none" w:sz="0" w:space="0" w:color="auto"/>
        <w:left w:val="none" w:sz="0" w:space="0" w:color="auto"/>
        <w:bottom w:val="none" w:sz="0" w:space="0" w:color="auto"/>
        <w:right w:val="none" w:sz="0" w:space="0" w:color="auto"/>
      </w:divBdr>
    </w:div>
    <w:div w:id="1792557229">
      <w:bodyDiv w:val="1"/>
      <w:marLeft w:val="0"/>
      <w:marRight w:val="0"/>
      <w:marTop w:val="0"/>
      <w:marBottom w:val="0"/>
      <w:divBdr>
        <w:top w:val="none" w:sz="0" w:space="0" w:color="auto"/>
        <w:left w:val="none" w:sz="0" w:space="0" w:color="auto"/>
        <w:bottom w:val="none" w:sz="0" w:space="0" w:color="auto"/>
        <w:right w:val="none" w:sz="0" w:space="0" w:color="auto"/>
      </w:divBdr>
    </w:div>
    <w:div w:id="1807233729">
      <w:bodyDiv w:val="1"/>
      <w:marLeft w:val="0"/>
      <w:marRight w:val="0"/>
      <w:marTop w:val="0"/>
      <w:marBottom w:val="0"/>
      <w:divBdr>
        <w:top w:val="none" w:sz="0" w:space="0" w:color="auto"/>
        <w:left w:val="none" w:sz="0" w:space="0" w:color="auto"/>
        <w:bottom w:val="none" w:sz="0" w:space="0" w:color="auto"/>
        <w:right w:val="none" w:sz="0" w:space="0" w:color="auto"/>
      </w:divBdr>
      <w:divsChild>
        <w:div w:id="897207357">
          <w:marLeft w:val="0"/>
          <w:marRight w:val="0"/>
          <w:marTop w:val="150"/>
          <w:marBottom w:val="0"/>
          <w:divBdr>
            <w:top w:val="none" w:sz="0" w:space="0" w:color="auto"/>
            <w:left w:val="none" w:sz="0" w:space="0" w:color="auto"/>
            <w:bottom w:val="none" w:sz="0" w:space="0" w:color="auto"/>
            <w:right w:val="none" w:sz="0" w:space="0" w:color="auto"/>
          </w:divBdr>
        </w:div>
      </w:divsChild>
    </w:div>
    <w:div w:id="1840584700">
      <w:bodyDiv w:val="1"/>
      <w:marLeft w:val="0"/>
      <w:marRight w:val="0"/>
      <w:marTop w:val="0"/>
      <w:marBottom w:val="0"/>
      <w:divBdr>
        <w:top w:val="none" w:sz="0" w:space="0" w:color="auto"/>
        <w:left w:val="none" w:sz="0" w:space="0" w:color="auto"/>
        <w:bottom w:val="none" w:sz="0" w:space="0" w:color="auto"/>
        <w:right w:val="none" w:sz="0" w:space="0" w:color="auto"/>
      </w:divBdr>
      <w:divsChild>
        <w:div w:id="900333908">
          <w:marLeft w:val="0"/>
          <w:marRight w:val="0"/>
          <w:marTop w:val="150"/>
          <w:marBottom w:val="0"/>
          <w:divBdr>
            <w:top w:val="none" w:sz="0" w:space="0" w:color="auto"/>
            <w:left w:val="none" w:sz="0" w:space="0" w:color="auto"/>
            <w:bottom w:val="none" w:sz="0" w:space="0" w:color="auto"/>
            <w:right w:val="none" w:sz="0" w:space="0" w:color="auto"/>
          </w:divBdr>
        </w:div>
      </w:divsChild>
    </w:div>
    <w:div w:id="1947803961">
      <w:bodyDiv w:val="1"/>
      <w:marLeft w:val="0"/>
      <w:marRight w:val="0"/>
      <w:marTop w:val="0"/>
      <w:marBottom w:val="0"/>
      <w:divBdr>
        <w:top w:val="none" w:sz="0" w:space="0" w:color="auto"/>
        <w:left w:val="none" w:sz="0" w:space="0" w:color="auto"/>
        <w:bottom w:val="none" w:sz="0" w:space="0" w:color="auto"/>
        <w:right w:val="none" w:sz="0" w:space="0" w:color="auto"/>
      </w:divBdr>
      <w:divsChild>
        <w:div w:id="653264316">
          <w:marLeft w:val="0"/>
          <w:marRight w:val="0"/>
          <w:marTop w:val="150"/>
          <w:marBottom w:val="0"/>
          <w:divBdr>
            <w:top w:val="none" w:sz="0" w:space="0" w:color="auto"/>
            <w:left w:val="none" w:sz="0" w:space="0" w:color="auto"/>
            <w:bottom w:val="none" w:sz="0" w:space="0" w:color="auto"/>
            <w:right w:val="none" w:sz="0" w:space="0" w:color="auto"/>
          </w:divBdr>
        </w:div>
      </w:divsChild>
    </w:div>
    <w:div w:id="2005887449">
      <w:bodyDiv w:val="1"/>
      <w:marLeft w:val="0"/>
      <w:marRight w:val="0"/>
      <w:marTop w:val="0"/>
      <w:marBottom w:val="0"/>
      <w:divBdr>
        <w:top w:val="none" w:sz="0" w:space="0" w:color="auto"/>
        <w:left w:val="none" w:sz="0" w:space="0" w:color="auto"/>
        <w:bottom w:val="none" w:sz="0" w:space="0" w:color="auto"/>
        <w:right w:val="none" w:sz="0" w:space="0" w:color="auto"/>
      </w:divBdr>
    </w:div>
    <w:div w:id="214514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yperlink" Target="https://healtheducationresources.unesco.org/library/documents/factors-influencing-access-and-retention-secondary-schooling-orphaned-and"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ru.ac.za/media/rhodesuniversity/content/psychology/documents/David_Edwards..."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vuir.vu.edu.au/452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ncbi.nlm.nih.gov/pmc/articles/PMC3780560/" TargetMode="External"/><Relationship Id="rId10" Type="http://schemas.openxmlformats.org/officeDocument/2006/relationships/image" Target="media/image2.png"/><Relationship Id="rId19" Type="http://schemas.openxmlformats.org/officeDocument/2006/relationships/hyperlink" Target="https://www.researchgate.net/publication/358692315_Spatial_analysis_of_the_urban_physical_vulnerability_using_remote_sensing_and_geographic_information_systems_case_study_Yogyakarta_City"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clok.uclan.ac.uk/11566/1/Research%20on%20Social%20Work%20Practice%20paper.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14719-21E4-4CC9-8CB5-1CABE9DFC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9</Pages>
  <Words>1587</Words>
  <Characters>9047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Portia</cp:lastModifiedBy>
  <cp:revision>17</cp:revision>
  <dcterms:created xsi:type="dcterms:W3CDTF">2023-08-17T14:02:00Z</dcterms:created>
  <dcterms:modified xsi:type="dcterms:W3CDTF">2023-08-22T11:32:00Z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eb806ea22e3a23591002ba6475d90a5f4bc5f70bb4584aa4dad760903dc02d81</vt:lpwstr>
  </property>
</Properties>
</file>