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0A2FD" w14:textId="77777777" w:rsidR="00DB2A3E" w:rsidRDefault="00DB2A3E" w:rsidP="00DB2A3E">
      <w:pPr>
        <w:jc w:val="center"/>
        <w:rPr>
          <w:rFonts w:ascii="Arial" w:hAnsi="Arial" w:cs="Arial"/>
          <w:b/>
          <w:bCs/>
          <w:sz w:val="22"/>
          <w:szCs w:val="22"/>
        </w:rPr>
      </w:pPr>
    </w:p>
    <w:p w14:paraId="71ECDB73" w14:textId="77777777" w:rsidR="00DB2A3E" w:rsidRDefault="00DB2A3E" w:rsidP="00DB2A3E">
      <w:pPr>
        <w:jc w:val="center"/>
        <w:rPr>
          <w:rFonts w:ascii="Arial" w:hAnsi="Arial" w:cs="Arial"/>
          <w:b/>
          <w:bCs/>
          <w:sz w:val="22"/>
          <w:szCs w:val="22"/>
        </w:rPr>
      </w:pPr>
    </w:p>
    <w:p w14:paraId="245DD5F9" w14:textId="77777777" w:rsidR="00DB2A3E" w:rsidRDefault="00DB2A3E" w:rsidP="00DB2A3E">
      <w:pPr>
        <w:jc w:val="center"/>
        <w:rPr>
          <w:rFonts w:ascii="Arial" w:hAnsi="Arial" w:cs="Arial"/>
          <w:b/>
          <w:bCs/>
          <w:sz w:val="22"/>
          <w:szCs w:val="22"/>
        </w:rPr>
      </w:pPr>
    </w:p>
    <w:p w14:paraId="2C6F604F" w14:textId="77777777" w:rsidR="00DB2A3E" w:rsidRDefault="00DB2A3E" w:rsidP="00DB2A3E">
      <w:pPr>
        <w:jc w:val="center"/>
        <w:rPr>
          <w:rFonts w:ascii="Arial" w:hAnsi="Arial" w:cs="Arial"/>
          <w:b/>
          <w:bCs/>
          <w:sz w:val="22"/>
          <w:szCs w:val="22"/>
        </w:rPr>
      </w:pPr>
    </w:p>
    <w:p w14:paraId="5A6C313A" w14:textId="77777777" w:rsidR="00DB2A3E" w:rsidRDefault="00DB2A3E" w:rsidP="00DB2A3E">
      <w:pPr>
        <w:jc w:val="center"/>
        <w:rPr>
          <w:rFonts w:ascii="Arial" w:hAnsi="Arial" w:cs="Arial"/>
          <w:b/>
          <w:bCs/>
          <w:sz w:val="22"/>
          <w:szCs w:val="22"/>
        </w:rPr>
      </w:pPr>
    </w:p>
    <w:p w14:paraId="13986C11" w14:textId="77777777" w:rsidR="00DB2A3E" w:rsidRDefault="00DB2A3E" w:rsidP="00DB2A3E">
      <w:pPr>
        <w:jc w:val="center"/>
        <w:rPr>
          <w:rFonts w:ascii="Arial" w:hAnsi="Arial" w:cs="Arial"/>
          <w:b/>
          <w:bCs/>
          <w:sz w:val="22"/>
          <w:szCs w:val="22"/>
        </w:rPr>
      </w:pPr>
    </w:p>
    <w:p w14:paraId="6FB2F257" w14:textId="0485DDCF" w:rsidR="00DB2A3E" w:rsidRDefault="00DB2A3E" w:rsidP="00DB2A3E">
      <w:pPr>
        <w:jc w:val="center"/>
        <w:rPr>
          <w:rFonts w:ascii="Arial" w:hAnsi="Arial" w:cs="Arial"/>
          <w:b/>
          <w:bCs/>
          <w:sz w:val="22"/>
          <w:szCs w:val="22"/>
        </w:rPr>
      </w:pPr>
      <w:r w:rsidRPr="00DB2A3E">
        <w:rPr>
          <w:rFonts w:ascii="Arial" w:hAnsi="Arial" w:cs="Arial"/>
          <w:b/>
          <w:bCs/>
          <w:sz w:val="22"/>
          <w:szCs w:val="22"/>
        </w:rPr>
        <w:t xml:space="preserve">5OS01 Specialist </w:t>
      </w:r>
      <w:r w:rsidR="00767606">
        <w:rPr>
          <w:rFonts w:ascii="Arial" w:hAnsi="Arial" w:cs="Arial"/>
          <w:b/>
          <w:bCs/>
          <w:sz w:val="22"/>
          <w:szCs w:val="22"/>
        </w:rPr>
        <w:t>E</w:t>
      </w:r>
      <w:r w:rsidRPr="00DB2A3E">
        <w:rPr>
          <w:rFonts w:ascii="Arial" w:hAnsi="Arial" w:cs="Arial"/>
          <w:b/>
          <w:bCs/>
          <w:sz w:val="22"/>
          <w:szCs w:val="22"/>
        </w:rPr>
        <w:t xml:space="preserve">mployment </w:t>
      </w:r>
      <w:r>
        <w:rPr>
          <w:rFonts w:ascii="Arial" w:hAnsi="Arial" w:cs="Arial"/>
          <w:b/>
          <w:bCs/>
          <w:sz w:val="22"/>
          <w:szCs w:val="22"/>
        </w:rPr>
        <w:t>Law</w:t>
      </w:r>
    </w:p>
    <w:p w14:paraId="5812D2BB" w14:textId="0D116741" w:rsidR="00DB2A3E" w:rsidRDefault="00DB2A3E" w:rsidP="00DB2A3E">
      <w:pPr>
        <w:jc w:val="center"/>
        <w:rPr>
          <w:rFonts w:ascii="Arial" w:hAnsi="Arial" w:cs="Arial"/>
          <w:b/>
          <w:bCs/>
          <w:sz w:val="22"/>
          <w:szCs w:val="22"/>
        </w:rPr>
      </w:pPr>
      <w:r>
        <w:rPr>
          <w:rFonts w:ascii="Arial" w:hAnsi="Arial" w:cs="Arial"/>
          <w:b/>
          <w:bCs/>
          <w:sz w:val="22"/>
          <w:szCs w:val="22"/>
        </w:rPr>
        <w:t>by Keera Crabb (8936430)</w:t>
      </w:r>
    </w:p>
    <w:p w14:paraId="5A51058F" w14:textId="7CCD3FFF" w:rsidR="00DB2A3E" w:rsidRDefault="00DB2A3E" w:rsidP="00DB2A3E">
      <w:pPr>
        <w:jc w:val="center"/>
        <w:rPr>
          <w:rFonts w:ascii="Arial" w:hAnsi="Arial" w:cs="Arial"/>
          <w:sz w:val="22"/>
          <w:szCs w:val="22"/>
        </w:rPr>
      </w:pPr>
      <w:r>
        <w:rPr>
          <w:rFonts w:ascii="Arial" w:hAnsi="Arial" w:cs="Arial"/>
          <w:sz w:val="22"/>
          <w:szCs w:val="22"/>
        </w:rPr>
        <w:t xml:space="preserve">Word count: </w:t>
      </w:r>
      <w:r w:rsidR="00C44685">
        <w:rPr>
          <w:rFonts w:ascii="Arial" w:hAnsi="Arial" w:cs="Arial"/>
          <w:sz w:val="22"/>
          <w:szCs w:val="22"/>
        </w:rPr>
        <w:t>4,2</w:t>
      </w:r>
      <w:r w:rsidR="00857281">
        <w:rPr>
          <w:rFonts w:ascii="Arial" w:hAnsi="Arial" w:cs="Arial"/>
          <w:sz w:val="22"/>
          <w:szCs w:val="22"/>
        </w:rPr>
        <w:t>45</w:t>
      </w:r>
    </w:p>
    <w:p w14:paraId="16B5D96B" w14:textId="77777777" w:rsidR="00DB2A3E" w:rsidRDefault="00DB2A3E" w:rsidP="00DB2A3E">
      <w:pPr>
        <w:jc w:val="center"/>
        <w:rPr>
          <w:rFonts w:ascii="Arial" w:hAnsi="Arial" w:cs="Arial"/>
          <w:sz w:val="22"/>
          <w:szCs w:val="22"/>
        </w:rPr>
      </w:pPr>
    </w:p>
    <w:p w14:paraId="3837B4EF" w14:textId="77777777" w:rsidR="00DB2A3E" w:rsidRDefault="00DB2A3E" w:rsidP="00DB2A3E">
      <w:pPr>
        <w:jc w:val="center"/>
        <w:rPr>
          <w:rFonts w:ascii="Arial" w:hAnsi="Arial" w:cs="Arial"/>
          <w:sz w:val="22"/>
          <w:szCs w:val="22"/>
        </w:rPr>
      </w:pPr>
    </w:p>
    <w:p w14:paraId="40F04CA0" w14:textId="77777777" w:rsidR="00DB2A3E" w:rsidRDefault="00DB2A3E" w:rsidP="00DB2A3E">
      <w:pPr>
        <w:jc w:val="center"/>
        <w:rPr>
          <w:rFonts w:ascii="Arial" w:hAnsi="Arial" w:cs="Arial"/>
          <w:sz w:val="22"/>
          <w:szCs w:val="22"/>
        </w:rPr>
      </w:pPr>
    </w:p>
    <w:p w14:paraId="06E8B133" w14:textId="77777777" w:rsidR="00DB2A3E" w:rsidRDefault="00DB2A3E" w:rsidP="00DB2A3E">
      <w:pPr>
        <w:jc w:val="center"/>
        <w:rPr>
          <w:rFonts w:ascii="Arial" w:hAnsi="Arial" w:cs="Arial"/>
          <w:sz w:val="22"/>
          <w:szCs w:val="22"/>
        </w:rPr>
      </w:pPr>
    </w:p>
    <w:p w14:paraId="3E9015A3" w14:textId="77777777" w:rsidR="00DB2A3E" w:rsidRDefault="00DB2A3E" w:rsidP="00DB2A3E">
      <w:pPr>
        <w:jc w:val="center"/>
        <w:rPr>
          <w:rFonts w:ascii="Arial" w:hAnsi="Arial" w:cs="Arial"/>
          <w:sz w:val="22"/>
          <w:szCs w:val="22"/>
        </w:rPr>
      </w:pPr>
    </w:p>
    <w:p w14:paraId="290D3B09" w14:textId="77777777" w:rsidR="00DB2A3E" w:rsidRDefault="00DB2A3E" w:rsidP="00DB2A3E">
      <w:pPr>
        <w:jc w:val="center"/>
        <w:rPr>
          <w:rFonts w:ascii="Arial" w:hAnsi="Arial" w:cs="Arial"/>
          <w:sz w:val="22"/>
          <w:szCs w:val="22"/>
        </w:rPr>
      </w:pPr>
    </w:p>
    <w:p w14:paraId="0EF4A6E6" w14:textId="77777777" w:rsidR="00DB2A3E" w:rsidRDefault="00DB2A3E" w:rsidP="00DB2A3E">
      <w:pPr>
        <w:jc w:val="center"/>
        <w:rPr>
          <w:rFonts w:ascii="Arial" w:hAnsi="Arial" w:cs="Arial"/>
          <w:sz w:val="22"/>
          <w:szCs w:val="22"/>
        </w:rPr>
      </w:pPr>
    </w:p>
    <w:p w14:paraId="352257F4" w14:textId="77777777" w:rsidR="00DB2A3E" w:rsidRDefault="00DB2A3E" w:rsidP="00DB2A3E">
      <w:pPr>
        <w:jc w:val="center"/>
        <w:rPr>
          <w:rFonts w:ascii="Arial" w:hAnsi="Arial" w:cs="Arial"/>
          <w:sz w:val="22"/>
          <w:szCs w:val="22"/>
        </w:rPr>
      </w:pPr>
    </w:p>
    <w:p w14:paraId="4D564D7A" w14:textId="77777777" w:rsidR="00DB2A3E" w:rsidRDefault="00DB2A3E" w:rsidP="00DB2A3E">
      <w:pPr>
        <w:jc w:val="center"/>
        <w:rPr>
          <w:rFonts w:ascii="Arial" w:hAnsi="Arial" w:cs="Arial"/>
          <w:sz w:val="22"/>
          <w:szCs w:val="22"/>
        </w:rPr>
      </w:pPr>
    </w:p>
    <w:p w14:paraId="75B0E08C" w14:textId="77777777" w:rsidR="00DB2A3E" w:rsidRDefault="00DB2A3E" w:rsidP="00DB2A3E">
      <w:pPr>
        <w:jc w:val="center"/>
        <w:rPr>
          <w:rFonts w:ascii="Arial" w:hAnsi="Arial" w:cs="Arial"/>
          <w:sz w:val="22"/>
          <w:szCs w:val="22"/>
        </w:rPr>
      </w:pPr>
    </w:p>
    <w:p w14:paraId="1D03936C" w14:textId="77777777" w:rsidR="00DB2A3E" w:rsidRDefault="00DB2A3E" w:rsidP="00DB2A3E">
      <w:pPr>
        <w:jc w:val="center"/>
        <w:rPr>
          <w:rFonts w:ascii="Arial" w:hAnsi="Arial" w:cs="Arial"/>
          <w:sz w:val="22"/>
          <w:szCs w:val="22"/>
        </w:rPr>
      </w:pPr>
    </w:p>
    <w:p w14:paraId="5708F6F8" w14:textId="77777777" w:rsidR="00DB2A3E" w:rsidRDefault="00DB2A3E" w:rsidP="00DB2A3E">
      <w:pPr>
        <w:jc w:val="center"/>
        <w:rPr>
          <w:rFonts w:ascii="Arial" w:hAnsi="Arial" w:cs="Arial"/>
          <w:sz w:val="22"/>
          <w:szCs w:val="22"/>
        </w:rPr>
      </w:pPr>
    </w:p>
    <w:p w14:paraId="6757F547" w14:textId="77777777" w:rsidR="00DB2A3E" w:rsidRDefault="00DB2A3E" w:rsidP="00DB2A3E">
      <w:pPr>
        <w:jc w:val="center"/>
        <w:rPr>
          <w:rFonts w:ascii="Arial" w:hAnsi="Arial" w:cs="Arial"/>
          <w:sz w:val="22"/>
          <w:szCs w:val="22"/>
        </w:rPr>
      </w:pPr>
    </w:p>
    <w:p w14:paraId="510E9D49" w14:textId="77777777" w:rsidR="00DB2A3E" w:rsidRDefault="00DB2A3E" w:rsidP="00DB2A3E">
      <w:pPr>
        <w:jc w:val="center"/>
        <w:rPr>
          <w:rFonts w:ascii="Arial" w:hAnsi="Arial" w:cs="Arial"/>
          <w:sz w:val="22"/>
          <w:szCs w:val="22"/>
        </w:rPr>
      </w:pPr>
    </w:p>
    <w:p w14:paraId="0E4DC8E1" w14:textId="77777777" w:rsidR="00DB2A3E" w:rsidRDefault="00DB2A3E" w:rsidP="00DB2A3E">
      <w:pPr>
        <w:jc w:val="center"/>
        <w:rPr>
          <w:rFonts w:ascii="Arial" w:hAnsi="Arial" w:cs="Arial"/>
          <w:sz w:val="22"/>
          <w:szCs w:val="22"/>
        </w:rPr>
      </w:pPr>
    </w:p>
    <w:p w14:paraId="3ECA53F0" w14:textId="77777777" w:rsidR="00DB2A3E" w:rsidRDefault="00DB2A3E" w:rsidP="00DB2A3E">
      <w:pPr>
        <w:jc w:val="center"/>
        <w:rPr>
          <w:rFonts w:ascii="Arial" w:hAnsi="Arial" w:cs="Arial"/>
          <w:sz w:val="22"/>
          <w:szCs w:val="22"/>
        </w:rPr>
      </w:pPr>
    </w:p>
    <w:p w14:paraId="526827EF" w14:textId="77777777" w:rsidR="00DB2A3E" w:rsidRDefault="00DB2A3E" w:rsidP="00DB2A3E">
      <w:pPr>
        <w:jc w:val="center"/>
        <w:rPr>
          <w:rFonts w:ascii="Arial" w:hAnsi="Arial" w:cs="Arial"/>
          <w:sz w:val="22"/>
          <w:szCs w:val="22"/>
        </w:rPr>
      </w:pPr>
    </w:p>
    <w:p w14:paraId="64F27FD4" w14:textId="77777777" w:rsidR="00DB2A3E" w:rsidRDefault="00DB2A3E" w:rsidP="00DB2A3E">
      <w:pPr>
        <w:jc w:val="center"/>
        <w:rPr>
          <w:rFonts w:ascii="Arial" w:hAnsi="Arial" w:cs="Arial"/>
          <w:sz w:val="22"/>
          <w:szCs w:val="22"/>
        </w:rPr>
      </w:pPr>
    </w:p>
    <w:p w14:paraId="259544F9" w14:textId="77777777" w:rsidR="00DB2A3E" w:rsidRDefault="00DB2A3E" w:rsidP="00DB2A3E">
      <w:pPr>
        <w:jc w:val="center"/>
        <w:rPr>
          <w:rFonts w:ascii="Arial" w:hAnsi="Arial" w:cs="Arial"/>
          <w:sz w:val="22"/>
          <w:szCs w:val="22"/>
        </w:rPr>
      </w:pPr>
    </w:p>
    <w:p w14:paraId="5B50B0B1" w14:textId="77777777" w:rsidR="00DB2A3E" w:rsidRDefault="00DB2A3E" w:rsidP="00DB2A3E">
      <w:pPr>
        <w:jc w:val="center"/>
        <w:rPr>
          <w:rFonts w:ascii="Arial" w:hAnsi="Arial" w:cs="Arial"/>
          <w:sz w:val="22"/>
          <w:szCs w:val="22"/>
        </w:rPr>
      </w:pPr>
    </w:p>
    <w:p w14:paraId="66F28F57" w14:textId="77777777" w:rsidR="00DB2A3E" w:rsidRDefault="00DB2A3E" w:rsidP="00DB2A3E">
      <w:pPr>
        <w:jc w:val="center"/>
        <w:rPr>
          <w:rFonts w:ascii="Arial" w:hAnsi="Arial" w:cs="Arial"/>
          <w:sz w:val="22"/>
          <w:szCs w:val="22"/>
        </w:rPr>
      </w:pPr>
    </w:p>
    <w:p w14:paraId="6DDE26E1" w14:textId="77777777" w:rsidR="00DB2A3E" w:rsidRDefault="00DB2A3E" w:rsidP="00DB2A3E">
      <w:pPr>
        <w:jc w:val="center"/>
        <w:rPr>
          <w:rFonts w:ascii="Arial" w:hAnsi="Arial" w:cs="Arial"/>
          <w:sz w:val="22"/>
          <w:szCs w:val="22"/>
        </w:rPr>
      </w:pPr>
    </w:p>
    <w:p w14:paraId="086030A7" w14:textId="54421CE7" w:rsidR="00DB2A3E" w:rsidRDefault="00DB2A3E" w:rsidP="00DB2A3E">
      <w:pPr>
        <w:rPr>
          <w:rFonts w:ascii="Arial" w:hAnsi="Arial" w:cs="Arial"/>
          <w:b/>
          <w:bCs/>
          <w:sz w:val="22"/>
          <w:szCs w:val="22"/>
        </w:rPr>
      </w:pPr>
      <w:r w:rsidRPr="00DB2A3E">
        <w:rPr>
          <w:rFonts w:ascii="Arial" w:hAnsi="Arial" w:cs="Arial"/>
          <w:b/>
          <w:bCs/>
          <w:sz w:val="22"/>
          <w:szCs w:val="22"/>
        </w:rPr>
        <w:lastRenderedPageBreak/>
        <w:t>AC 1.1</w:t>
      </w:r>
      <w:r>
        <w:rPr>
          <w:rFonts w:ascii="Arial" w:hAnsi="Arial" w:cs="Arial"/>
          <w:b/>
          <w:bCs/>
          <w:sz w:val="22"/>
          <w:szCs w:val="22"/>
        </w:rPr>
        <w:t xml:space="preserve"> Email 1</w:t>
      </w:r>
    </w:p>
    <w:p w14:paraId="4CA77332" w14:textId="745B163D" w:rsidR="000A66B6" w:rsidRPr="000A66B6" w:rsidRDefault="000A66B6" w:rsidP="000A66B6">
      <w:pPr>
        <w:rPr>
          <w:rFonts w:ascii="Arial" w:hAnsi="Arial" w:cs="Arial"/>
          <w:b/>
          <w:bCs/>
          <w:sz w:val="22"/>
          <w:szCs w:val="22"/>
        </w:rPr>
      </w:pPr>
      <w:r>
        <w:rPr>
          <w:noProof/>
        </w:rPr>
        <mc:AlternateContent>
          <mc:Choice Requires="wps">
            <w:drawing>
              <wp:anchor distT="45720" distB="45720" distL="114300" distR="114300" simplePos="0" relativeHeight="251659264" behindDoc="0" locked="0" layoutInCell="1" allowOverlap="1" wp14:anchorId="2FF98381" wp14:editId="3373DCAF">
                <wp:simplePos x="0" y="0"/>
                <wp:positionH relativeFrom="column">
                  <wp:posOffset>1441450</wp:posOffset>
                </wp:positionH>
                <wp:positionV relativeFrom="paragraph">
                  <wp:posOffset>156845</wp:posOffset>
                </wp:positionV>
                <wp:extent cx="3981450" cy="11303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1450" cy="1130300"/>
                        </a:xfrm>
                        <a:prstGeom prst="rect">
                          <a:avLst/>
                        </a:prstGeom>
                        <a:noFill/>
                        <a:ln w="9525">
                          <a:noFill/>
                          <a:miter lim="800000"/>
                          <a:headEnd/>
                          <a:tailEnd/>
                        </a:ln>
                      </wps:spPr>
                      <wps:txbx>
                        <w:txbxContent>
                          <w:p w14:paraId="1B49E2EB" w14:textId="60662048" w:rsidR="000A66B6" w:rsidRDefault="000A66B6">
                            <w:pPr>
                              <w:rPr>
                                <w:rFonts w:ascii="Arial" w:hAnsi="Arial" w:cs="Arial"/>
                                <w:b/>
                                <w:bCs/>
                                <w:sz w:val="22"/>
                                <w:szCs w:val="22"/>
                              </w:rPr>
                            </w:pPr>
                            <w:r w:rsidRPr="000A66B6">
                              <w:rPr>
                                <w:rFonts w:ascii="Arial" w:hAnsi="Arial" w:cs="Arial"/>
                                <w:b/>
                                <w:bCs/>
                                <w:sz w:val="22"/>
                                <w:szCs w:val="22"/>
                              </w:rPr>
                              <w:t>People Management Officer</w:t>
                            </w:r>
                          </w:p>
                          <w:p w14:paraId="4BFA5A94" w14:textId="77777777" w:rsidR="000A66B6" w:rsidRDefault="000A66B6">
                            <w:pPr>
                              <w:rPr>
                                <w:rFonts w:ascii="Arial" w:hAnsi="Arial" w:cs="Arial"/>
                                <w:b/>
                                <w:bCs/>
                                <w:sz w:val="22"/>
                                <w:szCs w:val="22"/>
                              </w:rPr>
                            </w:pPr>
                          </w:p>
                          <w:p w14:paraId="7EAE4651" w14:textId="001DDB1A" w:rsidR="000A66B6" w:rsidRDefault="000A66B6">
                            <w:pPr>
                              <w:rPr>
                                <w:rFonts w:ascii="Arial" w:hAnsi="Arial" w:cs="Arial"/>
                                <w:b/>
                                <w:bCs/>
                                <w:sz w:val="22"/>
                                <w:szCs w:val="22"/>
                              </w:rPr>
                            </w:pPr>
                            <w:r>
                              <w:rPr>
                                <w:rFonts w:ascii="Arial" w:hAnsi="Arial" w:cs="Arial"/>
                                <w:b/>
                                <w:bCs/>
                                <w:sz w:val="22"/>
                                <w:szCs w:val="22"/>
                              </w:rPr>
                              <w:t xml:space="preserve">Re: </w:t>
                            </w:r>
                            <w:r w:rsidRPr="000A66B6">
                              <w:rPr>
                                <w:rFonts w:ascii="Arial" w:hAnsi="Arial" w:cs="Arial"/>
                                <w:b/>
                                <w:bCs/>
                                <w:sz w:val="22"/>
                                <w:szCs w:val="22"/>
                              </w:rPr>
                              <w:t>Importance of Employment Law Regulations</w:t>
                            </w:r>
                          </w:p>
                          <w:p w14:paraId="69218B68" w14:textId="77777777" w:rsidR="000A66B6" w:rsidRDefault="000A66B6">
                            <w:pPr>
                              <w:rPr>
                                <w:rFonts w:ascii="Arial" w:hAnsi="Arial" w:cs="Arial"/>
                                <w:b/>
                                <w:bCs/>
                                <w:sz w:val="22"/>
                                <w:szCs w:val="22"/>
                              </w:rPr>
                            </w:pPr>
                          </w:p>
                          <w:p w14:paraId="4E53E41E" w14:textId="77777777" w:rsidR="000A66B6" w:rsidRPr="000A66B6" w:rsidRDefault="000A66B6">
                            <w:pPr>
                              <w:rPr>
                                <w:rFonts w:ascii="Arial" w:hAnsi="Arial" w:cs="Arial"/>
                                <w:b/>
                                <w:bCs/>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F98381" id="_x0000_t202" coordsize="21600,21600" o:spt="202" path="m,l,21600r21600,l21600,xe">
                <v:stroke joinstyle="miter"/>
                <v:path gradientshapeok="t" o:connecttype="rect"/>
              </v:shapetype>
              <v:shape id="Text Box 2" o:spid="_x0000_s1026" type="#_x0000_t202" style="position:absolute;margin-left:113.5pt;margin-top:12.35pt;width:313.5pt;height:89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" filled="f" stroked="f">
                <v:textbox>
                  <w:txbxContent>
                    <w:p w14:paraId="1B49E2EB" w14:textId="60662048" w:rsidR="000A66B6" w:rsidRDefault="000A66B6">
                      <w:pPr>
                        <w:rPr>
                          <w:rFonts w:ascii="Arial" w:hAnsi="Arial" w:cs="Arial"/>
                          <w:b/>
                          <w:bCs/>
                          <w:sz w:val="22"/>
                          <w:szCs w:val="22"/>
                        </w:rPr>
                      </w:pPr>
                      <w:r w:rsidRPr="000A66B6">
                        <w:rPr>
                          <w:rFonts w:ascii="Arial" w:hAnsi="Arial" w:cs="Arial"/>
                          <w:b/>
                          <w:bCs/>
                          <w:sz w:val="22"/>
                          <w:szCs w:val="22"/>
                        </w:rPr>
                        <w:t>People Management Officer</w:t>
                      </w:r>
                    </w:p>
                    <w:p w14:paraId="4BFA5A94" w14:textId="77777777" w:rsidR="000A66B6" w:rsidRDefault="000A66B6">
                      <w:pPr>
                        <w:rPr>
                          <w:rFonts w:ascii="Arial" w:hAnsi="Arial" w:cs="Arial"/>
                          <w:b/>
                          <w:bCs/>
                          <w:sz w:val="22"/>
                          <w:szCs w:val="22"/>
                        </w:rPr>
                      </w:pPr>
                    </w:p>
                    <w:p w14:paraId="7EAE4651" w14:textId="001DDB1A" w:rsidR="000A66B6" w:rsidRDefault="000A66B6">
                      <w:pPr>
                        <w:rPr>
                          <w:rFonts w:ascii="Arial" w:hAnsi="Arial" w:cs="Arial"/>
                          <w:b/>
                          <w:bCs/>
                          <w:sz w:val="22"/>
                          <w:szCs w:val="22"/>
                        </w:rPr>
                      </w:pPr>
                      <w:r>
                        <w:rPr>
                          <w:rFonts w:ascii="Arial" w:hAnsi="Arial" w:cs="Arial"/>
                          <w:b/>
                          <w:bCs/>
                          <w:sz w:val="22"/>
                          <w:szCs w:val="22"/>
                        </w:rPr>
                        <w:t xml:space="preserve">Re: </w:t>
                      </w:r>
                      <w:r w:rsidRPr="000A66B6">
                        <w:rPr>
                          <w:rFonts w:ascii="Arial" w:hAnsi="Arial" w:cs="Arial"/>
                          <w:b/>
                          <w:bCs/>
                          <w:sz w:val="22"/>
                          <w:szCs w:val="22"/>
                        </w:rPr>
                        <w:t>Importance of Employment Law Regulations</w:t>
                      </w:r>
                    </w:p>
                    <w:p w14:paraId="69218B68" w14:textId="77777777" w:rsidR="000A66B6" w:rsidRDefault="000A66B6">
                      <w:pPr>
                        <w:rPr>
                          <w:rFonts w:ascii="Arial" w:hAnsi="Arial" w:cs="Arial"/>
                          <w:b/>
                          <w:bCs/>
                          <w:sz w:val="22"/>
                          <w:szCs w:val="22"/>
                        </w:rPr>
                      </w:pPr>
                    </w:p>
                    <w:p w14:paraId="4E53E41E" w14:textId="77777777" w:rsidR="000A66B6" w:rsidRPr="000A66B6" w:rsidRDefault="000A66B6">
                      <w:pPr>
                        <w:rPr>
                          <w:rFonts w:ascii="Arial" w:hAnsi="Arial" w:cs="Arial"/>
                          <w:b/>
                          <w:bCs/>
                          <w:sz w:val="22"/>
                          <w:szCs w:val="22"/>
                        </w:rPr>
                      </w:pPr>
                    </w:p>
                  </w:txbxContent>
                </v:textbox>
              </v:shape>
            </w:pict>
          </mc:Fallback>
        </mc:AlternateContent>
      </w:r>
      <w:r w:rsidRPr="000A66B6">
        <w:rPr>
          <w:rFonts w:ascii="Arial" w:hAnsi="Arial" w:cs="Arial"/>
          <w:b/>
          <w:bCs/>
          <w:noProof/>
          <w:sz w:val="22"/>
          <w:szCs w:val="22"/>
        </w:rPr>
        <w:drawing>
          <wp:inline distT="0" distB="0" distL="0" distR="0" wp14:anchorId="073DFCA4" wp14:editId="408478BB">
            <wp:extent cx="5629910" cy="1241425"/>
            <wp:effectExtent l="0" t="0" r="8890" b="0"/>
            <wp:docPr id="986183587" name="Picture 1" descr="A white board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183587" name="Picture 1" descr="A white board with blue lines&#10;&#10;AI-generated content may be incorrect."/>
                    <pic:cNvPicPr/>
                  </pic:nvPicPr>
                  <pic:blipFill rotWithShape="1">
                    <a:blip r:embed="rId5"/>
                    <a:srcRect l="1773" t="6235"/>
                    <a:stretch/>
                  </pic:blipFill>
                  <pic:spPr bwMode="auto">
                    <a:xfrm>
                      <a:off x="0" y="0"/>
                      <a:ext cx="5629910" cy="1241425"/>
                    </a:xfrm>
                    <a:prstGeom prst="rect">
                      <a:avLst/>
                    </a:prstGeom>
                    <a:ln>
                      <a:noFill/>
                    </a:ln>
                    <a:extLst>
                      <a:ext uri="{53640926-AAD7-44D8-BBD7-CCE9431645EC}">
                        <a14:shadowObscured xmlns:a14="http://schemas.microsoft.com/office/drawing/2010/main"/>
                      </a:ext>
                    </a:extLst>
                  </pic:spPr>
                </pic:pic>
              </a:graphicData>
            </a:graphic>
          </wp:inline>
        </w:drawing>
      </w:r>
    </w:p>
    <w:p w14:paraId="1B514B5D" w14:textId="6BB2891E" w:rsidR="00C76F13" w:rsidRPr="00C76F13" w:rsidRDefault="00C76F13" w:rsidP="00C76F13">
      <w:pPr>
        <w:rPr>
          <w:rFonts w:ascii="Arial" w:hAnsi="Arial" w:cs="Arial"/>
          <w:sz w:val="22"/>
          <w:szCs w:val="22"/>
        </w:rPr>
      </w:pPr>
      <w:bookmarkStart w:id="0" w:name="_Hlk199674479"/>
      <w:r w:rsidRPr="00C76F13">
        <w:rPr>
          <w:rFonts w:ascii="Arial" w:hAnsi="Arial" w:cs="Arial"/>
          <w:sz w:val="22"/>
          <w:szCs w:val="22"/>
        </w:rPr>
        <w:t xml:space="preserve">Thanks for your email! I’m glad you want to focus more on improving the employee experience. It’s one of the reasons I moved from being a Service Manager to HR, so I’m </w:t>
      </w:r>
      <w:r>
        <w:rPr>
          <w:rFonts w:ascii="Arial" w:hAnsi="Arial" w:cs="Arial"/>
          <w:sz w:val="22"/>
          <w:szCs w:val="22"/>
        </w:rPr>
        <w:t>glad</w:t>
      </w:r>
      <w:r w:rsidRPr="00C76F13">
        <w:rPr>
          <w:rFonts w:ascii="Arial" w:hAnsi="Arial" w:cs="Arial"/>
          <w:sz w:val="22"/>
          <w:szCs w:val="22"/>
        </w:rPr>
        <w:t xml:space="preserve"> that we share that passion. Let’s balance improving the employee experience with the importance of employment law.</w:t>
      </w:r>
    </w:p>
    <w:p w14:paraId="6DD48201" w14:textId="0E889D9E" w:rsidR="00577E43" w:rsidRPr="00577E43" w:rsidRDefault="00577E43" w:rsidP="00C76F13">
      <w:pPr>
        <w:rPr>
          <w:rFonts w:ascii="Arial" w:hAnsi="Arial" w:cs="Arial"/>
          <w:sz w:val="22"/>
          <w:szCs w:val="22"/>
        </w:rPr>
      </w:pPr>
      <w:r w:rsidRPr="00577E43">
        <w:rPr>
          <w:rFonts w:ascii="Arial" w:hAnsi="Arial" w:cs="Arial"/>
          <w:sz w:val="22"/>
          <w:szCs w:val="22"/>
        </w:rPr>
        <w:t>Employment law exists to protect people, ensure fairness, and provide stability in the workplace. The Employment Rights Act 1996 sets out core protections like fair pay and working hours. The Equality Act 2010 helps ensure everyone’s treated equally, regardless of things like age, sex, or race which is key in diverse environments like the NHS. And as Daniels (2016) highlights, the Health and Safety at Work Act 1974 legally requires employers to protect staff wellbeing, which is especially important in healthcare roles. When people feel safe, valued, and treated fairly, it naturally leads to better engagement and ultimately</w:t>
      </w:r>
      <w:r w:rsidRPr="00577E43">
        <w:rPr>
          <w:rFonts w:ascii="Arial" w:hAnsi="Arial" w:cs="Arial"/>
          <w:sz w:val="22"/>
          <w:szCs w:val="22"/>
        </w:rPr>
        <w:t xml:space="preserve">, as we know, </w:t>
      </w:r>
      <w:r w:rsidRPr="00577E43">
        <w:rPr>
          <w:rFonts w:ascii="Arial" w:hAnsi="Arial" w:cs="Arial"/>
          <w:sz w:val="22"/>
          <w:szCs w:val="22"/>
        </w:rPr>
        <w:t>better patient care.</w:t>
      </w:r>
    </w:p>
    <w:p w14:paraId="55D8229D" w14:textId="164EF332" w:rsidR="00C76F13" w:rsidRPr="00C76F13" w:rsidRDefault="00C76F13" w:rsidP="00C76F13">
      <w:pPr>
        <w:rPr>
          <w:rFonts w:ascii="Arial" w:hAnsi="Arial" w:cs="Arial"/>
          <w:sz w:val="22"/>
          <w:szCs w:val="22"/>
        </w:rPr>
      </w:pPr>
      <w:r w:rsidRPr="00C76F13">
        <w:rPr>
          <w:rFonts w:ascii="Arial" w:hAnsi="Arial" w:cs="Arial"/>
          <w:sz w:val="22"/>
          <w:szCs w:val="22"/>
        </w:rPr>
        <w:t>Armstrong &amp; Taylor (20</w:t>
      </w:r>
      <w:r w:rsidR="00C819DF">
        <w:rPr>
          <w:rFonts w:ascii="Arial" w:hAnsi="Arial" w:cs="Arial"/>
          <w:sz w:val="22"/>
          <w:szCs w:val="22"/>
        </w:rPr>
        <w:t>23</w:t>
      </w:r>
      <w:r w:rsidRPr="00C76F13">
        <w:rPr>
          <w:rFonts w:ascii="Arial" w:hAnsi="Arial" w:cs="Arial"/>
          <w:sz w:val="22"/>
          <w:szCs w:val="22"/>
        </w:rPr>
        <w:t>) also emphasize that employment law helps promote inclusivity by ensuring equal opportunities for career growth. In the NHS, where a diverse workforce is essential, these regulations ensure all employees have the same opportunities to advance based on their skills, not personal characteristics. This is one of the real strengths of employment law – it helps create an inclusive environment where everyone can succeed.</w:t>
      </w:r>
    </w:p>
    <w:p w14:paraId="5FB4B614" w14:textId="77777777" w:rsidR="00C76F13" w:rsidRPr="00C76F13" w:rsidRDefault="00C76F13" w:rsidP="00C76F13">
      <w:pPr>
        <w:rPr>
          <w:rFonts w:ascii="Arial" w:hAnsi="Arial" w:cs="Arial"/>
          <w:sz w:val="22"/>
          <w:szCs w:val="22"/>
        </w:rPr>
      </w:pPr>
      <w:r w:rsidRPr="00C76F13">
        <w:rPr>
          <w:rFonts w:ascii="Arial" w:hAnsi="Arial" w:cs="Arial"/>
          <w:sz w:val="22"/>
          <w:szCs w:val="22"/>
        </w:rPr>
        <w:t xml:space="preserve">A recent example of employment law in action is the case of </w:t>
      </w:r>
      <w:proofErr w:type="spellStart"/>
      <w:r w:rsidRPr="00C76F13">
        <w:rPr>
          <w:rFonts w:ascii="Arial" w:hAnsi="Arial" w:cs="Arial"/>
          <w:sz w:val="22"/>
          <w:szCs w:val="22"/>
        </w:rPr>
        <w:t>Munkevics</w:t>
      </w:r>
      <w:proofErr w:type="spellEnd"/>
      <w:r w:rsidRPr="00C76F13">
        <w:rPr>
          <w:rFonts w:ascii="Arial" w:hAnsi="Arial" w:cs="Arial"/>
          <w:sz w:val="22"/>
          <w:szCs w:val="22"/>
        </w:rPr>
        <w:t xml:space="preserve"> v. Echo. A recruitment worker was awarded £25,000 for unfair dismissal after returning from maternity leave, only to find her office had been vacated and her part-time return revoked. The tribunal upheld her claims of equal pay, breach of contract, and automatic unfair dismissal, showing how employment law can protect employees and ensure their rights are respected (Faragher, 2025).</w:t>
      </w:r>
    </w:p>
    <w:p w14:paraId="32B9FD53" w14:textId="1FBA0775" w:rsidR="00C76F13" w:rsidRPr="00C76F13" w:rsidRDefault="00C76F13" w:rsidP="00C76F13">
      <w:pPr>
        <w:rPr>
          <w:rFonts w:ascii="Arial" w:hAnsi="Arial" w:cs="Arial"/>
          <w:sz w:val="22"/>
          <w:szCs w:val="22"/>
        </w:rPr>
      </w:pPr>
      <w:r w:rsidRPr="00C76F13">
        <w:rPr>
          <w:rFonts w:ascii="Arial" w:hAnsi="Arial" w:cs="Arial"/>
          <w:sz w:val="22"/>
          <w:szCs w:val="22"/>
        </w:rPr>
        <w:t xml:space="preserve">That said, while employment law provides protection and stability, it can also be </w:t>
      </w:r>
      <w:r w:rsidR="00930760">
        <w:rPr>
          <w:rFonts w:ascii="Arial" w:hAnsi="Arial" w:cs="Arial"/>
          <w:sz w:val="22"/>
          <w:szCs w:val="22"/>
        </w:rPr>
        <w:t>arduous</w:t>
      </w:r>
      <w:r w:rsidRPr="00C76F13">
        <w:rPr>
          <w:rFonts w:ascii="Arial" w:hAnsi="Arial" w:cs="Arial"/>
          <w:sz w:val="22"/>
          <w:szCs w:val="22"/>
        </w:rPr>
        <w:t>. Armstrong &amp; Taylor (20</w:t>
      </w:r>
      <w:r w:rsidR="00C819DF">
        <w:rPr>
          <w:rFonts w:ascii="Arial" w:hAnsi="Arial" w:cs="Arial"/>
          <w:sz w:val="22"/>
          <w:szCs w:val="22"/>
        </w:rPr>
        <w:t>23</w:t>
      </w:r>
      <w:r w:rsidRPr="00C76F13">
        <w:rPr>
          <w:rFonts w:ascii="Arial" w:hAnsi="Arial" w:cs="Arial"/>
          <w:sz w:val="22"/>
          <w:szCs w:val="22"/>
        </w:rPr>
        <w:t>) highlight that evolving legislation, especially in the 1980s and 1990s, has made compliance more complex. When I worked for a small mental health charity, we often struggled to keep up with regulatory changes, as they required significant time and resources. While laws protect employees, enforcement can still be inconsistent, meaning employees may still face discrimination despite legal safeguards.</w:t>
      </w:r>
    </w:p>
    <w:p w14:paraId="24382DC0" w14:textId="2CE10F69" w:rsidR="00C76F13" w:rsidRDefault="00930760" w:rsidP="00C76F13">
      <w:pPr>
        <w:rPr>
          <w:rFonts w:ascii="Arial" w:hAnsi="Arial" w:cs="Arial"/>
          <w:sz w:val="22"/>
          <w:szCs w:val="22"/>
        </w:rPr>
      </w:pPr>
      <w:r>
        <w:rPr>
          <w:rFonts w:ascii="Arial" w:hAnsi="Arial" w:cs="Arial"/>
          <w:sz w:val="22"/>
          <w:szCs w:val="22"/>
        </w:rPr>
        <w:t>So</w:t>
      </w:r>
      <w:r w:rsidR="00C76F13" w:rsidRPr="00C76F13">
        <w:rPr>
          <w:rFonts w:ascii="Arial" w:hAnsi="Arial" w:cs="Arial"/>
          <w:sz w:val="22"/>
          <w:szCs w:val="22"/>
        </w:rPr>
        <w:t>, while employment law promotes fairness, inclusivity, and stability, challenges with compliance and enforcement remain. We must find ways to balance these objectives, ensuring the law protects workers without burdening businesses. I understand these tasks can be time-consuming, but they’re essential for a fair, stable, and compliant workplace. If I can support you in balancing these tasks while improving the employee experience, just let me know</w:t>
      </w:r>
      <w:r w:rsidR="00443024">
        <w:rPr>
          <w:rFonts w:ascii="Arial" w:hAnsi="Arial" w:cs="Arial"/>
          <w:sz w:val="22"/>
          <w:szCs w:val="22"/>
        </w:rPr>
        <w:t xml:space="preserve">, </w:t>
      </w:r>
      <w:r w:rsidR="00C76F13" w:rsidRPr="00C76F13">
        <w:rPr>
          <w:rFonts w:ascii="Arial" w:hAnsi="Arial" w:cs="Arial"/>
          <w:sz w:val="22"/>
          <w:szCs w:val="22"/>
        </w:rPr>
        <w:t>I’d be happy to help!</w:t>
      </w:r>
    </w:p>
    <w:bookmarkEnd w:id="0"/>
    <w:p w14:paraId="20FB4E11" w14:textId="49DE5FC6" w:rsidR="00A019D5" w:rsidRPr="00FA1A9E" w:rsidRDefault="00A019D5" w:rsidP="00C76F13">
      <w:pPr>
        <w:rPr>
          <w:rFonts w:ascii="Arial" w:hAnsi="Arial" w:cs="Arial"/>
          <w:b/>
          <w:bCs/>
          <w:sz w:val="22"/>
          <w:szCs w:val="22"/>
        </w:rPr>
      </w:pPr>
      <w:r w:rsidRPr="00FA1A9E">
        <w:rPr>
          <w:rFonts w:ascii="Arial" w:hAnsi="Arial" w:cs="Arial"/>
          <w:b/>
          <w:bCs/>
          <w:sz w:val="22"/>
          <w:szCs w:val="22"/>
        </w:rPr>
        <w:lastRenderedPageBreak/>
        <w:t>AC 1.2 Email 2</w:t>
      </w:r>
    </w:p>
    <w:p w14:paraId="603361CC" w14:textId="57397DB1" w:rsidR="00A019D5" w:rsidRPr="00C76F13" w:rsidRDefault="00FA1A9E" w:rsidP="00C76F13">
      <w:pPr>
        <w:rPr>
          <w:rFonts w:ascii="Arial" w:hAnsi="Arial" w:cs="Arial"/>
          <w:sz w:val="22"/>
          <w:szCs w:val="22"/>
        </w:rPr>
      </w:pPr>
      <w:r>
        <w:rPr>
          <w:noProof/>
        </w:rPr>
        <mc:AlternateContent>
          <mc:Choice Requires="wps">
            <w:drawing>
              <wp:anchor distT="45720" distB="45720" distL="114300" distR="114300" simplePos="0" relativeHeight="251661312" behindDoc="0" locked="0" layoutInCell="1" allowOverlap="1" wp14:anchorId="2EEEA5C8" wp14:editId="7AD1B799">
                <wp:simplePos x="0" y="0"/>
                <wp:positionH relativeFrom="column">
                  <wp:posOffset>1409700</wp:posOffset>
                </wp:positionH>
                <wp:positionV relativeFrom="paragraph">
                  <wp:posOffset>220345</wp:posOffset>
                </wp:positionV>
                <wp:extent cx="3981450" cy="1130300"/>
                <wp:effectExtent l="0" t="0" r="0" b="0"/>
                <wp:wrapNone/>
                <wp:docPr id="3902965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1450" cy="1130300"/>
                        </a:xfrm>
                        <a:prstGeom prst="rect">
                          <a:avLst/>
                        </a:prstGeom>
                        <a:noFill/>
                        <a:ln w="9525">
                          <a:noFill/>
                          <a:miter lim="800000"/>
                          <a:headEnd/>
                          <a:tailEnd/>
                        </a:ln>
                      </wps:spPr>
                      <wps:txbx>
                        <w:txbxContent>
                          <w:p w14:paraId="0CA98C3A" w14:textId="715D4C14" w:rsidR="00FA1A9E" w:rsidRDefault="00FA1A9E" w:rsidP="00FA1A9E">
                            <w:pPr>
                              <w:rPr>
                                <w:rFonts w:ascii="Arial" w:hAnsi="Arial" w:cs="Arial"/>
                                <w:b/>
                                <w:bCs/>
                                <w:sz w:val="22"/>
                                <w:szCs w:val="22"/>
                              </w:rPr>
                            </w:pPr>
                            <w:r>
                              <w:rPr>
                                <w:rFonts w:ascii="Arial" w:hAnsi="Arial" w:cs="Arial"/>
                                <w:b/>
                                <w:bCs/>
                                <w:sz w:val="22"/>
                                <w:szCs w:val="22"/>
                              </w:rPr>
                              <w:t>S</w:t>
                            </w:r>
                            <w:r w:rsidRPr="00FA1A9E">
                              <w:rPr>
                                <w:rFonts w:ascii="Arial" w:hAnsi="Arial" w:cs="Arial"/>
                                <w:b/>
                                <w:bCs/>
                                <w:sz w:val="22"/>
                                <w:szCs w:val="22"/>
                              </w:rPr>
                              <w:t xml:space="preserve">enior </w:t>
                            </w:r>
                            <w:r>
                              <w:rPr>
                                <w:rFonts w:ascii="Arial" w:hAnsi="Arial" w:cs="Arial"/>
                                <w:b/>
                                <w:bCs/>
                                <w:sz w:val="22"/>
                                <w:szCs w:val="22"/>
                              </w:rPr>
                              <w:t>M</w:t>
                            </w:r>
                            <w:r w:rsidRPr="00FA1A9E">
                              <w:rPr>
                                <w:rFonts w:ascii="Arial" w:hAnsi="Arial" w:cs="Arial"/>
                                <w:b/>
                                <w:bCs/>
                                <w:sz w:val="22"/>
                                <w:szCs w:val="22"/>
                              </w:rPr>
                              <w:t>anager</w:t>
                            </w:r>
                          </w:p>
                          <w:p w14:paraId="2C78AC32" w14:textId="77777777" w:rsidR="00FA1A9E" w:rsidRDefault="00FA1A9E" w:rsidP="00FA1A9E">
                            <w:pPr>
                              <w:rPr>
                                <w:rFonts w:ascii="Arial" w:hAnsi="Arial" w:cs="Arial"/>
                                <w:b/>
                                <w:bCs/>
                                <w:sz w:val="22"/>
                                <w:szCs w:val="22"/>
                              </w:rPr>
                            </w:pPr>
                          </w:p>
                          <w:p w14:paraId="3305CC55" w14:textId="5F665937" w:rsidR="00FA1A9E" w:rsidRDefault="00FA1A9E" w:rsidP="00FA1A9E">
                            <w:pPr>
                              <w:rPr>
                                <w:rFonts w:ascii="Arial" w:hAnsi="Arial" w:cs="Arial"/>
                                <w:b/>
                                <w:bCs/>
                                <w:sz w:val="22"/>
                                <w:szCs w:val="22"/>
                              </w:rPr>
                            </w:pPr>
                            <w:r>
                              <w:rPr>
                                <w:rFonts w:ascii="Arial" w:hAnsi="Arial" w:cs="Arial"/>
                                <w:b/>
                                <w:bCs/>
                                <w:sz w:val="22"/>
                                <w:szCs w:val="22"/>
                              </w:rPr>
                              <w:t xml:space="preserve">Re: </w:t>
                            </w:r>
                            <w:r w:rsidRPr="00FA1A9E">
                              <w:rPr>
                                <w:rFonts w:ascii="Arial" w:hAnsi="Arial" w:cs="Arial"/>
                                <w:b/>
                                <w:bCs/>
                                <w:sz w:val="22"/>
                                <w:szCs w:val="22"/>
                              </w:rPr>
                              <w:t>Status of ECJ Judg</w:t>
                            </w:r>
                            <w:r w:rsidR="005849BF">
                              <w:rPr>
                                <w:rFonts w:ascii="Arial" w:hAnsi="Arial" w:cs="Arial"/>
                                <w:b/>
                                <w:bCs/>
                                <w:sz w:val="22"/>
                                <w:szCs w:val="22"/>
                              </w:rPr>
                              <w:t>e</w:t>
                            </w:r>
                            <w:r w:rsidRPr="00FA1A9E">
                              <w:rPr>
                                <w:rFonts w:ascii="Arial" w:hAnsi="Arial" w:cs="Arial"/>
                                <w:b/>
                                <w:bCs/>
                                <w:sz w:val="22"/>
                                <w:szCs w:val="22"/>
                              </w:rPr>
                              <w:t>ments Post-Brexit</w:t>
                            </w:r>
                          </w:p>
                          <w:p w14:paraId="007C9593" w14:textId="77777777" w:rsidR="00FA1A9E" w:rsidRPr="000A66B6" w:rsidRDefault="00FA1A9E" w:rsidP="00FA1A9E">
                            <w:pPr>
                              <w:rPr>
                                <w:rFonts w:ascii="Arial" w:hAnsi="Arial" w:cs="Arial"/>
                                <w:b/>
                                <w:bCs/>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EEA5C8" id="_x0000_s1027" type="#_x0000_t202" style="position:absolute;margin-left:111pt;margin-top:17.35pt;width:313.5pt;height:89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" filled="f" stroked="f">
                <v:textbox>
                  <w:txbxContent>
                    <w:p w14:paraId="0CA98C3A" w14:textId="715D4C14" w:rsidR="00FA1A9E" w:rsidRDefault="00FA1A9E" w:rsidP="00FA1A9E">
                      <w:pPr>
                        <w:rPr>
                          <w:rFonts w:ascii="Arial" w:hAnsi="Arial" w:cs="Arial"/>
                          <w:b/>
                          <w:bCs/>
                          <w:sz w:val="22"/>
                          <w:szCs w:val="22"/>
                        </w:rPr>
                      </w:pPr>
                      <w:r>
                        <w:rPr>
                          <w:rFonts w:ascii="Arial" w:hAnsi="Arial" w:cs="Arial"/>
                          <w:b/>
                          <w:bCs/>
                          <w:sz w:val="22"/>
                          <w:szCs w:val="22"/>
                        </w:rPr>
                        <w:t>S</w:t>
                      </w:r>
                      <w:r w:rsidRPr="00FA1A9E">
                        <w:rPr>
                          <w:rFonts w:ascii="Arial" w:hAnsi="Arial" w:cs="Arial"/>
                          <w:b/>
                          <w:bCs/>
                          <w:sz w:val="22"/>
                          <w:szCs w:val="22"/>
                        </w:rPr>
                        <w:t xml:space="preserve">enior </w:t>
                      </w:r>
                      <w:r>
                        <w:rPr>
                          <w:rFonts w:ascii="Arial" w:hAnsi="Arial" w:cs="Arial"/>
                          <w:b/>
                          <w:bCs/>
                          <w:sz w:val="22"/>
                          <w:szCs w:val="22"/>
                        </w:rPr>
                        <w:t>M</w:t>
                      </w:r>
                      <w:r w:rsidRPr="00FA1A9E">
                        <w:rPr>
                          <w:rFonts w:ascii="Arial" w:hAnsi="Arial" w:cs="Arial"/>
                          <w:b/>
                          <w:bCs/>
                          <w:sz w:val="22"/>
                          <w:szCs w:val="22"/>
                        </w:rPr>
                        <w:t>anager</w:t>
                      </w:r>
                    </w:p>
                    <w:p w14:paraId="2C78AC32" w14:textId="77777777" w:rsidR="00FA1A9E" w:rsidRDefault="00FA1A9E" w:rsidP="00FA1A9E">
                      <w:pPr>
                        <w:rPr>
                          <w:rFonts w:ascii="Arial" w:hAnsi="Arial" w:cs="Arial"/>
                          <w:b/>
                          <w:bCs/>
                          <w:sz w:val="22"/>
                          <w:szCs w:val="22"/>
                        </w:rPr>
                      </w:pPr>
                    </w:p>
                    <w:p w14:paraId="3305CC55" w14:textId="5F665937" w:rsidR="00FA1A9E" w:rsidRDefault="00FA1A9E" w:rsidP="00FA1A9E">
                      <w:pPr>
                        <w:rPr>
                          <w:rFonts w:ascii="Arial" w:hAnsi="Arial" w:cs="Arial"/>
                          <w:b/>
                          <w:bCs/>
                          <w:sz w:val="22"/>
                          <w:szCs w:val="22"/>
                        </w:rPr>
                      </w:pPr>
                      <w:r>
                        <w:rPr>
                          <w:rFonts w:ascii="Arial" w:hAnsi="Arial" w:cs="Arial"/>
                          <w:b/>
                          <w:bCs/>
                          <w:sz w:val="22"/>
                          <w:szCs w:val="22"/>
                        </w:rPr>
                        <w:t xml:space="preserve">Re: </w:t>
                      </w:r>
                      <w:r w:rsidRPr="00FA1A9E">
                        <w:rPr>
                          <w:rFonts w:ascii="Arial" w:hAnsi="Arial" w:cs="Arial"/>
                          <w:b/>
                          <w:bCs/>
                          <w:sz w:val="22"/>
                          <w:szCs w:val="22"/>
                        </w:rPr>
                        <w:t>Status of ECJ Judg</w:t>
                      </w:r>
                      <w:r w:rsidR="005849BF">
                        <w:rPr>
                          <w:rFonts w:ascii="Arial" w:hAnsi="Arial" w:cs="Arial"/>
                          <w:b/>
                          <w:bCs/>
                          <w:sz w:val="22"/>
                          <w:szCs w:val="22"/>
                        </w:rPr>
                        <w:t>e</w:t>
                      </w:r>
                      <w:r w:rsidRPr="00FA1A9E">
                        <w:rPr>
                          <w:rFonts w:ascii="Arial" w:hAnsi="Arial" w:cs="Arial"/>
                          <w:b/>
                          <w:bCs/>
                          <w:sz w:val="22"/>
                          <w:szCs w:val="22"/>
                        </w:rPr>
                        <w:t>ments Post-Brexit</w:t>
                      </w:r>
                    </w:p>
                    <w:p w14:paraId="007C9593" w14:textId="77777777" w:rsidR="00FA1A9E" w:rsidRPr="000A66B6" w:rsidRDefault="00FA1A9E" w:rsidP="00FA1A9E">
                      <w:pPr>
                        <w:rPr>
                          <w:rFonts w:ascii="Arial" w:hAnsi="Arial" w:cs="Arial"/>
                          <w:b/>
                          <w:bCs/>
                          <w:sz w:val="22"/>
                          <w:szCs w:val="22"/>
                        </w:rPr>
                      </w:pPr>
                    </w:p>
                  </w:txbxContent>
                </v:textbox>
              </v:shape>
            </w:pict>
          </mc:Fallback>
        </mc:AlternateContent>
      </w:r>
      <w:r w:rsidR="00A019D5" w:rsidRPr="000A66B6">
        <w:rPr>
          <w:rFonts w:ascii="Arial" w:hAnsi="Arial" w:cs="Arial"/>
          <w:b/>
          <w:bCs/>
          <w:noProof/>
          <w:sz w:val="22"/>
          <w:szCs w:val="22"/>
        </w:rPr>
        <w:drawing>
          <wp:inline distT="0" distB="0" distL="0" distR="0" wp14:anchorId="41C78435" wp14:editId="1E27C6E3">
            <wp:extent cx="5629910" cy="1241425"/>
            <wp:effectExtent l="0" t="0" r="8890" b="0"/>
            <wp:docPr id="205415212" name="Picture 1" descr="A white board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183587" name="Picture 1" descr="A white board with blue lines&#10;&#10;AI-generated content may be incorrect."/>
                    <pic:cNvPicPr/>
                  </pic:nvPicPr>
                  <pic:blipFill rotWithShape="1">
                    <a:blip r:embed="rId5"/>
                    <a:srcRect l="1773" t="6235"/>
                    <a:stretch/>
                  </pic:blipFill>
                  <pic:spPr bwMode="auto">
                    <a:xfrm>
                      <a:off x="0" y="0"/>
                      <a:ext cx="5629910" cy="1241425"/>
                    </a:xfrm>
                    <a:prstGeom prst="rect">
                      <a:avLst/>
                    </a:prstGeom>
                    <a:ln>
                      <a:noFill/>
                    </a:ln>
                    <a:extLst>
                      <a:ext uri="{53640926-AAD7-44D8-BBD7-CCE9431645EC}">
                        <a14:shadowObscured xmlns:a14="http://schemas.microsoft.com/office/drawing/2010/main"/>
                      </a:ext>
                    </a:extLst>
                  </pic:spPr>
                </pic:pic>
              </a:graphicData>
            </a:graphic>
          </wp:inline>
        </w:drawing>
      </w:r>
    </w:p>
    <w:p w14:paraId="37B6435D" w14:textId="536A50A6" w:rsidR="004A228D" w:rsidRPr="004A228D" w:rsidRDefault="004A228D" w:rsidP="004A228D">
      <w:pPr>
        <w:rPr>
          <w:rFonts w:ascii="Arial" w:hAnsi="Arial" w:cs="Arial"/>
          <w:sz w:val="22"/>
          <w:szCs w:val="22"/>
        </w:rPr>
      </w:pPr>
      <w:bookmarkStart w:id="1" w:name="_Hlk199674494"/>
      <w:r w:rsidRPr="004A228D">
        <w:rPr>
          <w:rFonts w:ascii="Arial" w:hAnsi="Arial" w:cs="Arial"/>
          <w:sz w:val="22"/>
          <w:szCs w:val="22"/>
        </w:rPr>
        <w:t xml:space="preserve">Thank you for your email. I understand you’re seeking </w:t>
      </w:r>
      <w:r w:rsidR="00212829">
        <w:rPr>
          <w:rFonts w:ascii="Arial" w:hAnsi="Arial" w:cs="Arial"/>
          <w:sz w:val="22"/>
          <w:szCs w:val="22"/>
        </w:rPr>
        <w:t>clarity</w:t>
      </w:r>
      <w:r w:rsidRPr="004A228D">
        <w:rPr>
          <w:rFonts w:ascii="Arial" w:hAnsi="Arial" w:cs="Arial"/>
          <w:sz w:val="22"/>
          <w:szCs w:val="22"/>
        </w:rPr>
        <w:t xml:space="preserve"> regarding the status of European Court of Justice (ECJ) judgements following the UK’s departure from the E</w:t>
      </w:r>
      <w:r w:rsidR="00C977BE">
        <w:rPr>
          <w:rFonts w:ascii="Arial" w:hAnsi="Arial" w:cs="Arial"/>
          <w:sz w:val="22"/>
          <w:szCs w:val="22"/>
        </w:rPr>
        <w:t xml:space="preserve">uropean </w:t>
      </w:r>
      <w:r w:rsidRPr="004A228D">
        <w:rPr>
          <w:rFonts w:ascii="Arial" w:hAnsi="Arial" w:cs="Arial"/>
          <w:sz w:val="22"/>
          <w:szCs w:val="22"/>
        </w:rPr>
        <w:t>U</w:t>
      </w:r>
      <w:r w:rsidR="00C977BE">
        <w:rPr>
          <w:rFonts w:ascii="Arial" w:hAnsi="Arial" w:cs="Arial"/>
          <w:sz w:val="22"/>
          <w:szCs w:val="22"/>
        </w:rPr>
        <w:t>nion (EU)</w:t>
      </w:r>
      <w:r w:rsidRPr="004A228D">
        <w:rPr>
          <w:rFonts w:ascii="Arial" w:hAnsi="Arial" w:cs="Arial"/>
          <w:sz w:val="22"/>
          <w:szCs w:val="22"/>
        </w:rPr>
        <w:t xml:space="preserve"> in 2020. I’ll break this down in terms of whether these judg</w:t>
      </w:r>
      <w:r w:rsidR="00C977BE">
        <w:rPr>
          <w:rFonts w:ascii="Arial" w:hAnsi="Arial" w:cs="Arial"/>
          <w:sz w:val="22"/>
          <w:szCs w:val="22"/>
        </w:rPr>
        <w:t>e</w:t>
      </w:r>
      <w:r w:rsidRPr="004A228D">
        <w:rPr>
          <w:rFonts w:ascii="Arial" w:hAnsi="Arial" w:cs="Arial"/>
          <w:sz w:val="22"/>
          <w:szCs w:val="22"/>
        </w:rPr>
        <w:t>ments remain ‘good law’, whether they are still binding on UK courts, and provide an example for illustration.</w:t>
      </w:r>
    </w:p>
    <w:p w14:paraId="664327E4" w14:textId="5F690821" w:rsidR="004A228D" w:rsidRPr="004A228D" w:rsidRDefault="004A228D" w:rsidP="004A228D">
      <w:pPr>
        <w:rPr>
          <w:rFonts w:ascii="Arial" w:hAnsi="Arial" w:cs="Arial"/>
          <w:sz w:val="22"/>
          <w:szCs w:val="22"/>
        </w:rPr>
      </w:pPr>
      <w:r w:rsidRPr="004A228D">
        <w:rPr>
          <w:rFonts w:ascii="Arial" w:hAnsi="Arial" w:cs="Arial"/>
          <w:sz w:val="22"/>
          <w:szCs w:val="22"/>
        </w:rPr>
        <w:t>‘Good law’ refers to legal decisions or principles that remain valid and are consistently applied by the courts. Before Brexit, ECJ judg</w:t>
      </w:r>
      <w:r w:rsidR="005849BF">
        <w:rPr>
          <w:rFonts w:ascii="Arial" w:hAnsi="Arial" w:cs="Arial"/>
          <w:sz w:val="22"/>
          <w:szCs w:val="22"/>
        </w:rPr>
        <w:t>e</w:t>
      </w:r>
      <w:r w:rsidRPr="004A228D">
        <w:rPr>
          <w:rFonts w:ascii="Arial" w:hAnsi="Arial" w:cs="Arial"/>
          <w:sz w:val="22"/>
          <w:szCs w:val="22"/>
        </w:rPr>
        <w:t>ments were binding on UK courts as they played a key role in interpreting EU law. However, since the UK’s exit on 31</w:t>
      </w:r>
      <w:r w:rsidR="004D560A" w:rsidRPr="004D560A">
        <w:rPr>
          <w:rFonts w:ascii="Arial" w:hAnsi="Arial" w:cs="Arial"/>
          <w:sz w:val="22"/>
          <w:szCs w:val="22"/>
          <w:vertAlign w:val="superscript"/>
        </w:rPr>
        <w:t>st</w:t>
      </w:r>
      <w:r w:rsidR="004D560A">
        <w:rPr>
          <w:rFonts w:ascii="Arial" w:hAnsi="Arial" w:cs="Arial"/>
          <w:sz w:val="22"/>
          <w:szCs w:val="22"/>
        </w:rPr>
        <w:t xml:space="preserve"> </w:t>
      </w:r>
      <w:r w:rsidRPr="004A228D">
        <w:rPr>
          <w:rFonts w:ascii="Arial" w:hAnsi="Arial" w:cs="Arial"/>
          <w:sz w:val="22"/>
          <w:szCs w:val="22"/>
        </w:rPr>
        <w:t xml:space="preserve">December 2020, this is no longer the case. The European Union (Withdrawal) Act 2018 ensured that most EU-derived law, including ECJ decisions made before Brexit, was retained in domestic law (Daniels, 2016). While these retained decisions remain part of UK law, they no longer have binding authority in the same way. Courts can now choose </w:t>
      </w:r>
      <w:proofErr w:type="gramStart"/>
      <w:r w:rsidRPr="004A228D">
        <w:rPr>
          <w:rFonts w:ascii="Arial" w:hAnsi="Arial" w:cs="Arial"/>
          <w:sz w:val="22"/>
          <w:szCs w:val="22"/>
        </w:rPr>
        <w:t>whether or not</w:t>
      </w:r>
      <w:proofErr w:type="gramEnd"/>
      <w:r w:rsidRPr="004A228D">
        <w:rPr>
          <w:rFonts w:ascii="Arial" w:hAnsi="Arial" w:cs="Arial"/>
          <w:sz w:val="22"/>
          <w:szCs w:val="22"/>
        </w:rPr>
        <w:t xml:space="preserve"> to follow them (CIPD, 2024</w:t>
      </w:r>
      <w:r w:rsidR="00B745A3">
        <w:rPr>
          <w:rFonts w:ascii="Arial" w:hAnsi="Arial" w:cs="Arial"/>
          <w:sz w:val="22"/>
          <w:szCs w:val="22"/>
        </w:rPr>
        <w:t>a</w:t>
      </w:r>
      <w:r w:rsidRPr="004A228D">
        <w:rPr>
          <w:rFonts w:ascii="Arial" w:hAnsi="Arial" w:cs="Arial"/>
          <w:sz w:val="22"/>
          <w:szCs w:val="22"/>
        </w:rPr>
        <w:t>).</w:t>
      </w:r>
    </w:p>
    <w:p w14:paraId="395E3F41" w14:textId="79796A8F" w:rsidR="004A228D" w:rsidRPr="004A228D" w:rsidRDefault="004A228D" w:rsidP="004A228D">
      <w:pPr>
        <w:rPr>
          <w:rFonts w:ascii="Arial" w:hAnsi="Arial" w:cs="Arial"/>
          <w:sz w:val="22"/>
          <w:szCs w:val="22"/>
        </w:rPr>
      </w:pPr>
      <w:r w:rsidRPr="004A228D">
        <w:rPr>
          <w:rFonts w:ascii="Arial" w:hAnsi="Arial" w:cs="Arial"/>
          <w:sz w:val="22"/>
          <w:szCs w:val="22"/>
        </w:rPr>
        <w:t>From 1</w:t>
      </w:r>
      <w:r w:rsidR="004D560A" w:rsidRPr="004D560A">
        <w:rPr>
          <w:rFonts w:ascii="Arial" w:hAnsi="Arial" w:cs="Arial"/>
          <w:sz w:val="22"/>
          <w:szCs w:val="22"/>
          <w:vertAlign w:val="superscript"/>
        </w:rPr>
        <w:t>st</w:t>
      </w:r>
      <w:r w:rsidR="004D560A">
        <w:rPr>
          <w:rFonts w:ascii="Arial" w:hAnsi="Arial" w:cs="Arial"/>
          <w:sz w:val="22"/>
          <w:szCs w:val="22"/>
        </w:rPr>
        <w:t xml:space="preserve"> </w:t>
      </w:r>
      <w:r w:rsidRPr="004A228D">
        <w:rPr>
          <w:rFonts w:ascii="Arial" w:hAnsi="Arial" w:cs="Arial"/>
          <w:sz w:val="22"/>
          <w:szCs w:val="22"/>
        </w:rPr>
        <w:t>January 2021, UK courts</w:t>
      </w:r>
      <w:r w:rsidR="004D560A">
        <w:rPr>
          <w:rFonts w:ascii="Arial" w:hAnsi="Arial" w:cs="Arial"/>
          <w:sz w:val="22"/>
          <w:szCs w:val="22"/>
        </w:rPr>
        <w:t xml:space="preserve">, </w:t>
      </w:r>
      <w:r w:rsidRPr="004A228D">
        <w:rPr>
          <w:rFonts w:ascii="Arial" w:hAnsi="Arial" w:cs="Arial"/>
          <w:sz w:val="22"/>
          <w:szCs w:val="22"/>
        </w:rPr>
        <w:t>particularly the Court of Appeal and Supreme Court</w:t>
      </w:r>
      <w:r w:rsidR="004D560A">
        <w:rPr>
          <w:rFonts w:ascii="Arial" w:hAnsi="Arial" w:cs="Arial"/>
          <w:sz w:val="22"/>
          <w:szCs w:val="22"/>
        </w:rPr>
        <w:t xml:space="preserve">, </w:t>
      </w:r>
      <w:r w:rsidRPr="004A228D">
        <w:rPr>
          <w:rFonts w:ascii="Arial" w:hAnsi="Arial" w:cs="Arial"/>
          <w:sz w:val="22"/>
          <w:szCs w:val="22"/>
        </w:rPr>
        <w:t xml:space="preserve">gained the power to depart from retained EU case law. This is supported by Section 6 of the Retained EU Law (Revocation and Reform) Act 2023, which states that courts may depart from retained EU law </w:t>
      </w:r>
      <w:r w:rsidR="004D560A">
        <w:rPr>
          <w:rFonts w:ascii="Arial" w:hAnsi="Arial" w:cs="Arial"/>
          <w:sz w:val="22"/>
          <w:szCs w:val="22"/>
        </w:rPr>
        <w:t>‘</w:t>
      </w:r>
      <w:r w:rsidRPr="004A228D">
        <w:rPr>
          <w:rFonts w:ascii="Arial" w:hAnsi="Arial" w:cs="Arial"/>
          <w:sz w:val="22"/>
          <w:szCs w:val="22"/>
        </w:rPr>
        <w:t>where it appears right to do so</w:t>
      </w:r>
      <w:r w:rsidR="004D560A">
        <w:rPr>
          <w:rFonts w:ascii="Arial" w:hAnsi="Arial" w:cs="Arial"/>
          <w:sz w:val="22"/>
          <w:szCs w:val="22"/>
        </w:rPr>
        <w:t>’</w:t>
      </w:r>
      <w:r w:rsidRPr="004A228D">
        <w:rPr>
          <w:rFonts w:ascii="Arial" w:hAnsi="Arial" w:cs="Arial"/>
          <w:sz w:val="22"/>
          <w:szCs w:val="22"/>
        </w:rPr>
        <w:t xml:space="preserve"> (UK Government, 2023). However, this provision was </w:t>
      </w:r>
      <w:proofErr w:type="spellStart"/>
      <w:r w:rsidRPr="004A228D">
        <w:rPr>
          <w:rFonts w:ascii="Arial" w:hAnsi="Arial" w:cs="Arial"/>
          <w:sz w:val="22"/>
          <w:szCs w:val="22"/>
        </w:rPr>
        <w:t>paused</w:t>
      </w:r>
      <w:proofErr w:type="spellEnd"/>
      <w:r w:rsidRPr="004A228D">
        <w:rPr>
          <w:rFonts w:ascii="Arial" w:hAnsi="Arial" w:cs="Arial"/>
          <w:sz w:val="22"/>
          <w:szCs w:val="22"/>
        </w:rPr>
        <w:t xml:space="preserve"> by the government on 30</w:t>
      </w:r>
      <w:r w:rsidR="004D560A" w:rsidRPr="004D560A">
        <w:rPr>
          <w:rFonts w:ascii="Arial" w:hAnsi="Arial" w:cs="Arial"/>
          <w:sz w:val="22"/>
          <w:szCs w:val="22"/>
          <w:vertAlign w:val="superscript"/>
        </w:rPr>
        <w:t>th</w:t>
      </w:r>
      <w:r w:rsidR="004D560A">
        <w:rPr>
          <w:rFonts w:ascii="Arial" w:hAnsi="Arial" w:cs="Arial"/>
          <w:sz w:val="22"/>
          <w:szCs w:val="22"/>
        </w:rPr>
        <w:t xml:space="preserve"> </w:t>
      </w:r>
      <w:r w:rsidRPr="004A228D">
        <w:rPr>
          <w:rFonts w:ascii="Arial" w:hAnsi="Arial" w:cs="Arial"/>
          <w:sz w:val="22"/>
          <w:szCs w:val="22"/>
        </w:rPr>
        <w:t>September 2024, and further guidance is awaited. Nonetheless, UK courts are no longer obliged to follow ECJ rulings, and legal interpretation now rests solely with UK institutions.</w:t>
      </w:r>
    </w:p>
    <w:p w14:paraId="6FAD69E4" w14:textId="4F6EB497" w:rsidR="004A228D" w:rsidRPr="004A228D" w:rsidRDefault="004A228D" w:rsidP="004A228D">
      <w:pPr>
        <w:rPr>
          <w:rFonts w:ascii="Arial" w:hAnsi="Arial" w:cs="Arial"/>
          <w:sz w:val="22"/>
          <w:szCs w:val="22"/>
        </w:rPr>
      </w:pPr>
      <w:r w:rsidRPr="004A228D">
        <w:rPr>
          <w:rFonts w:ascii="Arial" w:hAnsi="Arial" w:cs="Arial"/>
          <w:sz w:val="22"/>
          <w:szCs w:val="22"/>
        </w:rPr>
        <w:t>A good example is Harpur Trust v Brazel, which confirmed that part-year workers are entitled to the full 5.6 weeks of statutory holiday pay. This decision aligned with ECJ principles under the Working Time Directive. However, as of 1</w:t>
      </w:r>
      <w:r w:rsidR="00780F3A" w:rsidRPr="00780F3A">
        <w:rPr>
          <w:rFonts w:ascii="Arial" w:hAnsi="Arial" w:cs="Arial"/>
          <w:sz w:val="22"/>
          <w:szCs w:val="22"/>
          <w:vertAlign w:val="superscript"/>
        </w:rPr>
        <w:t>st</w:t>
      </w:r>
      <w:r w:rsidR="00780F3A">
        <w:rPr>
          <w:rFonts w:ascii="Arial" w:hAnsi="Arial" w:cs="Arial"/>
          <w:sz w:val="22"/>
          <w:szCs w:val="22"/>
        </w:rPr>
        <w:t xml:space="preserve"> </w:t>
      </w:r>
      <w:r w:rsidRPr="004A228D">
        <w:rPr>
          <w:rFonts w:ascii="Arial" w:hAnsi="Arial" w:cs="Arial"/>
          <w:sz w:val="22"/>
          <w:szCs w:val="22"/>
        </w:rPr>
        <w:t>January 2024, UK law introduced rolled-up holiday pay at 12.07% for irregular and part-year workers</w:t>
      </w:r>
      <w:r w:rsidR="00780F3A">
        <w:rPr>
          <w:rFonts w:ascii="Arial" w:hAnsi="Arial" w:cs="Arial"/>
          <w:sz w:val="22"/>
          <w:szCs w:val="22"/>
        </w:rPr>
        <w:t xml:space="preserve">, </w:t>
      </w:r>
      <w:r w:rsidRPr="004A228D">
        <w:rPr>
          <w:rFonts w:ascii="Arial" w:hAnsi="Arial" w:cs="Arial"/>
          <w:sz w:val="22"/>
          <w:szCs w:val="22"/>
        </w:rPr>
        <w:t xml:space="preserve">effectively </w:t>
      </w:r>
      <w:r w:rsidR="00780F3A" w:rsidRPr="004A228D">
        <w:rPr>
          <w:rFonts w:ascii="Arial" w:hAnsi="Arial" w:cs="Arial"/>
          <w:sz w:val="22"/>
          <w:szCs w:val="22"/>
        </w:rPr>
        <w:t>differing</w:t>
      </w:r>
      <w:r w:rsidRPr="004A228D">
        <w:rPr>
          <w:rFonts w:ascii="Arial" w:hAnsi="Arial" w:cs="Arial"/>
          <w:sz w:val="22"/>
          <w:szCs w:val="22"/>
        </w:rPr>
        <w:t xml:space="preserve"> from the Brazel ruling. This reflects how UK employment law can now develop independently of ECJ precedent (HR Inform, 2022).</w:t>
      </w:r>
    </w:p>
    <w:p w14:paraId="6AC44264" w14:textId="0B83B7D6" w:rsidR="004A228D" w:rsidRPr="004A228D" w:rsidRDefault="00567106" w:rsidP="004A228D">
      <w:pPr>
        <w:rPr>
          <w:rFonts w:ascii="Arial" w:hAnsi="Arial" w:cs="Arial"/>
          <w:sz w:val="22"/>
          <w:szCs w:val="22"/>
        </w:rPr>
      </w:pPr>
      <w:r>
        <w:rPr>
          <w:rFonts w:ascii="Arial" w:hAnsi="Arial" w:cs="Arial"/>
          <w:sz w:val="22"/>
          <w:szCs w:val="22"/>
        </w:rPr>
        <w:t>So, to answer your question,</w:t>
      </w:r>
      <w:r w:rsidR="004A228D" w:rsidRPr="004A228D">
        <w:rPr>
          <w:rFonts w:ascii="Arial" w:hAnsi="Arial" w:cs="Arial"/>
          <w:sz w:val="22"/>
          <w:szCs w:val="22"/>
        </w:rPr>
        <w:t xml:space="preserve"> pre-Brexit ECJ rulings remain part of UK law but are no longer automatically binding. UK courts now have the autonomy to follow, adapt, or depart from them.</w:t>
      </w:r>
    </w:p>
    <w:p w14:paraId="249644DA" w14:textId="6A05152A" w:rsidR="00E95E36" w:rsidRDefault="00130789" w:rsidP="003C6A73">
      <w:pPr>
        <w:rPr>
          <w:rFonts w:ascii="Arial" w:hAnsi="Arial" w:cs="Arial"/>
          <w:sz w:val="22"/>
          <w:szCs w:val="22"/>
        </w:rPr>
      </w:pPr>
      <w:r>
        <w:rPr>
          <w:rFonts w:ascii="Arial" w:hAnsi="Arial" w:cs="Arial"/>
          <w:sz w:val="22"/>
          <w:szCs w:val="22"/>
        </w:rPr>
        <w:t>Please let me know if you have any questions or require additional information on the above.</w:t>
      </w:r>
    </w:p>
    <w:bookmarkEnd w:id="1"/>
    <w:p w14:paraId="7BC8991B" w14:textId="1B29E917" w:rsidR="00D25D93" w:rsidRDefault="00D25D93" w:rsidP="003C6A73">
      <w:pPr>
        <w:rPr>
          <w:rFonts w:ascii="Arial" w:hAnsi="Arial" w:cs="Arial"/>
          <w:b/>
          <w:bCs/>
          <w:sz w:val="22"/>
          <w:szCs w:val="22"/>
        </w:rPr>
      </w:pPr>
      <w:r>
        <w:rPr>
          <w:noProof/>
        </w:rPr>
        <w:lastRenderedPageBreak/>
        <mc:AlternateContent>
          <mc:Choice Requires="wps">
            <w:drawing>
              <wp:anchor distT="45720" distB="45720" distL="114300" distR="114300" simplePos="0" relativeHeight="251663360" behindDoc="0" locked="0" layoutInCell="1" allowOverlap="1" wp14:anchorId="52F99412" wp14:editId="2A91279E">
                <wp:simplePos x="0" y="0"/>
                <wp:positionH relativeFrom="column">
                  <wp:posOffset>1435100</wp:posOffset>
                </wp:positionH>
                <wp:positionV relativeFrom="paragraph">
                  <wp:posOffset>387350</wp:posOffset>
                </wp:positionV>
                <wp:extent cx="3981450" cy="1130300"/>
                <wp:effectExtent l="0" t="0" r="0" b="0"/>
                <wp:wrapNone/>
                <wp:docPr id="20517895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1450" cy="1130300"/>
                        </a:xfrm>
                        <a:prstGeom prst="rect">
                          <a:avLst/>
                        </a:prstGeom>
                        <a:noFill/>
                        <a:ln w="9525">
                          <a:noFill/>
                          <a:miter lim="800000"/>
                          <a:headEnd/>
                          <a:tailEnd/>
                        </a:ln>
                      </wps:spPr>
                      <wps:txbx>
                        <w:txbxContent>
                          <w:p w14:paraId="37342EF5" w14:textId="67551527" w:rsidR="00D25D93" w:rsidRDefault="00D25D93" w:rsidP="00D25D93">
                            <w:pPr>
                              <w:rPr>
                                <w:rFonts w:ascii="Arial" w:hAnsi="Arial" w:cs="Arial"/>
                                <w:b/>
                                <w:bCs/>
                                <w:sz w:val="22"/>
                                <w:szCs w:val="22"/>
                              </w:rPr>
                            </w:pPr>
                            <w:r>
                              <w:rPr>
                                <w:rFonts w:ascii="Arial" w:hAnsi="Arial" w:cs="Arial"/>
                                <w:b/>
                                <w:bCs/>
                                <w:sz w:val="22"/>
                                <w:szCs w:val="22"/>
                              </w:rPr>
                              <w:t>Colleague</w:t>
                            </w:r>
                          </w:p>
                          <w:p w14:paraId="67FA3C5A" w14:textId="77777777" w:rsidR="00D25D93" w:rsidRDefault="00D25D93" w:rsidP="00D25D93">
                            <w:pPr>
                              <w:rPr>
                                <w:rFonts w:ascii="Arial" w:hAnsi="Arial" w:cs="Arial"/>
                                <w:b/>
                                <w:bCs/>
                                <w:sz w:val="22"/>
                                <w:szCs w:val="22"/>
                              </w:rPr>
                            </w:pPr>
                          </w:p>
                          <w:p w14:paraId="05EA3040" w14:textId="3EA48E66" w:rsidR="00D25D93" w:rsidRDefault="00D25D93" w:rsidP="00D25D93">
                            <w:pPr>
                              <w:rPr>
                                <w:rFonts w:ascii="Arial" w:hAnsi="Arial" w:cs="Arial"/>
                                <w:b/>
                                <w:bCs/>
                                <w:sz w:val="22"/>
                                <w:szCs w:val="22"/>
                              </w:rPr>
                            </w:pPr>
                            <w:r>
                              <w:rPr>
                                <w:rFonts w:ascii="Arial" w:hAnsi="Arial" w:cs="Arial"/>
                                <w:b/>
                                <w:bCs/>
                                <w:sz w:val="22"/>
                                <w:szCs w:val="22"/>
                              </w:rPr>
                              <w:t xml:space="preserve">Re: </w:t>
                            </w:r>
                            <w:r w:rsidRPr="00D25D93">
                              <w:rPr>
                                <w:rFonts w:ascii="Arial" w:hAnsi="Arial" w:cs="Arial"/>
                                <w:b/>
                                <w:bCs/>
                                <w:sz w:val="22"/>
                                <w:szCs w:val="22"/>
                              </w:rPr>
                              <w:t>Advice Needed – Gender Requirement for a Post</w:t>
                            </w:r>
                          </w:p>
                          <w:p w14:paraId="0449BBC7" w14:textId="77777777" w:rsidR="00D25D93" w:rsidRPr="000A66B6" w:rsidRDefault="00D25D93" w:rsidP="00D25D93">
                            <w:pPr>
                              <w:rPr>
                                <w:rFonts w:ascii="Arial" w:hAnsi="Arial" w:cs="Arial"/>
                                <w:b/>
                                <w:bCs/>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F99412" id="_x0000_s1028" type="#_x0000_t202" style="position:absolute;margin-left:113pt;margin-top:30.5pt;width:313.5pt;height:89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" filled="f" stroked="f">
                <v:textbox>
                  <w:txbxContent>
                    <w:p w14:paraId="37342EF5" w14:textId="67551527" w:rsidR="00D25D93" w:rsidRDefault="00D25D93" w:rsidP="00D25D93">
                      <w:pPr>
                        <w:rPr>
                          <w:rFonts w:ascii="Arial" w:hAnsi="Arial" w:cs="Arial"/>
                          <w:b/>
                          <w:bCs/>
                          <w:sz w:val="22"/>
                          <w:szCs w:val="22"/>
                        </w:rPr>
                      </w:pPr>
                      <w:r>
                        <w:rPr>
                          <w:rFonts w:ascii="Arial" w:hAnsi="Arial" w:cs="Arial"/>
                          <w:b/>
                          <w:bCs/>
                          <w:sz w:val="22"/>
                          <w:szCs w:val="22"/>
                        </w:rPr>
                        <w:t>Colleague</w:t>
                      </w:r>
                    </w:p>
                    <w:p w14:paraId="67FA3C5A" w14:textId="77777777" w:rsidR="00D25D93" w:rsidRDefault="00D25D93" w:rsidP="00D25D93">
                      <w:pPr>
                        <w:rPr>
                          <w:rFonts w:ascii="Arial" w:hAnsi="Arial" w:cs="Arial"/>
                          <w:b/>
                          <w:bCs/>
                          <w:sz w:val="22"/>
                          <w:szCs w:val="22"/>
                        </w:rPr>
                      </w:pPr>
                    </w:p>
                    <w:p w14:paraId="05EA3040" w14:textId="3EA48E66" w:rsidR="00D25D93" w:rsidRDefault="00D25D93" w:rsidP="00D25D93">
                      <w:pPr>
                        <w:rPr>
                          <w:rFonts w:ascii="Arial" w:hAnsi="Arial" w:cs="Arial"/>
                          <w:b/>
                          <w:bCs/>
                          <w:sz w:val="22"/>
                          <w:szCs w:val="22"/>
                        </w:rPr>
                      </w:pPr>
                      <w:r>
                        <w:rPr>
                          <w:rFonts w:ascii="Arial" w:hAnsi="Arial" w:cs="Arial"/>
                          <w:b/>
                          <w:bCs/>
                          <w:sz w:val="22"/>
                          <w:szCs w:val="22"/>
                        </w:rPr>
                        <w:t xml:space="preserve">Re: </w:t>
                      </w:r>
                      <w:r w:rsidRPr="00D25D93">
                        <w:rPr>
                          <w:rFonts w:ascii="Arial" w:hAnsi="Arial" w:cs="Arial"/>
                          <w:b/>
                          <w:bCs/>
                          <w:sz w:val="22"/>
                          <w:szCs w:val="22"/>
                        </w:rPr>
                        <w:t>Advice Needed – Gender Requirement for a Post</w:t>
                      </w:r>
                    </w:p>
                    <w:p w14:paraId="0449BBC7" w14:textId="77777777" w:rsidR="00D25D93" w:rsidRPr="000A66B6" w:rsidRDefault="00D25D93" w:rsidP="00D25D93">
                      <w:pPr>
                        <w:rPr>
                          <w:rFonts w:ascii="Arial" w:hAnsi="Arial" w:cs="Arial"/>
                          <w:b/>
                          <w:bCs/>
                          <w:sz w:val="22"/>
                          <w:szCs w:val="22"/>
                        </w:rPr>
                      </w:pPr>
                    </w:p>
                  </w:txbxContent>
                </v:textbox>
              </v:shape>
            </w:pict>
          </mc:Fallback>
        </mc:AlternateContent>
      </w:r>
      <w:r w:rsidRPr="00D25D93">
        <w:rPr>
          <w:rFonts w:ascii="Arial" w:hAnsi="Arial" w:cs="Arial"/>
          <w:b/>
          <w:bCs/>
          <w:sz w:val="22"/>
          <w:szCs w:val="22"/>
        </w:rPr>
        <w:t>AC 2.1 Email 3</w:t>
      </w:r>
      <w:r w:rsidRPr="000A66B6">
        <w:rPr>
          <w:rFonts w:ascii="Arial" w:hAnsi="Arial" w:cs="Arial"/>
          <w:b/>
          <w:bCs/>
          <w:noProof/>
          <w:sz w:val="22"/>
          <w:szCs w:val="22"/>
        </w:rPr>
        <w:drawing>
          <wp:inline distT="0" distB="0" distL="0" distR="0" wp14:anchorId="370A1BB5" wp14:editId="19D5C54C">
            <wp:extent cx="5629910" cy="1241425"/>
            <wp:effectExtent l="0" t="0" r="8890" b="0"/>
            <wp:docPr id="711130354" name="Picture 1" descr="A white board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183587" name="Picture 1" descr="A white board with blue lines&#10;&#10;AI-generated content may be incorrect."/>
                    <pic:cNvPicPr/>
                  </pic:nvPicPr>
                  <pic:blipFill rotWithShape="1">
                    <a:blip r:embed="rId5"/>
                    <a:srcRect l="1773" t="6235"/>
                    <a:stretch/>
                  </pic:blipFill>
                  <pic:spPr bwMode="auto">
                    <a:xfrm>
                      <a:off x="0" y="0"/>
                      <a:ext cx="5629910" cy="1241425"/>
                    </a:xfrm>
                    <a:prstGeom prst="rect">
                      <a:avLst/>
                    </a:prstGeom>
                    <a:ln>
                      <a:noFill/>
                    </a:ln>
                    <a:extLst>
                      <a:ext uri="{53640926-AAD7-44D8-BBD7-CCE9431645EC}">
                        <a14:shadowObscured xmlns:a14="http://schemas.microsoft.com/office/drawing/2010/main"/>
                      </a:ext>
                    </a:extLst>
                  </pic:spPr>
                </pic:pic>
              </a:graphicData>
            </a:graphic>
          </wp:inline>
        </w:drawing>
      </w:r>
    </w:p>
    <w:p w14:paraId="0449A2C9" w14:textId="77777777" w:rsidR="00950C71" w:rsidRPr="00950C71" w:rsidRDefault="00950C71" w:rsidP="00950C71">
      <w:pPr>
        <w:rPr>
          <w:rFonts w:ascii="Arial" w:hAnsi="Arial" w:cs="Arial"/>
          <w:sz w:val="22"/>
          <w:szCs w:val="22"/>
        </w:rPr>
      </w:pPr>
      <w:bookmarkStart w:id="2" w:name="_Hlk199674510"/>
      <w:r w:rsidRPr="00950C71">
        <w:rPr>
          <w:rFonts w:ascii="Arial" w:hAnsi="Arial" w:cs="Arial"/>
          <w:sz w:val="22"/>
          <w:szCs w:val="22"/>
        </w:rPr>
        <w:t>Thanks for your message – it’s a great question and one that comes up quite often.</w:t>
      </w:r>
    </w:p>
    <w:p w14:paraId="17F69F16" w14:textId="65AC8D3E" w:rsidR="00950C71" w:rsidRPr="00950C71" w:rsidRDefault="00950C71" w:rsidP="00950C71">
      <w:pPr>
        <w:rPr>
          <w:rFonts w:ascii="Arial" w:hAnsi="Arial" w:cs="Arial"/>
          <w:sz w:val="22"/>
          <w:szCs w:val="22"/>
        </w:rPr>
      </w:pPr>
      <w:r w:rsidRPr="00950C71">
        <w:rPr>
          <w:rFonts w:ascii="Arial" w:hAnsi="Arial" w:cs="Arial"/>
          <w:sz w:val="22"/>
          <w:szCs w:val="22"/>
        </w:rPr>
        <w:t xml:space="preserve">Generally, we can’t specify that a job must be done by a man or a woman, because that would usually count as direct discrimination under </w:t>
      </w:r>
      <w:r w:rsidR="00212829" w:rsidRPr="00212829">
        <w:rPr>
          <w:rFonts w:ascii="Arial" w:hAnsi="Arial" w:cs="Arial"/>
          <w:sz w:val="22"/>
          <w:szCs w:val="22"/>
        </w:rPr>
        <w:t>Section 13 of the Equality Act 2010</w:t>
      </w:r>
      <w:r w:rsidRPr="00950C71">
        <w:rPr>
          <w:rFonts w:ascii="Arial" w:hAnsi="Arial" w:cs="Arial"/>
          <w:sz w:val="22"/>
          <w:szCs w:val="22"/>
        </w:rPr>
        <w:t xml:space="preserve">. However, there are some limited situations where an occupational requirement (OR) applies </w:t>
      </w:r>
      <w:r>
        <w:rPr>
          <w:rFonts w:ascii="Arial" w:hAnsi="Arial" w:cs="Arial"/>
          <w:sz w:val="22"/>
          <w:szCs w:val="22"/>
        </w:rPr>
        <w:t>(</w:t>
      </w:r>
      <w:r w:rsidRPr="00950C71">
        <w:rPr>
          <w:rFonts w:ascii="Arial" w:hAnsi="Arial" w:cs="Arial"/>
          <w:sz w:val="22"/>
          <w:szCs w:val="22"/>
        </w:rPr>
        <w:t>basically, where someone’s sex is essential for the role, and there’s a clear and legal justification for it (Daniels, 20</w:t>
      </w:r>
      <w:r>
        <w:rPr>
          <w:rFonts w:ascii="Arial" w:hAnsi="Arial" w:cs="Arial"/>
          <w:sz w:val="22"/>
          <w:szCs w:val="22"/>
        </w:rPr>
        <w:t>16</w:t>
      </w:r>
      <w:r w:rsidRPr="00950C71">
        <w:rPr>
          <w:rFonts w:ascii="Arial" w:hAnsi="Arial" w:cs="Arial"/>
          <w:sz w:val="22"/>
          <w:szCs w:val="22"/>
        </w:rPr>
        <w:t>)</w:t>
      </w:r>
      <w:r>
        <w:rPr>
          <w:rFonts w:ascii="Arial" w:hAnsi="Arial" w:cs="Arial"/>
          <w:sz w:val="22"/>
          <w:szCs w:val="22"/>
        </w:rPr>
        <w:t>)</w:t>
      </w:r>
      <w:r w:rsidRPr="00950C71">
        <w:rPr>
          <w:rFonts w:ascii="Arial" w:hAnsi="Arial" w:cs="Arial"/>
          <w:sz w:val="22"/>
          <w:szCs w:val="22"/>
        </w:rPr>
        <w:t>.</w:t>
      </w:r>
    </w:p>
    <w:p w14:paraId="6B41CCF5" w14:textId="77777777" w:rsidR="00950C71" w:rsidRPr="00950C71" w:rsidRDefault="00950C71" w:rsidP="00950C71">
      <w:pPr>
        <w:rPr>
          <w:rFonts w:ascii="Arial" w:hAnsi="Arial" w:cs="Arial"/>
          <w:sz w:val="22"/>
          <w:szCs w:val="22"/>
        </w:rPr>
      </w:pPr>
      <w:r w:rsidRPr="00950C71">
        <w:rPr>
          <w:rFonts w:ascii="Arial" w:hAnsi="Arial" w:cs="Arial"/>
          <w:sz w:val="22"/>
          <w:szCs w:val="22"/>
        </w:rPr>
        <w:t xml:space="preserve">To be lawful, an OR </w:t>
      </w:r>
      <w:proofErr w:type="gramStart"/>
      <w:r w:rsidRPr="00950C71">
        <w:rPr>
          <w:rFonts w:ascii="Arial" w:hAnsi="Arial" w:cs="Arial"/>
          <w:sz w:val="22"/>
          <w:szCs w:val="22"/>
        </w:rPr>
        <w:t>has to</w:t>
      </w:r>
      <w:proofErr w:type="gramEnd"/>
      <w:r w:rsidRPr="00950C71">
        <w:rPr>
          <w:rFonts w:ascii="Arial" w:hAnsi="Arial" w:cs="Arial"/>
          <w:sz w:val="22"/>
          <w:szCs w:val="22"/>
        </w:rPr>
        <w:t xml:space="preserve"> be:</w:t>
      </w:r>
    </w:p>
    <w:p w14:paraId="5660B529" w14:textId="77777777" w:rsidR="00950C71" w:rsidRPr="00950C71" w:rsidRDefault="00950C71" w:rsidP="00950C71">
      <w:pPr>
        <w:numPr>
          <w:ilvl w:val="0"/>
          <w:numId w:val="8"/>
        </w:numPr>
        <w:rPr>
          <w:rFonts w:ascii="Arial" w:hAnsi="Arial" w:cs="Arial"/>
          <w:sz w:val="22"/>
          <w:szCs w:val="22"/>
        </w:rPr>
      </w:pPr>
      <w:r w:rsidRPr="00950C71">
        <w:rPr>
          <w:rFonts w:ascii="Arial" w:hAnsi="Arial" w:cs="Arial"/>
          <w:sz w:val="22"/>
          <w:szCs w:val="22"/>
        </w:rPr>
        <w:t>Fundamental to the role</w:t>
      </w:r>
    </w:p>
    <w:p w14:paraId="5712BDEF" w14:textId="77777777" w:rsidR="00950C71" w:rsidRPr="00950C71" w:rsidRDefault="00950C71" w:rsidP="00950C71">
      <w:pPr>
        <w:numPr>
          <w:ilvl w:val="0"/>
          <w:numId w:val="8"/>
        </w:numPr>
        <w:rPr>
          <w:rFonts w:ascii="Arial" w:hAnsi="Arial" w:cs="Arial"/>
          <w:sz w:val="22"/>
          <w:szCs w:val="22"/>
        </w:rPr>
      </w:pPr>
      <w:r w:rsidRPr="00950C71">
        <w:rPr>
          <w:rFonts w:ascii="Arial" w:hAnsi="Arial" w:cs="Arial"/>
          <w:sz w:val="22"/>
          <w:szCs w:val="22"/>
        </w:rPr>
        <w:t>Proportionate (so not overly restrictive)</w:t>
      </w:r>
    </w:p>
    <w:p w14:paraId="050D6414" w14:textId="5ED5401A" w:rsidR="00950C71" w:rsidRPr="00950C71" w:rsidRDefault="00950C71" w:rsidP="00950C71">
      <w:pPr>
        <w:numPr>
          <w:ilvl w:val="0"/>
          <w:numId w:val="8"/>
        </w:numPr>
        <w:rPr>
          <w:rFonts w:ascii="Arial" w:hAnsi="Arial" w:cs="Arial"/>
          <w:sz w:val="22"/>
          <w:szCs w:val="22"/>
        </w:rPr>
      </w:pPr>
      <w:r w:rsidRPr="00950C71">
        <w:rPr>
          <w:rFonts w:ascii="Arial" w:hAnsi="Arial" w:cs="Arial"/>
          <w:sz w:val="22"/>
          <w:szCs w:val="22"/>
        </w:rPr>
        <w:t>Directly related to the duties involved (CIPD, 2025</w:t>
      </w:r>
      <w:r w:rsidR="009A446D">
        <w:rPr>
          <w:rFonts w:ascii="Arial" w:hAnsi="Arial" w:cs="Arial"/>
          <w:sz w:val="22"/>
          <w:szCs w:val="22"/>
        </w:rPr>
        <w:t>a</w:t>
      </w:r>
      <w:r w:rsidRPr="00950C71">
        <w:rPr>
          <w:rFonts w:ascii="Arial" w:hAnsi="Arial" w:cs="Arial"/>
          <w:sz w:val="22"/>
          <w:szCs w:val="22"/>
        </w:rPr>
        <w:t>)</w:t>
      </w:r>
    </w:p>
    <w:p w14:paraId="6DC4F61B" w14:textId="178E8E75" w:rsidR="00950C71" w:rsidRPr="00950C71" w:rsidRDefault="00950C71" w:rsidP="00950C71">
      <w:pPr>
        <w:rPr>
          <w:rFonts w:ascii="Arial" w:hAnsi="Arial" w:cs="Arial"/>
          <w:sz w:val="22"/>
          <w:szCs w:val="22"/>
        </w:rPr>
      </w:pPr>
      <w:r w:rsidRPr="00950C71">
        <w:rPr>
          <w:rFonts w:ascii="Arial" w:hAnsi="Arial" w:cs="Arial"/>
          <w:sz w:val="22"/>
          <w:szCs w:val="22"/>
        </w:rPr>
        <w:t xml:space="preserve">The Employment Code of Practice also says it mustn’t be based on assumptions, stereotypes, or just what a customer might prefer (EHRC, 2011). For example, you couldn’t say </w:t>
      </w:r>
      <w:r w:rsidR="00C63145">
        <w:rPr>
          <w:rFonts w:ascii="Arial" w:hAnsi="Arial" w:cs="Arial"/>
          <w:sz w:val="22"/>
          <w:szCs w:val="22"/>
        </w:rPr>
        <w:t>‘</w:t>
      </w:r>
      <w:r w:rsidRPr="00950C71">
        <w:rPr>
          <w:rFonts w:ascii="Arial" w:hAnsi="Arial" w:cs="Arial"/>
          <w:sz w:val="22"/>
          <w:szCs w:val="22"/>
        </w:rPr>
        <w:t>we’d prefer a female receptionist</w:t>
      </w:r>
      <w:r w:rsidR="00C63145">
        <w:rPr>
          <w:rFonts w:ascii="Arial" w:hAnsi="Arial" w:cs="Arial"/>
          <w:sz w:val="22"/>
          <w:szCs w:val="22"/>
        </w:rPr>
        <w:t xml:space="preserve">’ </w:t>
      </w:r>
      <w:r w:rsidRPr="00950C71">
        <w:rPr>
          <w:rFonts w:ascii="Arial" w:hAnsi="Arial" w:cs="Arial"/>
          <w:sz w:val="22"/>
          <w:szCs w:val="22"/>
        </w:rPr>
        <w:t xml:space="preserve">just because </w:t>
      </w:r>
      <w:r w:rsidR="00C63145">
        <w:rPr>
          <w:rFonts w:ascii="Arial" w:hAnsi="Arial" w:cs="Arial"/>
          <w:sz w:val="22"/>
          <w:szCs w:val="22"/>
        </w:rPr>
        <w:t>they’re typically</w:t>
      </w:r>
      <w:r w:rsidRPr="00950C71">
        <w:rPr>
          <w:rFonts w:ascii="Arial" w:hAnsi="Arial" w:cs="Arial"/>
          <w:sz w:val="22"/>
          <w:szCs w:val="22"/>
        </w:rPr>
        <w:t xml:space="preserve"> seen as more welcoming</w:t>
      </w:r>
      <w:r w:rsidR="00C63145">
        <w:rPr>
          <w:rFonts w:ascii="Arial" w:hAnsi="Arial" w:cs="Arial"/>
          <w:sz w:val="22"/>
          <w:szCs w:val="22"/>
        </w:rPr>
        <w:t xml:space="preserve"> -</w:t>
      </w:r>
      <w:r w:rsidRPr="00950C71">
        <w:rPr>
          <w:rFonts w:ascii="Arial" w:hAnsi="Arial" w:cs="Arial"/>
          <w:sz w:val="22"/>
          <w:szCs w:val="22"/>
        </w:rPr>
        <w:t xml:space="preserve"> that wouldn’t stand up legally.</w:t>
      </w:r>
    </w:p>
    <w:p w14:paraId="38225568" w14:textId="1C84BDC8" w:rsidR="00950C71" w:rsidRPr="00950C71" w:rsidRDefault="00950C71" w:rsidP="00950C71">
      <w:pPr>
        <w:rPr>
          <w:rFonts w:ascii="Arial" w:hAnsi="Arial" w:cs="Arial"/>
          <w:sz w:val="22"/>
          <w:szCs w:val="22"/>
        </w:rPr>
      </w:pPr>
      <w:r w:rsidRPr="00950C71">
        <w:rPr>
          <w:rFonts w:ascii="Arial" w:hAnsi="Arial" w:cs="Arial"/>
          <w:sz w:val="22"/>
          <w:szCs w:val="22"/>
        </w:rPr>
        <w:t>That said, there are some valid scenarios where an OR can apply. A good example from the EHRC’s Code is where a women’s refuge requires a female support worker to preserve the privacy, dignity, and safety of service users who have experienced male violence. In this case, it’s likely the requirement would be considered both legitimate and proportionate (EHRC, 201</w:t>
      </w:r>
      <w:r w:rsidR="00C63145">
        <w:rPr>
          <w:rFonts w:ascii="Arial" w:hAnsi="Arial" w:cs="Arial"/>
          <w:sz w:val="22"/>
          <w:szCs w:val="22"/>
        </w:rPr>
        <w:t>5</w:t>
      </w:r>
      <w:r w:rsidRPr="00950C71">
        <w:rPr>
          <w:rFonts w:ascii="Arial" w:hAnsi="Arial" w:cs="Arial"/>
          <w:sz w:val="22"/>
          <w:szCs w:val="22"/>
        </w:rPr>
        <w:t>).</w:t>
      </w:r>
    </w:p>
    <w:p w14:paraId="18334A54" w14:textId="31418BD5" w:rsidR="00950C71" w:rsidRPr="00950C71" w:rsidRDefault="00950C71" w:rsidP="00950C71">
      <w:pPr>
        <w:rPr>
          <w:rFonts w:ascii="Arial" w:hAnsi="Arial" w:cs="Arial"/>
          <w:sz w:val="22"/>
          <w:szCs w:val="22"/>
        </w:rPr>
      </w:pPr>
      <w:r w:rsidRPr="00950C71">
        <w:rPr>
          <w:rFonts w:ascii="Arial" w:hAnsi="Arial" w:cs="Arial"/>
          <w:sz w:val="22"/>
          <w:szCs w:val="22"/>
        </w:rPr>
        <w:t>On the other hand, the case of Donnelly v PQ is a helpful reminder of how important it is to evidence any OR clearly. In this case, a male carer was removed from his role supporting a female service user. The employer argued that a female carer was required, but the tribunal disagreed</w:t>
      </w:r>
      <w:r w:rsidR="00C63145">
        <w:rPr>
          <w:rFonts w:ascii="Arial" w:hAnsi="Arial" w:cs="Arial"/>
          <w:sz w:val="22"/>
          <w:szCs w:val="22"/>
        </w:rPr>
        <w:t>. T</w:t>
      </w:r>
      <w:r w:rsidRPr="00950C71">
        <w:rPr>
          <w:rFonts w:ascii="Arial" w:hAnsi="Arial" w:cs="Arial"/>
          <w:sz w:val="22"/>
          <w:szCs w:val="22"/>
        </w:rPr>
        <w:t xml:space="preserve">hey hadn’t shown the requirement was a proportionate way of meeting the service user’s needs, so the OR was found to be unlawful (Trowers &amp; </w:t>
      </w:r>
      <w:proofErr w:type="spellStart"/>
      <w:r w:rsidRPr="00950C71">
        <w:rPr>
          <w:rFonts w:ascii="Arial" w:hAnsi="Arial" w:cs="Arial"/>
          <w:sz w:val="22"/>
          <w:szCs w:val="22"/>
        </w:rPr>
        <w:t>Hamlins</w:t>
      </w:r>
      <w:proofErr w:type="spellEnd"/>
      <w:r w:rsidRPr="00950C71">
        <w:rPr>
          <w:rFonts w:ascii="Arial" w:hAnsi="Arial" w:cs="Arial"/>
          <w:sz w:val="22"/>
          <w:szCs w:val="22"/>
        </w:rPr>
        <w:t>, 2023).</w:t>
      </w:r>
    </w:p>
    <w:p w14:paraId="02B7404D" w14:textId="77777777" w:rsidR="00950C71" w:rsidRPr="00950C71" w:rsidRDefault="00950C71" w:rsidP="00950C71">
      <w:pPr>
        <w:rPr>
          <w:rFonts w:ascii="Arial" w:hAnsi="Arial" w:cs="Arial"/>
          <w:sz w:val="22"/>
          <w:szCs w:val="22"/>
        </w:rPr>
      </w:pPr>
      <w:r w:rsidRPr="00950C71">
        <w:rPr>
          <w:rFonts w:ascii="Arial" w:hAnsi="Arial" w:cs="Arial"/>
          <w:sz w:val="22"/>
          <w:szCs w:val="22"/>
        </w:rPr>
        <w:t>Other examples that can be lawful include:</w:t>
      </w:r>
    </w:p>
    <w:p w14:paraId="4B2A7DE6" w14:textId="77777777" w:rsidR="00950C71" w:rsidRPr="00950C71" w:rsidRDefault="00950C71" w:rsidP="00950C71">
      <w:pPr>
        <w:numPr>
          <w:ilvl w:val="0"/>
          <w:numId w:val="9"/>
        </w:numPr>
        <w:rPr>
          <w:rFonts w:ascii="Arial" w:hAnsi="Arial" w:cs="Arial"/>
          <w:sz w:val="22"/>
          <w:szCs w:val="22"/>
        </w:rPr>
      </w:pPr>
      <w:r w:rsidRPr="00950C71">
        <w:rPr>
          <w:rFonts w:ascii="Arial" w:hAnsi="Arial" w:cs="Arial"/>
          <w:sz w:val="22"/>
          <w:szCs w:val="22"/>
        </w:rPr>
        <w:t>Care roles where personal dignity or cultural needs mean same-sex care is appropriate</w:t>
      </w:r>
    </w:p>
    <w:p w14:paraId="382CB5AD" w14:textId="77777777" w:rsidR="00950C71" w:rsidRPr="00950C71" w:rsidRDefault="00950C71" w:rsidP="00950C71">
      <w:pPr>
        <w:numPr>
          <w:ilvl w:val="0"/>
          <w:numId w:val="9"/>
        </w:numPr>
        <w:rPr>
          <w:rFonts w:ascii="Arial" w:hAnsi="Arial" w:cs="Arial"/>
          <w:sz w:val="22"/>
          <w:szCs w:val="22"/>
        </w:rPr>
      </w:pPr>
      <w:r w:rsidRPr="00950C71">
        <w:rPr>
          <w:rFonts w:ascii="Arial" w:hAnsi="Arial" w:cs="Arial"/>
          <w:sz w:val="22"/>
          <w:szCs w:val="22"/>
        </w:rPr>
        <w:t>Religious roles, like a minister, where belief and authenticity are required</w:t>
      </w:r>
    </w:p>
    <w:p w14:paraId="26428584" w14:textId="77777777" w:rsidR="00950C71" w:rsidRPr="00950C71" w:rsidRDefault="00950C71" w:rsidP="00950C71">
      <w:pPr>
        <w:numPr>
          <w:ilvl w:val="0"/>
          <w:numId w:val="9"/>
        </w:numPr>
        <w:rPr>
          <w:rFonts w:ascii="Arial" w:hAnsi="Arial" w:cs="Arial"/>
          <w:sz w:val="22"/>
          <w:szCs w:val="22"/>
        </w:rPr>
      </w:pPr>
      <w:r w:rsidRPr="00950C71">
        <w:rPr>
          <w:rFonts w:ascii="Arial" w:hAnsi="Arial" w:cs="Arial"/>
          <w:sz w:val="22"/>
          <w:szCs w:val="22"/>
        </w:rPr>
        <w:t>Live-in jobs where privacy might be compromised</w:t>
      </w:r>
    </w:p>
    <w:p w14:paraId="6108E05C" w14:textId="6EF2B85C" w:rsidR="00950C71" w:rsidRPr="00950C71" w:rsidRDefault="00950C71" w:rsidP="00950C71">
      <w:pPr>
        <w:numPr>
          <w:ilvl w:val="0"/>
          <w:numId w:val="9"/>
        </w:numPr>
        <w:rPr>
          <w:rFonts w:ascii="Arial" w:hAnsi="Arial" w:cs="Arial"/>
          <w:sz w:val="22"/>
          <w:szCs w:val="22"/>
        </w:rPr>
      </w:pPr>
      <w:r w:rsidRPr="00950C71">
        <w:rPr>
          <w:rFonts w:ascii="Arial" w:hAnsi="Arial" w:cs="Arial"/>
          <w:sz w:val="22"/>
          <w:szCs w:val="22"/>
        </w:rPr>
        <w:t>Acting roles where the character needs to be portrayed as a specific sex (Daniels, 20</w:t>
      </w:r>
      <w:r w:rsidR="00C63145">
        <w:rPr>
          <w:rFonts w:ascii="Arial" w:hAnsi="Arial" w:cs="Arial"/>
          <w:sz w:val="22"/>
          <w:szCs w:val="22"/>
        </w:rPr>
        <w:t>16</w:t>
      </w:r>
      <w:r w:rsidRPr="00950C71">
        <w:rPr>
          <w:rFonts w:ascii="Arial" w:hAnsi="Arial" w:cs="Arial"/>
          <w:sz w:val="22"/>
          <w:szCs w:val="22"/>
        </w:rPr>
        <w:t>)</w:t>
      </w:r>
    </w:p>
    <w:p w14:paraId="2C94073C" w14:textId="165DF558" w:rsidR="00950C71" w:rsidRPr="00950C71" w:rsidRDefault="00950C71" w:rsidP="00950C71">
      <w:pPr>
        <w:rPr>
          <w:rFonts w:ascii="Arial" w:hAnsi="Arial" w:cs="Arial"/>
          <w:sz w:val="22"/>
          <w:szCs w:val="22"/>
        </w:rPr>
      </w:pPr>
      <w:r w:rsidRPr="00950C71">
        <w:rPr>
          <w:rFonts w:ascii="Arial" w:hAnsi="Arial" w:cs="Arial"/>
          <w:sz w:val="22"/>
          <w:szCs w:val="22"/>
        </w:rPr>
        <w:lastRenderedPageBreak/>
        <w:t>If you do ever think there’s a genuine OR, I’d suggest writing down the reasons clearly and checking it’s still valid over time</w:t>
      </w:r>
      <w:r w:rsidR="00C63145">
        <w:rPr>
          <w:rFonts w:ascii="Arial" w:hAnsi="Arial" w:cs="Arial"/>
          <w:sz w:val="22"/>
          <w:szCs w:val="22"/>
        </w:rPr>
        <w:t>. T</w:t>
      </w:r>
      <w:r w:rsidRPr="00950C71">
        <w:rPr>
          <w:rFonts w:ascii="Arial" w:hAnsi="Arial" w:cs="Arial"/>
          <w:sz w:val="22"/>
          <w:szCs w:val="22"/>
        </w:rPr>
        <w:t>he Code of Practice recommends this too (CIPD, 20</w:t>
      </w:r>
      <w:r w:rsidR="00C63145">
        <w:rPr>
          <w:rFonts w:ascii="Arial" w:hAnsi="Arial" w:cs="Arial"/>
          <w:sz w:val="22"/>
          <w:szCs w:val="22"/>
        </w:rPr>
        <w:t>25</w:t>
      </w:r>
      <w:r w:rsidR="009A446D">
        <w:rPr>
          <w:rFonts w:ascii="Arial" w:hAnsi="Arial" w:cs="Arial"/>
          <w:sz w:val="22"/>
          <w:szCs w:val="22"/>
        </w:rPr>
        <w:t>a</w:t>
      </w:r>
      <w:r w:rsidRPr="00950C71">
        <w:rPr>
          <w:rFonts w:ascii="Arial" w:hAnsi="Arial" w:cs="Arial"/>
          <w:sz w:val="22"/>
          <w:szCs w:val="22"/>
        </w:rPr>
        <w:t>). Always happy to chat through specifics if it comes up in your area.</w:t>
      </w:r>
    </w:p>
    <w:bookmarkEnd w:id="2"/>
    <w:p w14:paraId="52CB0216" w14:textId="6F41ABAA" w:rsidR="00D25D93" w:rsidRPr="00443024" w:rsidRDefault="00443024" w:rsidP="003C6A73">
      <w:pPr>
        <w:rPr>
          <w:rFonts w:ascii="Arial" w:hAnsi="Arial" w:cs="Arial"/>
          <w:b/>
          <w:bCs/>
          <w:sz w:val="22"/>
          <w:szCs w:val="22"/>
        </w:rPr>
      </w:pPr>
      <w:r w:rsidRPr="00443024">
        <w:rPr>
          <w:rFonts w:ascii="Arial" w:hAnsi="Arial" w:cs="Arial"/>
          <w:b/>
          <w:bCs/>
          <w:sz w:val="22"/>
          <w:szCs w:val="22"/>
        </w:rPr>
        <w:t>AC 2.2 Email 4</w:t>
      </w:r>
    </w:p>
    <w:p w14:paraId="1E4DC3D0" w14:textId="664F7039" w:rsidR="00443024" w:rsidRPr="00130789" w:rsidRDefault="00443024" w:rsidP="003C6A73">
      <w:pPr>
        <w:rPr>
          <w:rFonts w:ascii="Arial" w:hAnsi="Arial" w:cs="Arial"/>
          <w:sz w:val="22"/>
          <w:szCs w:val="22"/>
        </w:rPr>
      </w:pPr>
      <w:r>
        <w:rPr>
          <w:noProof/>
        </w:rPr>
        <mc:AlternateContent>
          <mc:Choice Requires="wps">
            <w:drawing>
              <wp:anchor distT="45720" distB="45720" distL="114300" distR="114300" simplePos="0" relativeHeight="251665408" behindDoc="0" locked="0" layoutInCell="1" allowOverlap="1" wp14:anchorId="0E8D74D9" wp14:editId="443AA085">
                <wp:simplePos x="0" y="0"/>
                <wp:positionH relativeFrom="column">
                  <wp:posOffset>1422400</wp:posOffset>
                </wp:positionH>
                <wp:positionV relativeFrom="paragraph">
                  <wp:posOffset>182880</wp:posOffset>
                </wp:positionV>
                <wp:extent cx="4184650" cy="1130300"/>
                <wp:effectExtent l="0" t="0" r="0" b="0"/>
                <wp:wrapNone/>
                <wp:docPr id="20680254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4650" cy="1130300"/>
                        </a:xfrm>
                        <a:prstGeom prst="rect">
                          <a:avLst/>
                        </a:prstGeom>
                        <a:noFill/>
                        <a:ln w="9525">
                          <a:noFill/>
                          <a:miter lim="800000"/>
                          <a:headEnd/>
                          <a:tailEnd/>
                        </a:ln>
                      </wps:spPr>
                      <wps:txbx>
                        <w:txbxContent>
                          <w:p w14:paraId="6343367F" w14:textId="20E8615B" w:rsidR="00443024" w:rsidRDefault="00443024" w:rsidP="00443024">
                            <w:pPr>
                              <w:rPr>
                                <w:rFonts w:ascii="Arial" w:hAnsi="Arial" w:cs="Arial"/>
                                <w:b/>
                                <w:bCs/>
                                <w:sz w:val="22"/>
                                <w:szCs w:val="22"/>
                              </w:rPr>
                            </w:pPr>
                            <w:r>
                              <w:rPr>
                                <w:rFonts w:ascii="Arial" w:hAnsi="Arial" w:cs="Arial"/>
                                <w:b/>
                                <w:bCs/>
                                <w:sz w:val="22"/>
                                <w:szCs w:val="22"/>
                              </w:rPr>
                              <w:t>Nurse Manager</w:t>
                            </w:r>
                          </w:p>
                          <w:p w14:paraId="248EA07F" w14:textId="70B45F9A" w:rsidR="00443024" w:rsidRDefault="00421EF7" w:rsidP="00443024">
                            <w:pPr>
                              <w:rPr>
                                <w:rFonts w:ascii="Arial" w:hAnsi="Arial" w:cs="Arial"/>
                                <w:b/>
                                <w:bCs/>
                                <w:sz w:val="22"/>
                                <w:szCs w:val="22"/>
                              </w:rPr>
                            </w:pPr>
                            <w:r>
                              <w:rPr>
                                <w:rFonts w:ascii="Arial" w:hAnsi="Arial" w:cs="Arial"/>
                                <w:b/>
                                <w:bCs/>
                                <w:sz w:val="22"/>
                                <w:szCs w:val="22"/>
                              </w:rPr>
                              <w:t>Debra (Job Evaluation)</w:t>
                            </w:r>
                          </w:p>
                          <w:p w14:paraId="0EAFF35E" w14:textId="6B00AD71" w:rsidR="00443024" w:rsidRDefault="00443024" w:rsidP="00443024">
                            <w:pPr>
                              <w:rPr>
                                <w:rFonts w:ascii="Arial" w:hAnsi="Arial" w:cs="Arial"/>
                                <w:b/>
                                <w:bCs/>
                                <w:sz w:val="22"/>
                                <w:szCs w:val="22"/>
                              </w:rPr>
                            </w:pPr>
                            <w:r>
                              <w:rPr>
                                <w:rFonts w:ascii="Arial" w:hAnsi="Arial" w:cs="Arial"/>
                                <w:b/>
                                <w:bCs/>
                                <w:sz w:val="22"/>
                                <w:szCs w:val="22"/>
                              </w:rPr>
                              <w:t xml:space="preserve">Re: </w:t>
                            </w:r>
                            <w:r w:rsidRPr="00443024">
                              <w:rPr>
                                <w:rFonts w:ascii="Arial" w:hAnsi="Arial" w:cs="Arial"/>
                                <w:b/>
                                <w:bCs/>
                                <w:sz w:val="22"/>
                                <w:szCs w:val="22"/>
                              </w:rPr>
                              <w:t>Request to Regrade Two HCAs from Band A to Band B</w:t>
                            </w:r>
                          </w:p>
                          <w:p w14:paraId="0F181EB7" w14:textId="77777777" w:rsidR="00443024" w:rsidRPr="000A66B6" w:rsidRDefault="00443024" w:rsidP="00443024">
                            <w:pPr>
                              <w:rPr>
                                <w:rFonts w:ascii="Arial" w:hAnsi="Arial" w:cs="Arial"/>
                                <w:b/>
                                <w:bCs/>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8D74D9" id="_x0000_s1029" type="#_x0000_t202" style="position:absolute;margin-left:112pt;margin-top:14.4pt;width:329.5pt;height:89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" filled="f" stroked="f">
                <v:textbox>
                  <w:txbxContent>
                    <w:p w14:paraId="6343367F" w14:textId="20E8615B" w:rsidR="00443024" w:rsidRDefault="00443024" w:rsidP="00443024">
                      <w:pPr>
                        <w:rPr>
                          <w:rFonts w:ascii="Arial" w:hAnsi="Arial" w:cs="Arial"/>
                          <w:b/>
                          <w:bCs/>
                          <w:sz w:val="22"/>
                          <w:szCs w:val="22"/>
                        </w:rPr>
                      </w:pPr>
                      <w:r>
                        <w:rPr>
                          <w:rFonts w:ascii="Arial" w:hAnsi="Arial" w:cs="Arial"/>
                          <w:b/>
                          <w:bCs/>
                          <w:sz w:val="22"/>
                          <w:szCs w:val="22"/>
                        </w:rPr>
                        <w:t>Nurse Manager</w:t>
                      </w:r>
                    </w:p>
                    <w:p w14:paraId="248EA07F" w14:textId="70B45F9A" w:rsidR="00443024" w:rsidRDefault="00421EF7" w:rsidP="00443024">
                      <w:pPr>
                        <w:rPr>
                          <w:rFonts w:ascii="Arial" w:hAnsi="Arial" w:cs="Arial"/>
                          <w:b/>
                          <w:bCs/>
                          <w:sz w:val="22"/>
                          <w:szCs w:val="22"/>
                        </w:rPr>
                      </w:pPr>
                      <w:r>
                        <w:rPr>
                          <w:rFonts w:ascii="Arial" w:hAnsi="Arial" w:cs="Arial"/>
                          <w:b/>
                          <w:bCs/>
                          <w:sz w:val="22"/>
                          <w:szCs w:val="22"/>
                        </w:rPr>
                        <w:t>Debra (Job Evaluation)</w:t>
                      </w:r>
                    </w:p>
                    <w:p w14:paraId="0EAFF35E" w14:textId="6B00AD71" w:rsidR="00443024" w:rsidRDefault="00443024" w:rsidP="00443024">
                      <w:pPr>
                        <w:rPr>
                          <w:rFonts w:ascii="Arial" w:hAnsi="Arial" w:cs="Arial"/>
                          <w:b/>
                          <w:bCs/>
                          <w:sz w:val="22"/>
                          <w:szCs w:val="22"/>
                        </w:rPr>
                      </w:pPr>
                      <w:r>
                        <w:rPr>
                          <w:rFonts w:ascii="Arial" w:hAnsi="Arial" w:cs="Arial"/>
                          <w:b/>
                          <w:bCs/>
                          <w:sz w:val="22"/>
                          <w:szCs w:val="22"/>
                        </w:rPr>
                        <w:t xml:space="preserve">Re: </w:t>
                      </w:r>
                      <w:r w:rsidRPr="00443024">
                        <w:rPr>
                          <w:rFonts w:ascii="Arial" w:hAnsi="Arial" w:cs="Arial"/>
                          <w:b/>
                          <w:bCs/>
                          <w:sz w:val="22"/>
                          <w:szCs w:val="22"/>
                        </w:rPr>
                        <w:t>Request to Regrade Two HCAs from Band A to Band B</w:t>
                      </w:r>
                    </w:p>
                    <w:p w14:paraId="0F181EB7" w14:textId="77777777" w:rsidR="00443024" w:rsidRPr="000A66B6" w:rsidRDefault="00443024" w:rsidP="00443024">
                      <w:pPr>
                        <w:rPr>
                          <w:rFonts w:ascii="Arial" w:hAnsi="Arial" w:cs="Arial"/>
                          <w:b/>
                          <w:bCs/>
                          <w:sz w:val="22"/>
                          <w:szCs w:val="22"/>
                        </w:rPr>
                      </w:pPr>
                    </w:p>
                  </w:txbxContent>
                </v:textbox>
              </v:shape>
            </w:pict>
          </mc:Fallback>
        </mc:AlternateContent>
      </w:r>
      <w:r w:rsidRPr="000A66B6">
        <w:rPr>
          <w:rFonts w:ascii="Arial" w:hAnsi="Arial" w:cs="Arial"/>
          <w:b/>
          <w:bCs/>
          <w:noProof/>
          <w:sz w:val="22"/>
          <w:szCs w:val="22"/>
        </w:rPr>
        <w:drawing>
          <wp:inline distT="0" distB="0" distL="0" distR="0" wp14:anchorId="2F9E9DFA" wp14:editId="731F4A12">
            <wp:extent cx="5629910" cy="1241425"/>
            <wp:effectExtent l="0" t="0" r="8890" b="0"/>
            <wp:docPr id="1485284139" name="Picture 1" descr="A white board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183587" name="Picture 1" descr="A white board with blue lines&#10;&#10;AI-generated content may be incorrect."/>
                    <pic:cNvPicPr/>
                  </pic:nvPicPr>
                  <pic:blipFill rotWithShape="1">
                    <a:blip r:embed="rId5"/>
                    <a:srcRect l="1773" t="6235"/>
                    <a:stretch/>
                  </pic:blipFill>
                  <pic:spPr bwMode="auto">
                    <a:xfrm>
                      <a:off x="0" y="0"/>
                      <a:ext cx="5629910" cy="1241425"/>
                    </a:xfrm>
                    <a:prstGeom prst="rect">
                      <a:avLst/>
                    </a:prstGeom>
                    <a:ln>
                      <a:noFill/>
                    </a:ln>
                    <a:extLst>
                      <a:ext uri="{53640926-AAD7-44D8-BBD7-CCE9431645EC}">
                        <a14:shadowObscured xmlns:a14="http://schemas.microsoft.com/office/drawing/2010/main"/>
                      </a:ext>
                    </a:extLst>
                  </pic:spPr>
                </pic:pic>
              </a:graphicData>
            </a:graphic>
          </wp:inline>
        </w:drawing>
      </w:r>
    </w:p>
    <w:p w14:paraId="710F3C83" w14:textId="77777777" w:rsidR="00443024" w:rsidRPr="00443024" w:rsidRDefault="00443024" w:rsidP="00443024">
      <w:pPr>
        <w:rPr>
          <w:rFonts w:ascii="Arial" w:hAnsi="Arial" w:cs="Arial"/>
          <w:sz w:val="22"/>
          <w:szCs w:val="22"/>
        </w:rPr>
      </w:pPr>
      <w:bookmarkStart w:id="3" w:name="_Hlk199674524"/>
      <w:r w:rsidRPr="00443024">
        <w:rPr>
          <w:rFonts w:ascii="Arial" w:hAnsi="Arial" w:cs="Arial"/>
          <w:sz w:val="22"/>
          <w:szCs w:val="22"/>
        </w:rPr>
        <w:t>Thanks for your email and for outlining your idea to upgrade two of your HCAs from Grade A to Grade B using some remaining research funding. I completely understand your intention to reward them, but I wanted to flag a few important legal considerations before anything is actioned.</w:t>
      </w:r>
    </w:p>
    <w:p w14:paraId="70916207" w14:textId="05934F54" w:rsidR="00443024" w:rsidRPr="00443024" w:rsidRDefault="00443024" w:rsidP="00443024">
      <w:pPr>
        <w:rPr>
          <w:rFonts w:ascii="Arial" w:hAnsi="Arial" w:cs="Arial"/>
          <w:sz w:val="22"/>
          <w:szCs w:val="22"/>
        </w:rPr>
      </w:pPr>
      <w:r w:rsidRPr="00443024">
        <w:rPr>
          <w:rFonts w:ascii="Arial" w:hAnsi="Arial" w:cs="Arial"/>
          <w:sz w:val="22"/>
          <w:szCs w:val="22"/>
        </w:rPr>
        <w:t xml:space="preserve">Under </w:t>
      </w:r>
      <w:r w:rsidR="00227D6B">
        <w:rPr>
          <w:rFonts w:ascii="Arial" w:hAnsi="Arial" w:cs="Arial"/>
          <w:sz w:val="22"/>
          <w:szCs w:val="22"/>
        </w:rPr>
        <w:t>Sections 64 and 65 of the</w:t>
      </w:r>
      <w:r w:rsidRPr="00443024">
        <w:rPr>
          <w:rFonts w:ascii="Arial" w:hAnsi="Arial" w:cs="Arial"/>
          <w:sz w:val="22"/>
          <w:szCs w:val="22"/>
        </w:rPr>
        <w:t xml:space="preserve"> Equality Act 2010, all staff have the right to equal pay for equal work, regardless of gender. That includes not only identical roles (‘like work’) but also work that’s been rated as equivalent or assessed to be of equal value in terms of skills, effort, and decision-making (ACAS, </w:t>
      </w:r>
      <w:r w:rsidR="00C44685">
        <w:rPr>
          <w:rFonts w:ascii="Arial" w:hAnsi="Arial" w:cs="Arial"/>
          <w:sz w:val="22"/>
          <w:szCs w:val="22"/>
        </w:rPr>
        <w:t>2024</w:t>
      </w:r>
      <w:r w:rsidR="00AD3360">
        <w:rPr>
          <w:rFonts w:ascii="Arial" w:hAnsi="Arial" w:cs="Arial"/>
          <w:sz w:val="22"/>
          <w:szCs w:val="22"/>
        </w:rPr>
        <w:t>a</w:t>
      </w:r>
      <w:r w:rsidRPr="00443024">
        <w:rPr>
          <w:rFonts w:ascii="Arial" w:hAnsi="Arial" w:cs="Arial"/>
          <w:sz w:val="22"/>
          <w:szCs w:val="22"/>
        </w:rPr>
        <w:t>).</w:t>
      </w:r>
    </w:p>
    <w:p w14:paraId="146A8AE0" w14:textId="452DAC61" w:rsidR="00443024" w:rsidRDefault="00443024" w:rsidP="00443024">
      <w:pPr>
        <w:rPr>
          <w:rFonts w:ascii="Arial" w:hAnsi="Arial" w:cs="Arial"/>
          <w:sz w:val="22"/>
          <w:szCs w:val="22"/>
        </w:rPr>
      </w:pPr>
      <w:r w:rsidRPr="00443024">
        <w:rPr>
          <w:rFonts w:ascii="Arial" w:hAnsi="Arial" w:cs="Arial"/>
          <w:sz w:val="22"/>
          <w:szCs w:val="22"/>
        </w:rPr>
        <w:t>In this case, the fact that both staff members are male and around 80% of HCAs in the Trust are women could present a risk. Even if the intention is positive, awarding higher pay to two men in a predominantly female workforce</w:t>
      </w:r>
      <w:r w:rsidR="00C44685">
        <w:rPr>
          <w:rFonts w:ascii="Arial" w:hAnsi="Arial" w:cs="Arial"/>
          <w:sz w:val="22"/>
          <w:szCs w:val="22"/>
        </w:rPr>
        <w:t xml:space="preserve">, </w:t>
      </w:r>
      <w:r w:rsidRPr="00443024">
        <w:rPr>
          <w:rFonts w:ascii="Arial" w:hAnsi="Arial" w:cs="Arial"/>
          <w:sz w:val="22"/>
          <w:szCs w:val="22"/>
        </w:rPr>
        <w:t>without clear, objective justification</w:t>
      </w:r>
      <w:r w:rsidR="00C44685">
        <w:rPr>
          <w:rFonts w:ascii="Arial" w:hAnsi="Arial" w:cs="Arial"/>
          <w:sz w:val="22"/>
          <w:szCs w:val="22"/>
        </w:rPr>
        <w:t xml:space="preserve">, </w:t>
      </w:r>
      <w:r w:rsidRPr="00443024">
        <w:rPr>
          <w:rFonts w:ascii="Arial" w:hAnsi="Arial" w:cs="Arial"/>
          <w:sz w:val="22"/>
          <w:szCs w:val="22"/>
        </w:rPr>
        <w:t>could be perceived as indirect sex discrimination under the Act (Daniels, 2016). This could open the Trust up to an equal pay claim from female HCAs doing the same or similar work at Grade A.</w:t>
      </w:r>
    </w:p>
    <w:p w14:paraId="04466A11" w14:textId="77777777" w:rsidR="001045CA" w:rsidRDefault="001045CA" w:rsidP="00443024">
      <w:pPr>
        <w:rPr>
          <w:rFonts w:ascii="Arial" w:hAnsi="Arial" w:cs="Arial"/>
          <w:sz w:val="22"/>
          <w:szCs w:val="22"/>
        </w:rPr>
      </w:pPr>
      <w:r w:rsidRPr="001045CA">
        <w:rPr>
          <w:rFonts w:ascii="Arial" w:hAnsi="Arial" w:cs="Arial"/>
          <w:sz w:val="22"/>
          <w:szCs w:val="22"/>
        </w:rPr>
        <w:t xml:space="preserve">A </w:t>
      </w:r>
      <w:r>
        <w:rPr>
          <w:rFonts w:ascii="Arial" w:hAnsi="Arial" w:cs="Arial"/>
          <w:sz w:val="22"/>
          <w:szCs w:val="22"/>
        </w:rPr>
        <w:t>high-profile</w:t>
      </w:r>
      <w:r w:rsidRPr="001045CA">
        <w:rPr>
          <w:rFonts w:ascii="Arial" w:hAnsi="Arial" w:cs="Arial"/>
          <w:sz w:val="22"/>
          <w:szCs w:val="22"/>
        </w:rPr>
        <w:t xml:space="preserve"> example is the ongoing Asda equal pay case, where over 60,000 mostly female shop-floor workers claim their roles are equal in value to higher-paid, male-dominated distribution centre roles. In 2025, the tribunal ruled in favour of 12 out of 14 lead claimants, moving the case to its final stage. If Asda can’t justify the pay gap, it could face up to £1.2 billion in compensation (Machell, 2025). This highlights the serious risks of not objectively justifying gender-based pay differences.</w:t>
      </w:r>
    </w:p>
    <w:p w14:paraId="565E6F3E" w14:textId="6BA3C195" w:rsidR="00443024" w:rsidRPr="00443024" w:rsidRDefault="00443024" w:rsidP="00443024">
      <w:pPr>
        <w:rPr>
          <w:rFonts w:ascii="Arial" w:hAnsi="Arial" w:cs="Arial"/>
          <w:sz w:val="22"/>
          <w:szCs w:val="22"/>
        </w:rPr>
      </w:pPr>
      <w:r w:rsidRPr="00443024">
        <w:rPr>
          <w:rFonts w:ascii="Arial" w:hAnsi="Arial" w:cs="Arial"/>
          <w:sz w:val="22"/>
          <w:szCs w:val="22"/>
        </w:rPr>
        <w:t>Equal pay claims often centre on whether a person of the opposite sex is doing like work, or work of equal value, but receiving better terms (CIPD, 2025</w:t>
      </w:r>
      <w:r w:rsidR="009A446D">
        <w:rPr>
          <w:rFonts w:ascii="Arial" w:hAnsi="Arial" w:cs="Arial"/>
          <w:sz w:val="22"/>
          <w:szCs w:val="22"/>
        </w:rPr>
        <w:t>b</w:t>
      </w:r>
      <w:r w:rsidRPr="00443024">
        <w:rPr>
          <w:rFonts w:ascii="Arial" w:hAnsi="Arial" w:cs="Arial"/>
          <w:sz w:val="22"/>
          <w:szCs w:val="22"/>
        </w:rPr>
        <w:t>). In this case, other HCAs could argue that they’re being treated less favourably without legitimate reason and intent doesn’t override the legal position (Daniels, 2016).</w:t>
      </w:r>
    </w:p>
    <w:p w14:paraId="7FDE7C61" w14:textId="77777777" w:rsidR="00443024" w:rsidRPr="00443024" w:rsidRDefault="00443024" w:rsidP="00443024">
      <w:pPr>
        <w:rPr>
          <w:rFonts w:ascii="Arial" w:hAnsi="Arial" w:cs="Arial"/>
          <w:sz w:val="22"/>
          <w:szCs w:val="22"/>
        </w:rPr>
      </w:pPr>
      <w:r w:rsidRPr="00443024">
        <w:rPr>
          <w:rFonts w:ascii="Arial" w:hAnsi="Arial" w:cs="Arial"/>
          <w:sz w:val="22"/>
          <w:szCs w:val="22"/>
        </w:rPr>
        <w:t>Before making any changes to pay grades, we’d need to go through a formal job evaluation process to evidence that the duties of the two HCAs are significantly different or of higher value. Without that, approving this upgrade could be both unfair and legally risky for the Trust.</w:t>
      </w:r>
    </w:p>
    <w:p w14:paraId="4BDD204D" w14:textId="6E1CCED2" w:rsidR="00FA1A9E" w:rsidRDefault="00C25077" w:rsidP="003C6A73">
      <w:pPr>
        <w:rPr>
          <w:rFonts w:ascii="Arial" w:hAnsi="Arial" w:cs="Arial"/>
          <w:sz w:val="22"/>
          <w:szCs w:val="22"/>
        </w:rPr>
      </w:pPr>
      <w:r w:rsidRPr="00C25077">
        <w:rPr>
          <w:rFonts w:ascii="Arial" w:hAnsi="Arial" w:cs="Arial"/>
          <w:sz w:val="22"/>
          <w:szCs w:val="22"/>
        </w:rPr>
        <w:t>As a next step, I’d recommend either exploring alternative ways to recognise these individuals for their contributions</w:t>
      </w:r>
      <w:r w:rsidR="00B756E3">
        <w:rPr>
          <w:rFonts w:ascii="Arial" w:hAnsi="Arial" w:cs="Arial"/>
          <w:sz w:val="22"/>
          <w:szCs w:val="22"/>
        </w:rPr>
        <w:t xml:space="preserve">, </w:t>
      </w:r>
      <w:r w:rsidRPr="00C25077">
        <w:rPr>
          <w:rFonts w:ascii="Arial" w:hAnsi="Arial" w:cs="Arial"/>
          <w:sz w:val="22"/>
          <w:szCs w:val="22"/>
        </w:rPr>
        <w:t>such as development opportunities or internal secondment</w:t>
      </w:r>
      <w:r w:rsidR="00B756E3">
        <w:rPr>
          <w:rFonts w:ascii="Arial" w:hAnsi="Arial" w:cs="Arial"/>
          <w:sz w:val="22"/>
          <w:szCs w:val="22"/>
        </w:rPr>
        <w:t>s, o</w:t>
      </w:r>
      <w:r w:rsidRPr="00C25077">
        <w:rPr>
          <w:rFonts w:ascii="Arial" w:hAnsi="Arial" w:cs="Arial"/>
          <w:sz w:val="22"/>
          <w:szCs w:val="22"/>
        </w:rPr>
        <w:t xml:space="preserve">r, if there’s a genuine business case for a regrade, considering whether this change should apply to </w:t>
      </w:r>
      <w:r w:rsidRPr="00C25077">
        <w:rPr>
          <w:rFonts w:ascii="Arial" w:hAnsi="Arial" w:cs="Arial"/>
          <w:i/>
          <w:iCs/>
          <w:sz w:val="22"/>
          <w:szCs w:val="22"/>
        </w:rPr>
        <w:t>all</w:t>
      </w:r>
      <w:r w:rsidRPr="00C25077">
        <w:rPr>
          <w:rFonts w:ascii="Arial" w:hAnsi="Arial" w:cs="Arial"/>
          <w:sz w:val="22"/>
          <w:szCs w:val="22"/>
        </w:rPr>
        <w:t xml:space="preserve"> HCAs carrying out like work. This would ensure consistency, fairness, and compliance with equal pay obligations. I’ve cc’d Debra from Job Evaluation as </w:t>
      </w:r>
      <w:r w:rsidRPr="00C25077">
        <w:rPr>
          <w:rFonts w:ascii="Arial" w:hAnsi="Arial" w:cs="Arial"/>
          <w:sz w:val="22"/>
          <w:szCs w:val="22"/>
        </w:rPr>
        <w:lastRenderedPageBreak/>
        <w:t>she’ll be able to support us with assessing whether a formal evaluation is needed. If helpful, I can set up a Teams meeting for us to talk through the options together.</w:t>
      </w:r>
    </w:p>
    <w:bookmarkEnd w:id="3"/>
    <w:p w14:paraId="4D00B3B7" w14:textId="4CA8E242" w:rsidR="00717C9A" w:rsidRPr="00717C9A" w:rsidRDefault="00717C9A" w:rsidP="003C6A73">
      <w:pPr>
        <w:rPr>
          <w:rFonts w:ascii="Arial" w:hAnsi="Arial" w:cs="Arial"/>
          <w:b/>
          <w:bCs/>
          <w:sz w:val="22"/>
          <w:szCs w:val="22"/>
        </w:rPr>
      </w:pPr>
      <w:r w:rsidRPr="00717C9A">
        <w:rPr>
          <w:rFonts w:ascii="Arial" w:hAnsi="Arial" w:cs="Arial"/>
          <w:b/>
          <w:bCs/>
          <w:sz w:val="22"/>
          <w:szCs w:val="22"/>
        </w:rPr>
        <w:t>AC 3.1 Email 5</w:t>
      </w:r>
    </w:p>
    <w:p w14:paraId="5334B8F7" w14:textId="7C78D19F" w:rsidR="00717C9A" w:rsidRDefault="005D7F9F" w:rsidP="003C6A73">
      <w:pPr>
        <w:rPr>
          <w:rFonts w:ascii="Arial" w:hAnsi="Arial" w:cs="Arial"/>
          <w:b/>
          <w:bCs/>
          <w:sz w:val="22"/>
          <w:szCs w:val="22"/>
        </w:rPr>
      </w:pPr>
      <w:r>
        <w:rPr>
          <w:noProof/>
        </w:rPr>
        <mc:AlternateContent>
          <mc:Choice Requires="wps">
            <w:drawing>
              <wp:anchor distT="45720" distB="45720" distL="114300" distR="114300" simplePos="0" relativeHeight="251667456" behindDoc="0" locked="0" layoutInCell="1" allowOverlap="1" wp14:anchorId="4434AC5F" wp14:editId="6C138F95">
                <wp:simplePos x="0" y="0"/>
                <wp:positionH relativeFrom="column">
                  <wp:posOffset>1397000</wp:posOffset>
                </wp:positionH>
                <wp:positionV relativeFrom="paragraph">
                  <wp:posOffset>201295</wp:posOffset>
                </wp:positionV>
                <wp:extent cx="4711700" cy="1130300"/>
                <wp:effectExtent l="0" t="0" r="0" b="0"/>
                <wp:wrapNone/>
                <wp:docPr id="10166189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1700" cy="1130300"/>
                        </a:xfrm>
                        <a:prstGeom prst="rect">
                          <a:avLst/>
                        </a:prstGeom>
                        <a:noFill/>
                        <a:ln w="9525">
                          <a:noFill/>
                          <a:miter lim="800000"/>
                          <a:headEnd/>
                          <a:tailEnd/>
                        </a:ln>
                      </wps:spPr>
                      <wps:txbx>
                        <w:txbxContent>
                          <w:p w14:paraId="068338AA" w14:textId="11CE9709" w:rsidR="005D7F9F" w:rsidRDefault="005D7F9F" w:rsidP="005D7F9F">
                            <w:pPr>
                              <w:rPr>
                                <w:rFonts w:ascii="Arial" w:hAnsi="Arial" w:cs="Arial"/>
                                <w:b/>
                                <w:bCs/>
                                <w:sz w:val="22"/>
                                <w:szCs w:val="22"/>
                              </w:rPr>
                            </w:pPr>
                            <w:r>
                              <w:rPr>
                                <w:rFonts w:ascii="Arial" w:hAnsi="Arial" w:cs="Arial"/>
                                <w:b/>
                                <w:bCs/>
                                <w:sz w:val="22"/>
                                <w:szCs w:val="22"/>
                              </w:rPr>
                              <w:t>Colleague</w:t>
                            </w:r>
                          </w:p>
                          <w:p w14:paraId="6890DA00" w14:textId="77777777" w:rsidR="005D7F9F" w:rsidRDefault="005D7F9F" w:rsidP="005D7F9F">
                            <w:pPr>
                              <w:rPr>
                                <w:rFonts w:ascii="Arial" w:hAnsi="Arial" w:cs="Arial"/>
                                <w:b/>
                                <w:bCs/>
                                <w:sz w:val="22"/>
                                <w:szCs w:val="22"/>
                              </w:rPr>
                            </w:pPr>
                          </w:p>
                          <w:p w14:paraId="6FB243EB" w14:textId="438BCB78" w:rsidR="005D7F9F" w:rsidRDefault="005D7F9F" w:rsidP="005D7F9F">
                            <w:pPr>
                              <w:rPr>
                                <w:rFonts w:ascii="Arial" w:hAnsi="Arial" w:cs="Arial"/>
                                <w:b/>
                                <w:bCs/>
                                <w:sz w:val="22"/>
                                <w:szCs w:val="22"/>
                              </w:rPr>
                            </w:pPr>
                            <w:r>
                              <w:rPr>
                                <w:rFonts w:ascii="Arial" w:hAnsi="Arial" w:cs="Arial"/>
                                <w:b/>
                                <w:bCs/>
                                <w:sz w:val="22"/>
                                <w:szCs w:val="22"/>
                              </w:rPr>
                              <w:t xml:space="preserve">Re: </w:t>
                            </w:r>
                            <w:r w:rsidR="00B30A26" w:rsidRPr="00B30A26">
                              <w:rPr>
                                <w:rFonts w:ascii="Arial" w:hAnsi="Arial" w:cs="Arial"/>
                                <w:b/>
                                <w:bCs/>
                                <w:sz w:val="22"/>
                                <w:szCs w:val="22"/>
                              </w:rPr>
                              <w:t>Constructive Dismissal Claim – Change to Working Hours</w:t>
                            </w:r>
                          </w:p>
                          <w:p w14:paraId="24E47925" w14:textId="77777777" w:rsidR="005D7F9F" w:rsidRPr="000A66B6" w:rsidRDefault="005D7F9F" w:rsidP="005D7F9F">
                            <w:pPr>
                              <w:rPr>
                                <w:rFonts w:ascii="Arial" w:hAnsi="Arial" w:cs="Arial"/>
                                <w:b/>
                                <w:bCs/>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34AC5F" id="_x0000_s1030" type="#_x0000_t202" style="position:absolute;margin-left:110pt;margin-top:15.85pt;width:371pt;height:89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" filled="f" stroked="f">
                <v:textbox>
                  <w:txbxContent>
                    <w:p w14:paraId="068338AA" w14:textId="11CE9709" w:rsidR="005D7F9F" w:rsidRDefault="005D7F9F" w:rsidP="005D7F9F">
                      <w:pPr>
                        <w:rPr>
                          <w:rFonts w:ascii="Arial" w:hAnsi="Arial" w:cs="Arial"/>
                          <w:b/>
                          <w:bCs/>
                          <w:sz w:val="22"/>
                          <w:szCs w:val="22"/>
                        </w:rPr>
                      </w:pPr>
                      <w:r>
                        <w:rPr>
                          <w:rFonts w:ascii="Arial" w:hAnsi="Arial" w:cs="Arial"/>
                          <w:b/>
                          <w:bCs/>
                          <w:sz w:val="22"/>
                          <w:szCs w:val="22"/>
                        </w:rPr>
                        <w:t>Colleague</w:t>
                      </w:r>
                    </w:p>
                    <w:p w14:paraId="6890DA00" w14:textId="77777777" w:rsidR="005D7F9F" w:rsidRDefault="005D7F9F" w:rsidP="005D7F9F">
                      <w:pPr>
                        <w:rPr>
                          <w:rFonts w:ascii="Arial" w:hAnsi="Arial" w:cs="Arial"/>
                          <w:b/>
                          <w:bCs/>
                          <w:sz w:val="22"/>
                          <w:szCs w:val="22"/>
                        </w:rPr>
                      </w:pPr>
                    </w:p>
                    <w:p w14:paraId="6FB243EB" w14:textId="438BCB78" w:rsidR="005D7F9F" w:rsidRDefault="005D7F9F" w:rsidP="005D7F9F">
                      <w:pPr>
                        <w:rPr>
                          <w:rFonts w:ascii="Arial" w:hAnsi="Arial" w:cs="Arial"/>
                          <w:b/>
                          <w:bCs/>
                          <w:sz w:val="22"/>
                          <w:szCs w:val="22"/>
                        </w:rPr>
                      </w:pPr>
                      <w:r>
                        <w:rPr>
                          <w:rFonts w:ascii="Arial" w:hAnsi="Arial" w:cs="Arial"/>
                          <w:b/>
                          <w:bCs/>
                          <w:sz w:val="22"/>
                          <w:szCs w:val="22"/>
                        </w:rPr>
                        <w:t xml:space="preserve">Re: </w:t>
                      </w:r>
                      <w:r w:rsidR="00B30A26" w:rsidRPr="00B30A26">
                        <w:rPr>
                          <w:rFonts w:ascii="Arial" w:hAnsi="Arial" w:cs="Arial"/>
                          <w:b/>
                          <w:bCs/>
                          <w:sz w:val="22"/>
                          <w:szCs w:val="22"/>
                        </w:rPr>
                        <w:t>Constructive Dismissal Claim – Change to Working Hours</w:t>
                      </w:r>
                    </w:p>
                    <w:p w14:paraId="24E47925" w14:textId="77777777" w:rsidR="005D7F9F" w:rsidRPr="000A66B6" w:rsidRDefault="005D7F9F" w:rsidP="005D7F9F">
                      <w:pPr>
                        <w:rPr>
                          <w:rFonts w:ascii="Arial" w:hAnsi="Arial" w:cs="Arial"/>
                          <w:b/>
                          <w:bCs/>
                          <w:sz w:val="22"/>
                          <w:szCs w:val="22"/>
                        </w:rPr>
                      </w:pPr>
                    </w:p>
                  </w:txbxContent>
                </v:textbox>
              </v:shape>
            </w:pict>
          </mc:Fallback>
        </mc:AlternateContent>
      </w:r>
      <w:r w:rsidR="00717C9A" w:rsidRPr="000A66B6">
        <w:rPr>
          <w:rFonts w:ascii="Arial" w:hAnsi="Arial" w:cs="Arial"/>
          <w:b/>
          <w:bCs/>
          <w:noProof/>
          <w:sz w:val="22"/>
          <w:szCs w:val="22"/>
        </w:rPr>
        <w:drawing>
          <wp:inline distT="0" distB="0" distL="0" distR="0" wp14:anchorId="69BAE5AF" wp14:editId="420A67B4">
            <wp:extent cx="5629910" cy="1241425"/>
            <wp:effectExtent l="0" t="0" r="8890" b="0"/>
            <wp:docPr id="1692323797" name="Picture 1" descr="A white board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183587" name="Picture 1" descr="A white board with blue lines&#10;&#10;AI-generated content may be incorrect."/>
                    <pic:cNvPicPr/>
                  </pic:nvPicPr>
                  <pic:blipFill rotWithShape="1">
                    <a:blip r:embed="rId5"/>
                    <a:srcRect l="1773" t="6235"/>
                    <a:stretch/>
                  </pic:blipFill>
                  <pic:spPr bwMode="auto">
                    <a:xfrm>
                      <a:off x="0" y="0"/>
                      <a:ext cx="5629910" cy="1241425"/>
                    </a:xfrm>
                    <a:prstGeom prst="rect">
                      <a:avLst/>
                    </a:prstGeom>
                    <a:ln>
                      <a:noFill/>
                    </a:ln>
                    <a:extLst>
                      <a:ext uri="{53640926-AAD7-44D8-BBD7-CCE9431645EC}">
                        <a14:shadowObscured xmlns:a14="http://schemas.microsoft.com/office/drawing/2010/main"/>
                      </a:ext>
                    </a:extLst>
                  </pic:spPr>
                </pic:pic>
              </a:graphicData>
            </a:graphic>
          </wp:inline>
        </w:drawing>
      </w:r>
    </w:p>
    <w:p w14:paraId="5FECCA6D" w14:textId="77777777" w:rsidR="002D6475" w:rsidRPr="002D6475" w:rsidRDefault="002D6475" w:rsidP="002D6475">
      <w:pPr>
        <w:rPr>
          <w:rFonts w:ascii="Arial" w:hAnsi="Arial" w:cs="Arial"/>
          <w:sz w:val="22"/>
          <w:szCs w:val="22"/>
        </w:rPr>
      </w:pPr>
      <w:bookmarkStart w:id="4" w:name="_Hlk199694560"/>
      <w:r w:rsidRPr="002D6475">
        <w:rPr>
          <w:rFonts w:ascii="Arial" w:hAnsi="Arial" w:cs="Arial"/>
          <w:sz w:val="22"/>
          <w:szCs w:val="22"/>
        </w:rPr>
        <w:t>Thanks for getting in touch about the radiographer who recently resigned – I can see why you’d be concerned about a potential constructive dismissal claim.</w:t>
      </w:r>
    </w:p>
    <w:p w14:paraId="1A1E9B8E" w14:textId="77777777" w:rsidR="002D6475" w:rsidRPr="002D6475" w:rsidRDefault="002D6475" w:rsidP="002D6475">
      <w:pPr>
        <w:rPr>
          <w:rFonts w:ascii="Arial" w:hAnsi="Arial" w:cs="Arial"/>
          <w:sz w:val="22"/>
          <w:szCs w:val="22"/>
        </w:rPr>
      </w:pPr>
      <w:r w:rsidRPr="002D6475">
        <w:rPr>
          <w:rFonts w:ascii="Arial" w:hAnsi="Arial" w:cs="Arial"/>
          <w:sz w:val="22"/>
          <w:szCs w:val="22"/>
        </w:rPr>
        <w:t>Constructive dismissal happens when someone resigns because of something the employer has done that amounts to a serious breach of contract – typically a breach of the implied term of mutual trust and confidence (CIPD, 2024b). A sudden or significant change to working hours without proper consultation or agreement can sometimes be enough to trigger this, especially if those hours are a key part of their contract (Daniels, 2016).</w:t>
      </w:r>
    </w:p>
    <w:p w14:paraId="234255E7" w14:textId="39FD14C4" w:rsidR="002D6475" w:rsidRPr="002D6475" w:rsidRDefault="002D6475" w:rsidP="002D6475">
      <w:pPr>
        <w:rPr>
          <w:rFonts w:ascii="Arial" w:hAnsi="Arial" w:cs="Arial"/>
          <w:sz w:val="22"/>
          <w:szCs w:val="22"/>
        </w:rPr>
      </w:pPr>
      <w:r w:rsidRPr="002D6475">
        <w:rPr>
          <w:rFonts w:ascii="Arial" w:hAnsi="Arial" w:cs="Arial"/>
          <w:sz w:val="22"/>
          <w:szCs w:val="22"/>
        </w:rPr>
        <w:t>If the change was imposed without any real discussion or option for the employee to give input, it’s possible they could argue it was a fundamental change to their terms and that they had no choice but to resign. That said, if there was a genuine business reason for the change and efforts were made to consult or reach agreement, the Trust may be in a stronger position to defend against any claim (Landy, 2017).</w:t>
      </w:r>
    </w:p>
    <w:p w14:paraId="42E6450D" w14:textId="6DBB53D4" w:rsidR="002D6475" w:rsidRPr="002D6475" w:rsidRDefault="002D6475" w:rsidP="002D6475">
      <w:pPr>
        <w:rPr>
          <w:rFonts w:ascii="Arial" w:hAnsi="Arial" w:cs="Arial"/>
          <w:sz w:val="22"/>
          <w:szCs w:val="22"/>
        </w:rPr>
      </w:pPr>
      <w:r w:rsidRPr="002D6475">
        <w:rPr>
          <w:rFonts w:ascii="Arial" w:hAnsi="Arial" w:cs="Arial"/>
          <w:sz w:val="22"/>
          <w:szCs w:val="22"/>
        </w:rPr>
        <w:t>Timing is also important</w:t>
      </w:r>
      <w:r w:rsidR="00591383">
        <w:rPr>
          <w:rFonts w:ascii="Arial" w:hAnsi="Arial" w:cs="Arial"/>
          <w:sz w:val="22"/>
          <w:szCs w:val="22"/>
        </w:rPr>
        <w:t xml:space="preserve"> - </w:t>
      </w:r>
      <w:r w:rsidRPr="002D6475">
        <w:rPr>
          <w:rFonts w:ascii="Arial" w:hAnsi="Arial" w:cs="Arial"/>
          <w:sz w:val="22"/>
          <w:szCs w:val="22"/>
        </w:rPr>
        <w:t>if they are thinking of making a claim, they have three months less one day from the date their employment ended to lodge it with an employment tribunal. They must also go through the ACAS Early Conciliation process before submitting a claim, which can slightly extend the deadline depending on the length of that process (CIPD, 2024b).</w:t>
      </w:r>
    </w:p>
    <w:p w14:paraId="16F3DE2A" w14:textId="2ED89181" w:rsidR="002D6475" w:rsidRPr="002D6475" w:rsidRDefault="00183FBB" w:rsidP="002D6475">
      <w:pPr>
        <w:rPr>
          <w:rFonts w:ascii="Arial" w:hAnsi="Arial" w:cs="Arial"/>
          <w:sz w:val="22"/>
          <w:szCs w:val="22"/>
        </w:rPr>
      </w:pPr>
      <w:r w:rsidRPr="002D6475">
        <w:rPr>
          <w:rFonts w:ascii="Arial" w:hAnsi="Arial" w:cs="Arial"/>
          <w:sz w:val="22"/>
          <w:szCs w:val="22"/>
        </w:rPr>
        <w:t>Constructive dismissal claims also require a timely resignation, where the breach must be the reason for resigning and there should not be an unreasonable delay (Daniels, 2016</w:t>
      </w:r>
      <w:r>
        <w:rPr>
          <w:rFonts w:ascii="Arial" w:hAnsi="Arial" w:cs="Arial"/>
          <w:sz w:val="22"/>
          <w:szCs w:val="22"/>
        </w:rPr>
        <w:t>)</w:t>
      </w:r>
      <w:r w:rsidRPr="002D6475">
        <w:rPr>
          <w:rFonts w:ascii="Arial" w:hAnsi="Arial" w:cs="Arial"/>
          <w:sz w:val="22"/>
          <w:szCs w:val="22"/>
        </w:rPr>
        <w:t>.</w:t>
      </w:r>
      <w:r>
        <w:rPr>
          <w:rFonts w:ascii="Arial" w:hAnsi="Arial" w:cs="Arial"/>
          <w:sz w:val="22"/>
          <w:szCs w:val="22"/>
        </w:rPr>
        <w:t xml:space="preserve"> I</w:t>
      </w:r>
      <w:r w:rsidR="002D6475" w:rsidRPr="002D6475">
        <w:rPr>
          <w:rFonts w:ascii="Arial" w:hAnsi="Arial" w:cs="Arial"/>
          <w:sz w:val="22"/>
          <w:szCs w:val="22"/>
        </w:rPr>
        <w:t>f the radiographer didn’t resign straight after the change and instead continued working under the new hours without raising a formal objection, it could weaken any potential claim. Employment tribunals may interpret continued working without protest as implied acceptance of the new terms. For example, in Hepworth Heating Ltd v Akers and Others, employees who objected to changes in how they were paid but continued working were found to have accepted the change through their conduct (Daniels, 2016, p. 77).</w:t>
      </w:r>
    </w:p>
    <w:p w14:paraId="31F39E06" w14:textId="404D714A" w:rsidR="00B30A26" w:rsidRDefault="002D6475" w:rsidP="003C6A73">
      <w:pPr>
        <w:rPr>
          <w:rFonts w:ascii="Arial" w:hAnsi="Arial" w:cs="Arial"/>
          <w:sz w:val="22"/>
          <w:szCs w:val="22"/>
        </w:rPr>
      </w:pPr>
      <w:r w:rsidRPr="002D6475">
        <w:rPr>
          <w:rFonts w:ascii="Arial" w:hAnsi="Arial" w:cs="Arial"/>
          <w:sz w:val="22"/>
          <w:szCs w:val="22"/>
        </w:rPr>
        <w:t>Let me know if you'd like to talk this through or want help looking at the specific circumstances. Happy to support however I can.</w:t>
      </w:r>
    </w:p>
    <w:bookmarkEnd w:id="4"/>
    <w:p w14:paraId="00824812" w14:textId="77777777" w:rsidR="00253DD3" w:rsidRDefault="00253DD3" w:rsidP="003C6A73">
      <w:pPr>
        <w:rPr>
          <w:rFonts w:ascii="Arial" w:hAnsi="Arial" w:cs="Arial"/>
          <w:b/>
          <w:bCs/>
          <w:sz w:val="22"/>
          <w:szCs w:val="22"/>
        </w:rPr>
      </w:pPr>
    </w:p>
    <w:p w14:paraId="08278B04" w14:textId="77777777" w:rsidR="00253DD3" w:rsidRDefault="00253DD3" w:rsidP="003C6A73">
      <w:pPr>
        <w:rPr>
          <w:rFonts w:ascii="Arial" w:hAnsi="Arial" w:cs="Arial"/>
          <w:b/>
          <w:bCs/>
          <w:sz w:val="22"/>
          <w:szCs w:val="22"/>
        </w:rPr>
      </w:pPr>
    </w:p>
    <w:p w14:paraId="207A9785" w14:textId="77777777" w:rsidR="004E67E7" w:rsidRDefault="004E67E7" w:rsidP="003C6A73">
      <w:pPr>
        <w:rPr>
          <w:rFonts w:ascii="Arial" w:hAnsi="Arial" w:cs="Arial"/>
          <w:b/>
          <w:bCs/>
          <w:sz w:val="22"/>
          <w:szCs w:val="22"/>
        </w:rPr>
      </w:pPr>
    </w:p>
    <w:p w14:paraId="03DAEFAE" w14:textId="6A1771EE" w:rsidR="00B745A3" w:rsidRPr="00253DD3" w:rsidRDefault="00B745A3" w:rsidP="003C6A73">
      <w:pPr>
        <w:rPr>
          <w:rFonts w:ascii="Arial" w:hAnsi="Arial" w:cs="Arial"/>
          <w:b/>
          <w:bCs/>
          <w:sz w:val="22"/>
          <w:szCs w:val="22"/>
        </w:rPr>
      </w:pPr>
      <w:r w:rsidRPr="00253DD3">
        <w:rPr>
          <w:rFonts w:ascii="Arial" w:hAnsi="Arial" w:cs="Arial"/>
          <w:b/>
          <w:bCs/>
          <w:sz w:val="22"/>
          <w:szCs w:val="22"/>
        </w:rPr>
        <w:t xml:space="preserve">AC </w:t>
      </w:r>
      <w:r w:rsidR="00253DD3" w:rsidRPr="00253DD3">
        <w:rPr>
          <w:rFonts w:ascii="Arial" w:hAnsi="Arial" w:cs="Arial"/>
          <w:b/>
          <w:bCs/>
          <w:sz w:val="22"/>
          <w:szCs w:val="22"/>
        </w:rPr>
        <w:t>3.2 Email 6</w:t>
      </w:r>
    </w:p>
    <w:p w14:paraId="3D4D3EA6" w14:textId="75FFEE22" w:rsidR="00253DD3" w:rsidRDefault="00253DD3" w:rsidP="003C6A73">
      <w:pPr>
        <w:rPr>
          <w:rFonts w:ascii="Arial" w:hAnsi="Arial" w:cs="Arial"/>
          <w:b/>
          <w:bCs/>
          <w:sz w:val="22"/>
          <w:szCs w:val="22"/>
        </w:rPr>
      </w:pPr>
      <w:r>
        <w:rPr>
          <w:noProof/>
        </w:rPr>
        <w:lastRenderedPageBreak/>
        <mc:AlternateContent>
          <mc:Choice Requires="wps">
            <w:drawing>
              <wp:anchor distT="45720" distB="45720" distL="114300" distR="114300" simplePos="0" relativeHeight="251669504" behindDoc="0" locked="0" layoutInCell="1" allowOverlap="1" wp14:anchorId="51FA4850" wp14:editId="4DB2426F">
                <wp:simplePos x="0" y="0"/>
                <wp:positionH relativeFrom="column">
                  <wp:posOffset>1428750</wp:posOffset>
                </wp:positionH>
                <wp:positionV relativeFrom="paragraph">
                  <wp:posOffset>172720</wp:posOffset>
                </wp:positionV>
                <wp:extent cx="4711700" cy="1130300"/>
                <wp:effectExtent l="0" t="0" r="0" b="0"/>
                <wp:wrapNone/>
                <wp:docPr id="18418340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1700" cy="1130300"/>
                        </a:xfrm>
                        <a:prstGeom prst="rect">
                          <a:avLst/>
                        </a:prstGeom>
                        <a:noFill/>
                        <a:ln w="9525">
                          <a:noFill/>
                          <a:miter lim="800000"/>
                          <a:headEnd/>
                          <a:tailEnd/>
                        </a:ln>
                      </wps:spPr>
                      <wps:txbx>
                        <w:txbxContent>
                          <w:p w14:paraId="4E0FD7C2" w14:textId="0ACD34C9" w:rsidR="00253DD3" w:rsidRDefault="00253DD3" w:rsidP="00253DD3">
                            <w:pPr>
                              <w:rPr>
                                <w:rFonts w:ascii="Arial" w:hAnsi="Arial" w:cs="Arial"/>
                                <w:b/>
                                <w:bCs/>
                                <w:sz w:val="22"/>
                                <w:szCs w:val="22"/>
                              </w:rPr>
                            </w:pPr>
                            <w:r>
                              <w:rPr>
                                <w:rFonts w:ascii="Arial" w:hAnsi="Arial" w:cs="Arial"/>
                                <w:b/>
                                <w:bCs/>
                                <w:sz w:val="22"/>
                                <w:szCs w:val="22"/>
                              </w:rPr>
                              <w:t>Senior Manager</w:t>
                            </w:r>
                          </w:p>
                          <w:p w14:paraId="50D50B10" w14:textId="77777777" w:rsidR="00253DD3" w:rsidRDefault="00253DD3" w:rsidP="00253DD3">
                            <w:pPr>
                              <w:rPr>
                                <w:rFonts w:ascii="Arial" w:hAnsi="Arial" w:cs="Arial"/>
                                <w:b/>
                                <w:bCs/>
                                <w:sz w:val="22"/>
                                <w:szCs w:val="22"/>
                              </w:rPr>
                            </w:pPr>
                          </w:p>
                          <w:p w14:paraId="181639A2" w14:textId="620342CF" w:rsidR="00253DD3" w:rsidRDefault="00253DD3" w:rsidP="00253DD3">
                            <w:pPr>
                              <w:rPr>
                                <w:rFonts w:ascii="Arial" w:hAnsi="Arial" w:cs="Arial"/>
                                <w:b/>
                                <w:bCs/>
                                <w:sz w:val="22"/>
                                <w:szCs w:val="22"/>
                              </w:rPr>
                            </w:pPr>
                            <w:r>
                              <w:rPr>
                                <w:rFonts w:ascii="Arial" w:hAnsi="Arial" w:cs="Arial"/>
                                <w:b/>
                                <w:bCs/>
                                <w:sz w:val="22"/>
                                <w:szCs w:val="22"/>
                              </w:rPr>
                              <w:t xml:space="preserve">Re: </w:t>
                            </w:r>
                            <w:r w:rsidR="00C927A1" w:rsidRPr="00C927A1">
                              <w:rPr>
                                <w:rFonts w:ascii="Arial" w:hAnsi="Arial" w:cs="Arial"/>
                                <w:b/>
                                <w:bCs/>
                                <w:sz w:val="22"/>
                                <w:szCs w:val="22"/>
                              </w:rPr>
                              <w:t>Reorganisation Plans – Advice Needed on Redundancy Process</w:t>
                            </w:r>
                          </w:p>
                          <w:p w14:paraId="27ADC702" w14:textId="77777777" w:rsidR="00253DD3" w:rsidRPr="000A66B6" w:rsidRDefault="00253DD3" w:rsidP="00253DD3">
                            <w:pPr>
                              <w:rPr>
                                <w:rFonts w:ascii="Arial" w:hAnsi="Arial" w:cs="Arial"/>
                                <w:b/>
                                <w:bCs/>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FA4850" id="_x0000_s1031" type="#_x0000_t202" style="position:absolute;margin-left:112.5pt;margin-top:13.6pt;width:371pt;height:89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" filled="f" stroked="f">
                <v:textbox>
                  <w:txbxContent>
                    <w:p w14:paraId="4E0FD7C2" w14:textId="0ACD34C9" w:rsidR="00253DD3" w:rsidRDefault="00253DD3" w:rsidP="00253DD3">
                      <w:pPr>
                        <w:rPr>
                          <w:rFonts w:ascii="Arial" w:hAnsi="Arial" w:cs="Arial"/>
                          <w:b/>
                          <w:bCs/>
                          <w:sz w:val="22"/>
                          <w:szCs w:val="22"/>
                        </w:rPr>
                      </w:pPr>
                      <w:r>
                        <w:rPr>
                          <w:rFonts w:ascii="Arial" w:hAnsi="Arial" w:cs="Arial"/>
                          <w:b/>
                          <w:bCs/>
                          <w:sz w:val="22"/>
                          <w:szCs w:val="22"/>
                        </w:rPr>
                        <w:t>Senior Manager</w:t>
                      </w:r>
                    </w:p>
                    <w:p w14:paraId="50D50B10" w14:textId="77777777" w:rsidR="00253DD3" w:rsidRDefault="00253DD3" w:rsidP="00253DD3">
                      <w:pPr>
                        <w:rPr>
                          <w:rFonts w:ascii="Arial" w:hAnsi="Arial" w:cs="Arial"/>
                          <w:b/>
                          <w:bCs/>
                          <w:sz w:val="22"/>
                          <w:szCs w:val="22"/>
                        </w:rPr>
                      </w:pPr>
                    </w:p>
                    <w:p w14:paraId="181639A2" w14:textId="620342CF" w:rsidR="00253DD3" w:rsidRDefault="00253DD3" w:rsidP="00253DD3">
                      <w:pPr>
                        <w:rPr>
                          <w:rFonts w:ascii="Arial" w:hAnsi="Arial" w:cs="Arial"/>
                          <w:b/>
                          <w:bCs/>
                          <w:sz w:val="22"/>
                          <w:szCs w:val="22"/>
                        </w:rPr>
                      </w:pPr>
                      <w:r>
                        <w:rPr>
                          <w:rFonts w:ascii="Arial" w:hAnsi="Arial" w:cs="Arial"/>
                          <w:b/>
                          <w:bCs/>
                          <w:sz w:val="22"/>
                          <w:szCs w:val="22"/>
                        </w:rPr>
                        <w:t xml:space="preserve">Re: </w:t>
                      </w:r>
                      <w:r w:rsidR="00C927A1" w:rsidRPr="00C927A1">
                        <w:rPr>
                          <w:rFonts w:ascii="Arial" w:hAnsi="Arial" w:cs="Arial"/>
                          <w:b/>
                          <w:bCs/>
                          <w:sz w:val="22"/>
                          <w:szCs w:val="22"/>
                        </w:rPr>
                        <w:t>Reorganisation Plans – Advice Needed on Redundancy Process</w:t>
                      </w:r>
                    </w:p>
                    <w:p w14:paraId="27ADC702" w14:textId="77777777" w:rsidR="00253DD3" w:rsidRPr="000A66B6" w:rsidRDefault="00253DD3" w:rsidP="00253DD3">
                      <w:pPr>
                        <w:rPr>
                          <w:rFonts w:ascii="Arial" w:hAnsi="Arial" w:cs="Arial"/>
                          <w:b/>
                          <w:bCs/>
                          <w:sz w:val="22"/>
                          <w:szCs w:val="22"/>
                        </w:rPr>
                      </w:pPr>
                    </w:p>
                  </w:txbxContent>
                </v:textbox>
              </v:shape>
            </w:pict>
          </mc:Fallback>
        </mc:AlternateContent>
      </w:r>
      <w:r w:rsidRPr="000A66B6">
        <w:rPr>
          <w:rFonts w:ascii="Arial" w:hAnsi="Arial" w:cs="Arial"/>
          <w:b/>
          <w:bCs/>
          <w:noProof/>
          <w:sz w:val="22"/>
          <w:szCs w:val="22"/>
        </w:rPr>
        <w:drawing>
          <wp:inline distT="0" distB="0" distL="0" distR="0" wp14:anchorId="2EA608AE" wp14:editId="32A7C625">
            <wp:extent cx="5629910" cy="1241425"/>
            <wp:effectExtent l="0" t="0" r="8890" b="0"/>
            <wp:docPr id="224041965" name="Picture 1" descr="A white board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183587" name="Picture 1" descr="A white board with blue lines&#10;&#10;AI-generated content may be incorrect."/>
                    <pic:cNvPicPr/>
                  </pic:nvPicPr>
                  <pic:blipFill rotWithShape="1">
                    <a:blip r:embed="rId5"/>
                    <a:srcRect l="1773" t="6235"/>
                    <a:stretch/>
                  </pic:blipFill>
                  <pic:spPr bwMode="auto">
                    <a:xfrm>
                      <a:off x="0" y="0"/>
                      <a:ext cx="5629910" cy="1241425"/>
                    </a:xfrm>
                    <a:prstGeom prst="rect">
                      <a:avLst/>
                    </a:prstGeom>
                    <a:ln>
                      <a:noFill/>
                    </a:ln>
                    <a:extLst>
                      <a:ext uri="{53640926-AAD7-44D8-BBD7-CCE9431645EC}">
                        <a14:shadowObscured xmlns:a14="http://schemas.microsoft.com/office/drawing/2010/main"/>
                      </a:ext>
                    </a:extLst>
                  </pic:spPr>
                </pic:pic>
              </a:graphicData>
            </a:graphic>
          </wp:inline>
        </w:drawing>
      </w:r>
    </w:p>
    <w:p w14:paraId="7B945C07" w14:textId="6717E3B8" w:rsidR="003800FD" w:rsidRPr="003800FD" w:rsidRDefault="003800FD" w:rsidP="003800FD">
      <w:pPr>
        <w:rPr>
          <w:rFonts w:ascii="Arial" w:hAnsi="Arial" w:cs="Arial"/>
          <w:sz w:val="22"/>
          <w:szCs w:val="22"/>
        </w:rPr>
      </w:pPr>
      <w:bookmarkStart w:id="5" w:name="_Hlk199694626"/>
      <w:r w:rsidRPr="003800FD">
        <w:rPr>
          <w:rFonts w:ascii="Arial" w:hAnsi="Arial" w:cs="Arial"/>
          <w:sz w:val="22"/>
          <w:szCs w:val="22"/>
        </w:rPr>
        <w:t>Thanks for getting in touch. I completely understand the desire to move this process forward quickly, especially given the scale of change, but as the proposals affect 50 posts, this qualifies as a collective redundancy, which comes with specific legal duties we’ll need to follow closely.</w:t>
      </w:r>
    </w:p>
    <w:p w14:paraId="059B626C" w14:textId="77777777" w:rsidR="003800FD" w:rsidRPr="003800FD" w:rsidRDefault="003800FD" w:rsidP="003800FD">
      <w:pPr>
        <w:rPr>
          <w:rFonts w:ascii="Arial" w:hAnsi="Arial" w:cs="Arial"/>
          <w:sz w:val="22"/>
          <w:szCs w:val="22"/>
        </w:rPr>
      </w:pPr>
      <w:r w:rsidRPr="003800FD">
        <w:rPr>
          <w:rFonts w:ascii="Arial" w:hAnsi="Arial" w:cs="Arial"/>
          <w:sz w:val="22"/>
          <w:szCs w:val="22"/>
        </w:rPr>
        <w:t>Under the Trade Union and Labour Relations (Consolidation) Act 1992, any proposal to make 20 or more employees redundant within a 90-day period triggers a statutory duty to consult with recognised trade unions (or elected employee reps where no union is recognised). The consultation must last at least 30 days and must begin while plans are still at a formative stage, before any final decisions are made (Daniels, 2016, p.198; CIPD, 2024c). There’s also a separate duty to carry out individual consultation, regardless of the number affected.</w:t>
      </w:r>
    </w:p>
    <w:p w14:paraId="351B6FAC" w14:textId="175EE9C1" w:rsidR="003800FD" w:rsidRPr="003800FD" w:rsidRDefault="003800FD" w:rsidP="003800FD">
      <w:pPr>
        <w:rPr>
          <w:rFonts w:ascii="Arial" w:hAnsi="Arial" w:cs="Arial"/>
          <w:sz w:val="22"/>
          <w:szCs w:val="22"/>
        </w:rPr>
      </w:pPr>
      <w:r w:rsidRPr="003800FD">
        <w:rPr>
          <w:rFonts w:ascii="Arial" w:hAnsi="Arial" w:cs="Arial"/>
          <w:sz w:val="22"/>
          <w:szCs w:val="22"/>
        </w:rPr>
        <w:t xml:space="preserve">The case of King v Eaton Ltd reinforces that consultation must be meaningful, not just </w:t>
      </w:r>
      <w:r w:rsidR="00971830">
        <w:rPr>
          <w:rFonts w:ascii="Arial" w:hAnsi="Arial" w:cs="Arial"/>
          <w:sz w:val="22"/>
          <w:szCs w:val="22"/>
        </w:rPr>
        <w:t>transactional</w:t>
      </w:r>
      <w:r w:rsidRPr="003800FD">
        <w:rPr>
          <w:rFonts w:ascii="Arial" w:hAnsi="Arial" w:cs="Arial"/>
          <w:sz w:val="22"/>
          <w:szCs w:val="22"/>
        </w:rPr>
        <w:t>, and there must be time for reps and employees to influence the proposals (Daniels, 2016, p.199). The Trust would also need to notify the Secretary of State using Form HR1, which is a legal requirement when 20 or more redundancies are proposed (Daniels, 2016, p.199).</w:t>
      </w:r>
    </w:p>
    <w:p w14:paraId="7897FA4A" w14:textId="27BBF713" w:rsidR="003800FD" w:rsidRPr="003800FD" w:rsidRDefault="003800FD" w:rsidP="003800FD">
      <w:pPr>
        <w:rPr>
          <w:rFonts w:ascii="Arial" w:hAnsi="Arial" w:cs="Arial"/>
          <w:sz w:val="22"/>
          <w:szCs w:val="22"/>
        </w:rPr>
      </w:pPr>
      <w:r w:rsidRPr="003800FD">
        <w:rPr>
          <w:rFonts w:ascii="Arial" w:hAnsi="Arial" w:cs="Arial"/>
          <w:sz w:val="22"/>
          <w:szCs w:val="22"/>
        </w:rPr>
        <w:t xml:space="preserve">You mentioned focusing on </w:t>
      </w:r>
      <w:r>
        <w:rPr>
          <w:rFonts w:ascii="Arial" w:hAnsi="Arial" w:cs="Arial"/>
          <w:sz w:val="22"/>
          <w:szCs w:val="22"/>
        </w:rPr>
        <w:t>‘</w:t>
      </w:r>
      <w:r w:rsidRPr="003800FD">
        <w:rPr>
          <w:rFonts w:ascii="Arial" w:hAnsi="Arial" w:cs="Arial"/>
          <w:sz w:val="22"/>
          <w:szCs w:val="22"/>
        </w:rPr>
        <w:t>the poorest performers</w:t>
      </w:r>
      <w:r>
        <w:rPr>
          <w:rFonts w:ascii="Arial" w:hAnsi="Arial" w:cs="Arial"/>
          <w:sz w:val="22"/>
          <w:szCs w:val="22"/>
        </w:rPr>
        <w:t>’</w:t>
      </w:r>
      <w:r w:rsidRPr="003800FD">
        <w:rPr>
          <w:rFonts w:ascii="Arial" w:hAnsi="Arial" w:cs="Arial"/>
          <w:sz w:val="22"/>
          <w:szCs w:val="22"/>
        </w:rPr>
        <w:t xml:space="preserve"> </w:t>
      </w:r>
      <w:r>
        <w:rPr>
          <w:rFonts w:ascii="Arial" w:hAnsi="Arial" w:cs="Arial"/>
          <w:sz w:val="22"/>
          <w:szCs w:val="22"/>
        </w:rPr>
        <w:t>and</w:t>
      </w:r>
      <w:r w:rsidRPr="003800FD">
        <w:rPr>
          <w:rFonts w:ascii="Arial" w:hAnsi="Arial" w:cs="Arial"/>
          <w:sz w:val="22"/>
          <w:szCs w:val="22"/>
        </w:rPr>
        <w:t xml:space="preserve"> this is where we </w:t>
      </w:r>
      <w:r>
        <w:rPr>
          <w:rFonts w:ascii="Arial" w:hAnsi="Arial" w:cs="Arial"/>
          <w:sz w:val="22"/>
          <w:szCs w:val="22"/>
        </w:rPr>
        <w:t>must</w:t>
      </w:r>
      <w:r w:rsidRPr="003800FD">
        <w:rPr>
          <w:rFonts w:ascii="Arial" w:hAnsi="Arial" w:cs="Arial"/>
          <w:sz w:val="22"/>
          <w:szCs w:val="22"/>
        </w:rPr>
        <w:t xml:space="preserve"> be particularly careful. A redundancy situation is legally defined under the Employment Rights Act 1996, s.139(1) as a </w:t>
      </w:r>
      <w:r w:rsidR="00D7209A">
        <w:rPr>
          <w:rFonts w:ascii="Arial" w:hAnsi="Arial" w:cs="Arial"/>
          <w:sz w:val="22"/>
          <w:szCs w:val="22"/>
        </w:rPr>
        <w:t>‘</w:t>
      </w:r>
      <w:r w:rsidRPr="003800FD">
        <w:rPr>
          <w:rFonts w:ascii="Arial" w:hAnsi="Arial" w:cs="Arial"/>
          <w:sz w:val="22"/>
          <w:szCs w:val="22"/>
        </w:rPr>
        <w:t>diminished need for employees to carry out work of a particular kind</w:t>
      </w:r>
      <w:r w:rsidR="00D7209A">
        <w:rPr>
          <w:rFonts w:ascii="Arial" w:hAnsi="Arial" w:cs="Arial"/>
          <w:sz w:val="22"/>
          <w:szCs w:val="22"/>
        </w:rPr>
        <w:t>’</w:t>
      </w:r>
      <w:r w:rsidRPr="003800FD">
        <w:rPr>
          <w:rFonts w:ascii="Arial" w:hAnsi="Arial" w:cs="Arial"/>
          <w:sz w:val="22"/>
          <w:szCs w:val="22"/>
        </w:rPr>
        <w:t>. It isn’t a performance tool. If we select individuals based on performance without a fair, objective process and consultation, there’s a high risk of unfair dismissal claims (Daniels, 2016, p.196; CIPD, 2024c).</w:t>
      </w:r>
    </w:p>
    <w:p w14:paraId="7969DCCB" w14:textId="67FD9159" w:rsidR="003800FD" w:rsidRPr="003800FD" w:rsidRDefault="003800FD" w:rsidP="003800FD">
      <w:pPr>
        <w:rPr>
          <w:rFonts w:ascii="Arial" w:hAnsi="Arial" w:cs="Arial"/>
          <w:sz w:val="22"/>
          <w:szCs w:val="22"/>
        </w:rPr>
      </w:pPr>
      <w:r w:rsidRPr="003800FD">
        <w:rPr>
          <w:rFonts w:ascii="Arial" w:hAnsi="Arial" w:cs="Arial"/>
          <w:sz w:val="22"/>
          <w:szCs w:val="22"/>
        </w:rPr>
        <w:t xml:space="preserve">Instead, we’d need to identify a fair selection pool </w:t>
      </w:r>
      <w:r w:rsidR="00D7209A">
        <w:rPr>
          <w:rFonts w:ascii="Arial" w:hAnsi="Arial" w:cs="Arial"/>
          <w:sz w:val="22"/>
          <w:szCs w:val="22"/>
        </w:rPr>
        <w:t>(u</w:t>
      </w:r>
      <w:r w:rsidRPr="003800FD">
        <w:rPr>
          <w:rFonts w:ascii="Arial" w:hAnsi="Arial" w:cs="Arial"/>
          <w:sz w:val="22"/>
          <w:szCs w:val="22"/>
        </w:rPr>
        <w:t>sually all staff doing similar work</w:t>
      </w:r>
      <w:r w:rsidR="00D7209A">
        <w:rPr>
          <w:rFonts w:ascii="Arial" w:hAnsi="Arial" w:cs="Arial"/>
          <w:sz w:val="22"/>
          <w:szCs w:val="22"/>
        </w:rPr>
        <w:t>)</w:t>
      </w:r>
      <w:r w:rsidRPr="003800FD">
        <w:rPr>
          <w:rFonts w:ascii="Arial" w:hAnsi="Arial" w:cs="Arial"/>
          <w:sz w:val="22"/>
          <w:szCs w:val="22"/>
        </w:rPr>
        <w:t xml:space="preserve"> and apply non-discriminatory, objective criteria, such as skills, qualifications, attendance, and evidenced performance (e.g., from appraisals). The case of Williams v </w:t>
      </w:r>
      <w:proofErr w:type="spellStart"/>
      <w:r w:rsidRPr="003800FD">
        <w:rPr>
          <w:rFonts w:ascii="Arial" w:hAnsi="Arial" w:cs="Arial"/>
          <w:sz w:val="22"/>
          <w:szCs w:val="22"/>
        </w:rPr>
        <w:t>Compair</w:t>
      </w:r>
      <w:proofErr w:type="spellEnd"/>
      <w:r w:rsidRPr="003800FD">
        <w:rPr>
          <w:rFonts w:ascii="Arial" w:hAnsi="Arial" w:cs="Arial"/>
          <w:sz w:val="22"/>
          <w:szCs w:val="22"/>
        </w:rPr>
        <w:t xml:space="preserve"> Maxam Ltd is a good reminder of the risks of relying on subjective views when making redundancy decisions </w:t>
      </w:r>
      <w:r w:rsidR="00D7209A">
        <w:rPr>
          <w:rFonts w:ascii="Arial" w:hAnsi="Arial" w:cs="Arial"/>
          <w:sz w:val="22"/>
          <w:szCs w:val="22"/>
        </w:rPr>
        <w:t xml:space="preserve">as </w:t>
      </w:r>
      <w:r w:rsidRPr="003800FD">
        <w:rPr>
          <w:rFonts w:ascii="Arial" w:hAnsi="Arial" w:cs="Arial"/>
          <w:sz w:val="22"/>
          <w:szCs w:val="22"/>
        </w:rPr>
        <w:t>it led to a successful unfair dismissal claim because the selection lacked transparency and fairness (Daniels, 2016, p.203).</w:t>
      </w:r>
    </w:p>
    <w:p w14:paraId="6D4857F2" w14:textId="21E31DB7" w:rsidR="003800FD" w:rsidRPr="003800FD" w:rsidRDefault="003800FD" w:rsidP="003800FD">
      <w:pPr>
        <w:rPr>
          <w:rFonts w:ascii="Arial" w:hAnsi="Arial" w:cs="Arial"/>
          <w:sz w:val="22"/>
          <w:szCs w:val="22"/>
        </w:rPr>
      </w:pPr>
      <w:r w:rsidRPr="003800FD">
        <w:rPr>
          <w:rFonts w:ascii="Arial" w:hAnsi="Arial" w:cs="Arial"/>
          <w:sz w:val="22"/>
          <w:szCs w:val="22"/>
        </w:rPr>
        <w:t xml:space="preserve">Also worth </w:t>
      </w:r>
      <w:r w:rsidR="003F5B4C" w:rsidRPr="003800FD">
        <w:rPr>
          <w:rFonts w:ascii="Arial" w:hAnsi="Arial" w:cs="Arial"/>
          <w:sz w:val="22"/>
          <w:szCs w:val="22"/>
        </w:rPr>
        <w:t>noting</w:t>
      </w:r>
      <w:r w:rsidRPr="003800FD">
        <w:rPr>
          <w:rFonts w:ascii="Arial" w:hAnsi="Arial" w:cs="Arial"/>
          <w:sz w:val="22"/>
          <w:szCs w:val="22"/>
        </w:rPr>
        <w:t xml:space="preserve"> </w:t>
      </w:r>
      <w:r w:rsidR="003F5B4C">
        <w:rPr>
          <w:rFonts w:ascii="Arial" w:hAnsi="Arial" w:cs="Arial"/>
          <w:sz w:val="22"/>
          <w:szCs w:val="22"/>
        </w:rPr>
        <w:t xml:space="preserve">that </w:t>
      </w:r>
      <w:r w:rsidRPr="003800FD">
        <w:rPr>
          <w:rFonts w:ascii="Arial" w:hAnsi="Arial" w:cs="Arial"/>
          <w:sz w:val="22"/>
          <w:szCs w:val="22"/>
        </w:rPr>
        <w:t>failure to follow proper consultation procedures can result in a protective award of up to 90 days’ pay per affected employee (CIPD, 2024c), which we obviously want to avoid.</w:t>
      </w:r>
    </w:p>
    <w:p w14:paraId="0B62D707" w14:textId="5C8F0646" w:rsidR="003800FD" w:rsidRPr="003800FD" w:rsidRDefault="003800FD" w:rsidP="003800FD">
      <w:pPr>
        <w:rPr>
          <w:rFonts w:ascii="Arial" w:hAnsi="Arial" w:cs="Arial"/>
          <w:sz w:val="22"/>
          <w:szCs w:val="22"/>
        </w:rPr>
      </w:pPr>
      <w:r w:rsidRPr="003800FD">
        <w:rPr>
          <w:rFonts w:ascii="Arial" w:hAnsi="Arial" w:cs="Arial"/>
          <w:sz w:val="22"/>
          <w:szCs w:val="22"/>
        </w:rPr>
        <w:t xml:space="preserve">Happy to sit down and work through a plan with you </w:t>
      </w:r>
      <w:proofErr w:type="gramStart"/>
      <w:r w:rsidRPr="003800FD">
        <w:rPr>
          <w:rFonts w:ascii="Arial" w:hAnsi="Arial" w:cs="Arial"/>
          <w:sz w:val="22"/>
          <w:szCs w:val="22"/>
        </w:rPr>
        <w:t>from initial comms and consultation,</w:t>
      </w:r>
      <w:proofErr w:type="gramEnd"/>
      <w:r w:rsidRPr="003800FD">
        <w:rPr>
          <w:rFonts w:ascii="Arial" w:hAnsi="Arial" w:cs="Arial"/>
          <w:sz w:val="22"/>
          <w:szCs w:val="22"/>
        </w:rPr>
        <w:t xml:space="preserve"> to selection criteria and next steps. Just let me know when suits.</w:t>
      </w:r>
    </w:p>
    <w:bookmarkEnd w:id="5"/>
    <w:p w14:paraId="7D164E5E" w14:textId="77777777" w:rsidR="00253DD3" w:rsidRDefault="00253DD3" w:rsidP="003C6A73">
      <w:pPr>
        <w:rPr>
          <w:rFonts w:ascii="Arial" w:hAnsi="Arial" w:cs="Arial"/>
          <w:b/>
          <w:bCs/>
          <w:sz w:val="22"/>
          <w:szCs w:val="22"/>
        </w:rPr>
      </w:pPr>
    </w:p>
    <w:p w14:paraId="3255889B" w14:textId="1F5B8296" w:rsidR="003F5B4C" w:rsidRDefault="003F5B4C" w:rsidP="003C6A73">
      <w:pPr>
        <w:rPr>
          <w:rFonts w:ascii="Arial" w:hAnsi="Arial" w:cs="Arial"/>
          <w:b/>
          <w:bCs/>
          <w:sz w:val="22"/>
          <w:szCs w:val="22"/>
        </w:rPr>
      </w:pPr>
      <w:r>
        <w:rPr>
          <w:rFonts w:ascii="Arial" w:hAnsi="Arial" w:cs="Arial"/>
          <w:b/>
          <w:bCs/>
          <w:sz w:val="22"/>
          <w:szCs w:val="22"/>
        </w:rPr>
        <w:t>AC 3.3 Email 7</w:t>
      </w:r>
    </w:p>
    <w:p w14:paraId="57D31B83" w14:textId="0F331CEF" w:rsidR="00253DD3" w:rsidRDefault="00244660" w:rsidP="003C6A73">
      <w:pPr>
        <w:rPr>
          <w:rFonts w:ascii="Arial" w:hAnsi="Arial" w:cs="Arial"/>
          <w:b/>
          <w:bCs/>
          <w:sz w:val="22"/>
          <w:szCs w:val="22"/>
        </w:rPr>
      </w:pPr>
      <w:r>
        <w:rPr>
          <w:noProof/>
        </w:rPr>
        <w:lastRenderedPageBreak/>
        <mc:AlternateContent>
          <mc:Choice Requires="wps">
            <w:drawing>
              <wp:anchor distT="45720" distB="45720" distL="114300" distR="114300" simplePos="0" relativeHeight="251671552" behindDoc="0" locked="0" layoutInCell="1" allowOverlap="1" wp14:anchorId="48B70DD7" wp14:editId="7BF1AEFD">
                <wp:simplePos x="0" y="0"/>
                <wp:positionH relativeFrom="page">
                  <wp:align>right</wp:align>
                </wp:positionH>
                <wp:positionV relativeFrom="paragraph">
                  <wp:posOffset>150495</wp:posOffset>
                </wp:positionV>
                <wp:extent cx="5238750" cy="1130300"/>
                <wp:effectExtent l="0" t="0" r="0" b="0"/>
                <wp:wrapNone/>
                <wp:docPr id="14208514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0" cy="1130300"/>
                        </a:xfrm>
                        <a:prstGeom prst="rect">
                          <a:avLst/>
                        </a:prstGeom>
                        <a:noFill/>
                        <a:ln w="9525">
                          <a:noFill/>
                          <a:miter lim="800000"/>
                          <a:headEnd/>
                          <a:tailEnd/>
                        </a:ln>
                      </wps:spPr>
                      <wps:txbx>
                        <w:txbxContent>
                          <w:p w14:paraId="51AE9CC6" w14:textId="50DD5142" w:rsidR="00244660" w:rsidRDefault="00536A41" w:rsidP="00244660">
                            <w:pPr>
                              <w:rPr>
                                <w:rFonts w:ascii="Arial" w:hAnsi="Arial" w:cs="Arial"/>
                                <w:b/>
                                <w:bCs/>
                                <w:sz w:val="22"/>
                                <w:szCs w:val="22"/>
                              </w:rPr>
                            </w:pPr>
                            <w:r>
                              <w:rPr>
                                <w:rFonts w:ascii="Arial" w:hAnsi="Arial" w:cs="Arial"/>
                                <w:b/>
                                <w:bCs/>
                                <w:sz w:val="22"/>
                                <w:szCs w:val="22"/>
                              </w:rPr>
                              <w:t>CEO</w:t>
                            </w:r>
                          </w:p>
                          <w:p w14:paraId="32C1463A" w14:textId="77777777" w:rsidR="00244660" w:rsidRDefault="00244660" w:rsidP="00244660">
                            <w:pPr>
                              <w:rPr>
                                <w:rFonts w:ascii="Arial" w:hAnsi="Arial" w:cs="Arial"/>
                                <w:b/>
                                <w:bCs/>
                                <w:sz w:val="22"/>
                                <w:szCs w:val="22"/>
                              </w:rPr>
                            </w:pPr>
                          </w:p>
                          <w:p w14:paraId="3BAFE0EF" w14:textId="42155F30" w:rsidR="00244660" w:rsidRDefault="00244660" w:rsidP="00244660">
                            <w:pPr>
                              <w:rPr>
                                <w:rFonts w:ascii="Arial" w:hAnsi="Arial" w:cs="Arial"/>
                                <w:b/>
                                <w:bCs/>
                                <w:sz w:val="22"/>
                                <w:szCs w:val="22"/>
                              </w:rPr>
                            </w:pPr>
                            <w:r>
                              <w:rPr>
                                <w:rFonts w:ascii="Arial" w:hAnsi="Arial" w:cs="Arial"/>
                                <w:b/>
                                <w:bCs/>
                                <w:sz w:val="22"/>
                                <w:szCs w:val="22"/>
                              </w:rPr>
                              <w:t xml:space="preserve">Re: </w:t>
                            </w:r>
                            <w:r w:rsidR="00315E4F" w:rsidRPr="00315E4F">
                              <w:rPr>
                                <w:rFonts w:ascii="Arial" w:hAnsi="Arial" w:cs="Arial"/>
                                <w:b/>
                                <w:bCs/>
                                <w:sz w:val="22"/>
                                <w:szCs w:val="22"/>
                              </w:rPr>
                              <w:t>Request for Advice on TUPE Implications for Proposed Pharmacy Merger</w:t>
                            </w:r>
                          </w:p>
                          <w:p w14:paraId="6554FDB3" w14:textId="77777777" w:rsidR="00244660" w:rsidRPr="000A66B6" w:rsidRDefault="00244660" w:rsidP="00244660">
                            <w:pPr>
                              <w:rPr>
                                <w:rFonts w:ascii="Arial" w:hAnsi="Arial" w:cs="Arial"/>
                                <w:b/>
                                <w:bCs/>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B70DD7" id="_x0000_s1032" type="#_x0000_t202" style="position:absolute;margin-left:361.3pt;margin-top:11.85pt;width:412.5pt;height:89pt;z-index:25167155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" filled="f" stroked="f">
                <v:textbox>
                  <w:txbxContent>
                    <w:p w14:paraId="51AE9CC6" w14:textId="50DD5142" w:rsidR="00244660" w:rsidRDefault="00536A41" w:rsidP="00244660">
                      <w:pPr>
                        <w:rPr>
                          <w:rFonts w:ascii="Arial" w:hAnsi="Arial" w:cs="Arial"/>
                          <w:b/>
                          <w:bCs/>
                          <w:sz w:val="22"/>
                          <w:szCs w:val="22"/>
                        </w:rPr>
                      </w:pPr>
                      <w:r>
                        <w:rPr>
                          <w:rFonts w:ascii="Arial" w:hAnsi="Arial" w:cs="Arial"/>
                          <w:b/>
                          <w:bCs/>
                          <w:sz w:val="22"/>
                          <w:szCs w:val="22"/>
                        </w:rPr>
                        <w:t>CEO</w:t>
                      </w:r>
                    </w:p>
                    <w:p w14:paraId="32C1463A" w14:textId="77777777" w:rsidR="00244660" w:rsidRDefault="00244660" w:rsidP="00244660">
                      <w:pPr>
                        <w:rPr>
                          <w:rFonts w:ascii="Arial" w:hAnsi="Arial" w:cs="Arial"/>
                          <w:b/>
                          <w:bCs/>
                          <w:sz w:val="22"/>
                          <w:szCs w:val="22"/>
                        </w:rPr>
                      </w:pPr>
                    </w:p>
                    <w:p w14:paraId="3BAFE0EF" w14:textId="42155F30" w:rsidR="00244660" w:rsidRDefault="00244660" w:rsidP="00244660">
                      <w:pPr>
                        <w:rPr>
                          <w:rFonts w:ascii="Arial" w:hAnsi="Arial" w:cs="Arial"/>
                          <w:b/>
                          <w:bCs/>
                          <w:sz w:val="22"/>
                          <w:szCs w:val="22"/>
                        </w:rPr>
                      </w:pPr>
                      <w:r>
                        <w:rPr>
                          <w:rFonts w:ascii="Arial" w:hAnsi="Arial" w:cs="Arial"/>
                          <w:b/>
                          <w:bCs/>
                          <w:sz w:val="22"/>
                          <w:szCs w:val="22"/>
                        </w:rPr>
                        <w:t xml:space="preserve">Re: </w:t>
                      </w:r>
                      <w:r w:rsidR="00315E4F" w:rsidRPr="00315E4F">
                        <w:rPr>
                          <w:rFonts w:ascii="Arial" w:hAnsi="Arial" w:cs="Arial"/>
                          <w:b/>
                          <w:bCs/>
                          <w:sz w:val="22"/>
                          <w:szCs w:val="22"/>
                        </w:rPr>
                        <w:t>Request for Advice on TUPE Implications for Proposed Pharmacy Merger</w:t>
                      </w:r>
                    </w:p>
                    <w:p w14:paraId="6554FDB3" w14:textId="77777777" w:rsidR="00244660" w:rsidRPr="000A66B6" w:rsidRDefault="00244660" w:rsidP="00244660">
                      <w:pPr>
                        <w:rPr>
                          <w:rFonts w:ascii="Arial" w:hAnsi="Arial" w:cs="Arial"/>
                          <w:b/>
                          <w:bCs/>
                          <w:sz w:val="22"/>
                          <w:szCs w:val="22"/>
                        </w:rPr>
                      </w:pPr>
                    </w:p>
                  </w:txbxContent>
                </v:textbox>
                <w10:wrap anchorx="page"/>
              </v:shape>
            </w:pict>
          </mc:Fallback>
        </mc:AlternateContent>
      </w:r>
      <w:r w:rsidRPr="000A66B6">
        <w:rPr>
          <w:rFonts w:ascii="Arial" w:hAnsi="Arial" w:cs="Arial"/>
          <w:b/>
          <w:bCs/>
          <w:noProof/>
          <w:sz w:val="22"/>
          <w:szCs w:val="22"/>
        </w:rPr>
        <w:drawing>
          <wp:inline distT="0" distB="0" distL="0" distR="0" wp14:anchorId="3DBCB281" wp14:editId="0B18C5C0">
            <wp:extent cx="5629910" cy="1241425"/>
            <wp:effectExtent l="0" t="0" r="8890" b="0"/>
            <wp:docPr id="1167477140" name="Picture 1" descr="A white board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183587" name="Picture 1" descr="A white board with blue lines&#10;&#10;AI-generated content may be incorrect."/>
                    <pic:cNvPicPr/>
                  </pic:nvPicPr>
                  <pic:blipFill rotWithShape="1">
                    <a:blip r:embed="rId5"/>
                    <a:srcRect l="1773" t="6235"/>
                    <a:stretch/>
                  </pic:blipFill>
                  <pic:spPr bwMode="auto">
                    <a:xfrm>
                      <a:off x="0" y="0"/>
                      <a:ext cx="5629910" cy="1241425"/>
                    </a:xfrm>
                    <a:prstGeom prst="rect">
                      <a:avLst/>
                    </a:prstGeom>
                    <a:ln>
                      <a:noFill/>
                    </a:ln>
                    <a:extLst>
                      <a:ext uri="{53640926-AAD7-44D8-BBD7-CCE9431645EC}">
                        <a14:shadowObscured xmlns:a14="http://schemas.microsoft.com/office/drawing/2010/main"/>
                      </a:ext>
                    </a:extLst>
                  </pic:spPr>
                </pic:pic>
              </a:graphicData>
            </a:graphic>
          </wp:inline>
        </w:drawing>
      </w:r>
    </w:p>
    <w:p w14:paraId="7B8A449E" w14:textId="6EFA0AE1" w:rsidR="002F6EE7" w:rsidRPr="002F6EE7" w:rsidRDefault="002F6EE7" w:rsidP="002F6EE7">
      <w:pPr>
        <w:rPr>
          <w:rFonts w:ascii="Arial" w:hAnsi="Arial" w:cs="Arial"/>
          <w:sz w:val="22"/>
          <w:szCs w:val="22"/>
        </w:rPr>
      </w:pPr>
      <w:bookmarkStart w:id="6" w:name="_Hlk199680508"/>
      <w:r w:rsidRPr="002F6EE7">
        <w:rPr>
          <w:rFonts w:ascii="Arial" w:hAnsi="Arial" w:cs="Arial"/>
          <w:sz w:val="22"/>
          <w:szCs w:val="22"/>
        </w:rPr>
        <w:t xml:space="preserve">Thank you for your query regarding the proposed pharmacy merger and the implications this may have for affected staff. Based on what we know so far, the Transfer of Undertakings (Protection of Employment) Regulations 2006 (TUPE) are likely to apply, as this would probably constitute </w:t>
      </w:r>
      <w:r>
        <w:rPr>
          <w:rFonts w:ascii="Arial" w:hAnsi="Arial" w:cs="Arial"/>
          <w:sz w:val="22"/>
          <w:szCs w:val="22"/>
        </w:rPr>
        <w:t>‘</w:t>
      </w:r>
      <w:r w:rsidRPr="002F6EE7">
        <w:rPr>
          <w:rFonts w:ascii="Arial" w:hAnsi="Arial" w:cs="Arial"/>
          <w:sz w:val="22"/>
          <w:szCs w:val="22"/>
        </w:rPr>
        <w:t>the transfer of an economic entity that retains its identity</w:t>
      </w:r>
      <w:r>
        <w:rPr>
          <w:rFonts w:ascii="Arial" w:hAnsi="Arial" w:cs="Arial"/>
          <w:sz w:val="22"/>
          <w:szCs w:val="22"/>
        </w:rPr>
        <w:t>’</w:t>
      </w:r>
      <w:r w:rsidRPr="002F6EE7">
        <w:rPr>
          <w:rFonts w:ascii="Arial" w:hAnsi="Arial" w:cs="Arial"/>
          <w:sz w:val="22"/>
          <w:szCs w:val="22"/>
        </w:rPr>
        <w:t xml:space="preserve"> (Daniels, 2016, p. 2</w:t>
      </w:r>
      <w:r>
        <w:rPr>
          <w:rFonts w:ascii="Arial" w:hAnsi="Arial" w:cs="Arial"/>
          <w:sz w:val="22"/>
          <w:szCs w:val="22"/>
        </w:rPr>
        <w:t>08</w:t>
      </w:r>
      <w:r w:rsidRPr="002F6EE7">
        <w:rPr>
          <w:rFonts w:ascii="Arial" w:hAnsi="Arial" w:cs="Arial"/>
          <w:sz w:val="22"/>
          <w:szCs w:val="22"/>
        </w:rPr>
        <w:t xml:space="preserve">). Given that </w:t>
      </w:r>
      <w:r>
        <w:rPr>
          <w:rFonts w:ascii="Arial" w:hAnsi="Arial" w:cs="Arial"/>
          <w:sz w:val="22"/>
          <w:szCs w:val="22"/>
        </w:rPr>
        <w:t>our</w:t>
      </w:r>
      <w:r w:rsidRPr="002F6EE7">
        <w:rPr>
          <w:rFonts w:ascii="Arial" w:hAnsi="Arial" w:cs="Arial"/>
          <w:sz w:val="22"/>
          <w:szCs w:val="22"/>
        </w:rPr>
        <w:t xml:space="preserve"> Trust will be delivering pharmacy services to both sites under the new model, this situation may also fall under the definition of a service provision change. In practice, it may meet the criteria for both a business transfer and a service provision change.</w:t>
      </w:r>
    </w:p>
    <w:p w14:paraId="0277614E" w14:textId="6A9B6E7D" w:rsidR="002F6EE7" w:rsidRPr="002F6EE7" w:rsidRDefault="002F6EE7" w:rsidP="002F6EE7">
      <w:pPr>
        <w:rPr>
          <w:rFonts w:ascii="Arial" w:hAnsi="Arial" w:cs="Arial"/>
          <w:sz w:val="22"/>
          <w:szCs w:val="22"/>
        </w:rPr>
      </w:pPr>
      <w:r w:rsidRPr="002F6EE7">
        <w:rPr>
          <w:rFonts w:ascii="Arial" w:hAnsi="Arial" w:cs="Arial"/>
          <w:sz w:val="22"/>
          <w:szCs w:val="22"/>
        </w:rPr>
        <w:t>It’s important to note that TUPE is not optional</w:t>
      </w:r>
      <w:r>
        <w:rPr>
          <w:rFonts w:ascii="Arial" w:hAnsi="Arial" w:cs="Arial"/>
          <w:sz w:val="22"/>
          <w:szCs w:val="22"/>
        </w:rPr>
        <w:t>:</w:t>
      </w:r>
      <w:r w:rsidRPr="002F6EE7">
        <w:rPr>
          <w:rFonts w:ascii="Arial" w:hAnsi="Arial" w:cs="Arial"/>
          <w:sz w:val="22"/>
          <w:szCs w:val="22"/>
        </w:rPr>
        <w:t xml:space="preserve"> where the legal conditions are met, it applies automatically, and both the outgoing and incoming employers are bound by its provisions.</w:t>
      </w:r>
    </w:p>
    <w:p w14:paraId="38DCA336" w14:textId="77777777" w:rsidR="002F6EE7" w:rsidRPr="002F6EE7" w:rsidRDefault="002F6EE7" w:rsidP="002F6EE7">
      <w:pPr>
        <w:rPr>
          <w:rFonts w:ascii="Arial" w:hAnsi="Arial" w:cs="Arial"/>
          <w:sz w:val="22"/>
          <w:szCs w:val="22"/>
        </w:rPr>
      </w:pPr>
      <w:r w:rsidRPr="002F6EE7">
        <w:rPr>
          <w:rFonts w:ascii="Arial" w:hAnsi="Arial" w:cs="Arial"/>
          <w:sz w:val="22"/>
          <w:szCs w:val="22"/>
        </w:rPr>
        <w:t>In practical terms, this means that employees currently assigned to the pharmacy operations (assuming they form an organised grouping and that their roles will continue in the new structure) would automatically transfer into our employment, retaining their existing contractual terms and continuity of service (CIPD, 2024d; Daniels, 2016, p. 207).</w:t>
      </w:r>
    </w:p>
    <w:p w14:paraId="036E191A" w14:textId="2F3280F1" w:rsidR="002F6EE7" w:rsidRPr="002F6EE7" w:rsidRDefault="002F6EE7" w:rsidP="002F6EE7">
      <w:pPr>
        <w:rPr>
          <w:rFonts w:ascii="Arial" w:hAnsi="Arial" w:cs="Arial"/>
          <w:sz w:val="22"/>
          <w:szCs w:val="22"/>
        </w:rPr>
      </w:pPr>
      <w:r w:rsidRPr="002F6EE7">
        <w:rPr>
          <w:rFonts w:ascii="Arial" w:hAnsi="Arial" w:cs="Arial"/>
          <w:sz w:val="22"/>
          <w:szCs w:val="22"/>
        </w:rPr>
        <w:t>TUPE provides strong protection for employees during transfers. Any dismissal where the main reason is the transfer itself is deemed automatically unfair, unless there’s a valid economic, technical or organisational (ETO) reason that brings about a change in the workforce</w:t>
      </w:r>
      <w:r w:rsidR="007927E3">
        <w:rPr>
          <w:rFonts w:ascii="Arial" w:hAnsi="Arial" w:cs="Arial"/>
          <w:sz w:val="22"/>
          <w:szCs w:val="22"/>
        </w:rPr>
        <w:t xml:space="preserve"> -</w:t>
      </w:r>
      <w:r w:rsidRPr="002F6EE7">
        <w:rPr>
          <w:rFonts w:ascii="Arial" w:hAnsi="Arial" w:cs="Arial"/>
          <w:sz w:val="22"/>
          <w:szCs w:val="22"/>
        </w:rPr>
        <w:t xml:space="preserve"> such as a restructure or potential redundancy (Daniels, 2016). If the merger leads to role duplication, for example, a redundancy situation may arise, but this would need to be handled carefully and fairly.</w:t>
      </w:r>
    </w:p>
    <w:p w14:paraId="31C5B3B1" w14:textId="77777777" w:rsidR="002F6EE7" w:rsidRPr="002F6EE7" w:rsidRDefault="002F6EE7" w:rsidP="002F6EE7">
      <w:pPr>
        <w:rPr>
          <w:rFonts w:ascii="Arial" w:hAnsi="Arial" w:cs="Arial"/>
          <w:sz w:val="22"/>
          <w:szCs w:val="22"/>
        </w:rPr>
      </w:pPr>
      <w:r w:rsidRPr="002F6EE7">
        <w:rPr>
          <w:rFonts w:ascii="Arial" w:hAnsi="Arial" w:cs="Arial"/>
          <w:sz w:val="22"/>
          <w:szCs w:val="22"/>
        </w:rPr>
        <w:t>As ACAS (2025) outlines, a robust and transparent consultation process, clear selection criteria, and exploration of suitable alternatives are all key to managing any redundancy risks appropriately.</w:t>
      </w:r>
    </w:p>
    <w:p w14:paraId="088B5E74" w14:textId="67F72EF7" w:rsidR="002F6EE7" w:rsidRPr="002F6EE7" w:rsidRDefault="002F6EE7" w:rsidP="002F6EE7">
      <w:pPr>
        <w:rPr>
          <w:rFonts w:ascii="Arial" w:hAnsi="Arial" w:cs="Arial"/>
          <w:sz w:val="22"/>
          <w:szCs w:val="22"/>
        </w:rPr>
      </w:pPr>
      <w:r w:rsidRPr="002F6EE7">
        <w:rPr>
          <w:rFonts w:ascii="Arial" w:hAnsi="Arial" w:cs="Arial"/>
          <w:sz w:val="22"/>
          <w:szCs w:val="22"/>
        </w:rPr>
        <w:t xml:space="preserve">Both our Trust and the outgoing employer (if applicable) would have legal duties to inform and, where appropriate, consult with trade unions or elected employee representatives. This includes explaining </w:t>
      </w:r>
      <w:r w:rsidR="00884774">
        <w:rPr>
          <w:rFonts w:ascii="Arial" w:hAnsi="Arial" w:cs="Arial"/>
          <w:sz w:val="22"/>
          <w:szCs w:val="22"/>
        </w:rPr>
        <w:t>‘t</w:t>
      </w:r>
      <w:r w:rsidRPr="002F6EE7">
        <w:rPr>
          <w:rFonts w:ascii="Arial" w:hAnsi="Arial" w:cs="Arial"/>
          <w:sz w:val="22"/>
          <w:szCs w:val="22"/>
        </w:rPr>
        <w:t>he reason for the transfer and when it is expected to take place</w:t>
      </w:r>
      <w:r w:rsidR="00884774">
        <w:rPr>
          <w:rFonts w:ascii="Arial" w:hAnsi="Arial" w:cs="Arial"/>
          <w:sz w:val="22"/>
          <w:szCs w:val="22"/>
        </w:rPr>
        <w:t>’</w:t>
      </w:r>
      <w:r w:rsidRPr="002F6EE7">
        <w:rPr>
          <w:rFonts w:ascii="Arial" w:hAnsi="Arial" w:cs="Arial"/>
          <w:sz w:val="22"/>
          <w:szCs w:val="22"/>
        </w:rPr>
        <w:t xml:space="preserve"> along with any potential impact on staff (Daniels, 2016, p. 21</w:t>
      </w:r>
      <w:r w:rsidR="00884774">
        <w:rPr>
          <w:rFonts w:ascii="Arial" w:hAnsi="Arial" w:cs="Arial"/>
          <w:sz w:val="22"/>
          <w:szCs w:val="22"/>
        </w:rPr>
        <w:t>1</w:t>
      </w:r>
      <w:r w:rsidRPr="002F6EE7">
        <w:rPr>
          <w:rFonts w:ascii="Arial" w:hAnsi="Arial" w:cs="Arial"/>
          <w:sz w:val="22"/>
          <w:szCs w:val="22"/>
        </w:rPr>
        <w:t xml:space="preserve">). Failure to comply with these requirements could lead to significant </w:t>
      </w:r>
      <w:r w:rsidR="000E65BC" w:rsidRPr="002F6EE7">
        <w:rPr>
          <w:rFonts w:ascii="Arial" w:hAnsi="Arial" w:cs="Arial"/>
          <w:sz w:val="22"/>
          <w:szCs w:val="22"/>
        </w:rPr>
        <w:t>obligations</w:t>
      </w:r>
      <w:r w:rsidRPr="002F6EE7">
        <w:rPr>
          <w:rFonts w:ascii="Arial" w:hAnsi="Arial" w:cs="Arial"/>
          <w:sz w:val="22"/>
          <w:szCs w:val="22"/>
        </w:rPr>
        <w:t>, such as a protective award of up to 13 weeks’ pay per affected employee.</w:t>
      </w:r>
    </w:p>
    <w:p w14:paraId="65B330C0" w14:textId="0DDAA8DA" w:rsidR="002F6EE7" w:rsidRPr="002F6EE7" w:rsidRDefault="002F6EE7" w:rsidP="002F6EE7">
      <w:pPr>
        <w:rPr>
          <w:rFonts w:ascii="Arial" w:hAnsi="Arial" w:cs="Arial"/>
          <w:sz w:val="22"/>
          <w:szCs w:val="22"/>
        </w:rPr>
      </w:pPr>
      <w:r w:rsidRPr="002F6EE7">
        <w:rPr>
          <w:rFonts w:ascii="Arial" w:hAnsi="Arial" w:cs="Arial"/>
          <w:sz w:val="22"/>
          <w:szCs w:val="22"/>
        </w:rPr>
        <w:t>I understand there may be an interest in aligning terms and conditions following a merger, but TUPE is clear that contractual changes directly linked to the transfer, even with employee consent, are not legally valid unless they fall within a permitted ETO reason (Daniels, 2016). Standardising terms for the sake of consistency alone would not satisfy this requirement.</w:t>
      </w:r>
    </w:p>
    <w:p w14:paraId="266220D3" w14:textId="77777777" w:rsidR="002F6EE7" w:rsidRPr="002F6EE7" w:rsidRDefault="002F6EE7" w:rsidP="002F6EE7">
      <w:pPr>
        <w:rPr>
          <w:rFonts w:ascii="Arial" w:hAnsi="Arial" w:cs="Arial"/>
          <w:sz w:val="22"/>
          <w:szCs w:val="22"/>
        </w:rPr>
      </w:pPr>
      <w:r w:rsidRPr="002F6EE7">
        <w:rPr>
          <w:rFonts w:ascii="Arial" w:hAnsi="Arial" w:cs="Arial"/>
          <w:sz w:val="22"/>
          <w:szCs w:val="22"/>
        </w:rPr>
        <w:t>We’ll also need to consider the onboarding experience for any transferring staff and ensure we’re providing the right support to help them settle in and maintain engagement post-transfer.</w:t>
      </w:r>
    </w:p>
    <w:p w14:paraId="24A6A43A" w14:textId="6032AC39" w:rsidR="00253DD3" w:rsidRDefault="002F6EE7" w:rsidP="003C6A73">
      <w:pPr>
        <w:rPr>
          <w:rFonts w:ascii="Arial" w:hAnsi="Arial" w:cs="Arial"/>
          <w:sz w:val="22"/>
          <w:szCs w:val="22"/>
        </w:rPr>
      </w:pPr>
      <w:r w:rsidRPr="002F6EE7">
        <w:rPr>
          <w:rFonts w:ascii="Arial" w:hAnsi="Arial" w:cs="Arial"/>
          <w:sz w:val="22"/>
          <w:szCs w:val="22"/>
        </w:rPr>
        <w:lastRenderedPageBreak/>
        <w:t>Please let me know if you would like a detailed action plan or employee impact assessment prepared.</w:t>
      </w:r>
    </w:p>
    <w:bookmarkEnd w:id="6"/>
    <w:p w14:paraId="24B63AB2" w14:textId="5C9B45CE" w:rsidR="00275D67" w:rsidRDefault="00275D67" w:rsidP="003C6A73">
      <w:pPr>
        <w:rPr>
          <w:rFonts w:ascii="Arial" w:hAnsi="Arial" w:cs="Arial"/>
          <w:b/>
          <w:bCs/>
          <w:sz w:val="22"/>
          <w:szCs w:val="22"/>
        </w:rPr>
      </w:pPr>
      <w:r w:rsidRPr="00275D67">
        <w:rPr>
          <w:rFonts w:ascii="Arial" w:hAnsi="Arial" w:cs="Arial"/>
          <w:b/>
          <w:bCs/>
          <w:sz w:val="22"/>
          <w:szCs w:val="22"/>
        </w:rPr>
        <w:t>AC 4.1 Email 8</w:t>
      </w:r>
    </w:p>
    <w:p w14:paraId="0D117B9E" w14:textId="4BD1DBE2" w:rsidR="00275D67" w:rsidRPr="00275D67" w:rsidRDefault="00275D67" w:rsidP="003C6A73">
      <w:pPr>
        <w:rPr>
          <w:rFonts w:ascii="Arial" w:hAnsi="Arial" w:cs="Arial"/>
          <w:b/>
          <w:bCs/>
          <w:sz w:val="22"/>
          <w:szCs w:val="22"/>
        </w:rPr>
      </w:pPr>
      <w:r>
        <w:rPr>
          <w:noProof/>
        </w:rPr>
        <mc:AlternateContent>
          <mc:Choice Requires="wps">
            <w:drawing>
              <wp:anchor distT="45720" distB="45720" distL="114300" distR="114300" simplePos="0" relativeHeight="251673600" behindDoc="0" locked="0" layoutInCell="1" allowOverlap="1" wp14:anchorId="256DBCF4" wp14:editId="4CED5B19">
                <wp:simplePos x="0" y="0"/>
                <wp:positionH relativeFrom="page">
                  <wp:align>right</wp:align>
                </wp:positionH>
                <wp:positionV relativeFrom="paragraph">
                  <wp:posOffset>151765</wp:posOffset>
                </wp:positionV>
                <wp:extent cx="5238750" cy="1130300"/>
                <wp:effectExtent l="0" t="0" r="0" b="0"/>
                <wp:wrapNone/>
                <wp:docPr id="20374244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0" cy="1130300"/>
                        </a:xfrm>
                        <a:prstGeom prst="rect">
                          <a:avLst/>
                        </a:prstGeom>
                        <a:noFill/>
                        <a:ln w="9525">
                          <a:noFill/>
                          <a:miter lim="800000"/>
                          <a:headEnd/>
                          <a:tailEnd/>
                        </a:ln>
                      </wps:spPr>
                      <wps:txbx>
                        <w:txbxContent>
                          <w:p w14:paraId="35040F47" w14:textId="305CEDCF" w:rsidR="00275D67" w:rsidRDefault="00275D67" w:rsidP="00275D67">
                            <w:pPr>
                              <w:rPr>
                                <w:rFonts w:ascii="Arial" w:hAnsi="Arial" w:cs="Arial"/>
                                <w:b/>
                                <w:bCs/>
                                <w:sz w:val="22"/>
                                <w:szCs w:val="22"/>
                              </w:rPr>
                            </w:pPr>
                            <w:r>
                              <w:rPr>
                                <w:rFonts w:ascii="Arial" w:hAnsi="Arial" w:cs="Arial"/>
                                <w:b/>
                                <w:bCs/>
                                <w:sz w:val="22"/>
                                <w:szCs w:val="22"/>
                              </w:rPr>
                              <w:t>Colleague</w:t>
                            </w:r>
                          </w:p>
                          <w:p w14:paraId="77CAD8F4" w14:textId="77777777" w:rsidR="00275D67" w:rsidRDefault="00275D67" w:rsidP="00275D67">
                            <w:pPr>
                              <w:rPr>
                                <w:rFonts w:ascii="Arial" w:hAnsi="Arial" w:cs="Arial"/>
                                <w:b/>
                                <w:bCs/>
                                <w:sz w:val="22"/>
                                <w:szCs w:val="22"/>
                              </w:rPr>
                            </w:pPr>
                          </w:p>
                          <w:p w14:paraId="3BF1F164" w14:textId="0638266F" w:rsidR="00275D67" w:rsidRDefault="00275D67" w:rsidP="00275D67">
                            <w:pPr>
                              <w:rPr>
                                <w:rFonts w:ascii="Arial" w:hAnsi="Arial" w:cs="Arial"/>
                                <w:b/>
                                <w:bCs/>
                                <w:sz w:val="22"/>
                                <w:szCs w:val="22"/>
                              </w:rPr>
                            </w:pPr>
                            <w:r>
                              <w:rPr>
                                <w:rFonts w:ascii="Arial" w:hAnsi="Arial" w:cs="Arial"/>
                                <w:b/>
                                <w:bCs/>
                                <w:sz w:val="22"/>
                                <w:szCs w:val="22"/>
                              </w:rPr>
                              <w:t xml:space="preserve">Re: </w:t>
                            </w:r>
                            <w:r w:rsidR="001137CD" w:rsidRPr="001137CD">
                              <w:rPr>
                                <w:rFonts w:ascii="Arial" w:hAnsi="Arial" w:cs="Arial"/>
                                <w:b/>
                                <w:bCs/>
                                <w:sz w:val="22"/>
                                <w:szCs w:val="22"/>
                              </w:rPr>
                              <w:t>Guidance on Calculating Holiday Pay for Bank Staff</w:t>
                            </w:r>
                          </w:p>
                          <w:p w14:paraId="4BC660C5" w14:textId="77777777" w:rsidR="00275D67" w:rsidRPr="000A66B6" w:rsidRDefault="00275D67" w:rsidP="00275D67">
                            <w:pPr>
                              <w:rPr>
                                <w:rFonts w:ascii="Arial" w:hAnsi="Arial" w:cs="Arial"/>
                                <w:b/>
                                <w:bCs/>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6DBCF4" id="_x0000_s1033" type="#_x0000_t202" style="position:absolute;margin-left:361.3pt;margin-top:11.95pt;width:412.5pt;height:89pt;z-index:251673600;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" filled="f" stroked="f">
                <v:textbox>
                  <w:txbxContent>
                    <w:p w14:paraId="35040F47" w14:textId="305CEDCF" w:rsidR="00275D67" w:rsidRDefault="00275D67" w:rsidP="00275D67">
                      <w:pPr>
                        <w:rPr>
                          <w:rFonts w:ascii="Arial" w:hAnsi="Arial" w:cs="Arial"/>
                          <w:b/>
                          <w:bCs/>
                          <w:sz w:val="22"/>
                          <w:szCs w:val="22"/>
                        </w:rPr>
                      </w:pPr>
                      <w:r>
                        <w:rPr>
                          <w:rFonts w:ascii="Arial" w:hAnsi="Arial" w:cs="Arial"/>
                          <w:b/>
                          <w:bCs/>
                          <w:sz w:val="22"/>
                          <w:szCs w:val="22"/>
                        </w:rPr>
                        <w:t>Colleague</w:t>
                      </w:r>
                    </w:p>
                    <w:p w14:paraId="77CAD8F4" w14:textId="77777777" w:rsidR="00275D67" w:rsidRDefault="00275D67" w:rsidP="00275D67">
                      <w:pPr>
                        <w:rPr>
                          <w:rFonts w:ascii="Arial" w:hAnsi="Arial" w:cs="Arial"/>
                          <w:b/>
                          <w:bCs/>
                          <w:sz w:val="22"/>
                          <w:szCs w:val="22"/>
                        </w:rPr>
                      </w:pPr>
                    </w:p>
                    <w:p w14:paraId="3BF1F164" w14:textId="0638266F" w:rsidR="00275D67" w:rsidRDefault="00275D67" w:rsidP="00275D67">
                      <w:pPr>
                        <w:rPr>
                          <w:rFonts w:ascii="Arial" w:hAnsi="Arial" w:cs="Arial"/>
                          <w:b/>
                          <w:bCs/>
                          <w:sz w:val="22"/>
                          <w:szCs w:val="22"/>
                        </w:rPr>
                      </w:pPr>
                      <w:r>
                        <w:rPr>
                          <w:rFonts w:ascii="Arial" w:hAnsi="Arial" w:cs="Arial"/>
                          <w:b/>
                          <w:bCs/>
                          <w:sz w:val="22"/>
                          <w:szCs w:val="22"/>
                        </w:rPr>
                        <w:t xml:space="preserve">Re: </w:t>
                      </w:r>
                      <w:r w:rsidR="001137CD" w:rsidRPr="001137CD">
                        <w:rPr>
                          <w:rFonts w:ascii="Arial" w:hAnsi="Arial" w:cs="Arial"/>
                          <w:b/>
                          <w:bCs/>
                          <w:sz w:val="22"/>
                          <w:szCs w:val="22"/>
                        </w:rPr>
                        <w:t>Guidance on Calculating Holiday Pay for Bank Staff</w:t>
                      </w:r>
                    </w:p>
                    <w:p w14:paraId="4BC660C5" w14:textId="77777777" w:rsidR="00275D67" w:rsidRPr="000A66B6" w:rsidRDefault="00275D67" w:rsidP="00275D67">
                      <w:pPr>
                        <w:rPr>
                          <w:rFonts w:ascii="Arial" w:hAnsi="Arial" w:cs="Arial"/>
                          <w:b/>
                          <w:bCs/>
                          <w:sz w:val="22"/>
                          <w:szCs w:val="22"/>
                        </w:rPr>
                      </w:pPr>
                    </w:p>
                  </w:txbxContent>
                </v:textbox>
                <w10:wrap anchorx="page"/>
              </v:shape>
            </w:pict>
          </mc:Fallback>
        </mc:AlternateContent>
      </w:r>
      <w:r w:rsidRPr="000A66B6">
        <w:rPr>
          <w:rFonts w:ascii="Arial" w:hAnsi="Arial" w:cs="Arial"/>
          <w:b/>
          <w:bCs/>
          <w:noProof/>
          <w:sz w:val="22"/>
          <w:szCs w:val="22"/>
        </w:rPr>
        <w:drawing>
          <wp:inline distT="0" distB="0" distL="0" distR="0" wp14:anchorId="3DABC8BE" wp14:editId="0240F7DF">
            <wp:extent cx="5629910" cy="1241425"/>
            <wp:effectExtent l="0" t="0" r="8890" b="0"/>
            <wp:docPr id="2040594939" name="Picture 1" descr="A white board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183587" name="Picture 1" descr="A white board with blue lines&#10;&#10;AI-generated content may be incorrect."/>
                    <pic:cNvPicPr/>
                  </pic:nvPicPr>
                  <pic:blipFill rotWithShape="1">
                    <a:blip r:embed="rId5"/>
                    <a:srcRect l="1773" t="6235"/>
                    <a:stretch/>
                  </pic:blipFill>
                  <pic:spPr bwMode="auto">
                    <a:xfrm>
                      <a:off x="0" y="0"/>
                      <a:ext cx="5629910" cy="1241425"/>
                    </a:xfrm>
                    <a:prstGeom prst="rect">
                      <a:avLst/>
                    </a:prstGeom>
                    <a:ln>
                      <a:noFill/>
                    </a:ln>
                    <a:extLst>
                      <a:ext uri="{53640926-AAD7-44D8-BBD7-CCE9431645EC}">
                        <a14:shadowObscured xmlns:a14="http://schemas.microsoft.com/office/drawing/2010/main"/>
                      </a:ext>
                    </a:extLst>
                  </pic:spPr>
                </pic:pic>
              </a:graphicData>
            </a:graphic>
          </wp:inline>
        </w:drawing>
      </w:r>
    </w:p>
    <w:p w14:paraId="0BEF8B52" w14:textId="7B27B69C" w:rsidR="001137CD" w:rsidRPr="001137CD" w:rsidRDefault="001137CD" w:rsidP="001137CD">
      <w:pPr>
        <w:rPr>
          <w:rFonts w:ascii="Arial" w:hAnsi="Arial" w:cs="Arial"/>
          <w:sz w:val="22"/>
          <w:szCs w:val="22"/>
        </w:rPr>
      </w:pPr>
      <w:bookmarkStart w:id="7" w:name="_Hlk199681838"/>
      <w:bookmarkStart w:id="8" w:name="_Hlk199694745"/>
      <w:r w:rsidRPr="001137CD">
        <w:rPr>
          <w:rFonts w:ascii="Arial" w:hAnsi="Arial" w:cs="Arial"/>
          <w:sz w:val="22"/>
          <w:szCs w:val="22"/>
        </w:rPr>
        <w:t xml:space="preserve">I hope you're settling in well and starting to </w:t>
      </w:r>
      <w:r>
        <w:rPr>
          <w:rFonts w:ascii="Arial" w:hAnsi="Arial" w:cs="Arial"/>
          <w:sz w:val="22"/>
          <w:szCs w:val="22"/>
        </w:rPr>
        <w:t>find your feet</w:t>
      </w:r>
      <w:r w:rsidRPr="001137CD">
        <w:rPr>
          <w:rFonts w:ascii="Arial" w:hAnsi="Arial" w:cs="Arial"/>
          <w:sz w:val="22"/>
          <w:szCs w:val="22"/>
        </w:rPr>
        <w:t xml:space="preserve"> in the team. It’s always a lot to take in during the first few weeks, so I’m </w:t>
      </w:r>
      <w:proofErr w:type="gramStart"/>
      <w:r w:rsidRPr="001137CD">
        <w:rPr>
          <w:rFonts w:ascii="Arial" w:hAnsi="Arial" w:cs="Arial"/>
          <w:sz w:val="22"/>
          <w:szCs w:val="22"/>
        </w:rPr>
        <w:t>really glad</w:t>
      </w:r>
      <w:proofErr w:type="gramEnd"/>
      <w:r w:rsidRPr="001137CD">
        <w:rPr>
          <w:rFonts w:ascii="Arial" w:hAnsi="Arial" w:cs="Arial"/>
          <w:sz w:val="22"/>
          <w:szCs w:val="22"/>
        </w:rPr>
        <w:t xml:space="preserve"> you reached out with this question. Holiday pay for casual bank staff can be a tricky area, especially with recent legislative changes, so I’ve broken it down to help make things clearer.</w:t>
      </w:r>
    </w:p>
    <w:p w14:paraId="7FC06E66" w14:textId="21EEEE6C" w:rsidR="001137CD" w:rsidRPr="001137CD" w:rsidRDefault="001137CD" w:rsidP="001137CD">
      <w:pPr>
        <w:rPr>
          <w:rFonts w:ascii="Arial" w:hAnsi="Arial" w:cs="Arial"/>
          <w:sz w:val="22"/>
          <w:szCs w:val="22"/>
        </w:rPr>
      </w:pPr>
      <w:r w:rsidRPr="001137CD">
        <w:rPr>
          <w:rFonts w:ascii="Arial" w:hAnsi="Arial" w:cs="Arial"/>
          <w:sz w:val="22"/>
          <w:szCs w:val="22"/>
        </w:rPr>
        <w:t>All workers in the UK, including those on zero-hours and casual contracts, are entitled to a minimum of 5.6 weeks’ paid holiday per leave year, as set out under the Working Time Regulations 1998 (Gov.uk, 202</w:t>
      </w:r>
      <w:r w:rsidR="00AD3360">
        <w:rPr>
          <w:rFonts w:ascii="Arial" w:hAnsi="Arial" w:cs="Arial"/>
          <w:sz w:val="22"/>
          <w:szCs w:val="22"/>
        </w:rPr>
        <w:t>5</w:t>
      </w:r>
      <w:r w:rsidR="00C829CF">
        <w:rPr>
          <w:rFonts w:ascii="Arial" w:hAnsi="Arial" w:cs="Arial"/>
          <w:sz w:val="22"/>
          <w:szCs w:val="22"/>
        </w:rPr>
        <w:t>a</w:t>
      </w:r>
      <w:r w:rsidRPr="001137CD">
        <w:rPr>
          <w:rFonts w:ascii="Arial" w:hAnsi="Arial" w:cs="Arial"/>
          <w:sz w:val="22"/>
          <w:szCs w:val="22"/>
        </w:rPr>
        <w:t>). For staff working irregular hours</w:t>
      </w:r>
      <w:r w:rsidR="00AD3360">
        <w:rPr>
          <w:rFonts w:ascii="Arial" w:hAnsi="Arial" w:cs="Arial"/>
          <w:sz w:val="22"/>
          <w:szCs w:val="22"/>
        </w:rPr>
        <w:t xml:space="preserve">, </w:t>
      </w:r>
      <w:r w:rsidRPr="001137CD">
        <w:rPr>
          <w:rFonts w:ascii="Arial" w:hAnsi="Arial" w:cs="Arial"/>
          <w:sz w:val="22"/>
          <w:szCs w:val="22"/>
        </w:rPr>
        <w:t>such as bank nurses covering shifts as needed</w:t>
      </w:r>
      <w:r w:rsidR="00AD3360">
        <w:rPr>
          <w:rFonts w:ascii="Arial" w:hAnsi="Arial" w:cs="Arial"/>
          <w:sz w:val="22"/>
          <w:szCs w:val="22"/>
        </w:rPr>
        <w:t xml:space="preserve">, </w:t>
      </w:r>
      <w:r w:rsidRPr="001137CD">
        <w:rPr>
          <w:rFonts w:ascii="Arial" w:hAnsi="Arial" w:cs="Arial"/>
          <w:sz w:val="22"/>
          <w:szCs w:val="22"/>
        </w:rPr>
        <w:t xml:space="preserve">entitlement is accrued based on the hours </w:t>
      </w:r>
      <w:proofErr w:type="gramStart"/>
      <w:r w:rsidRPr="001137CD">
        <w:rPr>
          <w:rFonts w:ascii="Arial" w:hAnsi="Arial" w:cs="Arial"/>
          <w:sz w:val="22"/>
          <w:szCs w:val="22"/>
        </w:rPr>
        <w:t>actually worked</w:t>
      </w:r>
      <w:proofErr w:type="gramEnd"/>
      <w:r w:rsidRPr="001137CD">
        <w:rPr>
          <w:rFonts w:ascii="Arial" w:hAnsi="Arial" w:cs="Arial"/>
          <w:sz w:val="22"/>
          <w:szCs w:val="22"/>
        </w:rPr>
        <w:t>.</w:t>
      </w:r>
    </w:p>
    <w:p w14:paraId="1458464E" w14:textId="50A4E86B" w:rsidR="001137CD" w:rsidRPr="001137CD" w:rsidRDefault="001137CD" w:rsidP="001137CD">
      <w:pPr>
        <w:rPr>
          <w:rFonts w:ascii="Arial" w:hAnsi="Arial" w:cs="Arial"/>
          <w:sz w:val="22"/>
          <w:szCs w:val="22"/>
        </w:rPr>
      </w:pPr>
      <w:r w:rsidRPr="001137CD">
        <w:rPr>
          <w:rFonts w:ascii="Arial" w:hAnsi="Arial" w:cs="Arial"/>
          <w:sz w:val="22"/>
          <w:szCs w:val="22"/>
        </w:rPr>
        <w:t>Since 1</w:t>
      </w:r>
      <w:r w:rsidR="00AD3360" w:rsidRPr="00AD3360">
        <w:rPr>
          <w:rFonts w:ascii="Arial" w:hAnsi="Arial" w:cs="Arial"/>
          <w:sz w:val="22"/>
          <w:szCs w:val="22"/>
          <w:vertAlign w:val="superscript"/>
        </w:rPr>
        <w:t>st</w:t>
      </w:r>
      <w:r w:rsidR="00AD3360">
        <w:rPr>
          <w:rFonts w:ascii="Arial" w:hAnsi="Arial" w:cs="Arial"/>
          <w:sz w:val="22"/>
          <w:szCs w:val="22"/>
        </w:rPr>
        <w:t xml:space="preserve"> </w:t>
      </w:r>
      <w:r w:rsidRPr="001137CD">
        <w:rPr>
          <w:rFonts w:ascii="Arial" w:hAnsi="Arial" w:cs="Arial"/>
          <w:sz w:val="22"/>
          <w:szCs w:val="22"/>
        </w:rPr>
        <w:t>April 2024, new rules mean that holiday entitlement for irregular-hours and part-year workers is calculated at 12.07% of the hours worked in each pay period (ACAS, 2024</w:t>
      </w:r>
      <w:r w:rsidR="00AD3360">
        <w:rPr>
          <w:rFonts w:ascii="Arial" w:hAnsi="Arial" w:cs="Arial"/>
          <w:sz w:val="22"/>
          <w:szCs w:val="22"/>
        </w:rPr>
        <w:t>b</w:t>
      </w:r>
      <w:r w:rsidRPr="001137CD">
        <w:rPr>
          <w:rFonts w:ascii="Arial" w:hAnsi="Arial" w:cs="Arial"/>
          <w:sz w:val="22"/>
          <w:szCs w:val="22"/>
        </w:rPr>
        <w:t xml:space="preserve">). This figure represents the proportion of statutory leave based on the number of workable weeks in the year (5.6 ÷ 46.4 weeks). So, if a bank nurse works 30 hours in a fortnight, they would accrue 3.62 hours of holiday for that period (30 </w:t>
      </w:r>
      <w:r w:rsidR="000A2C19">
        <w:rPr>
          <w:rFonts w:ascii="Arial" w:hAnsi="Arial" w:cs="Arial"/>
          <w:sz w:val="22"/>
          <w:szCs w:val="22"/>
        </w:rPr>
        <w:t>x</w:t>
      </w:r>
      <w:r w:rsidRPr="001137CD">
        <w:rPr>
          <w:rFonts w:ascii="Arial" w:hAnsi="Arial" w:cs="Arial"/>
          <w:sz w:val="22"/>
          <w:szCs w:val="22"/>
        </w:rPr>
        <w:t xml:space="preserve"> 12.07%).</w:t>
      </w:r>
    </w:p>
    <w:p w14:paraId="198DCC92" w14:textId="43F585BE" w:rsidR="001137CD" w:rsidRPr="001137CD" w:rsidRDefault="001137CD" w:rsidP="001137CD">
      <w:pPr>
        <w:rPr>
          <w:rFonts w:ascii="Arial" w:hAnsi="Arial" w:cs="Arial"/>
          <w:sz w:val="22"/>
          <w:szCs w:val="22"/>
        </w:rPr>
      </w:pPr>
      <w:r w:rsidRPr="001137CD">
        <w:rPr>
          <w:rFonts w:ascii="Arial" w:hAnsi="Arial" w:cs="Arial"/>
          <w:sz w:val="22"/>
          <w:szCs w:val="22"/>
        </w:rPr>
        <w:t>Holiday pay must be based on what the individual normally earns, not just their basic rate. This includes overtime or any other regular payments. For casual workers, you’ll need to use a 52-week reference period, calculating the average weekly pay across the last 52 weeks in which they received pay, skipping any unpaid weeks (ACAS, 2024</w:t>
      </w:r>
      <w:r w:rsidR="00AD3360">
        <w:rPr>
          <w:rFonts w:ascii="Arial" w:hAnsi="Arial" w:cs="Arial"/>
          <w:sz w:val="22"/>
          <w:szCs w:val="22"/>
        </w:rPr>
        <w:t>b</w:t>
      </w:r>
      <w:r w:rsidRPr="001137CD">
        <w:rPr>
          <w:rFonts w:ascii="Arial" w:hAnsi="Arial" w:cs="Arial"/>
          <w:sz w:val="22"/>
          <w:szCs w:val="22"/>
        </w:rPr>
        <w:t>). This ensures fairness and avoids disadvantaging workers who may have fluctuating hours.</w:t>
      </w:r>
    </w:p>
    <w:p w14:paraId="6FEDB349" w14:textId="53C211BE" w:rsidR="001137CD" w:rsidRPr="001137CD" w:rsidRDefault="001137CD" w:rsidP="001137CD">
      <w:pPr>
        <w:rPr>
          <w:rFonts w:ascii="Arial" w:hAnsi="Arial" w:cs="Arial"/>
          <w:sz w:val="22"/>
          <w:szCs w:val="22"/>
        </w:rPr>
      </w:pPr>
      <w:r w:rsidRPr="001137CD">
        <w:rPr>
          <w:rFonts w:ascii="Arial" w:hAnsi="Arial" w:cs="Arial"/>
          <w:sz w:val="22"/>
          <w:szCs w:val="22"/>
        </w:rPr>
        <w:t>You also mentioned rolled-up holiday pay</w:t>
      </w:r>
      <w:r w:rsidR="000A2C19">
        <w:rPr>
          <w:rFonts w:ascii="Arial" w:hAnsi="Arial" w:cs="Arial"/>
          <w:sz w:val="22"/>
          <w:szCs w:val="22"/>
        </w:rPr>
        <w:t>. T</w:t>
      </w:r>
      <w:r w:rsidRPr="001137CD">
        <w:rPr>
          <w:rFonts w:ascii="Arial" w:hAnsi="Arial" w:cs="Arial"/>
          <w:sz w:val="22"/>
          <w:szCs w:val="22"/>
        </w:rPr>
        <w:t>his is where holiday pay is added to wages rather than paid when leave is taken. While this was previously discouraged, it has now been made lawful again (from April 2024) only for irregular-hours and part-year workers, provided it is clearly itemised on the payslip and agreed in writing (ACAS, 2024</w:t>
      </w:r>
      <w:r w:rsidR="00AD3360">
        <w:rPr>
          <w:rFonts w:ascii="Arial" w:hAnsi="Arial" w:cs="Arial"/>
          <w:sz w:val="22"/>
          <w:szCs w:val="22"/>
        </w:rPr>
        <w:t>c</w:t>
      </w:r>
      <w:r w:rsidRPr="001137CD">
        <w:rPr>
          <w:rFonts w:ascii="Arial" w:hAnsi="Arial" w:cs="Arial"/>
          <w:sz w:val="22"/>
          <w:szCs w:val="22"/>
        </w:rPr>
        <w:t>).</w:t>
      </w:r>
    </w:p>
    <w:p w14:paraId="0D03E4D8" w14:textId="77777777" w:rsidR="001137CD" w:rsidRPr="001137CD" w:rsidRDefault="001137CD" w:rsidP="001137CD">
      <w:pPr>
        <w:rPr>
          <w:rFonts w:ascii="Arial" w:hAnsi="Arial" w:cs="Arial"/>
          <w:sz w:val="22"/>
          <w:szCs w:val="22"/>
        </w:rPr>
      </w:pPr>
      <w:r w:rsidRPr="001137CD">
        <w:rPr>
          <w:rFonts w:ascii="Arial" w:hAnsi="Arial" w:cs="Arial"/>
          <w:sz w:val="22"/>
          <w:szCs w:val="22"/>
        </w:rPr>
        <w:t>To summarise:</w:t>
      </w:r>
    </w:p>
    <w:p w14:paraId="696EE68B" w14:textId="77777777" w:rsidR="001137CD" w:rsidRPr="001137CD" w:rsidRDefault="001137CD" w:rsidP="001137CD">
      <w:pPr>
        <w:numPr>
          <w:ilvl w:val="0"/>
          <w:numId w:val="13"/>
        </w:numPr>
        <w:rPr>
          <w:rFonts w:ascii="Arial" w:hAnsi="Arial" w:cs="Arial"/>
          <w:sz w:val="22"/>
          <w:szCs w:val="22"/>
        </w:rPr>
      </w:pPr>
      <w:r w:rsidRPr="001137CD">
        <w:rPr>
          <w:rFonts w:ascii="Arial" w:hAnsi="Arial" w:cs="Arial"/>
          <w:sz w:val="22"/>
          <w:szCs w:val="22"/>
        </w:rPr>
        <w:t>Bank staff should accrue holiday at 12.07% of hours worked</w:t>
      </w:r>
    </w:p>
    <w:p w14:paraId="5E8F458D" w14:textId="77777777" w:rsidR="001137CD" w:rsidRPr="001137CD" w:rsidRDefault="001137CD" w:rsidP="001137CD">
      <w:pPr>
        <w:numPr>
          <w:ilvl w:val="0"/>
          <w:numId w:val="13"/>
        </w:numPr>
        <w:rPr>
          <w:rFonts w:ascii="Arial" w:hAnsi="Arial" w:cs="Arial"/>
          <w:sz w:val="22"/>
          <w:szCs w:val="22"/>
        </w:rPr>
      </w:pPr>
      <w:r w:rsidRPr="001137CD">
        <w:rPr>
          <w:rFonts w:ascii="Arial" w:hAnsi="Arial" w:cs="Arial"/>
          <w:sz w:val="22"/>
          <w:szCs w:val="22"/>
        </w:rPr>
        <w:t>Holiday pay should reflect their average earnings over 52 paid weeks</w:t>
      </w:r>
    </w:p>
    <w:p w14:paraId="396C1102" w14:textId="77777777" w:rsidR="001137CD" w:rsidRPr="001137CD" w:rsidRDefault="001137CD" w:rsidP="001137CD">
      <w:pPr>
        <w:numPr>
          <w:ilvl w:val="0"/>
          <w:numId w:val="13"/>
        </w:numPr>
        <w:rPr>
          <w:rFonts w:ascii="Arial" w:hAnsi="Arial" w:cs="Arial"/>
          <w:sz w:val="22"/>
          <w:szCs w:val="22"/>
        </w:rPr>
      </w:pPr>
      <w:r w:rsidRPr="001137CD">
        <w:rPr>
          <w:rFonts w:ascii="Arial" w:hAnsi="Arial" w:cs="Arial"/>
          <w:sz w:val="22"/>
          <w:szCs w:val="22"/>
        </w:rPr>
        <w:t>Rolled-up holiday pay is allowed, but only with clear agreement and payslip breakdown</w:t>
      </w:r>
    </w:p>
    <w:p w14:paraId="01D54AF4" w14:textId="11A5AEAD" w:rsidR="001137CD" w:rsidRDefault="000A2C19" w:rsidP="001137CD">
      <w:pPr>
        <w:rPr>
          <w:rFonts w:ascii="Arial" w:hAnsi="Arial" w:cs="Arial"/>
          <w:sz w:val="22"/>
          <w:szCs w:val="22"/>
        </w:rPr>
      </w:pPr>
      <w:bookmarkStart w:id="9" w:name="_Hlk199681906"/>
      <w:r>
        <w:rPr>
          <w:rFonts w:ascii="Arial" w:hAnsi="Arial" w:cs="Arial"/>
          <w:sz w:val="22"/>
          <w:szCs w:val="22"/>
        </w:rPr>
        <w:t xml:space="preserve">Please feel free to give me a call if it’s easier or </w:t>
      </w:r>
      <w:r w:rsidR="001137CD" w:rsidRPr="001137CD">
        <w:rPr>
          <w:rFonts w:ascii="Arial" w:hAnsi="Arial" w:cs="Arial"/>
          <w:sz w:val="22"/>
          <w:szCs w:val="22"/>
        </w:rPr>
        <w:t>if you'd like help checking calculations</w:t>
      </w:r>
      <w:r>
        <w:rPr>
          <w:rFonts w:ascii="Arial" w:hAnsi="Arial" w:cs="Arial"/>
          <w:sz w:val="22"/>
          <w:szCs w:val="22"/>
        </w:rPr>
        <w:t>.</w:t>
      </w:r>
      <w:bookmarkEnd w:id="9"/>
    </w:p>
    <w:bookmarkEnd w:id="8"/>
    <w:p w14:paraId="1905F430" w14:textId="505874BB" w:rsidR="004342A8" w:rsidRPr="001137CD" w:rsidRDefault="004342A8" w:rsidP="001137CD">
      <w:pPr>
        <w:rPr>
          <w:rFonts w:ascii="Arial" w:hAnsi="Arial" w:cs="Arial"/>
          <w:b/>
          <w:bCs/>
          <w:sz w:val="22"/>
          <w:szCs w:val="22"/>
        </w:rPr>
      </w:pPr>
      <w:r w:rsidRPr="004342A8">
        <w:rPr>
          <w:rFonts w:ascii="Arial" w:hAnsi="Arial" w:cs="Arial"/>
          <w:b/>
          <w:bCs/>
          <w:sz w:val="22"/>
          <w:szCs w:val="22"/>
        </w:rPr>
        <w:t>AC 4.2 Email 9</w:t>
      </w:r>
    </w:p>
    <w:bookmarkEnd w:id="7"/>
    <w:p w14:paraId="484240D7" w14:textId="4A8149E3" w:rsidR="001137CD" w:rsidRDefault="004342A8" w:rsidP="003C6A73">
      <w:pPr>
        <w:rPr>
          <w:rFonts w:ascii="Arial" w:hAnsi="Arial" w:cs="Arial"/>
          <w:b/>
          <w:bCs/>
          <w:sz w:val="22"/>
          <w:szCs w:val="22"/>
        </w:rPr>
      </w:pPr>
      <w:r>
        <w:rPr>
          <w:noProof/>
        </w:rPr>
        <w:lastRenderedPageBreak/>
        <mc:AlternateContent>
          <mc:Choice Requires="wps">
            <w:drawing>
              <wp:anchor distT="45720" distB="45720" distL="114300" distR="114300" simplePos="0" relativeHeight="251675648" behindDoc="0" locked="0" layoutInCell="1" allowOverlap="1" wp14:anchorId="3F648013" wp14:editId="5CFC76EF">
                <wp:simplePos x="0" y="0"/>
                <wp:positionH relativeFrom="page">
                  <wp:align>right</wp:align>
                </wp:positionH>
                <wp:positionV relativeFrom="paragraph">
                  <wp:posOffset>188595</wp:posOffset>
                </wp:positionV>
                <wp:extent cx="5238750" cy="1130300"/>
                <wp:effectExtent l="0" t="0" r="0" b="0"/>
                <wp:wrapNone/>
                <wp:docPr id="19833922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0" cy="1130300"/>
                        </a:xfrm>
                        <a:prstGeom prst="rect">
                          <a:avLst/>
                        </a:prstGeom>
                        <a:noFill/>
                        <a:ln w="9525">
                          <a:noFill/>
                          <a:miter lim="800000"/>
                          <a:headEnd/>
                          <a:tailEnd/>
                        </a:ln>
                      </wps:spPr>
                      <wps:txbx>
                        <w:txbxContent>
                          <w:p w14:paraId="0EE62F2C" w14:textId="7E84602A" w:rsidR="004342A8" w:rsidRDefault="004342A8" w:rsidP="004342A8">
                            <w:pPr>
                              <w:rPr>
                                <w:rFonts w:ascii="Arial" w:hAnsi="Arial" w:cs="Arial"/>
                                <w:b/>
                                <w:bCs/>
                                <w:sz w:val="22"/>
                                <w:szCs w:val="22"/>
                              </w:rPr>
                            </w:pPr>
                            <w:r>
                              <w:rPr>
                                <w:rFonts w:ascii="Arial" w:hAnsi="Arial" w:cs="Arial"/>
                                <w:b/>
                                <w:bCs/>
                                <w:sz w:val="22"/>
                                <w:szCs w:val="22"/>
                              </w:rPr>
                              <w:t>Staff Member</w:t>
                            </w:r>
                          </w:p>
                          <w:p w14:paraId="2FAC594B" w14:textId="77777777" w:rsidR="004342A8" w:rsidRDefault="004342A8" w:rsidP="004342A8">
                            <w:pPr>
                              <w:rPr>
                                <w:rFonts w:ascii="Arial" w:hAnsi="Arial" w:cs="Arial"/>
                                <w:b/>
                                <w:bCs/>
                                <w:sz w:val="22"/>
                                <w:szCs w:val="22"/>
                              </w:rPr>
                            </w:pPr>
                          </w:p>
                          <w:p w14:paraId="14F74B12" w14:textId="500BEA09" w:rsidR="004342A8" w:rsidRPr="000A66B6" w:rsidRDefault="004342A8" w:rsidP="004342A8">
                            <w:pPr>
                              <w:rPr>
                                <w:rFonts w:ascii="Arial" w:hAnsi="Arial" w:cs="Arial"/>
                                <w:b/>
                                <w:bCs/>
                                <w:sz w:val="22"/>
                                <w:szCs w:val="22"/>
                              </w:rPr>
                            </w:pPr>
                            <w:r>
                              <w:rPr>
                                <w:rFonts w:ascii="Arial" w:hAnsi="Arial" w:cs="Arial"/>
                                <w:b/>
                                <w:bCs/>
                                <w:sz w:val="22"/>
                                <w:szCs w:val="22"/>
                              </w:rPr>
                              <w:t xml:space="preserve">Re: </w:t>
                            </w:r>
                            <w:r w:rsidRPr="004342A8">
                              <w:rPr>
                                <w:rFonts w:ascii="Arial" w:hAnsi="Arial" w:cs="Arial"/>
                                <w:b/>
                                <w:bCs/>
                                <w:sz w:val="22"/>
                                <w:szCs w:val="22"/>
                              </w:rPr>
                              <w:t>Differences Between Maternity Leave and Shared Parental Leave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648013" id="_x0000_s1034" type="#_x0000_t202" style="position:absolute;margin-left:361.3pt;margin-top:14.85pt;width:412.5pt;height:89pt;z-index:251675648;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" filled="f" stroked="f">
                <v:textbox>
                  <w:txbxContent>
                    <w:p w14:paraId="0EE62F2C" w14:textId="7E84602A" w:rsidR="004342A8" w:rsidRDefault="004342A8" w:rsidP="004342A8">
                      <w:pPr>
                        <w:rPr>
                          <w:rFonts w:ascii="Arial" w:hAnsi="Arial" w:cs="Arial"/>
                          <w:b/>
                          <w:bCs/>
                          <w:sz w:val="22"/>
                          <w:szCs w:val="22"/>
                        </w:rPr>
                      </w:pPr>
                      <w:r>
                        <w:rPr>
                          <w:rFonts w:ascii="Arial" w:hAnsi="Arial" w:cs="Arial"/>
                          <w:b/>
                          <w:bCs/>
                          <w:sz w:val="22"/>
                          <w:szCs w:val="22"/>
                        </w:rPr>
                        <w:t>Staff Member</w:t>
                      </w:r>
                    </w:p>
                    <w:p w14:paraId="2FAC594B" w14:textId="77777777" w:rsidR="004342A8" w:rsidRDefault="004342A8" w:rsidP="004342A8">
                      <w:pPr>
                        <w:rPr>
                          <w:rFonts w:ascii="Arial" w:hAnsi="Arial" w:cs="Arial"/>
                          <w:b/>
                          <w:bCs/>
                          <w:sz w:val="22"/>
                          <w:szCs w:val="22"/>
                        </w:rPr>
                      </w:pPr>
                    </w:p>
                    <w:p w14:paraId="14F74B12" w14:textId="500BEA09" w:rsidR="004342A8" w:rsidRPr="000A66B6" w:rsidRDefault="004342A8" w:rsidP="004342A8">
                      <w:pPr>
                        <w:rPr>
                          <w:rFonts w:ascii="Arial" w:hAnsi="Arial" w:cs="Arial"/>
                          <w:b/>
                          <w:bCs/>
                          <w:sz w:val="22"/>
                          <w:szCs w:val="22"/>
                        </w:rPr>
                      </w:pPr>
                      <w:r>
                        <w:rPr>
                          <w:rFonts w:ascii="Arial" w:hAnsi="Arial" w:cs="Arial"/>
                          <w:b/>
                          <w:bCs/>
                          <w:sz w:val="22"/>
                          <w:szCs w:val="22"/>
                        </w:rPr>
                        <w:t xml:space="preserve">Re: </w:t>
                      </w:r>
                      <w:r w:rsidRPr="004342A8">
                        <w:rPr>
                          <w:rFonts w:ascii="Arial" w:hAnsi="Arial" w:cs="Arial"/>
                          <w:b/>
                          <w:bCs/>
                          <w:sz w:val="22"/>
                          <w:szCs w:val="22"/>
                        </w:rPr>
                        <w:t>Differences Between Maternity Leave and Shared Parental Leave</w:t>
                      </w:r>
                    </w:p>
                  </w:txbxContent>
                </v:textbox>
                <w10:wrap anchorx="page"/>
              </v:shape>
            </w:pict>
          </mc:Fallback>
        </mc:AlternateContent>
      </w:r>
      <w:r w:rsidRPr="000A66B6">
        <w:rPr>
          <w:rFonts w:ascii="Arial" w:hAnsi="Arial" w:cs="Arial"/>
          <w:b/>
          <w:bCs/>
          <w:noProof/>
          <w:sz w:val="22"/>
          <w:szCs w:val="22"/>
        </w:rPr>
        <w:drawing>
          <wp:inline distT="0" distB="0" distL="0" distR="0" wp14:anchorId="74E350A7" wp14:editId="4F99FDEB">
            <wp:extent cx="5629910" cy="1241425"/>
            <wp:effectExtent l="0" t="0" r="8890" b="0"/>
            <wp:docPr id="343823924" name="Picture 1" descr="A white board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183587" name="Picture 1" descr="A white board with blue lines&#10;&#10;AI-generated content may be incorrect."/>
                    <pic:cNvPicPr/>
                  </pic:nvPicPr>
                  <pic:blipFill rotWithShape="1">
                    <a:blip r:embed="rId5"/>
                    <a:srcRect l="1773" t="6235"/>
                    <a:stretch/>
                  </pic:blipFill>
                  <pic:spPr bwMode="auto">
                    <a:xfrm>
                      <a:off x="0" y="0"/>
                      <a:ext cx="5629910" cy="1241425"/>
                    </a:xfrm>
                    <a:prstGeom prst="rect">
                      <a:avLst/>
                    </a:prstGeom>
                    <a:ln>
                      <a:noFill/>
                    </a:ln>
                    <a:extLst>
                      <a:ext uri="{53640926-AAD7-44D8-BBD7-CCE9431645EC}">
                        <a14:shadowObscured xmlns:a14="http://schemas.microsoft.com/office/drawing/2010/main"/>
                      </a:ext>
                    </a:extLst>
                  </pic:spPr>
                </pic:pic>
              </a:graphicData>
            </a:graphic>
          </wp:inline>
        </w:drawing>
      </w:r>
    </w:p>
    <w:p w14:paraId="08F98DAD" w14:textId="319281C6" w:rsidR="00255764" w:rsidRPr="00255764" w:rsidRDefault="00255764" w:rsidP="00255764">
      <w:pPr>
        <w:rPr>
          <w:rFonts w:ascii="Arial" w:hAnsi="Arial" w:cs="Arial"/>
          <w:sz w:val="22"/>
          <w:szCs w:val="22"/>
        </w:rPr>
      </w:pPr>
      <w:bookmarkStart w:id="10" w:name="_Hlk199694840"/>
      <w:r w:rsidRPr="00255764">
        <w:rPr>
          <w:rFonts w:ascii="Arial" w:hAnsi="Arial" w:cs="Arial"/>
          <w:sz w:val="22"/>
          <w:szCs w:val="22"/>
        </w:rPr>
        <w:t>Thank you for your query regarding maternity leave (ML) and shared parental leave (SPL). Both offer significant benefits depending on your family’s preferences, but they operate quite differently in terms of structure, eligibility, pay, and flexibility.</w:t>
      </w:r>
    </w:p>
    <w:p w14:paraId="68BCD653" w14:textId="1E2BCAE7" w:rsidR="00255764" w:rsidRPr="00255764" w:rsidRDefault="00255764" w:rsidP="00255764">
      <w:pPr>
        <w:rPr>
          <w:rFonts w:ascii="Arial" w:hAnsi="Arial" w:cs="Arial"/>
          <w:sz w:val="22"/>
          <w:szCs w:val="22"/>
        </w:rPr>
      </w:pPr>
      <w:r w:rsidRPr="00255764">
        <w:rPr>
          <w:rFonts w:ascii="Arial" w:hAnsi="Arial" w:cs="Arial"/>
          <w:b/>
          <w:bCs/>
          <w:sz w:val="22"/>
          <w:szCs w:val="22"/>
          <w:u w:val="single"/>
        </w:rPr>
        <w:t>ML</w:t>
      </w:r>
      <w:r w:rsidRPr="00255764">
        <w:rPr>
          <w:rFonts w:ascii="Arial" w:hAnsi="Arial" w:cs="Arial"/>
          <w:sz w:val="22"/>
          <w:szCs w:val="22"/>
        </w:rPr>
        <w:br/>
        <w:t>All employees are entitled to 52 weeks of statutory maternity leave, regardless of length of service (Daniels, 2016). This includes:</w:t>
      </w:r>
    </w:p>
    <w:p w14:paraId="2F771C00" w14:textId="77777777" w:rsidR="00255764" w:rsidRPr="00255764" w:rsidRDefault="00255764" w:rsidP="00255764">
      <w:pPr>
        <w:numPr>
          <w:ilvl w:val="0"/>
          <w:numId w:val="15"/>
        </w:numPr>
        <w:rPr>
          <w:rFonts w:ascii="Arial" w:hAnsi="Arial" w:cs="Arial"/>
          <w:sz w:val="22"/>
          <w:szCs w:val="22"/>
        </w:rPr>
      </w:pPr>
      <w:r w:rsidRPr="00255764">
        <w:rPr>
          <w:rFonts w:ascii="Arial" w:hAnsi="Arial" w:cs="Arial"/>
          <w:sz w:val="22"/>
          <w:szCs w:val="22"/>
        </w:rPr>
        <w:t>26 weeks of Ordinary Maternity Leave (OML)</w:t>
      </w:r>
    </w:p>
    <w:p w14:paraId="0779EA6B" w14:textId="77777777" w:rsidR="00255764" w:rsidRPr="00255764" w:rsidRDefault="00255764" w:rsidP="00255764">
      <w:pPr>
        <w:numPr>
          <w:ilvl w:val="0"/>
          <w:numId w:val="15"/>
        </w:numPr>
        <w:rPr>
          <w:rFonts w:ascii="Arial" w:hAnsi="Arial" w:cs="Arial"/>
          <w:sz w:val="22"/>
          <w:szCs w:val="22"/>
        </w:rPr>
      </w:pPr>
      <w:r w:rsidRPr="00255764">
        <w:rPr>
          <w:rFonts w:ascii="Arial" w:hAnsi="Arial" w:cs="Arial"/>
          <w:sz w:val="22"/>
          <w:szCs w:val="22"/>
        </w:rPr>
        <w:t>26 weeks of Additional Maternity Leave (AML)</w:t>
      </w:r>
    </w:p>
    <w:p w14:paraId="6B22CA1C" w14:textId="7A1C1463" w:rsidR="00255764" w:rsidRPr="00255764" w:rsidRDefault="00255764" w:rsidP="00255764">
      <w:pPr>
        <w:numPr>
          <w:ilvl w:val="0"/>
          <w:numId w:val="15"/>
        </w:numPr>
        <w:rPr>
          <w:rFonts w:ascii="Arial" w:hAnsi="Arial" w:cs="Arial"/>
          <w:sz w:val="22"/>
          <w:szCs w:val="22"/>
        </w:rPr>
      </w:pPr>
      <w:r w:rsidRPr="00255764">
        <w:rPr>
          <w:rFonts w:ascii="Arial" w:hAnsi="Arial" w:cs="Arial"/>
          <w:sz w:val="22"/>
          <w:szCs w:val="22"/>
        </w:rPr>
        <w:t>A compulsory two-week period immediately post-birth when the mother must not work (Taylor &amp; Woodhams, 2022)</w:t>
      </w:r>
      <w:r>
        <w:rPr>
          <w:rFonts w:ascii="Arial" w:hAnsi="Arial" w:cs="Arial"/>
          <w:sz w:val="22"/>
          <w:szCs w:val="22"/>
        </w:rPr>
        <w:t>.</w:t>
      </w:r>
    </w:p>
    <w:p w14:paraId="30B079B3" w14:textId="663D5F74" w:rsidR="00255764" w:rsidRPr="00255764" w:rsidRDefault="00255764" w:rsidP="00255764">
      <w:pPr>
        <w:rPr>
          <w:rFonts w:ascii="Arial" w:hAnsi="Arial" w:cs="Arial"/>
          <w:sz w:val="22"/>
          <w:szCs w:val="22"/>
        </w:rPr>
      </w:pPr>
      <w:r w:rsidRPr="00255764">
        <w:rPr>
          <w:rFonts w:ascii="Arial" w:hAnsi="Arial" w:cs="Arial"/>
          <w:sz w:val="22"/>
          <w:szCs w:val="22"/>
        </w:rPr>
        <w:t>S</w:t>
      </w:r>
      <w:r>
        <w:rPr>
          <w:rFonts w:ascii="Arial" w:hAnsi="Arial" w:cs="Arial"/>
          <w:sz w:val="22"/>
          <w:szCs w:val="22"/>
        </w:rPr>
        <w:t xml:space="preserve">tatutory </w:t>
      </w:r>
      <w:r w:rsidRPr="00255764">
        <w:rPr>
          <w:rFonts w:ascii="Arial" w:hAnsi="Arial" w:cs="Arial"/>
          <w:sz w:val="22"/>
          <w:szCs w:val="22"/>
        </w:rPr>
        <w:t>M</w:t>
      </w:r>
      <w:r>
        <w:rPr>
          <w:rFonts w:ascii="Arial" w:hAnsi="Arial" w:cs="Arial"/>
          <w:sz w:val="22"/>
          <w:szCs w:val="22"/>
        </w:rPr>
        <w:t xml:space="preserve">aternity </w:t>
      </w:r>
      <w:r w:rsidRPr="00255764">
        <w:rPr>
          <w:rFonts w:ascii="Arial" w:hAnsi="Arial" w:cs="Arial"/>
          <w:sz w:val="22"/>
          <w:szCs w:val="22"/>
        </w:rPr>
        <w:t>P</w:t>
      </w:r>
      <w:r>
        <w:rPr>
          <w:rFonts w:ascii="Arial" w:hAnsi="Arial" w:cs="Arial"/>
          <w:sz w:val="22"/>
          <w:szCs w:val="22"/>
        </w:rPr>
        <w:t>ay (SMP)</w:t>
      </w:r>
      <w:r w:rsidRPr="00255764">
        <w:rPr>
          <w:rFonts w:ascii="Arial" w:hAnsi="Arial" w:cs="Arial"/>
          <w:sz w:val="22"/>
          <w:szCs w:val="22"/>
        </w:rPr>
        <w:t xml:space="preserve"> is available for up to 39 weeks</w:t>
      </w:r>
      <w:r>
        <w:rPr>
          <w:rFonts w:ascii="Arial" w:hAnsi="Arial" w:cs="Arial"/>
          <w:sz w:val="22"/>
          <w:szCs w:val="22"/>
        </w:rPr>
        <w:t xml:space="preserve"> which is </w:t>
      </w:r>
      <w:r w:rsidRPr="00255764">
        <w:rPr>
          <w:rFonts w:ascii="Arial" w:hAnsi="Arial" w:cs="Arial"/>
          <w:sz w:val="22"/>
          <w:szCs w:val="22"/>
        </w:rPr>
        <w:t>paid at 90% of average weekly earnings for the first six weeks, then at the statutory flat rate (£184.03 per week from April 2025), or 90% of average earnings if lower (Gov.uk, 2025</w:t>
      </w:r>
      <w:r w:rsidR="00C829CF">
        <w:rPr>
          <w:rFonts w:ascii="Arial" w:hAnsi="Arial" w:cs="Arial"/>
          <w:sz w:val="22"/>
          <w:szCs w:val="22"/>
        </w:rPr>
        <w:t>b</w:t>
      </w:r>
      <w:r w:rsidRPr="00255764">
        <w:rPr>
          <w:rFonts w:ascii="Arial" w:hAnsi="Arial" w:cs="Arial"/>
          <w:sz w:val="22"/>
          <w:szCs w:val="22"/>
        </w:rPr>
        <w:t>).</w:t>
      </w:r>
    </w:p>
    <w:p w14:paraId="7D39A6A9" w14:textId="77777777" w:rsidR="00255764" w:rsidRPr="00255764" w:rsidRDefault="00255764" w:rsidP="00255764">
      <w:pPr>
        <w:rPr>
          <w:rFonts w:ascii="Arial" w:hAnsi="Arial" w:cs="Arial"/>
          <w:sz w:val="22"/>
          <w:szCs w:val="22"/>
        </w:rPr>
      </w:pPr>
      <w:r w:rsidRPr="00255764">
        <w:rPr>
          <w:rFonts w:ascii="Arial" w:hAnsi="Arial" w:cs="Arial"/>
          <w:sz w:val="22"/>
          <w:szCs w:val="22"/>
        </w:rPr>
        <w:t>All benefits, such as holiday accrual, continue throughout leave (Taylor &amp; Woodhams, 2022). Employees are entitled to return to the same job after OML or a suitable alternative after AML if returning to the original role isn’t reasonably practicable (Daniels, 2016). Employers must also honour any pay rises during leave.</w:t>
      </w:r>
    </w:p>
    <w:p w14:paraId="27BB8B0C" w14:textId="77777777" w:rsidR="00255764" w:rsidRPr="00255764" w:rsidRDefault="00255764" w:rsidP="00255764">
      <w:pPr>
        <w:rPr>
          <w:rFonts w:ascii="Arial" w:hAnsi="Arial" w:cs="Arial"/>
          <w:sz w:val="22"/>
          <w:szCs w:val="22"/>
        </w:rPr>
      </w:pPr>
      <w:r w:rsidRPr="00255764">
        <w:rPr>
          <w:rFonts w:ascii="Arial" w:hAnsi="Arial" w:cs="Arial"/>
          <w:sz w:val="22"/>
          <w:szCs w:val="22"/>
        </w:rPr>
        <w:t>Additionally, ML includes up to 10 Keeping in Touch (KIT) days, which allow employees to stay engaged without affecting their leave or pay entitlement. Employers may maintain reasonable contact during ML about work matters, promotions or changes (Taylor &amp; Woodhams, 2022).</w:t>
      </w:r>
    </w:p>
    <w:p w14:paraId="73D6A1A7" w14:textId="701391FE" w:rsidR="00255764" w:rsidRPr="00255764" w:rsidRDefault="00255764" w:rsidP="00255764">
      <w:pPr>
        <w:rPr>
          <w:rFonts w:ascii="Arial" w:hAnsi="Arial" w:cs="Arial"/>
          <w:sz w:val="22"/>
          <w:szCs w:val="22"/>
        </w:rPr>
      </w:pPr>
      <w:r w:rsidRPr="00255764">
        <w:rPr>
          <w:rFonts w:ascii="Arial" w:hAnsi="Arial" w:cs="Arial"/>
          <w:sz w:val="22"/>
          <w:szCs w:val="22"/>
        </w:rPr>
        <w:t>Redundancy protection extends from the moment an employee informs the employer of their pregnancy through to 18 months post-birth (CIPD, 2025c).</w:t>
      </w:r>
    </w:p>
    <w:p w14:paraId="0C047257" w14:textId="493C0EB0" w:rsidR="00255764" w:rsidRPr="00255764" w:rsidRDefault="00255764" w:rsidP="00255764">
      <w:pPr>
        <w:rPr>
          <w:rFonts w:ascii="Arial" w:hAnsi="Arial" w:cs="Arial"/>
          <w:sz w:val="22"/>
          <w:szCs w:val="22"/>
        </w:rPr>
      </w:pPr>
      <w:r w:rsidRPr="00255764">
        <w:rPr>
          <w:rFonts w:ascii="Arial" w:hAnsi="Arial" w:cs="Arial"/>
          <w:b/>
          <w:bCs/>
          <w:sz w:val="22"/>
          <w:szCs w:val="22"/>
          <w:u w:val="single"/>
        </w:rPr>
        <w:t>SPL</w:t>
      </w:r>
      <w:r w:rsidRPr="00255764">
        <w:rPr>
          <w:rFonts w:ascii="Arial" w:hAnsi="Arial" w:cs="Arial"/>
          <w:sz w:val="22"/>
          <w:szCs w:val="22"/>
        </w:rPr>
        <w:br/>
      </w:r>
      <w:proofErr w:type="spellStart"/>
      <w:r w:rsidRPr="00255764">
        <w:rPr>
          <w:rFonts w:ascii="Arial" w:hAnsi="Arial" w:cs="Arial"/>
          <w:sz w:val="22"/>
          <w:szCs w:val="22"/>
        </w:rPr>
        <w:t>SPL</w:t>
      </w:r>
      <w:proofErr w:type="spellEnd"/>
      <w:r w:rsidRPr="00255764">
        <w:rPr>
          <w:rFonts w:ascii="Arial" w:hAnsi="Arial" w:cs="Arial"/>
          <w:sz w:val="22"/>
          <w:szCs w:val="22"/>
        </w:rPr>
        <w:t xml:space="preserve"> was introduced to offer families greater flexibility in childcare. It allows eligible parents to share up to 50 weeks of leave and up to 37 weeks of Statutory Shared Parental Pay (</w:t>
      </w:r>
      <w:proofErr w:type="spellStart"/>
      <w:r w:rsidRPr="00255764">
        <w:rPr>
          <w:rFonts w:ascii="Arial" w:hAnsi="Arial" w:cs="Arial"/>
          <w:sz w:val="22"/>
          <w:szCs w:val="22"/>
        </w:rPr>
        <w:t>ShPP</w:t>
      </w:r>
      <w:proofErr w:type="spellEnd"/>
      <w:r w:rsidRPr="00255764">
        <w:rPr>
          <w:rFonts w:ascii="Arial" w:hAnsi="Arial" w:cs="Arial"/>
          <w:sz w:val="22"/>
          <w:szCs w:val="22"/>
        </w:rPr>
        <w:t>) once the mother has taken her compulsory two-week leave (Daniels, 2016).</w:t>
      </w:r>
    </w:p>
    <w:p w14:paraId="21A33206" w14:textId="77777777" w:rsidR="00255764" w:rsidRPr="00255764" w:rsidRDefault="00255764" w:rsidP="00255764">
      <w:pPr>
        <w:rPr>
          <w:rFonts w:ascii="Arial" w:hAnsi="Arial" w:cs="Arial"/>
          <w:sz w:val="22"/>
          <w:szCs w:val="22"/>
        </w:rPr>
      </w:pPr>
      <w:r w:rsidRPr="00255764">
        <w:rPr>
          <w:rFonts w:ascii="Arial" w:hAnsi="Arial" w:cs="Arial"/>
          <w:sz w:val="22"/>
          <w:szCs w:val="22"/>
        </w:rPr>
        <w:t>Parents can take SPL together or alternately. Leave can be taken in a single continuous block (which cannot be refused) or in discontinuous blocks (which require employer agreement) (CIPD, 2025c). This enables couples to balance work and childcare in a way that suits them.</w:t>
      </w:r>
    </w:p>
    <w:p w14:paraId="289C2167" w14:textId="000B9ACE" w:rsidR="00255764" w:rsidRPr="00255764" w:rsidRDefault="00255764" w:rsidP="00255764">
      <w:pPr>
        <w:rPr>
          <w:rFonts w:ascii="Arial" w:hAnsi="Arial" w:cs="Arial"/>
          <w:sz w:val="22"/>
          <w:szCs w:val="22"/>
        </w:rPr>
      </w:pPr>
      <w:r w:rsidRPr="00255764">
        <w:rPr>
          <w:rFonts w:ascii="Arial" w:hAnsi="Arial" w:cs="Arial"/>
          <w:sz w:val="22"/>
          <w:szCs w:val="22"/>
        </w:rPr>
        <w:t xml:space="preserve">Eligibility depends on both parents. One must have 26 weeks’ continuous service by the 15th week before the baby is due, while the other must have worked for 26 of the previous 66 weeks and earned at least £30 in 13 of those (Daniels, 2016). The right to return after </w:t>
      </w:r>
      <w:r w:rsidRPr="00255764">
        <w:rPr>
          <w:rFonts w:ascii="Arial" w:hAnsi="Arial" w:cs="Arial"/>
          <w:sz w:val="22"/>
          <w:szCs w:val="22"/>
        </w:rPr>
        <w:lastRenderedPageBreak/>
        <w:t>SPL is comparable to the right after AML, and all contractual benefits are retained (Taylor &amp; Woodhams, 2022).</w:t>
      </w:r>
    </w:p>
    <w:p w14:paraId="08BA249E" w14:textId="0267A67F" w:rsidR="00255764" w:rsidRPr="00255764" w:rsidRDefault="009C4C6F" w:rsidP="00255764">
      <w:pPr>
        <w:rPr>
          <w:rFonts w:ascii="Arial" w:hAnsi="Arial" w:cs="Arial"/>
          <w:sz w:val="22"/>
          <w:szCs w:val="22"/>
        </w:rPr>
      </w:pPr>
      <w:r w:rsidRPr="009C4C6F">
        <w:rPr>
          <w:rFonts w:ascii="Arial" w:hAnsi="Arial" w:cs="Arial"/>
          <w:sz w:val="22"/>
          <w:szCs w:val="22"/>
        </w:rPr>
        <w:t>For ease, I will highlight the k</w:t>
      </w:r>
      <w:r w:rsidR="00255764" w:rsidRPr="00255764">
        <w:rPr>
          <w:rFonts w:ascii="Arial" w:hAnsi="Arial" w:cs="Arial"/>
          <w:sz w:val="22"/>
          <w:szCs w:val="22"/>
        </w:rPr>
        <w:t xml:space="preserve">ey </w:t>
      </w:r>
      <w:r w:rsidRPr="009C4C6F">
        <w:rPr>
          <w:rFonts w:ascii="Arial" w:hAnsi="Arial" w:cs="Arial"/>
          <w:sz w:val="22"/>
          <w:szCs w:val="22"/>
        </w:rPr>
        <w:t>d</w:t>
      </w:r>
      <w:r w:rsidR="00255764" w:rsidRPr="00255764">
        <w:rPr>
          <w:rFonts w:ascii="Arial" w:hAnsi="Arial" w:cs="Arial"/>
          <w:sz w:val="22"/>
          <w:szCs w:val="22"/>
        </w:rPr>
        <w:t>ifferences</w:t>
      </w:r>
      <w:r w:rsidRPr="009C4C6F">
        <w:rPr>
          <w:rFonts w:ascii="Arial" w:hAnsi="Arial" w:cs="Arial"/>
          <w:sz w:val="22"/>
          <w:szCs w:val="22"/>
        </w:rPr>
        <w:t xml:space="preserve"> below:</w:t>
      </w:r>
    </w:p>
    <w:p w14:paraId="681B7DB7" w14:textId="48CAE740" w:rsidR="00255764" w:rsidRPr="00255764" w:rsidRDefault="00255764" w:rsidP="00255764">
      <w:pPr>
        <w:numPr>
          <w:ilvl w:val="0"/>
          <w:numId w:val="16"/>
        </w:numPr>
        <w:rPr>
          <w:rFonts w:ascii="Arial" w:hAnsi="Arial" w:cs="Arial"/>
          <w:sz w:val="22"/>
          <w:szCs w:val="22"/>
        </w:rPr>
      </w:pPr>
      <w:r w:rsidRPr="00255764">
        <w:rPr>
          <w:rFonts w:ascii="Arial" w:hAnsi="Arial" w:cs="Arial"/>
          <w:sz w:val="22"/>
          <w:szCs w:val="22"/>
        </w:rPr>
        <w:t>Leave structure: ML is exclusively for mothers</w:t>
      </w:r>
      <w:r w:rsidR="009C4C6F">
        <w:rPr>
          <w:rFonts w:ascii="Arial" w:hAnsi="Arial" w:cs="Arial"/>
          <w:sz w:val="22"/>
          <w:szCs w:val="22"/>
        </w:rPr>
        <w:t xml:space="preserve"> whilst</w:t>
      </w:r>
      <w:r w:rsidRPr="00255764">
        <w:rPr>
          <w:rFonts w:ascii="Arial" w:hAnsi="Arial" w:cs="Arial"/>
          <w:sz w:val="22"/>
          <w:szCs w:val="22"/>
        </w:rPr>
        <w:t xml:space="preserve"> SPL can be shared between parents.</w:t>
      </w:r>
    </w:p>
    <w:p w14:paraId="01B2B7CA" w14:textId="355FE645" w:rsidR="00255764" w:rsidRPr="00255764" w:rsidRDefault="00255764" w:rsidP="00255764">
      <w:pPr>
        <w:numPr>
          <w:ilvl w:val="0"/>
          <w:numId w:val="16"/>
        </w:numPr>
        <w:rPr>
          <w:rFonts w:ascii="Arial" w:hAnsi="Arial" w:cs="Arial"/>
          <w:sz w:val="22"/>
          <w:szCs w:val="22"/>
        </w:rPr>
      </w:pPr>
      <w:r w:rsidRPr="00255764">
        <w:rPr>
          <w:rFonts w:ascii="Arial" w:hAnsi="Arial" w:cs="Arial"/>
          <w:sz w:val="22"/>
          <w:szCs w:val="22"/>
        </w:rPr>
        <w:t>Pay: SMP offers a more favourable rate initially</w:t>
      </w:r>
      <w:r w:rsidR="009C4C6F">
        <w:rPr>
          <w:rFonts w:ascii="Arial" w:hAnsi="Arial" w:cs="Arial"/>
          <w:sz w:val="22"/>
          <w:szCs w:val="22"/>
        </w:rPr>
        <w:t xml:space="preserve"> /</w:t>
      </w:r>
      <w:r w:rsidRPr="00255764">
        <w:rPr>
          <w:rFonts w:ascii="Arial" w:hAnsi="Arial" w:cs="Arial"/>
          <w:sz w:val="22"/>
          <w:szCs w:val="22"/>
        </w:rPr>
        <w:t xml:space="preserve"> </w:t>
      </w:r>
      <w:proofErr w:type="spellStart"/>
      <w:r w:rsidRPr="00255764">
        <w:rPr>
          <w:rFonts w:ascii="Arial" w:hAnsi="Arial" w:cs="Arial"/>
          <w:sz w:val="22"/>
          <w:szCs w:val="22"/>
        </w:rPr>
        <w:t>ShPP</w:t>
      </w:r>
      <w:proofErr w:type="spellEnd"/>
      <w:r w:rsidRPr="00255764">
        <w:rPr>
          <w:rFonts w:ascii="Arial" w:hAnsi="Arial" w:cs="Arial"/>
          <w:sz w:val="22"/>
          <w:szCs w:val="22"/>
        </w:rPr>
        <w:t xml:space="preserve"> is generally lower unless enhanced contractually.</w:t>
      </w:r>
    </w:p>
    <w:p w14:paraId="40417FD9" w14:textId="77777777" w:rsidR="00255764" w:rsidRPr="00255764" w:rsidRDefault="00255764" w:rsidP="00255764">
      <w:pPr>
        <w:numPr>
          <w:ilvl w:val="0"/>
          <w:numId w:val="16"/>
        </w:numPr>
        <w:rPr>
          <w:rFonts w:ascii="Arial" w:hAnsi="Arial" w:cs="Arial"/>
          <w:sz w:val="22"/>
          <w:szCs w:val="22"/>
        </w:rPr>
      </w:pPr>
      <w:r w:rsidRPr="00255764">
        <w:rPr>
          <w:rFonts w:ascii="Arial" w:hAnsi="Arial" w:cs="Arial"/>
          <w:sz w:val="22"/>
          <w:szCs w:val="22"/>
        </w:rPr>
        <w:t>Flexibility: SPL is more adaptable, allowing couples to alternate or overlap leave.</w:t>
      </w:r>
    </w:p>
    <w:p w14:paraId="2BD27BE8" w14:textId="7A4D3098" w:rsidR="00255764" w:rsidRPr="00255764" w:rsidRDefault="00255764" w:rsidP="00255764">
      <w:pPr>
        <w:numPr>
          <w:ilvl w:val="0"/>
          <w:numId w:val="16"/>
        </w:numPr>
        <w:rPr>
          <w:rFonts w:ascii="Arial" w:hAnsi="Arial" w:cs="Arial"/>
          <w:sz w:val="22"/>
          <w:szCs w:val="22"/>
        </w:rPr>
      </w:pPr>
      <w:r w:rsidRPr="00255764">
        <w:rPr>
          <w:rFonts w:ascii="Arial" w:hAnsi="Arial" w:cs="Arial"/>
          <w:sz w:val="22"/>
          <w:szCs w:val="22"/>
        </w:rPr>
        <w:t>Eligibility: ML depends on the mother's employment</w:t>
      </w:r>
      <w:r w:rsidR="009C4C6F">
        <w:rPr>
          <w:rFonts w:ascii="Arial" w:hAnsi="Arial" w:cs="Arial"/>
          <w:sz w:val="22"/>
          <w:szCs w:val="22"/>
        </w:rPr>
        <w:t xml:space="preserve"> / </w:t>
      </w:r>
      <w:r w:rsidRPr="00255764">
        <w:rPr>
          <w:rFonts w:ascii="Arial" w:hAnsi="Arial" w:cs="Arial"/>
          <w:sz w:val="22"/>
          <w:szCs w:val="22"/>
        </w:rPr>
        <w:t>SPL requires both parents to meet separate criteria.</w:t>
      </w:r>
    </w:p>
    <w:p w14:paraId="44E8361E" w14:textId="1F50963F" w:rsidR="00255764" w:rsidRPr="00255764" w:rsidRDefault="00255764" w:rsidP="00255764">
      <w:pPr>
        <w:rPr>
          <w:rFonts w:ascii="Arial" w:hAnsi="Arial" w:cs="Arial"/>
          <w:sz w:val="22"/>
          <w:szCs w:val="22"/>
        </w:rPr>
      </w:pPr>
      <w:r w:rsidRPr="00255764">
        <w:rPr>
          <w:rFonts w:ascii="Arial" w:hAnsi="Arial" w:cs="Arial"/>
          <w:sz w:val="22"/>
          <w:szCs w:val="22"/>
        </w:rPr>
        <w:t>If your focus is on physical recovery and financial stability, ML may be most beneficial. However, if you and your partner want to share childcare more equally</w:t>
      </w:r>
      <w:r w:rsidR="009C4C6F">
        <w:rPr>
          <w:rFonts w:ascii="Arial" w:hAnsi="Arial" w:cs="Arial"/>
          <w:sz w:val="22"/>
          <w:szCs w:val="22"/>
        </w:rPr>
        <w:t xml:space="preserve">, </w:t>
      </w:r>
      <w:r w:rsidRPr="00255764">
        <w:rPr>
          <w:rFonts w:ascii="Arial" w:hAnsi="Arial" w:cs="Arial"/>
          <w:sz w:val="22"/>
          <w:szCs w:val="22"/>
        </w:rPr>
        <w:t>especially in the baby’s first year</w:t>
      </w:r>
      <w:r w:rsidR="009C4C6F">
        <w:rPr>
          <w:rFonts w:ascii="Arial" w:hAnsi="Arial" w:cs="Arial"/>
          <w:sz w:val="22"/>
          <w:szCs w:val="22"/>
        </w:rPr>
        <w:t xml:space="preserve">, </w:t>
      </w:r>
      <w:r w:rsidRPr="00255764">
        <w:rPr>
          <w:rFonts w:ascii="Arial" w:hAnsi="Arial" w:cs="Arial"/>
          <w:sz w:val="22"/>
          <w:szCs w:val="22"/>
        </w:rPr>
        <w:t>SPL offers a flexible solution.</w:t>
      </w:r>
    </w:p>
    <w:p w14:paraId="1B70F7A4" w14:textId="03A72741" w:rsidR="00255764" w:rsidRDefault="00255764" w:rsidP="00255764">
      <w:pPr>
        <w:rPr>
          <w:rFonts w:ascii="Arial" w:hAnsi="Arial" w:cs="Arial"/>
          <w:sz w:val="22"/>
          <w:szCs w:val="22"/>
        </w:rPr>
      </w:pPr>
      <w:r w:rsidRPr="00255764">
        <w:rPr>
          <w:rFonts w:ascii="Arial" w:hAnsi="Arial" w:cs="Arial"/>
          <w:sz w:val="22"/>
          <w:szCs w:val="22"/>
        </w:rPr>
        <w:t xml:space="preserve">Please </w:t>
      </w:r>
      <w:r w:rsidR="00FE1E49">
        <w:rPr>
          <w:rFonts w:ascii="Arial" w:hAnsi="Arial" w:cs="Arial"/>
          <w:sz w:val="22"/>
          <w:szCs w:val="22"/>
        </w:rPr>
        <w:t>don’t hesitate to contact me via email or Teams if you’d like help unders</w:t>
      </w:r>
      <w:r w:rsidRPr="00255764">
        <w:rPr>
          <w:rFonts w:ascii="Arial" w:hAnsi="Arial" w:cs="Arial"/>
          <w:sz w:val="22"/>
          <w:szCs w:val="22"/>
        </w:rPr>
        <w:t>tanding your personal entitlements or planning your leave.</w:t>
      </w:r>
    </w:p>
    <w:bookmarkEnd w:id="10"/>
    <w:p w14:paraId="109332CC" w14:textId="569E40F6" w:rsidR="009F6B0D" w:rsidRDefault="009F6B0D" w:rsidP="00255764">
      <w:pPr>
        <w:rPr>
          <w:rFonts w:ascii="Arial" w:hAnsi="Arial" w:cs="Arial"/>
          <w:b/>
          <w:bCs/>
          <w:sz w:val="22"/>
          <w:szCs w:val="22"/>
        </w:rPr>
      </w:pPr>
      <w:r w:rsidRPr="009F6B0D">
        <w:rPr>
          <w:rFonts w:ascii="Arial" w:hAnsi="Arial" w:cs="Arial"/>
          <w:b/>
          <w:bCs/>
          <w:sz w:val="22"/>
          <w:szCs w:val="22"/>
        </w:rPr>
        <w:t>AC 4.3 Email 10</w:t>
      </w:r>
    </w:p>
    <w:p w14:paraId="75DCB1C4" w14:textId="7F6E726B" w:rsidR="009F6B0D" w:rsidRPr="00255764" w:rsidRDefault="00B2287E" w:rsidP="00255764">
      <w:pPr>
        <w:rPr>
          <w:rFonts w:ascii="Arial" w:hAnsi="Arial" w:cs="Arial"/>
          <w:sz w:val="22"/>
          <w:szCs w:val="22"/>
        </w:rPr>
      </w:pPr>
      <w:r>
        <w:rPr>
          <w:noProof/>
        </w:rPr>
        <mc:AlternateContent>
          <mc:Choice Requires="wps">
            <w:drawing>
              <wp:anchor distT="45720" distB="45720" distL="114300" distR="114300" simplePos="0" relativeHeight="251677696" behindDoc="0" locked="0" layoutInCell="1" allowOverlap="1" wp14:anchorId="467327C3" wp14:editId="4B286702">
                <wp:simplePos x="0" y="0"/>
                <wp:positionH relativeFrom="page">
                  <wp:align>right</wp:align>
                </wp:positionH>
                <wp:positionV relativeFrom="paragraph">
                  <wp:posOffset>163830</wp:posOffset>
                </wp:positionV>
                <wp:extent cx="5238750" cy="1130300"/>
                <wp:effectExtent l="0" t="0" r="0" b="0"/>
                <wp:wrapNone/>
                <wp:docPr id="1443150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0" cy="1130300"/>
                        </a:xfrm>
                        <a:prstGeom prst="rect">
                          <a:avLst/>
                        </a:prstGeom>
                        <a:noFill/>
                        <a:ln w="9525">
                          <a:noFill/>
                          <a:miter lim="800000"/>
                          <a:headEnd/>
                          <a:tailEnd/>
                        </a:ln>
                      </wps:spPr>
                      <wps:txbx>
                        <w:txbxContent>
                          <w:p w14:paraId="4B575AF6" w14:textId="481C2B89" w:rsidR="00B2287E" w:rsidRDefault="00C819DF" w:rsidP="00B2287E">
                            <w:pPr>
                              <w:rPr>
                                <w:rFonts w:ascii="Arial" w:hAnsi="Arial" w:cs="Arial"/>
                                <w:b/>
                                <w:bCs/>
                                <w:sz w:val="22"/>
                                <w:szCs w:val="22"/>
                              </w:rPr>
                            </w:pPr>
                            <w:r>
                              <w:rPr>
                                <w:rFonts w:ascii="Arial" w:hAnsi="Arial" w:cs="Arial"/>
                                <w:b/>
                                <w:bCs/>
                                <w:sz w:val="22"/>
                                <w:szCs w:val="22"/>
                              </w:rPr>
                              <w:t>Colleague</w:t>
                            </w:r>
                          </w:p>
                          <w:p w14:paraId="71497CBF" w14:textId="77777777" w:rsidR="00B2287E" w:rsidRDefault="00B2287E" w:rsidP="00B2287E">
                            <w:pPr>
                              <w:rPr>
                                <w:rFonts w:ascii="Arial" w:hAnsi="Arial" w:cs="Arial"/>
                                <w:b/>
                                <w:bCs/>
                                <w:sz w:val="22"/>
                                <w:szCs w:val="22"/>
                              </w:rPr>
                            </w:pPr>
                          </w:p>
                          <w:p w14:paraId="2B439C3B" w14:textId="455A89BC" w:rsidR="00B2287E" w:rsidRPr="000A66B6" w:rsidRDefault="00B2287E" w:rsidP="00B2287E">
                            <w:pPr>
                              <w:rPr>
                                <w:rFonts w:ascii="Arial" w:hAnsi="Arial" w:cs="Arial"/>
                                <w:b/>
                                <w:bCs/>
                                <w:sz w:val="22"/>
                                <w:szCs w:val="22"/>
                              </w:rPr>
                            </w:pPr>
                            <w:r>
                              <w:rPr>
                                <w:rFonts w:ascii="Arial" w:hAnsi="Arial" w:cs="Arial"/>
                                <w:b/>
                                <w:bCs/>
                                <w:sz w:val="22"/>
                                <w:szCs w:val="22"/>
                              </w:rPr>
                              <w:t xml:space="preserve">Re: </w:t>
                            </w:r>
                            <w:r w:rsidR="00C819DF">
                              <w:rPr>
                                <w:rFonts w:ascii="Arial" w:hAnsi="Arial" w:cs="Arial"/>
                                <w:b/>
                                <w:bCs/>
                                <w:sz w:val="22"/>
                                <w:szCs w:val="22"/>
                              </w:rPr>
                              <w:t>FWR</w:t>
                            </w:r>
                            <w:r w:rsidR="00C819DF" w:rsidRPr="00C819DF">
                              <w:rPr>
                                <w:rFonts w:ascii="Arial" w:hAnsi="Arial" w:cs="Arial"/>
                                <w:b/>
                                <w:bCs/>
                                <w:sz w:val="22"/>
                                <w:szCs w:val="22"/>
                              </w:rPr>
                              <w:t xml:space="preserve"> – Home Working Query from New Starter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7327C3" id="_x0000_s1035" type="#_x0000_t202" style="position:absolute;margin-left:361.3pt;margin-top:12.9pt;width:412.5pt;height:89pt;z-index:251677696;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" filled="f" stroked="f">
                <v:textbox>
                  <w:txbxContent>
                    <w:p w14:paraId="4B575AF6" w14:textId="481C2B89" w:rsidR="00B2287E" w:rsidRDefault="00C819DF" w:rsidP="00B2287E">
                      <w:pPr>
                        <w:rPr>
                          <w:rFonts w:ascii="Arial" w:hAnsi="Arial" w:cs="Arial"/>
                          <w:b/>
                          <w:bCs/>
                          <w:sz w:val="22"/>
                          <w:szCs w:val="22"/>
                        </w:rPr>
                      </w:pPr>
                      <w:r>
                        <w:rPr>
                          <w:rFonts w:ascii="Arial" w:hAnsi="Arial" w:cs="Arial"/>
                          <w:b/>
                          <w:bCs/>
                          <w:sz w:val="22"/>
                          <w:szCs w:val="22"/>
                        </w:rPr>
                        <w:t>Colleague</w:t>
                      </w:r>
                    </w:p>
                    <w:p w14:paraId="71497CBF" w14:textId="77777777" w:rsidR="00B2287E" w:rsidRDefault="00B2287E" w:rsidP="00B2287E">
                      <w:pPr>
                        <w:rPr>
                          <w:rFonts w:ascii="Arial" w:hAnsi="Arial" w:cs="Arial"/>
                          <w:b/>
                          <w:bCs/>
                          <w:sz w:val="22"/>
                          <w:szCs w:val="22"/>
                        </w:rPr>
                      </w:pPr>
                    </w:p>
                    <w:p w14:paraId="2B439C3B" w14:textId="455A89BC" w:rsidR="00B2287E" w:rsidRPr="000A66B6" w:rsidRDefault="00B2287E" w:rsidP="00B2287E">
                      <w:pPr>
                        <w:rPr>
                          <w:rFonts w:ascii="Arial" w:hAnsi="Arial" w:cs="Arial"/>
                          <w:b/>
                          <w:bCs/>
                          <w:sz w:val="22"/>
                          <w:szCs w:val="22"/>
                        </w:rPr>
                      </w:pPr>
                      <w:r>
                        <w:rPr>
                          <w:rFonts w:ascii="Arial" w:hAnsi="Arial" w:cs="Arial"/>
                          <w:b/>
                          <w:bCs/>
                          <w:sz w:val="22"/>
                          <w:szCs w:val="22"/>
                        </w:rPr>
                        <w:t xml:space="preserve">Re: </w:t>
                      </w:r>
                      <w:r w:rsidR="00C819DF">
                        <w:rPr>
                          <w:rFonts w:ascii="Arial" w:hAnsi="Arial" w:cs="Arial"/>
                          <w:b/>
                          <w:bCs/>
                          <w:sz w:val="22"/>
                          <w:szCs w:val="22"/>
                        </w:rPr>
                        <w:t>FWR</w:t>
                      </w:r>
                      <w:r w:rsidR="00C819DF" w:rsidRPr="00C819DF">
                        <w:rPr>
                          <w:rFonts w:ascii="Arial" w:hAnsi="Arial" w:cs="Arial"/>
                          <w:b/>
                          <w:bCs/>
                          <w:sz w:val="22"/>
                          <w:szCs w:val="22"/>
                        </w:rPr>
                        <w:t xml:space="preserve"> – Home Working Query from New Starter</w:t>
                      </w:r>
                    </w:p>
                  </w:txbxContent>
                </v:textbox>
                <w10:wrap anchorx="page"/>
              </v:shape>
            </w:pict>
          </mc:Fallback>
        </mc:AlternateContent>
      </w:r>
      <w:r w:rsidRPr="000A66B6">
        <w:rPr>
          <w:rFonts w:ascii="Arial" w:hAnsi="Arial" w:cs="Arial"/>
          <w:b/>
          <w:bCs/>
          <w:noProof/>
          <w:sz w:val="22"/>
          <w:szCs w:val="22"/>
        </w:rPr>
        <w:drawing>
          <wp:inline distT="0" distB="0" distL="0" distR="0" wp14:anchorId="1BA31C54" wp14:editId="5B8288A6">
            <wp:extent cx="5629910" cy="1241425"/>
            <wp:effectExtent l="0" t="0" r="8890" b="0"/>
            <wp:docPr id="950789999" name="Picture 1" descr="A white board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183587" name="Picture 1" descr="A white board with blue lines&#10;&#10;AI-generated content may be incorrect."/>
                    <pic:cNvPicPr/>
                  </pic:nvPicPr>
                  <pic:blipFill rotWithShape="1">
                    <a:blip r:embed="rId5"/>
                    <a:srcRect l="1773" t="6235"/>
                    <a:stretch/>
                  </pic:blipFill>
                  <pic:spPr bwMode="auto">
                    <a:xfrm>
                      <a:off x="0" y="0"/>
                      <a:ext cx="5629910" cy="1241425"/>
                    </a:xfrm>
                    <a:prstGeom prst="rect">
                      <a:avLst/>
                    </a:prstGeom>
                    <a:ln>
                      <a:noFill/>
                    </a:ln>
                    <a:extLst>
                      <a:ext uri="{53640926-AAD7-44D8-BBD7-CCE9431645EC}">
                        <a14:shadowObscured xmlns:a14="http://schemas.microsoft.com/office/drawing/2010/main"/>
                      </a:ext>
                    </a:extLst>
                  </pic:spPr>
                </pic:pic>
              </a:graphicData>
            </a:graphic>
          </wp:inline>
        </w:drawing>
      </w:r>
    </w:p>
    <w:p w14:paraId="7692461B" w14:textId="77777777" w:rsidR="00C819DF" w:rsidRPr="00C819DF" w:rsidRDefault="00C819DF" w:rsidP="00C819DF">
      <w:pPr>
        <w:rPr>
          <w:rFonts w:ascii="Arial" w:hAnsi="Arial" w:cs="Arial"/>
          <w:sz w:val="22"/>
          <w:szCs w:val="22"/>
        </w:rPr>
      </w:pPr>
      <w:r w:rsidRPr="00C819DF">
        <w:rPr>
          <w:rFonts w:ascii="Arial" w:hAnsi="Arial" w:cs="Arial"/>
          <w:sz w:val="22"/>
          <w:szCs w:val="22"/>
        </w:rPr>
        <w:t>Thanks for forwarding the query from the new admin officer about working from home three days a week. I completely get your concern about how this might set a wider precedent across the team, especially if it impacts service delivery. That said, it’s important we handle this in a way that’s fair, consistent, and in line with current legislation.</w:t>
      </w:r>
    </w:p>
    <w:p w14:paraId="6498658E" w14:textId="6573CD81" w:rsidR="00C819DF" w:rsidRPr="00C819DF" w:rsidRDefault="00C819DF" w:rsidP="00C819DF">
      <w:pPr>
        <w:rPr>
          <w:rFonts w:ascii="Arial" w:hAnsi="Arial" w:cs="Arial"/>
          <w:sz w:val="22"/>
          <w:szCs w:val="22"/>
        </w:rPr>
      </w:pPr>
      <w:r w:rsidRPr="00C819DF">
        <w:rPr>
          <w:rFonts w:ascii="Arial" w:hAnsi="Arial" w:cs="Arial"/>
          <w:sz w:val="22"/>
          <w:szCs w:val="22"/>
        </w:rPr>
        <w:t>Since 6</w:t>
      </w:r>
      <w:r w:rsidR="003C2B01" w:rsidRPr="003C2B01">
        <w:rPr>
          <w:rFonts w:ascii="Arial" w:hAnsi="Arial" w:cs="Arial"/>
          <w:sz w:val="22"/>
          <w:szCs w:val="22"/>
          <w:vertAlign w:val="superscript"/>
        </w:rPr>
        <w:t>th</w:t>
      </w:r>
      <w:r w:rsidR="003C2B01">
        <w:rPr>
          <w:rFonts w:ascii="Arial" w:hAnsi="Arial" w:cs="Arial"/>
          <w:sz w:val="22"/>
          <w:szCs w:val="22"/>
        </w:rPr>
        <w:t xml:space="preserve"> </w:t>
      </w:r>
      <w:r w:rsidRPr="00C819DF">
        <w:rPr>
          <w:rFonts w:ascii="Arial" w:hAnsi="Arial" w:cs="Arial"/>
          <w:sz w:val="22"/>
          <w:szCs w:val="22"/>
        </w:rPr>
        <w:t>April 2024, the right to request flexible working became a day-one right under the Employment Relations (Flexible Working) Act 2023. That means employees no longer need to wait 26 weeks before making a request, and they can now submit up to two formal requests in a 12-month period (CIPD, 2025</w:t>
      </w:r>
      <w:r w:rsidR="003C2B01">
        <w:rPr>
          <w:rFonts w:ascii="Arial" w:hAnsi="Arial" w:cs="Arial"/>
          <w:sz w:val="22"/>
          <w:szCs w:val="22"/>
        </w:rPr>
        <w:t>d</w:t>
      </w:r>
      <w:r w:rsidRPr="00C819DF">
        <w:rPr>
          <w:rFonts w:ascii="Arial" w:hAnsi="Arial" w:cs="Arial"/>
          <w:sz w:val="22"/>
          <w:szCs w:val="22"/>
        </w:rPr>
        <w:t xml:space="preserve">). </w:t>
      </w:r>
      <w:r w:rsidR="005F71F5">
        <w:rPr>
          <w:rFonts w:ascii="Arial" w:hAnsi="Arial" w:cs="Arial"/>
          <w:sz w:val="22"/>
          <w:szCs w:val="22"/>
        </w:rPr>
        <w:t xml:space="preserve">Machell </w:t>
      </w:r>
      <w:r w:rsidRPr="00C819DF">
        <w:rPr>
          <w:rFonts w:ascii="Arial" w:hAnsi="Arial" w:cs="Arial"/>
          <w:sz w:val="22"/>
          <w:szCs w:val="22"/>
        </w:rPr>
        <w:t>(2024) also now states</w:t>
      </w:r>
      <w:r w:rsidR="005F71F5">
        <w:rPr>
          <w:rFonts w:ascii="Arial" w:hAnsi="Arial" w:cs="Arial"/>
          <w:sz w:val="22"/>
          <w:szCs w:val="22"/>
        </w:rPr>
        <w:t>, following ACAS’ Code of Practice,</w:t>
      </w:r>
      <w:r w:rsidRPr="00C819DF">
        <w:rPr>
          <w:rFonts w:ascii="Arial" w:hAnsi="Arial" w:cs="Arial"/>
          <w:sz w:val="22"/>
          <w:szCs w:val="22"/>
        </w:rPr>
        <w:t xml:space="preserve"> that employers must meaningfully consult with the employee before refusing a request, and a decision should be made within two months unless otherwise agreed.</w:t>
      </w:r>
    </w:p>
    <w:p w14:paraId="634C6B77" w14:textId="41D26C84" w:rsidR="006E70BF" w:rsidRDefault="00C819DF" w:rsidP="00C819DF">
      <w:pPr>
        <w:rPr>
          <w:rFonts w:ascii="Arial" w:hAnsi="Arial" w:cs="Arial"/>
          <w:sz w:val="22"/>
          <w:szCs w:val="22"/>
        </w:rPr>
      </w:pPr>
      <w:r w:rsidRPr="00C819DF">
        <w:rPr>
          <w:rFonts w:ascii="Arial" w:hAnsi="Arial" w:cs="Arial"/>
          <w:sz w:val="22"/>
          <w:szCs w:val="22"/>
        </w:rPr>
        <w:t xml:space="preserve">Importantly, there are only a handful of </w:t>
      </w:r>
      <w:r w:rsidR="0076122F">
        <w:rPr>
          <w:rFonts w:ascii="Arial" w:hAnsi="Arial" w:cs="Arial"/>
          <w:sz w:val="22"/>
          <w:szCs w:val="22"/>
        </w:rPr>
        <w:t>statutory</w:t>
      </w:r>
      <w:r w:rsidRPr="00C819DF">
        <w:rPr>
          <w:rFonts w:ascii="Arial" w:hAnsi="Arial" w:cs="Arial"/>
          <w:sz w:val="22"/>
          <w:szCs w:val="22"/>
        </w:rPr>
        <w:t xml:space="preserve"> reasons to turn down a request, </w:t>
      </w:r>
      <w:r w:rsidR="0076122F" w:rsidRPr="0076122F">
        <w:rPr>
          <w:rFonts w:ascii="Arial" w:hAnsi="Arial" w:cs="Arial"/>
          <w:sz w:val="22"/>
          <w:szCs w:val="22"/>
        </w:rPr>
        <w:t>as set out in the Employment Rights Act 1996, Section 80G</w:t>
      </w:r>
      <w:r w:rsidR="0076122F" w:rsidRPr="0076122F">
        <w:rPr>
          <w:rFonts w:ascii="Arial" w:hAnsi="Arial" w:cs="Arial"/>
          <w:sz w:val="22"/>
          <w:szCs w:val="22"/>
        </w:rPr>
        <w:t xml:space="preserve"> (Daniels, 2016). In fact, there are 8. These are:</w:t>
      </w:r>
    </w:p>
    <w:p w14:paraId="7F63E7E2" w14:textId="77777777" w:rsidR="0076122F" w:rsidRPr="0076122F" w:rsidRDefault="0076122F" w:rsidP="0076122F">
      <w:pPr>
        <w:pStyle w:val="ListParagraph"/>
        <w:numPr>
          <w:ilvl w:val="0"/>
          <w:numId w:val="17"/>
        </w:numPr>
        <w:rPr>
          <w:rFonts w:ascii="Arial" w:hAnsi="Arial" w:cs="Arial"/>
          <w:sz w:val="22"/>
          <w:szCs w:val="22"/>
        </w:rPr>
      </w:pPr>
      <w:r w:rsidRPr="0076122F">
        <w:rPr>
          <w:rFonts w:ascii="Arial" w:hAnsi="Arial" w:cs="Arial"/>
          <w:sz w:val="22"/>
          <w:szCs w:val="22"/>
        </w:rPr>
        <w:t>The burden of additional costs</w:t>
      </w:r>
    </w:p>
    <w:p w14:paraId="36C3C482" w14:textId="77777777" w:rsidR="0076122F" w:rsidRPr="0076122F" w:rsidRDefault="0076122F" w:rsidP="0076122F">
      <w:pPr>
        <w:pStyle w:val="ListParagraph"/>
        <w:numPr>
          <w:ilvl w:val="0"/>
          <w:numId w:val="17"/>
        </w:numPr>
        <w:rPr>
          <w:rFonts w:ascii="Arial" w:hAnsi="Arial" w:cs="Arial"/>
          <w:sz w:val="22"/>
          <w:szCs w:val="22"/>
        </w:rPr>
      </w:pPr>
      <w:r w:rsidRPr="0076122F">
        <w:rPr>
          <w:rFonts w:ascii="Arial" w:hAnsi="Arial" w:cs="Arial"/>
          <w:sz w:val="22"/>
          <w:szCs w:val="22"/>
        </w:rPr>
        <w:t>An inability to reorganise work amongst existing staff</w:t>
      </w:r>
    </w:p>
    <w:p w14:paraId="0F568F5D" w14:textId="77777777" w:rsidR="0076122F" w:rsidRPr="0076122F" w:rsidRDefault="0076122F" w:rsidP="0076122F">
      <w:pPr>
        <w:pStyle w:val="ListParagraph"/>
        <w:numPr>
          <w:ilvl w:val="0"/>
          <w:numId w:val="17"/>
        </w:numPr>
        <w:rPr>
          <w:rFonts w:ascii="Arial" w:hAnsi="Arial" w:cs="Arial"/>
          <w:sz w:val="22"/>
          <w:szCs w:val="22"/>
        </w:rPr>
      </w:pPr>
      <w:r w:rsidRPr="0076122F">
        <w:rPr>
          <w:rFonts w:ascii="Arial" w:hAnsi="Arial" w:cs="Arial"/>
          <w:sz w:val="22"/>
          <w:szCs w:val="22"/>
        </w:rPr>
        <w:t>An inability to recruit additional staff</w:t>
      </w:r>
    </w:p>
    <w:p w14:paraId="06C697FD" w14:textId="77777777" w:rsidR="0076122F" w:rsidRPr="0076122F" w:rsidRDefault="0076122F" w:rsidP="0076122F">
      <w:pPr>
        <w:pStyle w:val="ListParagraph"/>
        <w:numPr>
          <w:ilvl w:val="0"/>
          <w:numId w:val="17"/>
        </w:numPr>
        <w:rPr>
          <w:rFonts w:ascii="Arial" w:hAnsi="Arial" w:cs="Arial"/>
          <w:sz w:val="22"/>
          <w:szCs w:val="22"/>
        </w:rPr>
      </w:pPr>
      <w:r w:rsidRPr="0076122F">
        <w:rPr>
          <w:rFonts w:ascii="Arial" w:hAnsi="Arial" w:cs="Arial"/>
          <w:sz w:val="22"/>
          <w:szCs w:val="22"/>
        </w:rPr>
        <w:lastRenderedPageBreak/>
        <w:t>A detrimental impact on quality</w:t>
      </w:r>
    </w:p>
    <w:p w14:paraId="0BC1770A" w14:textId="77777777" w:rsidR="0076122F" w:rsidRPr="0076122F" w:rsidRDefault="0076122F" w:rsidP="0076122F">
      <w:pPr>
        <w:pStyle w:val="ListParagraph"/>
        <w:numPr>
          <w:ilvl w:val="0"/>
          <w:numId w:val="17"/>
        </w:numPr>
        <w:rPr>
          <w:rFonts w:ascii="Arial" w:hAnsi="Arial" w:cs="Arial"/>
          <w:sz w:val="22"/>
          <w:szCs w:val="22"/>
        </w:rPr>
      </w:pPr>
      <w:r w:rsidRPr="0076122F">
        <w:rPr>
          <w:rFonts w:ascii="Arial" w:hAnsi="Arial" w:cs="Arial"/>
          <w:sz w:val="22"/>
          <w:szCs w:val="22"/>
        </w:rPr>
        <w:t>A detrimental impact on performance</w:t>
      </w:r>
    </w:p>
    <w:p w14:paraId="180081F8" w14:textId="77777777" w:rsidR="0076122F" w:rsidRPr="0076122F" w:rsidRDefault="0076122F" w:rsidP="0076122F">
      <w:pPr>
        <w:pStyle w:val="ListParagraph"/>
        <w:numPr>
          <w:ilvl w:val="0"/>
          <w:numId w:val="17"/>
        </w:numPr>
        <w:rPr>
          <w:rFonts w:ascii="Arial" w:hAnsi="Arial" w:cs="Arial"/>
          <w:sz w:val="22"/>
          <w:szCs w:val="22"/>
        </w:rPr>
      </w:pPr>
      <w:r w:rsidRPr="0076122F">
        <w:rPr>
          <w:rFonts w:ascii="Arial" w:hAnsi="Arial" w:cs="Arial"/>
          <w:sz w:val="22"/>
          <w:szCs w:val="22"/>
        </w:rPr>
        <w:t>Detrimental effect on ability to meet customer demand</w:t>
      </w:r>
    </w:p>
    <w:p w14:paraId="6686B792" w14:textId="77777777" w:rsidR="0076122F" w:rsidRPr="0076122F" w:rsidRDefault="0076122F" w:rsidP="0076122F">
      <w:pPr>
        <w:pStyle w:val="ListParagraph"/>
        <w:numPr>
          <w:ilvl w:val="0"/>
          <w:numId w:val="17"/>
        </w:numPr>
        <w:rPr>
          <w:rFonts w:ascii="Arial" w:hAnsi="Arial" w:cs="Arial"/>
          <w:sz w:val="22"/>
          <w:szCs w:val="22"/>
        </w:rPr>
      </w:pPr>
      <w:r w:rsidRPr="0076122F">
        <w:rPr>
          <w:rFonts w:ascii="Arial" w:hAnsi="Arial" w:cs="Arial"/>
          <w:sz w:val="22"/>
          <w:szCs w:val="22"/>
        </w:rPr>
        <w:t>Insufficient work for the periods the employee proposes to work</w:t>
      </w:r>
    </w:p>
    <w:p w14:paraId="51A5C19F" w14:textId="1D1D7D83" w:rsidR="0076122F" w:rsidRDefault="0076122F" w:rsidP="0076122F">
      <w:pPr>
        <w:pStyle w:val="ListParagraph"/>
        <w:numPr>
          <w:ilvl w:val="0"/>
          <w:numId w:val="17"/>
        </w:numPr>
        <w:rPr>
          <w:rFonts w:ascii="Arial" w:hAnsi="Arial" w:cs="Arial"/>
          <w:sz w:val="22"/>
          <w:szCs w:val="22"/>
        </w:rPr>
      </w:pPr>
      <w:r w:rsidRPr="0076122F">
        <w:rPr>
          <w:rFonts w:ascii="Arial" w:hAnsi="Arial" w:cs="Arial"/>
          <w:sz w:val="22"/>
          <w:szCs w:val="22"/>
        </w:rPr>
        <w:t>A planned structural change to your business</w:t>
      </w:r>
    </w:p>
    <w:p w14:paraId="29A263E8" w14:textId="79D19999" w:rsidR="0076122F" w:rsidRPr="0076122F" w:rsidRDefault="0076122F" w:rsidP="0076122F">
      <w:pPr>
        <w:rPr>
          <w:rFonts w:ascii="Arial" w:hAnsi="Arial" w:cs="Arial"/>
          <w:sz w:val="22"/>
          <w:szCs w:val="22"/>
        </w:rPr>
      </w:pPr>
      <w:r>
        <w:rPr>
          <w:rFonts w:ascii="Arial" w:hAnsi="Arial" w:cs="Arial"/>
          <w:sz w:val="22"/>
          <w:szCs w:val="22"/>
        </w:rPr>
        <w:t>(HR Solutions, 2019)</w:t>
      </w:r>
    </w:p>
    <w:p w14:paraId="61CC63D1" w14:textId="248A2C33" w:rsidR="00C819DF" w:rsidRPr="00C819DF" w:rsidRDefault="00C819DF" w:rsidP="00C819DF">
      <w:pPr>
        <w:rPr>
          <w:rFonts w:ascii="Arial" w:hAnsi="Arial" w:cs="Arial"/>
          <w:sz w:val="22"/>
          <w:szCs w:val="22"/>
        </w:rPr>
      </w:pPr>
      <w:r w:rsidRPr="00C819DF">
        <w:rPr>
          <w:rFonts w:ascii="Arial" w:hAnsi="Arial" w:cs="Arial"/>
          <w:sz w:val="22"/>
          <w:szCs w:val="22"/>
        </w:rPr>
        <w:t>Just being worried that others might ask too isn’t enough on its own to refuse. But you can still absolutely consider whether this specific request would have a negative effect on the team or on service standards</w:t>
      </w:r>
      <w:r w:rsidR="006E70BF">
        <w:rPr>
          <w:rFonts w:ascii="Arial" w:hAnsi="Arial" w:cs="Arial"/>
          <w:sz w:val="22"/>
          <w:szCs w:val="22"/>
        </w:rPr>
        <w:t xml:space="preserve">, </w:t>
      </w:r>
      <w:r w:rsidRPr="00C819DF">
        <w:rPr>
          <w:rFonts w:ascii="Arial" w:hAnsi="Arial" w:cs="Arial"/>
          <w:sz w:val="22"/>
          <w:szCs w:val="22"/>
        </w:rPr>
        <w:t>and if so, that could form part of your rationale.</w:t>
      </w:r>
    </w:p>
    <w:p w14:paraId="791E4215" w14:textId="05B447FE" w:rsidR="00C819DF" w:rsidRPr="00C819DF" w:rsidRDefault="00C819DF" w:rsidP="00C819DF">
      <w:pPr>
        <w:rPr>
          <w:rFonts w:ascii="Arial" w:hAnsi="Arial" w:cs="Arial"/>
          <w:sz w:val="22"/>
          <w:szCs w:val="22"/>
        </w:rPr>
      </w:pPr>
      <w:r w:rsidRPr="00C819DF">
        <w:rPr>
          <w:rFonts w:ascii="Arial" w:hAnsi="Arial" w:cs="Arial"/>
          <w:sz w:val="22"/>
          <w:szCs w:val="22"/>
        </w:rPr>
        <w:t>It might be helpful to have a chat with the new starter to understand what’s behind the request</w:t>
      </w:r>
      <w:r w:rsidR="006E70BF">
        <w:rPr>
          <w:rFonts w:ascii="Arial" w:hAnsi="Arial" w:cs="Arial"/>
          <w:sz w:val="22"/>
          <w:szCs w:val="22"/>
        </w:rPr>
        <w:t xml:space="preserve"> (</w:t>
      </w:r>
      <w:r w:rsidRPr="00C819DF">
        <w:rPr>
          <w:rFonts w:ascii="Arial" w:hAnsi="Arial" w:cs="Arial"/>
          <w:sz w:val="22"/>
          <w:szCs w:val="22"/>
        </w:rPr>
        <w:t>whether it’s for wellbeing, caring responsibilities, or something else</w:t>
      </w:r>
      <w:r w:rsidR="006E70BF">
        <w:rPr>
          <w:rFonts w:ascii="Arial" w:hAnsi="Arial" w:cs="Arial"/>
          <w:sz w:val="22"/>
          <w:szCs w:val="22"/>
        </w:rPr>
        <w:t xml:space="preserve">) </w:t>
      </w:r>
      <w:r w:rsidRPr="00C819DF">
        <w:rPr>
          <w:rFonts w:ascii="Arial" w:hAnsi="Arial" w:cs="Arial"/>
          <w:sz w:val="22"/>
          <w:szCs w:val="22"/>
        </w:rPr>
        <w:t xml:space="preserve">and see if there’s any middle ground. Maybe a trial period or a hybrid approach could work? </w:t>
      </w:r>
      <w:proofErr w:type="gramStart"/>
      <w:r w:rsidRPr="00C819DF">
        <w:rPr>
          <w:rFonts w:ascii="Arial" w:hAnsi="Arial" w:cs="Arial"/>
          <w:sz w:val="22"/>
          <w:szCs w:val="22"/>
        </w:rPr>
        <w:t>As long as</w:t>
      </w:r>
      <w:proofErr w:type="gramEnd"/>
      <w:r w:rsidRPr="00C819DF">
        <w:rPr>
          <w:rFonts w:ascii="Arial" w:hAnsi="Arial" w:cs="Arial"/>
          <w:sz w:val="22"/>
          <w:szCs w:val="22"/>
        </w:rPr>
        <w:t xml:space="preserve"> we take a reasonable and documented approach, we’re in a good position to balance individual needs with service priorities.</w:t>
      </w:r>
    </w:p>
    <w:p w14:paraId="18DA14D2" w14:textId="292087D5" w:rsidR="00C819DF" w:rsidRPr="00C819DF" w:rsidRDefault="00C819DF" w:rsidP="00C819DF">
      <w:pPr>
        <w:rPr>
          <w:rFonts w:ascii="Arial" w:hAnsi="Arial" w:cs="Arial"/>
          <w:sz w:val="22"/>
          <w:szCs w:val="22"/>
        </w:rPr>
      </w:pPr>
      <w:r w:rsidRPr="00C819DF">
        <w:rPr>
          <w:rFonts w:ascii="Arial" w:hAnsi="Arial" w:cs="Arial"/>
          <w:sz w:val="22"/>
          <w:szCs w:val="22"/>
        </w:rPr>
        <w:t>It’s also worth remembering that offering some flexibility</w:t>
      </w:r>
      <w:r w:rsidR="006E70BF">
        <w:rPr>
          <w:rFonts w:ascii="Arial" w:hAnsi="Arial" w:cs="Arial"/>
          <w:sz w:val="22"/>
          <w:szCs w:val="22"/>
        </w:rPr>
        <w:t xml:space="preserve">, </w:t>
      </w:r>
      <w:r w:rsidRPr="00C819DF">
        <w:rPr>
          <w:rFonts w:ascii="Arial" w:hAnsi="Arial" w:cs="Arial"/>
          <w:sz w:val="22"/>
          <w:szCs w:val="22"/>
        </w:rPr>
        <w:t>where possible</w:t>
      </w:r>
      <w:r w:rsidR="006E70BF">
        <w:rPr>
          <w:rFonts w:ascii="Arial" w:hAnsi="Arial" w:cs="Arial"/>
          <w:sz w:val="22"/>
          <w:szCs w:val="22"/>
        </w:rPr>
        <w:t xml:space="preserve">, </w:t>
      </w:r>
      <w:r w:rsidRPr="00C819DF">
        <w:rPr>
          <w:rFonts w:ascii="Arial" w:hAnsi="Arial" w:cs="Arial"/>
          <w:sz w:val="22"/>
          <w:szCs w:val="22"/>
        </w:rPr>
        <w:t>can really support retention and wellbeing, especially in admin roles where the tasks may not always need to be site-based full-time (Armstrong &amp; Taylor, 202</w:t>
      </w:r>
      <w:r>
        <w:rPr>
          <w:rFonts w:ascii="Arial" w:hAnsi="Arial" w:cs="Arial"/>
          <w:sz w:val="22"/>
          <w:szCs w:val="22"/>
        </w:rPr>
        <w:t>3</w:t>
      </w:r>
      <w:r w:rsidRPr="00C819DF">
        <w:rPr>
          <w:rFonts w:ascii="Arial" w:hAnsi="Arial" w:cs="Arial"/>
          <w:sz w:val="22"/>
          <w:szCs w:val="22"/>
        </w:rPr>
        <w:t>). The key thing is to apply the process fairly and consistently to avoid any unintended issues down the line, such as potential discrimination claims.</w:t>
      </w:r>
    </w:p>
    <w:p w14:paraId="015D7311" w14:textId="27FE4232" w:rsidR="00C819DF" w:rsidRPr="00C819DF" w:rsidRDefault="00C819DF" w:rsidP="00C819DF">
      <w:pPr>
        <w:rPr>
          <w:rFonts w:ascii="Arial" w:hAnsi="Arial" w:cs="Arial"/>
          <w:sz w:val="22"/>
          <w:szCs w:val="22"/>
        </w:rPr>
      </w:pPr>
      <w:r w:rsidRPr="00C819DF">
        <w:rPr>
          <w:rFonts w:ascii="Arial" w:hAnsi="Arial" w:cs="Arial"/>
          <w:sz w:val="22"/>
          <w:szCs w:val="22"/>
        </w:rPr>
        <w:t>Let me know if you’d like me to support you with the conversation or draft a follow-up</w:t>
      </w:r>
      <w:r w:rsidR="00027B4E">
        <w:rPr>
          <w:rFonts w:ascii="Arial" w:hAnsi="Arial" w:cs="Arial"/>
          <w:sz w:val="22"/>
          <w:szCs w:val="22"/>
        </w:rPr>
        <w:t>.</w:t>
      </w:r>
    </w:p>
    <w:p w14:paraId="7C42BEC1" w14:textId="77777777" w:rsidR="00D86ACD" w:rsidRDefault="00D86ACD" w:rsidP="003C6A73">
      <w:pPr>
        <w:rPr>
          <w:rFonts w:ascii="Arial" w:hAnsi="Arial" w:cs="Arial"/>
          <w:b/>
          <w:bCs/>
          <w:sz w:val="22"/>
          <w:szCs w:val="22"/>
        </w:rPr>
      </w:pPr>
    </w:p>
    <w:p w14:paraId="566A32CB" w14:textId="77777777" w:rsidR="009F6B0D" w:rsidRDefault="009F6B0D" w:rsidP="003C6A73">
      <w:pPr>
        <w:rPr>
          <w:rFonts w:ascii="Arial" w:hAnsi="Arial" w:cs="Arial"/>
          <w:b/>
          <w:bCs/>
          <w:sz w:val="22"/>
          <w:szCs w:val="22"/>
        </w:rPr>
      </w:pPr>
    </w:p>
    <w:p w14:paraId="76392A15" w14:textId="77777777" w:rsidR="009F6B0D" w:rsidRDefault="009F6B0D" w:rsidP="003C6A73">
      <w:pPr>
        <w:rPr>
          <w:rFonts w:ascii="Arial" w:hAnsi="Arial" w:cs="Arial"/>
          <w:b/>
          <w:bCs/>
          <w:sz w:val="22"/>
          <w:szCs w:val="22"/>
        </w:rPr>
      </w:pPr>
    </w:p>
    <w:p w14:paraId="2F6CAA95" w14:textId="178FB70F" w:rsidR="009F6B0D" w:rsidRDefault="009F6B0D" w:rsidP="003C6A73">
      <w:pPr>
        <w:rPr>
          <w:rFonts w:ascii="Arial" w:hAnsi="Arial" w:cs="Arial"/>
          <w:b/>
          <w:bCs/>
          <w:sz w:val="22"/>
          <w:szCs w:val="22"/>
        </w:rPr>
      </w:pPr>
    </w:p>
    <w:p w14:paraId="7995049E" w14:textId="77777777" w:rsidR="009F6B0D" w:rsidRDefault="009F6B0D" w:rsidP="003C6A73">
      <w:pPr>
        <w:rPr>
          <w:rFonts w:ascii="Arial" w:hAnsi="Arial" w:cs="Arial"/>
          <w:b/>
          <w:bCs/>
          <w:sz w:val="22"/>
          <w:szCs w:val="22"/>
        </w:rPr>
      </w:pPr>
    </w:p>
    <w:p w14:paraId="5FED991F" w14:textId="77777777" w:rsidR="009F6B0D" w:rsidRDefault="009F6B0D" w:rsidP="003C6A73">
      <w:pPr>
        <w:rPr>
          <w:rFonts w:ascii="Arial" w:hAnsi="Arial" w:cs="Arial"/>
          <w:b/>
          <w:bCs/>
          <w:sz w:val="22"/>
          <w:szCs w:val="22"/>
        </w:rPr>
      </w:pPr>
    </w:p>
    <w:p w14:paraId="6D0CCC80" w14:textId="77777777" w:rsidR="009F6B0D" w:rsidRDefault="009F6B0D" w:rsidP="003C6A73">
      <w:pPr>
        <w:rPr>
          <w:rFonts w:ascii="Arial" w:hAnsi="Arial" w:cs="Arial"/>
          <w:b/>
          <w:bCs/>
          <w:sz w:val="22"/>
          <w:szCs w:val="22"/>
        </w:rPr>
      </w:pPr>
    </w:p>
    <w:p w14:paraId="0177572D" w14:textId="77777777" w:rsidR="009F6B0D" w:rsidRDefault="009F6B0D" w:rsidP="003C6A73">
      <w:pPr>
        <w:rPr>
          <w:rFonts w:ascii="Arial" w:hAnsi="Arial" w:cs="Arial"/>
          <w:b/>
          <w:bCs/>
          <w:sz w:val="22"/>
          <w:szCs w:val="22"/>
        </w:rPr>
      </w:pPr>
    </w:p>
    <w:p w14:paraId="7CC60548" w14:textId="77777777" w:rsidR="009F6B0D" w:rsidRDefault="009F6B0D" w:rsidP="003C6A73">
      <w:pPr>
        <w:rPr>
          <w:rFonts w:ascii="Arial" w:hAnsi="Arial" w:cs="Arial"/>
          <w:b/>
          <w:bCs/>
          <w:sz w:val="22"/>
          <w:szCs w:val="22"/>
        </w:rPr>
      </w:pPr>
    </w:p>
    <w:p w14:paraId="5F02A8E0" w14:textId="77777777" w:rsidR="009F6B0D" w:rsidRDefault="009F6B0D" w:rsidP="003C6A73">
      <w:pPr>
        <w:rPr>
          <w:rFonts w:ascii="Arial" w:hAnsi="Arial" w:cs="Arial"/>
          <w:b/>
          <w:bCs/>
          <w:sz w:val="22"/>
          <w:szCs w:val="22"/>
        </w:rPr>
      </w:pPr>
    </w:p>
    <w:p w14:paraId="467EB051" w14:textId="77777777" w:rsidR="009F6B0D" w:rsidRDefault="009F6B0D" w:rsidP="003C6A73">
      <w:pPr>
        <w:rPr>
          <w:rFonts w:ascii="Arial" w:hAnsi="Arial" w:cs="Arial"/>
          <w:b/>
          <w:bCs/>
          <w:sz w:val="22"/>
          <w:szCs w:val="22"/>
        </w:rPr>
      </w:pPr>
    </w:p>
    <w:p w14:paraId="588BCD9C" w14:textId="77777777" w:rsidR="009F6B0D" w:rsidRDefault="009F6B0D" w:rsidP="003C6A73">
      <w:pPr>
        <w:rPr>
          <w:rFonts w:ascii="Arial" w:hAnsi="Arial" w:cs="Arial"/>
          <w:b/>
          <w:bCs/>
          <w:sz w:val="22"/>
          <w:szCs w:val="22"/>
        </w:rPr>
      </w:pPr>
    </w:p>
    <w:p w14:paraId="07C8D158" w14:textId="77777777" w:rsidR="009F6B0D" w:rsidRDefault="009F6B0D" w:rsidP="003C6A73">
      <w:pPr>
        <w:rPr>
          <w:rFonts w:ascii="Arial" w:hAnsi="Arial" w:cs="Arial"/>
          <w:b/>
          <w:bCs/>
          <w:sz w:val="22"/>
          <w:szCs w:val="22"/>
        </w:rPr>
      </w:pPr>
    </w:p>
    <w:p w14:paraId="16C0B327" w14:textId="77777777" w:rsidR="009F6B0D" w:rsidRDefault="009F6B0D" w:rsidP="003C6A73">
      <w:pPr>
        <w:rPr>
          <w:rFonts w:ascii="Arial" w:hAnsi="Arial" w:cs="Arial"/>
          <w:b/>
          <w:bCs/>
          <w:sz w:val="22"/>
          <w:szCs w:val="22"/>
        </w:rPr>
      </w:pPr>
    </w:p>
    <w:p w14:paraId="510ABC28" w14:textId="77777777" w:rsidR="009F6B0D" w:rsidRDefault="009F6B0D" w:rsidP="003C6A73">
      <w:pPr>
        <w:rPr>
          <w:rFonts w:ascii="Arial" w:hAnsi="Arial" w:cs="Arial"/>
          <w:b/>
          <w:bCs/>
          <w:sz w:val="22"/>
          <w:szCs w:val="22"/>
        </w:rPr>
      </w:pPr>
    </w:p>
    <w:p w14:paraId="5A493930" w14:textId="77777777" w:rsidR="0041019E" w:rsidRDefault="0041019E" w:rsidP="003C6A73">
      <w:pPr>
        <w:rPr>
          <w:rFonts w:ascii="Arial" w:hAnsi="Arial" w:cs="Arial"/>
          <w:b/>
          <w:bCs/>
          <w:sz w:val="22"/>
          <w:szCs w:val="22"/>
        </w:rPr>
      </w:pPr>
    </w:p>
    <w:p w14:paraId="68B495F9" w14:textId="77777777" w:rsidR="0041019E" w:rsidRDefault="0041019E" w:rsidP="003C6A73">
      <w:pPr>
        <w:rPr>
          <w:rFonts w:ascii="Arial" w:hAnsi="Arial" w:cs="Arial"/>
          <w:b/>
          <w:bCs/>
          <w:sz w:val="22"/>
          <w:szCs w:val="22"/>
        </w:rPr>
      </w:pPr>
    </w:p>
    <w:p w14:paraId="24CCCC73" w14:textId="77777777" w:rsidR="0041019E" w:rsidRDefault="0041019E" w:rsidP="003C6A73">
      <w:pPr>
        <w:rPr>
          <w:rFonts w:ascii="Arial" w:hAnsi="Arial" w:cs="Arial"/>
          <w:b/>
          <w:bCs/>
          <w:sz w:val="22"/>
          <w:szCs w:val="22"/>
        </w:rPr>
      </w:pPr>
    </w:p>
    <w:p w14:paraId="370E5247" w14:textId="77777777" w:rsidR="0041019E" w:rsidRDefault="0041019E" w:rsidP="003C6A73">
      <w:pPr>
        <w:rPr>
          <w:rFonts w:ascii="Arial" w:hAnsi="Arial" w:cs="Arial"/>
          <w:b/>
          <w:bCs/>
          <w:sz w:val="22"/>
          <w:szCs w:val="22"/>
        </w:rPr>
      </w:pPr>
    </w:p>
    <w:p w14:paraId="4C1815ED" w14:textId="77777777" w:rsidR="001A59CD" w:rsidRDefault="001A59CD" w:rsidP="003C6A73">
      <w:pPr>
        <w:rPr>
          <w:rFonts w:ascii="Arial" w:hAnsi="Arial" w:cs="Arial"/>
          <w:b/>
          <w:bCs/>
          <w:sz w:val="22"/>
          <w:szCs w:val="22"/>
        </w:rPr>
      </w:pPr>
    </w:p>
    <w:p w14:paraId="28C64791" w14:textId="5FE41575" w:rsidR="003C6A73" w:rsidRPr="00A019D5" w:rsidRDefault="003C6A73" w:rsidP="003C6A73">
      <w:pPr>
        <w:rPr>
          <w:rFonts w:ascii="Arial" w:hAnsi="Arial" w:cs="Arial"/>
          <w:b/>
          <w:bCs/>
          <w:sz w:val="22"/>
          <w:szCs w:val="22"/>
        </w:rPr>
      </w:pPr>
      <w:r w:rsidRPr="00A019D5">
        <w:rPr>
          <w:rFonts w:ascii="Arial" w:hAnsi="Arial" w:cs="Arial"/>
          <w:b/>
          <w:bCs/>
          <w:sz w:val="22"/>
          <w:szCs w:val="22"/>
        </w:rPr>
        <w:t>References:</w:t>
      </w:r>
    </w:p>
    <w:p w14:paraId="1C284EA6" w14:textId="4B432310" w:rsidR="00F46AB9" w:rsidRDefault="00F46AB9" w:rsidP="0034218B">
      <w:pPr>
        <w:rPr>
          <w:rFonts w:ascii="Arial" w:hAnsi="Arial" w:cs="Arial"/>
          <w:sz w:val="22"/>
          <w:szCs w:val="22"/>
        </w:rPr>
      </w:pPr>
      <w:r w:rsidRPr="00F46AB9">
        <w:rPr>
          <w:rFonts w:ascii="Arial" w:hAnsi="Arial" w:cs="Arial"/>
          <w:b/>
          <w:bCs/>
          <w:sz w:val="22"/>
          <w:szCs w:val="22"/>
        </w:rPr>
        <w:t>ACAS (</w:t>
      </w:r>
      <w:r>
        <w:rPr>
          <w:rFonts w:ascii="Arial" w:hAnsi="Arial" w:cs="Arial"/>
          <w:b/>
          <w:bCs/>
          <w:sz w:val="22"/>
          <w:szCs w:val="22"/>
        </w:rPr>
        <w:t>2024</w:t>
      </w:r>
      <w:r w:rsidR="00AD3360">
        <w:rPr>
          <w:rFonts w:ascii="Arial" w:hAnsi="Arial" w:cs="Arial"/>
          <w:b/>
          <w:bCs/>
          <w:sz w:val="22"/>
          <w:szCs w:val="22"/>
        </w:rPr>
        <w:t>a</w:t>
      </w:r>
      <w:r w:rsidRPr="00F46AB9">
        <w:rPr>
          <w:rFonts w:ascii="Arial" w:hAnsi="Arial" w:cs="Arial"/>
          <w:b/>
          <w:bCs/>
          <w:sz w:val="22"/>
          <w:szCs w:val="22"/>
        </w:rPr>
        <w:t>)</w:t>
      </w:r>
      <w:r>
        <w:rPr>
          <w:rFonts w:ascii="Arial" w:hAnsi="Arial" w:cs="Arial"/>
          <w:b/>
          <w:bCs/>
          <w:sz w:val="22"/>
          <w:szCs w:val="22"/>
        </w:rPr>
        <w:t>.</w:t>
      </w:r>
      <w:r w:rsidRPr="00F46AB9">
        <w:rPr>
          <w:rFonts w:ascii="Arial" w:hAnsi="Arial" w:cs="Arial"/>
          <w:b/>
          <w:bCs/>
          <w:sz w:val="22"/>
          <w:szCs w:val="22"/>
        </w:rPr>
        <w:t xml:space="preserve"> </w:t>
      </w:r>
      <w:r w:rsidRPr="00F46AB9">
        <w:rPr>
          <w:rFonts w:ascii="Arial" w:hAnsi="Arial" w:cs="Arial"/>
          <w:i/>
          <w:iCs/>
          <w:sz w:val="22"/>
          <w:szCs w:val="22"/>
        </w:rPr>
        <w:t xml:space="preserve">Equal pay and the law. </w:t>
      </w:r>
      <w:r w:rsidRPr="00F46AB9">
        <w:rPr>
          <w:rFonts w:ascii="Arial" w:hAnsi="Arial" w:cs="Arial"/>
          <w:sz w:val="22"/>
          <w:szCs w:val="22"/>
        </w:rPr>
        <w:t xml:space="preserve">Available at: </w:t>
      </w:r>
      <w:hyperlink r:id="rId6" w:tgtFrame="_new" w:history="1">
        <w:r w:rsidRPr="00F46AB9">
          <w:rPr>
            <w:rStyle w:val="Hyperlink"/>
            <w:rFonts w:ascii="Arial" w:hAnsi="Arial" w:cs="Arial"/>
            <w:sz w:val="22"/>
            <w:szCs w:val="22"/>
          </w:rPr>
          <w:t>https://www.acas.org.uk/equal-pay/equal-pay-law</w:t>
        </w:r>
      </w:hyperlink>
      <w:r w:rsidRPr="00F46AB9">
        <w:rPr>
          <w:rFonts w:ascii="Arial" w:hAnsi="Arial" w:cs="Arial"/>
          <w:sz w:val="22"/>
          <w:szCs w:val="22"/>
        </w:rPr>
        <w:t xml:space="preserve"> </w:t>
      </w:r>
      <w:r>
        <w:rPr>
          <w:rFonts w:ascii="Arial" w:hAnsi="Arial" w:cs="Arial"/>
          <w:sz w:val="22"/>
          <w:szCs w:val="22"/>
        </w:rPr>
        <w:t>(</w:t>
      </w:r>
      <w:r w:rsidRPr="00F46AB9">
        <w:rPr>
          <w:rFonts w:ascii="Arial" w:hAnsi="Arial" w:cs="Arial"/>
          <w:sz w:val="22"/>
          <w:szCs w:val="22"/>
        </w:rPr>
        <w:t xml:space="preserve">Accessed </w:t>
      </w:r>
      <w:r>
        <w:rPr>
          <w:rFonts w:ascii="Arial" w:hAnsi="Arial" w:cs="Arial"/>
          <w:sz w:val="22"/>
          <w:szCs w:val="22"/>
        </w:rPr>
        <w:t xml:space="preserve">29 April </w:t>
      </w:r>
      <w:r w:rsidRPr="00F46AB9">
        <w:rPr>
          <w:rFonts w:ascii="Arial" w:hAnsi="Arial" w:cs="Arial"/>
          <w:sz w:val="22"/>
          <w:szCs w:val="22"/>
        </w:rPr>
        <w:t>2025</w:t>
      </w:r>
      <w:r>
        <w:rPr>
          <w:rFonts w:ascii="Arial" w:hAnsi="Arial" w:cs="Arial"/>
          <w:sz w:val="22"/>
          <w:szCs w:val="22"/>
        </w:rPr>
        <w:t>)</w:t>
      </w:r>
      <w:r w:rsidRPr="00F46AB9">
        <w:rPr>
          <w:rFonts w:ascii="Arial" w:hAnsi="Arial" w:cs="Arial"/>
          <w:sz w:val="22"/>
          <w:szCs w:val="22"/>
        </w:rPr>
        <w:t>.</w:t>
      </w:r>
    </w:p>
    <w:p w14:paraId="380868A8" w14:textId="4D2D4B8F" w:rsidR="0081258D" w:rsidRDefault="0081258D" w:rsidP="0034218B">
      <w:pPr>
        <w:rPr>
          <w:rFonts w:ascii="Arial" w:hAnsi="Arial" w:cs="Arial"/>
          <w:sz w:val="22"/>
          <w:szCs w:val="22"/>
        </w:rPr>
      </w:pPr>
      <w:r w:rsidRPr="0081258D">
        <w:rPr>
          <w:rFonts w:ascii="Arial" w:hAnsi="Arial" w:cs="Arial"/>
          <w:b/>
          <w:bCs/>
          <w:sz w:val="22"/>
          <w:szCs w:val="22"/>
        </w:rPr>
        <w:t>ACAS (2025).</w:t>
      </w:r>
      <w:r w:rsidRPr="0081258D">
        <w:rPr>
          <w:rFonts w:ascii="Arial" w:hAnsi="Arial" w:cs="Arial"/>
          <w:i/>
          <w:iCs/>
          <w:sz w:val="22"/>
          <w:szCs w:val="22"/>
        </w:rPr>
        <w:t xml:space="preserve"> Managing staff redundancies. </w:t>
      </w:r>
      <w:r w:rsidRPr="0081258D">
        <w:rPr>
          <w:rFonts w:ascii="Arial" w:hAnsi="Arial" w:cs="Arial"/>
          <w:sz w:val="22"/>
          <w:szCs w:val="22"/>
        </w:rPr>
        <w:t xml:space="preserve">Available at: </w:t>
      </w:r>
      <w:hyperlink r:id="rId7" w:tgtFrame="_new" w:history="1">
        <w:r w:rsidRPr="0081258D">
          <w:rPr>
            <w:rStyle w:val="Hyperlink"/>
            <w:rFonts w:ascii="Arial" w:hAnsi="Arial" w:cs="Arial"/>
            <w:sz w:val="22"/>
            <w:szCs w:val="22"/>
          </w:rPr>
          <w:t>https://www.acas.org.uk/manage-staff-redundancies</w:t>
        </w:r>
      </w:hyperlink>
      <w:r w:rsidRPr="0081258D">
        <w:rPr>
          <w:rFonts w:ascii="Arial" w:hAnsi="Arial" w:cs="Arial"/>
          <w:sz w:val="22"/>
          <w:szCs w:val="22"/>
        </w:rPr>
        <w:t xml:space="preserve"> </w:t>
      </w:r>
      <w:r>
        <w:rPr>
          <w:rFonts w:ascii="Arial" w:hAnsi="Arial" w:cs="Arial"/>
          <w:sz w:val="22"/>
          <w:szCs w:val="22"/>
        </w:rPr>
        <w:t>(</w:t>
      </w:r>
      <w:r w:rsidRPr="0081258D">
        <w:rPr>
          <w:rFonts w:ascii="Arial" w:hAnsi="Arial" w:cs="Arial"/>
          <w:sz w:val="22"/>
          <w:szCs w:val="22"/>
        </w:rPr>
        <w:t xml:space="preserve">Accessed </w:t>
      </w:r>
      <w:r>
        <w:rPr>
          <w:rFonts w:ascii="Arial" w:hAnsi="Arial" w:cs="Arial"/>
          <w:sz w:val="22"/>
          <w:szCs w:val="22"/>
        </w:rPr>
        <w:t xml:space="preserve">29 April </w:t>
      </w:r>
      <w:r w:rsidRPr="0081258D">
        <w:rPr>
          <w:rFonts w:ascii="Arial" w:hAnsi="Arial" w:cs="Arial"/>
          <w:sz w:val="22"/>
          <w:szCs w:val="22"/>
        </w:rPr>
        <w:t>2025</w:t>
      </w:r>
      <w:r>
        <w:rPr>
          <w:rFonts w:ascii="Arial" w:hAnsi="Arial" w:cs="Arial"/>
          <w:sz w:val="22"/>
          <w:szCs w:val="22"/>
        </w:rPr>
        <w:t>)</w:t>
      </w:r>
      <w:r w:rsidRPr="0081258D">
        <w:rPr>
          <w:rFonts w:ascii="Arial" w:hAnsi="Arial" w:cs="Arial"/>
          <w:sz w:val="22"/>
          <w:szCs w:val="22"/>
        </w:rPr>
        <w:t>.</w:t>
      </w:r>
    </w:p>
    <w:p w14:paraId="5132F80E" w14:textId="75D4EA07" w:rsidR="003058B6" w:rsidRDefault="003058B6" w:rsidP="0034218B">
      <w:pPr>
        <w:rPr>
          <w:rFonts w:ascii="Arial" w:hAnsi="Arial" w:cs="Arial"/>
          <w:sz w:val="22"/>
          <w:szCs w:val="22"/>
        </w:rPr>
      </w:pPr>
      <w:r w:rsidRPr="003058B6">
        <w:rPr>
          <w:rFonts w:ascii="Arial" w:hAnsi="Arial" w:cs="Arial"/>
          <w:b/>
          <w:bCs/>
          <w:sz w:val="22"/>
          <w:szCs w:val="22"/>
        </w:rPr>
        <w:t>ACAS (2024b).</w:t>
      </w:r>
      <w:r w:rsidRPr="003058B6">
        <w:rPr>
          <w:rFonts w:ascii="Arial" w:hAnsi="Arial" w:cs="Arial"/>
          <w:sz w:val="22"/>
          <w:szCs w:val="22"/>
        </w:rPr>
        <w:t xml:space="preserve"> </w:t>
      </w:r>
      <w:r w:rsidRPr="003058B6">
        <w:rPr>
          <w:rFonts w:ascii="Arial" w:hAnsi="Arial" w:cs="Arial"/>
          <w:i/>
          <w:iCs/>
          <w:sz w:val="22"/>
          <w:szCs w:val="22"/>
        </w:rPr>
        <w:t>Irregular hours and part-year workers</w:t>
      </w:r>
      <w:r>
        <w:rPr>
          <w:rFonts w:ascii="Arial" w:hAnsi="Arial" w:cs="Arial"/>
          <w:i/>
          <w:iCs/>
          <w:sz w:val="22"/>
          <w:szCs w:val="22"/>
        </w:rPr>
        <w:t xml:space="preserve">. </w:t>
      </w:r>
      <w:r w:rsidRPr="003058B6">
        <w:rPr>
          <w:rFonts w:ascii="Arial" w:hAnsi="Arial" w:cs="Arial"/>
          <w:sz w:val="22"/>
          <w:szCs w:val="22"/>
        </w:rPr>
        <w:t xml:space="preserve">Available at: </w:t>
      </w:r>
      <w:hyperlink r:id="rId8" w:tgtFrame="_new" w:history="1">
        <w:r w:rsidRPr="003058B6">
          <w:rPr>
            <w:rStyle w:val="Hyperlink"/>
            <w:rFonts w:ascii="Arial" w:hAnsi="Arial" w:cs="Arial"/>
            <w:sz w:val="22"/>
            <w:szCs w:val="22"/>
          </w:rPr>
          <w:t>https://www.acas.org.uk/irregular-hours-and-part-year-workers/calculating-holiday-pay</w:t>
        </w:r>
      </w:hyperlink>
      <w:r w:rsidRPr="003058B6">
        <w:rPr>
          <w:rFonts w:ascii="Arial" w:hAnsi="Arial" w:cs="Arial"/>
          <w:sz w:val="22"/>
          <w:szCs w:val="22"/>
        </w:rPr>
        <w:t xml:space="preserve"> (Accessed</w:t>
      </w:r>
      <w:r>
        <w:rPr>
          <w:rFonts w:ascii="Arial" w:hAnsi="Arial" w:cs="Arial"/>
          <w:sz w:val="22"/>
          <w:szCs w:val="22"/>
        </w:rPr>
        <w:t xml:space="preserve"> 29</w:t>
      </w:r>
      <w:r w:rsidRPr="003058B6">
        <w:rPr>
          <w:rFonts w:ascii="Arial" w:hAnsi="Arial" w:cs="Arial"/>
          <w:sz w:val="22"/>
          <w:szCs w:val="22"/>
        </w:rPr>
        <w:t xml:space="preserve"> </w:t>
      </w:r>
      <w:r>
        <w:rPr>
          <w:rFonts w:ascii="Arial" w:hAnsi="Arial" w:cs="Arial"/>
          <w:sz w:val="22"/>
          <w:szCs w:val="22"/>
        </w:rPr>
        <w:t>April</w:t>
      </w:r>
      <w:r w:rsidRPr="003058B6">
        <w:rPr>
          <w:rFonts w:ascii="Arial" w:hAnsi="Arial" w:cs="Arial"/>
          <w:sz w:val="22"/>
          <w:szCs w:val="22"/>
        </w:rPr>
        <w:t xml:space="preserve"> 2025).</w:t>
      </w:r>
    </w:p>
    <w:p w14:paraId="4C369262" w14:textId="4EF4203C" w:rsidR="003058B6" w:rsidRPr="0081258D" w:rsidRDefault="003058B6" w:rsidP="0034218B">
      <w:pPr>
        <w:rPr>
          <w:rFonts w:ascii="Arial" w:hAnsi="Arial" w:cs="Arial"/>
          <w:sz w:val="22"/>
          <w:szCs w:val="22"/>
        </w:rPr>
      </w:pPr>
      <w:r w:rsidRPr="003058B6">
        <w:rPr>
          <w:rFonts w:ascii="Arial" w:hAnsi="Arial" w:cs="Arial"/>
          <w:b/>
          <w:bCs/>
          <w:sz w:val="22"/>
          <w:szCs w:val="22"/>
        </w:rPr>
        <w:t>ACAS (2024c).</w:t>
      </w:r>
      <w:r w:rsidRPr="003058B6">
        <w:rPr>
          <w:rFonts w:ascii="Arial" w:hAnsi="Arial" w:cs="Arial"/>
          <w:sz w:val="22"/>
          <w:szCs w:val="22"/>
        </w:rPr>
        <w:t xml:space="preserve"> </w:t>
      </w:r>
      <w:r w:rsidRPr="003058B6">
        <w:rPr>
          <w:rFonts w:ascii="Arial" w:hAnsi="Arial" w:cs="Arial"/>
          <w:i/>
          <w:iCs/>
          <w:sz w:val="22"/>
          <w:szCs w:val="22"/>
        </w:rPr>
        <w:t>Rolled-up holiday pay</w:t>
      </w:r>
      <w:r w:rsidRPr="003058B6">
        <w:rPr>
          <w:rFonts w:ascii="Arial" w:hAnsi="Arial" w:cs="Arial"/>
          <w:sz w:val="22"/>
          <w:szCs w:val="22"/>
        </w:rPr>
        <w:t xml:space="preserve">. Available at: </w:t>
      </w:r>
      <w:hyperlink r:id="rId9" w:tgtFrame="_new" w:history="1">
        <w:r w:rsidRPr="003058B6">
          <w:rPr>
            <w:rStyle w:val="Hyperlink"/>
            <w:rFonts w:ascii="Arial" w:hAnsi="Arial" w:cs="Arial"/>
            <w:sz w:val="22"/>
            <w:szCs w:val="22"/>
          </w:rPr>
          <w:t>https://www.acas.org.uk/irregular-hours-and-part-year-workers/rolled-up-holiday-pay</w:t>
        </w:r>
      </w:hyperlink>
      <w:r w:rsidRPr="003058B6">
        <w:rPr>
          <w:rFonts w:ascii="Arial" w:hAnsi="Arial" w:cs="Arial"/>
          <w:sz w:val="22"/>
          <w:szCs w:val="22"/>
        </w:rPr>
        <w:t xml:space="preserve"> (Accessed</w:t>
      </w:r>
      <w:r>
        <w:rPr>
          <w:rFonts w:ascii="Arial" w:hAnsi="Arial" w:cs="Arial"/>
          <w:sz w:val="22"/>
          <w:szCs w:val="22"/>
        </w:rPr>
        <w:t xml:space="preserve"> 29 April</w:t>
      </w:r>
      <w:r w:rsidRPr="003058B6">
        <w:rPr>
          <w:rFonts w:ascii="Arial" w:hAnsi="Arial" w:cs="Arial"/>
          <w:sz w:val="22"/>
          <w:szCs w:val="22"/>
        </w:rPr>
        <w:t xml:space="preserve"> 2025).</w:t>
      </w:r>
    </w:p>
    <w:p w14:paraId="6421A80B" w14:textId="452FA55B" w:rsidR="0034218B" w:rsidRPr="0034218B" w:rsidRDefault="0034218B" w:rsidP="0034218B">
      <w:pPr>
        <w:rPr>
          <w:rFonts w:ascii="Arial" w:hAnsi="Arial" w:cs="Arial"/>
          <w:sz w:val="22"/>
          <w:szCs w:val="22"/>
        </w:rPr>
      </w:pPr>
      <w:r w:rsidRPr="0034218B">
        <w:rPr>
          <w:rFonts w:ascii="Arial" w:hAnsi="Arial" w:cs="Arial"/>
          <w:b/>
          <w:bCs/>
          <w:sz w:val="22"/>
          <w:szCs w:val="22"/>
        </w:rPr>
        <w:t>Armstrong, M., &amp; Taylor, S. (20</w:t>
      </w:r>
      <w:r w:rsidR="00C819DF">
        <w:rPr>
          <w:rFonts w:ascii="Arial" w:hAnsi="Arial" w:cs="Arial"/>
          <w:b/>
          <w:bCs/>
          <w:sz w:val="22"/>
          <w:szCs w:val="22"/>
        </w:rPr>
        <w:t>23</w:t>
      </w:r>
      <w:r w:rsidRPr="0034218B">
        <w:rPr>
          <w:rFonts w:ascii="Arial" w:hAnsi="Arial" w:cs="Arial"/>
          <w:b/>
          <w:bCs/>
          <w:sz w:val="22"/>
          <w:szCs w:val="22"/>
        </w:rPr>
        <w:t xml:space="preserve">). </w:t>
      </w:r>
      <w:r w:rsidRPr="0034218B">
        <w:rPr>
          <w:rFonts w:ascii="Arial" w:hAnsi="Arial" w:cs="Arial"/>
          <w:i/>
          <w:iCs/>
          <w:sz w:val="22"/>
          <w:szCs w:val="22"/>
        </w:rPr>
        <w:t>Armstrong’s Handbook of Human Resource Management Practice</w:t>
      </w:r>
      <w:r w:rsidRPr="0034218B">
        <w:rPr>
          <w:rFonts w:ascii="Arial" w:hAnsi="Arial" w:cs="Arial"/>
          <w:sz w:val="22"/>
          <w:szCs w:val="22"/>
        </w:rPr>
        <w:t>. 16th ed. London: Kogan Page.</w:t>
      </w:r>
    </w:p>
    <w:p w14:paraId="44463FF5" w14:textId="1B6ABC60" w:rsidR="0062414A" w:rsidRPr="0062414A" w:rsidRDefault="0062414A" w:rsidP="0034218B">
      <w:pPr>
        <w:rPr>
          <w:rFonts w:ascii="Arial" w:hAnsi="Arial" w:cs="Arial"/>
          <w:i/>
          <w:iCs/>
          <w:sz w:val="22"/>
          <w:szCs w:val="22"/>
        </w:rPr>
      </w:pPr>
      <w:r w:rsidRPr="0062414A">
        <w:rPr>
          <w:rFonts w:ascii="Arial" w:hAnsi="Arial" w:cs="Arial"/>
          <w:b/>
          <w:bCs/>
          <w:sz w:val="22"/>
          <w:szCs w:val="22"/>
        </w:rPr>
        <w:t>CIPD (2025</w:t>
      </w:r>
      <w:r w:rsidR="009A446D">
        <w:rPr>
          <w:rFonts w:ascii="Arial" w:hAnsi="Arial" w:cs="Arial"/>
          <w:b/>
          <w:bCs/>
          <w:sz w:val="22"/>
          <w:szCs w:val="22"/>
        </w:rPr>
        <w:t>a</w:t>
      </w:r>
      <w:r w:rsidRPr="0062414A">
        <w:rPr>
          <w:rFonts w:ascii="Arial" w:hAnsi="Arial" w:cs="Arial"/>
          <w:b/>
          <w:bCs/>
          <w:sz w:val="22"/>
          <w:szCs w:val="22"/>
        </w:rPr>
        <w:t>).</w:t>
      </w:r>
      <w:r w:rsidRPr="0062414A">
        <w:rPr>
          <w:rFonts w:ascii="Arial" w:hAnsi="Arial" w:cs="Arial"/>
          <w:sz w:val="22"/>
          <w:szCs w:val="22"/>
        </w:rPr>
        <w:t xml:space="preserve"> </w:t>
      </w:r>
      <w:r w:rsidRPr="0062414A">
        <w:rPr>
          <w:rFonts w:ascii="Arial" w:hAnsi="Arial" w:cs="Arial"/>
          <w:i/>
          <w:iCs/>
          <w:sz w:val="22"/>
          <w:szCs w:val="22"/>
        </w:rPr>
        <w:t>Recruitment: UK employment law</w:t>
      </w:r>
      <w:r w:rsidRPr="0062414A">
        <w:rPr>
          <w:rFonts w:ascii="Arial" w:hAnsi="Arial" w:cs="Arial"/>
          <w:sz w:val="22"/>
          <w:szCs w:val="22"/>
        </w:rPr>
        <w:t xml:space="preserve">. Available at: </w:t>
      </w:r>
      <w:hyperlink r:id="rId10" w:tgtFrame="_new" w:history="1">
        <w:r w:rsidRPr="0062414A">
          <w:rPr>
            <w:rStyle w:val="Hyperlink"/>
            <w:rFonts w:ascii="Arial" w:hAnsi="Arial" w:cs="Arial"/>
            <w:sz w:val="22"/>
            <w:szCs w:val="22"/>
          </w:rPr>
          <w:t>https://www.cipd.org/uk/knowledge/employment-law/recruitment/</w:t>
        </w:r>
      </w:hyperlink>
      <w:r w:rsidRPr="0062414A">
        <w:rPr>
          <w:rFonts w:ascii="Arial" w:hAnsi="Arial" w:cs="Arial"/>
          <w:sz w:val="22"/>
          <w:szCs w:val="22"/>
        </w:rPr>
        <w:t xml:space="preserve"> (Accessed: </w:t>
      </w:r>
      <w:r>
        <w:rPr>
          <w:rFonts w:ascii="Arial" w:hAnsi="Arial" w:cs="Arial"/>
          <w:sz w:val="22"/>
          <w:szCs w:val="22"/>
        </w:rPr>
        <w:t>29 April</w:t>
      </w:r>
      <w:r w:rsidRPr="0062414A">
        <w:rPr>
          <w:rFonts w:ascii="Arial" w:hAnsi="Arial" w:cs="Arial"/>
          <w:sz w:val="22"/>
          <w:szCs w:val="22"/>
        </w:rPr>
        <w:t xml:space="preserve"> 2025).</w:t>
      </w:r>
    </w:p>
    <w:p w14:paraId="0BED58DA" w14:textId="08D49BC8" w:rsidR="004A228D" w:rsidRDefault="004A228D" w:rsidP="0034218B">
      <w:pPr>
        <w:rPr>
          <w:rFonts w:ascii="Arial" w:hAnsi="Arial" w:cs="Arial"/>
          <w:sz w:val="22"/>
          <w:szCs w:val="22"/>
        </w:rPr>
      </w:pPr>
      <w:r w:rsidRPr="004A228D">
        <w:rPr>
          <w:rFonts w:ascii="Arial" w:hAnsi="Arial" w:cs="Arial"/>
          <w:b/>
          <w:bCs/>
          <w:sz w:val="22"/>
          <w:szCs w:val="22"/>
        </w:rPr>
        <w:t>CIPD (2024</w:t>
      </w:r>
      <w:r w:rsidR="00B745A3">
        <w:rPr>
          <w:rFonts w:ascii="Arial" w:hAnsi="Arial" w:cs="Arial"/>
          <w:b/>
          <w:bCs/>
          <w:sz w:val="22"/>
          <w:szCs w:val="22"/>
        </w:rPr>
        <w:t>a</w:t>
      </w:r>
      <w:r w:rsidRPr="004A228D">
        <w:rPr>
          <w:rFonts w:ascii="Arial" w:hAnsi="Arial" w:cs="Arial"/>
          <w:b/>
          <w:bCs/>
          <w:sz w:val="22"/>
          <w:szCs w:val="22"/>
        </w:rPr>
        <w:t>)</w:t>
      </w:r>
      <w:r w:rsidR="00E7320B">
        <w:rPr>
          <w:rFonts w:ascii="Arial" w:hAnsi="Arial" w:cs="Arial"/>
          <w:b/>
          <w:bCs/>
          <w:sz w:val="22"/>
          <w:szCs w:val="22"/>
        </w:rPr>
        <w:t>.</w:t>
      </w:r>
      <w:r w:rsidRPr="004A228D">
        <w:rPr>
          <w:rFonts w:ascii="Arial" w:hAnsi="Arial" w:cs="Arial"/>
          <w:sz w:val="22"/>
          <w:szCs w:val="22"/>
        </w:rPr>
        <w:t xml:space="preserve"> </w:t>
      </w:r>
      <w:r w:rsidR="009A446D" w:rsidRPr="009A446D">
        <w:rPr>
          <w:rFonts w:ascii="Arial" w:hAnsi="Arial" w:cs="Arial"/>
          <w:i/>
          <w:iCs/>
          <w:sz w:val="22"/>
          <w:szCs w:val="22"/>
        </w:rPr>
        <w:t>UK employment law and the EU</w:t>
      </w:r>
      <w:r w:rsidR="00DB2A94">
        <w:rPr>
          <w:rFonts w:ascii="Arial" w:hAnsi="Arial" w:cs="Arial"/>
          <w:i/>
          <w:iCs/>
          <w:sz w:val="22"/>
          <w:szCs w:val="22"/>
        </w:rPr>
        <w:t xml:space="preserve">. </w:t>
      </w:r>
      <w:r w:rsidRPr="004A228D">
        <w:rPr>
          <w:rFonts w:ascii="Arial" w:hAnsi="Arial" w:cs="Arial"/>
          <w:sz w:val="22"/>
          <w:szCs w:val="22"/>
        </w:rPr>
        <w:t xml:space="preserve">Available at: </w:t>
      </w:r>
      <w:hyperlink r:id="rId11" w:tgtFrame="_new" w:history="1">
        <w:r w:rsidRPr="004A228D">
          <w:rPr>
            <w:rStyle w:val="Hyperlink"/>
            <w:rFonts w:ascii="Arial" w:hAnsi="Arial" w:cs="Arial"/>
            <w:sz w:val="22"/>
            <w:szCs w:val="22"/>
          </w:rPr>
          <w:t>https://www.cipd.org/uk/knowledge/employment-law/uk-employment-law-eu/</w:t>
        </w:r>
      </w:hyperlink>
      <w:r w:rsidRPr="004A228D">
        <w:rPr>
          <w:rFonts w:ascii="Arial" w:hAnsi="Arial" w:cs="Arial"/>
          <w:sz w:val="22"/>
          <w:szCs w:val="22"/>
        </w:rPr>
        <w:t xml:space="preserve"> </w:t>
      </w:r>
      <w:r w:rsidR="0062414A">
        <w:rPr>
          <w:rFonts w:ascii="Arial" w:hAnsi="Arial" w:cs="Arial"/>
          <w:sz w:val="22"/>
          <w:szCs w:val="22"/>
        </w:rPr>
        <w:t>(</w:t>
      </w:r>
      <w:r w:rsidRPr="004A228D">
        <w:rPr>
          <w:rFonts w:ascii="Arial" w:hAnsi="Arial" w:cs="Arial"/>
          <w:sz w:val="22"/>
          <w:szCs w:val="22"/>
        </w:rPr>
        <w:t xml:space="preserve">Accessed </w:t>
      </w:r>
      <w:r>
        <w:rPr>
          <w:rFonts w:ascii="Arial" w:hAnsi="Arial" w:cs="Arial"/>
          <w:sz w:val="22"/>
          <w:szCs w:val="22"/>
        </w:rPr>
        <w:t>29</w:t>
      </w:r>
      <w:r w:rsidRPr="004A228D">
        <w:rPr>
          <w:rFonts w:ascii="Arial" w:hAnsi="Arial" w:cs="Arial"/>
          <w:sz w:val="22"/>
          <w:szCs w:val="22"/>
        </w:rPr>
        <w:t xml:space="preserve"> </w:t>
      </w:r>
      <w:r>
        <w:rPr>
          <w:rFonts w:ascii="Arial" w:hAnsi="Arial" w:cs="Arial"/>
          <w:sz w:val="22"/>
          <w:szCs w:val="22"/>
        </w:rPr>
        <w:t>April</w:t>
      </w:r>
      <w:r w:rsidRPr="004A228D">
        <w:rPr>
          <w:rFonts w:ascii="Arial" w:hAnsi="Arial" w:cs="Arial"/>
          <w:sz w:val="22"/>
          <w:szCs w:val="22"/>
        </w:rPr>
        <w:t xml:space="preserve"> 2025</w:t>
      </w:r>
      <w:r w:rsidR="0062414A">
        <w:rPr>
          <w:rFonts w:ascii="Arial" w:hAnsi="Arial" w:cs="Arial"/>
          <w:sz w:val="22"/>
          <w:szCs w:val="22"/>
        </w:rPr>
        <w:t>)</w:t>
      </w:r>
      <w:r w:rsidRPr="004A228D">
        <w:rPr>
          <w:rFonts w:ascii="Arial" w:hAnsi="Arial" w:cs="Arial"/>
          <w:sz w:val="22"/>
          <w:szCs w:val="22"/>
        </w:rPr>
        <w:t>.</w:t>
      </w:r>
    </w:p>
    <w:p w14:paraId="4F93CA3C" w14:textId="38E4D367" w:rsidR="00DA114F" w:rsidRDefault="00DA114F" w:rsidP="0034218B">
      <w:pPr>
        <w:rPr>
          <w:rFonts w:ascii="Arial" w:hAnsi="Arial" w:cs="Arial"/>
          <w:sz w:val="22"/>
          <w:szCs w:val="22"/>
        </w:rPr>
      </w:pPr>
      <w:r w:rsidRPr="00DA114F">
        <w:rPr>
          <w:rFonts w:ascii="Arial" w:hAnsi="Arial" w:cs="Arial"/>
          <w:b/>
          <w:bCs/>
          <w:sz w:val="22"/>
          <w:szCs w:val="22"/>
        </w:rPr>
        <w:t>CIPD (2025b).</w:t>
      </w:r>
      <w:r w:rsidRPr="00DA114F">
        <w:rPr>
          <w:rFonts w:ascii="Arial" w:hAnsi="Arial" w:cs="Arial"/>
          <w:sz w:val="22"/>
          <w:szCs w:val="22"/>
        </w:rPr>
        <w:t xml:space="preserve"> </w:t>
      </w:r>
      <w:r w:rsidRPr="00DA114F">
        <w:rPr>
          <w:rFonts w:ascii="Arial" w:hAnsi="Arial" w:cs="Arial"/>
          <w:i/>
          <w:iCs/>
          <w:sz w:val="22"/>
          <w:szCs w:val="22"/>
        </w:rPr>
        <w:t>Equal pay: UK employment law.</w:t>
      </w:r>
      <w:r w:rsidRPr="00DA114F">
        <w:rPr>
          <w:rFonts w:ascii="Arial" w:hAnsi="Arial" w:cs="Arial"/>
          <w:sz w:val="22"/>
          <w:szCs w:val="22"/>
        </w:rPr>
        <w:t xml:space="preserve"> Available at: </w:t>
      </w:r>
      <w:hyperlink r:id="rId12" w:tgtFrame="_new" w:history="1">
        <w:r w:rsidRPr="00DA114F">
          <w:rPr>
            <w:rStyle w:val="Hyperlink"/>
            <w:rFonts w:ascii="Arial" w:hAnsi="Arial" w:cs="Arial"/>
            <w:sz w:val="22"/>
            <w:szCs w:val="22"/>
          </w:rPr>
          <w:t>https://www.cipd.org/uk/knowledge/employment-law/equal-pay</w:t>
        </w:r>
      </w:hyperlink>
      <w:r w:rsidRPr="00DA114F">
        <w:rPr>
          <w:rFonts w:ascii="Arial" w:hAnsi="Arial" w:cs="Arial"/>
          <w:sz w:val="22"/>
          <w:szCs w:val="22"/>
        </w:rPr>
        <w:t xml:space="preserve"> </w:t>
      </w:r>
      <w:r>
        <w:rPr>
          <w:rFonts w:ascii="Arial" w:hAnsi="Arial" w:cs="Arial"/>
          <w:sz w:val="22"/>
          <w:szCs w:val="22"/>
        </w:rPr>
        <w:t>(</w:t>
      </w:r>
      <w:r w:rsidRPr="00DA114F">
        <w:rPr>
          <w:rFonts w:ascii="Arial" w:hAnsi="Arial" w:cs="Arial"/>
          <w:sz w:val="22"/>
          <w:szCs w:val="22"/>
        </w:rPr>
        <w:t xml:space="preserve">Accessed </w:t>
      </w:r>
      <w:r>
        <w:rPr>
          <w:rFonts w:ascii="Arial" w:hAnsi="Arial" w:cs="Arial"/>
          <w:sz w:val="22"/>
          <w:szCs w:val="22"/>
        </w:rPr>
        <w:t>29</w:t>
      </w:r>
      <w:r w:rsidRPr="00DA114F">
        <w:rPr>
          <w:rFonts w:ascii="Arial" w:hAnsi="Arial" w:cs="Arial"/>
          <w:sz w:val="22"/>
          <w:szCs w:val="22"/>
        </w:rPr>
        <w:t xml:space="preserve"> </w:t>
      </w:r>
      <w:r>
        <w:rPr>
          <w:rFonts w:ascii="Arial" w:hAnsi="Arial" w:cs="Arial"/>
          <w:sz w:val="22"/>
          <w:szCs w:val="22"/>
        </w:rPr>
        <w:t>April</w:t>
      </w:r>
      <w:r w:rsidRPr="00DA114F">
        <w:rPr>
          <w:rFonts w:ascii="Arial" w:hAnsi="Arial" w:cs="Arial"/>
          <w:sz w:val="22"/>
          <w:szCs w:val="22"/>
        </w:rPr>
        <w:t xml:space="preserve"> 2025</w:t>
      </w:r>
      <w:r>
        <w:rPr>
          <w:rFonts w:ascii="Arial" w:hAnsi="Arial" w:cs="Arial"/>
          <w:sz w:val="22"/>
          <w:szCs w:val="22"/>
        </w:rPr>
        <w:t>)</w:t>
      </w:r>
      <w:r w:rsidRPr="00DA114F">
        <w:rPr>
          <w:rFonts w:ascii="Arial" w:hAnsi="Arial" w:cs="Arial"/>
          <w:sz w:val="22"/>
          <w:szCs w:val="22"/>
        </w:rPr>
        <w:t>.</w:t>
      </w:r>
    </w:p>
    <w:p w14:paraId="05C09891" w14:textId="18C89C6C" w:rsidR="00B745A3" w:rsidRDefault="00B745A3" w:rsidP="0034218B">
      <w:pPr>
        <w:rPr>
          <w:rFonts w:ascii="Arial" w:hAnsi="Arial" w:cs="Arial"/>
          <w:sz w:val="22"/>
          <w:szCs w:val="22"/>
        </w:rPr>
      </w:pPr>
      <w:r w:rsidRPr="00B745A3">
        <w:rPr>
          <w:rFonts w:ascii="Arial" w:hAnsi="Arial" w:cs="Arial"/>
          <w:b/>
          <w:bCs/>
          <w:sz w:val="22"/>
          <w:szCs w:val="22"/>
        </w:rPr>
        <w:t>CIPD (2024b).</w:t>
      </w:r>
      <w:r w:rsidRPr="00B745A3">
        <w:rPr>
          <w:rFonts w:ascii="Arial" w:hAnsi="Arial" w:cs="Arial"/>
          <w:sz w:val="22"/>
          <w:szCs w:val="22"/>
        </w:rPr>
        <w:t xml:space="preserve"> </w:t>
      </w:r>
      <w:r w:rsidRPr="00B745A3">
        <w:rPr>
          <w:rFonts w:ascii="Arial" w:hAnsi="Arial" w:cs="Arial"/>
          <w:i/>
          <w:iCs/>
          <w:sz w:val="22"/>
          <w:szCs w:val="22"/>
        </w:rPr>
        <w:t>Dismissal procedures</w:t>
      </w:r>
      <w:r>
        <w:rPr>
          <w:rFonts w:ascii="Arial" w:hAnsi="Arial" w:cs="Arial"/>
          <w:i/>
          <w:iCs/>
          <w:sz w:val="22"/>
          <w:szCs w:val="22"/>
        </w:rPr>
        <w:t xml:space="preserve">. </w:t>
      </w:r>
      <w:r w:rsidRPr="00B745A3">
        <w:rPr>
          <w:rFonts w:ascii="Arial" w:hAnsi="Arial" w:cs="Arial"/>
          <w:sz w:val="22"/>
          <w:szCs w:val="22"/>
        </w:rPr>
        <w:t xml:space="preserve">Available at: </w:t>
      </w:r>
      <w:hyperlink r:id="rId13" w:tgtFrame="_new" w:history="1">
        <w:r w:rsidRPr="00B745A3">
          <w:rPr>
            <w:rStyle w:val="Hyperlink"/>
            <w:rFonts w:ascii="Arial" w:hAnsi="Arial" w:cs="Arial"/>
            <w:sz w:val="22"/>
            <w:szCs w:val="22"/>
          </w:rPr>
          <w:t>https://www.cipd.org/uk/knowledge/factsheets/dismissal-factsheet/</w:t>
        </w:r>
      </w:hyperlink>
      <w:r w:rsidRPr="00B745A3">
        <w:rPr>
          <w:rFonts w:ascii="Arial" w:hAnsi="Arial" w:cs="Arial"/>
          <w:sz w:val="22"/>
          <w:szCs w:val="22"/>
        </w:rPr>
        <w:t xml:space="preserve"> </w:t>
      </w:r>
      <w:r>
        <w:rPr>
          <w:rFonts w:ascii="Arial" w:hAnsi="Arial" w:cs="Arial"/>
          <w:sz w:val="22"/>
          <w:szCs w:val="22"/>
        </w:rPr>
        <w:t>(</w:t>
      </w:r>
      <w:r w:rsidRPr="00B745A3">
        <w:rPr>
          <w:rFonts w:ascii="Arial" w:hAnsi="Arial" w:cs="Arial"/>
          <w:sz w:val="22"/>
          <w:szCs w:val="22"/>
        </w:rPr>
        <w:t xml:space="preserve">Accessed </w:t>
      </w:r>
      <w:r>
        <w:rPr>
          <w:rFonts w:ascii="Arial" w:hAnsi="Arial" w:cs="Arial"/>
          <w:sz w:val="22"/>
          <w:szCs w:val="22"/>
        </w:rPr>
        <w:t xml:space="preserve">29 April </w:t>
      </w:r>
      <w:r w:rsidRPr="00B745A3">
        <w:rPr>
          <w:rFonts w:ascii="Arial" w:hAnsi="Arial" w:cs="Arial"/>
          <w:sz w:val="22"/>
          <w:szCs w:val="22"/>
        </w:rPr>
        <w:t>2025</w:t>
      </w:r>
      <w:r>
        <w:rPr>
          <w:rFonts w:ascii="Arial" w:hAnsi="Arial" w:cs="Arial"/>
          <w:sz w:val="22"/>
          <w:szCs w:val="22"/>
        </w:rPr>
        <w:t>)</w:t>
      </w:r>
      <w:r w:rsidRPr="00B745A3">
        <w:rPr>
          <w:rFonts w:ascii="Arial" w:hAnsi="Arial" w:cs="Arial"/>
          <w:sz w:val="22"/>
          <w:szCs w:val="22"/>
        </w:rPr>
        <w:t>.</w:t>
      </w:r>
    </w:p>
    <w:p w14:paraId="10CC7CB5" w14:textId="7FB1F2C7" w:rsidR="00DC2CC5" w:rsidRDefault="00DC2CC5" w:rsidP="0034218B">
      <w:pPr>
        <w:rPr>
          <w:rFonts w:ascii="Arial" w:hAnsi="Arial" w:cs="Arial"/>
          <w:sz w:val="22"/>
          <w:szCs w:val="22"/>
        </w:rPr>
      </w:pPr>
      <w:r w:rsidRPr="00DC2CC5">
        <w:rPr>
          <w:rFonts w:ascii="Arial" w:hAnsi="Arial" w:cs="Arial"/>
          <w:b/>
          <w:bCs/>
          <w:sz w:val="22"/>
          <w:szCs w:val="22"/>
        </w:rPr>
        <w:t>CIPD (2024c)</w:t>
      </w:r>
      <w:r>
        <w:rPr>
          <w:rFonts w:ascii="Arial" w:hAnsi="Arial" w:cs="Arial"/>
          <w:b/>
          <w:bCs/>
          <w:sz w:val="22"/>
          <w:szCs w:val="22"/>
        </w:rPr>
        <w:t>.</w:t>
      </w:r>
      <w:r w:rsidRPr="00DC2CC5">
        <w:rPr>
          <w:rFonts w:ascii="Arial" w:hAnsi="Arial" w:cs="Arial"/>
          <w:sz w:val="22"/>
          <w:szCs w:val="22"/>
        </w:rPr>
        <w:t xml:space="preserve"> </w:t>
      </w:r>
      <w:r w:rsidRPr="00DC2CC5">
        <w:rPr>
          <w:rFonts w:ascii="Arial" w:hAnsi="Arial" w:cs="Arial"/>
          <w:i/>
          <w:iCs/>
          <w:sz w:val="22"/>
          <w:szCs w:val="22"/>
        </w:rPr>
        <w:t>Redundancy: UK Employment Law</w:t>
      </w:r>
      <w:r>
        <w:rPr>
          <w:rFonts w:ascii="Arial" w:hAnsi="Arial" w:cs="Arial"/>
          <w:sz w:val="22"/>
          <w:szCs w:val="22"/>
        </w:rPr>
        <w:t>.</w:t>
      </w:r>
      <w:r w:rsidRPr="00DC2CC5">
        <w:rPr>
          <w:rFonts w:ascii="Arial" w:hAnsi="Arial" w:cs="Arial"/>
          <w:sz w:val="22"/>
          <w:szCs w:val="22"/>
        </w:rPr>
        <w:t xml:space="preserve"> Available at: </w:t>
      </w:r>
      <w:hyperlink r:id="rId14" w:tgtFrame="_new" w:history="1">
        <w:r w:rsidRPr="00DC2CC5">
          <w:rPr>
            <w:rStyle w:val="Hyperlink"/>
            <w:rFonts w:ascii="Arial" w:hAnsi="Arial" w:cs="Arial"/>
            <w:sz w:val="22"/>
            <w:szCs w:val="22"/>
          </w:rPr>
          <w:t>https://www.cipd.org/uk/knowledge/employment-law/redundancy/</w:t>
        </w:r>
      </w:hyperlink>
      <w:r w:rsidRPr="00DC2CC5">
        <w:rPr>
          <w:rFonts w:ascii="Arial" w:hAnsi="Arial" w:cs="Arial"/>
          <w:sz w:val="22"/>
          <w:szCs w:val="22"/>
        </w:rPr>
        <w:t xml:space="preserve"> </w:t>
      </w:r>
      <w:r>
        <w:rPr>
          <w:rFonts w:ascii="Arial" w:hAnsi="Arial" w:cs="Arial"/>
          <w:sz w:val="22"/>
          <w:szCs w:val="22"/>
        </w:rPr>
        <w:t>(</w:t>
      </w:r>
      <w:r w:rsidRPr="00DC2CC5">
        <w:rPr>
          <w:rFonts w:ascii="Arial" w:hAnsi="Arial" w:cs="Arial"/>
          <w:sz w:val="22"/>
          <w:szCs w:val="22"/>
        </w:rPr>
        <w:t xml:space="preserve">Accessed </w:t>
      </w:r>
      <w:r>
        <w:rPr>
          <w:rFonts w:ascii="Arial" w:hAnsi="Arial" w:cs="Arial"/>
          <w:sz w:val="22"/>
          <w:szCs w:val="22"/>
        </w:rPr>
        <w:t xml:space="preserve">29 April </w:t>
      </w:r>
      <w:r w:rsidRPr="00DC2CC5">
        <w:rPr>
          <w:rFonts w:ascii="Arial" w:hAnsi="Arial" w:cs="Arial"/>
          <w:sz w:val="22"/>
          <w:szCs w:val="22"/>
        </w:rPr>
        <w:t>2025</w:t>
      </w:r>
      <w:r>
        <w:rPr>
          <w:rFonts w:ascii="Arial" w:hAnsi="Arial" w:cs="Arial"/>
          <w:sz w:val="22"/>
          <w:szCs w:val="22"/>
        </w:rPr>
        <w:t>)</w:t>
      </w:r>
      <w:r w:rsidRPr="00DC2CC5">
        <w:rPr>
          <w:rFonts w:ascii="Arial" w:hAnsi="Arial" w:cs="Arial"/>
          <w:sz w:val="22"/>
          <w:szCs w:val="22"/>
        </w:rPr>
        <w:t>.</w:t>
      </w:r>
    </w:p>
    <w:p w14:paraId="791AE74C" w14:textId="69B55BF0" w:rsidR="008F01DA" w:rsidRDefault="008F01DA" w:rsidP="0034218B">
      <w:pPr>
        <w:rPr>
          <w:rFonts w:ascii="Arial" w:hAnsi="Arial" w:cs="Arial"/>
          <w:sz w:val="22"/>
          <w:szCs w:val="22"/>
        </w:rPr>
      </w:pPr>
      <w:r w:rsidRPr="008F01DA">
        <w:rPr>
          <w:rFonts w:ascii="Arial" w:hAnsi="Arial" w:cs="Arial"/>
          <w:b/>
          <w:bCs/>
          <w:sz w:val="22"/>
          <w:szCs w:val="22"/>
        </w:rPr>
        <w:t>CIPD (2024d).</w:t>
      </w:r>
      <w:r w:rsidRPr="008F01DA">
        <w:rPr>
          <w:rFonts w:ascii="Arial" w:hAnsi="Arial" w:cs="Arial"/>
          <w:sz w:val="22"/>
          <w:szCs w:val="22"/>
        </w:rPr>
        <w:t xml:space="preserve"> </w:t>
      </w:r>
      <w:r w:rsidRPr="008F01DA">
        <w:rPr>
          <w:rFonts w:ascii="Arial" w:hAnsi="Arial" w:cs="Arial"/>
          <w:i/>
          <w:iCs/>
          <w:sz w:val="22"/>
          <w:szCs w:val="22"/>
        </w:rPr>
        <w:t>TUPE transfers: Guide for people professionals</w:t>
      </w:r>
      <w:r>
        <w:rPr>
          <w:rFonts w:ascii="Arial" w:hAnsi="Arial" w:cs="Arial"/>
          <w:i/>
          <w:iCs/>
          <w:sz w:val="22"/>
          <w:szCs w:val="22"/>
        </w:rPr>
        <w:t xml:space="preserve">. </w:t>
      </w:r>
      <w:r w:rsidRPr="008F01DA">
        <w:rPr>
          <w:rFonts w:ascii="Arial" w:hAnsi="Arial" w:cs="Arial"/>
          <w:sz w:val="22"/>
          <w:szCs w:val="22"/>
        </w:rPr>
        <w:t xml:space="preserve">Available at: </w:t>
      </w:r>
      <w:hyperlink r:id="rId15" w:history="1">
        <w:r w:rsidRPr="00243734">
          <w:rPr>
            <w:rStyle w:val="Hyperlink"/>
            <w:rFonts w:ascii="Arial" w:hAnsi="Arial" w:cs="Arial"/>
            <w:sz w:val="22"/>
            <w:szCs w:val="22"/>
          </w:rPr>
          <w:t>https://www.cipd.org.uk/knowledge/guides/tupe-guide/</w:t>
        </w:r>
      </w:hyperlink>
      <w:r>
        <w:rPr>
          <w:rFonts w:ascii="Arial" w:hAnsi="Arial" w:cs="Arial"/>
          <w:sz w:val="22"/>
          <w:szCs w:val="22"/>
        </w:rPr>
        <w:t xml:space="preserve"> (</w:t>
      </w:r>
      <w:r w:rsidRPr="008F01DA">
        <w:rPr>
          <w:rFonts w:ascii="Arial" w:hAnsi="Arial" w:cs="Arial"/>
          <w:sz w:val="22"/>
          <w:szCs w:val="22"/>
        </w:rPr>
        <w:t xml:space="preserve">Accessed </w:t>
      </w:r>
      <w:r>
        <w:rPr>
          <w:rFonts w:ascii="Arial" w:hAnsi="Arial" w:cs="Arial"/>
          <w:sz w:val="22"/>
          <w:szCs w:val="22"/>
        </w:rPr>
        <w:t xml:space="preserve">29 April </w:t>
      </w:r>
      <w:r w:rsidRPr="008F01DA">
        <w:rPr>
          <w:rFonts w:ascii="Arial" w:hAnsi="Arial" w:cs="Arial"/>
          <w:sz w:val="22"/>
          <w:szCs w:val="22"/>
        </w:rPr>
        <w:t>2025</w:t>
      </w:r>
      <w:r>
        <w:rPr>
          <w:rFonts w:ascii="Arial" w:hAnsi="Arial" w:cs="Arial"/>
          <w:sz w:val="22"/>
          <w:szCs w:val="22"/>
        </w:rPr>
        <w:t>)</w:t>
      </w:r>
      <w:r w:rsidRPr="008F01DA">
        <w:rPr>
          <w:rFonts w:ascii="Arial" w:hAnsi="Arial" w:cs="Arial"/>
          <w:sz w:val="22"/>
          <w:szCs w:val="22"/>
        </w:rPr>
        <w:t>.</w:t>
      </w:r>
    </w:p>
    <w:p w14:paraId="7EE3EA3C" w14:textId="7A4D6AA3" w:rsidR="003874FF" w:rsidRDefault="003874FF" w:rsidP="0034218B">
      <w:pPr>
        <w:rPr>
          <w:rFonts w:ascii="Arial" w:hAnsi="Arial" w:cs="Arial"/>
          <w:sz w:val="22"/>
          <w:szCs w:val="22"/>
        </w:rPr>
      </w:pPr>
      <w:r w:rsidRPr="003874FF">
        <w:rPr>
          <w:rFonts w:ascii="Arial" w:hAnsi="Arial" w:cs="Arial"/>
          <w:b/>
          <w:bCs/>
          <w:sz w:val="22"/>
          <w:szCs w:val="22"/>
        </w:rPr>
        <w:t>CIPD (2025c).</w:t>
      </w:r>
      <w:r w:rsidRPr="003874FF">
        <w:rPr>
          <w:rFonts w:ascii="Arial" w:hAnsi="Arial" w:cs="Arial"/>
          <w:sz w:val="22"/>
          <w:szCs w:val="22"/>
        </w:rPr>
        <w:t xml:space="preserve"> </w:t>
      </w:r>
      <w:r w:rsidRPr="003874FF">
        <w:rPr>
          <w:rFonts w:ascii="Arial" w:hAnsi="Arial" w:cs="Arial"/>
          <w:i/>
          <w:iCs/>
          <w:sz w:val="22"/>
          <w:szCs w:val="22"/>
        </w:rPr>
        <w:t>Maternity, paternity and adoption rights</w:t>
      </w:r>
      <w:r>
        <w:rPr>
          <w:rFonts w:ascii="Arial" w:hAnsi="Arial" w:cs="Arial"/>
          <w:i/>
          <w:iCs/>
          <w:sz w:val="22"/>
          <w:szCs w:val="22"/>
        </w:rPr>
        <w:t xml:space="preserve">. </w:t>
      </w:r>
      <w:r w:rsidRPr="003874FF">
        <w:rPr>
          <w:rFonts w:ascii="Arial" w:hAnsi="Arial" w:cs="Arial"/>
          <w:sz w:val="22"/>
          <w:szCs w:val="22"/>
        </w:rPr>
        <w:t xml:space="preserve">Available at: </w:t>
      </w:r>
      <w:hyperlink r:id="rId16" w:tgtFrame="_new" w:history="1">
        <w:r w:rsidRPr="003874FF">
          <w:rPr>
            <w:rStyle w:val="Hyperlink"/>
            <w:rFonts w:ascii="Arial" w:hAnsi="Arial" w:cs="Arial"/>
            <w:sz w:val="22"/>
            <w:szCs w:val="22"/>
          </w:rPr>
          <w:t>https://www.cipd.org/uk/knowledge/factsheets/maternity-paternity-rights-factsheet/</w:t>
        </w:r>
      </w:hyperlink>
      <w:r w:rsidRPr="003874FF">
        <w:rPr>
          <w:rFonts w:ascii="Arial" w:hAnsi="Arial" w:cs="Arial"/>
          <w:sz w:val="22"/>
          <w:szCs w:val="22"/>
        </w:rPr>
        <w:t xml:space="preserve"> </w:t>
      </w:r>
      <w:r>
        <w:rPr>
          <w:rFonts w:ascii="Arial" w:hAnsi="Arial" w:cs="Arial"/>
          <w:sz w:val="22"/>
          <w:szCs w:val="22"/>
        </w:rPr>
        <w:t>(A</w:t>
      </w:r>
      <w:r w:rsidRPr="003874FF">
        <w:rPr>
          <w:rFonts w:ascii="Arial" w:hAnsi="Arial" w:cs="Arial"/>
          <w:sz w:val="22"/>
          <w:szCs w:val="22"/>
        </w:rPr>
        <w:t xml:space="preserve">ccessed </w:t>
      </w:r>
      <w:r>
        <w:rPr>
          <w:rFonts w:ascii="Arial" w:hAnsi="Arial" w:cs="Arial"/>
          <w:sz w:val="22"/>
          <w:szCs w:val="22"/>
        </w:rPr>
        <w:t xml:space="preserve">29 April </w:t>
      </w:r>
      <w:r w:rsidRPr="003874FF">
        <w:rPr>
          <w:rFonts w:ascii="Arial" w:hAnsi="Arial" w:cs="Arial"/>
          <w:sz w:val="22"/>
          <w:szCs w:val="22"/>
        </w:rPr>
        <w:t>2025</w:t>
      </w:r>
      <w:r>
        <w:rPr>
          <w:rFonts w:ascii="Arial" w:hAnsi="Arial" w:cs="Arial"/>
          <w:sz w:val="22"/>
          <w:szCs w:val="22"/>
        </w:rPr>
        <w:t>).</w:t>
      </w:r>
    </w:p>
    <w:p w14:paraId="460D60D8" w14:textId="2EEE43D7" w:rsidR="0041019E" w:rsidRPr="0041019E" w:rsidRDefault="0041019E" w:rsidP="0034218B">
      <w:pPr>
        <w:rPr>
          <w:rFonts w:ascii="Arial" w:hAnsi="Arial" w:cs="Arial"/>
          <w:sz w:val="22"/>
          <w:szCs w:val="22"/>
        </w:rPr>
      </w:pPr>
      <w:r w:rsidRPr="0041019E">
        <w:rPr>
          <w:rFonts w:ascii="Arial" w:hAnsi="Arial" w:cs="Arial"/>
          <w:b/>
          <w:bCs/>
          <w:sz w:val="22"/>
          <w:szCs w:val="22"/>
        </w:rPr>
        <w:t>CIPD (2025d).</w:t>
      </w:r>
      <w:r w:rsidRPr="0041019E">
        <w:rPr>
          <w:rFonts w:ascii="Arial" w:hAnsi="Arial" w:cs="Arial"/>
          <w:i/>
          <w:iCs/>
          <w:sz w:val="22"/>
          <w:szCs w:val="22"/>
        </w:rPr>
        <w:t xml:space="preserve"> Flexible Working Practices</w:t>
      </w:r>
      <w:r w:rsidRPr="0041019E">
        <w:rPr>
          <w:rFonts w:ascii="Arial" w:hAnsi="Arial" w:cs="Arial"/>
          <w:sz w:val="22"/>
          <w:szCs w:val="22"/>
        </w:rPr>
        <w:t xml:space="preserve">. Available at: </w:t>
      </w:r>
      <w:hyperlink r:id="rId17" w:tgtFrame="_new" w:history="1">
        <w:r w:rsidRPr="0041019E">
          <w:rPr>
            <w:rStyle w:val="Hyperlink"/>
            <w:rFonts w:ascii="Arial" w:hAnsi="Arial" w:cs="Arial"/>
            <w:sz w:val="22"/>
            <w:szCs w:val="22"/>
          </w:rPr>
          <w:t>https://www.cipd.org/uk/knowledge/factsheets/flexible-working-factsheet/</w:t>
        </w:r>
      </w:hyperlink>
      <w:r w:rsidRPr="0041019E">
        <w:rPr>
          <w:rFonts w:ascii="Arial" w:hAnsi="Arial" w:cs="Arial"/>
          <w:sz w:val="22"/>
          <w:szCs w:val="22"/>
        </w:rPr>
        <w:t xml:space="preserve"> </w:t>
      </w:r>
      <w:r>
        <w:rPr>
          <w:rFonts w:ascii="Arial" w:hAnsi="Arial" w:cs="Arial"/>
          <w:sz w:val="22"/>
          <w:szCs w:val="22"/>
        </w:rPr>
        <w:t>(Accessed 29 April 2025).</w:t>
      </w:r>
    </w:p>
    <w:p w14:paraId="74BCF345" w14:textId="5D2F5AF8" w:rsidR="009A7E62" w:rsidRPr="009A7E62" w:rsidRDefault="009A7E62" w:rsidP="0034218B">
      <w:pPr>
        <w:rPr>
          <w:rFonts w:ascii="Arial" w:hAnsi="Arial" w:cs="Arial"/>
          <w:sz w:val="22"/>
          <w:szCs w:val="22"/>
        </w:rPr>
      </w:pPr>
      <w:r w:rsidRPr="0034218B">
        <w:rPr>
          <w:rFonts w:ascii="Arial" w:hAnsi="Arial" w:cs="Arial"/>
          <w:b/>
          <w:bCs/>
          <w:sz w:val="22"/>
          <w:szCs w:val="22"/>
        </w:rPr>
        <w:t xml:space="preserve">Daniels, K. (2016). </w:t>
      </w:r>
      <w:r w:rsidRPr="0034218B">
        <w:rPr>
          <w:rFonts w:ascii="Arial" w:hAnsi="Arial" w:cs="Arial"/>
          <w:i/>
          <w:iCs/>
          <w:sz w:val="22"/>
          <w:szCs w:val="22"/>
        </w:rPr>
        <w:t>Introduction to Employment Law</w:t>
      </w:r>
      <w:r w:rsidRPr="0034218B">
        <w:rPr>
          <w:rFonts w:ascii="Arial" w:hAnsi="Arial" w:cs="Arial"/>
          <w:sz w:val="22"/>
          <w:szCs w:val="22"/>
        </w:rPr>
        <w:t>. 6th ed. London: Kogan Page.</w:t>
      </w:r>
    </w:p>
    <w:p w14:paraId="6DBA6700" w14:textId="26C79B3D" w:rsidR="00DB2A94" w:rsidRPr="0034218B" w:rsidRDefault="00DB2A94" w:rsidP="0034218B">
      <w:pPr>
        <w:rPr>
          <w:rFonts w:ascii="Arial" w:hAnsi="Arial" w:cs="Arial"/>
          <w:sz w:val="22"/>
          <w:szCs w:val="22"/>
        </w:rPr>
      </w:pPr>
      <w:r w:rsidRPr="00DB2A94">
        <w:rPr>
          <w:rFonts w:ascii="Arial" w:hAnsi="Arial" w:cs="Arial"/>
          <w:b/>
          <w:bCs/>
          <w:sz w:val="22"/>
          <w:szCs w:val="22"/>
        </w:rPr>
        <w:lastRenderedPageBreak/>
        <w:t>Equality and Human Rights Commission</w:t>
      </w:r>
      <w:r>
        <w:rPr>
          <w:rFonts w:ascii="Arial" w:hAnsi="Arial" w:cs="Arial"/>
          <w:b/>
          <w:bCs/>
          <w:sz w:val="22"/>
          <w:szCs w:val="22"/>
        </w:rPr>
        <w:t xml:space="preserve"> (EHRC) </w:t>
      </w:r>
      <w:r w:rsidRPr="00DB2A94">
        <w:rPr>
          <w:rFonts w:ascii="Arial" w:hAnsi="Arial" w:cs="Arial"/>
          <w:b/>
          <w:bCs/>
          <w:sz w:val="22"/>
          <w:szCs w:val="22"/>
        </w:rPr>
        <w:t>(201</w:t>
      </w:r>
      <w:r>
        <w:rPr>
          <w:rFonts w:ascii="Arial" w:hAnsi="Arial" w:cs="Arial"/>
          <w:b/>
          <w:bCs/>
          <w:sz w:val="22"/>
          <w:szCs w:val="22"/>
        </w:rPr>
        <w:t>5</w:t>
      </w:r>
      <w:r>
        <w:t xml:space="preserve">). </w:t>
      </w:r>
      <w:r w:rsidRPr="00DB2A94">
        <w:rPr>
          <w:rFonts w:ascii="Arial" w:hAnsi="Arial" w:cs="Arial"/>
          <w:i/>
          <w:iCs/>
          <w:sz w:val="22"/>
          <w:szCs w:val="22"/>
        </w:rPr>
        <w:t>Employment: Code of Practice</w:t>
      </w:r>
      <w:r>
        <w:rPr>
          <w:rFonts w:ascii="Arial" w:hAnsi="Arial" w:cs="Arial"/>
          <w:sz w:val="22"/>
          <w:szCs w:val="22"/>
        </w:rPr>
        <w:t xml:space="preserve">. </w:t>
      </w:r>
      <w:r w:rsidRPr="00DB2A94">
        <w:rPr>
          <w:rFonts w:ascii="Arial" w:hAnsi="Arial" w:cs="Arial"/>
          <w:sz w:val="22"/>
          <w:szCs w:val="22"/>
        </w:rPr>
        <w:t xml:space="preserve">Available at: </w:t>
      </w:r>
      <w:hyperlink r:id="rId18" w:history="1">
        <w:r w:rsidRPr="00243734">
          <w:rPr>
            <w:rStyle w:val="Hyperlink"/>
            <w:rFonts w:ascii="Arial" w:hAnsi="Arial" w:cs="Arial"/>
            <w:sz w:val="22"/>
            <w:szCs w:val="22"/>
          </w:rPr>
          <w:t>https://www.equalityhumanrights.com/equality/equality-act-2010/codes-practice/employment-code-practice-0</w:t>
        </w:r>
      </w:hyperlink>
      <w:r>
        <w:rPr>
          <w:rFonts w:ascii="Arial" w:hAnsi="Arial" w:cs="Arial"/>
          <w:sz w:val="22"/>
          <w:szCs w:val="22"/>
        </w:rPr>
        <w:t xml:space="preserve"> </w:t>
      </w:r>
      <w:r w:rsidRPr="00DB2A94">
        <w:rPr>
          <w:rFonts w:ascii="Arial" w:hAnsi="Arial" w:cs="Arial"/>
          <w:sz w:val="22"/>
          <w:szCs w:val="22"/>
        </w:rPr>
        <w:t xml:space="preserve">(Accessed: </w:t>
      </w:r>
      <w:r>
        <w:rPr>
          <w:rFonts w:ascii="Arial" w:hAnsi="Arial" w:cs="Arial"/>
          <w:sz w:val="22"/>
          <w:szCs w:val="22"/>
        </w:rPr>
        <w:t>29</w:t>
      </w:r>
      <w:r w:rsidRPr="00DB2A94">
        <w:rPr>
          <w:rFonts w:ascii="Arial" w:hAnsi="Arial" w:cs="Arial"/>
          <w:sz w:val="22"/>
          <w:szCs w:val="22"/>
        </w:rPr>
        <w:t xml:space="preserve"> </w:t>
      </w:r>
      <w:r>
        <w:rPr>
          <w:rFonts w:ascii="Arial" w:hAnsi="Arial" w:cs="Arial"/>
          <w:sz w:val="22"/>
          <w:szCs w:val="22"/>
        </w:rPr>
        <w:t>April</w:t>
      </w:r>
      <w:r w:rsidRPr="00DB2A94">
        <w:rPr>
          <w:rFonts w:ascii="Arial" w:hAnsi="Arial" w:cs="Arial"/>
          <w:sz w:val="22"/>
          <w:szCs w:val="22"/>
        </w:rPr>
        <w:t xml:space="preserve"> 2025).</w:t>
      </w:r>
    </w:p>
    <w:p w14:paraId="47892AD2" w14:textId="7D4BE2F7" w:rsidR="0034218B" w:rsidRDefault="0034218B" w:rsidP="0034218B">
      <w:pPr>
        <w:rPr>
          <w:rFonts w:ascii="Arial" w:hAnsi="Arial" w:cs="Arial"/>
          <w:sz w:val="22"/>
          <w:szCs w:val="22"/>
        </w:rPr>
      </w:pPr>
      <w:r w:rsidRPr="0034218B">
        <w:rPr>
          <w:rFonts w:ascii="Arial" w:hAnsi="Arial" w:cs="Arial"/>
          <w:b/>
          <w:bCs/>
          <w:sz w:val="22"/>
          <w:szCs w:val="22"/>
        </w:rPr>
        <w:t xml:space="preserve">Faragher, L. (2025). </w:t>
      </w:r>
      <w:proofErr w:type="spellStart"/>
      <w:r w:rsidRPr="0034218B">
        <w:rPr>
          <w:rFonts w:ascii="Arial" w:hAnsi="Arial" w:cs="Arial"/>
          <w:i/>
          <w:iCs/>
          <w:sz w:val="22"/>
          <w:szCs w:val="22"/>
        </w:rPr>
        <w:t>Munkevics</w:t>
      </w:r>
      <w:proofErr w:type="spellEnd"/>
      <w:r w:rsidRPr="0034218B">
        <w:rPr>
          <w:rFonts w:ascii="Arial" w:hAnsi="Arial" w:cs="Arial"/>
          <w:i/>
          <w:iCs/>
          <w:sz w:val="22"/>
          <w:szCs w:val="22"/>
        </w:rPr>
        <w:t xml:space="preserve"> v. Echo</w:t>
      </w:r>
      <w:r w:rsidRPr="0034218B">
        <w:rPr>
          <w:rFonts w:ascii="Arial" w:hAnsi="Arial" w:cs="Arial"/>
          <w:sz w:val="22"/>
          <w:szCs w:val="22"/>
        </w:rPr>
        <w:t xml:space="preserve">. Available at: </w:t>
      </w:r>
      <w:hyperlink r:id="rId19" w:tgtFrame="_new" w:history="1">
        <w:r w:rsidRPr="0034218B">
          <w:rPr>
            <w:rStyle w:val="Hyperlink"/>
            <w:rFonts w:ascii="Arial" w:hAnsi="Arial" w:cs="Arial"/>
            <w:sz w:val="22"/>
            <w:szCs w:val="22"/>
          </w:rPr>
          <w:t>https://www.personneltoday.com/hr/recruiter-empty-office-munceviks-v-echo/</w:t>
        </w:r>
      </w:hyperlink>
      <w:r w:rsidRPr="0034218B">
        <w:rPr>
          <w:rFonts w:ascii="Arial" w:hAnsi="Arial" w:cs="Arial"/>
          <w:sz w:val="22"/>
          <w:szCs w:val="22"/>
        </w:rPr>
        <w:t xml:space="preserve"> </w:t>
      </w:r>
      <w:r w:rsidR="0062414A">
        <w:rPr>
          <w:rFonts w:ascii="Arial" w:hAnsi="Arial" w:cs="Arial"/>
          <w:sz w:val="22"/>
          <w:szCs w:val="22"/>
        </w:rPr>
        <w:t>(</w:t>
      </w:r>
      <w:r w:rsidRPr="0034218B">
        <w:rPr>
          <w:rFonts w:ascii="Arial" w:hAnsi="Arial" w:cs="Arial"/>
          <w:sz w:val="22"/>
          <w:szCs w:val="22"/>
        </w:rPr>
        <w:t xml:space="preserve">Accessed 29 </w:t>
      </w:r>
      <w:r>
        <w:rPr>
          <w:rFonts w:ascii="Arial" w:hAnsi="Arial" w:cs="Arial"/>
          <w:sz w:val="22"/>
          <w:szCs w:val="22"/>
        </w:rPr>
        <w:t>April</w:t>
      </w:r>
      <w:r w:rsidRPr="0034218B">
        <w:rPr>
          <w:rFonts w:ascii="Arial" w:hAnsi="Arial" w:cs="Arial"/>
          <w:sz w:val="22"/>
          <w:szCs w:val="22"/>
        </w:rPr>
        <w:t xml:space="preserve"> 2025</w:t>
      </w:r>
      <w:r w:rsidR="0062414A">
        <w:rPr>
          <w:rFonts w:ascii="Arial" w:hAnsi="Arial" w:cs="Arial"/>
          <w:sz w:val="22"/>
          <w:szCs w:val="22"/>
        </w:rPr>
        <w:t>)</w:t>
      </w:r>
      <w:r w:rsidRPr="0034218B">
        <w:rPr>
          <w:rFonts w:ascii="Arial" w:hAnsi="Arial" w:cs="Arial"/>
          <w:sz w:val="22"/>
          <w:szCs w:val="22"/>
        </w:rPr>
        <w:t>.</w:t>
      </w:r>
    </w:p>
    <w:p w14:paraId="5513B409" w14:textId="5D27FB47" w:rsidR="009A7E62" w:rsidRDefault="009A7E62" w:rsidP="0034218B">
      <w:pPr>
        <w:rPr>
          <w:rFonts w:ascii="Arial" w:hAnsi="Arial" w:cs="Arial"/>
          <w:sz w:val="22"/>
          <w:szCs w:val="22"/>
        </w:rPr>
      </w:pPr>
      <w:r w:rsidRPr="009A7E62">
        <w:rPr>
          <w:rFonts w:ascii="Arial" w:hAnsi="Arial" w:cs="Arial"/>
          <w:b/>
          <w:bCs/>
          <w:sz w:val="22"/>
          <w:szCs w:val="22"/>
        </w:rPr>
        <w:t>Gov.uk (2025</w:t>
      </w:r>
      <w:r w:rsidR="00D51F8F">
        <w:rPr>
          <w:rFonts w:ascii="Arial" w:hAnsi="Arial" w:cs="Arial"/>
          <w:b/>
          <w:bCs/>
          <w:sz w:val="22"/>
          <w:szCs w:val="22"/>
        </w:rPr>
        <w:t>a</w:t>
      </w:r>
      <w:r w:rsidRPr="009A7E62">
        <w:rPr>
          <w:rFonts w:ascii="Arial" w:hAnsi="Arial" w:cs="Arial"/>
          <w:b/>
          <w:bCs/>
          <w:sz w:val="22"/>
          <w:szCs w:val="22"/>
        </w:rPr>
        <w:t>).</w:t>
      </w:r>
      <w:r w:rsidRPr="009A7E62">
        <w:rPr>
          <w:rFonts w:ascii="Arial" w:hAnsi="Arial" w:cs="Arial"/>
          <w:sz w:val="22"/>
          <w:szCs w:val="22"/>
        </w:rPr>
        <w:t xml:space="preserve"> </w:t>
      </w:r>
      <w:r w:rsidRPr="009A7E62">
        <w:rPr>
          <w:rFonts w:ascii="Arial" w:hAnsi="Arial" w:cs="Arial"/>
          <w:i/>
          <w:iCs/>
          <w:sz w:val="22"/>
          <w:szCs w:val="22"/>
        </w:rPr>
        <w:t>Holiday entitlement</w:t>
      </w:r>
      <w:r w:rsidRPr="009A7E62">
        <w:rPr>
          <w:rFonts w:ascii="Arial" w:hAnsi="Arial" w:cs="Arial"/>
          <w:sz w:val="22"/>
          <w:szCs w:val="22"/>
        </w:rPr>
        <w:t xml:space="preserve">. Available at: </w:t>
      </w:r>
      <w:hyperlink r:id="rId20" w:history="1">
        <w:r w:rsidRPr="00243734">
          <w:rPr>
            <w:rStyle w:val="Hyperlink"/>
            <w:rFonts w:ascii="Arial" w:hAnsi="Arial" w:cs="Arial"/>
            <w:sz w:val="22"/>
            <w:szCs w:val="22"/>
          </w:rPr>
          <w:t>https://www.gov.uk/holiday-entitlement-rights</w:t>
        </w:r>
      </w:hyperlink>
      <w:r>
        <w:rPr>
          <w:rFonts w:ascii="Arial" w:hAnsi="Arial" w:cs="Arial"/>
          <w:sz w:val="22"/>
          <w:szCs w:val="22"/>
        </w:rPr>
        <w:t xml:space="preserve"> </w:t>
      </w:r>
      <w:r w:rsidRPr="009A7E62">
        <w:rPr>
          <w:rFonts w:ascii="Arial" w:hAnsi="Arial" w:cs="Arial"/>
          <w:sz w:val="22"/>
          <w:szCs w:val="22"/>
        </w:rPr>
        <w:t>(Accessed</w:t>
      </w:r>
      <w:r>
        <w:rPr>
          <w:rFonts w:ascii="Arial" w:hAnsi="Arial" w:cs="Arial"/>
          <w:sz w:val="22"/>
          <w:szCs w:val="22"/>
        </w:rPr>
        <w:t xml:space="preserve"> 29 April</w:t>
      </w:r>
      <w:r w:rsidRPr="009A7E62">
        <w:rPr>
          <w:rFonts w:ascii="Arial" w:hAnsi="Arial" w:cs="Arial"/>
          <w:sz w:val="22"/>
          <w:szCs w:val="22"/>
        </w:rPr>
        <w:t xml:space="preserve"> 2025).</w:t>
      </w:r>
    </w:p>
    <w:p w14:paraId="5DDA49EB" w14:textId="12E0AF30" w:rsidR="00D51F8F" w:rsidRPr="0034218B" w:rsidRDefault="00D51F8F" w:rsidP="0034218B">
      <w:pPr>
        <w:rPr>
          <w:rFonts w:ascii="Arial" w:hAnsi="Arial" w:cs="Arial"/>
          <w:sz w:val="22"/>
          <w:szCs w:val="22"/>
        </w:rPr>
      </w:pPr>
      <w:r w:rsidRPr="00D51F8F">
        <w:rPr>
          <w:rFonts w:ascii="Arial" w:hAnsi="Arial" w:cs="Arial"/>
          <w:b/>
          <w:bCs/>
          <w:sz w:val="22"/>
          <w:szCs w:val="22"/>
        </w:rPr>
        <w:t>Gov.uk (2025b).</w:t>
      </w:r>
      <w:r w:rsidRPr="00D51F8F">
        <w:rPr>
          <w:rFonts w:ascii="Arial" w:hAnsi="Arial" w:cs="Arial"/>
          <w:sz w:val="22"/>
          <w:szCs w:val="22"/>
        </w:rPr>
        <w:t xml:space="preserve"> </w:t>
      </w:r>
      <w:r w:rsidRPr="00D51F8F">
        <w:rPr>
          <w:rFonts w:ascii="Arial" w:hAnsi="Arial" w:cs="Arial"/>
          <w:i/>
          <w:iCs/>
          <w:sz w:val="22"/>
          <w:szCs w:val="22"/>
        </w:rPr>
        <w:t>Shared parental leave and pay</w:t>
      </w:r>
      <w:r w:rsidRPr="00D51F8F">
        <w:rPr>
          <w:rFonts w:ascii="Arial" w:hAnsi="Arial" w:cs="Arial"/>
          <w:sz w:val="22"/>
          <w:szCs w:val="22"/>
        </w:rPr>
        <w:t xml:space="preserve">. Available at: </w:t>
      </w:r>
      <w:hyperlink r:id="rId21" w:tgtFrame="_new" w:history="1">
        <w:r w:rsidRPr="00D51F8F">
          <w:rPr>
            <w:rStyle w:val="Hyperlink"/>
            <w:rFonts w:ascii="Arial" w:hAnsi="Arial" w:cs="Arial"/>
            <w:sz w:val="22"/>
            <w:szCs w:val="22"/>
          </w:rPr>
          <w:t>https://www.gov.uk/shared-parental-leave-and-pay</w:t>
        </w:r>
      </w:hyperlink>
      <w:r w:rsidRPr="00D51F8F">
        <w:rPr>
          <w:rFonts w:ascii="Arial" w:hAnsi="Arial" w:cs="Arial"/>
          <w:sz w:val="22"/>
          <w:szCs w:val="22"/>
        </w:rPr>
        <w:t xml:space="preserve"> </w:t>
      </w:r>
      <w:r>
        <w:rPr>
          <w:rFonts w:ascii="Arial" w:hAnsi="Arial" w:cs="Arial"/>
          <w:sz w:val="22"/>
          <w:szCs w:val="22"/>
        </w:rPr>
        <w:t>(A</w:t>
      </w:r>
      <w:r w:rsidRPr="00D51F8F">
        <w:rPr>
          <w:rFonts w:ascii="Arial" w:hAnsi="Arial" w:cs="Arial"/>
          <w:sz w:val="22"/>
          <w:szCs w:val="22"/>
        </w:rPr>
        <w:t xml:space="preserve">ccessed </w:t>
      </w:r>
      <w:r>
        <w:rPr>
          <w:rFonts w:ascii="Arial" w:hAnsi="Arial" w:cs="Arial"/>
          <w:sz w:val="22"/>
          <w:szCs w:val="22"/>
        </w:rPr>
        <w:t xml:space="preserve">29 April </w:t>
      </w:r>
      <w:r w:rsidRPr="00D51F8F">
        <w:rPr>
          <w:rFonts w:ascii="Arial" w:hAnsi="Arial" w:cs="Arial"/>
          <w:sz w:val="22"/>
          <w:szCs w:val="22"/>
        </w:rPr>
        <w:t>2025</w:t>
      </w:r>
      <w:r>
        <w:rPr>
          <w:rFonts w:ascii="Arial" w:hAnsi="Arial" w:cs="Arial"/>
          <w:sz w:val="22"/>
          <w:szCs w:val="22"/>
        </w:rPr>
        <w:t>).</w:t>
      </w:r>
    </w:p>
    <w:p w14:paraId="7244223B" w14:textId="0FEA6614" w:rsidR="003C6A73" w:rsidRDefault="004A228D" w:rsidP="003C6A73">
      <w:pPr>
        <w:rPr>
          <w:rFonts w:ascii="Arial" w:hAnsi="Arial" w:cs="Arial"/>
          <w:sz w:val="22"/>
          <w:szCs w:val="22"/>
        </w:rPr>
      </w:pPr>
      <w:r w:rsidRPr="004A228D">
        <w:rPr>
          <w:rFonts w:ascii="Arial" w:hAnsi="Arial" w:cs="Arial"/>
          <w:b/>
          <w:bCs/>
          <w:sz w:val="22"/>
          <w:szCs w:val="22"/>
        </w:rPr>
        <w:t>HR Inform (2022)</w:t>
      </w:r>
      <w:r w:rsidR="00E7320B">
        <w:rPr>
          <w:rFonts w:ascii="Arial" w:hAnsi="Arial" w:cs="Arial"/>
          <w:b/>
          <w:bCs/>
          <w:sz w:val="22"/>
          <w:szCs w:val="22"/>
        </w:rPr>
        <w:t>.</w:t>
      </w:r>
      <w:r w:rsidRPr="004A228D">
        <w:rPr>
          <w:rFonts w:ascii="Arial" w:hAnsi="Arial" w:cs="Arial"/>
          <w:sz w:val="22"/>
          <w:szCs w:val="22"/>
        </w:rPr>
        <w:t xml:space="preserve"> </w:t>
      </w:r>
      <w:r w:rsidRPr="004A228D">
        <w:rPr>
          <w:rFonts w:ascii="Arial" w:hAnsi="Arial" w:cs="Arial"/>
          <w:i/>
          <w:iCs/>
          <w:sz w:val="22"/>
          <w:szCs w:val="22"/>
        </w:rPr>
        <w:t>Harpur Trust v Brazel: What you need to know for part-year workers</w:t>
      </w:r>
      <w:r w:rsidRPr="004A228D">
        <w:rPr>
          <w:rFonts w:ascii="Arial" w:hAnsi="Arial" w:cs="Arial"/>
          <w:sz w:val="22"/>
          <w:szCs w:val="22"/>
        </w:rPr>
        <w:t xml:space="preserve">. Available at: </w:t>
      </w:r>
      <w:hyperlink r:id="rId22" w:tgtFrame="_new" w:history="1">
        <w:r w:rsidRPr="004A228D">
          <w:rPr>
            <w:rStyle w:val="Hyperlink"/>
            <w:rFonts w:ascii="Arial" w:hAnsi="Arial" w:cs="Arial"/>
            <w:sz w:val="22"/>
            <w:szCs w:val="22"/>
          </w:rPr>
          <w:t>https://www.hr-inform.co.uk/news-article/harpur-trust-v-brazel-what-you-need-to-know-for-part-year-workers</w:t>
        </w:r>
      </w:hyperlink>
      <w:r w:rsidRPr="004A228D">
        <w:rPr>
          <w:rFonts w:ascii="Arial" w:hAnsi="Arial" w:cs="Arial"/>
          <w:sz w:val="22"/>
          <w:szCs w:val="22"/>
        </w:rPr>
        <w:t xml:space="preserve"> </w:t>
      </w:r>
      <w:r w:rsidR="0062414A">
        <w:rPr>
          <w:rFonts w:ascii="Arial" w:hAnsi="Arial" w:cs="Arial"/>
          <w:sz w:val="22"/>
          <w:szCs w:val="22"/>
        </w:rPr>
        <w:t>(</w:t>
      </w:r>
      <w:r w:rsidRPr="004A228D">
        <w:rPr>
          <w:rFonts w:ascii="Arial" w:hAnsi="Arial" w:cs="Arial"/>
          <w:sz w:val="22"/>
          <w:szCs w:val="22"/>
        </w:rPr>
        <w:t xml:space="preserve">Accessed </w:t>
      </w:r>
      <w:r>
        <w:rPr>
          <w:rFonts w:ascii="Arial" w:hAnsi="Arial" w:cs="Arial"/>
          <w:sz w:val="22"/>
          <w:szCs w:val="22"/>
        </w:rPr>
        <w:t xml:space="preserve">29 April </w:t>
      </w:r>
      <w:r w:rsidRPr="004A228D">
        <w:rPr>
          <w:rFonts w:ascii="Arial" w:hAnsi="Arial" w:cs="Arial"/>
          <w:sz w:val="22"/>
          <w:szCs w:val="22"/>
        </w:rPr>
        <w:t>2025</w:t>
      </w:r>
      <w:r w:rsidR="0062414A">
        <w:rPr>
          <w:rFonts w:ascii="Arial" w:hAnsi="Arial" w:cs="Arial"/>
          <w:sz w:val="22"/>
          <w:szCs w:val="22"/>
        </w:rPr>
        <w:t>)</w:t>
      </w:r>
      <w:r w:rsidRPr="004A228D">
        <w:rPr>
          <w:rFonts w:ascii="Arial" w:hAnsi="Arial" w:cs="Arial"/>
          <w:sz w:val="22"/>
          <w:szCs w:val="22"/>
        </w:rPr>
        <w:t>.</w:t>
      </w:r>
    </w:p>
    <w:p w14:paraId="588A1824" w14:textId="269C4EDF" w:rsidR="0076122F" w:rsidRPr="0076122F" w:rsidRDefault="0076122F" w:rsidP="003C6A73">
      <w:pPr>
        <w:rPr>
          <w:rFonts w:ascii="Arial" w:hAnsi="Arial" w:cs="Arial"/>
          <w:i/>
          <w:iCs/>
          <w:sz w:val="22"/>
          <w:szCs w:val="22"/>
        </w:rPr>
      </w:pPr>
      <w:r w:rsidRPr="0076122F">
        <w:rPr>
          <w:rFonts w:ascii="Arial" w:hAnsi="Arial" w:cs="Arial"/>
          <w:b/>
          <w:bCs/>
          <w:sz w:val="22"/>
          <w:szCs w:val="22"/>
        </w:rPr>
        <w:t>HR Solutions (20</w:t>
      </w:r>
      <w:r w:rsidRPr="0076122F">
        <w:rPr>
          <w:rFonts w:ascii="Arial" w:hAnsi="Arial" w:cs="Arial"/>
          <w:b/>
          <w:bCs/>
          <w:sz w:val="22"/>
          <w:szCs w:val="22"/>
        </w:rPr>
        <w:t>19</w:t>
      </w:r>
      <w:r w:rsidRPr="0076122F">
        <w:rPr>
          <w:rFonts w:ascii="Arial" w:hAnsi="Arial" w:cs="Arial"/>
          <w:b/>
          <w:bCs/>
          <w:sz w:val="22"/>
          <w:szCs w:val="22"/>
        </w:rPr>
        <w:t>)</w:t>
      </w:r>
      <w:r w:rsidRPr="0076122F">
        <w:rPr>
          <w:rFonts w:ascii="Arial" w:hAnsi="Arial" w:cs="Arial"/>
          <w:b/>
          <w:bCs/>
          <w:sz w:val="22"/>
          <w:szCs w:val="22"/>
        </w:rPr>
        <w:t>.</w:t>
      </w:r>
      <w:r w:rsidRPr="0076122F">
        <w:rPr>
          <w:rFonts w:ascii="Arial" w:hAnsi="Arial" w:cs="Arial"/>
          <w:sz w:val="22"/>
          <w:szCs w:val="22"/>
        </w:rPr>
        <w:t xml:space="preserve"> </w:t>
      </w:r>
      <w:r w:rsidRPr="0076122F">
        <w:rPr>
          <w:rFonts w:ascii="Arial" w:hAnsi="Arial" w:cs="Arial"/>
          <w:i/>
          <w:iCs/>
          <w:sz w:val="22"/>
          <w:szCs w:val="22"/>
        </w:rPr>
        <w:t>Flexible Working – understanding your employer obligations</w:t>
      </w:r>
      <w:r>
        <w:rPr>
          <w:rFonts w:ascii="Arial" w:hAnsi="Arial" w:cs="Arial"/>
          <w:i/>
          <w:iCs/>
          <w:sz w:val="22"/>
          <w:szCs w:val="22"/>
        </w:rPr>
        <w:t xml:space="preserve">. </w:t>
      </w:r>
      <w:r w:rsidRPr="0076122F">
        <w:rPr>
          <w:rFonts w:ascii="Arial" w:hAnsi="Arial" w:cs="Arial"/>
          <w:sz w:val="22"/>
          <w:szCs w:val="22"/>
        </w:rPr>
        <w:t xml:space="preserve">Available at: </w:t>
      </w:r>
      <w:hyperlink r:id="rId23" w:anchor=":~:text=The%20statutory%20reasons%20are%3A%201%20The%20burden%20of,8%20A%20planned%20structural%20change%20to%20your%20business" w:tgtFrame="_new" w:history="1">
        <w:r w:rsidRPr="0076122F">
          <w:rPr>
            <w:rStyle w:val="Hyperlink"/>
            <w:rFonts w:ascii="Arial" w:hAnsi="Arial" w:cs="Arial"/>
            <w:sz w:val="22"/>
            <w:szCs w:val="22"/>
          </w:rPr>
          <w:t>https://www.hrsolutions-uk.com/legal-updates/flexible-working/#:~:text=The%20statutory%20reasons%20are%3A%201%20The%20burden%20of,8%20A%20planned%20structural%20change%20to%20your%20business</w:t>
        </w:r>
      </w:hyperlink>
      <w:r w:rsidRPr="0076122F">
        <w:rPr>
          <w:rFonts w:ascii="Arial" w:hAnsi="Arial" w:cs="Arial"/>
          <w:sz w:val="22"/>
          <w:szCs w:val="22"/>
        </w:rPr>
        <w:t xml:space="preserve"> </w:t>
      </w:r>
      <w:r>
        <w:rPr>
          <w:rFonts w:ascii="Arial" w:hAnsi="Arial" w:cs="Arial"/>
          <w:sz w:val="22"/>
          <w:szCs w:val="22"/>
        </w:rPr>
        <w:t>(</w:t>
      </w:r>
      <w:r w:rsidRPr="0076122F">
        <w:rPr>
          <w:rFonts w:ascii="Arial" w:hAnsi="Arial" w:cs="Arial"/>
          <w:sz w:val="22"/>
          <w:szCs w:val="22"/>
        </w:rPr>
        <w:t xml:space="preserve">Accessed </w:t>
      </w:r>
      <w:r>
        <w:rPr>
          <w:rFonts w:ascii="Arial" w:hAnsi="Arial" w:cs="Arial"/>
          <w:sz w:val="22"/>
          <w:szCs w:val="22"/>
        </w:rPr>
        <w:t>29 April</w:t>
      </w:r>
      <w:r w:rsidRPr="0076122F">
        <w:rPr>
          <w:rFonts w:ascii="Arial" w:hAnsi="Arial" w:cs="Arial"/>
          <w:sz w:val="22"/>
          <w:szCs w:val="22"/>
        </w:rPr>
        <w:t xml:space="preserve"> 2025</w:t>
      </w:r>
      <w:r>
        <w:rPr>
          <w:rFonts w:ascii="Arial" w:hAnsi="Arial" w:cs="Arial"/>
          <w:sz w:val="22"/>
          <w:szCs w:val="22"/>
        </w:rPr>
        <w:t>)</w:t>
      </w:r>
      <w:r w:rsidRPr="0076122F">
        <w:rPr>
          <w:rFonts w:ascii="Arial" w:hAnsi="Arial" w:cs="Arial"/>
          <w:sz w:val="22"/>
          <w:szCs w:val="22"/>
        </w:rPr>
        <w:t>.</w:t>
      </w:r>
    </w:p>
    <w:p w14:paraId="327092D5" w14:textId="1A1540A5" w:rsidR="00B745A3" w:rsidRDefault="00B745A3" w:rsidP="003C6A73">
      <w:pPr>
        <w:rPr>
          <w:rFonts w:ascii="Arial" w:hAnsi="Arial" w:cs="Arial"/>
          <w:sz w:val="22"/>
          <w:szCs w:val="22"/>
        </w:rPr>
      </w:pPr>
      <w:r w:rsidRPr="00B745A3">
        <w:rPr>
          <w:rFonts w:ascii="Arial" w:hAnsi="Arial" w:cs="Arial"/>
          <w:b/>
          <w:bCs/>
          <w:sz w:val="22"/>
          <w:szCs w:val="22"/>
        </w:rPr>
        <w:t>Landy, M.C. (2017).</w:t>
      </w:r>
      <w:r w:rsidRPr="00B745A3">
        <w:rPr>
          <w:rFonts w:ascii="Arial" w:hAnsi="Arial" w:cs="Arial"/>
          <w:sz w:val="22"/>
          <w:szCs w:val="22"/>
        </w:rPr>
        <w:t xml:space="preserve"> </w:t>
      </w:r>
      <w:r w:rsidRPr="00B745A3">
        <w:rPr>
          <w:rFonts w:ascii="Arial" w:hAnsi="Arial" w:cs="Arial"/>
          <w:i/>
          <w:iCs/>
          <w:sz w:val="22"/>
          <w:szCs w:val="22"/>
        </w:rPr>
        <w:t>Constructive dismissal: a guide</w:t>
      </w:r>
      <w:r>
        <w:rPr>
          <w:rFonts w:ascii="Arial" w:hAnsi="Arial" w:cs="Arial"/>
          <w:i/>
          <w:iCs/>
          <w:sz w:val="22"/>
          <w:szCs w:val="22"/>
        </w:rPr>
        <w:t xml:space="preserve"> for employers</w:t>
      </w:r>
      <w:r w:rsidRPr="00B745A3">
        <w:rPr>
          <w:rFonts w:ascii="Arial" w:hAnsi="Arial" w:cs="Arial"/>
          <w:sz w:val="22"/>
          <w:szCs w:val="22"/>
        </w:rPr>
        <w:t xml:space="preserve">. Available at: </w:t>
      </w:r>
      <w:hyperlink r:id="rId24" w:tgtFrame="_new" w:history="1">
        <w:r w:rsidRPr="00B745A3">
          <w:rPr>
            <w:rStyle w:val="Hyperlink"/>
            <w:rFonts w:ascii="Arial" w:hAnsi="Arial" w:cs="Arial"/>
            <w:sz w:val="22"/>
            <w:szCs w:val="22"/>
          </w:rPr>
          <w:t>https://www.peoplemanagement.co.uk/article/1743377/constructive-dismissal-guide</w:t>
        </w:r>
      </w:hyperlink>
      <w:r w:rsidRPr="00B745A3">
        <w:rPr>
          <w:rFonts w:ascii="Arial" w:hAnsi="Arial" w:cs="Arial"/>
          <w:sz w:val="22"/>
          <w:szCs w:val="22"/>
        </w:rPr>
        <w:t xml:space="preserve"> </w:t>
      </w:r>
      <w:r>
        <w:rPr>
          <w:rFonts w:ascii="Arial" w:hAnsi="Arial" w:cs="Arial"/>
          <w:sz w:val="22"/>
          <w:szCs w:val="22"/>
        </w:rPr>
        <w:t>(</w:t>
      </w:r>
      <w:r w:rsidRPr="00B745A3">
        <w:rPr>
          <w:rFonts w:ascii="Arial" w:hAnsi="Arial" w:cs="Arial"/>
          <w:sz w:val="22"/>
          <w:szCs w:val="22"/>
        </w:rPr>
        <w:t xml:space="preserve">Accessed </w:t>
      </w:r>
      <w:r>
        <w:rPr>
          <w:rFonts w:ascii="Arial" w:hAnsi="Arial" w:cs="Arial"/>
          <w:sz w:val="22"/>
          <w:szCs w:val="22"/>
        </w:rPr>
        <w:t xml:space="preserve">29 April </w:t>
      </w:r>
      <w:r w:rsidRPr="00B745A3">
        <w:rPr>
          <w:rFonts w:ascii="Arial" w:hAnsi="Arial" w:cs="Arial"/>
          <w:sz w:val="22"/>
          <w:szCs w:val="22"/>
        </w:rPr>
        <w:t>2025</w:t>
      </w:r>
      <w:r>
        <w:rPr>
          <w:rFonts w:ascii="Arial" w:hAnsi="Arial" w:cs="Arial"/>
          <w:sz w:val="22"/>
          <w:szCs w:val="22"/>
        </w:rPr>
        <w:t>)</w:t>
      </w:r>
      <w:r w:rsidRPr="00B745A3">
        <w:rPr>
          <w:rFonts w:ascii="Arial" w:hAnsi="Arial" w:cs="Arial"/>
          <w:sz w:val="22"/>
          <w:szCs w:val="22"/>
        </w:rPr>
        <w:t>.</w:t>
      </w:r>
    </w:p>
    <w:p w14:paraId="2F09C21D" w14:textId="47F29F2E" w:rsidR="00227D6B" w:rsidRDefault="00227D6B" w:rsidP="003C6A73">
      <w:pPr>
        <w:rPr>
          <w:rFonts w:ascii="Arial" w:hAnsi="Arial" w:cs="Arial"/>
          <w:sz w:val="22"/>
          <w:szCs w:val="22"/>
        </w:rPr>
      </w:pPr>
      <w:r w:rsidRPr="00E41353">
        <w:rPr>
          <w:rFonts w:ascii="Arial" w:hAnsi="Arial" w:cs="Arial"/>
          <w:b/>
          <w:bCs/>
          <w:sz w:val="22"/>
          <w:szCs w:val="22"/>
        </w:rPr>
        <w:t>Machell, M. (202</w:t>
      </w:r>
      <w:r>
        <w:rPr>
          <w:rFonts w:ascii="Arial" w:hAnsi="Arial" w:cs="Arial"/>
          <w:b/>
          <w:bCs/>
          <w:sz w:val="22"/>
          <w:szCs w:val="22"/>
        </w:rPr>
        <w:t>5</w:t>
      </w:r>
      <w:r w:rsidRPr="00E41353">
        <w:rPr>
          <w:rFonts w:ascii="Arial" w:hAnsi="Arial" w:cs="Arial"/>
          <w:b/>
          <w:bCs/>
          <w:sz w:val="22"/>
          <w:szCs w:val="22"/>
        </w:rPr>
        <w:t>).</w:t>
      </w:r>
      <w:r w:rsidRPr="00E41353">
        <w:rPr>
          <w:rFonts w:ascii="Arial" w:hAnsi="Arial" w:cs="Arial"/>
          <w:sz w:val="22"/>
          <w:szCs w:val="22"/>
        </w:rPr>
        <w:t xml:space="preserve"> </w:t>
      </w:r>
      <w:r w:rsidRPr="00E41353">
        <w:rPr>
          <w:rFonts w:ascii="Arial" w:hAnsi="Arial" w:cs="Arial"/>
          <w:i/>
          <w:iCs/>
          <w:sz w:val="22"/>
          <w:szCs w:val="22"/>
        </w:rPr>
        <w:t>‘</w:t>
      </w:r>
      <w:r w:rsidRPr="00227D6B">
        <w:rPr>
          <w:rFonts w:ascii="Arial" w:hAnsi="Arial" w:cs="Arial"/>
          <w:i/>
          <w:iCs/>
          <w:sz w:val="22"/>
          <w:szCs w:val="22"/>
        </w:rPr>
        <w:t>Asda equal pay tribunal advances to final stage</w:t>
      </w:r>
      <w:r w:rsidRPr="00E41353">
        <w:rPr>
          <w:rFonts w:ascii="Arial" w:hAnsi="Arial" w:cs="Arial"/>
          <w:i/>
          <w:iCs/>
          <w:sz w:val="22"/>
          <w:szCs w:val="22"/>
        </w:rPr>
        <w:t>’ HR Magazine</w:t>
      </w:r>
      <w:r>
        <w:rPr>
          <w:rFonts w:ascii="Arial" w:hAnsi="Arial" w:cs="Arial"/>
          <w:sz w:val="22"/>
          <w:szCs w:val="22"/>
        </w:rPr>
        <w:t xml:space="preserve">. </w:t>
      </w:r>
      <w:r w:rsidRPr="00E41353">
        <w:rPr>
          <w:rFonts w:ascii="Arial" w:hAnsi="Arial" w:cs="Arial"/>
          <w:sz w:val="22"/>
          <w:szCs w:val="22"/>
        </w:rPr>
        <w:t xml:space="preserve">Available at: </w:t>
      </w:r>
      <w:hyperlink r:id="rId25" w:history="1">
        <w:r w:rsidRPr="00243734">
          <w:rPr>
            <w:rStyle w:val="Hyperlink"/>
            <w:rFonts w:ascii="Arial" w:hAnsi="Arial" w:cs="Arial"/>
            <w:sz w:val="22"/>
            <w:szCs w:val="22"/>
          </w:rPr>
          <w:t>https://www.hrmagazine.co.uk/content/news/asda-equal-pay-tribunal-advances-to-final-stage</w:t>
        </w:r>
      </w:hyperlink>
      <w:r>
        <w:rPr>
          <w:rFonts w:ascii="Arial" w:hAnsi="Arial" w:cs="Arial"/>
          <w:sz w:val="22"/>
          <w:szCs w:val="22"/>
        </w:rPr>
        <w:t xml:space="preserve"> </w:t>
      </w:r>
      <w:r w:rsidRPr="00E41353">
        <w:rPr>
          <w:rFonts w:ascii="Arial" w:hAnsi="Arial" w:cs="Arial"/>
          <w:sz w:val="22"/>
          <w:szCs w:val="22"/>
        </w:rPr>
        <w:t>(Accessed</w:t>
      </w:r>
      <w:r>
        <w:rPr>
          <w:rFonts w:ascii="Arial" w:hAnsi="Arial" w:cs="Arial"/>
          <w:sz w:val="22"/>
          <w:szCs w:val="22"/>
        </w:rPr>
        <w:t xml:space="preserve"> 29 April </w:t>
      </w:r>
      <w:r w:rsidRPr="00E41353">
        <w:rPr>
          <w:rFonts w:ascii="Arial" w:hAnsi="Arial" w:cs="Arial"/>
          <w:sz w:val="22"/>
          <w:szCs w:val="22"/>
        </w:rPr>
        <w:t>2025).</w:t>
      </w:r>
    </w:p>
    <w:p w14:paraId="0901CDA6" w14:textId="61F51F7D" w:rsidR="00E41353" w:rsidRDefault="00E41353" w:rsidP="003C6A73">
      <w:pPr>
        <w:rPr>
          <w:rFonts w:ascii="Arial" w:hAnsi="Arial" w:cs="Arial"/>
          <w:sz w:val="22"/>
          <w:szCs w:val="22"/>
        </w:rPr>
      </w:pPr>
      <w:r w:rsidRPr="00E41353">
        <w:rPr>
          <w:rFonts w:ascii="Arial" w:hAnsi="Arial" w:cs="Arial"/>
          <w:b/>
          <w:bCs/>
          <w:sz w:val="22"/>
          <w:szCs w:val="22"/>
        </w:rPr>
        <w:t>Machell, M. (2024).</w:t>
      </w:r>
      <w:r w:rsidRPr="00E41353">
        <w:rPr>
          <w:rFonts w:ascii="Arial" w:hAnsi="Arial" w:cs="Arial"/>
          <w:sz w:val="22"/>
          <w:szCs w:val="22"/>
        </w:rPr>
        <w:t xml:space="preserve"> </w:t>
      </w:r>
      <w:r w:rsidRPr="00E41353">
        <w:rPr>
          <w:rFonts w:ascii="Arial" w:hAnsi="Arial" w:cs="Arial"/>
          <w:i/>
          <w:iCs/>
          <w:sz w:val="22"/>
          <w:szCs w:val="22"/>
        </w:rPr>
        <w:t>‘</w:t>
      </w:r>
      <w:proofErr w:type="spellStart"/>
      <w:r w:rsidRPr="00E41353">
        <w:rPr>
          <w:rFonts w:ascii="Arial" w:hAnsi="Arial" w:cs="Arial"/>
          <w:i/>
          <w:iCs/>
          <w:sz w:val="22"/>
          <w:szCs w:val="22"/>
        </w:rPr>
        <w:t>Acas</w:t>
      </w:r>
      <w:proofErr w:type="spellEnd"/>
      <w:r w:rsidRPr="00E41353">
        <w:rPr>
          <w:rFonts w:ascii="Arial" w:hAnsi="Arial" w:cs="Arial"/>
          <w:i/>
          <w:iCs/>
          <w:sz w:val="22"/>
          <w:szCs w:val="22"/>
        </w:rPr>
        <w:t xml:space="preserve"> releases code of practice on flexible working requests’ HR Magazine</w:t>
      </w:r>
      <w:r>
        <w:rPr>
          <w:rFonts w:ascii="Arial" w:hAnsi="Arial" w:cs="Arial"/>
          <w:sz w:val="22"/>
          <w:szCs w:val="22"/>
        </w:rPr>
        <w:t xml:space="preserve">. </w:t>
      </w:r>
      <w:r w:rsidRPr="00E41353">
        <w:rPr>
          <w:rFonts w:ascii="Arial" w:hAnsi="Arial" w:cs="Arial"/>
          <w:sz w:val="22"/>
          <w:szCs w:val="22"/>
        </w:rPr>
        <w:t xml:space="preserve">Available at: </w:t>
      </w:r>
      <w:hyperlink r:id="rId26" w:tgtFrame="_new" w:history="1">
        <w:r w:rsidRPr="00E41353">
          <w:rPr>
            <w:rStyle w:val="Hyperlink"/>
            <w:rFonts w:ascii="Arial" w:hAnsi="Arial" w:cs="Arial"/>
            <w:sz w:val="22"/>
            <w:szCs w:val="22"/>
          </w:rPr>
          <w:t>https://www.hrmagazine.co.uk/content/news/acas-releases-code-of-practice-on-flexible-working-requests</w:t>
        </w:r>
      </w:hyperlink>
      <w:r w:rsidRPr="00E41353">
        <w:rPr>
          <w:rFonts w:ascii="Arial" w:hAnsi="Arial" w:cs="Arial"/>
          <w:sz w:val="22"/>
          <w:szCs w:val="22"/>
        </w:rPr>
        <w:t xml:space="preserve"> (Accessed</w:t>
      </w:r>
      <w:r>
        <w:rPr>
          <w:rFonts w:ascii="Arial" w:hAnsi="Arial" w:cs="Arial"/>
          <w:sz w:val="22"/>
          <w:szCs w:val="22"/>
        </w:rPr>
        <w:t xml:space="preserve"> 29 April </w:t>
      </w:r>
      <w:r w:rsidRPr="00E41353">
        <w:rPr>
          <w:rFonts w:ascii="Arial" w:hAnsi="Arial" w:cs="Arial"/>
          <w:sz w:val="22"/>
          <w:szCs w:val="22"/>
        </w:rPr>
        <w:t>2025).</w:t>
      </w:r>
    </w:p>
    <w:p w14:paraId="34D16E21" w14:textId="2EBC6374" w:rsidR="002E1347" w:rsidRDefault="002E1347" w:rsidP="003C6A73">
      <w:pPr>
        <w:rPr>
          <w:rFonts w:ascii="Arial" w:hAnsi="Arial" w:cs="Arial"/>
          <w:sz w:val="22"/>
          <w:szCs w:val="22"/>
        </w:rPr>
      </w:pPr>
      <w:r w:rsidRPr="002E1347">
        <w:rPr>
          <w:rFonts w:ascii="Arial" w:hAnsi="Arial" w:cs="Arial"/>
          <w:b/>
          <w:bCs/>
          <w:sz w:val="22"/>
          <w:szCs w:val="22"/>
        </w:rPr>
        <w:t>Taylor, S. and Woodhams, C. (2022).</w:t>
      </w:r>
      <w:r w:rsidRPr="002E1347">
        <w:rPr>
          <w:rFonts w:ascii="Arial" w:hAnsi="Arial" w:cs="Arial"/>
          <w:sz w:val="22"/>
          <w:szCs w:val="22"/>
        </w:rPr>
        <w:t xml:space="preserve"> </w:t>
      </w:r>
      <w:r w:rsidRPr="002E1347">
        <w:rPr>
          <w:rFonts w:ascii="Arial" w:hAnsi="Arial" w:cs="Arial"/>
          <w:i/>
          <w:iCs/>
          <w:sz w:val="22"/>
          <w:szCs w:val="22"/>
        </w:rPr>
        <w:t>Human Resource Management</w:t>
      </w:r>
      <w:r w:rsidRPr="002E1347">
        <w:rPr>
          <w:rFonts w:ascii="Arial" w:hAnsi="Arial" w:cs="Arial"/>
          <w:sz w:val="22"/>
          <w:szCs w:val="22"/>
        </w:rPr>
        <w:t xml:space="preserve">. 3rd ed. New York: Kogan </w:t>
      </w:r>
      <w:r>
        <w:rPr>
          <w:rFonts w:ascii="Arial" w:hAnsi="Arial" w:cs="Arial"/>
          <w:sz w:val="22"/>
          <w:szCs w:val="22"/>
        </w:rPr>
        <w:t>Page.</w:t>
      </w:r>
    </w:p>
    <w:p w14:paraId="507911A5" w14:textId="6C930E36" w:rsidR="00D20C7E" w:rsidRDefault="00D20C7E" w:rsidP="003C6A73">
      <w:pPr>
        <w:rPr>
          <w:rFonts w:ascii="Arial" w:hAnsi="Arial" w:cs="Arial"/>
          <w:sz w:val="22"/>
          <w:szCs w:val="22"/>
        </w:rPr>
      </w:pPr>
      <w:r w:rsidRPr="00D20C7E">
        <w:rPr>
          <w:rFonts w:ascii="Arial" w:hAnsi="Arial" w:cs="Arial"/>
          <w:b/>
          <w:bCs/>
          <w:sz w:val="22"/>
          <w:szCs w:val="22"/>
        </w:rPr>
        <w:t xml:space="preserve">Trowers &amp; </w:t>
      </w:r>
      <w:proofErr w:type="spellStart"/>
      <w:r w:rsidRPr="00D20C7E">
        <w:rPr>
          <w:rFonts w:ascii="Arial" w:hAnsi="Arial" w:cs="Arial"/>
          <w:b/>
          <w:bCs/>
          <w:sz w:val="22"/>
          <w:szCs w:val="22"/>
        </w:rPr>
        <w:t>Hamlins</w:t>
      </w:r>
      <w:proofErr w:type="spellEnd"/>
      <w:r w:rsidRPr="00D20C7E">
        <w:rPr>
          <w:rFonts w:ascii="Arial" w:hAnsi="Arial" w:cs="Arial"/>
          <w:b/>
          <w:bCs/>
          <w:sz w:val="22"/>
          <w:szCs w:val="22"/>
        </w:rPr>
        <w:t xml:space="preserve"> LLP (2023).</w:t>
      </w:r>
      <w:r w:rsidRPr="00D20C7E">
        <w:rPr>
          <w:rFonts w:ascii="Arial" w:hAnsi="Arial" w:cs="Arial"/>
          <w:sz w:val="22"/>
          <w:szCs w:val="22"/>
        </w:rPr>
        <w:t xml:space="preserve"> </w:t>
      </w:r>
      <w:r w:rsidRPr="00D20C7E">
        <w:rPr>
          <w:rFonts w:ascii="Arial" w:hAnsi="Arial" w:cs="Arial"/>
          <w:i/>
          <w:iCs/>
          <w:sz w:val="22"/>
          <w:szCs w:val="22"/>
        </w:rPr>
        <w:t>Application of genuine occupational requirement was not a proportionate means of achieving a legitimate aim</w:t>
      </w:r>
      <w:r w:rsidRPr="00D20C7E">
        <w:rPr>
          <w:rFonts w:ascii="Arial" w:hAnsi="Arial" w:cs="Arial"/>
          <w:sz w:val="22"/>
          <w:szCs w:val="22"/>
        </w:rPr>
        <w:t xml:space="preserve">. Available at: </w:t>
      </w:r>
      <w:hyperlink r:id="rId27" w:tgtFrame="_new" w:history="1">
        <w:r w:rsidRPr="00D20C7E">
          <w:rPr>
            <w:rStyle w:val="Hyperlink"/>
            <w:rFonts w:ascii="Arial" w:hAnsi="Arial" w:cs="Arial"/>
            <w:sz w:val="22"/>
            <w:szCs w:val="22"/>
          </w:rPr>
          <w:t>https://www.trowers.com/insights/2023/june/application-of-genuine-occupational-requirement</w:t>
        </w:r>
      </w:hyperlink>
      <w:r w:rsidRPr="00D20C7E">
        <w:rPr>
          <w:rFonts w:ascii="Arial" w:hAnsi="Arial" w:cs="Arial"/>
          <w:sz w:val="22"/>
          <w:szCs w:val="22"/>
        </w:rPr>
        <w:t xml:space="preserve"> (Accessed: </w:t>
      </w:r>
      <w:r>
        <w:rPr>
          <w:rFonts w:ascii="Arial" w:hAnsi="Arial" w:cs="Arial"/>
          <w:sz w:val="22"/>
          <w:szCs w:val="22"/>
        </w:rPr>
        <w:t>29</w:t>
      </w:r>
      <w:r w:rsidRPr="00D20C7E">
        <w:rPr>
          <w:rFonts w:ascii="Arial" w:hAnsi="Arial" w:cs="Arial"/>
          <w:sz w:val="22"/>
          <w:szCs w:val="22"/>
        </w:rPr>
        <w:t xml:space="preserve"> </w:t>
      </w:r>
      <w:r>
        <w:rPr>
          <w:rFonts w:ascii="Arial" w:hAnsi="Arial" w:cs="Arial"/>
          <w:sz w:val="22"/>
          <w:szCs w:val="22"/>
        </w:rPr>
        <w:t>April</w:t>
      </w:r>
      <w:r w:rsidRPr="00D20C7E">
        <w:rPr>
          <w:rFonts w:ascii="Arial" w:hAnsi="Arial" w:cs="Arial"/>
          <w:sz w:val="22"/>
          <w:szCs w:val="22"/>
        </w:rPr>
        <w:t xml:space="preserve"> 2025).</w:t>
      </w:r>
    </w:p>
    <w:p w14:paraId="2EA61245" w14:textId="217DF3FA" w:rsidR="000F3E59" w:rsidRPr="003C6A73" w:rsidRDefault="000F3E59" w:rsidP="003C6A73">
      <w:pPr>
        <w:rPr>
          <w:rFonts w:ascii="Arial" w:hAnsi="Arial" w:cs="Arial"/>
          <w:sz w:val="22"/>
          <w:szCs w:val="22"/>
        </w:rPr>
      </w:pPr>
      <w:r w:rsidRPr="000F3E59">
        <w:rPr>
          <w:rFonts w:ascii="Arial" w:hAnsi="Arial" w:cs="Arial"/>
          <w:b/>
          <w:bCs/>
          <w:sz w:val="22"/>
          <w:szCs w:val="22"/>
        </w:rPr>
        <w:t>UK Government (2023).</w:t>
      </w:r>
      <w:r w:rsidRPr="000F3E59">
        <w:rPr>
          <w:rFonts w:ascii="Arial" w:hAnsi="Arial" w:cs="Arial"/>
          <w:sz w:val="22"/>
          <w:szCs w:val="22"/>
        </w:rPr>
        <w:t xml:space="preserve"> </w:t>
      </w:r>
      <w:r w:rsidRPr="000F3E59">
        <w:rPr>
          <w:rFonts w:ascii="Arial" w:hAnsi="Arial" w:cs="Arial"/>
          <w:i/>
          <w:iCs/>
          <w:sz w:val="22"/>
          <w:szCs w:val="22"/>
        </w:rPr>
        <w:t>Retained EU Law (Revocation and Reform) Act 2023</w:t>
      </w:r>
      <w:r w:rsidRPr="000F3E59">
        <w:rPr>
          <w:rFonts w:ascii="Arial" w:hAnsi="Arial" w:cs="Arial"/>
          <w:sz w:val="22"/>
          <w:szCs w:val="22"/>
        </w:rPr>
        <w:t xml:space="preserve">. Available at: </w:t>
      </w:r>
      <w:hyperlink r:id="rId28" w:tgtFrame="_new" w:history="1">
        <w:r w:rsidRPr="000F3E59">
          <w:rPr>
            <w:rStyle w:val="Hyperlink"/>
            <w:rFonts w:ascii="Arial" w:hAnsi="Arial" w:cs="Arial"/>
            <w:sz w:val="22"/>
            <w:szCs w:val="22"/>
          </w:rPr>
          <w:t>https://www.legislation.gov.uk/ukpga/2023/28/contents/enacted</w:t>
        </w:r>
      </w:hyperlink>
      <w:r w:rsidRPr="000F3E59">
        <w:rPr>
          <w:rFonts w:ascii="Arial" w:hAnsi="Arial" w:cs="Arial"/>
          <w:sz w:val="22"/>
          <w:szCs w:val="22"/>
        </w:rPr>
        <w:t xml:space="preserve"> </w:t>
      </w:r>
      <w:r w:rsidR="0062414A">
        <w:rPr>
          <w:rFonts w:ascii="Arial" w:hAnsi="Arial" w:cs="Arial"/>
          <w:sz w:val="22"/>
          <w:szCs w:val="22"/>
        </w:rPr>
        <w:t>(</w:t>
      </w:r>
      <w:r w:rsidRPr="000F3E59">
        <w:rPr>
          <w:rFonts w:ascii="Arial" w:hAnsi="Arial" w:cs="Arial"/>
          <w:sz w:val="22"/>
          <w:szCs w:val="22"/>
        </w:rPr>
        <w:t xml:space="preserve">Accessed </w:t>
      </w:r>
      <w:r>
        <w:rPr>
          <w:rFonts w:ascii="Arial" w:hAnsi="Arial" w:cs="Arial"/>
          <w:sz w:val="22"/>
          <w:szCs w:val="22"/>
        </w:rPr>
        <w:t>29</w:t>
      </w:r>
      <w:r w:rsidRPr="000F3E59">
        <w:rPr>
          <w:rFonts w:ascii="Arial" w:hAnsi="Arial" w:cs="Arial"/>
          <w:sz w:val="22"/>
          <w:szCs w:val="22"/>
        </w:rPr>
        <w:t xml:space="preserve"> </w:t>
      </w:r>
      <w:r>
        <w:rPr>
          <w:rFonts w:ascii="Arial" w:hAnsi="Arial" w:cs="Arial"/>
          <w:sz w:val="22"/>
          <w:szCs w:val="22"/>
        </w:rPr>
        <w:t>April</w:t>
      </w:r>
      <w:r w:rsidRPr="000F3E59">
        <w:rPr>
          <w:rFonts w:ascii="Arial" w:hAnsi="Arial" w:cs="Arial"/>
          <w:sz w:val="22"/>
          <w:szCs w:val="22"/>
        </w:rPr>
        <w:t xml:space="preserve"> 2025</w:t>
      </w:r>
      <w:r w:rsidR="0062414A">
        <w:rPr>
          <w:rFonts w:ascii="Arial" w:hAnsi="Arial" w:cs="Arial"/>
          <w:sz w:val="22"/>
          <w:szCs w:val="22"/>
        </w:rPr>
        <w:t>)</w:t>
      </w:r>
      <w:r w:rsidRPr="000F3E59">
        <w:rPr>
          <w:rFonts w:ascii="Arial" w:hAnsi="Arial" w:cs="Arial"/>
          <w:sz w:val="22"/>
          <w:szCs w:val="22"/>
        </w:rPr>
        <w:t>.</w:t>
      </w:r>
    </w:p>
    <w:p w14:paraId="2911C929" w14:textId="77777777" w:rsidR="00DB2A3E" w:rsidRPr="00DB2A3E" w:rsidRDefault="00DB2A3E" w:rsidP="00DB2A3E"/>
    <w:sectPr w:rsidR="00DB2A3E" w:rsidRPr="00DB2A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E246F"/>
    <w:multiLevelType w:val="multilevel"/>
    <w:tmpl w:val="CC64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140F3"/>
    <w:multiLevelType w:val="multilevel"/>
    <w:tmpl w:val="D69CA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6F39F9"/>
    <w:multiLevelType w:val="multilevel"/>
    <w:tmpl w:val="7A441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41329C"/>
    <w:multiLevelType w:val="multilevel"/>
    <w:tmpl w:val="94527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4A6262"/>
    <w:multiLevelType w:val="multilevel"/>
    <w:tmpl w:val="3926B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1207D8"/>
    <w:multiLevelType w:val="multilevel"/>
    <w:tmpl w:val="1C8EB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A2115C"/>
    <w:multiLevelType w:val="multilevel"/>
    <w:tmpl w:val="6F06D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FA0866"/>
    <w:multiLevelType w:val="multilevel"/>
    <w:tmpl w:val="B3962A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42586719"/>
    <w:multiLevelType w:val="multilevel"/>
    <w:tmpl w:val="CC66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BA0B14"/>
    <w:multiLevelType w:val="multilevel"/>
    <w:tmpl w:val="7EAAE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F724D1"/>
    <w:multiLevelType w:val="hybridMultilevel"/>
    <w:tmpl w:val="612437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D74AFB"/>
    <w:multiLevelType w:val="multilevel"/>
    <w:tmpl w:val="6CCEA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6AE2A07"/>
    <w:multiLevelType w:val="multilevel"/>
    <w:tmpl w:val="2B5A6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A80D2B"/>
    <w:multiLevelType w:val="multilevel"/>
    <w:tmpl w:val="C2CE1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9A6F6D"/>
    <w:multiLevelType w:val="multilevel"/>
    <w:tmpl w:val="00B0B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8342E2"/>
    <w:multiLevelType w:val="multilevel"/>
    <w:tmpl w:val="1A384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5901ACF"/>
    <w:multiLevelType w:val="multilevel"/>
    <w:tmpl w:val="6292F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2EC1C7B"/>
    <w:multiLevelType w:val="multilevel"/>
    <w:tmpl w:val="B84CC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362642">
    <w:abstractNumId w:val="16"/>
  </w:num>
  <w:num w:numId="2" w16cid:durableId="268973689">
    <w:abstractNumId w:val="3"/>
  </w:num>
  <w:num w:numId="3" w16cid:durableId="11984680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49365526">
    <w:abstractNumId w:val="11"/>
  </w:num>
  <w:num w:numId="5" w16cid:durableId="1960337573">
    <w:abstractNumId w:val="15"/>
  </w:num>
  <w:num w:numId="6" w16cid:durableId="1310868942">
    <w:abstractNumId w:val="0"/>
  </w:num>
  <w:num w:numId="7" w16cid:durableId="1924535136">
    <w:abstractNumId w:val="5"/>
  </w:num>
  <w:num w:numId="8" w16cid:durableId="946699558">
    <w:abstractNumId w:val="6"/>
  </w:num>
  <w:num w:numId="9" w16cid:durableId="535776453">
    <w:abstractNumId w:val="13"/>
  </w:num>
  <w:num w:numId="10" w16cid:durableId="1010139059">
    <w:abstractNumId w:val="4"/>
  </w:num>
  <w:num w:numId="11" w16cid:durableId="1655178783">
    <w:abstractNumId w:val="12"/>
  </w:num>
  <w:num w:numId="12" w16cid:durableId="1931354462">
    <w:abstractNumId w:val="2"/>
  </w:num>
  <w:num w:numId="13" w16cid:durableId="5446248">
    <w:abstractNumId w:val="14"/>
  </w:num>
  <w:num w:numId="14" w16cid:durableId="634872604">
    <w:abstractNumId w:val="8"/>
  </w:num>
  <w:num w:numId="15" w16cid:durableId="569315572">
    <w:abstractNumId w:val="17"/>
  </w:num>
  <w:num w:numId="16" w16cid:durableId="1887788850">
    <w:abstractNumId w:val="1"/>
  </w:num>
  <w:num w:numId="17" w16cid:durableId="1227296963">
    <w:abstractNumId w:val="10"/>
  </w:num>
  <w:num w:numId="18" w16cid:durableId="2090688286">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19" w16cid:durableId="37124818">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20" w16cid:durableId="1888056700">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21" w16cid:durableId="1417631572">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22" w16cid:durableId="1027412901">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23" w16cid:durableId="1535146982">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24" w16cid:durableId="1511218712">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25" w16cid:durableId="2029208264">
    <w:abstractNumId w:val="9"/>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A3E"/>
    <w:rsid w:val="00027B4E"/>
    <w:rsid w:val="00075A5A"/>
    <w:rsid w:val="000A2C19"/>
    <w:rsid w:val="000A66B6"/>
    <w:rsid w:val="000E65BC"/>
    <w:rsid w:val="000F3E59"/>
    <w:rsid w:val="001045CA"/>
    <w:rsid w:val="001137CD"/>
    <w:rsid w:val="00130789"/>
    <w:rsid w:val="00131EBA"/>
    <w:rsid w:val="00183FBB"/>
    <w:rsid w:val="001A59CD"/>
    <w:rsid w:val="001D7D1B"/>
    <w:rsid w:val="001E007E"/>
    <w:rsid w:val="00212829"/>
    <w:rsid w:val="00227D6B"/>
    <w:rsid w:val="00244660"/>
    <w:rsid w:val="00253DD3"/>
    <w:rsid w:val="00255764"/>
    <w:rsid w:val="00275D67"/>
    <w:rsid w:val="002D4E21"/>
    <w:rsid w:val="002D6475"/>
    <w:rsid w:val="002E1347"/>
    <w:rsid w:val="002F6EE7"/>
    <w:rsid w:val="003058B6"/>
    <w:rsid w:val="00315E4F"/>
    <w:rsid w:val="0034218B"/>
    <w:rsid w:val="00351E3C"/>
    <w:rsid w:val="003670F2"/>
    <w:rsid w:val="003800FD"/>
    <w:rsid w:val="003874FF"/>
    <w:rsid w:val="003A2F46"/>
    <w:rsid w:val="003C2B01"/>
    <w:rsid w:val="003C6A73"/>
    <w:rsid w:val="003D1B89"/>
    <w:rsid w:val="003F5B4C"/>
    <w:rsid w:val="003F6688"/>
    <w:rsid w:val="0041019E"/>
    <w:rsid w:val="00421EF7"/>
    <w:rsid w:val="004342A8"/>
    <w:rsid w:val="00443024"/>
    <w:rsid w:val="0046342F"/>
    <w:rsid w:val="004A228D"/>
    <w:rsid w:val="004D560A"/>
    <w:rsid w:val="004E67E7"/>
    <w:rsid w:val="00506A7D"/>
    <w:rsid w:val="00536A41"/>
    <w:rsid w:val="00557C37"/>
    <w:rsid w:val="00567106"/>
    <w:rsid w:val="00577E43"/>
    <w:rsid w:val="005849BF"/>
    <w:rsid w:val="00591383"/>
    <w:rsid w:val="00594195"/>
    <w:rsid w:val="005D7F9F"/>
    <w:rsid w:val="005E11E8"/>
    <w:rsid w:val="005E2227"/>
    <w:rsid w:val="005F71F5"/>
    <w:rsid w:val="0062414A"/>
    <w:rsid w:val="00627987"/>
    <w:rsid w:val="00660D8A"/>
    <w:rsid w:val="00662B9B"/>
    <w:rsid w:val="00674CD5"/>
    <w:rsid w:val="006E70BF"/>
    <w:rsid w:val="00717C9A"/>
    <w:rsid w:val="0076122F"/>
    <w:rsid w:val="00767606"/>
    <w:rsid w:val="00780F3A"/>
    <w:rsid w:val="007927E3"/>
    <w:rsid w:val="007B6571"/>
    <w:rsid w:val="0081258D"/>
    <w:rsid w:val="00822577"/>
    <w:rsid w:val="00857281"/>
    <w:rsid w:val="0086067E"/>
    <w:rsid w:val="008725F4"/>
    <w:rsid w:val="00884774"/>
    <w:rsid w:val="008F01DA"/>
    <w:rsid w:val="009101DE"/>
    <w:rsid w:val="00930760"/>
    <w:rsid w:val="00950C71"/>
    <w:rsid w:val="00971830"/>
    <w:rsid w:val="009938BF"/>
    <w:rsid w:val="0099479B"/>
    <w:rsid w:val="009A446D"/>
    <w:rsid w:val="009A7E62"/>
    <w:rsid w:val="009C4C6F"/>
    <w:rsid w:val="009F6B0D"/>
    <w:rsid w:val="00A019D5"/>
    <w:rsid w:val="00AD3360"/>
    <w:rsid w:val="00AF0A3D"/>
    <w:rsid w:val="00B2287E"/>
    <w:rsid w:val="00B30A26"/>
    <w:rsid w:val="00B745A3"/>
    <w:rsid w:val="00B756E3"/>
    <w:rsid w:val="00B827F4"/>
    <w:rsid w:val="00BA5BB2"/>
    <w:rsid w:val="00C25077"/>
    <w:rsid w:val="00C30A0B"/>
    <w:rsid w:val="00C44685"/>
    <w:rsid w:val="00C63145"/>
    <w:rsid w:val="00C76F13"/>
    <w:rsid w:val="00C819DF"/>
    <w:rsid w:val="00C829CF"/>
    <w:rsid w:val="00C927A1"/>
    <w:rsid w:val="00C95ADB"/>
    <w:rsid w:val="00C977BE"/>
    <w:rsid w:val="00D20C7E"/>
    <w:rsid w:val="00D25D93"/>
    <w:rsid w:val="00D33A04"/>
    <w:rsid w:val="00D51F8F"/>
    <w:rsid w:val="00D60255"/>
    <w:rsid w:val="00D7209A"/>
    <w:rsid w:val="00D86ACD"/>
    <w:rsid w:val="00DA114F"/>
    <w:rsid w:val="00DB2A3E"/>
    <w:rsid w:val="00DB2A94"/>
    <w:rsid w:val="00DB7CB1"/>
    <w:rsid w:val="00DC2CC5"/>
    <w:rsid w:val="00E41353"/>
    <w:rsid w:val="00E7320B"/>
    <w:rsid w:val="00E95E36"/>
    <w:rsid w:val="00F04A3C"/>
    <w:rsid w:val="00F110EB"/>
    <w:rsid w:val="00F46AB9"/>
    <w:rsid w:val="00F71BAB"/>
    <w:rsid w:val="00F83222"/>
    <w:rsid w:val="00FA1A9E"/>
    <w:rsid w:val="00FA20DC"/>
    <w:rsid w:val="00FE1E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E0D12"/>
  <w15:chartTrackingRefBased/>
  <w15:docId w15:val="{7383212E-291A-4EEB-B7AB-6DBA1A164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A3E"/>
  </w:style>
  <w:style w:type="paragraph" w:styleId="Heading1">
    <w:name w:val="heading 1"/>
    <w:basedOn w:val="Normal"/>
    <w:next w:val="Normal"/>
    <w:link w:val="Heading1Char"/>
    <w:uiPriority w:val="9"/>
    <w:qFormat/>
    <w:rsid w:val="00DB2A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2A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2A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2A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2A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2A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2A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2A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2A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2A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2A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2A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2A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2A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2A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2A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2A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2A3E"/>
    <w:rPr>
      <w:rFonts w:eastAsiaTheme="majorEastAsia" w:cstheme="majorBidi"/>
      <w:color w:val="272727" w:themeColor="text1" w:themeTint="D8"/>
    </w:rPr>
  </w:style>
  <w:style w:type="paragraph" w:styleId="Title">
    <w:name w:val="Title"/>
    <w:basedOn w:val="Normal"/>
    <w:next w:val="Normal"/>
    <w:link w:val="TitleChar"/>
    <w:uiPriority w:val="10"/>
    <w:qFormat/>
    <w:rsid w:val="00DB2A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2A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2A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2A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2A3E"/>
    <w:pPr>
      <w:spacing w:before="160"/>
      <w:jc w:val="center"/>
    </w:pPr>
    <w:rPr>
      <w:i/>
      <w:iCs/>
      <w:color w:val="404040" w:themeColor="text1" w:themeTint="BF"/>
    </w:rPr>
  </w:style>
  <w:style w:type="character" w:customStyle="1" w:styleId="QuoteChar">
    <w:name w:val="Quote Char"/>
    <w:basedOn w:val="DefaultParagraphFont"/>
    <w:link w:val="Quote"/>
    <w:uiPriority w:val="29"/>
    <w:rsid w:val="00DB2A3E"/>
    <w:rPr>
      <w:i/>
      <w:iCs/>
      <w:color w:val="404040" w:themeColor="text1" w:themeTint="BF"/>
    </w:rPr>
  </w:style>
  <w:style w:type="paragraph" w:styleId="ListParagraph">
    <w:name w:val="List Paragraph"/>
    <w:basedOn w:val="Normal"/>
    <w:uiPriority w:val="34"/>
    <w:qFormat/>
    <w:rsid w:val="00DB2A3E"/>
    <w:pPr>
      <w:ind w:left="720"/>
      <w:contextualSpacing/>
    </w:pPr>
  </w:style>
  <w:style w:type="character" w:styleId="IntenseEmphasis">
    <w:name w:val="Intense Emphasis"/>
    <w:basedOn w:val="DefaultParagraphFont"/>
    <w:uiPriority w:val="21"/>
    <w:qFormat/>
    <w:rsid w:val="00DB2A3E"/>
    <w:rPr>
      <w:i/>
      <w:iCs/>
      <w:color w:val="0F4761" w:themeColor="accent1" w:themeShade="BF"/>
    </w:rPr>
  </w:style>
  <w:style w:type="paragraph" w:styleId="IntenseQuote">
    <w:name w:val="Intense Quote"/>
    <w:basedOn w:val="Normal"/>
    <w:next w:val="Normal"/>
    <w:link w:val="IntenseQuoteChar"/>
    <w:uiPriority w:val="30"/>
    <w:qFormat/>
    <w:rsid w:val="00DB2A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2A3E"/>
    <w:rPr>
      <w:i/>
      <w:iCs/>
      <w:color w:val="0F4761" w:themeColor="accent1" w:themeShade="BF"/>
    </w:rPr>
  </w:style>
  <w:style w:type="character" w:styleId="IntenseReference">
    <w:name w:val="Intense Reference"/>
    <w:basedOn w:val="DefaultParagraphFont"/>
    <w:uiPriority w:val="32"/>
    <w:qFormat/>
    <w:rsid w:val="00DB2A3E"/>
    <w:rPr>
      <w:b/>
      <w:bCs/>
      <w:smallCaps/>
      <w:color w:val="0F4761" w:themeColor="accent1" w:themeShade="BF"/>
      <w:spacing w:val="5"/>
    </w:rPr>
  </w:style>
  <w:style w:type="character" w:styleId="Hyperlink">
    <w:name w:val="Hyperlink"/>
    <w:basedOn w:val="DefaultParagraphFont"/>
    <w:uiPriority w:val="99"/>
    <w:unhideWhenUsed/>
    <w:rsid w:val="003C6A73"/>
    <w:rPr>
      <w:color w:val="467886" w:themeColor="hyperlink"/>
      <w:u w:val="single"/>
    </w:rPr>
  </w:style>
  <w:style w:type="character" w:styleId="UnresolvedMention">
    <w:name w:val="Unresolved Mention"/>
    <w:basedOn w:val="DefaultParagraphFont"/>
    <w:uiPriority w:val="99"/>
    <w:semiHidden/>
    <w:unhideWhenUsed/>
    <w:rsid w:val="003C6A73"/>
    <w:rPr>
      <w:color w:val="605E5C"/>
      <w:shd w:val="clear" w:color="auto" w:fill="E1DFDD"/>
    </w:rPr>
  </w:style>
  <w:style w:type="character" w:styleId="FollowedHyperlink">
    <w:name w:val="FollowedHyperlink"/>
    <w:basedOn w:val="DefaultParagraphFont"/>
    <w:uiPriority w:val="99"/>
    <w:semiHidden/>
    <w:unhideWhenUsed/>
    <w:rsid w:val="004A228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6242">
      <w:bodyDiv w:val="1"/>
      <w:marLeft w:val="0"/>
      <w:marRight w:val="0"/>
      <w:marTop w:val="0"/>
      <w:marBottom w:val="0"/>
      <w:divBdr>
        <w:top w:val="none" w:sz="0" w:space="0" w:color="auto"/>
        <w:left w:val="none" w:sz="0" w:space="0" w:color="auto"/>
        <w:bottom w:val="none" w:sz="0" w:space="0" w:color="auto"/>
        <w:right w:val="none" w:sz="0" w:space="0" w:color="auto"/>
      </w:divBdr>
    </w:div>
    <w:div w:id="11150410">
      <w:bodyDiv w:val="1"/>
      <w:marLeft w:val="0"/>
      <w:marRight w:val="0"/>
      <w:marTop w:val="0"/>
      <w:marBottom w:val="0"/>
      <w:divBdr>
        <w:top w:val="none" w:sz="0" w:space="0" w:color="auto"/>
        <w:left w:val="none" w:sz="0" w:space="0" w:color="auto"/>
        <w:bottom w:val="none" w:sz="0" w:space="0" w:color="auto"/>
        <w:right w:val="none" w:sz="0" w:space="0" w:color="auto"/>
      </w:divBdr>
    </w:div>
    <w:div w:id="33238518">
      <w:bodyDiv w:val="1"/>
      <w:marLeft w:val="0"/>
      <w:marRight w:val="0"/>
      <w:marTop w:val="0"/>
      <w:marBottom w:val="0"/>
      <w:divBdr>
        <w:top w:val="none" w:sz="0" w:space="0" w:color="auto"/>
        <w:left w:val="none" w:sz="0" w:space="0" w:color="auto"/>
        <w:bottom w:val="none" w:sz="0" w:space="0" w:color="auto"/>
        <w:right w:val="none" w:sz="0" w:space="0" w:color="auto"/>
      </w:divBdr>
    </w:div>
    <w:div w:id="36004424">
      <w:bodyDiv w:val="1"/>
      <w:marLeft w:val="0"/>
      <w:marRight w:val="0"/>
      <w:marTop w:val="0"/>
      <w:marBottom w:val="0"/>
      <w:divBdr>
        <w:top w:val="none" w:sz="0" w:space="0" w:color="auto"/>
        <w:left w:val="none" w:sz="0" w:space="0" w:color="auto"/>
        <w:bottom w:val="none" w:sz="0" w:space="0" w:color="auto"/>
        <w:right w:val="none" w:sz="0" w:space="0" w:color="auto"/>
      </w:divBdr>
    </w:div>
    <w:div w:id="64036465">
      <w:bodyDiv w:val="1"/>
      <w:marLeft w:val="0"/>
      <w:marRight w:val="0"/>
      <w:marTop w:val="0"/>
      <w:marBottom w:val="0"/>
      <w:divBdr>
        <w:top w:val="none" w:sz="0" w:space="0" w:color="auto"/>
        <w:left w:val="none" w:sz="0" w:space="0" w:color="auto"/>
        <w:bottom w:val="none" w:sz="0" w:space="0" w:color="auto"/>
        <w:right w:val="none" w:sz="0" w:space="0" w:color="auto"/>
      </w:divBdr>
    </w:div>
    <w:div w:id="66271861">
      <w:bodyDiv w:val="1"/>
      <w:marLeft w:val="0"/>
      <w:marRight w:val="0"/>
      <w:marTop w:val="0"/>
      <w:marBottom w:val="0"/>
      <w:divBdr>
        <w:top w:val="none" w:sz="0" w:space="0" w:color="auto"/>
        <w:left w:val="none" w:sz="0" w:space="0" w:color="auto"/>
        <w:bottom w:val="none" w:sz="0" w:space="0" w:color="auto"/>
        <w:right w:val="none" w:sz="0" w:space="0" w:color="auto"/>
      </w:divBdr>
    </w:div>
    <w:div w:id="123086656">
      <w:bodyDiv w:val="1"/>
      <w:marLeft w:val="0"/>
      <w:marRight w:val="0"/>
      <w:marTop w:val="0"/>
      <w:marBottom w:val="0"/>
      <w:divBdr>
        <w:top w:val="none" w:sz="0" w:space="0" w:color="auto"/>
        <w:left w:val="none" w:sz="0" w:space="0" w:color="auto"/>
        <w:bottom w:val="none" w:sz="0" w:space="0" w:color="auto"/>
        <w:right w:val="none" w:sz="0" w:space="0" w:color="auto"/>
      </w:divBdr>
    </w:div>
    <w:div w:id="135492883">
      <w:bodyDiv w:val="1"/>
      <w:marLeft w:val="0"/>
      <w:marRight w:val="0"/>
      <w:marTop w:val="0"/>
      <w:marBottom w:val="0"/>
      <w:divBdr>
        <w:top w:val="none" w:sz="0" w:space="0" w:color="auto"/>
        <w:left w:val="none" w:sz="0" w:space="0" w:color="auto"/>
        <w:bottom w:val="none" w:sz="0" w:space="0" w:color="auto"/>
        <w:right w:val="none" w:sz="0" w:space="0" w:color="auto"/>
      </w:divBdr>
    </w:div>
    <w:div w:id="202138860">
      <w:bodyDiv w:val="1"/>
      <w:marLeft w:val="0"/>
      <w:marRight w:val="0"/>
      <w:marTop w:val="0"/>
      <w:marBottom w:val="0"/>
      <w:divBdr>
        <w:top w:val="none" w:sz="0" w:space="0" w:color="auto"/>
        <w:left w:val="none" w:sz="0" w:space="0" w:color="auto"/>
        <w:bottom w:val="none" w:sz="0" w:space="0" w:color="auto"/>
        <w:right w:val="none" w:sz="0" w:space="0" w:color="auto"/>
      </w:divBdr>
    </w:div>
    <w:div w:id="212696511">
      <w:bodyDiv w:val="1"/>
      <w:marLeft w:val="0"/>
      <w:marRight w:val="0"/>
      <w:marTop w:val="0"/>
      <w:marBottom w:val="0"/>
      <w:divBdr>
        <w:top w:val="none" w:sz="0" w:space="0" w:color="auto"/>
        <w:left w:val="none" w:sz="0" w:space="0" w:color="auto"/>
        <w:bottom w:val="none" w:sz="0" w:space="0" w:color="auto"/>
        <w:right w:val="none" w:sz="0" w:space="0" w:color="auto"/>
      </w:divBdr>
    </w:div>
    <w:div w:id="238752666">
      <w:bodyDiv w:val="1"/>
      <w:marLeft w:val="0"/>
      <w:marRight w:val="0"/>
      <w:marTop w:val="0"/>
      <w:marBottom w:val="0"/>
      <w:divBdr>
        <w:top w:val="none" w:sz="0" w:space="0" w:color="auto"/>
        <w:left w:val="none" w:sz="0" w:space="0" w:color="auto"/>
        <w:bottom w:val="none" w:sz="0" w:space="0" w:color="auto"/>
        <w:right w:val="none" w:sz="0" w:space="0" w:color="auto"/>
      </w:divBdr>
    </w:div>
    <w:div w:id="280915770">
      <w:bodyDiv w:val="1"/>
      <w:marLeft w:val="0"/>
      <w:marRight w:val="0"/>
      <w:marTop w:val="0"/>
      <w:marBottom w:val="0"/>
      <w:divBdr>
        <w:top w:val="none" w:sz="0" w:space="0" w:color="auto"/>
        <w:left w:val="none" w:sz="0" w:space="0" w:color="auto"/>
        <w:bottom w:val="none" w:sz="0" w:space="0" w:color="auto"/>
        <w:right w:val="none" w:sz="0" w:space="0" w:color="auto"/>
      </w:divBdr>
    </w:div>
    <w:div w:id="316998672">
      <w:bodyDiv w:val="1"/>
      <w:marLeft w:val="0"/>
      <w:marRight w:val="0"/>
      <w:marTop w:val="0"/>
      <w:marBottom w:val="0"/>
      <w:divBdr>
        <w:top w:val="none" w:sz="0" w:space="0" w:color="auto"/>
        <w:left w:val="none" w:sz="0" w:space="0" w:color="auto"/>
        <w:bottom w:val="none" w:sz="0" w:space="0" w:color="auto"/>
        <w:right w:val="none" w:sz="0" w:space="0" w:color="auto"/>
      </w:divBdr>
    </w:div>
    <w:div w:id="351150078">
      <w:bodyDiv w:val="1"/>
      <w:marLeft w:val="0"/>
      <w:marRight w:val="0"/>
      <w:marTop w:val="0"/>
      <w:marBottom w:val="0"/>
      <w:divBdr>
        <w:top w:val="none" w:sz="0" w:space="0" w:color="auto"/>
        <w:left w:val="none" w:sz="0" w:space="0" w:color="auto"/>
        <w:bottom w:val="none" w:sz="0" w:space="0" w:color="auto"/>
        <w:right w:val="none" w:sz="0" w:space="0" w:color="auto"/>
      </w:divBdr>
    </w:div>
    <w:div w:id="360129179">
      <w:bodyDiv w:val="1"/>
      <w:marLeft w:val="0"/>
      <w:marRight w:val="0"/>
      <w:marTop w:val="0"/>
      <w:marBottom w:val="0"/>
      <w:divBdr>
        <w:top w:val="none" w:sz="0" w:space="0" w:color="auto"/>
        <w:left w:val="none" w:sz="0" w:space="0" w:color="auto"/>
        <w:bottom w:val="none" w:sz="0" w:space="0" w:color="auto"/>
        <w:right w:val="none" w:sz="0" w:space="0" w:color="auto"/>
      </w:divBdr>
    </w:div>
    <w:div w:id="370037751">
      <w:bodyDiv w:val="1"/>
      <w:marLeft w:val="0"/>
      <w:marRight w:val="0"/>
      <w:marTop w:val="0"/>
      <w:marBottom w:val="0"/>
      <w:divBdr>
        <w:top w:val="none" w:sz="0" w:space="0" w:color="auto"/>
        <w:left w:val="none" w:sz="0" w:space="0" w:color="auto"/>
        <w:bottom w:val="none" w:sz="0" w:space="0" w:color="auto"/>
        <w:right w:val="none" w:sz="0" w:space="0" w:color="auto"/>
      </w:divBdr>
    </w:div>
    <w:div w:id="373887263">
      <w:bodyDiv w:val="1"/>
      <w:marLeft w:val="0"/>
      <w:marRight w:val="0"/>
      <w:marTop w:val="0"/>
      <w:marBottom w:val="0"/>
      <w:divBdr>
        <w:top w:val="none" w:sz="0" w:space="0" w:color="auto"/>
        <w:left w:val="none" w:sz="0" w:space="0" w:color="auto"/>
        <w:bottom w:val="none" w:sz="0" w:space="0" w:color="auto"/>
        <w:right w:val="none" w:sz="0" w:space="0" w:color="auto"/>
      </w:divBdr>
    </w:div>
    <w:div w:id="393358159">
      <w:bodyDiv w:val="1"/>
      <w:marLeft w:val="0"/>
      <w:marRight w:val="0"/>
      <w:marTop w:val="0"/>
      <w:marBottom w:val="0"/>
      <w:divBdr>
        <w:top w:val="none" w:sz="0" w:space="0" w:color="auto"/>
        <w:left w:val="none" w:sz="0" w:space="0" w:color="auto"/>
        <w:bottom w:val="none" w:sz="0" w:space="0" w:color="auto"/>
        <w:right w:val="none" w:sz="0" w:space="0" w:color="auto"/>
      </w:divBdr>
    </w:div>
    <w:div w:id="395861518">
      <w:bodyDiv w:val="1"/>
      <w:marLeft w:val="0"/>
      <w:marRight w:val="0"/>
      <w:marTop w:val="0"/>
      <w:marBottom w:val="0"/>
      <w:divBdr>
        <w:top w:val="none" w:sz="0" w:space="0" w:color="auto"/>
        <w:left w:val="none" w:sz="0" w:space="0" w:color="auto"/>
        <w:bottom w:val="none" w:sz="0" w:space="0" w:color="auto"/>
        <w:right w:val="none" w:sz="0" w:space="0" w:color="auto"/>
      </w:divBdr>
    </w:div>
    <w:div w:id="397484772">
      <w:bodyDiv w:val="1"/>
      <w:marLeft w:val="0"/>
      <w:marRight w:val="0"/>
      <w:marTop w:val="0"/>
      <w:marBottom w:val="0"/>
      <w:divBdr>
        <w:top w:val="none" w:sz="0" w:space="0" w:color="auto"/>
        <w:left w:val="none" w:sz="0" w:space="0" w:color="auto"/>
        <w:bottom w:val="none" w:sz="0" w:space="0" w:color="auto"/>
        <w:right w:val="none" w:sz="0" w:space="0" w:color="auto"/>
      </w:divBdr>
    </w:div>
    <w:div w:id="431243519">
      <w:bodyDiv w:val="1"/>
      <w:marLeft w:val="0"/>
      <w:marRight w:val="0"/>
      <w:marTop w:val="0"/>
      <w:marBottom w:val="0"/>
      <w:divBdr>
        <w:top w:val="none" w:sz="0" w:space="0" w:color="auto"/>
        <w:left w:val="none" w:sz="0" w:space="0" w:color="auto"/>
        <w:bottom w:val="none" w:sz="0" w:space="0" w:color="auto"/>
        <w:right w:val="none" w:sz="0" w:space="0" w:color="auto"/>
      </w:divBdr>
    </w:div>
    <w:div w:id="442261370">
      <w:bodyDiv w:val="1"/>
      <w:marLeft w:val="0"/>
      <w:marRight w:val="0"/>
      <w:marTop w:val="0"/>
      <w:marBottom w:val="0"/>
      <w:divBdr>
        <w:top w:val="none" w:sz="0" w:space="0" w:color="auto"/>
        <w:left w:val="none" w:sz="0" w:space="0" w:color="auto"/>
        <w:bottom w:val="none" w:sz="0" w:space="0" w:color="auto"/>
        <w:right w:val="none" w:sz="0" w:space="0" w:color="auto"/>
      </w:divBdr>
    </w:div>
    <w:div w:id="462506980">
      <w:bodyDiv w:val="1"/>
      <w:marLeft w:val="0"/>
      <w:marRight w:val="0"/>
      <w:marTop w:val="0"/>
      <w:marBottom w:val="0"/>
      <w:divBdr>
        <w:top w:val="none" w:sz="0" w:space="0" w:color="auto"/>
        <w:left w:val="none" w:sz="0" w:space="0" w:color="auto"/>
        <w:bottom w:val="none" w:sz="0" w:space="0" w:color="auto"/>
        <w:right w:val="none" w:sz="0" w:space="0" w:color="auto"/>
      </w:divBdr>
    </w:div>
    <w:div w:id="499538869">
      <w:bodyDiv w:val="1"/>
      <w:marLeft w:val="0"/>
      <w:marRight w:val="0"/>
      <w:marTop w:val="0"/>
      <w:marBottom w:val="0"/>
      <w:divBdr>
        <w:top w:val="none" w:sz="0" w:space="0" w:color="auto"/>
        <w:left w:val="none" w:sz="0" w:space="0" w:color="auto"/>
        <w:bottom w:val="none" w:sz="0" w:space="0" w:color="auto"/>
        <w:right w:val="none" w:sz="0" w:space="0" w:color="auto"/>
      </w:divBdr>
    </w:div>
    <w:div w:id="519247763">
      <w:bodyDiv w:val="1"/>
      <w:marLeft w:val="0"/>
      <w:marRight w:val="0"/>
      <w:marTop w:val="0"/>
      <w:marBottom w:val="0"/>
      <w:divBdr>
        <w:top w:val="none" w:sz="0" w:space="0" w:color="auto"/>
        <w:left w:val="none" w:sz="0" w:space="0" w:color="auto"/>
        <w:bottom w:val="none" w:sz="0" w:space="0" w:color="auto"/>
        <w:right w:val="none" w:sz="0" w:space="0" w:color="auto"/>
      </w:divBdr>
    </w:div>
    <w:div w:id="539053475">
      <w:bodyDiv w:val="1"/>
      <w:marLeft w:val="0"/>
      <w:marRight w:val="0"/>
      <w:marTop w:val="0"/>
      <w:marBottom w:val="0"/>
      <w:divBdr>
        <w:top w:val="none" w:sz="0" w:space="0" w:color="auto"/>
        <w:left w:val="none" w:sz="0" w:space="0" w:color="auto"/>
        <w:bottom w:val="none" w:sz="0" w:space="0" w:color="auto"/>
        <w:right w:val="none" w:sz="0" w:space="0" w:color="auto"/>
      </w:divBdr>
    </w:div>
    <w:div w:id="563224009">
      <w:bodyDiv w:val="1"/>
      <w:marLeft w:val="0"/>
      <w:marRight w:val="0"/>
      <w:marTop w:val="0"/>
      <w:marBottom w:val="0"/>
      <w:divBdr>
        <w:top w:val="none" w:sz="0" w:space="0" w:color="auto"/>
        <w:left w:val="none" w:sz="0" w:space="0" w:color="auto"/>
        <w:bottom w:val="none" w:sz="0" w:space="0" w:color="auto"/>
        <w:right w:val="none" w:sz="0" w:space="0" w:color="auto"/>
      </w:divBdr>
    </w:div>
    <w:div w:id="574241528">
      <w:bodyDiv w:val="1"/>
      <w:marLeft w:val="0"/>
      <w:marRight w:val="0"/>
      <w:marTop w:val="0"/>
      <w:marBottom w:val="0"/>
      <w:divBdr>
        <w:top w:val="none" w:sz="0" w:space="0" w:color="auto"/>
        <w:left w:val="none" w:sz="0" w:space="0" w:color="auto"/>
        <w:bottom w:val="none" w:sz="0" w:space="0" w:color="auto"/>
        <w:right w:val="none" w:sz="0" w:space="0" w:color="auto"/>
      </w:divBdr>
    </w:div>
    <w:div w:id="580409523">
      <w:bodyDiv w:val="1"/>
      <w:marLeft w:val="0"/>
      <w:marRight w:val="0"/>
      <w:marTop w:val="0"/>
      <w:marBottom w:val="0"/>
      <w:divBdr>
        <w:top w:val="none" w:sz="0" w:space="0" w:color="auto"/>
        <w:left w:val="none" w:sz="0" w:space="0" w:color="auto"/>
        <w:bottom w:val="none" w:sz="0" w:space="0" w:color="auto"/>
        <w:right w:val="none" w:sz="0" w:space="0" w:color="auto"/>
      </w:divBdr>
    </w:div>
    <w:div w:id="612051827">
      <w:bodyDiv w:val="1"/>
      <w:marLeft w:val="0"/>
      <w:marRight w:val="0"/>
      <w:marTop w:val="0"/>
      <w:marBottom w:val="0"/>
      <w:divBdr>
        <w:top w:val="none" w:sz="0" w:space="0" w:color="auto"/>
        <w:left w:val="none" w:sz="0" w:space="0" w:color="auto"/>
        <w:bottom w:val="none" w:sz="0" w:space="0" w:color="auto"/>
        <w:right w:val="none" w:sz="0" w:space="0" w:color="auto"/>
      </w:divBdr>
    </w:div>
    <w:div w:id="667442610">
      <w:bodyDiv w:val="1"/>
      <w:marLeft w:val="0"/>
      <w:marRight w:val="0"/>
      <w:marTop w:val="0"/>
      <w:marBottom w:val="0"/>
      <w:divBdr>
        <w:top w:val="none" w:sz="0" w:space="0" w:color="auto"/>
        <w:left w:val="none" w:sz="0" w:space="0" w:color="auto"/>
        <w:bottom w:val="none" w:sz="0" w:space="0" w:color="auto"/>
        <w:right w:val="none" w:sz="0" w:space="0" w:color="auto"/>
      </w:divBdr>
    </w:div>
    <w:div w:id="681670156">
      <w:bodyDiv w:val="1"/>
      <w:marLeft w:val="0"/>
      <w:marRight w:val="0"/>
      <w:marTop w:val="0"/>
      <w:marBottom w:val="0"/>
      <w:divBdr>
        <w:top w:val="none" w:sz="0" w:space="0" w:color="auto"/>
        <w:left w:val="none" w:sz="0" w:space="0" w:color="auto"/>
        <w:bottom w:val="none" w:sz="0" w:space="0" w:color="auto"/>
        <w:right w:val="none" w:sz="0" w:space="0" w:color="auto"/>
      </w:divBdr>
    </w:div>
    <w:div w:id="701133721">
      <w:bodyDiv w:val="1"/>
      <w:marLeft w:val="0"/>
      <w:marRight w:val="0"/>
      <w:marTop w:val="0"/>
      <w:marBottom w:val="0"/>
      <w:divBdr>
        <w:top w:val="none" w:sz="0" w:space="0" w:color="auto"/>
        <w:left w:val="none" w:sz="0" w:space="0" w:color="auto"/>
        <w:bottom w:val="none" w:sz="0" w:space="0" w:color="auto"/>
        <w:right w:val="none" w:sz="0" w:space="0" w:color="auto"/>
      </w:divBdr>
    </w:div>
    <w:div w:id="724530703">
      <w:bodyDiv w:val="1"/>
      <w:marLeft w:val="0"/>
      <w:marRight w:val="0"/>
      <w:marTop w:val="0"/>
      <w:marBottom w:val="0"/>
      <w:divBdr>
        <w:top w:val="none" w:sz="0" w:space="0" w:color="auto"/>
        <w:left w:val="none" w:sz="0" w:space="0" w:color="auto"/>
        <w:bottom w:val="none" w:sz="0" w:space="0" w:color="auto"/>
        <w:right w:val="none" w:sz="0" w:space="0" w:color="auto"/>
      </w:divBdr>
    </w:div>
    <w:div w:id="726342334">
      <w:bodyDiv w:val="1"/>
      <w:marLeft w:val="0"/>
      <w:marRight w:val="0"/>
      <w:marTop w:val="0"/>
      <w:marBottom w:val="0"/>
      <w:divBdr>
        <w:top w:val="none" w:sz="0" w:space="0" w:color="auto"/>
        <w:left w:val="none" w:sz="0" w:space="0" w:color="auto"/>
        <w:bottom w:val="none" w:sz="0" w:space="0" w:color="auto"/>
        <w:right w:val="none" w:sz="0" w:space="0" w:color="auto"/>
      </w:divBdr>
    </w:div>
    <w:div w:id="734086043">
      <w:bodyDiv w:val="1"/>
      <w:marLeft w:val="0"/>
      <w:marRight w:val="0"/>
      <w:marTop w:val="0"/>
      <w:marBottom w:val="0"/>
      <w:divBdr>
        <w:top w:val="none" w:sz="0" w:space="0" w:color="auto"/>
        <w:left w:val="none" w:sz="0" w:space="0" w:color="auto"/>
        <w:bottom w:val="none" w:sz="0" w:space="0" w:color="auto"/>
        <w:right w:val="none" w:sz="0" w:space="0" w:color="auto"/>
      </w:divBdr>
    </w:div>
    <w:div w:id="770244804">
      <w:bodyDiv w:val="1"/>
      <w:marLeft w:val="0"/>
      <w:marRight w:val="0"/>
      <w:marTop w:val="0"/>
      <w:marBottom w:val="0"/>
      <w:divBdr>
        <w:top w:val="none" w:sz="0" w:space="0" w:color="auto"/>
        <w:left w:val="none" w:sz="0" w:space="0" w:color="auto"/>
        <w:bottom w:val="none" w:sz="0" w:space="0" w:color="auto"/>
        <w:right w:val="none" w:sz="0" w:space="0" w:color="auto"/>
      </w:divBdr>
    </w:div>
    <w:div w:id="792408535">
      <w:bodyDiv w:val="1"/>
      <w:marLeft w:val="0"/>
      <w:marRight w:val="0"/>
      <w:marTop w:val="0"/>
      <w:marBottom w:val="0"/>
      <w:divBdr>
        <w:top w:val="none" w:sz="0" w:space="0" w:color="auto"/>
        <w:left w:val="none" w:sz="0" w:space="0" w:color="auto"/>
        <w:bottom w:val="none" w:sz="0" w:space="0" w:color="auto"/>
        <w:right w:val="none" w:sz="0" w:space="0" w:color="auto"/>
      </w:divBdr>
    </w:div>
    <w:div w:id="850217553">
      <w:bodyDiv w:val="1"/>
      <w:marLeft w:val="0"/>
      <w:marRight w:val="0"/>
      <w:marTop w:val="0"/>
      <w:marBottom w:val="0"/>
      <w:divBdr>
        <w:top w:val="none" w:sz="0" w:space="0" w:color="auto"/>
        <w:left w:val="none" w:sz="0" w:space="0" w:color="auto"/>
        <w:bottom w:val="none" w:sz="0" w:space="0" w:color="auto"/>
        <w:right w:val="none" w:sz="0" w:space="0" w:color="auto"/>
      </w:divBdr>
    </w:div>
    <w:div w:id="880481256">
      <w:bodyDiv w:val="1"/>
      <w:marLeft w:val="0"/>
      <w:marRight w:val="0"/>
      <w:marTop w:val="0"/>
      <w:marBottom w:val="0"/>
      <w:divBdr>
        <w:top w:val="none" w:sz="0" w:space="0" w:color="auto"/>
        <w:left w:val="none" w:sz="0" w:space="0" w:color="auto"/>
        <w:bottom w:val="none" w:sz="0" w:space="0" w:color="auto"/>
        <w:right w:val="none" w:sz="0" w:space="0" w:color="auto"/>
      </w:divBdr>
    </w:div>
    <w:div w:id="903493278">
      <w:bodyDiv w:val="1"/>
      <w:marLeft w:val="0"/>
      <w:marRight w:val="0"/>
      <w:marTop w:val="0"/>
      <w:marBottom w:val="0"/>
      <w:divBdr>
        <w:top w:val="none" w:sz="0" w:space="0" w:color="auto"/>
        <w:left w:val="none" w:sz="0" w:space="0" w:color="auto"/>
        <w:bottom w:val="none" w:sz="0" w:space="0" w:color="auto"/>
        <w:right w:val="none" w:sz="0" w:space="0" w:color="auto"/>
      </w:divBdr>
    </w:div>
    <w:div w:id="905723095">
      <w:bodyDiv w:val="1"/>
      <w:marLeft w:val="0"/>
      <w:marRight w:val="0"/>
      <w:marTop w:val="0"/>
      <w:marBottom w:val="0"/>
      <w:divBdr>
        <w:top w:val="none" w:sz="0" w:space="0" w:color="auto"/>
        <w:left w:val="none" w:sz="0" w:space="0" w:color="auto"/>
        <w:bottom w:val="none" w:sz="0" w:space="0" w:color="auto"/>
        <w:right w:val="none" w:sz="0" w:space="0" w:color="auto"/>
      </w:divBdr>
    </w:div>
    <w:div w:id="924415293">
      <w:bodyDiv w:val="1"/>
      <w:marLeft w:val="0"/>
      <w:marRight w:val="0"/>
      <w:marTop w:val="0"/>
      <w:marBottom w:val="0"/>
      <w:divBdr>
        <w:top w:val="none" w:sz="0" w:space="0" w:color="auto"/>
        <w:left w:val="none" w:sz="0" w:space="0" w:color="auto"/>
        <w:bottom w:val="none" w:sz="0" w:space="0" w:color="auto"/>
        <w:right w:val="none" w:sz="0" w:space="0" w:color="auto"/>
      </w:divBdr>
    </w:div>
    <w:div w:id="926769386">
      <w:bodyDiv w:val="1"/>
      <w:marLeft w:val="0"/>
      <w:marRight w:val="0"/>
      <w:marTop w:val="0"/>
      <w:marBottom w:val="0"/>
      <w:divBdr>
        <w:top w:val="none" w:sz="0" w:space="0" w:color="auto"/>
        <w:left w:val="none" w:sz="0" w:space="0" w:color="auto"/>
        <w:bottom w:val="none" w:sz="0" w:space="0" w:color="auto"/>
        <w:right w:val="none" w:sz="0" w:space="0" w:color="auto"/>
      </w:divBdr>
    </w:div>
    <w:div w:id="940378901">
      <w:bodyDiv w:val="1"/>
      <w:marLeft w:val="0"/>
      <w:marRight w:val="0"/>
      <w:marTop w:val="0"/>
      <w:marBottom w:val="0"/>
      <w:divBdr>
        <w:top w:val="none" w:sz="0" w:space="0" w:color="auto"/>
        <w:left w:val="none" w:sz="0" w:space="0" w:color="auto"/>
        <w:bottom w:val="none" w:sz="0" w:space="0" w:color="auto"/>
        <w:right w:val="none" w:sz="0" w:space="0" w:color="auto"/>
      </w:divBdr>
    </w:div>
    <w:div w:id="963852177">
      <w:bodyDiv w:val="1"/>
      <w:marLeft w:val="0"/>
      <w:marRight w:val="0"/>
      <w:marTop w:val="0"/>
      <w:marBottom w:val="0"/>
      <w:divBdr>
        <w:top w:val="none" w:sz="0" w:space="0" w:color="auto"/>
        <w:left w:val="none" w:sz="0" w:space="0" w:color="auto"/>
        <w:bottom w:val="none" w:sz="0" w:space="0" w:color="auto"/>
        <w:right w:val="none" w:sz="0" w:space="0" w:color="auto"/>
      </w:divBdr>
    </w:div>
    <w:div w:id="993988077">
      <w:bodyDiv w:val="1"/>
      <w:marLeft w:val="0"/>
      <w:marRight w:val="0"/>
      <w:marTop w:val="0"/>
      <w:marBottom w:val="0"/>
      <w:divBdr>
        <w:top w:val="none" w:sz="0" w:space="0" w:color="auto"/>
        <w:left w:val="none" w:sz="0" w:space="0" w:color="auto"/>
        <w:bottom w:val="none" w:sz="0" w:space="0" w:color="auto"/>
        <w:right w:val="none" w:sz="0" w:space="0" w:color="auto"/>
      </w:divBdr>
    </w:div>
    <w:div w:id="994065837">
      <w:bodyDiv w:val="1"/>
      <w:marLeft w:val="0"/>
      <w:marRight w:val="0"/>
      <w:marTop w:val="0"/>
      <w:marBottom w:val="0"/>
      <w:divBdr>
        <w:top w:val="none" w:sz="0" w:space="0" w:color="auto"/>
        <w:left w:val="none" w:sz="0" w:space="0" w:color="auto"/>
        <w:bottom w:val="none" w:sz="0" w:space="0" w:color="auto"/>
        <w:right w:val="none" w:sz="0" w:space="0" w:color="auto"/>
      </w:divBdr>
    </w:div>
    <w:div w:id="999163772">
      <w:bodyDiv w:val="1"/>
      <w:marLeft w:val="0"/>
      <w:marRight w:val="0"/>
      <w:marTop w:val="0"/>
      <w:marBottom w:val="0"/>
      <w:divBdr>
        <w:top w:val="none" w:sz="0" w:space="0" w:color="auto"/>
        <w:left w:val="none" w:sz="0" w:space="0" w:color="auto"/>
        <w:bottom w:val="none" w:sz="0" w:space="0" w:color="auto"/>
        <w:right w:val="none" w:sz="0" w:space="0" w:color="auto"/>
      </w:divBdr>
    </w:div>
    <w:div w:id="1008101865">
      <w:bodyDiv w:val="1"/>
      <w:marLeft w:val="0"/>
      <w:marRight w:val="0"/>
      <w:marTop w:val="0"/>
      <w:marBottom w:val="0"/>
      <w:divBdr>
        <w:top w:val="none" w:sz="0" w:space="0" w:color="auto"/>
        <w:left w:val="none" w:sz="0" w:space="0" w:color="auto"/>
        <w:bottom w:val="none" w:sz="0" w:space="0" w:color="auto"/>
        <w:right w:val="none" w:sz="0" w:space="0" w:color="auto"/>
      </w:divBdr>
    </w:div>
    <w:div w:id="1010135572">
      <w:bodyDiv w:val="1"/>
      <w:marLeft w:val="0"/>
      <w:marRight w:val="0"/>
      <w:marTop w:val="0"/>
      <w:marBottom w:val="0"/>
      <w:divBdr>
        <w:top w:val="none" w:sz="0" w:space="0" w:color="auto"/>
        <w:left w:val="none" w:sz="0" w:space="0" w:color="auto"/>
        <w:bottom w:val="none" w:sz="0" w:space="0" w:color="auto"/>
        <w:right w:val="none" w:sz="0" w:space="0" w:color="auto"/>
      </w:divBdr>
    </w:div>
    <w:div w:id="1019817172">
      <w:bodyDiv w:val="1"/>
      <w:marLeft w:val="0"/>
      <w:marRight w:val="0"/>
      <w:marTop w:val="0"/>
      <w:marBottom w:val="0"/>
      <w:divBdr>
        <w:top w:val="none" w:sz="0" w:space="0" w:color="auto"/>
        <w:left w:val="none" w:sz="0" w:space="0" w:color="auto"/>
        <w:bottom w:val="none" w:sz="0" w:space="0" w:color="auto"/>
        <w:right w:val="none" w:sz="0" w:space="0" w:color="auto"/>
      </w:divBdr>
    </w:div>
    <w:div w:id="1042680134">
      <w:bodyDiv w:val="1"/>
      <w:marLeft w:val="0"/>
      <w:marRight w:val="0"/>
      <w:marTop w:val="0"/>
      <w:marBottom w:val="0"/>
      <w:divBdr>
        <w:top w:val="none" w:sz="0" w:space="0" w:color="auto"/>
        <w:left w:val="none" w:sz="0" w:space="0" w:color="auto"/>
        <w:bottom w:val="none" w:sz="0" w:space="0" w:color="auto"/>
        <w:right w:val="none" w:sz="0" w:space="0" w:color="auto"/>
      </w:divBdr>
    </w:div>
    <w:div w:id="1057513693">
      <w:bodyDiv w:val="1"/>
      <w:marLeft w:val="0"/>
      <w:marRight w:val="0"/>
      <w:marTop w:val="0"/>
      <w:marBottom w:val="0"/>
      <w:divBdr>
        <w:top w:val="none" w:sz="0" w:space="0" w:color="auto"/>
        <w:left w:val="none" w:sz="0" w:space="0" w:color="auto"/>
        <w:bottom w:val="none" w:sz="0" w:space="0" w:color="auto"/>
        <w:right w:val="none" w:sz="0" w:space="0" w:color="auto"/>
      </w:divBdr>
    </w:div>
    <w:div w:id="1058170563">
      <w:bodyDiv w:val="1"/>
      <w:marLeft w:val="0"/>
      <w:marRight w:val="0"/>
      <w:marTop w:val="0"/>
      <w:marBottom w:val="0"/>
      <w:divBdr>
        <w:top w:val="none" w:sz="0" w:space="0" w:color="auto"/>
        <w:left w:val="none" w:sz="0" w:space="0" w:color="auto"/>
        <w:bottom w:val="none" w:sz="0" w:space="0" w:color="auto"/>
        <w:right w:val="none" w:sz="0" w:space="0" w:color="auto"/>
      </w:divBdr>
    </w:div>
    <w:div w:id="1095441766">
      <w:bodyDiv w:val="1"/>
      <w:marLeft w:val="0"/>
      <w:marRight w:val="0"/>
      <w:marTop w:val="0"/>
      <w:marBottom w:val="0"/>
      <w:divBdr>
        <w:top w:val="none" w:sz="0" w:space="0" w:color="auto"/>
        <w:left w:val="none" w:sz="0" w:space="0" w:color="auto"/>
        <w:bottom w:val="none" w:sz="0" w:space="0" w:color="auto"/>
        <w:right w:val="none" w:sz="0" w:space="0" w:color="auto"/>
      </w:divBdr>
    </w:div>
    <w:div w:id="1117532114">
      <w:bodyDiv w:val="1"/>
      <w:marLeft w:val="0"/>
      <w:marRight w:val="0"/>
      <w:marTop w:val="0"/>
      <w:marBottom w:val="0"/>
      <w:divBdr>
        <w:top w:val="none" w:sz="0" w:space="0" w:color="auto"/>
        <w:left w:val="none" w:sz="0" w:space="0" w:color="auto"/>
        <w:bottom w:val="none" w:sz="0" w:space="0" w:color="auto"/>
        <w:right w:val="none" w:sz="0" w:space="0" w:color="auto"/>
      </w:divBdr>
    </w:div>
    <w:div w:id="1125083443">
      <w:bodyDiv w:val="1"/>
      <w:marLeft w:val="0"/>
      <w:marRight w:val="0"/>
      <w:marTop w:val="0"/>
      <w:marBottom w:val="0"/>
      <w:divBdr>
        <w:top w:val="none" w:sz="0" w:space="0" w:color="auto"/>
        <w:left w:val="none" w:sz="0" w:space="0" w:color="auto"/>
        <w:bottom w:val="none" w:sz="0" w:space="0" w:color="auto"/>
        <w:right w:val="none" w:sz="0" w:space="0" w:color="auto"/>
      </w:divBdr>
    </w:div>
    <w:div w:id="1166481498">
      <w:bodyDiv w:val="1"/>
      <w:marLeft w:val="0"/>
      <w:marRight w:val="0"/>
      <w:marTop w:val="0"/>
      <w:marBottom w:val="0"/>
      <w:divBdr>
        <w:top w:val="none" w:sz="0" w:space="0" w:color="auto"/>
        <w:left w:val="none" w:sz="0" w:space="0" w:color="auto"/>
        <w:bottom w:val="none" w:sz="0" w:space="0" w:color="auto"/>
        <w:right w:val="none" w:sz="0" w:space="0" w:color="auto"/>
      </w:divBdr>
    </w:div>
    <w:div w:id="1173451374">
      <w:bodyDiv w:val="1"/>
      <w:marLeft w:val="0"/>
      <w:marRight w:val="0"/>
      <w:marTop w:val="0"/>
      <w:marBottom w:val="0"/>
      <w:divBdr>
        <w:top w:val="none" w:sz="0" w:space="0" w:color="auto"/>
        <w:left w:val="none" w:sz="0" w:space="0" w:color="auto"/>
        <w:bottom w:val="none" w:sz="0" w:space="0" w:color="auto"/>
        <w:right w:val="none" w:sz="0" w:space="0" w:color="auto"/>
      </w:divBdr>
    </w:div>
    <w:div w:id="1178345480">
      <w:bodyDiv w:val="1"/>
      <w:marLeft w:val="0"/>
      <w:marRight w:val="0"/>
      <w:marTop w:val="0"/>
      <w:marBottom w:val="0"/>
      <w:divBdr>
        <w:top w:val="none" w:sz="0" w:space="0" w:color="auto"/>
        <w:left w:val="none" w:sz="0" w:space="0" w:color="auto"/>
        <w:bottom w:val="none" w:sz="0" w:space="0" w:color="auto"/>
        <w:right w:val="none" w:sz="0" w:space="0" w:color="auto"/>
      </w:divBdr>
    </w:div>
    <w:div w:id="1184826159">
      <w:bodyDiv w:val="1"/>
      <w:marLeft w:val="0"/>
      <w:marRight w:val="0"/>
      <w:marTop w:val="0"/>
      <w:marBottom w:val="0"/>
      <w:divBdr>
        <w:top w:val="none" w:sz="0" w:space="0" w:color="auto"/>
        <w:left w:val="none" w:sz="0" w:space="0" w:color="auto"/>
        <w:bottom w:val="none" w:sz="0" w:space="0" w:color="auto"/>
        <w:right w:val="none" w:sz="0" w:space="0" w:color="auto"/>
      </w:divBdr>
    </w:div>
    <w:div w:id="1195271721">
      <w:bodyDiv w:val="1"/>
      <w:marLeft w:val="0"/>
      <w:marRight w:val="0"/>
      <w:marTop w:val="0"/>
      <w:marBottom w:val="0"/>
      <w:divBdr>
        <w:top w:val="none" w:sz="0" w:space="0" w:color="auto"/>
        <w:left w:val="none" w:sz="0" w:space="0" w:color="auto"/>
        <w:bottom w:val="none" w:sz="0" w:space="0" w:color="auto"/>
        <w:right w:val="none" w:sz="0" w:space="0" w:color="auto"/>
      </w:divBdr>
    </w:div>
    <w:div w:id="1212689086">
      <w:bodyDiv w:val="1"/>
      <w:marLeft w:val="0"/>
      <w:marRight w:val="0"/>
      <w:marTop w:val="0"/>
      <w:marBottom w:val="0"/>
      <w:divBdr>
        <w:top w:val="none" w:sz="0" w:space="0" w:color="auto"/>
        <w:left w:val="none" w:sz="0" w:space="0" w:color="auto"/>
        <w:bottom w:val="none" w:sz="0" w:space="0" w:color="auto"/>
        <w:right w:val="none" w:sz="0" w:space="0" w:color="auto"/>
      </w:divBdr>
    </w:div>
    <w:div w:id="1217084014">
      <w:bodyDiv w:val="1"/>
      <w:marLeft w:val="0"/>
      <w:marRight w:val="0"/>
      <w:marTop w:val="0"/>
      <w:marBottom w:val="0"/>
      <w:divBdr>
        <w:top w:val="none" w:sz="0" w:space="0" w:color="auto"/>
        <w:left w:val="none" w:sz="0" w:space="0" w:color="auto"/>
        <w:bottom w:val="none" w:sz="0" w:space="0" w:color="auto"/>
        <w:right w:val="none" w:sz="0" w:space="0" w:color="auto"/>
      </w:divBdr>
    </w:div>
    <w:div w:id="1258366357">
      <w:bodyDiv w:val="1"/>
      <w:marLeft w:val="0"/>
      <w:marRight w:val="0"/>
      <w:marTop w:val="0"/>
      <w:marBottom w:val="0"/>
      <w:divBdr>
        <w:top w:val="none" w:sz="0" w:space="0" w:color="auto"/>
        <w:left w:val="none" w:sz="0" w:space="0" w:color="auto"/>
        <w:bottom w:val="none" w:sz="0" w:space="0" w:color="auto"/>
        <w:right w:val="none" w:sz="0" w:space="0" w:color="auto"/>
      </w:divBdr>
    </w:div>
    <w:div w:id="1262572260">
      <w:bodyDiv w:val="1"/>
      <w:marLeft w:val="0"/>
      <w:marRight w:val="0"/>
      <w:marTop w:val="0"/>
      <w:marBottom w:val="0"/>
      <w:divBdr>
        <w:top w:val="none" w:sz="0" w:space="0" w:color="auto"/>
        <w:left w:val="none" w:sz="0" w:space="0" w:color="auto"/>
        <w:bottom w:val="none" w:sz="0" w:space="0" w:color="auto"/>
        <w:right w:val="none" w:sz="0" w:space="0" w:color="auto"/>
      </w:divBdr>
    </w:div>
    <w:div w:id="1271352640">
      <w:bodyDiv w:val="1"/>
      <w:marLeft w:val="0"/>
      <w:marRight w:val="0"/>
      <w:marTop w:val="0"/>
      <w:marBottom w:val="0"/>
      <w:divBdr>
        <w:top w:val="none" w:sz="0" w:space="0" w:color="auto"/>
        <w:left w:val="none" w:sz="0" w:space="0" w:color="auto"/>
        <w:bottom w:val="none" w:sz="0" w:space="0" w:color="auto"/>
        <w:right w:val="none" w:sz="0" w:space="0" w:color="auto"/>
      </w:divBdr>
    </w:div>
    <w:div w:id="1276984620">
      <w:bodyDiv w:val="1"/>
      <w:marLeft w:val="0"/>
      <w:marRight w:val="0"/>
      <w:marTop w:val="0"/>
      <w:marBottom w:val="0"/>
      <w:divBdr>
        <w:top w:val="none" w:sz="0" w:space="0" w:color="auto"/>
        <w:left w:val="none" w:sz="0" w:space="0" w:color="auto"/>
        <w:bottom w:val="none" w:sz="0" w:space="0" w:color="auto"/>
        <w:right w:val="none" w:sz="0" w:space="0" w:color="auto"/>
      </w:divBdr>
    </w:div>
    <w:div w:id="1326131577">
      <w:bodyDiv w:val="1"/>
      <w:marLeft w:val="0"/>
      <w:marRight w:val="0"/>
      <w:marTop w:val="0"/>
      <w:marBottom w:val="0"/>
      <w:divBdr>
        <w:top w:val="none" w:sz="0" w:space="0" w:color="auto"/>
        <w:left w:val="none" w:sz="0" w:space="0" w:color="auto"/>
        <w:bottom w:val="none" w:sz="0" w:space="0" w:color="auto"/>
        <w:right w:val="none" w:sz="0" w:space="0" w:color="auto"/>
      </w:divBdr>
    </w:div>
    <w:div w:id="1337807634">
      <w:bodyDiv w:val="1"/>
      <w:marLeft w:val="0"/>
      <w:marRight w:val="0"/>
      <w:marTop w:val="0"/>
      <w:marBottom w:val="0"/>
      <w:divBdr>
        <w:top w:val="none" w:sz="0" w:space="0" w:color="auto"/>
        <w:left w:val="none" w:sz="0" w:space="0" w:color="auto"/>
        <w:bottom w:val="none" w:sz="0" w:space="0" w:color="auto"/>
        <w:right w:val="none" w:sz="0" w:space="0" w:color="auto"/>
      </w:divBdr>
    </w:div>
    <w:div w:id="1339695040">
      <w:bodyDiv w:val="1"/>
      <w:marLeft w:val="0"/>
      <w:marRight w:val="0"/>
      <w:marTop w:val="0"/>
      <w:marBottom w:val="0"/>
      <w:divBdr>
        <w:top w:val="none" w:sz="0" w:space="0" w:color="auto"/>
        <w:left w:val="none" w:sz="0" w:space="0" w:color="auto"/>
        <w:bottom w:val="none" w:sz="0" w:space="0" w:color="auto"/>
        <w:right w:val="none" w:sz="0" w:space="0" w:color="auto"/>
      </w:divBdr>
    </w:div>
    <w:div w:id="1340035962">
      <w:bodyDiv w:val="1"/>
      <w:marLeft w:val="0"/>
      <w:marRight w:val="0"/>
      <w:marTop w:val="0"/>
      <w:marBottom w:val="0"/>
      <w:divBdr>
        <w:top w:val="none" w:sz="0" w:space="0" w:color="auto"/>
        <w:left w:val="none" w:sz="0" w:space="0" w:color="auto"/>
        <w:bottom w:val="none" w:sz="0" w:space="0" w:color="auto"/>
        <w:right w:val="none" w:sz="0" w:space="0" w:color="auto"/>
      </w:divBdr>
    </w:div>
    <w:div w:id="1351760805">
      <w:bodyDiv w:val="1"/>
      <w:marLeft w:val="0"/>
      <w:marRight w:val="0"/>
      <w:marTop w:val="0"/>
      <w:marBottom w:val="0"/>
      <w:divBdr>
        <w:top w:val="none" w:sz="0" w:space="0" w:color="auto"/>
        <w:left w:val="none" w:sz="0" w:space="0" w:color="auto"/>
        <w:bottom w:val="none" w:sz="0" w:space="0" w:color="auto"/>
        <w:right w:val="none" w:sz="0" w:space="0" w:color="auto"/>
      </w:divBdr>
    </w:div>
    <w:div w:id="1359890946">
      <w:bodyDiv w:val="1"/>
      <w:marLeft w:val="0"/>
      <w:marRight w:val="0"/>
      <w:marTop w:val="0"/>
      <w:marBottom w:val="0"/>
      <w:divBdr>
        <w:top w:val="none" w:sz="0" w:space="0" w:color="auto"/>
        <w:left w:val="none" w:sz="0" w:space="0" w:color="auto"/>
        <w:bottom w:val="none" w:sz="0" w:space="0" w:color="auto"/>
        <w:right w:val="none" w:sz="0" w:space="0" w:color="auto"/>
      </w:divBdr>
    </w:div>
    <w:div w:id="1399325928">
      <w:bodyDiv w:val="1"/>
      <w:marLeft w:val="0"/>
      <w:marRight w:val="0"/>
      <w:marTop w:val="0"/>
      <w:marBottom w:val="0"/>
      <w:divBdr>
        <w:top w:val="none" w:sz="0" w:space="0" w:color="auto"/>
        <w:left w:val="none" w:sz="0" w:space="0" w:color="auto"/>
        <w:bottom w:val="none" w:sz="0" w:space="0" w:color="auto"/>
        <w:right w:val="none" w:sz="0" w:space="0" w:color="auto"/>
      </w:divBdr>
    </w:div>
    <w:div w:id="1409381478">
      <w:bodyDiv w:val="1"/>
      <w:marLeft w:val="0"/>
      <w:marRight w:val="0"/>
      <w:marTop w:val="0"/>
      <w:marBottom w:val="0"/>
      <w:divBdr>
        <w:top w:val="none" w:sz="0" w:space="0" w:color="auto"/>
        <w:left w:val="none" w:sz="0" w:space="0" w:color="auto"/>
        <w:bottom w:val="none" w:sz="0" w:space="0" w:color="auto"/>
        <w:right w:val="none" w:sz="0" w:space="0" w:color="auto"/>
      </w:divBdr>
    </w:div>
    <w:div w:id="1413895398">
      <w:bodyDiv w:val="1"/>
      <w:marLeft w:val="0"/>
      <w:marRight w:val="0"/>
      <w:marTop w:val="0"/>
      <w:marBottom w:val="0"/>
      <w:divBdr>
        <w:top w:val="none" w:sz="0" w:space="0" w:color="auto"/>
        <w:left w:val="none" w:sz="0" w:space="0" w:color="auto"/>
        <w:bottom w:val="none" w:sz="0" w:space="0" w:color="auto"/>
        <w:right w:val="none" w:sz="0" w:space="0" w:color="auto"/>
      </w:divBdr>
    </w:div>
    <w:div w:id="1430273340">
      <w:bodyDiv w:val="1"/>
      <w:marLeft w:val="0"/>
      <w:marRight w:val="0"/>
      <w:marTop w:val="0"/>
      <w:marBottom w:val="0"/>
      <w:divBdr>
        <w:top w:val="none" w:sz="0" w:space="0" w:color="auto"/>
        <w:left w:val="none" w:sz="0" w:space="0" w:color="auto"/>
        <w:bottom w:val="none" w:sz="0" w:space="0" w:color="auto"/>
        <w:right w:val="none" w:sz="0" w:space="0" w:color="auto"/>
      </w:divBdr>
    </w:div>
    <w:div w:id="1450782613">
      <w:bodyDiv w:val="1"/>
      <w:marLeft w:val="0"/>
      <w:marRight w:val="0"/>
      <w:marTop w:val="0"/>
      <w:marBottom w:val="0"/>
      <w:divBdr>
        <w:top w:val="none" w:sz="0" w:space="0" w:color="auto"/>
        <w:left w:val="none" w:sz="0" w:space="0" w:color="auto"/>
        <w:bottom w:val="none" w:sz="0" w:space="0" w:color="auto"/>
        <w:right w:val="none" w:sz="0" w:space="0" w:color="auto"/>
      </w:divBdr>
    </w:div>
    <w:div w:id="1458722114">
      <w:bodyDiv w:val="1"/>
      <w:marLeft w:val="0"/>
      <w:marRight w:val="0"/>
      <w:marTop w:val="0"/>
      <w:marBottom w:val="0"/>
      <w:divBdr>
        <w:top w:val="none" w:sz="0" w:space="0" w:color="auto"/>
        <w:left w:val="none" w:sz="0" w:space="0" w:color="auto"/>
        <w:bottom w:val="none" w:sz="0" w:space="0" w:color="auto"/>
        <w:right w:val="none" w:sz="0" w:space="0" w:color="auto"/>
      </w:divBdr>
    </w:div>
    <w:div w:id="1473861396">
      <w:bodyDiv w:val="1"/>
      <w:marLeft w:val="0"/>
      <w:marRight w:val="0"/>
      <w:marTop w:val="0"/>
      <w:marBottom w:val="0"/>
      <w:divBdr>
        <w:top w:val="none" w:sz="0" w:space="0" w:color="auto"/>
        <w:left w:val="none" w:sz="0" w:space="0" w:color="auto"/>
        <w:bottom w:val="none" w:sz="0" w:space="0" w:color="auto"/>
        <w:right w:val="none" w:sz="0" w:space="0" w:color="auto"/>
      </w:divBdr>
    </w:div>
    <w:div w:id="1485395463">
      <w:bodyDiv w:val="1"/>
      <w:marLeft w:val="0"/>
      <w:marRight w:val="0"/>
      <w:marTop w:val="0"/>
      <w:marBottom w:val="0"/>
      <w:divBdr>
        <w:top w:val="none" w:sz="0" w:space="0" w:color="auto"/>
        <w:left w:val="none" w:sz="0" w:space="0" w:color="auto"/>
        <w:bottom w:val="none" w:sz="0" w:space="0" w:color="auto"/>
        <w:right w:val="none" w:sz="0" w:space="0" w:color="auto"/>
      </w:divBdr>
    </w:div>
    <w:div w:id="1493982172">
      <w:bodyDiv w:val="1"/>
      <w:marLeft w:val="0"/>
      <w:marRight w:val="0"/>
      <w:marTop w:val="0"/>
      <w:marBottom w:val="0"/>
      <w:divBdr>
        <w:top w:val="none" w:sz="0" w:space="0" w:color="auto"/>
        <w:left w:val="none" w:sz="0" w:space="0" w:color="auto"/>
        <w:bottom w:val="none" w:sz="0" w:space="0" w:color="auto"/>
        <w:right w:val="none" w:sz="0" w:space="0" w:color="auto"/>
      </w:divBdr>
    </w:div>
    <w:div w:id="1501198508">
      <w:bodyDiv w:val="1"/>
      <w:marLeft w:val="0"/>
      <w:marRight w:val="0"/>
      <w:marTop w:val="0"/>
      <w:marBottom w:val="0"/>
      <w:divBdr>
        <w:top w:val="none" w:sz="0" w:space="0" w:color="auto"/>
        <w:left w:val="none" w:sz="0" w:space="0" w:color="auto"/>
        <w:bottom w:val="none" w:sz="0" w:space="0" w:color="auto"/>
        <w:right w:val="none" w:sz="0" w:space="0" w:color="auto"/>
      </w:divBdr>
    </w:div>
    <w:div w:id="1531141085">
      <w:bodyDiv w:val="1"/>
      <w:marLeft w:val="0"/>
      <w:marRight w:val="0"/>
      <w:marTop w:val="0"/>
      <w:marBottom w:val="0"/>
      <w:divBdr>
        <w:top w:val="none" w:sz="0" w:space="0" w:color="auto"/>
        <w:left w:val="none" w:sz="0" w:space="0" w:color="auto"/>
        <w:bottom w:val="none" w:sz="0" w:space="0" w:color="auto"/>
        <w:right w:val="none" w:sz="0" w:space="0" w:color="auto"/>
      </w:divBdr>
    </w:div>
    <w:div w:id="1553611539">
      <w:bodyDiv w:val="1"/>
      <w:marLeft w:val="0"/>
      <w:marRight w:val="0"/>
      <w:marTop w:val="0"/>
      <w:marBottom w:val="0"/>
      <w:divBdr>
        <w:top w:val="none" w:sz="0" w:space="0" w:color="auto"/>
        <w:left w:val="none" w:sz="0" w:space="0" w:color="auto"/>
        <w:bottom w:val="none" w:sz="0" w:space="0" w:color="auto"/>
        <w:right w:val="none" w:sz="0" w:space="0" w:color="auto"/>
      </w:divBdr>
    </w:div>
    <w:div w:id="1557354685">
      <w:bodyDiv w:val="1"/>
      <w:marLeft w:val="0"/>
      <w:marRight w:val="0"/>
      <w:marTop w:val="0"/>
      <w:marBottom w:val="0"/>
      <w:divBdr>
        <w:top w:val="none" w:sz="0" w:space="0" w:color="auto"/>
        <w:left w:val="none" w:sz="0" w:space="0" w:color="auto"/>
        <w:bottom w:val="none" w:sz="0" w:space="0" w:color="auto"/>
        <w:right w:val="none" w:sz="0" w:space="0" w:color="auto"/>
      </w:divBdr>
    </w:div>
    <w:div w:id="1596747232">
      <w:bodyDiv w:val="1"/>
      <w:marLeft w:val="0"/>
      <w:marRight w:val="0"/>
      <w:marTop w:val="0"/>
      <w:marBottom w:val="0"/>
      <w:divBdr>
        <w:top w:val="none" w:sz="0" w:space="0" w:color="auto"/>
        <w:left w:val="none" w:sz="0" w:space="0" w:color="auto"/>
        <w:bottom w:val="none" w:sz="0" w:space="0" w:color="auto"/>
        <w:right w:val="none" w:sz="0" w:space="0" w:color="auto"/>
      </w:divBdr>
    </w:div>
    <w:div w:id="1612972612">
      <w:bodyDiv w:val="1"/>
      <w:marLeft w:val="0"/>
      <w:marRight w:val="0"/>
      <w:marTop w:val="0"/>
      <w:marBottom w:val="0"/>
      <w:divBdr>
        <w:top w:val="none" w:sz="0" w:space="0" w:color="auto"/>
        <w:left w:val="none" w:sz="0" w:space="0" w:color="auto"/>
        <w:bottom w:val="none" w:sz="0" w:space="0" w:color="auto"/>
        <w:right w:val="none" w:sz="0" w:space="0" w:color="auto"/>
      </w:divBdr>
    </w:div>
    <w:div w:id="1630360573">
      <w:bodyDiv w:val="1"/>
      <w:marLeft w:val="0"/>
      <w:marRight w:val="0"/>
      <w:marTop w:val="0"/>
      <w:marBottom w:val="0"/>
      <w:divBdr>
        <w:top w:val="none" w:sz="0" w:space="0" w:color="auto"/>
        <w:left w:val="none" w:sz="0" w:space="0" w:color="auto"/>
        <w:bottom w:val="none" w:sz="0" w:space="0" w:color="auto"/>
        <w:right w:val="none" w:sz="0" w:space="0" w:color="auto"/>
      </w:divBdr>
    </w:div>
    <w:div w:id="1639215465">
      <w:bodyDiv w:val="1"/>
      <w:marLeft w:val="0"/>
      <w:marRight w:val="0"/>
      <w:marTop w:val="0"/>
      <w:marBottom w:val="0"/>
      <w:divBdr>
        <w:top w:val="none" w:sz="0" w:space="0" w:color="auto"/>
        <w:left w:val="none" w:sz="0" w:space="0" w:color="auto"/>
        <w:bottom w:val="none" w:sz="0" w:space="0" w:color="auto"/>
        <w:right w:val="none" w:sz="0" w:space="0" w:color="auto"/>
      </w:divBdr>
    </w:div>
    <w:div w:id="1677616759">
      <w:bodyDiv w:val="1"/>
      <w:marLeft w:val="0"/>
      <w:marRight w:val="0"/>
      <w:marTop w:val="0"/>
      <w:marBottom w:val="0"/>
      <w:divBdr>
        <w:top w:val="none" w:sz="0" w:space="0" w:color="auto"/>
        <w:left w:val="none" w:sz="0" w:space="0" w:color="auto"/>
        <w:bottom w:val="none" w:sz="0" w:space="0" w:color="auto"/>
        <w:right w:val="none" w:sz="0" w:space="0" w:color="auto"/>
      </w:divBdr>
    </w:div>
    <w:div w:id="1692492649">
      <w:bodyDiv w:val="1"/>
      <w:marLeft w:val="0"/>
      <w:marRight w:val="0"/>
      <w:marTop w:val="0"/>
      <w:marBottom w:val="0"/>
      <w:divBdr>
        <w:top w:val="none" w:sz="0" w:space="0" w:color="auto"/>
        <w:left w:val="none" w:sz="0" w:space="0" w:color="auto"/>
        <w:bottom w:val="none" w:sz="0" w:space="0" w:color="auto"/>
        <w:right w:val="none" w:sz="0" w:space="0" w:color="auto"/>
      </w:divBdr>
    </w:div>
    <w:div w:id="1693803054">
      <w:bodyDiv w:val="1"/>
      <w:marLeft w:val="0"/>
      <w:marRight w:val="0"/>
      <w:marTop w:val="0"/>
      <w:marBottom w:val="0"/>
      <w:divBdr>
        <w:top w:val="none" w:sz="0" w:space="0" w:color="auto"/>
        <w:left w:val="none" w:sz="0" w:space="0" w:color="auto"/>
        <w:bottom w:val="none" w:sz="0" w:space="0" w:color="auto"/>
        <w:right w:val="none" w:sz="0" w:space="0" w:color="auto"/>
      </w:divBdr>
    </w:div>
    <w:div w:id="1696037334">
      <w:bodyDiv w:val="1"/>
      <w:marLeft w:val="0"/>
      <w:marRight w:val="0"/>
      <w:marTop w:val="0"/>
      <w:marBottom w:val="0"/>
      <w:divBdr>
        <w:top w:val="none" w:sz="0" w:space="0" w:color="auto"/>
        <w:left w:val="none" w:sz="0" w:space="0" w:color="auto"/>
        <w:bottom w:val="none" w:sz="0" w:space="0" w:color="auto"/>
        <w:right w:val="none" w:sz="0" w:space="0" w:color="auto"/>
      </w:divBdr>
    </w:div>
    <w:div w:id="1741831359">
      <w:bodyDiv w:val="1"/>
      <w:marLeft w:val="0"/>
      <w:marRight w:val="0"/>
      <w:marTop w:val="0"/>
      <w:marBottom w:val="0"/>
      <w:divBdr>
        <w:top w:val="none" w:sz="0" w:space="0" w:color="auto"/>
        <w:left w:val="none" w:sz="0" w:space="0" w:color="auto"/>
        <w:bottom w:val="none" w:sz="0" w:space="0" w:color="auto"/>
        <w:right w:val="none" w:sz="0" w:space="0" w:color="auto"/>
      </w:divBdr>
    </w:div>
    <w:div w:id="1794903741">
      <w:bodyDiv w:val="1"/>
      <w:marLeft w:val="0"/>
      <w:marRight w:val="0"/>
      <w:marTop w:val="0"/>
      <w:marBottom w:val="0"/>
      <w:divBdr>
        <w:top w:val="none" w:sz="0" w:space="0" w:color="auto"/>
        <w:left w:val="none" w:sz="0" w:space="0" w:color="auto"/>
        <w:bottom w:val="none" w:sz="0" w:space="0" w:color="auto"/>
        <w:right w:val="none" w:sz="0" w:space="0" w:color="auto"/>
      </w:divBdr>
    </w:div>
    <w:div w:id="1796362750">
      <w:bodyDiv w:val="1"/>
      <w:marLeft w:val="0"/>
      <w:marRight w:val="0"/>
      <w:marTop w:val="0"/>
      <w:marBottom w:val="0"/>
      <w:divBdr>
        <w:top w:val="none" w:sz="0" w:space="0" w:color="auto"/>
        <w:left w:val="none" w:sz="0" w:space="0" w:color="auto"/>
        <w:bottom w:val="none" w:sz="0" w:space="0" w:color="auto"/>
        <w:right w:val="none" w:sz="0" w:space="0" w:color="auto"/>
      </w:divBdr>
    </w:div>
    <w:div w:id="1800028900">
      <w:bodyDiv w:val="1"/>
      <w:marLeft w:val="0"/>
      <w:marRight w:val="0"/>
      <w:marTop w:val="0"/>
      <w:marBottom w:val="0"/>
      <w:divBdr>
        <w:top w:val="none" w:sz="0" w:space="0" w:color="auto"/>
        <w:left w:val="none" w:sz="0" w:space="0" w:color="auto"/>
        <w:bottom w:val="none" w:sz="0" w:space="0" w:color="auto"/>
        <w:right w:val="none" w:sz="0" w:space="0" w:color="auto"/>
      </w:divBdr>
    </w:div>
    <w:div w:id="1803229348">
      <w:bodyDiv w:val="1"/>
      <w:marLeft w:val="0"/>
      <w:marRight w:val="0"/>
      <w:marTop w:val="0"/>
      <w:marBottom w:val="0"/>
      <w:divBdr>
        <w:top w:val="none" w:sz="0" w:space="0" w:color="auto"/>
        <w:left w:val="none" w:sz="0" w:space="0" w:color="auto"/>
        <w:bottom w:val="none" w:sz="0" w:space="0" w:color="auto"/>
        <w:right w:val="none" w:sz="0" w:space="0" w:color="auto"/>
      </w:divBdr>
    </w:div>
    <w:div w:id="1841114670">
      <w:bodyDiv w:val="1"/>
      <w:marLeft w:val="0"/>
      <w:marRight w:val="0"/>
      <w:marTop w:val="0"/>
      <w:marBottom w:val="0"/>
      <w:divBdr>
        <w:top w:val="none" w:sz="0" w:space="0" w:color="auto"/>
        <w:left w:val="none" w:sz="0" w:space="0" w:color="auto"/>
        <w:bottom w:val="none" w:sz="0" w:space="0" w:color="auto"/>
        <w:right w:val="none" w:sz="0" w:space="0" w:color="auto"/>
      </w:divBdr>
    </w:div>
    <w:div w:id="1857453769">
      <w:bodyDiv w:val="1"/>
      <w:marLeft w:val="0"/>
      <w:marRight w:val="0"/>
      <w:marTop w:val="0"/>
      <w:marBottom w:val="0"/>
      <w:divBdr>
        <w:top w:val="none" w:sz="0" w:space="0" w:color="auto"/>
        <w:left w:val="none" w:sz="0" w:space="0" w:color="auto"/>
        <w:bottom w:val="none" w:sz="0" w:space="0" w:color="auto"/>
        <w:right w:val="none" w:sz="0" w:space="0" w:color="auto"/>
      </w:divBdr>
    </w:div>
    <w:div w:id="1865752285">
      <w:bodyDiv w:val="1"/>
      <w:marLeft w:val="0"/>
      <w:marRight w:val="0"/>
      <w:marTop w:val="0"/>
      <w:marBottom w:val="0"/>
      <w:divBdr>
        <w:top w:val="none" w:sz="0" w:space="0" w:color="auto"/>
        <w:left w:val="none" w:sz="0" w:space="0" w:color="auto"/>
        <w:bottom w:val="none" w:sz="0" w:space="0" w:color="auto"/>
        <w:right w:val="none" w:sz="0" w:space="0" w:color="auto"/>
      </w:divBdr>
    </w:div>
    <w:div w:id="1898392983">
      <w:bodyDiv w:val="1"/>
      <w:marLeft w:val="0"/>
      <w:marRight w:val="0"/>
      <w:marTop w:val="0"/>
      <w:marBottom w:val="0"/>
      <w:divBdr>
        <w:top w:val="none" w:sz="0" w:space="0" w:color="auto"/>
        <w:left w:val="none" w:sz="0" w:space="0" w:color="auto"/>
        <w:bottom w:val="none" w:sz="0" w:space="0" w:color="auto"/>
        <w:right w:val="none" w:sz="0" w:space="0" w:color="auto"/>
      </w:divBdr>
    </w:div>
    <w:div w:id="1907447227">
      <w:bodyDiv w:val="1"/>
      <w:marLeft w:val="0"/>
      <w:marRight w:val="0"/>
      <w:marTop w:val="0"/>
      <w:marBottom w:val="0"/>
      <w:divBdr>
        <w:top w:val="none" w:sz="0" w:space="0" w:color="auto"/>
        <w:left w:val="none" w:sz="0" w:space="0" w:color="auto"/>
        <w:bottom w:val="none" w:sz="0" w:space="0" w:color="auto"/>
        <w:right w:val="none" w:sz="0" w:space="0" w:color="auto"/>
      </w:divBdr>
    </w:div>
    <w:div w:id="1933855081">
      <w:bodyDiv w:val="1"/>
      <w:marLeft w:val="0"/>
      <w:marRight w:val="0"/>
      <w:marTop w:val="0"/>
      <w:marBottom w:val="0"/>
      <w:divBdr>
        <w:top w:val="none" w:sz="0" w:space="0" w:color="auto"/>
        <w:left w:val="none" w:sz="0" w:space="0" w:color="auto"/>
        <w:bottom w:val="none" w:sz="0" w:space="0" w:color="auto"/>
        <w:right w:val="none" w:sz="0" w:space="0" w:color="auto"/>
      </w:divBdr>
    </w:div>
    <w:div w:id="1934044580">
      <w:bodyDiv w:val="1"/>
      <w:marLeft w:val="0"/>
      <w:marRight w:val="0"/>
      <w:marTop w:val="0"/>
      <w:marBottom w:val="0"/>
      <w:divBdr>
        <w:top w:val="none" w:sz="0" w:space="0" w:color="auto"/>
        <w:left w:val="none" w:sz="0" w:space="0" w:color="auto"/>
        <w:bottom w:val="none" w:sz="0" w:space="0" w:color="auto"/>
        <w:right w:val="none" w:sz="0" w:space="0" w:color="auto"/>
      </w:divBdr>
    </w:div>
    <w:div w:id="1977489822">
      <w:bodyDiv w:val="1"/>
      <w:marLeft w:val="0"/>
      <w:marRight w:val="0"/>
      <w:marTop w:val="0"/>
      <w:marBottom w:val="0"/>
      <w:divBdr>
        <w:top w:val="none" w:sz="0" w:space="0" w:color="auto"/>
        <w:left w:val="none" w:sz="0" w:space="0" w:color="auto"/>
        <w:bottom w:val="none" w:sz="0" w:space="0" w:color="auto"/>
        <w:right w:val="none" w:sz="0" w:space="0" w:color="auto"/>
      </w:divBdr>
    </w:div>
    <w:div w:id="2006278040">
      <w:bodyDiv w:val="1"/>
      <w:marLeft w:val="0"/>
      <w:marRight w:val="0"/>
      <w:marTop w:val="0"/>
      <w:marBottom w:val="0"/>
      <w:divBdr>
        <w:top w:val="none" w:sz="0" w:space="0" w:color="auto"/>
        <w:left w:val="none" w:sz="0" w:space="0" w:color="auto"/>
        <w:bottom w:val="none" w:sz="0" w:space="0" w:color="auto"/>
        <w:right w:val="none" w:sz="0" w:space="0" w:color="auto"/>
      </w:divBdr>
    </w:div>
    <w:div w:id="2007589742">
      <w:bodyDiv w:val="1"/>
      <w:marLeft w:val="0"/>
      <w:marRight w:val="0"/>
      <w:marTop w:val="0"/>
      <w:marBottom w:val="0"/>
      <w:divBdr>
        <w:top w:val="none" w:sz="0" w:space="0" w:color="auto"/>
        <w:left w:val="none" w:sz="0" w:space="0" w:color="auto"/>
        <w:bottom w:val="none" w:sz="0" w:space="0" w:color="auto"/>
        <w:right w:val="none" w:sz="0" w:space="0" w:color="auto"/>
      </w:divBdr>
    </w:div>
    <w:div w:id="2014605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irregular-hours-and-part-year-workers/calculating-holiday-pay" TargetMode="External"/><Relationship Id="rId13" Type="http://schemas.openxmlformats.org/officeDocument/2006/relationships/hyperlink" Target="https://www.cipd.org/uk/knowledge/factsheets/dismissal-factsheet/" TargetMode="External"/><Relationship Id="rId18" Type="http://schemas.openxmlformats.org/officeDocument/2006/relationships/hyperlink" Target="https://www.equalityhumanrights.com/equality/equality-act-2010/codes-practice/employment-code-practice-0" TargetMode="External"/><Relationship Id="rId26" Type="http://schemas.openxmlformats.org/officeDocument/2006/relationships/hyperlink" Target="https://www.hrmagazine.co.uk/content/news/acas-releases-code-of-practice-on-flexible-working-requests" TargetMode="External"/><Relationship Id="rId3" Type="http://schemas.openxmlformats.org/officeDocument/2006/relationships/settings" Target="settings.xml"/><Relationship Id="rId21" Type="http://schemas.openxmlformats.org/officeDocument/2006/relationships/hyperlink" Target="https://www.gov.uk/shared-parental-leave-and-pay" TargetMode="External"/><Relationship Id="rId7" Type="http://schemas.openxmlformats.org/officeDocument/2006/relationships/hyperlink" Target="https://www.acas.org.uk/manage-staff-redundancies" TargetMode="External"/><Relationship Id="rId12" Type="http://schemas.openxmlformats.org/officeDocument/2006/relationships/hyperlink" Target="https://www.cipd.org/uk/knowledge/employment-law/equal-pay" TargetMode="External"/><Relationship Id="rId17" Type="http://schemas.openxmlformats.org/officeDocument/2006/relationships/hyperlink" Target="https://www.cipd.org/uk/knowledge/factsheets/flexible-working-factsheet/" TargetMode="External"/><Relationship Id="rId25" Type="http://schemas.openxmlformats.org/officeDocument/2006/relationships/hyperlink" Target="https://www.hrmagazine.co.uk/content/news/asda-equal-pay-tribunal-advances-to-final-stage" TargetMode="External"/><Relationship Id="rId2" Type="http://schemas.openxmlformats.org/officeDocument/2006/relationships/styles" Target="styles.xml"/><Relationship Id="rId16" Type="http://schemas.openxmlformats.org/officeDocument/2006/relationships/hyperlink" Target="https://www.cipd.org/uk/knowledge/factsheets/maternity-paternity-rights-factsheet/" TargetMode="External"/><Relationship Id="rId20" Type="http://schemas.openxmlformats.org/officeDocument/2006/relationships/hyperlink" Target="https://www.gov.uk/holiday-entitlement-right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acas.org.uk/equal-pay/equal-pay-law" TargetMode="External"/><Relationship Id="rId11" Type="http://schemas.openxmlformats.org/officeDocument/2006/relationships/hyperlink" Target="https://www.cipd.org/uk/knowledge/employment-law/uk-employment-law-eu/" TargetMode="External"/><Relationship Id="rId24" Type="http://schemas.openxmlformats.org/officeDocument/2006/relationships/hyperlink" Target="https://www.peoplemanagement.co.uk/article/1743377/constructive-dismissal-guide" TargetMode="External"/><Relationship Id="rId5" Type="http://schemas.openxmlformats.org/officeDocument/2006/relationships/image" Target="media/image1.png"/><Relationship Id="rId15" Type="http://schemas.openxmlformats.org/officeDocument/2006/relationships/hyperlink" Target="https://www.cipd.org.uk/knowledge/guides/tupe-guide/" TargetMode="External"/><Relationship Id="rId23" Type="http://schemas.openxmlformats.org/officeDocument/2006/relationships/hyperlink" Target="https://www.hrsolutions-uk.com/legal-updates/flexible-working/" TargetMode="External"/><Relationship Id="rId28" Type="http://schemas.openxmlformats.org/officeDocument/2006/relationships/hyperlink" Target="https://www.legislation.gov.uk/ukpga/2023/28/contents/enacted" TargetMode="External"/><Relationship Id="rId10" Type="http://schemas.openxmlformats.org/officeDocument/2006/relationships/hyperlink" Target="https://www.cipd.org/uk/knowledge/employment-law/recruitment/" TargetMode="External"/><Relationship Id="rId19" Type="http://schemas.openxmlformats.org/officeDocument/2006/relationships/hyperlink" Target="https://www.personneltoday.com/hr/recruiter-empty-office-munceviks-v-echo/" TargetMode="External"/><Relationship Id="rId4" Type="http://schemas.openxmlformats.org/officeDocument/2006/relationships/webSettings" Target="webSettings.xml"/><Relationship Id="rId9" Type="http://schemas.openxmlformats.org/officeDocument/2006/relationships/hyperlink" Target="https://www.acas.org.uk/irregular-hours-and-part-year-workers/rolled-up-holiday-pay" TargetMode="External"/><Relationship Id="rId14" Type="http://schemas.openxmlformats.org/officeDocument/2006/relationships/hyperlink" Target="https://www.cipd.org/uk/knowledge/employment-law/redundancy/" TargetMode="External"/><Relationship Id="rId22" Type="http://schemas.openxmlformats.org/officeDocument/2006/relationships/hyperlink" Target="https://www.hr-inform.co.uk/news-article/harpur-trust-v-brazel-what-you-need-to-know-for-part-year-workers" TargetMode="External"/><Relationship Id="rId27" Type="http://schemas.openxmlformats.org/officeDocument/2006/relationships/hyperlink" Target="https://www.trowers.com/insights/2023/june/application-of-genuine-occupational-requiremen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1209</TotalTime>
  <Pages>14</Pages>
  <Words>4955</Words>
  <Characters>28248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Keera Crabb</dc:creator>
  <cp:keywords/>
  <dc:description/>
  <cp:lastModifiedBy>Keera Crabb</cp:lastModifiedBy>
  <cp:revision>99</cp:revision>
  <dcterms:created xsi:type="dcterms:W3CDTF">2025-05-30T14:18:00Z</dcterms:created>
  <dcterms:modified xsi:type="dcterms:W3CDTF">2025-06-01T17:37:00Z</dcterms:modified>
</cp:coreProperties>
</file>