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276" w:lineRule="auto"/>
        <w:rPr/>
      </w:pPr>
      <w:r w:rsidDel="00000000" w:rsidR="00000000" w:rsidRPr="00000000">
        <w:rPr/>
        <w:drawing>
          <wp:inline distB="114300" distT="114300" distL="114300" distR="114300">
            <wp:extent cx="4156364" cy="1378527"/>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4156364" cy="1378527"/>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line="276" w:lineRule="auto"/>
        <w:jc w:val="center"/>
        <w:rPr/>
      </w:pPr>
      <w:r w:rsidDel="00000000" w:rsidR="00000000" w:rsidRPr="00000000">
        <w:rPr>
          <w:rtl w:val="0"/>
        </w:rPr>
      </w:r>
    </w:p>
    <w:p w:rsidR="00000000" w:rsidDel="00000000" w:rsidP="00000000" w:rsidRDefault="00000000" w:rsidRPr="00000000" w14:paraId="00000003">
      <w:pPr>
        <w:spacing w:line="276" w:lineRule="auto"/>
        <w:jc w:val="center"/>
        <w:rPr/>
      </w:pPr>
      <w:r w:rsidDel="00000000" w:rsidR="00000000" w:rsidRPr="00000000">
        <w:rPr>
          <w:rtl w:val="0"/>
        </w:rPr>
      </w:r>
    </w:p>
    <w:p w:rsidR="00000000" w:rsidDel="00000000" w:rsidP="00000000" w:rsidRDefault="00000000" w:rsidRPr="00000000" w14:paraId="00000004">
      <w:pPr>
        <w:spacing w:line="276" w:lineRule="auto"/>
        <w:jc w:val="center"/>
        <w:rPr>
          <w:b w:val="1"/>
          <w:sz w:val="32"/>
          <w:szCs w:val="32"/>
          <w:u w:val="single"/>
        </w:rPr>
      </w:pPr>
      <w:r w:rsidDel="00000000" w:rsidR="00000000" w:rsidRPr="00000000">
        <w:rPr>
          <w:b w:val="1"/>
          <w:sz w:val="32"/>
          <w:szCs w:val="32"/>
          <w:u w:val="single"/>
          <w:rtl w:val="0"/>
        </w:rPr>
        <w:t xml:space="preserve">First Journal Entry</w:t>
      </w:r>
    </w:p>
    <w:p w:rsidR="00000000" w:rsidDel="00000000" w:rsidP="00000000" w:rsidRDefault="00000000" w:rsidRPr="00000000" w14:paraId="00000005">
      <w:pPr>
        <w:spacing w:line="276" w:lineRule="auto"/>
        <w:jc w:val="center"/>
        <w:rPr>
          <w:b w:val="1"/>
          <w:sz w:val="32"/>
          <w:szCs w:val="32"/>
          <w:u w:val="single"/>
        </w:rPr>
      </w:pPr>
      <w:r w:rsidDel="00000000" w:rsidR="00000000" w:rsidRPr="00000000">
        <w:rPr>
          <w:b w:val="1"/>
          <w:sz w:val="32"/>
          <w:szCs w:val="32"/>
          <w:u w:val="single"/>
          <w:rtl w:val="0"/>
        </w:rPr>
        <w:t xml:space="preserve">The Process</w:t>
      </w:r>
    </w:p>
    <w:p w:rsidR="00000000" w:rsidDel="00000000" w:rsidP="00000000" w:rsidRDefault="00000000" w:rsidRPr="00000000" w14:paraId="00000006">
      <w:pPr>
        <w:spacing w:line="276" w:lineRule="auto"/>
        <w:jc w:val="center"/>
        <w:rPr>
          <w:b w:val="1"/>
          <w:sz w:val="32"/>
          <w:szCs w:val="32"/>
          <w:u w:val="single"/>
        </w:rPr>
      </w:pPr>
      <w:r w:rsidDel="00000000" w:rsidR="00000000" w:rsidRPr="00000000">
        <w:rPr>
          <w:rtl w:val="0"/>
        </w:rPr>
      </w:r>
    </w:p>
    <w:p w:rsidR="00000000" w:rsidDel="00000000" w:rsidP="00000000" w:rsidRDefault="00000000" w:rsidRPr="00000000" w14:paraId="00000007">
      <w:pPr>
        <w:spacing w:line="276" w:lineRule="auto"/>
        <w:jc w:val="right"/>
        <w:rPr>
          <w:b w:val="1"/>
          <w:sz w:val="32"/>
          <w:szCs w:val="32"/>
        </w:rPr>
      </w:pPr>
      <w:r w:rsidDel="00000000" w:rsidR="00000000" w:rsidRPr="00000000">
        <w:rPr>
          <w:b w:val="1"/>
          <w:sz w:val="32"/>
          <w:szCs w:val="32"/>
          <w:rtl w:val="0"/>
        </w:rPr>
        <w:t xml:space="preserve">Samantha Terry</w:t>
      </w:r>
    </w:p>
    <w:p w:rsidR="00000000" w:rsidDel="00000000" w:rsidP="00000000" w:rsidRDefault="00000000" w:rsidRPr="00000000" w14:paraId="00000008">
      <w:pPr>
        <w:spacing w:line="276" w:lineRule="auto"/>
        <w:jc w:val="right"/>
        <w:rPr>
          <w:b w:val="1"/>
          <w:sz w:val="32"/>
          <w:szCs w:val="32"/>
        </w:rPr>
      </w:pPr>
      <w:r w:rsidDel="00000000" w:rsidR="00000000" w:rsidRPr="00000000">
        <w:rPr>
          <w:b w:val="1"/>
          <w:sz w:val="32"/>
          <w:szCs w:val="32"/>
          <w:rtl w:val="0"/>
        </w:rPr>
        <w:t xml:space="preserve">6002570</w:t>
      </w:r>
    </w:p>
    <w:p w:rsidR="00000000" w:rsidDel="00000000" w:rsidP="00000000" w:rsidRDefault="00000000" w:rsidRPr="00000000" w14:paraId="00000009">
      <w:pPr>
        <w:spacing w:line="276" w:lineRule="auto"/>
        <w:jc w:val="right"/>
        <w:rPr>
          <w:b w:val="1"/>
          <w:sz w:val="32"/>
          <w:szCs w:val="32"/>
        </w:rPr>
      </w:pPr>
      <w:r w:rsidDel="00000000" w:rsidR="00000000" w:rsidRPr="00000000">
        <w:rPr>
          <w:b w:val="1"/>
          <w:sz w:val="32"/>
          <w:szCs w:val="32"/>
          <w:rtl w:val="0"/>
        </w:rPr>
        <w:t xml:space="preserve">Final Production</w:t>
      </w:r>
    </w:p>
    <w:p w:rsidR="00000000" w:rsidDel="00000000" w:rsidP="00000000" w:rsidRDefault="00000000" w:rsidRPr="00000000" w14:paraId="0000000A">
      <w:pPr>
        <w:spacing w:line="276" w:lineRule="auto"/>
        <w:jc w:val="right"/>
        <w:rPr>
          <w:b w:val="1"/>
          <w:sz w:val="32"/>
          <w:szCs w:val="32"/>
        </w:rPr>
      </w:pPr>
      <w:r w:rsidDel="00000000" w:rsidR="00000000" w:rsidRPr="00000000">
        <w:rPr>
          <w:b w:val="1"/>
          <w:sz w:val="32"/>
          <w:szCs w:val="32"/>
          <w:rtl w:val="0"/>
        </w:rPr>
        <w:t xml:space="preserve">ADPB6003</w:t>
      </w:r>
    </w:p>
    <w:p w:rsidR="00000000" w:rsidDel="00000000" w:rsidP="00000000" w:rsidRDefault="00000000" w:rsidRPr="00000000" w14:paraId="0000000B">
      <w:pPr>
        <w:spacing w:line="276" w:lineRule="auto"/>
        <w:jc w:val="right"/>
        <w:rPr>
          <w:b w:val="1"/>
          <w:sz w:val="32"/>
          <w:szCs w:val="32"/>
        </w:rPr>
      </w:pPr>
      <w:r w:rsidDel="00000000" w:rsidR="00000000" w:rsidRPr="00000000">
        <w:rPr>
          <w:rtl w:val="0"/>
        </w:rPr>
      </w:r>
    </w:p>
    <w:p w:rsidR="00000000" w:rsidDel="00000000" w:rsidP="00000000" w:rsidRDefault="00000000" w:rsidRPr="00000000" w14:paraId="0000000C">
      <w:pPr>
        <w:spacing w:line="276" w:lineRule="auto"/>
        <w:jc w:val="right"/>
        <w:rPr>
          <w:b w:val="1"/>
          <w:sz w:val="32"/>
          <w:szCs w:val="32"/>
        </w:rPr>
      </w:pPr>
      <w:r w:rsidDel="00000000" w:rsidR="00000000" w:rsidRPr="00000000">
        <w:rPr>
          <w:rtl w:val="0"/>
        </w:rPr>
      </w:r>
    </w:p>
    <w:p w:rsidR="00000000" w:rsidDel="00000000" w:rsidP="00000000" w:rsidRDefault="00000000" w:rsidRPr="00000000" w14:paraId="0000000D">
      <w:pPr>
        <w:spacing w:line="276" w:lineRule="auto"/>
        <w:rPr>
          <w:sz w:val="24"/>
          <w:szCs w:val="24"/>
        </w:rPr>
      </w:pPr>
      <w:r w:rsidDel="00000000" w:rsidR="00000000" w:rsidRPr="00000000">
        <w:rPr>
          <w:sz w:val="24"/>
          <w:szCs w:val="24"/>
          <w:rtl w:val="0"/>
        </w:rPr>
        <w:t xml:space="preserve">The beginning of this process was mainly focused on research on the production itself as well as the era that it took place in and was created in. I mainly focused on women's style in the 1930’s, both in what they would wear and the sort of hairstyles they had. Since, I am playing a welsh lady, someone who comes from the valleys, I researched their culture and the way that they lived back in the days so that I could bring that into play whenever I’m in scenes. Something that I found interesting was that most of the lady’s hairstyles in the 1930’s were quite short but also curly. It intrigued me as to how they managed to get their hair curly in that period of time. They had curling irons back in which were mainly used at salons but the higher class also had them at home. However, for those who weren’t as fortunate, they used a technique called “finger curls” where they would simply wrap their hair around their fingers when it was damp and then hold it for a few seconds before loosening it and moving onto the next piece of hair. </w:t>
      </w:r>
    </w:p>
    <w:p w:rsidR="00000000" w:rsidDel="00000000" w:rsidP="00000000" w:rsidRDefault="00000000" w:rsidRPr="00000000" w14:paraId="0000000E">
      <w:pPr>
        <w:spacing w:line="276" w:lineRule="auto"/>
        <w:rPr>
          <w:sz w:val="24"/>
          <w:szCs w:val="24"/>
        </w:rPr>
      </w:pPr>
      <w:r w:rsidDel="00000000" w:rsidR="00000000" w:rsidRPr="00000000">
        <w:rPr>
          <w:rtl w:val="0"/>
        </w:rPr>
      </w:r>
    </w:p>
    <w:p w:rsidR="00000000" w:rsidDel="00000000" w:rsidP="00000000" w:rsidRDefault="00000000" w:rsidRPr="00000000" w14:paraId="0000000F">
      <w:pPr>
        <w:spacing w:line="276" w:lineRule="auto"/>
        <w:rPr>
          <w:sz w:val="24"/>
          <w:szCs w:val="24"/>
        </w:rPr>
      </w:pPr>
      <w:r w:rsidDel="00000000" w:rsidR="00000000" w:rsidRPr="00000000">
        <w:rPr>
          <w:sz w:val="24"/>
          <w:szCs w:val="24"/>
          <w:rtl w:val="0"/>
        </w:rPr>
        <w:t xml:space="preserve">We’ve done a range of activities in class to help us focus as well as to help us when it comes to acting and different characters. The first one we started with was anxieties and joys. I think that this was really beneficial for our session as we were able to talk about things that we were nervous about. For example; I find picking up dances really difficult and remembering what comes after them. However, we’d be reassured and people would offer to help me go through the dances which I really appreciated. We also talked about joys which was really nice as it showed how much we had achieved throughout a small amount of time. Within the first week of production we had finished act one which made us feel really productive and happy where it was at. </w:t>
      </w:r>
    </w:p>
    <w:p w:rsidR="00000000" w:rsidDel="00000000" w:rsidP="00000000" w:rsidRDefault="00000000" w:rsidRPr="00000000" w14:paraId="00000010">
      <w:pPr>
        <w:spacing w:line="276" w:lineRule="auto"/>
        <w:rPr>
          <w:sz w:val="24"/>
          <w:szCs w:val="24"/>
        </w:rPr>
      </w:pPr>
      <w:r w:rsidDel="00000000" w:rsidR="00000000" w:rsidRPr="00000000">
        <w:rPr>
          <w:rtl w:val="0"/>
        </w:rPr>
      </w:r>
    </w:p>
    <w:p w:rsidR="00000000" w:rsidDel="00000000" w:rsidP="00000000" w:rsidRDefault="00000000" w:rsidRPr="00000000" w14:paraId="00000011">
      <w:pPr>
        <w:spacing w:line="276" w:lineRule="auto"/>
        <w:rPr>
          <w:sz w:val="24"/>
          <w:szCs w:val="24"/>
        </w:rPr>
      </w:pPr>
      <w:r w:rsidDel="00000000" w:rsidR="00000000" w:rsidRPr="00000000">
        <w:rPr>
          <w:sz w:val="24"/>
          <w:szCs w:val="24"/>
          <w:rtl w:val="0"/>
        </w:rPr>
        <w:t xml:space="preserve">Another activity that we did was “States of Attention” which was somewhat similar to Stanislavski's “3 Circles of attention.” The 7 states of attention were; Exhaustion, Californian/Teenager, Neutral, Virgin Mary/Evil Mary, Ice Cream, Ticking Bomb/Fast Bomb and Rickamortis. For my character, Mrs Jones, I’d say that she’s a mixture between Neutral and Californian as she’s a middle class married woman who simply gambles and drinks whisky out of tea cups. Whereas a character such as Bobby would be more so Teenager as he’s quite a mixture of all these states of attention. </w:t>
      </w:r>
    </w:p>
    <w:p w:rsidR="00000000" w:rsidDel="00000000" w:rsidP="00000000" w:rsidRDefault="00000000" w:rsidRPr="00000000" w14:paraId="00000012">
      <w:pPr>
        <w:spacing w:line="276" w:lineRule="auto"/>
        <w:rPr>
          <w:sz w:val="24"/>
          <w:szCs w:val="24"/>
        </w:rPr>
      </w:pPr>
      <w:r w:rsidDel="00000000" w:rsidR="00000000" w:rsidRPr="00000000">
        <w:rPr>
          <w:rtl w:val="0"/>
        </w:rPr>
      </w:r>
    </w:p>
    <w:p w:rsidR="00000000" w:rsidDel="00000000" w:rsidP="00000000" w:rsidRDefault="00000000" w:rsidRPr="00000000" w14:paraId="00000013">
      <w:pPr>
        <w:spacing w:line="276" w:lineRule="auto"/>
        <w:rPr>
          <w:sz w:val="24"/>
          <w:szCs w:val="24"/>
        </w:rPr>
      </w:pPr>
      <w:r w:rsidDel="00000000" w:rsidR="00000000" w:rsidRPr="00000000">
        <w:rPr>
          <w:sz w:val="24"/>
          <w:szCs w:val="24"/>
          <w:rtl w:val="0"/>
        </w:rPr>
        <w:t xml:space="preserve">We then moved onto projection with both of our voices and bodies which we called “Amplifying.” James more so did the vocal side of this to show that we can project and change our voices if we need to. For the first part of this activity, we got into pairs and one would walk towards the other whilst the other yelled “Get out of my house,” and those were the only words that we could use. By using those words, we had scared them off so they would turn in the other direction. For the second part, the partner would walk away and could use only the words “Please come back,” until they turned around and came back to you. It was really interesting to see how someone’s delivery could change someone else’s mind. I think this will be very useful when it comes to delivering lines and the way we say them. For example “That there was Wyatt Earp meets Billy the Kid.” This line is said in a joking but aggressive manner whilst the Welsh Lady’s are in a tea room and have just gotten into a fight. </w:t>
      </w:r>
    </w:p>
    <w:p w:rsidR="00000000" w:rsidDel="00000000" w:rsidP="00000000" w:rsidRDefault="00000000" w:rsidRPr="00000000" w14:paraId="00000014">
      <w:pPr>
        <w:spacing w:line="276" w:lineRule="auto"/>
        <w:rPr>
          <w:sz w:val="24"/>
          <w:szCs w:val="24"/>
        </w:rPr>
      </w:pPr>
      <w:r w:rsidDel="00000000" w:rsidR="00000000" w:rsidRPr="00000000">
        <w:rPr>
          <w:rtl w:val="0"/>
        </w:rPr>
      </w:r>
    </w:p>
    <w:p w:rsidR="00000000" w:rsidDel="00000000" w:rsidP="00000000" w:rsidRDefault="00000000" w:rsidRPr="00000000" w14:paraId="00000015">
      <w:pPr>
        <w:spacing w:line="276" w:lineRule="auto"/>
        <w:rPr>
          <w:sz w:val="24"/>
          <w:szCs w:val="24"/>
        </w:rPr>
      </w:pPr>
      <w:r w:rsidDel="00000000" w:rsidR="00000000" w:rsidRPr="00000000">
        <w:rPr>
          <w:sz w:val="24"/>
          <w:szCs w:val="24"/>
          <w:rtl w:val="0"/>
        </w:rPr>
        <w:t xml:space="preserve">Projecting with our bodies was another activity. We were given 3 different tasks to experiment with how big and small we can make an activity. The balloon was rather light and so depending on a scale of 1-10 how big we wanted to make the specific activity depended on what we would do with the balloon. For example, I might just hold the balloon at 1. Whereas 5, I would glance up at the balloon. 10, I would run around with the balloon, letting it fly wherever. We did the same activity with holding a pile of heavy bricks, as well as threading a needle. This has inspired me to really go for everything that I do within the show and give it a lot of energy, even if I’m just saying a line, depending on the way I say it might give it a different meaning or perhaps make it a little more comedic. </w:t>
      </w:r>
    </w:p>
    <w:p w:rsidR="00000000" w:rsidDel="00000000" w:rsidP="00000000" w:rsidRDefault="00000000" w:rsidRPr="00000000" w14:paraId="00000016">
      <w:pPr>
        <w:spacing w:line="276" w:lineRule="auto"/>
        <w:rPr>
          <w:sz w:val="24"/>
          <w:szCs w:val="24"/>
        </w:rPr>
      </w:pPr>
      <w:r w:rsidDel="00000000" w:rsidR="00000000" w:rsidRPr="00000000">
        <w:rPr>
          <w:rtl w:val="0"/>
        </w:rPr>
      </w:r>
    </w:p>
    <w:p w:rsidR="00000000" w:rsidDel="00000000" w:rsidP="00000000" w:rsidRDefault="00000000" w:rsidRPr="00000000" w14:paraId="00000017">
      <w:pPr>
        <w:spacing w:line="276" w:lineRule="auto"/>
        <w:rPr>
          <w:sz w:val="24"/>
          <w:szCs w:val="24"/>
        </w:rPr>
      </w:pPr>
      <w:r w:rsidDel="00000000" w:rsidR="00000000" w:rsidRPr="00000000">
        <w:rPr>
          <w:rtl w:val="0"/>
        </w:rPr>
      </w:r>
    </w:p>
    <w:p w:rsidR="00000000" w:rsidDel="00000000" w:rsidP="00000000" w:rsidRDefault="00000000" w:rsidRPr="00000000" w14:paraId="00000018">
      <w:pPr>
        <w:spacing w:line="276" w:lineRule="auto"/>
        <w:rPr>
          <w:b w:val="1"/>
          <w:sz w:val="24"/>
          <w:szCs w:val="24"/>
          <w:u w:val="single"/>
        </w:rPr>
      </w:pPr>
      <w:r w:rsidDel="00000000" w:rsidR="00000000" w:rsidRPr="00000000">
        <w:rPr>
          <w:b w:val="1"/>
          <w:sz w:val="24"/>
          <w:szCs w:val="24"/>
          <w:u w:val="single"/>
          <w:rtl w:val="0"/>
        </w:rPr>
        <w:t xml:space="preserve">Reference</w:t>
      </w:r>
    </w:p>
    <w:p w:rsidR="00000000" w:rsidDel="00000000" w:rsidP="00000000" w:rsidRDefault="00000000" w:rsidRPr="00000000" w14:paraId="00000019">
      <w:pPr>
        <w:spacing w:line="276" w:lineRule="auto"/>
        <w:rPr>
          <w:sz w:val="24"/>
          <w:szCs w:val="24"/>
        </w:rPr>
      </w:pPr>
      <w:r w:rsidDel="00000000" w:rsidR="00000000" w:rsidRPr="00000000">
        <w:rPr>
          <w:sz w:val="24"/>
          <w:szCs w:val="24"/>
          <w:rtl w:val="0"/>
        </w:rPr>
        <w:t xml:space="preserve">RebelsMarket. (n.d.). What Were Women’s Hairstyles Like In the 1930s? [online] Available at: https://www.rebelsmarket.co.uk/blog/posts/what-were-women-s-hairstyles-like-in-the-1930s#:~:text=Short%20waves%20or%20curls%20were [Accessed 11 Jun. 2022].</w:t>
      </w:r>
    </w:p>
    <w:p w:rsidR="00000000" w:rsidDel="00000000" w:rsidP="00000000" w:rsidRDefault="00000000" w:rsidRPr="00000000" w14:paraId="0000001A">
      <w:pPr>
        <w:spacing w:line="276" w:lineRule="auto"/>
        <w:rPr>
          <w:sz w:val="24"/>
          <w:szCs w:val="24"/>
        </w:rPr>
      </w:pPr>
      <w:r w:rsidDel="00000000" w:rsidR="00000000" w:rsidRPr="00000000">
        <w:rPr>
          <w:sz w:val="24"/>
          <w:szCs w:val="24"/>
          <w:rtl w:val="0"/>
        </w:rPr>
        <w:t xml:space="preserve">Workout, T. (2020). Stanislavski – 3 Circles of attention. [online] Theatre Workout. Available at: </w:t>
      </w:r>
      <w:hyperlink r:id="rId7">
        <w:r w:rsidDel="00000000" w:rsidR="00000000" w:rsidRPr="00000000">
          <w:rPr>
            <w:color w:val="1155cc"/>
            <w:sz w:val="24"/>
            <w:szCs w:val="24"/>
            <w:u w:val="single"/>
            <w:rtl w:val="0"/>
          </w:rPr>
          <w:t xml:space="preserve">https://www.theatreworkout.com/post/stanislavski-3-circles-of-attention</w:t>
        </w:r>
      </w:hyperlink>
      <w:r w:rsidDel="00000000" w:rsidR="00000000" w:rsidRPr="00000000">
        <w:rPr>
          <w:sz w:val="24"/>
          <w:szCs w:val="24"/>
          <w:rtl w:val="0"/>
        </w:rPr>
        <w:t xml:space="preserve">.</w:t>
      </w:r>
    </w:p>
    <w:p w:rsidR="00000000" w:rsidDel="00000000" w:rsidP="00000000" w:rsidRDefault="00000000" w:rsidRPr="00000000" w14:paraId="0000001B">
      <w:pPr>
        <w:spacing w:line="276" w:lineRule="auto"/>
        <w:rPr>
          <w:sz w:val="24"/>
          <w:szCs w:val="24"/>
        </w:rPr>
      </w:pPr>
      <w:r w:rsidDel="00000000" w:rsidR="00000000" w:rsidRPr="00000000">
        <w:rPr>
          <w:sz w:val="24"/>
          <w:szCs w:val="24"/>
          <w:rtl w:val="0"/>
        </w:rPr>
        <w:t xml:space="preserve">The Editors of Encyclopedia Britannica (2019). Wyatt Earp | Biography &amp; Facts. In: Encyclopædia Britannica. [online] Available at: </w:t>
      </w:r>
      <w:hyperlink r:id="rId8">
        <w:r w:rsidDel="00000000" w:rsidR="00000000" w:rsidRPr="00000000">
          <w:rPr>
            <w:color w:val="1155cc"/>
            <w:sz w:val="24"/>
            <w:szCs w:val="24"/>
            <w:u w:val="single"/>
            <w:rtl w:val="0"/>
          </w:rPr>
          <w:t xml:space="preserve">https://www.britannica.com/biography/Wyatt-Earp</w:t>
        </w:r>
      </w:hyperlink>
      <w:r w:rsidDel="00000000" w:rsidR="00000000" w:rsidRPr="00000000">
        <w:rPr>
          <w:sz w:val="24"/>
          <w:szCs w:val="24"/>
          <w:rtl w:val="0"/>
        </w:rPr>
        <w:t xml:space="preserve">.</w:t>
      </w:r>
    </w:p>
    <w:p w:rsidR="00000000" w:rsidDel="00000000" w:rsidP="00000000" w:rsidRDefault="00000000" w:rsidRPr="00000000" w14:paraId="0000001C">
      <w:pPr>
        <w:spacing w:line="276" w:lineRule="auto"/>
        <w:rPr>
          <w:sz w:val="24"/>
          <w:szCs w:val="24"/>
        </w:rPr>
      </w:pPr>
      <w:r w:rsidDel="00000000" w:rsidR="00000000" w:rsidRPr="00000000">
        <w:rPr>
          <w:sz w:val="24"/>
          <w:szCs w:val="24"/>
          <w:rtl w:val="0"/>
        </w:rPr>
        <w:t xml:space="preserve">Billy the Kid | Biography &amp; Facts. (2019). In: Encyclopædia Britannica. [online] Available at: https://www.britannica.com/biography/Billy-the-Kid-American-outlaw.</w:t>
      </w:r>
    </w:p>
    <w:p w:rsidR="00000000" w:rsidDel="00000000" w:rsidP="00000000" w:rsidRDefault="00000000" w:rsidRPr="00000000" w14:paraId="0000001D">
      <w:pPr>
        <w:spacing w:line="276" w:lineRule="auto"/>
        <w:rPr>
          <w:sz w:val="24"/>
          <w:szCs w:val="24"/>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hyperlink" Target="https://www.theatreworkout.com/post/stanislavski-3-circles-of-attention" TargetMode="External"/><Relationship Id="rId8" Type="http://schemas.openxmlformats.org/officeDocument/2006/relationships/hyperlink" Target="https://www.britannica.com/biography/Wyatt-Ear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