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7F58E" w14:textId="77777777" w:rsidR="009F09E7" w:rsidRDefault="009F09E7" w:rsidP="009F09E7">
      <w:pPr>
        <w:rPr>
          <w:lang w:val="en-US"/>
        </w:rPr>
      </w:pPr>
      <w:r w:rsidRPr="002E72CF">
        <w:rPr>
          <w:lang w:val="en-US"/>
        </w:rPr>
        <w:t>There are many underlying factors which have both positive and negative impacts upon a child’s education and how a teacher, teaches.</w:t>
      </w:r>
      <w:r w:rsidRPr="002E72CF">
        <w:t xml:space="preserve"> Education has been a pivotal area of research for decades. There are theorists such as Jean Piaget, Ivan Pavlov and Lev Vygotsky, who although their work may have taken shape some years ago, the theories</w:t>
      </w:r>
      <w:r>
        <w:t xml:space="preserve"> of which</w:t>
      </w:r>
      <w:r w:rsidRPr="002E72CF">
        <w:t xml:space="preserve"> they developed are still very much intact and in use in today’s education system. It has become apparent that learning is not concrete</w:t>
      </w:r>
      <w:r>
        <w:t xml:space="preserve"> </w:t>
      </w:r>
      <w:r w:rsidRPr="002E72CF">
        <w:t xml:space="preserve">and the way in which we as professionals teach children needs constant development. With the introduction of Professor Graham Donaldson’s “Successful Futures” (Donaldson, 2015) fast approaching in Wales, teachers and professionals across the country are working together in the aim to perfect a learning system that seeks to develop the way in which we currently see education and teaching. </w:t>
      </w:r>
      <w:proofErr w:type="gramStart"/>
      <w:r w:rsidRPr="002E72CF">
        <w:rPr>
          <w:lang w:val="en-US"/>
        </w:rPr>
        <w:t>For</w:t>
      </w:r>
      <w:r>
        <w:rPr>
          <w:lang w:val="en-US"/>
        </w:rPr>
        <w:t xml:space="preserve"> the purpose of</w:t>
      </w:r>
      <w:proofErr w:type="gramEnd"/>
      <w:r w:rsidRPr="002E72CF">
        <w:rPr>
          <w:lang w:val="en-US"/>
        </w:rPr>
        <w:t xml:space="preserve"> this essay I a</w:t>
      </w:r>
      <w:r>
        <w:rPr>
          <w:lang w:val="en-US"/>
        </w:rPr>
        <w:t>i</w:t>
      </w:r>
      <w:r w:rsidRPr="002E72CF">
        <w:rPr>
          <w:lang w:val="en-US"/>
        </w:rPr>
        <w:t xml:space="preserve">m to </w:t>
      </w:r>
      <w:r w:rsidRPr="002E72CF">
        <w:t xml:space="preserve">focus </w:t>
      </w:r>
      <w:r w:rsidRPr="002E72CF">
        <w:rPr>
          <w:lang w:val="en-US"/>
        </w:rPr>
        <w:t>on</w:t>
      </w:r>
      <w:r w:rsidRPr="002E72CF">
        <w:t xml:space="preserve"> a learning event that I have witnessed in </w:t>
      </w:r>
      <w:r>
        <w:t>a classroom</w:t>
      </w:r>
      <w:r w:rsidRPr="002E72CF">
        <w:t xml:space="preserve">. I intend to discuss how this links with both past and current literature and how this will have an impact upon my own future practice. </w:t>
      </w:r>
      <w:r w:rsidRPr="002E72CF">
        <w:rPr>
          <w:lang w:val="en-US"/>
        </w:rPr>
        <w:t xml:space="preserve"> </w:t>
      </w:r>
    </w:p>
    <w:p w14:paraId="5B143FB8" w14:textId="77777777" w:rsidR="009F09E7" w:rsidRPr="00BB564B" w:rsidRDefault="009F09E7" w:rsidP="009F09E7">
      <w:pPr>
        <w:rPr>
          <w:u w:val="single"/>
        </w:rPr>
      </w:pPr>
      <w:r w:rsidRPr="00BB564B">
        <w:rPr>
          <w:u w:val="single"/>
        </w:rPr>
        <w:t>Observation</w:t>
      </w:r>
    </w:p>
    <w:p w14:paraId="32DD6EDB" w14:textId="77777777" w:rsidR="009F09E7" w:rsidRPr="002E72CF" w:rsidRDefault="009F09E7" w:rsidP="009F09E7">
      <w:pPr>
        <w:rPr>
          <w:rFonts w:eastAsia="Calibri" w:cstheme="minorHAnsi"/>
        </w:rPr>
      </w:pPr>
      <w:r>
        <w:rPr>
          <w:rFonts w:eastAsia="Calibri" w:cstheme="minorHAnsi"/>
        </w:rPr>
        <w:t xml:space="preserve">My observation took place over two days, during which I spent time in both key stages within Reception, Year 2, Year 5 and Year 6 classrooms. </w:t>
      </w:r>
      <w:r w:rsidRPr="002E72CF">
        <w:rPr>
          <w:rFonts w:eastAsia="Calibri" w:cstheme="minorHAnsi"/>
        </w:rPr>
        <w:t xml:space="preserve">The school in </w:t>
      </w:r>
      <w:r>
        <w:rPr>
          <w:rFonts w:eastAsia="Calibri" w:cstheme="minorHAnsi"/>
        </w:rPr>
        <w:t>which I completed this observation</w:t>
      </w:r>
      <w:r w:rsidRPr="002E72CF">
        <w:rPr>
          <w:rFonts w:eastAsia="Calibri" w:cstheme="minorHAnsi"/>
        </w:rPr>
        <w:t xml:space="preserve"> has 481 pupils from the ages of 3-11 and is of 2 form entry.  Included in this number, are around 21% of children who are eligible for free school meals (which is above the average for Wales) and around 34% of pupils who are identified as having Additional Learning Needs (which is higher than the national average of 21%). Most pupils are of white British ethnicity and only a</w:t>
      </w:r>
      <w:r>
        <w:rPr>
          <w:rFonts w:eastAsia="Calibri" w:cstheme="minorHAnsi"/>
        </w:rPr>
        <w:t xml:space="preserve"> small</w:t>
      </w:r>
      <w:r w:rsidRPr="002E72CF">
        <w:rPr>
          <w:rFonts w:eastAsia="Calibri" w:cstheme="minorHAnsi"/>
        </w:rPr>
        <w:t xml:space="preserve"> few have English as an additional language (Estyn, June 2018). Before under-going the study, all ethical guidelines were </w:t>
      </w:r>
      <w:proofErr w:type="gramStart"/>
      <w:r w:rsidRPr="002E72CF">
        <w:rPr>
          <w:rFonts w:eastAsia="Calibri" w:cstheme="minorHAnsi"/>
        </w:rPr>
        <w:t>taken into account</w:t>
      </w:r>
      <w:proofErr w:type="gramEnd"/>
      <w:r w:rsidRPr="002E72CF">
        <w:rPr>
          <w:rFonts w:eastAsia="Calibri" w:cstheme="minorHAnsi"/>
        </w:rPr>
        <w:t xml:space="preserve"> and in</w:t>
      </w:r>
      <w:r w:rsidRPr="002E72CF">
        <w:rPr>
          <w:rFonts w:eastAsia="Calibri" w:cstheme="minorHAnsi"/>
          <w:lang w:val="en-US"/>
        </w:rPr>
        <w:t xml:space="preserve"> accordance with BERA Guidelines, I have decided to </w:t>
      </w:r>
      <w:proofErr w:type="spellStart"/>
      <w:r w:rsidRPr="002E72CF">
        <w:rPr>
          <w:rFonts w:eastAsia="Calibri" w:cstheme="minorHAnsi"/>
          <w:lang w:val="en-US"/>
        </w:rPr>
        <w:t>anonymi</w:t>
      </w:r>
      <w:proofErr w:type="spellEnd"/>
      <w:r>
        <w:rPr>
          <w:rFonts w:eastAsia="Calibri" w:cstheme="minorHAnsi"/>
        </w:rPr>
        <w:t>se</w:t>
      </w:r>
      <w:r w:rsidRPr="002E72CF">
        <w:rPr>
          <w:rFonts w:eastAsia="Calibri" w:cstheme="minorHAnsi"/>
          <w:lang w:val="en-US"/>
        </w:rPr>
        <w:t xml:space="preserve"> the name of the school and the children</w:t>
      </w:r>
      <w:r>
        <w:rPr>
          <w:rFonts w:eastAsia="Calibri" w:cstheme="minorHAnsi"/>
          <w:lang w:val="en-US"/>
        </w:rPr>
        <w:t>/teacher</w:t>
      </w:r>
      <w:r w:rsidRPr="002E72CF">
        <w:rPr>
          <w:rFonts w:eastAsia="Calibri" w:cstheme="minorHAnsi"/>
          <w:lang w:val="en-US"/>
        </w:rPr>
        <w:t xml:space="preserve"> who will be included throughout the study</w:t>
      </w:r>
      <w:r>
        <w:rPr>
          <w:rFonts w:eastAsia="Calibri" w:cstheme="minorHAnsi"/>
        </w:rPr>
        <w:t>. W</w:t>
      </w:r>
      <w:r w:rsidRPr="002E72CF">
        <w:rPr>
          <w:rFonts w:eastAsia="Calibri" w:cstheme="minorHAnsi"/>
        </w:rPr>
        <w:t>ritten consent was given to allow me to</w:t>
      </w:r>
      <w:r>
        <w:rPr>
          <w:rFonts w:eastAsia="Calibri" w:cstheme="minorHAnsi"/>
        </w:rPr>
        <w:t xml:space="preserve"> observe and</w:t>
      </w:r>
      <w:r w:rsidRPr="002E72CF">
        <w:rPr>
          <w:rFonts w:eastAsia="Calibri" w:cstheme="minorHAnsi"/>
        </w:rPr>
        <w:t xml:space="preserve"> take photos within my time there. </w:t>
      </w:r>
    </w:p>
    <w:p w14:paraId="73F28872" w14:textId="77777777" w:rsidR="009F09E7" w:rsidRPr="002E72CF" w:rsidRDefault="009F09E7" w:rsidP="009F09E7">
      <w:pPr>
        <w:rPr>
          <w:rFonts w:eastAsia="Calibri" w:cstheme="minorHAnsi"/>
        </w:rPr>
      </w:pPr>
      <w:r w:rsidRPr="002E72CF">
        <w:rPr>
          <w:rFonts w:eastAsia="Calibri" w:cstheme="minorHAnsi"/>
        </w:rPr>
        <w:t xml:space="preserve">The event that I witnessed happened in a year 2 classroom consisting of 29 pupils, although I </w:t>
      </w:r>
      <w:r>
        <w:rPr>
          <w:rFonts w:eastAsia="Calibri" w:cstheme="minorHAnsi"/>
        </w:rPr>
        <w:t xml:space="preserve">have </w:t>
      </w:r>
      <w:r w:rsidRPr="002E72CF">
        <w:rPr>
          <w:rFonts w:eastAsia="Calibri" w:cstheme="minorHAnsi"/>
        </w:rPr>
        <w:t xml:space="preserve">also witnessed similar techniques being used elsewhere </w:t>
      </w:r>
      <w:r>
        <w:rPr>
          <w:rFonts w:eastAsia="Calibri" w:cstheme="minorHAnsi"/>
        </w:rPr>
        <w:t xml:space="preserve">both </w:t>
      </w:r>
      <w:r w:rsidRPr="002E72CF">
        <w:rPr>
          <w:rFonts w:eastAsia="Calibri" w:cstheme="minorHAnsi"/>
        </w:rPr>
        <w:t>within the</w:t>
      </w:r>
      <w:r>
        <w:rPr>
          <w:rFonts w:eastAsia="Calibri" w:cstheme="minorHAnsi"/>
        </w:rPr>
        <w:t xml:space="preserve"> observed</w:t>
      </w:r>
      <w:r w:rsidRPr="002E72CF">
        <w:rPr>
          <w:rFonts w:eastAsia="Calibri" w:cstheme="minorHAnsi"/>
        </w:rPr>
        <w:t xml:space="preserve"> school</w:t>
      </w:r>
      <w:r>
        <w:rPr>
          <w:rFonts w:eastAsia="Calibri" w:cstheme="minorHAnsi"/>
        </w:rPr>
        <w:t xml:space="preserve"> and in other educational establishments and I intend to draw upon these other experiences within this essay.</w:t>
      </w:r>
      <w:r w:rsidRPr="002E72CF">
        <w:rPr>
          <w:rFonts w:eastAsia="Calibri" w:cstheme="minorHAnsi"/>
        </w:rPr>
        <w:t xml:space="preserve"> </w:t>
      </w:r>
      <w:r w:rsidRPr="002E72CF">
        <w:rPr>
          <w:rFonts w:eastAsia="Calibri" w:cstheme="minorHAnsi"/>
          <w:lang w:val="en-US"/>
        </w:rPr>
        <w:t xml:space="preserve">I have decided to centralize praise because it is a part of teaching and education that is very evident no matter </w:t>
      </w:r>
      <w:proofErr w:type="spellStart"/>
      <w:r w:rsidRPr="002E72CF">
        <w:rPr>
          <w:rFonts w:eastAsia="Calibri" w:cstheme="minorHAnsi"/>
          <w:lang w:val="en-US"/>
        </w:rPr>
        <w:t>wh</w:t>
      </w:r>
      <w:proofErr w:type="spellEnd"/>
      <w:r w:rsidRPr="002E72CF">
        <w:rPr>
          <w:rFonts w:eastAsia="Calibri" w:cstheme="minorHAnsi"/>
        </w:rPr>
        <w:t>ich</w:t>
      </w:r>
      <w:r w:rsidRPr="002E72CF">
        <w:rPr>
          <w:rFonts w:eastAsia="Calibri" w:cstheme="minorHAnsi"/>
          <w:lang w:val="en-US"/>
        </w:rPr>
        <w:t xml:space="preserve"> setting you may be within from the Foundation Phase right through to Key Stage 2 and further into Secondary School. Through observation and reading, I have discovered that like so many other aspects of education, there are both positives and negatives regarding the usefulness of praise and furthermore, that it is important to understand both sides of the debate (M, </w:t>
      </w:r>
      <w:proofErr w:type="spellStart"/>
      <w:r w:rsidRPr="002E72CF">
        <w:rPr>
          <w:rFonts w:eastAsia="Calibri" w:cstheme="minorHAnsi"/>
          <w:lang w:val="en-US"/>
        </w:rPr>
        <w:t>Bayat</w:t>
      </w:r>
      <w:proofErr w:type="spellEnd"/>
      <w:r w:rsidRPr="002E72CF">
        <w:rPr>
          <w:rFonts w:eastAsia="Calibri" w:cstheme="minorHAnsi"/>
          <w:lang w:val="en-US"/>
        </w:rPr>
        <w:t>, 2010).</w:t>
      </w:r>
    </w:p>
    <w:p w14:paraId="3A6962CB" w14:textId="77777777" w:rsidR="009F09E7" w:rsidRDefault="009F09E7" w:rsidP="009F09E7">
      <w:pPr>
        <w:rPr>
          <w:rFonts w:eastAsia="Calibri" w:cstheme="minorHAnsi"/>
        </w:rPr>
      </w:pPr>
      <w:r w:rsidRPr="002E72CF">
        <w:rPr>
          <w:rFonts w:eastAsia="Calibri" w:cstheme="minorHAnsi"/>
          <w:lang w:val="en-US"/>
        </w:rPr>
        <w:t xml:space="preserve">Whilst within </w:t>
      </w:r>
      <w:r w:rsidRPr="002E72CF">
        <w:rPr>
          <w:rFonts w:eastAsia="Calibri" w:cstheme="minorHAnsi"/>
        </w:rPr>
        <w:t xml:space="preserve">one of two </w:t>
      </w:r>
      <w:r w:rsidRPr="002E72CF">
        <w:rPr>
          <w:rFonts w:eastAsia="Calibri" w:cstheme="minorHAnsi"/>
          <w:lang w:val="en-US"/>
        </w:rPr>
        <w:t>Year 2 classroom</w:t>
      </w:r>
      <w:r w:rsidRPr="002E72CF">
        <w:rPr>
          <w:rFonts w:eastAsia="Calibri" w:cstheme="minorHAnsi"/>
        </w:rPr>
        <w:t>s</w:t>
      </w:r>
      <w:r w:rsidRPr="002E72CF">
        <w:rPr>
          <w:rFonts w:eastAsia="Calibri" w:cstheme="minorHAnsi"/>
          <w:lang w:val="en-US"/>
        </w:rPr>
        <w:t>, I was able to observe a magnitude of different situations</w:t>
      </w:r>
      <w:r w:rsidRPr="002E72CF">
        <w:rPr>
          <w:rFonts w:eastAsia="Calibri" w:cstheme="minorHAnsi"/>
        </w:rPr>
        <w:t>, m</w:t>
      </w:r>
      <w:r>
        <w:rPr>
          <w:rFonts w:eastAsia="Calibri" w:cstheme="minorHAnsi"/>
        </w:rPr>
        <w:t>any</w:t>
      </w:r>
      <w:r w:rsidRPr="002E72CF">
        <w:rPr>
          <w:rFonts w:eastAsia="Calibri" w:cstheme="minorHAnsi"/>
        </w:rPr>
        <w:t xml:space="preserve"> of which included an aspect of praise and positive reinforcement in some aspect. One of t</w:t>
      </w:r>
      <w:r w:rsidRPr="002E72CF">
        <w:rPr>
          <w:rFonts w:eastAsia="Calibri" w:cstheme="minorHAnsi"/>
          <w:lang w:val="en-US"/>
        </w:rPr>
        <w:t>he most prominent</w:t>
      </w:r>
      <w:r w:rsidRPr="002E72CF">
        <w:rPr>
          <w:rFonts w:eastAsia="Calibri" w:cstheme="minorHAnsi"/>
        </w:rPr>
        <w:t xml:space="preserve"> use</w:t>
      </w:r>
      <w:r>
        <w:rPr>
          <w:rFonts w:eastAsia="Calibri" w:cstheme="minorHAnsi"/>
        </w:rPr>
        <w:t>s</w:t>
      </w:r>
      <w:r w:rsidRPr="002E72CF">
        <w:rPr>
          <w:rFonts w:eastAsia="Calibri" w:cstheme="minorHAnsi"/>
        </w:rPr>
        <w:t xml:space="preserve"> of praise I witnessed</w:t>
      </w:r>
      <w:r w:rsidRPr="002E72CF">
        <w:rPr>
          <w:rFonts w:eastAsia="Calibri" w:cstheme="minorHAnsi"/>
          <w:lang w:val="en-US"/>
        </w:rPr>
        <w:t xml:space="preserve"> was a Group Reading session led by the class teacher. The group consisted of 6 children; </w:t>
      </w:r>
      <w:proofErr w:type="gramStart"/>
      <w:r w:rsidRPr="002E72CF">
        <w:rPr>
          <w:rFonts w:eastAsia="Calibri" w:cstheme="minorHAnsi"/>
          <w:lang w:val="en-US"/>
        </w:rPr>
        <w:t>all of</w:t>
      </w:r>
      <w:proofErr w:type="gramEnd"/>
      <w:r w:rsidRPr="002E72CF">
        <w:rPr>
          <w:rFonts w:eastAsia="Calibri" w:cstheme="minorHAnsi"/>
          <w:lang w:val="en-US"/>
        </w:rPr>
        <w:t xml:space="preserve"> lower ability. Within this group were 2 EAL children. </w:t>
      </w:r>
      <w:r w:rsidRPr="002E72CF">
        <w:rPr>
          <w:rFonts w:eastAsia="Calibri" w:cstheme="minorHAnsi"/>
        </w:rPr>
        <w:t xml:space="preserve">One of which </w:t>
      </w:r>
      <w:r w:rsidRPr="002E72CF">
        <w:rPr>
          <w:rFonts w:eastAsia="Calibri" w:cstheme="minorHAnsi"/>
          <w:lang w:val="en-US"/>
        </w:rPr>
        <w:t xml:space="preserve">is 6 years old and English is her second language. At home both of her parents communicate with her predominantly in Spanish as </w:t>
      </w:r>
      <w:proofErr w:type="gramStart"/>
      <w:r w:rsidRPr="002E72CF">
        <w:rPr>
          <w:rFonts w:eastAsia="Calibri" w:cstheme="minorHAnsi"/>
          <w:lang w:val="en-US"/>
        </w:rPr>
        <w:t>at this time</w:t>
      </w:r>
      <w:proofErr w:type="gramEnd"/>
      <w:r w:rsidRPr="002E72CF">
        <w:rPr>
          <w:rFonts w:eastAsia="Calibri" w:cstheme="minorHAnsi"/>
          <w:lang w:val="en-US"/>
        </w:rPr>
        <w:t xml:space="preserve"> their English is still very limited</w:t>
      </w:r>
      <w:r w:rsidRPr="002E72CF">
        <w:rPr>
          <w:rFonts w:eastAsia="Calibri" w:cstheme="minorHAnsi"/>
        </w:rPr>
        <w:t xml:space="preserve">. During this piece of work, the </w:t>
      </w:r>
      <w:proofErr w:type="gramStart"/>
      <w:r w:rsidRPr="002E72CF">
        <w:rPr>
          <w:rFonts w:eastAsia="Calibri" w:cstheme="minorHAnsi"/>
        </w:rPr>
        <w:t>aforementioned child</w:t>
      </w:r>
      <w:proofErr w:type="gramEnd"/>
      <w:r w:rsidRPr="002E72CF">
        <w:rPr>
          <w:rFonts w:eastAsia="Calibri" w:cstheme="minorHAnsi"/>
        </w:rPr>
        <w:t xml:space="preserve"> will be referred to as Child A</w:t>
      </w:r>
      <w:r w:rsidRPr="002E72CF">
        <w:rPr>
          <w:rFonts w:eastAsia="Calibri" w:cstheme="minorHAnsi"/>
          <w:lang w:val="en-US"/>
        </w:rPr>
        <w:t>.</w:t>
      </w:r>
      <w:r w:rsidRPr="002E72CF">
        <w:rPr>
          <w:rFonts w:eastAsia="Calibri" w:cstheme="minorHAnsi"/>
        </w:rPr>
        <w:t xml:space="preserve"> Another child within the group was described as having difficulties</w:t>
      </w:r>
      <w:r>
        <w:rPr>
          <w:rFonts w:eastAsia="Calibri" w:cstheme="minorHAnsi"/>
        </w:rPr>
        <w:t xml:space="preserve"> with his concentration span for example;</w:t>
      </w:r>
      <w:r w:rsidRPr="002E72CF">
        <w:rPr>
          <w:rFonts w:eastAsia="Calibri" w:cstheme="minorHAnsi"/>
        </w:rPr>
        <w:t xml:space="preserve"> in paying attention and staying on task. The teacher stated th</w:t>
      </w:r>
      <w:r>
        <w:rPr>
          <w:rFonts w:eastAsia="Calibri" w:cstheme="minorHAnsi"/>
        </w:rPr>
        <w:t>at</w:t>
      </w:r>
      <w:r w:rsidRPr="002E72CF">
        <w:rPr>
          <w:rFonts w:eastAsia="Calibri" w:cstheme="minorHAnsi"/>
        </w:rPr>
        <w:t xml:space="preserve"> although he would be able to read the book, his understanding may not be as evident and that he would need</w:t>
      </w:r>
      <w:r>
        <w:rPr>
          <w:rFonts w:eastAsia="Calibri" w:cstheme="minorHAnsi"/>
        </w:rPr>
        <w:t xml:space="preserve"> to</w:t>
      </w:r>
      <w:r w:rsidRPr="002E72CF">
        <w:rPr>
          <w:rFonts w:eastAsia="Calibri" w:cstheme="minorHAnsi"/>
        </w:rPr>
        <w:t xml:space="preserve"> be reminded frequently to pay attention</w:t>
      </w:r>
      <w:r>
        <w:rPr>
          <w:rFonts w:eastAsia="Calibri" w:cstheme="minorHAnsi"/>
        </w:rPr>
        <w:t xml:space="preserve"> and</w:t>
      </w:r>
      <w:r w:rsidRPr="002E72CF">
        <w:rPr>
          <w:rFonts w:eastAsia="Calibri" w:cstheme="minorHAnsi"/>
        </w:rPr>
        <w:t xml:space="preserve"> to “follow along” as h</w:t>
      </w:r>
      <w:r>
        <w:rPr>
          <w:rFonts w:eastAsia="Calibri" w:cstheme="minorHAnsi"/>
        </w:rPr>
        <w:t>is</w:t>
      </w:r>
      <w:r w:rsidRPr="002E72CF">
        <w:rPr>
          <w:rFonts w:eastAsia="Calibri" w:cstheme="minorHAnsi"/>
        </w:rPr>
        <w:t xml:space="preserve"> peers read (child B). Another child in the group (child C) was very quiet and reluctant to participate unless expressively called upon by the teacher. During this situation, I used note taking as a form of </w:t>
      </w:r>
      <w:r w:rsidRPr="002E72CF">
        <w:rPr>
          <w:rFonts w:eastAsia="Calibri" w:cstheme="minorHAnsi"/>
        </w:rPr>
        <w:lastRenderedPageBreak/>
        <w:t xml:space="preserve">observation. I did not intend to focus on the three previously mentioned children, however they were the ones in which I noted as having the most obvious affect to the praise given by the teacher in this </w:t>
      </w:r>
      <w:proofErr w:type="gramStart"/>
      <w:r w:rsidRPr="002E72CF">
        <w:rPr>
          <w:rFonts w:eastAsia="Calibri" w:cstheme="minorHAnsi"/>
        </w:rPr>
        <w:t>particular situation</w:t>
      </w:r>
      <w:proofErr w:type="gramEnd"/>
      <w:r w:rsidRPr="002E72CF">
        <w:rPr>
          <w:rFonts w:eastAsia="Calibri" w:cstheme="minorHAnsi"/>
        </w:rPr>
        <w:t xml:space="preserve">. </w:t>
      </w:r>
    </w:p>
    <w:p w14:paraId="77FFD671" w14:textId="77777777" w:rsidR="009F09E7" w:rsidRDefault="009F09E7" w:rsidP="009F09E7">
      <w:pPr>
        <w:rPr>
          <w:rFonts w:eastAsia="Calibri" w:cstheme="minorHAnsi"/>
          <w:lang w:val="en-US"/>
        </w:rPr>
      </w:pPr>
      <w:r>
        <w:rPr>
          <w:rFonts w:eastAsia="Calibri" w:cstheme="minorHAnsi"/>
          <w:lang w:val="en-US"/>
        </w:rPr>
        <w:t xml:space="preserve">I </w:t>
      </w:r>
      <w:proofErr w:type="gramStart"/>
      <w:r>
        <w:rPr>
          <w:rFonts w:eastAsia="Calibri" w:cstheme="minorHAnsi"/>
          <w:lang w:val="en-US"/>
        </w:rPr>
        <w:t>made an effort</w:t>
      </w:r>
      <w:proofErr w:type="gramEnd"/>
      <w:r>
        <w:rPr>
          <w:rFonts w:eastAsia="Calibri" w:cstheme="minorHAnsi"/>
          <w:lang w:val="en-US"/>
        </w:rPr>
        <w:t xml:space="preserve"> to include multiple observation techniques in my work to enable myself to gain a better more rounded view of the learning events witnessed. I was however limited to written observations and target child. Bold (2011) highlights how written observations are the most common form of observation technique used in the early years as it is a simple and effective way to ensure that information is recorded. This method usefully allows me to observe and record from a distance without intervening with the event, it does not however, guarantee that all information will be recorded as there are many distractions within a classroom which could lead to information not being recorded. </w:t>
      </w:r>
    </w:p>
    <w:p w14:paraId="2CD29EF1" w14:textId="77777777" w:rsidR="009F09E7" w:rsidRPr="002E72CF" w:rsidRDefault="009F09E7" w:rsidP="009F09E7">
      <w:pPr>
        <w:rPr>
          <w:rFonts w:eastAsia="Calibri" w:cstheme="minorHAnsi"/>
        </w:rPr>
      </w:pPr>
    </w:p>
    <w:p w14:paraId="272860FD" w14:textId="77777777" w:rsidR="009F09E7" w:rsidRDefault="009F09E7" w:rsidP="009F09E7">
      <w:pPr>
        <w:rPr>
          <w:rFonts w:eastAsia="Calibri" w:cstheme="minorHAnsi"/>
          <w:lang w:val="en-US"/>
        </w:rPr>
      </w:pPr>
      <w:r w:rsidRPr="002E72CF">
        <w:rPr>
          <w:rFonts w:eastAsia="Calibri" w:cstheme="minorHAnsi"/>
        </w:rPr>
        <w:t>The book the group were focusing on was “Mixing Muffins” by Emma Lynch which is part of the Bug Club Phonics set and is a level 4 ability book.</w:t>
      </w:r>
      <w:r w:rsidRPr="002E72CF">
        <w:rPr>
          <w:rFonts w:eastAsia="Calibri" w:cstheme="minorHAnsi"/>
          <w:lang w:val="en-US"/>
        </w:rPr>
        <w:t xml:space="preserve"> </w:t>
      </w:r>
      <w:r w:rsidRPr="002E72CF">
        <w:rPr>
          <w:rFonts w:eastAsia="Calibri" w:cstheme="minorHAnsi"/>
        </w:rPr>
        <w:t xml:space="preserve">The book is specifically designed to help children get a solid grasp upon phonics which are arguably the starting point of helping a child with learning to read. </w:t>
      </w:r>
      <w:r w:rsidRPr="002E72CF">
        <w:rPr>
          <w:rFonts w:eastAsia="Calibri" w:cstheme="minorHAnsi"/>
          <w:lang w:val="en-US"/>
        </w:rPr>
        <w:t xml:space="preserve"> class teacher focused more on the content of the book and building on prior knowledge. As specified in Professor Donaldson’s Successful Futures,</w:t>
      </w:r>
      <w:r w:rsidRPr="002E72CF">
        <w:rPr>
          <w:rFonts w:eastAsia="Calibri" w:cstheme="minorHAnsi"/>
        </w:rPr>
        <w:t xml:space="preserve"> (Donaldson, 2015)</w:t>
      </w:r>
      <w:r w:rsidRPr="002E72CF">
        <w:rPr>
          <w:rFonts w:eastAsia="Calibri" w:cstheme="minorHAnsi"/>
          <w:lang w:val="en-US"/>
        </w:rPr>
        <w:t xml:space="preserve"> children should be supplied with experiences that allow them to make connections with real life situations; this was very evident with this session.  It was very noticeable that the children were beginning to sound out words and blend phonics, however that was not the emphasis of the session. The teacher in this session, used praise enthusiastically as often as possible. It was clear that doing this pushed the children to both seek more praise and work harder to attain it. </w:t>
      </w:r>
    </w:p>
    <w:p w14:paraId="531D90CB" w14:textId="77777777" w:rsidR="009F09E7" w:rsidRDefault="009F09E7" w:rsidP="009F09E7">
      <w:pPr>
        <w:rPr>
          <w:rFonts w:eastAsia="Calibri" w:cstheme="minorHAnsi"/>
          <w:lang w:val="en-US"/>
        </w:rPr>
      </w:pPr>
    </w:p>
    <w:p w14:paraId="30488F24" w14:textId="77777777" w:rsidR="009F09E7" w:rsidRPr="00BB564B" w:rsidRDefault="009F09E7" w:rsidP="009F09E7">
      <w:pPr>
        <w:rPr>
          <w:rFonts w:eastAsia="Calibri" w:cstheme="minorHAnsi"/>
          <w:u w:val="single"/>
          <w:lang w:val="en-US"/>
        </w:rPr>
      </w:pPr>
      <w:r w:rsidRPr="00BB564B">
        <w:rPr>
          <w:rFonts w:eastAsia="Calibri" w:cstheme="minorHAnsi"/>
          <w:u w:val="single"/>
          <w:lang w:val="en-US"/>
        </w:rPr>
        <w:t>Theory</w:t>
      </w:r>
    </w:p>
    <w:p w14:paraId="6AA83849" w14:textId="77777777" w:rsidR="009F09E7" w:rsidRDefault="009F09E7" w:rsidP="009F09E7">
      <w:pPr>
        <w:rPr>
          <w:rFonts w:eastAsia="Calibri" w:cstheme="minorHAnsi"/>
        </w:rPr>
      </w:pPr>
      <w:r>
        <w:rPr>
          <w:rFonts w:eastAsia="Calibri" w:cstheme="minorHAnsi"/>
        </w:rPr>
        <w:t xml:space="preserve">Learning theory is knowledge that is acquired either through study, experience or being told. It is a continuous process that seeks to build upon what is already known. The role of the teacher in education changes depending on which theory you decide to concentrate on however the fundamentals remain the same; a teacher is there to facilitate exploration, to shape opportunities and to encourage children to take opportunities to expand their own learning. There are many different theories which continue to have an impact upon educational pedagogy. Geoff Petty (2009) argues that everyone wants/needs to learn in a different way. There are 3 main schools of thought that create the basis for which educational research surrounds to this day. Lev Vygotsky, Ivan Pavlov and Jean Piaget are leaders in their fields and have differing perspectives on learning theory in general. The Constructivist approach, </w:t>
      </w:r>
      <w:proofErr w:type="gramStart"/>
      <w:r>
        <w:rPr>
          <w:rFonts w:eastAsia="Calibri" w:cstheme="minorHAnsi"/>
        </w:rPr>
        <w:t>The</w:t>
      </w:r>
      <w:proofErr w:type="gramEnd"/>
      <w:r>
        <w:rPr>
          <w:rFonts w:eastAsia="Calibri" w:cstheme="minorHAnsi"/>
        </w:rPr>
        <w:t xml:space="preserve"> behaviourist approach and the </w:t>
      </w:r>
      <w:proofErr w:type="spellStart"/>
      <w:r>
        <w:rPr>
          <w:rFonts w:eastAsia="Calibri" w:cstheme="minorHAnsi"/>
        </w:rPr>
        <w:t>Humanisitic</w:t>
      </w:r>
      <w:proofErr w:type="spellEnd"/>
      <w:r>
        <w:rPr>
          <w:rFonts w:eastAsia="Calibri" w:cstheme="minorHAnsi"/>
        </w:rPr>
        <w:t xml:space="preserve"> approach all hold equal weight within theory, and many people within education find that they make connections with the theories and the way in which they work. </w:t>
      </w:r>
    </w:p>
    <w:p w14:paraId="52842B0D" w14:textId="77777777" w:rsidR="009F09E7" w:rsidRDefault="009F09E7" w:rsidP="009F09E7">
      <w:pPr>
        <w:rPr>
          <w:rFonts w:eastAsia="Calibri" w:cstheme="minorHAnsi"/>
        </w:rPr>
      </w:pPr>
      <w:r>
        <w:rPr>
          <w:rFonts w:eastAsia="Calibri" w:cstheme="minorHAnsi"/>
        </w:rPr>
        <w:t xml:space="preserve">Key theorists within the Constructivism theory include Bruner, Jean Piaget and Maria Montessori. The theories main argument explains how people are lone scientists who are actively seeking to make meaning of the things around them. Jean Piaget is arguably one of the most widely known theorists known to constructivism. Pritchard (2015) details how Piaget believed that we learn through cognitive conflict, meaning that we learn when our existing knowledge is challenged by new knowledge. Piaget observed his own children’s cognitive development and thinking and </w:t>
      </w:r>
      <w:proofErr w:type="gramStart"/>
      <w:r>
        <w:rPr>
          <w:rFonts w:eastAsia="Calibri" w:cstheme="minorHAnsi"/>
        </w:rPr>
        <w:t>came to the conclusion</w:t>
      </w:r>
      <w:proofErr w:type="gramEnd"/>
      <w:r>
        <w:rPr>
          <w:rFonts w:eastAsia="Calibri" w:cstheme="minorHAnsi"/>
        </w:rPr>
        <w:t xml:space="preserve"> that </w:t>
      </w:r>
      <w:r>
        <w:rPr>
          <w:rFonts w:eastAsia="Calibri" w:cstheme="minorHAnsi"/>
        </w:rPr>
        <w:lastRenderedPageBreak/>
        <w:t xml:space="preserve">children actively seek to make sense of the world around them. Therefore, he argued that learning is the result of internal processes and not external stimuli. He furthers his theory by stating that children pass through stages in their learning and that certain things can only be learned at a certain stage in their development. Lev </w:t>
      </w:r>
      <w:proofErr w:type="spellStart"/>
      <w:r>
        <w:rPr>
          <w:rFonts w:eastAsia="Calibri" w:cstheme="minorHAnsi"/>
        </w:rPr>
        <w:t>Vygtosky</w:t>
      </w:r>
      <w:proofErr w:type="spellEnd"/>
      <w:r>
        <w:rPr>
          <w:rFonts w:eastAsia="Calibri" w:cstheme="minorHAnsi"/>
        </w:rPr>
        <w:t xml:space="preserve"> expanded the constructivism theory to argue that all cognitive functions span from social interaction and are then made sense of on an individual level, meaning that, again, learners actively are seeking to make meaning. He developed the Zone of Proximal Development (ZDP). This highlights the gap between what a child can do on their own and what a child is able to do with support. Vygotsky argues that a child will not be able to make the next step in their developmental stage unless they are supported in the ZPD. This can often be seen in classrooms as “scaffolding” and within this theory is seen as the predominant role of the adult within the classroom. </w:t>
      </w:r>
    </w:p>
    <w:p w14:paraId="33746618" w14:textId="77777777" w:rsidR="009F09E7" w:rsidRDefault="009F09E7" w:rsidP="009F09E7">
      <w:pPr>
        <w:rPr>
          <w:rFonts w:eastAsia="Calibri" w:cstheme="minorHAnsi"/>
        </w:rPr>
      </w:pPr>
      <w:r>
        <w:rPr>
          <w:rFonts w:eastAsia="Calibri" w:cstheme="minorHAnsi"/>
        </w:rPr>
        <w:t xml:space="preserve">The </w:t>
      </w:r>
      <w:proofErr w:type="spellStart"/>
      <w:r>
        <w:rPr>
          <w:rFonts w:eastAsia="Calibri" w:cstheme="minorHAnsi"/>
        </w:rPr>
        <w:t>Humanisitic</w:t>
      </w:r>
      <w:proofErr w:type="spellEnd"/>
      <w:r>
        <w:rPr>
          <w:rFonts w:eastAsia="Calibri" w:cstheme="minorHAnsi"/>
        </w:rPr>
        <w:t xml:space="preserve"> approach to education centres around the work of Abraham Maslow and Carl Rogers. One of the main aspects of the theory is that learning should be “person centred”. Many approaches that have been researched have this thought at </w:t>
      </w:r>
      <w:proofErr w:type="spellStart"/>
      <w:r>
        <w:rPr>
          <w:rFonts w:eastAsia="Calibri" w:cstheme="minorHAnsi"/>
        </w:rPr>
        <w:t>it’s</w:t>
      </w:r>
      <w:proofErr w:type="spellEnd"/>
      <w:r>
        <w:rPr>
          <w:rFonts w:eastAsia="Calibri" w:cstheme="minorHAnsi"/>
        </w:rPr>
        <w:t xml:space="preserve"> </w:t>
      </w:r>
      <w:proofErr w:type="gramStart"/>
      <w:r>
        <w:rPr>
          <w:rFonts w:eastAsia="Calibri" w:cstheme="minorHAnsi"/>
        </w:rPr>
        <w:t>centre</w:t>
      </w:r>
      <w:proofErr w:type="gramEnd"/>
      <w:r>
        <w:rPr>
          <w:rFonts w:eastAsia="Calibri" w:cstheme="minorHAnsi"/>
        </w:rPr>
        <w:t xml:space="preserve"> and all seek to engage the whole person.  </w:t>
      </w:r>
      <w:proofErr w:type="spellStart"/>
      <w:r w:rsidRPr="000E50EE">
        <w:rPr>
          <w:rFonts w:eastAsia="Calibri" w:cstheme="minorHAnsi"/>
          <w:highlight w:val="yellow"/>
        </w:rPr>
        <w:t>Maslows</w:t>
      </w:r>
      <w:proofErr w:type="spellEnd"/>
      <w:r w:rsidRPr="000E50EE">
        <w:rPr>
          <w:rFonts w:eastAsia="Calibri" w:cstheme="minorHAnsi"/>
          <w:highlight w:val="yellow"/>
        </w:rPr>
        <w:t xml:space="preserve"> </w:t>
      </w:r>
      <w:proofErr w:type="spellStart"/>
      <w:r w:rsidRPr="000E50EE">
        <w:rPr>
          <w:rFonts w:eastAsia="Calibri" w:cstheme="minorHAnsi"/>
          <w:highlight w:val="yellow"/>
        </w:rPr>
        <w:t>Hieracrchy</w:t>
      </w:r>
      <w:proofErr w:type="spellEnd"/>
      <w:r w:rsidRPr="000E50EE">
        <w:rPr>
          <w:rFonts w:eastAsia="Calibri" w:cstheme="minorHAnsi"/>
          <w:highlight w:val="yellow"/>
        </w:rPr>
        <w:t xml:space="preserve"> of needs</w:t>
      </w:r>
      <w:r>
        <w:rPr>
          <w:rFonts w:eastAsia="Calibri" w:cstheme="minorHAnsi"/>
        </w:rPr>
        <w:t xml:space="preserve"> </w:t>
      </w:r>
    </w:p>
    <w:p w14:paraId="137D6E6E" w14:textId="77777777" w:rsidR="009F09E7" w:rsidRDefault="009F09E7" w:rsidP="009F09E7">
      <w:pPr>
        <w:rPr>
          <w:rFonts w:eastAsia="Calibri" w:cstheme="minorHAnsi"/>
        </w:rPr>
      </w:pPr>
    </w:p>
    <w:p w14:paraId="4E021EEB" w14:textId="77777777" w:rsidR="009F09E7" w:rsidRDefault="009F09E7" w:rsidP="009F09E7">
      <w:pPr>
        <w:rPr>
          <w:rFonts w:eastAsia="Calibri" w:cstheme="minorHAnsi"/>
        </w:rPr>
      </w:pPr>
      <w:r>
        <w:rPr>
          <w:rFonts w:eastAsia="Calibri" w:cstheme="minorHAnsi"/>
        </w:rPr>
        <w:t xml:space="preserve">Out of the 3 main theories (2 of which I have already briefly discussed) I feel as though my witnessed learning event lends itself most comfortably to the Behaviourists theory. </w:t>
      </w:r>
      <w:r w:rsidRPr="002E72CF">
        <w:rPr>
          <w:rFonts w:eastAsia="Calibri" w:cstheme="minorHAnsi"/>
        </w:rPr>
        <w:t xml:space="preserve">The behaviourist’s approach is a learning theory that focuses on observable behaviours and discounts independent activities. Behaviour theorists define learning as the acquisition of new behaviour based upon environmental conditions; its main premise is that most human behaviour is learner through a continual process of responding to stimuli (Cherrington, R, 2000). The theory is most widely known for Pavlov’s work surrounding the experiments he conducted with dog’s (Pavlov, 1927). The basis of this featured the </w:t>
      </w:r>
      <w:r w:rsidRPr="002E4F75">
        <w:rPr>
          <w:rFonts w:eastAsia="Calibri" w:cstheme="minorHAnsi"/>
        </w:rPr>
        <w:t xml:space="preserve">research information </w:t>
      </w:r>
      <w:r w:rsidRPr="002E72CF">
        <w:rPr>
          <w:rFonts w:eastAsia="Calibri" w:cstheme="minorHAnsi"/>
        </w:rPr>
        <w:t xml:space="preserve">that dogs automatically salivate at the smell of food which is described as an unconditional response. He later discovered that by ringing a bell slightly before the dogs were due to eat (conditional stimulus) the dogs were soon salivating without the actual introduction of food. </w:t>
      </w:r>
      <w:r>
        <w:rPr>
          <w:rFonts w:eastAsia="Calibri" w:cstheme="minorHAnsi"/>
        </w:rPr>
        <w:t xml:space="preserve">It has been furthered that this theory can be introduced into schooling. </w:t>
      </w:r>
    </w:p>
    <w:p w14:paraId="4268F69C" w14:textId="77777777" w:rsidR="009F09E7" w:rsidRPr="002E72CF" w:rsidRDefault="009F09E7" w:rsidP="009F09E7">
      <w:pPr>
        <w:rPr>
          <w:rFonts w:eastAsia="Calibri" w:cstheme="minorHAnsi"/>
        </w:rPr>
      </w:pPr>
      <w:r>
        <w:rPr>
          <w:rFonts w:eastAsia="Calibri" w:cstheme="minorHAnsi"/>
        </w:rPr>
        <w:t xml:space="preserve">Furthering my research into the theory of behaviourism I have completed further reading into the use of praise and positive reinforcement within the classroom. There are arguments that both condemn and affirm praise and its effectiveness, allowing for a balanced over view.  </w:t>
      </w:r>
    </w:p>
    <w:p w14:paraId="4FC9A553" w14:textId="77777777" w:rsidR="009F09E7" w:rsidRPr="002E72CF" w:rsidRDefault="009F09E7" w:rsidP="009F09E7">
      <w:pPr>
        <w:rPr>
          <w:rFonts w:eastAsia="Calibri" w:cstheme="minorHAnsi"/>
        </w:rPr>
      </w:pPr>
      <w:r w:rsidRPr="002E72CF">
        <w:rPr>
          <w:rFonts w:eastAsia="Calibri" w:cstheme="minorHAnsi"/>
          <w:lang w:val="en-US"/>
        </w:rPr>
        <w:t>According to Brandon (1969) self-esteem is the most valuable aspect of a person's self.  He believed that if a person's self-esteem was built upon, said person would be able to reach targets once seen as impossible</w:t>
      </w:r>
      <w:r>
        <w:rPr>
          <w:rFonts w:eastAsia="Calibri" w:cstheme="minorHAnsi"/>
          <w:lang w:val="en-US"/>
        </w:rPr>
        <w:t xml:space="preserve"> and that by praising a child, you are encouraging them to keep striving to reach this point. </w:t>
      </w:r>
      <w:r w:rsidRPr="002E72CF">
        <w:rPr>
          <w:rFonts w:eastAsia="Calibri" w:cstheme="minorHAnsi"/>
          <w:lang w:val="en-US"/>
        </w:rPr>
        <w:t xml:space="preserve">As an outcome of these arguments, </w:t>
      </w:r>
      <w:r>
        <w:rPr>
          <w:rFonts w:eastAsia="Calibri" w:cstheme="minorHAnsi"/>
          <w:lang w:val="en-US"/>
        </w:rPr>
        <w:t xml:space="preserve">he details that </w:t>
      </w:r>
      <w:r w:rsidRPr="002E72CF">
        <w:rPr>
          <w:rFonts w:eastAsia="Calibri" w:cstheme="minorHAnsi"/>
          <w:lang w:val="en-US"/>
        </w:rPr>
        <w:t xml:space="preserve">“praising became a vehicle to build self-esteem early on in a child.” Whilst observing, I could clearly see the effect that positive praise was having on the children within the focus group. After being told that what they were doing was “amazing” and being reassured by the teacher </w:t>
      </w:r>
      <w:proofErr w:type="spellStart"/>
      <w:r w:rsidRPr="002E72CF">
        <w:rPr>
          <w:rFonts w:eastAsia="Calibri" w:cstheme="minorHAnsi"/>
          <w:lang w:val="en-US"/>
        </w:rPr>
        <w:t>th</w:t>
      </w:r>
      <w:proofErr w:type="spellEnd"/>
      <w:r w:rsidRPr="002E72CF">
        <w:rPr>
          <w:rFonts w:eastAsia="Calibri" w:cstheme="minorHAnsi"/>
        </w:rPr>
        <w:t>at</w:t>
      </w:r>
      <w:r w:rsidRPr="002E72CF">
        <w:rPr>
          <w:rFonts w:eastAsia="Calibri" w:cstheme="minorHAnsi"/>
          <w:lang w:val="en-US"/>
        </w:rPr>
        <w:t xml:space="preserve"> she “knew they could do it” </w:t>
      </w:r>
      <w:r w:rsidRPr="002E72CF">
        <w:rPr>
          <w:rFonts w:eastAsia="Calibri" w:cstheme="minorHAnsi"/>
        </w:rPr>
        <w:t>many of the</w:t>
      </w:r>
      <w:r w:rsidRPr="002E72CF">
        <w:rPr>
          <w:rFonts w:eastAsia="Calibri" w:cstheme="minorHAnsi"/>
          <w:lang w:val="en-US"/>
        </w:rPr>
        <w:t xml:space="preserve"> children </w:t>
      </w:r>
      <w:r w:rsidRPr="002E72CF">
        <w:rPr>
          <w:rFonts w:eastAsia="Calibri" w:cstheme="minorHAnsi"/>
        </w:rPr>
        <w:t xml:space="preserve">included in the group </w:t>
      </w:r>
      <w:r w:rsidRPr="002E72CF">
        <w:rPr>
          <w:rFonts w:eastAsia="Calibri" w:cstheme="minorHAnsi"/>
          <w:lang w:val="en-US"/>
        </w:rPr>
        <w:t>visibly started to seek more praise and encouragement</w:t>
      </w:r>
      <w:r w:rsidRPr="002E72CF">
        <w:rPr>
          <w:rFonts w:eastAsia="Calibri" w:cstheme="minorHAnsi"/>
        </w:rPr>
        <w:t xml:space="preserve"> by trying more obviously to gain a correct answer.</w:t>
      </w:r>
    </w:p>
    <w:p w14:paraId="05D83527" w14:textId="77777777" w:rsidR="009F09E7" w:rsidRDefault="009F09E7" w:rsidP="009F09E7">
      <w:pPr>
        <w:rPr>
          <w:rFonts w:eastAsia="Calibri" w:cstheme="minorHAnsi"/>
        </w:rPr>
      </w:pPr>
      <w:r w:rsidRPr="002E72CF">
        <w:rPr>
          <w:rFonts w:eastAsia="Calibri" w:cstheme="minorHAnsi"/>
        </w:rPr>
        <w:t xml:space="preserve">Roberts (2002:55) writes that praise needs to be a genuine recognition of efforts and achievement. She furthers this by arguing that we should only give credit to a child when it is due, otherwise the praise becomes empty and meaningless. If this continues, it can manifest in a child that praise is empty and will therefore have an opposite effect on self-esteem; knocking it down instead of building it up. In my </w:t>
      </w:r>
      <w:r w:rsidRPr="002E72CF">
        <w:rPr>
          <w:rFonts w:eastAsia="Calibri" w:cstheme="minorHAnsi"/>
        </w:rPr>
        <w:lastRenderedPageBreak/>
        <w:t xml:space="preserve">observed event, the teacher used praise </w:t>
      </w:r>
      <w:proofErr w:type="spellStart"/>
      <w:r w:rsidRPr="002E72CF">
        <w:rPr>
          <w:rFonts w:eastAsia="Calibri" w:cstheme="minorHAnsi"/>
        </w:rPr>
        <w:t>inline</w:t>
      </w:r>
      <w:proofErr w:type="spellEnd"/>
      <w:r w:rsidRPr="002E72CF">
        <w:rPr>
          <w:rFonts w:eastAsia="Calibri" w:cstheme="minorHAnsi"/>
        </w:rPr>
        <w:t xml:space="preserve"> with Roberts thinking as she provided praise only when the child had achieved something she deemed to be of note or of a </w:t>
      </w:r>
      <w:proofErr w:type="gramStart"/>
      <w:r w:rsidRPr="002E72CF">
        <w:rPr>
          <w:rFonts w:eastAsia="Calibri" w:cstheme="minorHAnsi"/>
        </w:rPr>
        <w:t>particular achievement</w:t>
      </w:r>
      <w:proofErr w:type="gramEnd"/>
      <w:r w:rsidRPr="002E72CF">
        <w:rPr>
          <w:rFonts w:eastAsia="Calibri" w:cstheme="minorHAnsi"/>
        </w:rPr>
        <w:t xml:space="preserve">. It was clear that the children did not find the praise provided to be artificial. </w:t>
      </w:r>
      <w:r>
        <w:rPr>
          <w:rFonts w:eastAsia="Calibri" w:cstheme="minorHAnsi"/>
        </w:rPr>
        <w:t xml:space="preserve">Carol Dweck speaks similarly to Roberts in that she states that we should be careful in the way in which we as educators use praise, and the type of praise that we use. Dweck argues that as teachers, we are sometimes to focused upon praising children when they provide us with a correct answer. She expands on this by arguing that we should </w:t>
      </w:r>
      <w:proofErr w:type="gramStart"/>
      <w:r>
        <w:rPr>
          <w:rFonts w:eastAsia="Calibri" w:cstheme="minorHAnsi"/>
        </w:rPr>
        <w:t>actually praise</w:t>
      </w:r>
      <w:proofErr w:type="gramEnd"/>
      <w:r>
        <w:rPr>
          <w:rFonts w:eastAsia="Calibri" w:cstheme="minorHAnsi"/>
        </w:rPr>
        <w:t xml:space="preserve"> child for the effort they put into something and not gaining the correct outcome. Dweck continues this theory by saying that children begin to see their performance as a reflection of character, and therefore if they are only gaining positive responses from getting things right, their mindset and </w:t>
      </w:r>
      <w:proofErr w:type="spellStart"/>
      <w:r>
        <w:rPr>
          <w:rFonts w:eastAsia="Calibri" w:cstheme="minorHAnsi"/>
        </w:rPr>
        <w:t>well being</w:t>
      </w:r>
      <w:proofErr w:type="spellEnd"/>
      <w:r>
        <w:rPr>
          <w:rFonts w:eastAsia="Calibri" w:cstheme="minorHAnsi"/>
        </w:rPr>
        <w:t xml:space="preserve"> are greatly affected. She states that we should encourage children to:</w:t>
      </w:r>
    </w:p>
    <w:p w14:paraId="527BBE08" w14:textId="77777777" w:rsidR="009F09E7" w:rsidRDefault="009F09E7" w:rsidP="009F09E7">
      <w:pPr>
        <w:pStyle w:val="ListParagraph"/>
        <w:numPr>
          <w:ilvl w:val="0"/>
          <w:numId w:val="1"/>
        </w:numPr>
        <w:rPr>
          <w:rFonts w:eastAsia="Calibri" w:cstheme="minorHAnsi"/>
        </w:rPr>
      </w:pPr>
      <w:r>
        <w:rPr>
          <w:rFonts w:eastAsia="Calibri" w:cstheme="minorHAnsi"/>
        </w:rPr>
        <w:t>Love Challenges</w:t>
      </w:r>
    </w:p>
    <w:p w14:paraId="703620D4" w14:textId="77777777" w:rsidR="009F09E7" w:rsidRDefault="009F09E7" w:rsidP="009F09E7">
      <w:pPr>
        <w:pStyle w:val="ListParagraph"/>
        <w:numPr>
          <w:ilvl w:val="0"/>
          <w:numId w:val="1"/>
        </w:numPr>
        <w:rPr>
          <w:rFonts w:eastAsia="Calibri" w:cstheme="minorHAnsi"/>
        </w:rPr>
      </w:pPr>
      <w:r>
        <w:rPr>
          <w:rFonts w:eastAsia="Calibri" w:cstheme="minorHAnsi"/>
        </w:rPr>
        <w:t>Be intrigued by mistakes</w:t>
      </w:r>
    </w:p>
    <w:p w14:paraId="679662BE" w14:textId="77777777" w:rsidR="009F09E7" w:rsidRDefault="009F09E7" w:rsidP="009F09E7">
      <w:pPr>
        <w:pStyle w:val="ListParagraph"/>
        <w:numPr>
          <w:ilvl w:val="0"/>
          <w:numId w:val="1"/>
        </w:numPr>
        <w:rPr>
          <w:rFonts w:eastAsia="Calibri" w:cstheme="minorHAnsi"/>
        </w:rPr>
      </w:pPr>
      <w:r>
        <w:rPr>
          <w:rFonts w:eastAsia="Calibri" w:cstheme="minorHAnsi"/>
        </w:rPr>
        <w:t>Enjoy effort</w:t>
      </w:r>
    </w:p>
    <w:p w14:paraId="0F570B70" w14:textId="77777777" w:rsidR="009F09E7" w:rsidRDefault="009F09E7" w:rsidP="009F09E7">
      <w:pPr>
        <w:pStyle w:val="ListParagraph"/>
        <w:numPr>
          <w:ilvl w:val="0"/>
          <w:numId w:val="1"/>
        </w:numPr>
        <w:rPr>
          <w:rFonts w:eastAsia="Calibri" w:cstheme="minorHAnsi"/>
        </w:rPr>
      </w:pPr>
      <w:r>
        <w:rPr>
          <w:rFonts w:eastAsia="Calibri" w:cstheme="minorHAnsi"/>
        </w:rPr>
        <w:t>Keep learning</w:t>
      </w:r>
    </w:p>
    <w:p w14:paraId="195E7732" w14:textId="77777777" w:rsidR="009F09E7" w:rsidRPr="00BD7775" w:rsidRDefault="009F09E7" w:rsidP="009F09E7">
      <w:pPr>
        <w:rPr>
          <w:rFonts w:eastAsia="Calibri" w:cstheme="minorHAnsi"/>
        </w:rPr>
      </w:pPr>
      <w:r>
        <w:rPr>
          <w:rFonts w:eastAsia="Calibri" w:cstheme="minorHAnsi"/>
        </w:rPr>
        <w:t xml:space="preserve">If we continue to only respond positively to correctness, are we having a detrimental effect on children’s ability to take risks in the fear that may get something incorrect? Dweck would argue that we are. </w:t>
      </w:r>
    </w:p>
    <w:p w14:paraId="580F72C8" w14:textId="77777777" w:rsidR="009F09E7" w:rsidRDefault="009F09E7" w:rsidP="009F09E7">
      <w:pPr>
        <w:rPr>
          <w:rFonts w:eastAsia="Calibri" w:cstheme="minorHAnsi"/>
        </w:rPr>
      </w:pPr>
    </w:p>
    <w:p w14:paraId="63B356A5" w14:textId="77777777" w:rsidR="009F09E7" w:rsidRPr="002E72CF" w:rsidRDefault="009F09E7" w:rsidP="009F09E7">
      <w:pPr>
        <w:rPr>
          <w:rFonts w:eastAsia="Calibri" w:cstheme="minorHAnsi"/>
        </w:rPr>
      </w:pPr>
      <w:r w:rsidRPr="002E72CF">
        <w:rPr>
          <w:rFonts w:eastAsia="Calibri" w:cstheme="minorHAnsi"/>
        </w:rPr>
        <w:t xml:space="preserve">Marion Dowling (2010 :21) discusses the argument that in a setting where adults are predominantly in control - such as a school setting – children can only respond. She continues to discuss how the educator’s actions are powerful in influencing how a child may develop. Some discuss how there is a distinct different between praise and encouragement. And although both may be useful whilst educating, encouragement may have a greater effect upon creating an actual desire to learn within the child whereas praise merely sits on the outside of a child – in their expressions. </w:t>
      </w:r>
      <w:r>
        <w:rPr>
          <w:rFonts w:eastAsia="Calibri" w:cstheme="minorHAnsi"/>
        </w:rPr>
        <w:t xml:space="preserve">This introduces the fact that constant use of praise, although high in warmth, becomes low </w:t>
      </w:r>
      <w:proofErr w:type="gramStart"/>
      <w:r>
        <w:rPr>
          <w:rFonts w:eastAsia="Calibri" w:cstheme="minorHAnsi"/>
        </w:rPr>
        <w:t>in regard to</w:t>
      </w:r>
      <w:proofErr w:type="gramEnd"/>
      <w:r>
        <w:rPr>
          <w:rFonts w:eastAsia="Calibri" w:cstheme="minorHAnsi"/>
        </w:rPr>
        <w:t xml:space="preserve"> information offered to the child. If the praise is not precise and for a purpose </w:t>
      </w:r>
      <w:proofErr w:type="spellStart"/>
      <w:r>
        <w:rPr>
          <w:rFonts w:eastAsia="Calibri" w:cstheme="minorHAnsi"/>
        </w:rPr>
        <w:t>thn</w:t>
      </w:r>
      <w:proofErr w:type="spellEnd"/>
      <w:r>
        <w:rPr>
          <w:rFonts w:eastAsia="Calibri" w:cstheme="minorHAnsi"/>
        </w:rPr>
        <w:t xml:space="preserve"> it should not be given. </w:t>
      </w:r>
      <w:r w:rsidRPr="002E72CF">
        <w:rPr>
          <w:rFonts w:eastAsia="Calibri" w:cstheme="minorHAnsi"/>
        </w:rPr>
        <w:t xml:space="preserve">Dowling continues this discussion by stating that by judging what behaviours get praise and what behaviour does not, we are restricting the child from forming their own views and through this we are creating children who are dependent on others rather than on themselves. </w:t>
      </w:r>
      <w:r>
        <w:rPr>
          <w:rFonts w:eastAsia="Calibri" w:cstheme="minorHAnsi"/>
        </w:rPr>
        <w:t xml:space="preserve">She does create a very balanced opinion upon the use of praise </w:t>
      </w:r>
      <w:proofErr w:type="gramStart"/>
      <w:r>
        <w:rPr>
          <w:rFonts w:eastAsia="Calibri" w:cstheme="minorHAnsi"/>
        </w:rPr>
        <w:t>as a whole by</w:t>
      </w:r>
      <w:proofErr w:type="gramEnd"/>
      <w:r>
        <w:rPr>
          <w:rFonts w:eastAsia="Calibri" w:cstheme="minorHAnsi"/>
        </w:rPr>
        <w:t xml:space="preserve"> saying that if it is used correctly and efficiently, then praise can be particularly helpful for the child you may have in your class who is maybe not very highly motivated. Praise should be focused and used to allow children to be aware of exactly what they are being praised for, as when it is general and use too often, it can become meaningless even to the youngest of children. </w:t>
      </w:r>
    </w:p>
    <w:p w14:paraId="720FD8AC" w14:textId="77777777" w:rsidR="009F09E7" w:rsidRPr="002E72CF" w:rsidRDefault="009F09E7" w:rsidP="009F09E7">
      <w:pPr>
        <w:rPr>
          <w:rFonts w:eastAsia="Calibri" w:cstheme="minorHAnsi"/>
        </w:rPr>
      </w:pPr>
    </w:p>
    <w:p w14:paraId="64F82B6E" w14:textId="77777777" w:rsidR="009F09E7" w:rsidRDefault="009F09E7" w:rsidP="009F09E7">
      <w:pPr>
        <w:rPr>
          <w:rFonts w:eastAsia="Calibri" w:cstheme="minorHAnsi"/>
          <w:lang w:val="en-US"/>
        </w:rPr>
      </w:pPr>
      <w:r w:rsidRPr="002E72CF">
        <w:rPr>
          <w:rFonts w:eastAsia="Calibri" w:cstheme="minorHAnsi"/>
          <w:lang w:val="en-US"/>
        </w:rPr>
        <w:t xml:space="preserve">Negatively, if a child sees </w:t>
      </w:r>
      <w:r w:rsidRPr="002E72CF">
        <w:rPr>
          <w:rFonts w:eastAsia="Calibri" w:cstheme="minorHAnsi"/>
        </w:rPr>
        <w:t>behaviour</w:t>
      </w:r>
      <w:r w:rsidRPr="002E72CF">
        <w:rPr>
          <w:rFonts w:eastAsia="Calibri" w:cstheme="minorHAnsi"/>
          <w:lang w:val="en-US"/>
        </w:rPr>
        <w:t xml:space="preserve"> getting a positive response from the teacher they are more likely to mimic this in search for this same positive response from the adult. By doing this, the teacher has no way to tell if the answer they have been given is something the child </w:t>
      </w:r>
      <w:proofErr w:type="gramStart"/>
      <w:r w:rsidRPr="002E72CF">
        <w:rPr>
          <w:rFonts w:eastAsia="Calibri" w:cstheme="minorHAnsi"/>
          <w:lang w:val="en-US"/>
        </w:rPr>
        <w:t>actually understanding</w:t>
      </w:r>
      <w:proofErr w:type="gramEnd"/>
      <w:r w:rsidRPr="002E72CF">
        <w:rPr>
          <w:rFonts w:eastAsia="Calibri" w:cstheme="minorHAnsi"/>
          <w:lang w:val="en-US"/>
        </w:rPr>
        <w:t xml:space="preserve"> or if it is something that they have just repeated. </w:t>
      </w:r>
    </w:p>
    <w:p w14:paraId="1FA6F900" w14:textId="77777777" w:rsidR="009F09E7" w:rsidRPr="002E72CF" w:rsidRDefault="009F09E7" w:rsidP="009F09E7">
      <w:pPr>
        <w:rPr>
          <w:rFonts w:cstheme="minorHAnsi"/>
        </w:rPr>
      </w:pPr>
    </w:p>
    <w:p w14:paraId="63AB26E7" w14:textId="77777777" w:rsidR="009F09E7" w:rsidRPr="002E72CF" w:rsidRDefault="009F09E7" w:rsidP="009F09E7">
      <w:pPr>
        <w:rPr>
          <w:rFonts w:cstheme="minorHAnsi"/>
        </w:rPr>
      </w:pPr>
    </w:p>
    <w:p w14:paraId="380044B5" w14:textId="77777777" w:rsidR="009F09E7" w:rsidRPr="002E72CF" w:rsidRDefault="009F09E7" w:rsidP="009F09E7">
      <w:pPr>
        <w:rPr>
          <w:rFonts w:cstheme="minorHAnsi"/>
        </w:rPr>
      </w:pPr>
      <w:r w:rsidRPr="002E72CF">
        <w:rPr>
          <w:rFonts w:cstheme="minorHAnsi"/>
        </w:rPr>
        <w:lastRenderedPageBreak/>
        <w:t xml:space="preserve">To conclude, during the learning event that I witnessed it became apparent that if used in an appropriate way, praise can be used to both raise a child’s self-esteem and improve their well-being. It can also be used to encourage a child to keep trying and to “stick at it” which is highly linked with the use of metacognition within the classroom. After hearing </w:t>
      </w:r>
      <w:proofErr w:type="gramStart"/>
      <w:r w:rsidRPr="002E72CF">
        <w:rPr>
          <w:rFonts w:cstheme="minorHAnsi"/>
        </w:rPr>
        <w:t>just</w:t>
      </w:r>
      <w:proofErr w:type="gramEnd"/>
      <w:r w:rsidRPr="002E72CF">
        <w:rPr>
          <w:rFonts w:cstheme="minorHAnsi"/>
        </w:rPr>
        <w:t xml:space="preserve"> the slightest bit of praise, the children whom I observed were visibly of a better mood and were evidently putting more effort into their learning in search for further praise. This use of praise is </w:t>
      </w:r>
      <w:proofErr w:type="gramStart"/>
      <w:r w:rsidRPr="002E72CF">
        <w:rPr>
          <w:rFonts w:cstheme="minorHAnsi"/>
        </w:rPr>
        <w:t>similar to</w:t>
      </w:r>
      <w:proofErr w:type="gramEnd"/>
      <w:r w:rsidRPr="002E72CF">
        <w:rPr>
          <w:rFonts w:cstheme="minorHAnsi"/>
        </w:rPr>
        <w:t xml:space="preserve"> the way in which Ivan Pavlov and Skinner refer to the use of praise and operant conditioning in their theories. I intend to use this observation acquired knowledge to improve my future practice by trying to implement the same school of thought as both these theorists and the teacher whom I observed. Witnessing this good practice has provided with me with a basis upon which the ethos of my classroom shall revolve around. </w:t>
      </w:r>
      <w:r>
        <w:rPr>
          <w:rFonts w:cstheme="minorHAnsi"/>
        </w:rPr>
        <w:t xml:space="preserve">However, I also have become to feel as though looking at my classroom through the lens of one school of thought, could be detrimental to the development of my learners. All approaches (Humanistic, Behaviourist and Constructivist) make valid points and I feel as though combining certain aspects of the 3, would allow for a well-rounded approach. It would be unrealistic to suggest that I take all 3 </w:t>
      </w:r>
      <w:proofErr w:type="gramStart"/>
      <w:r>
        <w:rPr>
          <w:rFonts w:cstheme="minorHAnsi"/>
        </w:rPr>
        <w:t>as a whole and</w:t>
      </w:r>
      <w:proofErr w:type="gramEnd"/>
      <w:r>
        <w:rPr>
          <w:rFonts w:cstheme="minorHAnsi"/>
        </w:rPr>
        <w:t xml:space="preserve"> some of the theories involved contrast too greatly, however if I were to unpick and thread together aspects that would work cohesively, then I would be a greater facilitator for my learners. </w:t>
      </w:r>
    </w:p>
    <w:p w14:paraId="7E2DF9E0" w14:textId="61C6EEDE" w:rsidR="009F09E7" w:rsidRDefault="009F09E7" w:rsidP="009F09E7">
      <w:pPr>
        <w:rPr>
          <w:u w:val="single"/>
        </w:rPr>
      </w:pPr>
      <w:r>
        <w:rPr>
          <w:noProof/>
        </w:rPr>
        <mc:AlternateContent>
          <mc:Choice Requires="wps">
            <w:drawing>
              <wp:anchor distT="0" distB="0" distL="114300" distR="114300" simplePos="0" relativeHeight="251659264" behindDoc="0" locked="0" layoutInCell="1" allowOverlap="1" wp14:anchorId="0105E31E" wp14:editId="5FC69ECC">
                <wp:simplePos x="0" y="0"/>
                <wp:positionH relativeFrom="column">
                  <wp:posOffset>793750</wp:posOffset>
                </wp:positionH>
                <wp:positionV relativeFrom="paragraph">
                  <wp:posOffset>250190</wp:posOffset>
                </wp:positionV>
                <wp:extent cx="4364990" cy="2587625"/>
                <wp:effectExtent l="38100" t="38100" r="35560" b="41275"/>
                <wp:wrapNone/>
                <wp:docPr id="2" name="Rectangle 2"/>
                <wp:cNvGraphicFramePr/>
                <a:graphic xmlns:a="http://schemas.openxmlformats.org/drawingml/2006/main">
                  <a:graphicData uri="http://schemas.microsoft.com/office/word/2010/wordprocessingShape">
                    <wps:wsp>
                      <wps:cNvSpPr/>
                      <wps:spPr>
                        <a:xfrm>
                          <a:off x="0" y="0"/>
                          <a:ext cx="4364355" cy="2587625"/>
                        </a:xfrm>
                        <a:prstGeom prst="rect">
                          <a:avLst/>
                        </a:prstGeom>
                        <a:noFill/>
                        <a:ln w="762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1E1F7C" id="Rectangle 2" o:spid="_x0000_s1026" style="position:absolute;margin-left:62.5pt;margin-top:19.7pt;width:343.7pt;height:20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" filled="f" strokecolor="black [3213]" strokeweight="6pt"/>
            </w:pict>
          </mc:Fallback>
        </mc:AlternateContent>
      </w:r>
      <w:r>
        <w:rPr>
          <w:u w:val="single"/>
        </w:rPr>
        <w:t>Learning Environment</w:t>
      </w:r>
    </w:p>
    <w:p w14:paraId="44D80C0C" w14:textId="5C2570D5" w:rsidR="009F09E7" w:rsidRDefault="009F09E7" w:rsidP="009F09E7">
      <w:pPr>
        <w:jc w:val="center"/>
        <w:rPr>
          <w:u w:val="single"/>
        </w:rPr>
      </w:pPr>
      <w:r>
        <w:rPr>
          <w:noProof/>
        </w:rPr>
        <w:drawing>
          <wp:inline distT="0" distB="0" distL="0" distR="0" wp14:anchorId="59E696A4" wp14:editId="63695D19">
            <wp:extent cx="4276725" cy="2514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l="26044" t="22472" r="6435" b="9647"/>
                    <a:stretch>
                      <a:fillRect/>
                    </a:stretch>
                  </pic:blipFill>
                  <pic:spPr bwMode="auto">
                    <a:xfrm>
                      <a:off x="0" y="0"/>
                      <a:ext cx="4276725" cy="2514600"/>
                    </a:xfrm>
                    <a:prstGeom prst="rect">
                      <a:avLst/>
                    </a:prstGeom>
                    <a:noFill/>
                    <a:ln>
                      <a:noFill/>
                    </a:ln>
                  </pic:spPr>
                </pic:pic>
              </a:graphicData>
            </a:graphic>
          </wp:inline>
        </w:drawing>
      </w:r>
    </w:p>
    <w:p w14:paraId="2F5303FF" w14:textId="77777777" w:rsidR="009F09E7" w:rsidRDefault="009F09E7" w:rsidP="009F09E7">
      <w:pPr>
        <w:jc w:val="center"/>
        <w:rPr>
          <w:u w:val="single"/>
        </w:rPr>
      </w:pPr>
    </w:p>
    <w:p w14:paraId="1ECD2D19" w14:textId="77777777" w:rsidR="009F09E7" w:rsidRDefault="009F09E7" w:rsidP="009F09E7">
      <w:r>
        <w:t xml:space="preserve">Sean </w:t>
      </w:r>
      <w:proofErr w:type="spellStart"/>
      <w:r>
        <w:t>Macblain</w:t>
      </w:r>
      <w:proofErr w:type="spellEnd"/>
      <w:r>
        <w:t xml:space="preserve"> (2014) asked the question; “Why do young children gain success in one environment whilst experiencing failure in another?” He furthered this question by asking if learning environments are linked significantly to whether a child can gain success within education. There are vast differences in classroom environments throughout schools, clusters and even countries, so which are the most successful?</w:t>
      </w:r>
    </w:p>
    <w:p w14:paraId="4047DB4B" w14:textId="77777777" w:rsidR="009F09E7" w:rsidRDefault="009F09E7" w:rsidP="009F09E7">
      <w:pPr>
        <w:rPr>
          <w:rFonts w:ascii="Calibri" w:eastAsia="Calibri" w:hAnsi="Calibri" w:cs="Calibri"/>
          <w:lang w:val="en-US"/>
        </w:rPr>
      </w:pPr>
      <w:r>
        <w:rPr>
          <w:rFonts w:ascii="Calibri" w:eastAsia="Calibri" w:hAnsi="Calibri" w:cs="Calibri"/>
          <w:lang w:val="en-US"/>
        </w:rPr>
        <w:t xml:space="preserve">If the environment is right, children should be able to learn without adult intervention (Sylva, K. 2010). </w:t>
      </w:r>
      <w:proofErr w:type="gramStart"/>
      <w:r>
        <w:rPr>
          <w:rFonts w:ascii="Calibri" w:eastAsia="Calibri" w:hAnsi="Calibri" w:cs="Calibri"/>
          <w:lang w:val="en-US"/>
        </w:rPr>
        <w:t>So</w:t>
      </w:r>
      <w:proofErr w:type="gramEnd"/>
      <w:r>
        <w:rPr>
          <w:rFonts w:ascii="Calibri" w:eastAsia="Calibri" w:hAnsi="Calibri" w:cs="Calibri"/>
          <w:lang w:val="en-US"/>
        </w:rPr>
        <w:t xml:space="preserve"> what makes an environment right? How are we as teachers able to facilitate learning without interrupting, simply by making our classrooms as accessible and intriguing as possible. Our classroom environments should both encourage and foster a child’s independence; our aim should not be for the children to become reliant upon our instruction, but to flourish in an environment that enables this. My </w:t>
      </w:r>
      <w:r>
        <w:rPr>
          <w:rFonts w:ascii="Calibri" w:eastAsia="Calibri" w:hAnsi="Calibri" w:cs="Calibri"/>
          <w:lang w:val="en-US"/>
        </w:rPr>
        <w:lastRenderedPageBreak/>
        <w:t>classroom will include a wealth of collaborative endeavors. To enable this, I will ensure that my provision will stimulate conversation between the learners in my classroom as children often make more progress as they learn from each other’s language models (Hamilton, M. Stuart, D. 1977)</w:t>
      </w:r>
    </w:p>
    <w:p w14:paraId="1FB4A377" w14:textId="77777777" w:rsidR="009F09E7" w:rsidRDefault="009F09E7" w:rsidP="009F09E7">
      <w:r>
        <w:t xml:space="preserve">In my plan for my “Ideal Learning Environment” (ILE) I have decided to concentrate on a Foundation Phase based classroom and I have included specific areas that I feel would be useful in the space. Having looked in depth at Donaldson’s Successful Futures I decided that my classroom would place great emphasis on the Four Purposes and the Seven Areas of Learning and Experience. It is important to consider the fact that children learn in different ways (Donaldson, 2015) and the provision within my classroom should reflect this. The four purposes as outlined in Successful Futures are to enable/encourage children to be: </w:t>
      </w:r>
    </w:p>
    <w:p w14:paraId="6FEFD030" w14:textId="77777777" w:rsidR="009F09E7" w:rsidRDefault="009F09E7" w:rsidP="009F09E7">
      <w:pPr>
        <w:pStyle w:val="ListParagraph"/>
        <w:numPr>
          <w:ilvl w:val="0"/>
          <w:numId w:val="2"/>
        </w:numPr>
        <w:spacing w:line="256" w:lineRule="auto"/>
      </w:pPr>
      <w:r>
        <w:t>Healthy, Confident Individuals.</w:t>
      </w:r>
    </w:p>
    <w:p w14:paraId="5E12B7F9" w14:textId="77777777" w:rsidR="009F09E7" w:rsidRDefault="009F09E7" w:rsidP="009F09E7">
      <w:pPr>
        <w:pStyle w:val="ListParagraph"/>
        <w:numPr>
          <w:ilvl w:val="0"/>
          <w:numId w:val="2"/>
        </w:numPr>
        <w:spacing w:line="256" w:lineRule="auto"/>
      </w:pPr>
      <w:r>
        <w:t>Enterprising, creative contributors</w:t>
      </w:r>
    </w:p>
    <w:p w14:paraId="0F28B316" w14:textId="77777777" w:rsidR="009F09E7" w:rsidRDefault="009F09E7" w:rsidP="009F09E7">
      <w:pPr>
        <w:pStyle w:val="ListParagraph"/>
        <w:numPr>
          <w:ilvl w:val="0"/>
          <w:numId w:val="2"/>
        </w:numPr>
        <w:spacing w:line="256" w:lineRule="auto"/>
      </w:pPr>
      <w:r>
        <w:t>Ethical, informed citizens</w:t>
      </w:r>
    </w:p>
    <w:p w14:paraId="276B0E7D" w14:textId="77777777" w:rsidR="009F09E7" w:rsidRDefault="009F09E7" w:rsidP="009F09E7">
      <w:pPr>
        <w:pStyle w:val="ListParagraph"/>
        <w:numPr>
          <w:ilvl w:val="0"/>
          <w:numId w:val="2"/>
        </w:numPr>
        <w:spacing w:line="256" w:lineRule="auto"/>
      </w:pPr>
      <w:r>
        <w:t>Ambitious, Capable learners</w:t>
      </w:r>
    </w:p>
    <w:p w14:paraId="51178D6D" w14:textId="77777777" w:rsidR="009F09E7" w:rsidRDefault="009F09E7" w:rsidP="009F09E7">
      <w:r>
        <w:t xml:space="preserve">These 4 purposes alongside the 6 </w:t>
      </w:r>
      <w:proofErr w:type="spellStart"/>
      <w:r>
        <w:t>Area’s</w:t>
      </w:r>
      <w:proofErr w:type="spellEnd"/>
      <w:r>
        <w:t xml:space="preserve"> of Learning and Experience should not be focused lessons but should be interspersed throughout all learning and should be planned into day-to-day activities. In a Foundation Phase setting, I intend to make this folded into the Enhanced Provision that I provide throughout different area’s in my classroom. </w:t>
      </w:r>
    </w:p>
    <w:p w14:paraId="0F997B66" w14:textId="77777777" w:rsidR="009F09E7" w:rsidRDefault="009F09E7" w:rsidP="009F09E7">
      <w:r>
        <w:t xml:space="preserve">In my opinion, classrooms should not be too brightly coloured or too cluttered. Although it is a positive to have learning displayed and materials on display to scaffold the learning, or to boost self-esteem, in some cases it can become too over stimulating (Fisher, A. Godwin, K. 2014). In general, classrooms are used for many different things, however, the main intent should be active learning. The classroom environment should allow maximum potential for information retention </w:t>
      </w:r>
      <w:proofErr w:type="gramStart"/>
      <w:r>
        <w:t>and also</w:t>
      </w:r>
      <w:proofErr w:type="gramEnd"/>
      <w:r>
        <w:t xml:space="preserve"> stimulate participation; too much happening in one room can therefore have the opposite effect lessening the effectiveness of your classroom as a tool for learning. However, L Biller (2002) expands upon this idea stating that if used correctly colour can help to stimulate the brain and improve memory, he furthers this however to say that it is often the pale colours such as beige, pale yellow or light blue that allow for an optimal learning and concentration in class. He cites Howard (2000) and furthers his argument by stating that bright colours can </w:t>
      </w:r>
      <w:proofErr w:type="gramStart"/>
      <w:r>
        <w:t>actually increase</w:t>
      </w:r>
      <w:proofErr w:type="gramEnd"/>
      <w:r>
        <w:t xml:space="preserve"> aggressive and inappropriate behaviour, particularly if the child is not of a sound emotional state. Taking this into consideration, I feel as though my ILE would undertake the Reggio Emelia approach. Part of this approach encompasses the classroom being referred to as the third teacher. The classroom should be aesthetically pleasing, and should allow collaboration to common goals (</w:t>
      </w:r>
      <w:proofErr w:type="spellStart"/>
      <w:r>
        <w:t>Whitebread</w:t>
      </w:r>
      <w:proofErr w:type="spellEnd"/>
      <w:r>
        <w:t xml:space="preserve">, 2002). Within this approach learning environments are created by class teachers who listen to children’s ideas, provide them with choices in the classroom and access to materials </w:t>
      </w:r>
      <w:proofErr w:type="gramStart"/>
      <w:r>
        <w:t>on a daily basis</w:t>
      </w:r>
      <w:proofErr w:type="gramEnd"/>
      <w:r>
        <w:t xml:space="preserve"> that give them a level of independence that allow them to develop. Pupil voice should be a huge part of the classroom and this approach evidently encompasses this. </w:t>
      </w:r>
    </w:p>
    <w:p w14:paraId="0E1FA1A5" w14:textId="77777777" w:rsidR="009F09E7" w:rsidRDefault="009F09E7" w:rsidP="009F09E7">
      <w:r>
        <w:t xml:space="preserve">In line with my observed learning event, I feel as though it will be important to include an aspect of making praise visible in my classroom. The school in which I was observing had an awards system that was spread efficiently throughout the whole school and that used a visible display that the children took ownership of; if given a reward – or a point – they had to display that point on the display board. It became obvious that the children relished gaining these rewards and took great pride in walking to the board and displaying their latest point. I would like to include something </w:t>
      </w:r>
      <w:proofErr w:type="gramStart"/>
      <w:r>
        <w:t>similar to</w:t>
      </w:r>
      <w:proofErr w:type="gramEnd"/>
      <w:r>
        <w:t xml:space="preserve"> this in my classroom, </w:t>
      </w:r>
      <w:r>
        <w:lastRenderedPageBreak/>
        <w:t xml:space="preserve">although I am aware there could be disadvantages to a system such as this. For example, it could become monotonous in the sense that it could be the same children gaining the points all the time, as it is easy to overlook some children or to keep rewarding the children that always speak up and always answer the questions. However, I still feel as though it is an interesting idea to consider for raising a child’s self-esteem. </w:t>
      </w:r>
    </w:p>
    <w:p w14:paraId="6E88E326" w14:textId="77777777" w:rsidR="009F09E7" w:rsidRDefault="009F09E7" w:rsidP="009F09E7">
      <w:r>
        <w:t xml:space="preserve">Children today are growing up in a world full of ever changing and developing ICT (Blatchford, 2002). In the upcoming curriculum for wales, there are 3 cross-curricular areas which consist of Language Literacy and Communication (LLC), Maths and Numeracy and Digital Competence. All three are supposed to be weaved effortlessly into all areas of learning and experience. As one of the cross-curricular areas, Digital Competence needs to be accessible to all areas of learning, therefore, having a designated area in my classroom where children can access different types of ICT with ease is essential. The Digital Competence Framework (DCF) details how Digital Competence can be defined and the set of skills, knowledge and attitudes that enable the confident, creative and critical use of technology. The DCF furthers this by stating that learners being digitally competent is essential if they are to be informed, capable citizens who have potential to be successful in society (DCF, 2018). Marilyn Leask (2004) agrees with this statement in that she argues that ICT helps children to learn transferable skills such as problem solving and communication skills which are useful in their current wider lives as well as their future endeavours. If used in an appropriate way ICT can stimulate creativity, improve achievement levels and develop skills the otherwise would fall stagnant. Blatchford and </w:t>
      </w:r>
      <w:proofErr w:type="spellStart"/>
      <w:r>
        <w:t>Whitebread</w:t>
      </w:r>
      <w:proofErr w:type="spellEnd"/>
      <w:r>
        <w:t xml:space="preserve"> (2002) state that ICT should add to practical experiences and not replace, adding that although ICT can be used for creative purposes (paint, HWB), we should not use this as an escape from using actual art supplies such as paint. Furthering this, they discussed how a child learning how to control a mouse can </w:t>
      </w:r>
      <w:proofErr w:type="gramStart"/>
      <w:r>
        <w:t>actually help</w:t>
      </w:r>
      <w:proofErr w:type="gramEnd"/>
      <w:r>
        <w:t xml:space="preserve"> to develop their fine motor skills and pen/paint brush control. </w:t>
      </w:r>
    </w:p>
    <w:p w14:paraId="147F0917" w14:textId="77777777" w:rsidR="009F09E7" w:rsidRDefault="009F09E7" w:rsidP="009F09E7">
      <w:pPr>
        <w:rPr>
          <w:rFonts w:ascii="Calibri" w:eastAsia="Calibri" w:hAnsi="Calibri" w:cs="Calibri"/>
          <w:lang w:val="en-US"/>
        </w:rPr>
      </w:pPr>
      <w:r>
        <w:rPr>
          <w:rFonts w:ascii="Calibri" w:eastAsia="Calibri" w:hAnsi="Calibri" w:cs="Calibri"/>
          <w:lang w:val="en-US"/>
        </w:rPr>
        <w:t>Outdoor learning is becoming a progressively more important part of a child’s education. It promotes a natural curiosity to explore in a space that children are used to being in. Outdoor learning has many benefits such as allowing for multiple risk-taking opportunities as children tend to have a natural urge for risky play (</w:t>
      </w:r>
      <w:proofErr w:type="spellStart"/>
      <w:r>
        <w:rPr>
          <w:rFonts w:ascii="Calibri" w:eastAsia="Calibri" w:hAnsi="Calibri" w:cs="Calibri"/>
          <w:lang w:val="en-US"/>
        </w:rPr>
        <w:t>Sandseter</w:t>
      </w:r>
      <w:proofErr w:type="spellEnd"/>
      <w:r>
        <w:rPr>
          <w:rFonts w:ascii="Calibri" w:eastAsia="Calibri" w:hAnsi="Calibri" w:cs="Calibri"/>
          <w:lang w:val="en-US"/>
        </w:rPr>
        <w:t xml:space="preserve">, E. 2009) and this means that you are able to provide children with these opportunities in an area where you can </w:t>
      </w:r>
      <w:proofErr w:type="gramStart"/>
      <w:r>
        <w:rPr>
          <w:rFonts w:ascii="Calibri" w:eastAsia="Calibri" w:hAnsi="Calibri" w:cs="Calibri"/>
          <w:lang w:val="en-US"/>
        </w:rPr>
        <w:t>manage</w:t>
      </w:r>
      <w:proofErr w:type="gramEnd"/>
      <w:r>
        <w:rPr>
          <w:rFonts w:ascii="Calibri" w:eastAsia="Calibri" w:hAnsi="Calibri" w:cs="Calibri"/>
          <w:lang w:val="en-US"/>
        </w:rPr>
        <w:t xml:space="preserve"> and control said risks. A study conducted in </w:t>
      </w:r>
      <w:proofErr w:type="spellStart"/>
      <w:r>
        <w:rPr>
          <w:rFonts w:ascii="Calibri" w:eastAsia="Calibri" w:hAnsi="Calibri" w:cs="Calibri"/>
          <w:lang w:val="en-US"/>
        </w:rPr>
        <w:t>Llandogo</w:t>
      </w:r>
      <w:proofErr w:type="spellEnd"/>
      <w:r>
        <w:rPr>
          <w:rFonts w:ascii="Calibri" w:eastAsia="Calibri" w:hAnsi="Calibri" w:cs="Calibri"/>
          <w:lang w:val="en-US"/>
        </w:rPr>
        <w:t xml:space="preserve"> Early Years nursery highlighted the benefit of outdoor learning strategies and how they teach children about the natural world and enhance their curiosity, social skills and wellbeing (</w:t>
      </w:r>
      <w:proofErr w:type="spellStart"/>
      <w:r>
        <w:rPr>
          <w:rFonts w:ascii="Calibri" w:eastAsia="Calibri" w:hAnsi="Calibri" w:cs="Calibri"/>
          <w:lang w:val="en-US"/>
        </w:rPr>
        <w:t>Estyn</w:t>
      </w:r>
      <w:proofErr w:type="spellEnd"/>
      <w:r>
        <w:rPr>
          <w:rFonts w:ascii="Calibri" w:eastAsia="Calibri" w:hAnsi="Calibri" w:cs="Calibri"/>
          <w:lang w:val="en-US"/>
        </w:rPr>
        <w:t>, 2015). It is important however that outdoor learning, is not just taking learning that is inside, into an outdoor environment. It is important that you use what is around you naturally. In the previously mentioned study, it became apparent that the outdoor setting had a significant impact on children’s holistic development and risk taking – children were able to test boundaries with adults who were available to support only if needed (</w:t>
      </w:r>
      <w:proofErr w:type="spellStart"/>
      <w:r>
        <w:rPr>
          <w:rFonts w:ascii="Calibri" w:eastAsia="Calibri" w:hAnsi="Calibri" w:cs="Calibri"/>
          <w:lang w:val="en-US"/>
        </w:rPr>
        <w:t>Estyn</w:t>
      </w:r>
      <w:proofErr w:type="spellEnd"/>
      <w:r>
        <w:rPr>
          <w:rFonts w:ascii="Calibri" w:eastAsia="Calibri" w:hAnsi="Calibri" w:cs="Calibri"/>
          <w:lang w:val="en-US"/>
        </w:rPr>
        <w:t xml:space="preserve">, 2015). Furthermore, it is argued that outdoor learning has a very noticeable </w:t>
      </w:r>
      <w:proofErr w:type="spellStart"/>
      <w:r>
        <w:rPr>
          <w:rFonts w:ascii="Calibri" w:eastAsia="Calibri" w:hAnsi="Calibri" w:cs="Calibri"/>
          <w:lang w:val="en-US"/>
        </w:rPr>
        <w:t>affect</w:t>
      </w:r>
      <w:proofErr w:type="spellEnd"/>
      <w:r>
        <w:rPr>
          <w:rFonts w:ascii="Calibri" w:eastAsia="Calibri" w:hAnsi="Calibri" w:cs="Calibri"/>
          <w:lang w:val="en-US"/>
        </w:rPr>
        <w:t xml:space="preserve"> on promoting children curiosity, and if looking at Donaldson’s 4 purposes, it has a very visible link to developing learners into healthy, confident individuals. (Donaldson, 2015). Some would even argue that outdoor learning is of equal importance as the learning that happens inside. For example, Jan White (2011) suggests that outdoor learning is essential and therefore should be given equal status, time and thinking as we would give to the indoors. </w:t>
      </w:r>
    </w:p>
    <w:p w14:paraId="688C7A90" w14:textId="77777777" w:rsidR="009F09E7" w:rsidRDefault="009F09E7" w:rsidP="009F09E7">
      <w:r>
        <w:t xml:space="preserve">Overall, I would like my learning environment to be a place that encompasses multiple uses and that is fit for all learners in my classroom. Ideally, it would fit into the upcoming successful futures curriculum and be able to support all 4 purposes and </w:t>
      </w:r>
      <w:proofErr w:type="spellStart"/>
      <w:r>
        <w:t>Area’s</w:t>
      </w:r>
      <w:proofErr w:type="spellEnd"/>
      <w:r>
        <w:t xml:space="preserve"> of Learning and Experience. After observing within a </w:t>
      </w:r>
      <w:r>
        <w:lastRenderedPageBreak/>
        <w:t xml:space="preserve">classroom and seeing how </w:t>
      </w:r>
      <w:proofErr w:type="gramStart"/>
      <w:r>
        <w:t>learners</w:t>
      </w:r>
      <w:proofErr w:type="gramEnd"/>
      <w:r>
        <w:t xml:space="preserve"> moods were </w:t>
      </w:r>
      <w:proofErr w:type="spellStart"/>
      <w:r>
        <w:t>effected</w:t>
      </w:r>
      <w:proofErr w:type="spellEnd"/>
      <w:r>
        <w:t xml:space="preserve"> by the appropriate use of praise, I have decided that having a visible method for displaying children’s achievements such as a display board or reward chart would be essential.</w:t>
      </w:r>
    </w:p>
    <w:p w14:paraId="7FF94F1B" w14:textId="77777777" w:rsidR="009F09E7" w:rsidRDefault="009F09E7" w:rsidP="009F09E7">
      <w:pPr>
        <w:spacing w:line="540" w:lineRule="exact"/>
        <w:rPr>
          <w:rFonts w:ascii="Calibri" w:hAnsi="Calibri" w:cs="Calibri"/>
          <w:color w:val="3A3A3A"/>
          <w:sz w:val="24"/>
          <w:szCs w:val="24"/>
          <w:u w:val="single"/>
          <w:shd w:val="clear" w:color="auto" w:fill="FFFFFF"/>
        </w:rPr>
      </w:pPr>
      <w:r>
        <w:rPr>
          <w:rFonts w:ascii="Calibri" w:hAnsi="Calibri" w:cs="Calibri"/>
          <w:color w:val="3A3A3A"/>
          <w:sz w:val="24"/>
          <w:szCs w:val="24"/>
          <w:u w:val="single"/>
          <w:shd w:val="clear" w:color="auto" w:fill="FFFFFF"/>
        </w:rPr>
        <w:t>References</w:t>
      </w:r>
    </w:p>
    <w:p w14:paraId="1A5CB4F0" w14:textId="77777777" w:rsidR="009F09E7" w:rsidRDefault="009F09E7" w:rsidP="009F09E7">
      <w:pPr>
        <w:pStyle w:val="ListParagraph"/>
        <w:numPr>
          <w:ilvl w:val="0"/>
          <w:numId w:val="3"/>
        </w:numPr>
        <w:spacing w:after="120" w:line="360" w:lineRule="auto"/>
        <w:rPr>
          <w:rFonts w:ascii="Calibri" w:hAnsi="Calibri" w:cs="Calibri"/>
          <w:color w:val="3A3A3A"/>
          <w:sz w:val="24"/>
          <w:szCs w:val="24"/>
          <w:shd w:val="clear" w:color="auto" w:fill="FFFFFF"/>
        </w:rPr>
      </w:pPr>
      <w:r>
        <w:rPr>
          <w:rFonts w:ascii="Calibri" w:hAnsi="Calibri" w:cs="Calibri"/>
          <w:color w:val="3A3A3A"/>
          <w:sz w:val="24"/>
          <w:szCs w:val="24"/>
          <w:shd w:val="clear" w:color="auto" w:fill="FFFFFF"/>
        </w:rPr>
        <w:t xml:space="preserve">Alexander, R. J (2002) Culture and Pedagogy: </w:t>
      </w:r>
      <w:r>
        <w:rPr>
          <w:rFonts w:ascii="Calibri" w:hAnsi="Calibri" w:cs="Calibri"/>
          <w:i/>
          <w:color w:val="3A3A3A"/>
          <w:sz w:val="24"/>
          <w:szCs w:val="24"/>
          <w:shd w:val="clear" w:color="auto" w:fill="FFFFFF"/>
        </w:rPr>
        <w:t xml:space="preserve">International Comparisons in Primary Education. </w:t>
      </w:r>
      <w:r>
        <w:rPr>
          <w:rFonts w:ascii="Calibri" w:hAnsi="Calibri" w:cs="Calibri"/>
          <w:color w:val="3A3A3A"/>
          <w:sz w:val="24"/>
          <w:szCs w:val="24"/>
          <w:shd w:val="clear" w:color="auto" w:fill="FFFFFF"/>
        </w:rPr>
        <w:t xml:space="preserve">London: Blackwell </w:t>
      </w:r>
    </w:p>
    <w:p w14:paraId="71960944" w14:textId="77777777" w:rsidR="009F09E7" w:rsidRDefault="009F09E7" w:rsidP="009F09E7">
      <w:pPr>
        <w:pStyle w:val="ListParagraph"/>
        <w:numPr>
          <w:ilvl w:val="0"/>
          <w:numId w:val="3"/>
        </w:numPr>
        <w:spacing w:after="120" w:line="360" w:lineRule="auto"/>
        <w:rPr>
          <w:rFonts w:ascii="Calibri" w:hAnsi="Calibri" w:cs="Calibri"/>
          <w:color w:val="3A3A3A"/>
          <w:sz w:val="24"/>
          <w:szCs w:val="24"/>
          <w:shd w:val="clear" w:color="auto" w:fill="FFFFFF"/>
        </w:rPr>
      </w:pPr>
      <w:r>
        <w:rPr>
          <w:rFonts w:ascii="Calibri" w:hAnsi="Calibri" w:cs="Calibri"/>
          <w:color w:val="3A3A3A"/>
          <w:sz w:val="24"/>
          <w:szCs w:val="24"/>
          <w:shd w:val="clear" w:color="auto" w:fill="FFFFFF"/>
        </w:rPr>
        <w:t>Anon, 2006. Inspiring Active Learning: A Complete Handbook for Today's Teachers (Expanded Second Edition). </w:t>
      </w:r>
      <w:r>
        <w:rPr>
          <w:rFonts w:ascii="Calibri" w:hAnsi="Calibri" w:cs="Calibri"/>
          <w:i/>
          <w:iCs/>
          <w:color w:val="3A3A3A"/>
          <w:sz w:val="24"/>
          <w:szCs w:val="24"/>
          <w:shd w:val="clear" w:color="auto" w:fill="FFFFFF"/>
        </w:rPr>
        <w:t>Adolescence</w:t>
      </w:r>
      <w:r>
        <w:rPr>
          <w:rFonts w:ascii="Calibri" w:hAnsi="Calibri" w:cs="Calibri"/>
          <w:color w:val="3A3A3A"/>
          <w:sz w:val="24"/>
          <w:szCs w:val="24"/>
          <w:shd w:val="clear" w:color="auto" w:fill="FFFFFF"/>
        </w:rPr>
        <w:t>, 41(164), p.3/4.</w:t>
      </w:r>
    </w:p>
    <w:p w14:paraId="23EE6ABE" w14:textId="77777777" w:rsidR="009F09E7" w:rsidRDefault="009F09E7" w:rsidP="009F09E7">
      <w:pPr>
        <w:pStyle w:val="ListParagraph"/>
        <w:numPr>
          <w:ilvl w:val="0"/>
          <w:numId w:val="3"/>
        </w:numPr>
        <w:spacing w:after="120" w:line="360" w:lineRule="auto"/>
        <w:rPr>
          <w:rFonts w:ascii="Calibri" w:hAnsi="Calibri" w:cs="Calibri"/>
          <w:color w:val="3A3A3A"/>
          <w:sz w:val="24"/>
          <w:szCs w:val="24"/>
          <w:shd w:val="clear" w:color="auto" w:fill="FFFFFF"/>
        </w:rPr>
      </w:pPr>
      <w:r>
        <w:rPr>
          <w:rFonts w:ascii="Calibri" w:hAnsi="Calibri" w:cs="Calibri"/>
          <w:color w:val="3A3A3A"/>
          <w:sz w:val="24"/>
          <w:szCs w:val="24"/>
          <w:shd w:val="clear" w:color="auto" w:fill="FFFFFF"/>
        </w:rPr>
        <w:t xml:space="preserve">Barnes, D. and Todd, F. (1997) </w:t>
      </w:r>
      <w:r>
        <w:rPr>
          <w:rFonts w:ascii="Calibri" w:hAnsi="Calibri" w:cs="Calibri"/>
          <w:i/>
          <w:color w:val="3A3A3A"/>
          <w:sz w:val="24"/>
          <w:szCs w:val="24"/>
          <w:shd w:val="clear" w:color="auto" w:fill="FFFFFF"/>
        </w:rPr>
        <w:t xml:space="preserve">Communicating and Learning in small groups. </w:t>
      </w:r>
      <w:r>
        <w:rPr>
          <w:rFonts w:ascii="Calibri" w:hAnsi="Calibri" w:cs="Calibri"/>
          <w:color w:val="3A3A3A"/>
          <w:sz w:val="24"/>
          <w:szCs w:val="24"/>
          <w:shd w:val="clear" w:color="auto" w:fill="FFFFFF"/>
        </w:rPr>
        <w:t xml:space="preserve">London: Routledge. </w:t>
      </w:r>
    </w:p>
    <w:p w14:paraId="0C81CA60" w14:textId="77777777" w:rsidR="009F09E7" w:rsidRDefault="009F09E7" w:rsidP="009F09E7">
      <w:pPr>
        <w:pStyle w:val="ListParagraph"/>
        <w:numPr>
          <w:ilvl w:val="0"/>
          <w:numId w:val="3"/>
        </w:numPr>
        <w:spacing w:after="120" w:line="360" w:lineRule="auto"/>
        <w:rPr>
          <w:rFonts w:ascii="Calibri" w:hAnsi="Calibri" w:cs="Calibri"/>
          <w:color w:val="595959" w:themeColor="text1" w:themeTint="A6"/>
          <w:sz w:val="24"/>
          <w:szCs w:val="24"/>
        </w:rPr>
      </w:pPr>
      <w:r>
        <w:rPr>
          <w:rFonts w:ascii="Calibri" w:eastAsia="Calibri" w:hAnsi="Calibri" w:cs="Calibri"/>
          <w:color w:val="3A3A3A"/>
          <w:sz w:val="24"/>
          <w:szCs w:val="24"/>
        </w:rPr>
        <w:t>Cherrington, Ruth, 2000. Behaviourism. In pp. 74–77.</w:t>
      </w:r>
    </w:p>
    <w:p w14:paraId="6A3D860F" w14:textId="77777777" w:rsidR="009F09E7" w:rsidRDefault="009F09E7" w:rsidP="009F09E7">
      <w:pPr>
        <w:pStyle w:val="ListParagraph"/>
        <w:numPr>
          <w:ilvl w:val="0"/>
          <w:numId w:val="3"/>
        </w:numPr>
        <w:spacing w:after="120" w:line="360" w:lineRule="auto"/>
        <w:rPr>
          <w:rFonts w:ascii="Calibri" w:hAnsi="Calibri" w:cs="Calibri"/>
          <w:sz w:val="24"/>
          <w:szCs w:val="24"/>
        </w:rPr>
      </w:pPr>
      <w:r>
        <w:rPr>
          <w:rFonts w:ascii="Calibri" w:hAnsi="Calibri" w:cs="Calibri"/>
          <w:sz w:val="24"/>
          <w:szCs w:val="24"/>
        </w:rPr>
        <w:t xml:space="preserve">Donaldson, G. (2015) </w:t>
      </w:r>
      <w:r>
        <w:rPr>
          <w:rFonts w:ascii="Calibri" w:hAnsi="Calibri" w:cs="Calibri"/>
          <w:i/>
          <w:sz w:val="24"/>
          <w:szCs w:val="24"/>
        </w:rPr>
        <w:t xml:space="preserve">Successful Futures: independent review of curriculum and assessment arrangements in Wales. </w:t>
      </w:r>
    </w:p>
    <w:p w14:paraId="554CEEB3" w14:textId="77777777" w:rsidR="009F09E7" w:rsidRDefault="009F09E7" w:rsidP="009F09E7">
      <w:pPr>
        <w:pStyle w:val="ListParagraph"/>
        <w:numPr>
          <w:ilvl w:val="0"/>
          <w:numId w:val="3"/>
        </w:numPr>
        <w:spacing w:after="120" w:line="360" w:lineRule="auto"/>
        <w:rPr>
          <w:rFonts w:ascii="Calibri" w:hAnsi="Calibri" w:cs="Calibri"/>
          <w:sz w:val="24"/>
          <w:szCs w:val="24"/>
        </w:rPr>
      </w:pPr>
      <w:r>
        <w:rPr>
          <w:rFonts w:ascii="Calibri" w:hAnsi="Calibri" w:cs="Calibri"/>
          <w:sz w:val="24"/>
          <w:szCs w:val="24"/>
        </w:rPr>
        <w:t xml:space="preserve">Dowling, M. (2010) </w:t>
      </w:r>
      <w:r>
        <w:rPr>
          <w:rFonts w:ascii="Calibri" w:hAnsi="Calibri" w:cs="Calibri"/>
          <w:i/>
          <w:sz w:val="24"/>
          <w:szCs w:val="24"/>
        </w:rPr>
        <w:t>Young Children’s Personal, Social and Emotional Development.</w:t>
      </w:r>
      <w:r>
        <w:rPr>
          <w:rFonts w:ascii="Calibri" w:hAnsi="Calibri" w:cs="Calibri"/>
          <w:sz w:val="24"/>
          <w:szCs w:val="24"/>
        </w:rPr>
        <w:t xml:space="preserve"> Sage Publications </w:t>
      </w:r>
    </w:p>
    <w:p w14:paraId="036E2F89" w14:textId="77777777" w:rsidR="009F09E7" w:rsidRDefault="009F09E7" w:rsidP="009F09E7">
      <w:pPr>
        <w:pStyle w:val="ListParagraph"/>
        <w:numPr>
          <w:ilvl w:val="0"/>
          <w:numId w:val="3"/>
        </w:numPr>
        <w:spacing w:after="120" w:line="360" w:lineRule="auto"/>
        <w:rPr>
          <w:rFonts w:ascii="Calibri" w:hAnsi="Calibri" w:cs="Calibri"/>
          <w:sz w:val="24"/>
          <w:szCs w:val="24"/>
        </w:rPr>
      </w:pPr>
      <w:r>
        <w:rPr>
          <w:rFonts w:ascii="Calibri" w:hAnsi="Calibri" w:cs="Calibri"/>
          <w:sz w:val="24"/>
          <w:szCs w:val="24"/>
        </w:rPr>
        <w:t xml:space="preserve">Estyn, 2015. </w:t>
      </w:r>
      <w:r>
        <w:rPr>
          <w:rFonts w:ascii="Calibri" w:hAnsi="Calibri" w:cs="Calibri"/>
          <w:i/>
          <w:color w:val="111111"/>
          <w:sz w:val="24"/>
          <w:szCs w:val="24"/>
        </w:rPr>
        <w:t>Using the outdoors to increase pupils’ wellbeing</w:t>
      </w:r>
      <w:r>
        <w:rPr>
          <w:rFonts w:ascii="Calibri" w:hAnsi="Calibri" w:cs="Calibri"/>
          <w:color w:val="111111"/>
          <w:sz w:val="24"/>
          <w:szCs w:val="24"/>
        </w:rPr>
        <w:t>. Available at:</w:t>
      </w:r>
      <w:r>
        <w:rPr>
          <w:rFonts w:ascii="Arial" w:hAnsi="Arial" w:cs="Arial"/>
          <w:color w:val="111111"/>
          <w:sz w:val="59"/>
          <w:szCs w:val="59"/>
        </w:rPr>
        <w:t xml:space="preserve"> </w:t>
      </w:r>
      <w:r>
        <w:rPr>
          <w:rFonts w:ascii="Calibri" w:hAnsi="Calibri" w:cs="Calibri"/>
          <w:sz w:val="24"/>
          <w:szCs w:val="24"/>
        </w:rPr>
        <w:t>https://www.estyn.gov.wales/effective-practice/using-outdoors-increase-pupils’-wellbeing. [accessed on 28</w:t>
      </w:r>
      <w:r>
        <w:rPr>
          <w:rFonts w:ascii="Calibri" w:hAnsi="Calibri" w:cs="Calibri"/>
          <w:sz w:val="24"/>
          <w:szCs w:val="24"/>
          <w:vertAlign w:val="superscript"/>
        </w:rPr>
        <w:t>th</w:t>
      </w:r>
      <w:r>
        <w:rPr>
          <w:rFonts w:ascii="Calibri" w:hAnsi="Calibri" w:cs="Calibri"/>
          <w:sz w:val="24"/>
          <w:szCs w:val="24"/>
        </w:rPr>
        <w:t xml:space="preserve"> September 2018]</w:t>
      </w:r>
    </w:p>
    <w:p w14:paraId="35223A77" w14:textId="77777777" w:rsidR="009F09E7" w:rsidRDefault="009F09E7" w:rsidP="009F09E7">
      <w:pPr>
        <w:pStyle w:val="ListParagraph"/>
        <w:numPr>
          <w:ilvl w:val="0"/>
          <w:numId w:val="3"/>
        </w:numPr>
        <w:spacing w:after="120" w:line="360" w:lineRule="auto"/>
        <w:rPr>
          <w:rFonts w:ascii="Calibri" w:hAnsi="Calibri" w:cs="Calibri"/>
          <w:sz w:val="24"/>
          <w:szCs w:val="24"/>
          <w:highlight w:val="yellow"/>
        </w:rPr>
      </w:pPr>
      <w:r>
        <w:rPr>
          <w:rFonts w:ascii="Calibri" w:hAnsi="Calibri" w:cs="Calibri"/>
          <w:sz w:val="24"/>
          <w:szCs w:val="24"/>
          <w:highlight w:val="yellow"/>
        </w:rPr>
        <w:t>Estyn GET LINK</w:t>
      </w:r>
    </w:p>
    <w:p w14:paraId="7D29BAB2" w14:textId="77777777" w:rsidR="009F09E7" w:rsidRDefault="009F09E7" w:rsidP="009F09E7">
      <w:pPr>
        <w:pStyle w:val="ListParagraph"/>
        <w:numPr>
          <w:ilvl w:val="0"/>
          <w:numId w:val="3"/>
        </w:numPr>
        <w:spacing w:after="120" w:line="360" w:lineRule="auto"/>
        <w:rPr>
          <w:rFonts w:ascii="Calibri" w:hAnsi="Calibri" w:cs="Calibri"/>
          <w:color w:val="3A3A3A"/>
          <w:sz w:val="24"/>
          <w:szCs w:val="24"/>
          <w:shd w:val="clear" w:color="auto" w:fill="FFFFFF"/>
        </w:rPr>
      </w:pPr>
      <w:r>
        <w:rPr>
          <w:rFonts w:ascii="Calibri" w:hAnsi="Calibri" w:cs="Calibri"/>
          <w:color w:val="3A3A3A"/>
          <w:sz w:val="24"/>
          <w:szCs w:val="24"/>
          <w:shd w:val="clear" w:color="auto" w:fill="FFFFFF"/>
        </w:rPr>
        <w:t>Fawcett, Watson &amp; Watson, Debbie, 2016. </w:t>
      </w:r>
      <w:r>
        <w:rPr>
          <w:rFonts w:ascii="Calibri" w:hAnsi="Calibri" w:cs="Calibri"/>
          <w:i/>
          <w:iCs/>
          <w:color w:val="3A3A3A"/>
          <w:sz w:val="24"/>
          <w:szCs w:val="24"/>
          <w:shd w:val="clear" w:color="auto" w:fill="FFFFFF"/>
        </w:rPr>
        <w:t>Learning through child observation</w:t>
      </w:r>
      <w:r>
        <w:rPr>
          <w:rFonts w:ascii="Calibri" w:hAnsi="Calibri" w:cs="Calibri"/>
          <w:color w:val="3A3A3A"/>
          <w:sz w:val="24"/>
          <w:szCs w:val="24"/>
          <w:shd w:val="clear" w:color="auto" w:fill="FFFFFF"/>
        </w:rPr>
        <w:t> Third.,</w:t>
      </w:r>
    </w:p>
    <w:p w14:paraId="44EC4C34" w14:textId="77777777" w:rsidR="009F09E7" w:rsidRDefault="009F09E7" w:rsidP="009F09E7">
      <w:pPr>
        <w:pStyle w:val="ListParagraph"/>
        <w:numPr>
          <w:ilvl w:val="0"/>
          <w:numId w:val="3"/>
        </w:numPr>
        <w:spacing w:after="120" w:line="360" w:lineRule="auto"/>
        <w:rPr>
          <w:rFonts w:ascii="Calibri" w:hAnsi="Calibri" w:cs="Calibri"/>
          <w:color w:val="3A3A3A"/>
          <w:sz w:val="24"/>
          <w:szCs w:val="24"/>
          <w:highlight w:val="yellow"/>
          <w:shd w:val="clear" w:color="auto" w:fill="FFFFFF"/>
        </w:rPr>
      </w:pPr>
      <w:r>
        <w:rPr>
          <w:rFonts w:ascii="Calibri" w:hAnsi="Calibri" w:cs="Calibri"/>
          <w:color w:val="3A3A3A"/>
          <w:sz w:val="24"/>
          <w:szCs w:val="24"/>
          <w:highlight w:val="yellow"/>
          <w:shd w:val="clear" w:color="auto" w:fill="FFFFFF"/>
        </w:rPr>
        <w:t>Gardner, Alexa Fraley, 2016. Examining the Reggio Emilia Approach: Keys to Understanding Why it Motivates Students. </w:t>
      </w:r>
      <w:r>
        <w:rPr>
          <w:rFonts w:ascii="Calibri" w:hAnsi="Calibri" w:cs="Calibri"/>
          <w:i/>
          <w:iCs/>
          <w:color w:val="3A3A3A"/>
          <w:sz w:val="24"/>
          <w:szCs w:val="24"/>
          <w:highlight w:val="yellow"/>
          <w:shd w:val="clear" w:color="auto" w:fill="FFFFFF"/>
        </w:rPr>
        <w:t>Electronic Journal of Research in Educational Psychology</w:t>
      </w:r>
      <w:r>
        <w:rPr>
          <w:rFonts w:ascii="Calibri" w:hAnsi="Calibri" w:cs="Calibri"/>
          <w:color w:val="3A3A3A"/>
          <w:sz w:val="24"/>
          <w:szCs w:val="24"/>
          <w:highlight w:val="yellow"/>
          <w:shd w:val="clear" w:color="auto" w:fill="FFFFFF"/>
        </w:rPr>
        <w:t>, 14(3), pp.602–626.</w:t>
      </w:r>
    </w:p>
    <w:p w14:paraId="38344560" w14:textId="77777777" w:rsidR="009F09E7" w:rsidRDefault="009F09E7" w:rsidP="009F09E7">
      <w:pPr>
        <w:pStyle w:val="ListParagraph"/>
        <w:numPr>
          <w:ilvl w:val="0"/>
          <w:numId w:val="3"/>
        </w:numPr>
        <w:spacing w:line="360" w:lineRule="auto"/>
        <w:rPr>
          <w:rFonts w:ascii="Calibri" w:eastAsia="Calibri" w:hAnsi="Calibri" w:cs="Calibri"/>
          <w:color w:val="3A3A3A"/>
          <w:sz w:val="24"/>
          <w:szCs w:val="24"/>
        </w:rPr>
      </w:pPr>
      <w:r>
        <w:rPr>
          <w:rFonts w:ascii="Calibri" w:eastAsia="Calibri" w:hAnsi="Calibri" w:cs="Calibri"/>
          <w:color w:val="3A3A3A"/>
          <w:sz w:val="24"/>
          <w:szCs w:val="24"/>
        </w:rPr>
        <w:t xml:space="preserve">Grigg, R., 2015. </w:t>
      </w:r>
      <w:r>
        <w:rPr>
          <w:rFonts w:ascii="Calibri" w:eastAsia="Calibri" w:hAnsi="Calibri" w:cs="Calibri"/>
          <w:i/>
          <w:iCs/>
          <w:color w:val="3A3A3A"/>
          <w:sz w:val="24"/>
          <w:szCs w:val="24"/>
        </w:rPr>
        <w:t xml:space="preserve">Becoming an outstanding primary school </w:t>
      </w:r>
      <w:proofErr w:type="spellStart"/>
      <w:r>
        <w:rPr>
          <w:rFonts w:ascii="Calibri" w:eastAsia="Calibri" w:hAnsi="Calibri" w:cs="Calibri"/>
          <w:i/>
          <w:iCs/>
          <w:color w:val="3A3A3A"/>
          <w:sz w:val="24"/>
          <w:szCs w:val="24"/>
        </w:rPr>
        <w:t>teacher</w:t>
      </w:r>
      <w:r>
        <w:rPr>
          <w:rFonts w:ascii="Calibri" w:eastAsia="Calibri" w:hAnsi="Calibri" w:cs="Calibri"/>
          <w:color w:val="3A3A3A"/>
          <w:sz w:val="24"/>
          <w:szCs w:val="24"/>
        </w:rPr>
        <w:t>Second</w:t>
      </w:r>
      <w:proofErr w:type="spellEnd"/>
      <w:r>
        <w:rPr>
          <w:rFonts w:ascii="Calibri" w:eastAsia="Calibri" w:hAnsi="Calibri" w:cs="Calibri"/>
          <w:color w:val="3A3A3A"/>
          <w:sz w:val="24"/>
          <w:szCs w:val="24"/>
        </w:rPr>
        <w:t>.,</w:t>
      </w:r>
    </w:p>
    <w:p w14:paraId="48564F96" w14:textId="77777777" w:rsidR="009F09E7" w:rsidRDefault="009F09E7" w:rsidP="009F09E7">
      <w:pPr>
        <w:pStyle w:val="ListParagraph"/>
        <w:numPr>
          <w:ilvl w:val="0"/>
          <w:numId w:val="3"/>
        </w:numPr>
        <w:spacing w:line="360" w:lineRule="auto"/>
        <w:rPr>
          <w:rFonts w:ascii="Calibri" w:eastAsia="Calibri" w:hAnsi="Calibri" w:cs="Calibri"/>
          <w:color w:val="3A3A3A"/>
          <w:sz w:val="24"/>
          <w:szCs w:val="24"/>
        </w:rPr>
      </w:pPr>
      <w:r>
        <w:rPr>
          <w:rFonts w:ascii="Calibri" w:eastAsia="Calibri" w:hAnsi="Calibri" w:cs="Calibri"/>
          <w:color w:val="3A3A3A"/>
          <w:sz w:val="24"/>
          <w:szCs w:val="24"/>
        </w:rPr>
        <w:t xml:space="preserve">Hattie, J., 2012. </w:t>
      </w:r>
      <w:r>
        <w:rPr>
          <w:rFonts w:ascii="Calibri" w:eastAsia="Calibri" w:hAnsi="Calibri" w:cs="Calibri"/>
          <w:i/>
          <w:iCs/>
          <w:color w:val="3A3A3A"/>
          <w:sz w:val="24"/>
          <w:szCs w:val="24"/>
        </w:rPr>
        <w:t xml:space="preserve">Visible learning for </w:t>
      </w:r>
      <w:proofErr w:type="gramStart"/>
      <w:r>
        <w:rPr>
          <w:rFonts w:ascii="Calibri" w:eastAsia="Calibri" w:hAnsi="Calibri" w:cs="Calibri"/>
          <w:i/>
          <w:iCs/>
          <w:color w:val="3A3A3A"/>
          <w:sz w:val="24"/>
          <w:szCs w:val="24"/>
        </w:rPr>
        <w:t>teachers :</w:t>
      </w:r>
      <w:proofErr w:type="gramEnd"/>
      <w:r>
        <w:rPr>
          <w:rFonts w:ascii="Calibri" w:eastAsia="Calibri" w:hAnsi="Calibri" w:cs="Calibri"/>
          <w:i/>
          <w:iCs/>
          <w:color w:val="3A3A3A"/>
          <w:sz w:val="24"/>
          <w:szCs w:val="24"/>
        </w:rPr>
        <w:t xml:space="preserve"> maximizing impact on learning</w:t>
      </w:r>
      <w:r>
        <w:rPr>
          <w:rFonts w:ascii="Calibri" w:eastAsia="Calibri" w:hAnsi="Calibri" w:cs="Calibri"/>
          <w:color w:val="3A3A3A"/>
          <w:sz w:val="24"/>
          <w:szCs w:val="24"/>
        </w:rPr>
        <w:t>, London: Routledge.</w:t>
      </w:r>
    </w:p>
    <w:p w14:paraId="323813EC" w14:textId="77777777" w:rsidR="009F09E7" w:rsidRDefault="009F09E7" w:rsidP="009F09E7">
      <w:pPr>
        <w:pStyle w:val="ListParagraph"/>
        <w:numPr>
          <w:ilvl w:val="0"/>
          <w:numId w:val="3"/>
        </w:numPr>
        <w:spacing w:line="360" w:lineRule="auto"/>
        <w:rPr>
          <w:rFonts w:ascii="Calibri" w:eastAsia="Calibri" w:hAnsi="Calibri" w:cs="Calibri"/>
          <w:color w:val="3A3A3A"/>
          <w:sz w:val="24"/>
          <w:szCs w:val="24"/>
        </w:rPr>
      </w:pPr>
      <w:r>
        <w:rPr>
          <w:rFonts w:ascii="Calibri" w:hAnsi="Calibri" w:cs="Calibri"/>
          <w:color w:val="3A3A3A"/>
          <w:sz w:val="24"/>
          <w:szCs w:val="24"/>
          <w:shd w:val="clear" w:color="auto" w:fill="FFFFFF"/>
        </w:rPr>
        <w:t>Hobart, C., Frankel, C. &amp; Frankel, Jill, 2009. </w:t>
      </w:r>
      <w:r>
        <w:rPr>
          <w:rFonts w:ascii="Calibri" w:hAnsi="Calibri" w:cs="Calibri"/>
          <w:i/>
          <w:iCs/>
          <w:color w:val="3A3A3A"/>
          <w:sz w:val="24"/>
          <w:szCs w:val="24"/>
          <w:shd w:val="clear" w:color="auto" w:fill="FFFFFF"/>
        </w:rPr>
        <w:t>A practical guide to child observation and assessment</w:t>
      </w:r>
      <w:r>
        <w:rPr>
          <w:rFonts w:ascii="Calibri" w:hAnsi="Calibri" w:cs="Calibri"/>
          <w:color w:val="3A3A3A"/>
          <w:sz w:val="24"/>
          <w:szCs w:val="24"/>
          <w:shd w:val="clear" w:color="auto" w:fill="FFFFFF"/>
        </w:rPr>
        <w:t> 4th ed., Cheltenham: Nelson Thornes.</w:t>
      </w:r>
    </w:p>
    <w:p w14:paraId="2C6103D3" w14:textId="77777777" w:rsidR="009F09E7" w:rsidRDefault="009F09E7" w:rsidP="009F09E7">
      <w:pPr>
        <w:pStyle w:val="ListParagraph"/>
        <w:numPr>
          <w:ilvl w:val="0"/>
          <w:numId w:val="3"/>
        </w:numPr>
        <w:spacing w:line="360" w:lineRule="auto"/>
        <w:rPr>
          <w:rFonts w:ascii="Calibri" w:eastAsia="Arial" w:hAnsi="Calibri" w:cs="Calibri"/>
          <w:color w:val="3A3A3A"/>
          <w:sz w:val="24"/>
          <w:szCs w:val="24"/>
        </w:rPr>
      </w:pPr>
      <w:r>
        <w:rPr>
          <w:rFonts w:ascii="Calibri" w:eastAsia="Arial" w:hAnsi="Calibri" w:cs="Calibri"/>
          <w:color w:val="3A3A3A"/>
          <w:sz w:val="24"/>
          <w:szCs w:val="24"/>
        </w:rPr>
        <w:lastRenderedPageBreak/>
        <w:t xml:space="preserve">Jenkins, Lyndsay N., 2015. RATES AND TYPES OF TEACHER PRAISE: A REVIEW AND FUTURE DIRECTIONS. </w:t>
      </w:r>
      <w:r>
        <w:rPr>
          <w:rFonts w:ascii="Calibri" w:eastAsia="Arial" w:hAnsi="Calibri" w:cs="Calibri"/>
          <w:i/>
          <w:iCs/>
          <w:color w:val="3A3A3A"/>
          <w:sz w:val="24"/>
          <w:szCs w:val="24"/>
        </w:rPr>
        <w:t>Psychology in the Schools</w:t>
      </w:r>
      <w:r>
        <w:rPr>
          <w:rFonts w:ascii="Calibri" w:eastAsia="Arial" w:hAnsi="Calibri" w:cs="Calibri"/>
          <w:color w:val="3A3A3A"/>
          <w:sz w:val="24"/>
          <w:szCs w:val="24"/>
        </w:rPr>
        <w:t>, 52(5), pp.463–477.</w:t>
      </w:r>
    </w:p>
    <w:p w14:paraId="20DC8D3F" w14:textId="77777777" w:rsidR="009F09E7" w:rsidRDefault="009F09E7" w:rsidP="009F09E7">
      <w:pPr>
        <w:pStyle w:val="ListParagraph"/>
        <w:numPr>
          <w:ilvl w:val="0"/>
          <w:numId w:val="3"/>
        </w:numPr>
        <w:spacing w:line="360" w:lineRule="auto"/>
        <w:rPr>
          <w:rFonts w:ascii="Calibri" w:eastAsia="Arial" w:hAnsi="Calibri" w:cs="Calibri"/>
          <w:color w:val="3A3A3A"/>
          <w:sz w:val="24"/>
          <w:szCs w:val="24"/>
        </w:rPr>
      </w:pPr>
      <w:r>
        <w:rPr>
          <w:rFonts w:ascii="Source Sans Pro" w:eastAsia="Times New Roman" w:hAnsi="Source Sans Pro" w:cs="Times New Roman"/>
          <w:color w:val="3A3A3A"/>
          <w:sz w:val="23"/>
          <w:szCs w:val="23"/>
          <w:lang w:eastAsia="en-GB"/>
        </w:rPr>
        <w:t xml:space="preserve">Leask, M. &amp; Meadows, J., 2004. </w:t>
      </w:r>
      <w:r>
        <w:rPr>
          <w:rFonts w:ascii="Source Sans Pro" w:eastAsia="Times New Roman" w:hAnsi="Source Sans Pro" w:cs="Times New Roman"/>
          <w:i/>
          <w:iCs/>
          <w:color w:val="3A3A3A"/>
          <w:sz w:val="23"/>
          <w:szCs w:val="23"/>
          <w:lang w:eastAsia="en-GB"/>
        </w:rPr>
        <w:t>Teaching and learning with ICT in the primary school</w:t>
      </w:r>
      <w:r>
        <w:rPr>
          <w:rFonts w:ascii="Source Sans Pro" w:eastAsia="Times New Roman" w:hAnsi="Source Sans Pro" w:cs="Times New Roman"/>
          <w:color w:val="3A3A3A"/>
          <w:sz w:val="23"/>
          <w:szCs w:val="23"/>
          <w:lang w:eastAsia="en-GB"/>
        </w:rPr>
        <w:t xml:space="preserve">, </w:t>
      </w:r>
      <w:proofErr w:type="gramStart"/>
      <w:r>
        <w:rPr>
          <w:rFonts w:ascii="Source Sans Pro" w:eastAsia="Times New Roman" w:hAnsi="Source Sans Pro" w:cs="Times New Roman"/>
          <w:color w:val="3A3A3A"/>
          <w:sz w:val="23"/>
          <w:szCs w:val="23"/>
          <w:lang w:eastAsia="en-GB"/>
        </w:rPr>
        <w:t>London :</w:t>
      </w:r>
      <w:proofErr w:type="gramEnd"/>
      <w:r>
        <w:rPr>
          <w:rFonts w:ascii="Source Sans Pro" w:eastAsia="Times New Roman" w:hAnsi="Source Sans Pro" w:cs="Times New Roman"/>
          <w:color w:val="3A3A3A"/>
          <w:sz w:val="23"/>
          <w:szCs w:val="23"/>
          <w:lang w:eastAsia="en-GB"/>
        </w:rPr>
        <w:t xml:space="preserve"> New York: Routledge.</w:t>
      </w:r>
    </w:p>
    <w:p w14:paraId="48236A53" w14:textId="77777777" w:rsidR="009F09E7" w:rsidRDefault="009F09E7" w:rsidP="009F09E7">
      <w:pPr>
        <w:pStyle w:val="ListParagraph"/>
        <w:numPr>
          <w:ilvl w:val="0"/>
          <w:numId w:val="3"/>
        </w:numPr>
        <w:spacing w:after="120" w:line="360" w:lineRule="auto"/>
        <w:rPr>
          <w:rFonts w:ascii="Calibri" w:hAnsi="Calibri" w:cs="Calibri"/>
          <w:color w:val="3A3A3A"/>
          <w:sz w:val="24"/>
          <w:szCs w:val="24"/>
          <w:shd w:val="clear" w:color="auto" w:fill="FFFFFF"/>
        </w:rPr>
      </w:pPr>
      <w:r>
        <w:rPr>
          <w:rFonts w:ascii="Calibri" w:hAnsi="Calibri" w:cs="Calibri"/>
          <w:color w:val="3A3A3A"/>
          <w:sz w:val="24"/>
          <w:szCs w:val="24"/>
          <w:shd w:val="clear" w:color="auto" w:fill="FFFFFF"/>
        </w:rPr>
        <w:t>Lewis et al., 2006. </w:t>
      </w:r>
      <w:proofErr w:type="gramStart"/>
      <w:r>
        <w:rPr>
          <w:rFonts w:ascii="Calibri" w:hAnsi="Calibri" w:cs="Calibri"/>
          <w:i/>
          <w:iCs/>
          <w:color w:val="3A3A3A"/>
          <w:sz w:val="24"/>
          <w:szCs w:val="24"/>
          <w:shd w:val="clear" w:color="auto" w:fill="FFFFFF"/>
        </w:rPr>
        <w:t>Phonics :</w:t>
      </w:r>
      <w:proofErr w:type="gramEnd"/>
      <w:r>
        <w:rPr>
          <w:rFonts w:ascii="Calibri" w:hAnsi="Calibri" w:cs="Calibri"/>
          <w:i/>
          <w:iCs/>
          <w:color w:val="3A3A3A"/>
          <w:sz w:val="24"/>
          <w:szCs w:val="24"/>
          <w:shd w:val="clear" w:color="auto" w:fill="FFFFFF"/>
        </w:rPr>
        <w:t xml:space="preserve"> practice, </w:t>
      </w:r>
      <w:proofErr w:type="spellStart"/>
      <w:r>
        <w:rPr>
          <w:rFonts w:ascii="Calibri" w:hAnsi="Calibri" w:cs="Calibri"/>
          <w:i/>
          <w:iCs/>
          <w:color w:val="3A3A3A"/>
          <w:sz w:val="24"/>
          <w:szCs w:val="24"/>
          <w:shd w:val="clear" w:color="auto" w:fill="FFFFFF"/>
        </w:rPr>
        <w:t>reseach</w:t>
      </w:r>
      <w:proofErr w:type="spellEnd"/>
      <w:r>
        <w:rPr>
          <w:rFonts w:ascii="Calibri" w:hAnsi="Calibri" w:cs="Calibri"/>
          <w:i/>
          <w:iCs/>
          <w:color w:val="3A3A3A"/>
          <w:sz w:val="24"/>
          <w:szCs w:val="24"/>
          <w:shd w:val="clear" w:color="auto" w:fill="FFFFFF"/>
        </w:rPr>
        <w:t xml:space="preserve"> and policy</w:t>
      </w:r>
      <w:r>
        <w:rPr>
          <w:rFonts w:ascii="Calibri" w:hAnsi="Calibri" w:cs="Calibri"/>
          <w:color w:val="3A3A3A"/>
          <w:sz w:val="24"/>
          <w:szCs w:val="24"/>
          <w:shd w:val="clear" w:color="auto" w:fill="FFFFFF"/>
        </w:rPr>
        <w:t>, London: Paul Chapman.</w:t>
      </w:r>
    </w:p>
    <w:p w14:paraId="11B2D416" w14:textId="77777777" w:rsidR="009F09E7" w:rsidRDefault="009F09E7" w:rsidP="009F09E7">
      <w:pPr>
        <w:pStyle w:val="ListParagraph"/>
        <w:numPr>
          <w:ilvl w:val="0"/>
          <w:numId w:val="3"/>
        </w:numPr>
        <w:spacing w:line="360" w:lineRule="auto"/>
        <w:rPr>
          <w:rFonts w:ascii="Calibri" w:hAnsi="Calibri" w:cs="Calibri"/>
          <w:color w:val="595959" w:themeColor="text1" w:themeTint="A6"/>
          <w:sz w:val="24"/>
          <w:szCs w:val="24"/>
        </w:rPr>
      </w:pPr>
      <w:r>
        <w:rPr>
          <w:rFonts w:ascii="Calibri" w:eastAsia="Calibri" w:hAnsi="Calibri" w:cs="Calibri"/>
          <w:color w:val="333333"/>
          <w:sz w:val="24"/>
          <w:szCs w:val="24"/>
        </w:rPr>
        <w:t xml:space="preserve">Lim, CT.D. &amp; Fraser, B.J. Learning Environ Res (2018) 21: 433. </w:t>
      </w:r>
      <w:hyperlink r:id="rId6" w:history="1">
        <w:r>
          <w:rPr>
            <w:rStyle w:val="Hyperlink"/>
            <w:rFonts w:ascii="Calibri" w:eastAsia="Calibri" w:hAnsi="Calibri" w:cs="Calibri"/>
            <w:color w:val="333333"/>
            <w:sz w:val="24"/>
            <w:szCs w:val="24"/>
          </w:rPr>
          <w:t>https://doi-org.ezproxy.uwtsd.ac.uk/10.1007/s10984-018-9260-6</w:t>
        </w:r>
      </w:hyperlink>
    </w:p>
    <w:p w14:paraId="147F12FB" w14:textId="77777777" w:rsidR="009F09E7" w:rsidRDefault="009F09E7" w:rsidP="009F09E7">
      <w:pPr>
        <w:pStyle w:val="ListParagraph"/>
        <w:numPr>
          <w:ilvl w:val="0"/>
          <w:numId w:val="3"/>
        </w:numPr>
        <w:spacing w:line="360" w:lineRule="auto"/>
        <w:rPr>
          <w:rFonts w:ascii="Calibri" w:eastAsia="Calibri" w:hAnsi="Calibri" w:cs="Calibri"/>
          <w:color w:val="3A3A3A"/>
          <w:sz w:val="24"/>
          <w:szCs w:val="24"/>
        </w:rPr>
      </w:pPr>
      <w:proofErr w:type="spellStart"/>
      <w:r>
        <w:rPr>
          <w:rFonts w:ascii="Calibri" w:eastAsia="Calibri" w:hAnsi="Calibri" w:cs="Calibri"/>
          <w:color w:val="3A3A3A"/>
          <w:sz w:val="24"/>
          <w:szCs w:val="24"/>
        </w:rPr>
        <w:t>MacBlain</w:t>
      </w:r>
      <w:proofErr w:type="spellEnd"/>
      <w:r>
        <w:rPr>
          <w:rFonts w:ascii="Calibri" w:eastAsia="Calibri" w:hAnsi="Calibri" w:cs="Calibri"/>
          <w:color w:val="3A3A3A"/>
          <w:sz w:val="24"/>
          <w:szCs w:val="24"/>
        </w:rPr>
        <w:t xml:space="preserve">, S., 2014. </w:t>
      </w:r>
      <w:r>
        <w:rPr>
          <w:rFonts w:ascii="Calibri" w:eastAsia="Calibri" w:hAnsi="Calibri" w:cs="Calibri"/>
          <w:i/>
          <w:iCs/>
          <w:color w:val="3A3A3A"/>
          <w:sz w:val="24"/>
          <w:szCs w:val="24"/>
        </w:rPr>
        <w:t>How children learn</w:t>
      </w:r>
      <w:r>
        <w:rPr>
          <w:rFonts w:ascii="Calibri" w:eastAsia="Calibri" w:hAnsi="Calibri" w:cs="Calibri"/>
          <w:color w:val="3A3A3A"/>
          <w:sz w:val="24"/>
          <w:szCs w:val="24"/>
        </w:rPr>
        <w:t xml:space="preserve"> First., London: SAGE publications.</w:t>
      </w:r>
    </w:p>
    <w:p w14:paraId="6A07E97E" w14:textId="77777777" w:rsidR="009F09E7" w:rsidRDefault="009F09E7" w:rsidP="009F09E7">
      <w:pPr>
        <w:pStyle w:val="ListParagraph"/>
        <w:numPr>
          <w:ilvl w:val="0"/>
          <w:numId w:val="3"/>
        </w:numPr>
        <w:spacing w:after="120" w:line="360" w:lineRule="auto"/>
        <w:rPr>
          <w:rFonts w:ascii="Calibri" w:eastAsia="Calibri" w:hAnsi="Calibri" w:cs="Calibri"/>
          <w:color w:val="3A3A3A"/>
          <w:sz w:val="24"/>
          <w:szCs w:val="24"/>
        </w:rPr>
      </w:pPr>
      <w:proofErr w:type="spellStart"/>
      <w:r>
        <w:rPr>
          <w:rFonts w:ascii="Calibri" w:eastAsia="Calibri" w:hAnsi="Calibri" w:cs="Calibri"/>
          <w:color w:val="3A3A3A"/>
          <w:sz w:val="24"/>
          <w:szCs w:val="24"/>
        </w:rPr>
        <w:t>Nagowah</w:t>
      </w:r>
      <w:proofErr w:type="spellEnd"/>
      <w:r>
        <w:rPr>
          <w:rFonts w:ascii="Calibri" w:eastAsia="Calibri" w:hAnsi="Calibri" w:cs="Calibri"/>
          <w:color w:val="3A3A3A"/>
          <w:sz w:val="24"/>
          <w:szCs w:val="24"/>
        </w:rPr>
        <w:t xml:space="preserve">, </w:t>
      </w:r>
      <w:proofErr w:type="spellStart"/>
      <w:r>
        <w:rPr>
          <w:rFonts w:ascii="Calibri" w:eastAsia="Calibri" w:hAnsi="Calibri" w:cs="Calibri"/>
          <w:color w:val="3A3A3A"/>
          <w:sz w:val="24"/>
          <w:szCs w:val="24"/>
        </w:rPr>
        <w:t>Leckraj</w:t>
      </w:r>
      <w:proofErr w:type="spellEnd"/>
      <w:r>
        <w:rPr>
          <w:rFonts w:ascii="Calibri" w:eastAsia="Calibri" w:hAnsi="Calibri" w:cs="Calibri"/>
          <w:color w:val="3A3A3A"/>
          <w:sz w:val="24"/>
          <w:szCs w:val="24"/>
        </w:rPr>
        <w:t xml:space="preserve">, 2009. A Reflection on the Dominant Learning Theories: Behaviourism, Cognitivism and Constructivism. </w:t>
      </w:r>
      <w:r>
        <w:rPr>
          <w:rFonts w:ascii="Calibri" w:eastAsia="Calibri" w:hAnsi="Calibri" w:cs="Calibri"/>
          <w:i/>
          <w:iCs/>
          <w:color w:val="3A3A3A"/>
          <w:sz w:val="24"/>
          <w:szCs w:val="24"/>
        </w:rPr>
        <w:t>International Journal of Learning</w:t>
      </w:r>
      <w:r>
        <w:rPr>
          <w:rFonts w:ascii="Calibri" w:eastAsia="Calibri" w:hAnsi="Calibri" w:cs="Calibri"/>
          <w:color w:val="3A3A3A"/>
          <w:sz w:val="24"/>
          <w:szCs w:val="24"/>
        </w:rPr>
        <w:t>, 16(2), pp.279–286.</w:t>
      </w:r>
    </w:p>
    <w:p w14:paraId="4C957D76" w14:textId="77777777" w:rsidR="009F09E7" w:rsidRDefault="009F09E7" w:rsidP="009F09E7">
      <w:pPr>
        <w:pStyle w:val="ListParagraph"/>
        <w:numPr>
          <w:ilvl w:val="0"/>
          <w:numId w:val="3"/>
        </w:numPr>
        <w:spacing w:after="120" w:line="360" w:lineRule="auto"/>
        <w:rPr>
          <w:rFonts w:ascii="Calibri" w:eastAsia="Calibri" w:hAnsi="Calibri" w:cs="Calibri"/>
          <w:color w:val="3A3A3A"/>
          <w:sz w:val="24"/>
          <w:szCs w:val="24"/>
        </w:rPr>
      </w:pPr>
      <w:r>
        <w:rPr>
          <w:rFonts w:ascii="Calibri" w:eastAsia="Calibri" w:hAnsi="Calibri" w:cs="Calibri"/>
          <w:color w:val="3A3A3A"/>
          <w:sz w:val="24"/>
          <w:szCs w:val="24"/>
        </w:rPr>
        <w:t xml:space="preserve">Roberts, R. 2002. </w:t>
      </w:r>
      <w:r>
        <w:rPr>
          <w:rFonts w:ascii="Calibri" w:eastAsia="Calibri" w:hAnsi="Calibri" w:cs="Calibri"/>
          <w:i/>
          <w:color w:val="3A3A3A"/>
          <w:sz w:val="24"/>
          <w:szCs w:val="24"/>
        </w:rPr>
        <w:t>Self – Esteem and Early Learning</w:t>
      </w:r>
      <w:r>
        <w:rPr>
          <w:rFonts w:ascii="Calibri" w:eastAsia="Calibri" w:hAnsi="Calibri" w:cs="Calibri"/>
          <w:color w:val="3A3A3A"/>
          <w:sz w:val="24"/>
          <w:szCs w:val="24"/>
        </w:rPr>
        <w:t>. London: SAGE Publications</w:t>
      </w:r>
    </w:p>
    <w:p w14:paraId="1DFAE6EB" w14:textId="77777777" w:rsidR="009F09E7" w:rsidRDefault="009F09E7" w:rsidP="009F09E7">
      <w:pPr>
        <w:pStyle w:val="ListParagraph"/>
        <w:numPr>
          <w:ilvl w:val="0"/>
          <w:numId w:val="3"/>
        </w:numPr>
        <w:spacing w:after="120" w:line="360" w:lineRule="auto"/>
        <w:rPr>
          <w:rFonts w:ascii="Calibri" w:eastAsia="Calibri" w:hAnsi="Calibri" w:cs="Calibri"/>
          <w:color w:val="3A3A3A"/>
          <w:sz w:val="24"/>
          <w:szCs w:val="24"/>
        </w:rPr>
      </w:pPr>
      <w:r>
        <w:rPr>
          <w:rFonts w:ascii="Source Sans Pro" w:hAnsi="Source Sans Pro"/>
          <w:color w:val="3A3A3A"/>
          <w:sz w:val="23"/>
          <w:szCs w:val="23"/>
        </w:rPr>
        <w:t xml:space="preserve">Siraj-Blatchford, J., </w:t>
      </w:r>
      <w:proofErr w:type="spellStart"/>
      <w:r>
        <w:rPr>
          <w:rFonts w:ascii="Source Sans Pro" w:hAnsi="Source Sans Pro"/>
          <w:color w:val="3A3A3A"/>
          <w:sz w:val="23"/>
          <w:szCs w:val="23"/>
        </w:rPr>
        <w:t>Whitebread</w:t>
      </w:r>
      <w:proofErr w:type="spellEnd"/>
      <w:r>
        <w:rPr>
          <w:rFonts w:ascii="Source Sans Pro" w:hAnsi="Source Sans Pro"/>
          <w:color w:val="3A3A3A"/>
          <w:sz w:val="23"/>
          <w:szCs w:val="23"/>
        </w:rPr>
        <w:t xml:space="preserve">, D., Hurst, J., Joseph, D., Hurst, Victoria, &amp; Joseph, Jennifer. (2002). </w:t>
      </w:r>
      <w:r>
        <w:rPr>
          <w:rFonts w:ascii="Source Sans Pro" w:hAnsi="Source Sans Pro"/>
          <w:i/>
          <w:iCs/>
          <w:color w:val="3A3A3A"/>
          <w:sz w:val="23"/>
          <w:szCs w:val="23"/>
        </w:rPr>
        <w:t>Supporting ICT in the early years</w:t>
      </w:r>
      <w:r>
        <w:rPr>
          <w:rFonts w:ascii="Source Sans Pro" w:hAnsi="Source Sans Pro"/>
          <w:color w:val="3A3A3A"/>
          <w:sz w:val="23"/>
          <w:szCs w:val="23"/>
        </w:rPr>
        <w:t xml:space="preserve"> (Supporting early learning). Buckingham: Open University Press.</w:t>
      </w:r>
    </w:p>
    <w:p w14:paraId="3D79910D" w14:textId="77777777" w:rsidR="009F09E7" w:rsidRDefault="009F09E7" w:rsidP="009F09E7">
      <w:pPr>
        <w:pStyle w:val="ListParagraph"/>
        <w:numPr>
          <w:ilvl w:val="0"/>
          <w:numId w:val="3"/>
        </w:numPr>
        <w:spacing w:after="120" w:line="360" w:lineRule="auto"/>
        <w:rPr>
          <w:rFonts w:ascii="Calibri" w:eastAsia="Calibri" w:hAnsi="Calibri" w:cs="Calibri"/>
          <w:color w:val="3A3A3A"/>
          <w:sz w:val="24"/>
          <w:szCs w:val="24"/>
        </w:rPr>
      </w:pPr>
      <w:r>
        <w:rPr>
          <w:rFonts w:ascii="Source Sans Pro" w:eastAsia="Times New Roman" w:hAnsi="Source Sans Pro" w:cs="Times New Roman"/>
          <w:color w:val="3A3A3A"/>
          <w:sz w:val="23"/>
          <w:szCs w:val="23"/>
          <w:lang w:eastAsia="en-GB"/>
        </w:rPr>
        <w:t xml:space="preserve">White, J. (2011). </w:t>
      </w:r>
      <w:r>
        <w:rPr>
          <w:rFonts w:ascii="Source Sans Pro" w:eastAsia="Times New Roman" w:hAnsi="Source Sans Pro" w:cs="Times New Roman"/>
          <w:i/>
          <w:iCs/>
          <w:color w:val="3A3A3A"/>
          <w:sz w:val="23"/>
          <w:szCs w:val="23"/>
          <w:lang w:eastAsia="en-GB"/>
        </w:rPr>
        <w:t>Outdoor provision in the early years</w:t>
      </w:r>
      <w:r>
        <w:rPr>
          <w:rFonts w:ascii="Source Sans Pro" w:eastAsia="Times New Roman" w:hAnsi="Source Sans Pro" w:cs="Times New Roman"/>
          <w:color w:val="3A3A3A"/>
          <w:sz w:val="23"/>
          <w:szCs w:val="23"/>
          <w:lang w:eastAsia="en-GB"/>
        </w:rPr>
        <w:t>. Los Angeles: SAGE.</w:t>
      </w:r>
    </w:p>
    <w:p w14:paraId="7BBE64BA" w14:textId="77777777" w:rsidR="009F09E7" w:rsidRDefault="009F09E7" w:rsidP="009F09E7">
      <w:pPr>
        <w:spacing w:line="360" w:lineRule="auto"/>
        <w:rPr>
          <w:rFonts w:ascii="Calibri" w:eastAsia="Calibri" w:hAnsi="Calibri" w:cs="Calibri"/>
          <w:color w:val="3A3A3A"/>
          <w:sz w:val="24"/>
          <w:szCs w:val="24"/>
        </w:rPr>
      </w:pPr>
      <w:r>
        <w:rPr>
          <w:rFonts w:ascii="Calibri" w:eastAsia="Calibri" w:hAnsi="Calibri" w:cs="Calibri"/>
          <w:color w:val="3A3A3A"/>
          <w:sz w:val="24"/>
          <w:szCs w:val="24"/>
        </w:rPr>
        <w:t xml:space="preserve"> </w:t>
      </w:r>
    </w:p>
    <w:p w14:paraId="522B3EF0" w14:textId="77777777" w:rsidR="009F09E7" w:rsidRDefault="009F09E7" w:rsidP="009F09E7">
      <w:pPr>
        <w:spacing w:line="540" w:lineRule="exact"/>
        <w:ind w:left="120"/>
        <w:rPr>
          <w:rFonts w:ascii="Calibri" w:hAnsi="Calibri" w:cs="Calibri"/>
          <w:color w:val="3A3A3A"/>
          <w:sz w:val="24"/>
          <w:szCs w:val="24"/>
          <w:shd w:val="clear" w:color="auto" w:fill="FFFFFF"/>
        </w:rPr>
      </w:pPr>
    </w:p>
    <w:p w14:paraId="601A5155" w14:textId="77777777" w:rsidR="009F09E7" w:rsidRDefault="009F09E7" w:rsidP="009F09E7">
      <w:pPr>
        <w:spacing w:line="540" w:lineRule="exact"/>
        <w:rPr>
          <w:rFonts w:ascii="Calibri" w:eastAsia="Calibri" w:hAnsi="Calibri" w:cs="Calibri"/>
          <w:color w:val="3A3A3A"/>
          <w:sz w:val="24"/>
          <w:szCs w:val="24"/>
        </w:rPr>
      </w:pPr>
    </w:p>
    <w:p w14:paraId="6CAF030B" w14:textId="77777777" w:rsidR="009F09E7" w:rsidRDefault="009F09E7" w:rsidP="009F09E7">
      <w:pPr>
        <w:rPr>
          <w:rFonts w:ascii="Calibri" w:hAnsi="Calibri" w:cs="Calibri"/>
          <w:color w:val="595959" w:themeColor="text1" w:themeTint="A6"/>
          <w:sz w:val="24"/>
          <w:szCs w:val="24"/>
        </w:rPr>
      </w:pPr>
    </w:p>
    <w:p w14:paraId="11149CAF" w14:textId="77777777" w:rsidR="009F09E7" w:rsidRDefault="009F09E7" w:rsidP="009F09E7">
      <w:pPr>
        <w:rPr>
          <w:rFonts w:ascii="Calibri" w:hAnsi="Calibri" w:cs="Calibri"/>
          <w:sz w:val="24"/>
          <w:szCs w:val="24"/>
        </w:rPr>
      </w:pPr>
    </w:p>
    <w:p w14:paraId="5ECB9766" w14:textId="77777777" w:rsidR="009F09E7" w:rsidRDefault="009F09E7" w:rsidP="009F09E7">
      <w:pPr>
        <w:rPr>
          <w:rFonts w:ascii="Calibri" w:hAnsi="Calibri" w:cs="Calibri"/>
          <w:sz w:val="24"/>
          <w:szCs w:val="24"/>
        </w:rPr>
      </w:pPr>
      <w:hyperlink r:id="rId7" w:history="1">
        <w:r>
          <w:rPr>
            <w:rStyle w:val="Hyperlink"/>
            <w:rFonts w:ascii="Calibri" w:hAnsi="Calibri" w:cs="Calibri"/>
            <w:sz w:val="24"/>
            <w:szCs w:val="24"/>
          </w:rPr>
          <w:t>file:///C:/Users/hp/Documents/Curriculum%20PDF/digital%20competence%20framework.pdf</w:t>
        </w:r>
      </w:hyperlink>
    </w:p>
    <w:p w14:paraId="437C1C3D" w14:textId="77777777" w:rsidR="009F09E7" w:rsidRDefault="009F09E7" w:rsidP="009F09E7">
      <w:pPr>
        <w:rPr>
          <w:rFonts w:ascii="Calibri" w:hAnsi="Calibri" w:cs="Calibri"/>
          <w:sz w:val="24"/>
          <w:szCs w:val="24"/>
        </w:rPr>
      </w:pPr>
    </w:p>
    <w:p w14:paraId="0B54377D" w14:textId="77777777" w:rsidR="009F09E7" w:rsidRDefault="009F09E7" w:rsidP="009F09E7">
      <w:pPr>
        <w:rPr>
          <w:sz w:val="30"/>
          <w:szCs w:val="30"/>
        </w:rPr>
      </w:pPr>
      <w:r>
        <w:rPr>
          <w:rFonts w:ascii="Source Sans Pro" w:hAnsi="Source Sans Pro"/>
          <w:color w:val="3A3A3A"/>
          <w:sz w:val="23"/>
          <w:szCs w:val="23"/>
        </w:rPr>
        <w:t xml:space="preserve">Lauer, C., 2004. Positive reinforcement. </w:t>
      </w:r>
      <w:r>
        <w:rPr>
          <w:i/>
          <w:iCs/>
        </w:rPr>
        <w:t>Modern Healthcare</w:t>
      </w:r>
      <w:r>
        <w:t>, 34(47), p.24.</w:t>
      </w:r>
    </w:p>
    <w:p w14:paraId="38E17C65" w14:textId="77777777" w:rsidR="009F09E7" w:rsidRDefault="009F09E7" w:rsidP="009F09E7">
      <w:r>
        <w:rPr>
          <w:rFonts w:ascii="Source Sans Pro" w:hAnsi="Source Sans Pro"/>
          <w:color w:val="3A3A3A"/>
          <w:sz w:val="23"/>
          <w:szCs w:val="23"/>
        </w:rPr>
        <w:t xml:space="preserve">Lawrence, Tracey, 2017. How should I use positive reinforcement within my classroom? </w:t>
      </w:r>
      <w:r>
        <w:rPr>
          <w:i/>
          <w:iCs/>
        </w:rPr>
        <w:t>TES: Times Educational Supplement</w:t>
      </w:r>
      <w:r>
        <w:t>, (5239), p.46.</w:t>
      </w:r>
    </w:p>
    <w:p w14:paraId="3D6DFB32" w14:textId="77777777" w:rsidR="009F09E7" w:rsidRDefault="009F09E7" w:rsidP="009F09E7">
      <w:r>
        <w:rPr>
          <w:rFonts w:ascii="Source Sans Pro" w:hAnsi="Source Sans Pro"/>
          <w:color w:val="3A3A3A"/>
          <w:sz w:val="23"/>
          <w:szCs w:val="23"/>
        </w:rPr>
        <w:t xml:space="preserve">Day, Randell K., 2016. B.F. Skinner, Ph.D. and Susan M. Markle, Ph.D.: The Beginnings. </w:t>
      </w:r>
      <w:r>
        <w:rPr>
          <w:i/>
          <w:iCs/>
        </w:rPr>
        <w:t>Performance Improvement</w:t>
      </w:r>
      <w:r>
        <w:t>, 55(1), pp.39–48.</w:t>
      </w:r>
    </w:p>
    <w:p w14:paraId="3F4A7219" w14:textId="77777777" w:rsidR="009F09E7" w:rsidRDefault="009F09E7" w:rsidP="009F09E7">
      <w:r>
        <w:rPr>
          <w:rFonts w:ascii="Arial" w:hAnsi="Arial" w:cs="Arial"/>
          <w:color w:val="000000"/>
          <w:sz w:val="20"/>
          <w:szCs w:val="20"/>
          <w:shd w:val="clear" w:color="auto" w:fill="FFFFFF"/>
        </w:rPr>
        <w:lastRenderedPageBreak/>
        <w:t>Hamilton, M. (1977). </w:t>
      </w:r>
      <w:r>
        <w:rPr>
          <w:i/>
          <w:iCs/>
        </w:rPr>
        <w:t xml:space="preserve">Peer models and language </w:t>
      </w:r>
      <w:proofErr w:type="spellStart"/>
      <w:r>
        <w:rPr>
          <w:i/>
          <w:iCs/>
        </w:rPr>
        <w:t>aquisition</w:t>
      </w:r>
      <w:proofErr w:type="spellEnd"/>
      <w:r>
        <w:t xml:space="preserve">. [online] </w:t>
      </w:r>
      <w:proofErr w:type="spellStart"/>
      <w:proofErr w:type="gramStart"/>
      <w:r>
        <w:t>jstor,org</w:t>
      </w:r>
      <w:proofErr w:type="spellEnd"/>
      <w:r>
        <w:t>.</w:t>
      </w:r>
      <w:proofErr w:type="gramEnd"/>
      <w:r>
        <w:t xml:space="preserve"> Available at: https://www.jstor.org/stable/23083896?seq=1#page_scan_tab_contents [Accessed 2</w:t>
      </w:r>
      <w:r>
        <w:rPr>
          <w:vertAlign w:val="superscript"/>
        </w:rPr>
        <w:t>nd</w:t>
      </w:r>
      <w:r>
        <w:t xml:space="preserve"> October. 2018].</w:t>
      </w:r>
    </w:p>
    <w:p w14:paraId="2608071E" w14:textId="77777777" w:rsidR="009F09E7" w:rsidRDefault="009F09E7" w:rsidP="009F09E7">
      <w:r>
        <w:rPr>
          <w:rFonts w:ascii="Source Sans Pro" w:hAnsi="Source Sans Pro"/>
          <w:color w:val="3A3A3A"/>
          <w:sz w:val="23"/>
          <w:szCs w:val="23"/>
        </w:rPr>
        <w:t xml:space="preserve">Sylva, K., 2010. </w:t>
      </w:r>
      <w:r>
        <w:rPr>
          <w:i/>
          <w:iCs/>
        </w:rPr>
        <w:t>Early childhood matters [</w:t>
      </w:r>
      <w:proofErr w:type="spellStart"/>
      <w:r>
        <w:rPr>
          <w:i/>
          <w:iCs/>
        </w:rPr>
        <w:t>ebook</w:t>
      </w:r>
      <w:proofErr w:type="spellEnd"/>
      <w:r>
        <w:rPr>
          <w:i/>
          <w:iCs/>
        </w:rPr>
        <w:t>] evidence from the effective pre-school and primary education project</w:t>
      </w:r>
      <w:r>
        <w:t>, London: Routledge.</w:t>
      </w:r>
    </w:p>
    <w:p w14:paraId="1D05E22B" w14:textId="77777777" w:rsidR="009F09E7" w:rsidRDefault="009F09E7" w:rsidP="009F09E7">
      <w:pPr>
        <w:spacing w:after="0" w:line="240" w:lineRule="auto"/>
        <w:rPr>
          <w:rFonts w:ascii="Times New Roman" w:eastAsia="Times New Roman" w:hAnsi="Times New Roman" w:cs="Times New Roman"/>
          <w:sz w:val="24"/>
          <w:szCs w:val="24"/>
          <w:lang w:eastAsia="en-GB"/>
        </w:rPr>
      </w:pPr>
      <w:r>
        <w:rPr>
          <w:rFonts w:ascii="&amp;quot" w:eastAsia="Times New Roman" w:hAnsi="&amp;quot" w:cs="Times New Roman"/>
          <w:b/>
          <w:bCs/>
          <w:color w:val="666666"/>
          <w:sz w:val="23"/>
          <w:szCs w:val="23"/>
          <w:bdr w:val="none" w:sz="0" w:space="0" w:color="auto" w:frame="1"/>
          <w:lang w:eastAsia="en-GB"/>
        </w:rPr>
        <w:t xml:space="preserve">Heavily Decorated Classrooms Disrupt Attention and Learning </w:t>
      </w:r>
      <w:proofErr w:type="gramStart"/>
      <w:r>
        <w:rPr>
          <w:rFonts w:ascii="&amp;quot" w:eastAsia="Times New Roman" w:hAnsi="&amp;quot" w:cs="Times New Roman"/>
          <w:b/>
          <w:bCs/>
          <w:color w:val="666666"/>
          <w:sz w:val="23"/>
          <w:szCs w:val="23"/>
          <w:bdr w:val="none" w:sz="0" w:space="0" w:color="auto" w:frame="1"/>
          <w:lang w:eastAsia="en-GB"/>
        </w:rPr>
        <w:t>In</w:t>
      </w:r>
      <w:proofErr w:type="gramEnd"/>
      <w:r>
        <w:rPr>
          <w:rFonts w:ascii="&amp;quot" w:eastAsia="Times New Roman" w:hAnsi="&amp;quot" w:cs="Times New Roman"/>
          <w:b/>
          <w:bCs/>
          <w:color w:val="666666"/>
          <w:sz w:val="23"/>
          <w:szCs w:val="23"/>
          <w:bdr w:val="none" w:sz="0" w:space="0" w:color="auto" w:frame="1"/>
          <w:lang w:eastAsia="en-GB"/>
        </w:rPr>
        <w:t xml:space="preserve"> Young Children</w:t>
      </w:r>
      <w:r>
        <w:rPr>
          <w:rFonts w:ascii="Arial" w:eastAsia="Times New Roman" w:hAnsi="Arial" w:cs="Arial"/>
          <w:color w:val="666666"/>
          <w:sz w:val="23"/>
          <w:szCs w:val="23"/>
          <w:lang w:eastAsia="en-GB"/>
        </w:rPr>
        <w:t xml:space="preserve"> </w:t>
      </w:r>
    </w:p>
    <w:p w14:paraId="05C23E0D" w14:textId="77777777" w:rsidR="009F09E7" w:rsidRDefault="009F09E7" w:rsidP="009F09E7">
      <w:pPr>
        <w:spacing w:after="0" w:line="240" w:lineRule="auto"/>
        <w:rPr>
          <w:rFonts w:ascii="&amp;quot" w:eastAsia="Times New Roman" w:hAnsi="&amp;quot" w:cs="Times New Roman"/>
          <w:color w:val="666666"/>
          <w:sz w:val="23"/>
          <w:szCs w:val="23"/>
          <w:lang w:eastAsia="en-GB"/>
        </w:rPr>
      </w:pPr>
      <w:r>
        <w:rPr>
          <w:rFonts w:ascii="&amp;quot" w:eastAsia="Times New Roman" w:hAnsi="&amp;quot" w:cs="Times New Roman"/>
          <w:color w:val="666666"/>
          <w:sz w:val="23"/>
          <w:szCs w:val="23"/>
          <w:lang w:eastAsia="en-GB"/>
        </w:rPr>
        <w:t>Published May 27, 2014</w:t>
      </w:r>
    </w:p>
    <w:p w14:paraId="07D33591" w14:textId="77777777" w:rsidR="009F09E7" w:rsidRDefault="009F09E7" w:rsidP="009F09E7">
      <w:pPr>
        <w:rPr>
          <w:rFonts w:ascii="Calibri" w:hAnsi="Calibri" w:cs="Calibri"/>
          <w:color w:val="595959" w:themeColor="text1" w:themeTint="A6"/>
          <w:sz w:val="24"/>
          <w:szCs w:val="24"/>
          <w:lang w:val="en-US"/>
        </w:rPr>
      </w:pPr>
      <w:hyperlink r:id="rId8" w:anchor=".U4q85HSLV0Q.facebook" w:history="1">
        <w:r>
          <w:rPr>
            <w:rStyle w:val="Hyperlink"/>
            <w:rFonts w:ascii="Calibri" w:hAnsi="Calibri" w:cs="Calibri"/>
            <w:sz w:val="24"/>
            <w:szCs w:val="24"/>
          </w:rPr>
          <w:t>https://www.psychologicalscience.org/news/releases/heavily-decorated-classrooms-disrupt-attention-and-learning-in-young-children.html#.U4q85HSLV0Q.facebook</w:t>
        </w:r>
      </w:hyperlink>
    </w:p>
    <w:p w14:paraId="4CBAC208" w14:textId="77777777" w:rsidR="009F09E7" w:rsidRDefault="009F09E7" w:rsidP="009F09E7">
      <w:pPr>
        <w:rPr>
          <w:i/>
          <w:iCs/>
          <w:sz w:val="30"/>
          <w:szCs w:val="30"/>
        </w:rPr>
      </w:pPr>
      <w:r>
        <w:rPr>
          <w:rFonts w:ascii="Source Sans Pro" w:hAnsi="Source Sans Pro"/>
          <w:color w:val="3A3A3A"/>
          <w:sz w:val="23"/>
          <w:szCs w:val="23"/>
        </w:rPr>
        <w:t xml:space="preserve">Association for Outdoor Learning, 2000. Journal of adventure education and outdoor learning. </w:t>
      </w:r>
      <w:r>
        <w:rPr>
          <w:i/>
          <w:iCs/>
        </w:rPr>
        <w:t>Journal of adventure education and outdoor learning.</w:t>
      </w:r>
    </w:p>
    <w:p w14:paraId="33B29C40" w14:textId="77777777" w:rsidR="009F09E7" w:rsidRDefault="009F09E7" w:rsidP="009F09E7">
      <w:pPr>
        <w:rPr>
          <w:rFonts w:ascii="Calibri" w:hAnsi="Calibri" w:cs="Calibri"/>
          <w:sz w:val="24"/>
          <w:szCs w:val="24"/>
        </w:rPr>
      </w:pPr>
      <w:r>
        <w:rPr>
          <w:rFonts w:ascii="Source Sans Pro" w:hAnsi="Source Sans Pro"/>
          <w:color w:val="3A3A3A"/>
          <w:sz w:val="23"/>
          <w:szCs w:val="23"/>
        </w:rPr>
        <w:t xml:space="preserve">Walker, R. &amp; </w:t>
      </w:r>
      <w:proofErr w:type="spellStart"/>
      <w:r>
        <w:rPr>
          <w:rFonts w:ascii="Source Sans Pro" w:hAnsi="Source Sans Pro"/>
          <w:color w:val="3A3A3A"/>
          <w:sz w:val="23"/>
          <w:szCs w:val="23"/>
        </w:rPr>
        <w:t>Solvason</w:t>
      </w:r>
      <w:proofErr w:type="spellEnd"/>
      <w:r>
        <w:rPr>
          <w:rFonts w:ascii="Source Sans Pro" w:hAnsi="Source Sans Pro"/>
          <w:color w:val="3A3A3A"/>
          <w:sz w:val="23"/>
          <w:szCs w:val="23"/>
        </w:rPr>
        <w:t xml:space="preserve">, C., 2014. </w:t>
      </w:r>
      <w:r>
        <w:rPr>
          <w:i/>
          <w:iCs/>
        </w:rPr>
        <w:t>Success with your early years research project</w:t>
      </w:r>
      <w:r>
        <w:t>, London: SAGE.</w:t>
      </w:r>
    </w:p>
    <w:p w14:paraId="7046E3E4" w14:textId="77777777" w:rsidR="009F09E7" w:rsidRDefault="009F09E7" w:rsidP="009F09E7">
      <w:bookmarkStart w:id="0" w:name="_GoBack"/>
      <w:bookmarkEnd w:id="0"/>
    </w:p>
    <w:p w14:paraId="6AA18C26" w14:textId="77777777" w:rsidR="009F09E7" w:rsidRDefault="009F09E7" w:rsidP="009F09E7"/>
    <w:p w14:paraId="528A846A" w14:textId="77777777" w:rsidR="009F09E7" w:rsidRDefault="009F09E7" w:rsidP="009F09E7"/>
    <w:p w14:paraId="013B3E27" w14:textId="77777777" w:rsidR="002339B8" w:rsidRDefault="002339B8"/>
    <w:sectPr w:rsidR="002339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A6C0E"/>
    <w:multiLevelType w:val="hybridMultilevel"/>
    <w:tmpl w:val="4992C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343863"/>
    <w:multiLevelType w:val="hybridMultilevel"/>
    <w:tmpl w:val="FA845D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31E1211"/>
    <w:multiLevelType w:val="hybridMultilevel"/>
    <w:tmpl w:val="900EDC5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E7"/>
    <w:rsid w:val="002339B8"/>
    <w:rsid w:val="009F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17C71"/>
  <w15:chartTrackingRefBased/>
  <w15:docId w15:val="{E54CF834-E0E2-4D11-9F46-F5877B71A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09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9E7"/>
    <w:pPr>
      <w:ind w:left="720"/>
      <w:contextualSpacing/>
    </w:pPr>
  </w:style>
  <w:style w:type="character" w:styleId="Hyperlink">
    <w:name w:val="Hyperlink"/>
    <w:basedOn w:val="DefaultParagraphFont"/>
    <w:uiPriority w:val="99"/>
    <w:semiHidden/>
    <w:unhideWhenUsed/>
    <w:rsid w:val="009F09E7"/>
    <w:rPr>
      <w:color w:val="525252" w:themeColor="accent3" w:themeShade="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227602">
      <w:bodyDiv w:val="1"/>
      <w:marLeft w:val="0"/>
      <w:marRight w:val="0"/>
      <w:marTop w:val="0"/>
      <w:marBottom w:val="0"/>
      <w:divBdr>
        <w:top w:val="none" w:sz="0" w:space="0" w:color="auto"/>
        <w:left w:val="none" w:sz="0" w:space="0" w:color="auto"/>
        <w:bottom w:val="none" w:sz="0" w:space="0" w:color="auto"/>
        <w:right w:val="none" w:sz="0" w:space="0" w:color="auto"/>
      </w:divBdr>
    </w:div>
    <w:div w:id="136891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icalscience.org/news/releases/heavily-decorated-classrooms-disrupt-attention-and-learning-in-young-children.html" TargetMode="External"/><Relationship Id="rId3" Type="http://schemas.openxmlformats.org/officeDocument/2006/relationships/settings" Target="settings.xml"/><Relationship Id="rId7" Type="http://schemas.openxmlformats.org/officeDocument/2006/relationships/hyperlink" Target="file:///C:\Users\hp\Documents\Curriculum%20PDF\digital%20competence%20framewor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ezproxy.uwtsd.ac.uk/10.1007/s10984-018-9260-6"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4437</Words>
  <Characters>25294</Characters>
  <Application>Microsoft Office Word</Application>
  <DocSecurity>0</DocSecurity>
  <Lines>210</Lines>
  <Paragraphs>59</Paragraphs>
  <ScaleCrop>false</ScaleCrop>
  <Company/>
  <LinksUpToDate>false</LinksUpToDate>
  <CharactersWithSpaces>29672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sharland</dc:creator>
  <cp:keywords/>
  <dc:description/>
  <cp:lastModifiedBy>hannah sharland</cp:lastModifiedBy>
  <cp:revision>1</cp:revision>
  <dcterms:created xsi:type="dcterms:W3CDTF">2018-10-16T12:35:00Z</dcterms:created>
  <dcterms:modified xsi:type="dcterms:W3CDTF">2018-10-16T12:37:00Z</dcterms:modified>
</cp:coreProperties>
</file>