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8399D" w14:textId="77777777" w:rsidR="00D03099" w:rsidRDefault="00D03099" w:rsidP="00D03099">
      <w:pPr>
        <w:spacing w:line="360" w:lineRule="auto"/>
        <w:jc w:val="both"/>
        <w:rPr>
          <w:color w:val="000000" w:themeColor="text1"/>
          <w:sz w:val="24"/>
          <w:szCs w:val="24"/>
        </w:rPr>
      </w:pPr>
    </w:p>
    <w:p w14:paraId="2E0FB043" w14:textId="7B6C2BB7" w:rsidR="00435192" w:rsidRPr="0055259C" w:rsidRDefault="00435192" w:rsidP="00435192">
      <w:pPr>
        <w:spacing w:line="360" w:lineRule="auto"/>
        <w:jc w:val="center"/>
        <w:rPr>
          <w:b/>
          <w:bCs/>
          <w:color w:val="000000" w:themeColor="text1"/>
          <w:sz w:val="28"/>
          <w:szCs w:val="24"/>
        </w:rPr>
      </w:pPr>
      <w:r w:rsidRPr="0055259C">
        <w:rPr>
          <w:b/>
          <w:bCs/>
          <w:color w:val="000000" w:themeColor="text1"/>
          <w:sz w:val="28"/>
          <w:szCs w:val="24"/>
        </w:rPr>
        <w:t xml:space="preserve">Individual Report on - “Development of a plan by meeting the identified personal development needs and expectations of </w:t>
      </w:r>
      <w:r w:rsidR="0055259C">
        <w:rPr>
          <w:b/>
          <w:bCs/>
          <w:color w:val="000000" w:themeColor="text1"/>
          <w:sz w:val="28"/>
          <w:szCs w:val="24"/>
        </w:rPr>
        <w:t>individual employees in a TESCO</w:t>
      </w:r>
      <w:bookmarkStart w:id="0" w:name="_GoBack"/>
      <w:bookmarkEnd w:id="0"/>
      <w:r w:rsidRPr="0055259C">
        <w:rPr>
          <w:b/>
          <w:bCs/>
          <w:color w:val="000000" w:themeColor="text1"/>
          <w:sz w:val="28"/>
          <w:szCs w:val="24"/>
        </w:rPr>
        <w:t xml:space="preserve"> organisation.</w:t>
      </w:r>
      <w:r w:rsidR="007361D2" w:rsidRPr="0055259C">
        <w:rPr>
          <w:b/>
          <w:bCs/>
          <w:color w:val="000000" w:themeColor="text1"/>
          <w:sz w:val="28"/>
          <w:szCs w:val="24"/>
        </w:rPr>
        <w:t>”</w:t>
      </w:r>
    </w:p>
    <w:p w14:paraId="14930830" w14:textId="77777777" w:rsidR="00D03099" w:rsidRDefault="00D03099" w:rsidP="00D03099">
      <w:pPr>
        <w:spacing w:line="360" w:lineRule="auto"/>
        <w:jc w:val="both"/>
        <w:rPr>
          <w:color w:val="000000" w:themeColor="text1"/>
          <w:sz w:val="24"/>
          <w:szCs w:val="24"/>
        </w:rPr>
      </w:pPr>
    </w:p>
    <w:p w14:paraId="0DDCA689" w14:textId="77777777" w:rsidR="0055259C" w:rsidRDefault="0055259C" w:rsidP="0055259C">
      <w:pPr>
        <w:spacing w:line="360" w:lineRule="auto"/>
        <w:rPr>
          <w:rFonts w:ascii="Arial" w:hAnsi="Arial" w:cs="Arial"/>
        </w:rPr>
      </w:pPr>
      <w:r>
        <w:rPr>
          <w:rFonts w:ascii="Arial" w:hAnsi="Arial" w:cs="Arial"/>
        </w:rPr>
        <w:t xml:space="preserve">Lecturer- Toyin Adisa </w:t>
      </w:r>
    </w:p>
    <w:p w14:paraId="64ED856C" w14:textId="77777777" w:rsidR="0055259C" w:rsidRDefault="0055259C" w:rsidP="0055259C">
      <w:pPr>
        <w:spacing w:line="360" w:lineRule="auto"/>
        <w:rPr>
          <w:rFonts w:ascii="Arial" w:hAnsi="Arial" w:cs="Arial"/>
        </w:rPr>
      </w:pPr>
      <w:r>
        <w:rPr>
          <w:rFonts w:ascii="Arial" w:hAnsi="Arial" w:cs="Arial"/>
        </w:rPr>
        <w:t xml:space="preserve">Student – Mantas Stonys </w:t>
      </w:r>
    </w:p>
    <w:p w14:paraId="07246E28" w14:textId="77777777" w:rsidR="0055259C" w:rsidRDefault="0055259C" w:rsidP="0055259C">
      <w:pPr>
        <w:spacing w:line="360" w:lineRule="auto"/>
        <w:rPr>
          <w:rFonts w:ascii="Arial" w:hAnsi="Arial" w:cs="Arial"/>
        </w:rPr>
      </w:pPr>
      <w:r>
        <w:rPr>
          <w:rFonts w:ascii="Arial" w:hAnsi="Arial" w:cs="Arial"/>
        </w:rPr>
        <w:t>Student ID- 2029520</w:t>
      </w:r>
    </w:p>
    <w:p w14:paraId="4CC3277D" w14:textId="3EE6DF40" w:rsidR="0055259C" w:rsidRPr="0055259C" w:rsidRDefault="0055259C" w:rsidP="0055259C">
      <w:pPr>
        <w:spacing w:line="360" w:lineRule="auto"/>
        <w:rPr>
          <w:b/>
          <w:bCs/>
          <w:color w:val="000000" w:themeColor="text1"/>
          <w:sz w:val="28"/>
          <w:szCs w:val="28"/>
        </w:rPr>
      </w:pPr>
      <w:r>
        <w:rPr>
          <w:rFonts w:ascii="Arial" w:hAnsi="Arial" w:cs="Arial"/>
        </w:rPr>
        <w:t>Module-</w:t>
      </w:r>
      <w:r w:rsidRPr="0055259C">
        <w:rPr>
          <w:b/>
          <w:bCs/>
          <w:color w:val="000000" w:themeColor="text1"/>
          <w:sz w:val="28"/>
          <w:szCs w:val="28"/>
        </w:rPr>
        <w:t xml:space="preserve"> </w:t>
      </w:r>
      <w:r w:rsidRPr="001B441E">
        <w:rPr>
          <w:b/>
          <w:bCs/>
          <w:color w:val="000000" w:themeColor="text1"/>
          <w:sz w:val="28"/>
          <w:szCs w:val="28"/>
        </w:rPr>
        <w:t>BMSW 5102: Developing Relationships and Workplace Achievements</w:t>
      </w:r>
    </w:p>
    <w:p w14:paraId="58D7035E" w14:textId="4BA90C15" w:rsidR="00EF3A22" w:rsidRDefault="00EF3A22">
      <w:pPr>
        <w:rPr>
          <w:color w:val="000000" w:themeColor="text1"/>
          <w:sz w:val="24"/>
          <w:szCs w:val="24"/>
        </w:rPr>
      </w:pPr>
      <w:r>
        <w:rPr>
          <w:color w:val="000000" w:themeColor="text1"/>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502190410"/>
        <w:docPartObj>
          <w:docPartGallery w:val="Table of Contents"/>
          <w:docPartUnique/>
        </w:docPartObj>
      </w:sdtPr>
      <w:sdtEndPr>
        <w:rPr>
          <w:b/>
          <w:bCs/>
          <w:noProof/>
        </w:rPr>
      </w:sdtEndPr>
      <w:sdtContent>
        <w:p w14:paraId="35380799" w14:textId="69857974" w:rsidR="00605624" w:rsidRPr="00605624" w:rsidRDefault="00605624" w:rsidP="00605624">
          <w:pPr>
            <w:pStyle w:val="TOCHeading"/>
            <w:jc w:val="center"/>
            <w:rPr>
              <w:b/>
              <w:bCs/>
              <w:color w:val="000000" w:themeColor="text1"/>
              <w:sz w:val="24"/>
              <w:szCs w:val="24"/>
            </w:rPr>
          </w:pPr>
          <w:r w:rsidRPr="00605624">
            <w:rPr>
              <w:b/>
              <w:bCs/>
              <w:color w:val="000000" w:themeColor="text1"/>
              <w:sz w:val="24"/>
              <w:szCs w:val="24"/>
            </w:rPr>
            <w:t>Table of Contents</w:t>
          </w:r>
        </w:p>
        <w:p w14:paraId="1D85FC6C" w14:textId="4F901FC6" w:rsidR="00605624" w:rsidRPr="00605624" w:rsidRDefault="00605624">
          <w:pPr>
            <w:pStyle w:val="TOC1"/>
            <w:tabs>
              <w:tab w:val="right" w:leader="dot" w:pos="9350"/>
            </w:tabs>
            <w:rPr>
              <w:noProof/>
            </w:rPr>
          </w:pPr>
          <w:r w:rsidRPr="00605624">
            <w:fldChar w:fldCharType="begin"/>
          </w:r>
          <w:r w:rsidRPr="00605624">
            <w:instrText xml:space="preserve"> TOC \o "1-3" \h \z \u </w:instrText>
          </w:r>
          <w:r w:rsidRPr="00605624">
            <w:fldChar w:fldCharType="separate"/>
          </w:r>
          <w:hyperlink w:anchor="_Toc143034124" w:history="1">
            <w:r w:rsidRPr="00605624">
              <w:rPr>
                <w:rStyle w:val="Hyperlink"/>
                <w:noProof/>
              </w:rPr>
              <w:t>Introduction</w:t>
            </w:r>
            <w:r w:rsidRPr="00605624">
              <w:rPr>
                <w:noProof/>
                <w:webHidden/>
              </w:rPr>
              <w:tab/>
            </w:r>
            <w:r w:rsidRPr="00605624">
              <w:rPr>
                <w:noProof/>
                <w:webHidden/>
              </w:rPr>
              <w:fldChar w:fldCharType="begin"/>
            </w:r>
            <w:r w:rsidRPr="00605624">
              <w:rPr>
                <w:noProof/>
                <w:webHidden/>
              </w:rPr>
              <w:instrText xml:space="preserve"> PAGEREF _Toc143034124 \h </w:instrText>
            </w:r>
            <w:r w:rsidRPr="00605624">
              <w:rPr>
                <w:noProof/>
                <w:webHidden/>
              </w:rPr>
            </w:r>
            <w:r w:rsidRPr="00605624">
              <w:rPr>
                <w:noProof/>
                <w:webHidden/>
              </w:rPr>
              <w:fldChar w:fldCharType="separate"/>
            </w:r>
            <w:r w:rsidRPr="00605624">
              <w:rPr>
                <w:noProof/>
                <w:webHidden/>
              </w:rPr>
              <w:t>3</w:t>
            </w:r>
            <w:r w:rsidRPr="00605624">
              <w:rPr>
                <w:noProof/>
                <w:webHidden/>
              </w:rPr>
              <w:fldChar w:fldCharType="end"/>
            </w:r>
          </w:hyperlink>
        </w:p>
        <w:p w14:paraId="3831705C" w14:textId="6754F6B3" w:rsidR="00605624" w:rsidRPr="00605624" w:rsidRDefault="00955937">
          <w:pPr>
            <w:pStyle w:val="TOC1"/>
            <w:tabs>
              <w:tab w:val="right" w:leader="dot" w:pos="9350"/>
            </w:tabs>
            <w:rPr>
              <w:noProof/>
            </w:rPr>
          </w:pPr>
          <w:hyperlink w:anchor="_Toc143034125" w:history="1">
            <w:r w:rsidR="00605624" w:rsidRPr="00605624">
              <w:rPr>
                <w:rStyle w:val="Hyperlink"/>
                <w:noProof/>
              </w:rPr>
              <w:t>Critically evaluating the development vehicles.</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_Toc143034125 \h </w:instrText>
            </w:r>
            <w:r w:rsidR="00605624" w:rsidRPr="00605624">
              <w:rPr>
                <w:noProof/>
                <w:webHidden/>
              </w:rPr>
            </w:r>
            <w:r w:rsidR="00605624" w:rsidRPr="00605624">
              <w:rPr>
                <w:noProof/>
                <w:webHidden/>
              </w:rPr>
              <w:fldChar w:fldCharType="separate"/>
            </w:r>
            <w:r w:rsidR="00605624" w:rsidRPr="00605624">
              <w:rPr>
                <w:noProof/>
                <w:webHidden/>
              </w:rPr>
              <w:t>3</w:t>
            </w:r>
            <w:r w:rsidR="00605624" w:rsidRPr="00605624">
              <w:rPr>
                <w:noProof/>
                <w:webHidden/>
              </w:rPr>
              <w:fldChar w:fldCharType="end"/>
            </w:r>
          </w:hyperlink>
        </w:p>
        <w:p w14:paraId="5BB04AF1" w14:textId="35D01CEA" w:rsidR="00605624" w:rsidRPr="00605624" w:rsidRDefault="00955937">
          <w:pPr>
            <w:pStyle w:val="TOC2"/>
            <w:tabs>
              <w:tab w:val="right" w:leader="dot" w:pos="9350"/>
            </w:tabs>
            <w:rPr>
              <w:noProof/>
            </w:rPr>
          </w:pPr>
          <w:hyperlink w:anchor="_Toc143034126" w:history="1">
            <w:r w:rsidR="00605624" w:rsidRPr="00605624">
              <w:rPr>
                <w:rStyle w:val="Hyperlink"/>
                <w:noProof/>
              </w:rPr>
              <w:t>Mentoring and Training Programs</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_Toc143034126 \h </w:instrText>
            </w:r>
            <w:r w:rsidR="00605624" w:rsidRPr="00605624">
              <w:rPr>
                <w:noProof/>
                <w:webHidden/>
              </w:rPr>
            </w:r>
            <w:r w:rsidR="00605624" w:rsidRPr="00605624">
              <w:rPr>
                <w:noProof/>
                <w:webHidden/>
              </w:rPr>
              <w:fldChar w:fldCharType="separate"/>
            </w:r>
            <w:r w:rsidR="00605624" w:rsidRPr="00605624">
              <w:rPr>
                <w:noProof/>
                <w:webHidden/>
              </w:rPr>
              <w:t>3</w:t>
            </w:r>
            <w:r w:rsidR="00605624" w:rsidRPr="00605624">
              <w:rPr>
                <w:noProof/>
                <w:webHidden/>
              </w:rPr>
              <w:fldChar w:fldCharType="end"/>
            </w:r>
          </w:hyperlink>
        </w:p>
        <w:p w14:paraId="1537F15F" w14:textId="75AE3DE0" w:rsidR="00605624" w:rsidRPr="00605624" w:rsidRDefault="00955937">
          <w:pPr>
            <w:pStyle w:val="TOC2"/>
            <w:tabs>
              <w:tab w:val="right" w:leader="dot" w:pos="9350"/>
            </w:tabs>
            <w:rPr>
              <w:noProof/>
            </w:rPr>
          </w:pPr>
          <w:hyperlink w:anchor="_Toc143034127" w:history="1">
            <w:r w:rsidR="00605624" w:rsidRPr="00605624">
              <w:rPr>
                <w:rStyle w:val="Hyperlink"/>
                <w:noProof/>
              </w:rPr>
              <w:t>Leadership Development Programs</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_Toc143034127 \h </w:instrText>
            </w:r>
            <w:r w:rsidR="00605624" w:rsidRPr="00605624">
              <w:rPr>
                <w:noProof/>
                <w:webHidden/>
              </w:rPr>
            </w:r>
            <w:r w:rsidR="00605624" w:rsidRPr="00605624">
              <w:rPr>
                <w:noProof/>
                <w:webHidden/>
              </w:rPr>
              <w:fldChar w:fldCharType="separate"/>
            </w:r>
            <w:r w:rsidR="00605624" w:rsidRPr="00605624">
              <w:rPr>
                <w:noProof/>
                <w:webHidden/>
              </w:rPr>
              <w:t>5</w:t>
            </w:r>
            <w:r w:rsidR="00605624" w:rsidRPr="00605624">
              <w:rPr>
                <w:noProof/>
                <w:webHidden/>
              </w:rPr>
              <w:fldChar w:fldCharType="end"/>
            </w:r>
          </w:hyperlink>
        </w:p>
        <w:p w14:paraId="1E33799E" w14:textId="25BAEC29" w:rsidR="00605624" w:rsidRPr="00605624" w:rsidRDefault="00955937">
          <w:pPr>
            <w:pStyle w:val="TOC2"/>
            <w:tabs>
              <w:tab w:val="right" w:leader="dot" w:pos="9350"/>
            </w:tabs>
            <w:rPr>
              <w:noProof/>
            </w:rPr>
          </w:pPr>
          <w:hyperlink w:anchor="_Toc143034128" w:history="1">
            <w:r w:rsidR="00605624" w:rsidRPr="00605624">
              <w:rPr>
                <w:rStyle w:val="Hyperlink"/>
                <w:noProof/>
              </w:rPr>
              <w:t>Appraisal meeting</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_Toc143034128 \h </w:instrText>
            </w:r>
            <w:r w:rsidR="00605624" w:rsidRPr="00605624">
              <w:rPr>
                <w:noProof/>
                <w:webHidden/>
              </w:rPr>
            </w:r>
            <w:r w:rsidR="00605624" w:rsidRPr="00605624">
              <w:rPr>
                <w:noProof/>
                <w:webHidden/>
              </w:rPr>
              <w:fldChar w:fldCharType="separate"/>
            </w:r>
            <w:r w:rsidR="00605624" w:rsidRPr="00605624">
              <w:rPr>
                <w:noProof/>
                <w:webHidden/>
              </w:rPr>
              <w:t>6</w:t>
            </w:r>
            <w:r w:rsidR="00605624" w:rsidRPr="00605624">
              <w:rPr>
                <w:noProof/>
                <w:webHidden/>
              </w:rPr>
              <w:fldChar w:fldCharType="end"/>
            </w:r>
          </w:hyperlink>
        </w:p>
        <w:p w14:paraId="37CD6D67" w14:textId="1813F698" w:rsidR="00605624" w:rsidRPr="00605624" w:rsidRDefault="00955937">
          <w:pPr>
            <w:pStyle w:val="TOC2"/>
            <w:tabs>
              <w:tab w:val="right" w:leader="dot" w:pos="9350"/>
            </w:tabs>
            <w:rPr>
              <w:noProof/>
            </w:rPr>
          </w:pPr>
          <w:hyperlink w:anchor="_Toc143034129" w:history="1">
            <w:r w:rsidR="00605624" w:rsidRPr="00605624">
              <w:rPr>
                <w:rStyle w:val="Hyperlink"/>
                <w:noProof/>
              </w:rPr>
              <w:t>Performance-based Incentives</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_Toc143034129 \h </w:instrText>
            </w:r>
            <w:r w:rsidR="00605624" w:rsidRPr="00605624">
              <w:rPr>
                <w:noProof/>
                <w:webHidden/>
              </w:rPr>
            </w:r>
            <w:r w:rsidR="00605624" w:rsidRPr="00605624">
              <w:rPr>
                <w:noProof/>
                <w:webHidden/>
              </w:rPr>
              <w:fldChar w:fldCharType="separate"/>
            </w:r>
            <w:r w:rsidR="00605624" w:rsidRPr="00605624">
              <w:rPr>
                <w:noProof/>
                <w:webHidden/>
              </w:rPr>
              <w:t>7</w:t>
            </w:r>
            <w:r w:rsidR="00605624" w:rsidRPr="00605624">
              <w:rPr>
                <w:noProof/>
                <w:webHidden/>
              </w:rPr>
              <w:fldChar w:fldCharType="end"/>
            </w:r>
          </w:hyperlink>
        </w:p>
        <w:p w14:paraId="5EEADB70" w14:textId="6A50501B" w:rsidR="00605624" w:rsidRPr="00605624" w:rsidRDefault="00955937">
          <w:pPr>
            <w:pStyle w:val="TOC2"/>
            <w:tabs>
              <w:tab w:val="right" w:leader="dot" w:pos="9350"/>
            </w:tabs>
            <w:rPr>
              <w:noProof/>
            </w:rPr>
          </w:pPr>
          <w:hyperlink w:anchor="_Toc143034130" w:history="1">
            <w:r w:rsidR="00605624" w:rsidRPr="00605624">
              <w:rPr>
                <w:rStyle w:val="Hyperlink"/>
                <w:noProof/>
              </w:rPr>
              <w:t>Individual Development Plans</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_Toc143034130 \h </w:instrText>
            </w:r>
            <w:r w:rsidR="00605624" w:rsidRPr="00605624">
              <w:rPr>
                <w:noProof/>
                <w:webHidden/>
              </w:rPr>
            </w:r>
            <w:r w:rsidR="00605624" w:rsidRPr="00605624">
              <w:rPr>
                <w:noProof/>
                <w:webHidden/>
              </w:rPr>
              <w:fldChar w:fldCharType="separate"/>
            </w:r>
            <w:r w:rsidR="00605624" w:rsidRPr="00605624">
              <w:rPr>
                <w:noProof/>
                <w:webHidden/>
              </w:rPr>
              <w:t>8</w:t>
            </w:r>
            <w:r w:rsidR="00605624" w:rsidRPr="00605624">
              <w:rPr>
                <w:noProof/>
                <w:webHidden/>
              </w:rPr>
              <w:fldChar w:fldCharType="end"/>
            </w:r>
          </w:hyperlink>
        </w:p>
        <w:p w14:paraId="72F13B6A" w14:textId="32AE8A6A" w:rsidR="00605624" w:rsidRPr="00605624" w:rsidRDefault="00955937">
          <w:pPr>
            <w:pStyle w:val="TOC1"/>
            <w:tabs>
              <w:tab w:val="right" w:leader="dot" w:pos="9350"/>
            </w:tabs>
            <w:rPr>
              <w:noProof/>
            </w:rPr>
          </w:pPr>
          <w:hyperlink w:anchor="_Toc143034131" w:history="1">
            <w:r w:rsidR="00605624" w:rsidRPr="00605624">
              <w:rPr>
                <w:rStyle w:val="Hyperlink"/>
                <w:noProof/>
              </w:rPr>
              <w:t>A professional development plan (PDP) for an individual employee</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_Toc143034131 \h </w:instrText>
            </w:r>
            <w:r w:rsidR="00605624" w:rsidRPr="00605624">
              <w:rPr>
                <w:noProof/>
                <w:webHidden/>
              </w:rPr>
            </w:r>
            <w:r w:rsidR="00605624" w:rsidRPr="00605624">
              <w:rPr>
                <w:noProof/>
                <w:webHidden/>
              </w:rPr>
              <w:fldChar w:fldCharType="separate"/>
            </w:r>
            <w:r w:rsidR="00605624" w:rsidRPr="00605624">
              <w:rPr>
                <w:noProof/>
                <w:webHidden/>
              </w:rPr>
              <w:t>9</w:t>
            </w:r>
            <w:r w:rsidR="00605624" w:rsidRPr="00605624">
              <w:rPr>
                <w:noProof/>
                <w:webHidden/>
              </w:rPr>
              <w:fldChar w:fldCharType="end"/>
            </w:r>
          </w:hyperlink>
        </w:p>
        <w:p w14:paraId="2B8148A5" w14:textId="35B969B4" w:rsidR="00605624" w:rsidRPr="00605624" w:rsidRDefault="00955937">
          <w:pPr>
            <w:pStyle w:val="TOC1"/>
            <w:tabs>
              <w:tab w:val="right" w:leader="dot" w:pos="9350"/>
            </w:tabs>
            <w:rPr>
              <w:noProof/>
            </w:rPr>
          </w:pPr>
          <w:hyperlink w:anchor="_Toc143034132" w:history="1">
            <w:r w:rsidR="00605624" w:rsidRPr="00605624">
              <w:rPr>
                <w:rStyle w:val="Hyperlink"/>
                <w:noProof/>
              </w:rPr>
              <w:t>Conclusion</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_Toc143034132 \h </w:instrText>
            </w:r>
            <w:r w:rsidR="00605624" w:rsidRPr="00605624">
              <w:rPr>
                <w:noProof/>
                <w:webHidden/>
              </w:rPr>
            </w:r>
            <w:r w:rsidR="00605624" w:rsidRPr="00605624">
              <w:rPr>
                <w:noProof/>
                <w:webHidden/>
              </w:rPr>
              <w:fldChar w:fldCharType="separate"/>
            </w:r>
            <w:r w:rsidR="00605624" w:rsidRPr="00605624">
              <w:rPr>
                <w:noProof/>
                <w:webHidden/>
              </w:rPr>
              <w:t>12</w:t>
            </w:r>
            <w:r w:rsidR="00605624" w:rsidRPr="00605624">
              <w:rPr>
                <w:noProof/>
                <w:webHidden/>
              </w:rPr>
              <w:fldChar w:fldCharType="end"/>
            </w:r>
          </w:hyperlink>
        </w:p>
        <w:p w14:paraId="19CCB497" w14:textId="563F606F" w:rsidR="00605624" w:rsidRPr="00605624" w:rsidRDefault="00955937">
          <w:pPr>
            <w:pStyle w:val="TOC1"/>
            <w:tabs>
              <w:tab w:val="right" w:leader="dot" w:pos="9350"/>
            </w:tabs>
            <w:rPr>
              <w:noProof/>
            </w:rPr>
          </w:pPr>
          <w:hyperlink w:anchor="_Toc143034133" w:history="1">
            <w:r w:rsidR="00605624" w:rsidRPr="00605624">
              <w:rPr>
                <w:rStyle w:val="Hyperlink"/>
                <w:noProof/>
              </w:rPr>
              <w:t>References</w:t>
            </w:r>
            <w:r w:rsidR="00605624" w:rsidRPr="00605624">
              <w:rPr>
                <w:noProof/>
                <w:webHidden/>
              </w:rPr>
              <w:tab/>
            </w:r>
            <w:r w:rsidR="00605624" w:rsidRPr="00605624">
              <w:rPr>
                <w:noProof/>
                <w:webHidden/>
              </w:rPr>
              <w:fldChar w:fldCharType="begin"/>
            </w:r>
            <w:r w:rsidR="00605624" w:rsidRPr="00605624">
              <w:rPr>
                <w:noProof/>
                <w:webHidden/>
              </w:rPr>
              <w:instrText xml:space="preserve"> PAGEREF _Toc143034133 \h </w:instrText>
            </w:r>
            <w:r w:rsidR="00605624" w:rsidRPr="00605624">
              <w:rPr>
                <w:noProof/>
                <w:webHidden/>
              </w:rPr>
            </w:r>
            <w:r w:rsidR="00605624" w:rsidRPr="00605624">
              <w:rPr>
                <w:noProof/>
                <w:webHidden/>
              </w:rPr>
              <w:fldChar w:fldCharType="separate"/>
            </w:r>
            <w:r w:rsidR="00605624" w:rsidRPr="00605624">
              <w:rPr>
                <w:noProof/>
                <w:webHidden/>
              </w:rPr>
              <w:t>13</w:t>
            </w:r>
            <w:r w:rsidR="00605624" w:rsidRPr="00605624">
              <w:rPr>
                <w:noProof/>
                <w:webHidden/>
              </w:rPr>
              <w:fldChar w:fldCharType="end"/>
            </w:r>
          </w:hyperlink>
        </w:p>
        <w:p w14:paraId="41884A67" w14:textId="58636B26" w:rsidR="00605624" w:rsidRDefault="00605624">
          <w:r w:rsidRPr="00605624">
            <w:rPr>
              <w:noProof/>
            </w:rPr>
            <w:fldChar w:fldCharType="end"/>
          </w:r>
        </w:p>
      </w:sdtContent>
    </w:sdt>
    <w:p w14:paraId="2F4160CA" w14:textId="3793A7DB" w:rsidR="00EF3A22" w:rsidRDefault="00EF3A22" w:rsidP="00D03099">
      <w:pPr>
        <w:spacing w:line="360" w:lineRule="auto"/>
        <w:jc w:val="both"/>
        <w:rPr>
          <w:color w:val="000000" w:themeColor="text1"/>
          <w:sz w:val="24"/>
          <w:szCs w:val="24"/>
        </w:rPr>
      </w:pPr>
    </w:p>
    <w:p w14:paraId="6921BCF4" w14:textId="4E5AD98C" w:rsidR="00FB4218" w:rsidRDefault="00FB4218">
      <w:pPr>
        <w:rPr>
          <w:color w:val="000000" w:themeColor="text1"/>
          <w:sz w:val="24"/>
          <w:szCs w:val="24"/>
        </w:rPr>
      </w:pPr>
      <w:r>
        <w:rPr>
          <w:color w:val="000000" w:themeColor="text1"/>
          <w:sz w:val="24"/>
          <w:szCs w:val="24"/>
        </w:rPr>
        <w:br w:type="page"/>
      </w:r>
    </w:p>
    <w:p w14:paraId="0E58A1D6" w14:textId="55A59359" w:rsidR="00FB4218" w:rsidRPr="002A2043" w:rsidRDefault="00891CF8" w:rsidP="002A2043">
      <w:pPr>
        <w:pStyle w:val="Heading1"/>
        <w:rPr>
          <w:b/>
          <w:bCs/>
        </w:rPr>
      </w:pPr>
      <w:bookmarkStart w:id="1" w:name="_Toc143034124"/>
      <w:r w:rsidRPr="002A2043">
        <w:rPr>
          <w:b/>
          <w:bCs/>
        </w:rPr>
        <w:lastRenderedPageBreak/>
        <w:t>Introduction</w:t>
      </w:r>
      <w:bookmarkEnd w:id="1"/>
    </w:p>
    <w:p w14:paraId="0EA002B6" w14:textId="050B8869" w:rsidR="00C9688D" w:rsidRPr="00C9688D" w:rsidRDefault="00C9688D" w:rsidP="00C9688D">
      <w:pPr>
        <w:spacing w:line="360" w:lineRule="auto"/>
        <w:jc w:val="both"/>
        <w:rPr>
          <w:color w:val="000000" w:themeColor="text1"/>
          <w:sz w:val="24"/>
          <w:szCs w:val="24"/>
        </w:rPr>
      </w:pPr>
      <w:r w:rsidRPr="00C9688D">
        <w:rPr>
          <w:color w:val="000000" w:themeColor="text1"/>
          <w:sz w:val="24"/>
          <w:szCs w:val="24"/>
        </w:rPr>
        <w:t>In the evolving landscape of organisational development, the tools used to foster employee growth, referred to as "development vehicles," have become vital components in the process of human resource management (Mathis et al., 2016). These vehicles encompass various strategies and programs, such as Ongoing Learning Opportunities, Regular performance reviews, Job rotation opportunities, Mentoring Programs, Leadership Development Programs, Appraisal meetings, Performance-based Incentives, Individual Development Plans, and Promoting a Culture of Recognition, to name a few.</w:t>
      </w:r>
      <w:r>
        <w:rPr>
          <w:color w:val="000000" w:themeColor="text1"/>
          <w:sz w:val="24"/>
          <w:szCs w:val="24"/>
        </w:rPr>
        <w:t xml:space="preserve"> This report focuses on</w:t>
      </w:r>
      <w:r w:rsidRPr="00C9688D">
        <w:rPr>
          <w:color w:val="000000" w:themeColor="text1"/>
          <w:sz w:val="24"/>
          <w:szCs w:val="24"/>
        </w:rPr>
        <w:t xml:space="preserve"> the critical evaluation of these development vehicles in the context of Tesco's new e-fulfilment services project. This scenario presents a unique challenge, wherein the author, in the position of HR trainee, is tasked with engaging staff in this fresh venture that addresses the rapidly expanding online orders sector (Tesco Plc., 2022). This report aims to dissect the effectiveness of the development vehicles in achieving individual and organisational success and present a professional development plan (PDP) for an individual employee within the organisation.</w:t>
      </w:r>
    </w:p>
    <w:p w14:paraId="2B94BC23" w14:textId="4F96EE79" w:rsidR="00C9688D" w:rsidRPr="00C9688D" w:rsidRDefault="00C9688D" w:rsidP="00C9688D">
      <w:pPr>
        <w:spacing w:line="360" w:lineRule="auto"/>
        <w:jc w:val="both"/>
        <w:rPr>
          <w:color w:val="000000" w:themeColor="text1"/>
          <w:sz w:val="24"/>
          <w:szCs w:val="24"/>
        </w:rPr>
      </w:pPr>
      <w:r w:rsidRPr="00C9688D">
        <w:rPr>
          <w:color w:val="000000" w:themeColor="text1"/>
          <w:sz w:val="24"/>
          <w:szCs w:val="24"/>
        </w:rPr>
        <w:t xml:space="preserve">The case study firm in focus is Tesco, a leading multinational grocery and general merchandise retailer operating in several countries, including the United Kingdom, Ireland, Hungary, and Thailand. With over </w:t>
      </w:r>
      <w:r>
        <w:rPr>
          <w:color w:val="000000" w:themeColor="text1"/>
          <w:sz w:val="24"/>
          <w:szCs w:val="24"/>
        </w:rPr>
        <w:t>354</w:t>
      </w:r>
      <w:r w:rsidRPr="00C9688D">
        <w:rPr>
          <w:color w:val="000000" w:themeColor="text1"/>
          <w:sz w:val="24"/>
          <w:szCs w:val="24"/>
        </w:rPr>
        <w:t>,000 employees, Tesco offers a wide range of products and services, including food, clothing, electronics, and financial services (Tesco Plc., 2022). This introduction sets the stage for a comprehensive analysis that will delve into the nuanced relationship between personal development needs and organisational expectations</w:t>
      </w:r>
      <w:r>
        <w:rPr>
          <w:color w:val="000000" w:themeColor="text1"/>
          <w:sz w:val="24"/>
          <w:szCs w:val="24"/>
        </w:rPr>
        <w:t>. Tesco's e-fulfilment services project serves</w:t>
      </w:r>
      <w:r w:rsidRPr="00C9688D">
        <w:rPr>
          <w:color w:val="000000" w:themeColor="text1"/>
          <w:sz w:val="24"/>
          <w:szCs w:val="24"/>
        </w:rPr>
        <w:t xml:space="preserve"> as a practical and timely example.</w:t>
      </w:r>
    </w:p>
    <w:p w14:paraId="04025127" w14:textId="77777777" w:rsidR="00C9688D" w:rsidRPr="00C9688D" w:rsidRDefault="00C9688D" w:rsidP="00C9688D">
      <w:pPr>
        <w:spacing w:line="360" w:lineRule="auto"/>
        <w:jc w:val="both"/>
        <w:rPr>
          <w:vanish/>
          <w:color w:val="000000" w:themeColor="text1"/>
          <w:sz w:val="24"/>
          <w:szCs w:val="24"/>
        </w:rPr>
      </w:pPr>
      <w:r w:rsidRPr="00C9688D">
        <w:rPr>
          <w:vanish/>
          <w:color w:val="000000" w:themeColor="text1"/>
          <w:sz w:val="24"/>
          <w:szCs w:val="24"/>
        </w:rPr>
        <w:t>Top of Form</w:t>
      </w:r>
    </w:p>
    <w:p w14:paraId="302FB43C" w14:textId="139A122D" w:rsidR="00E43F61" w:rsidRPr="00E43F61" w:rsidRDefault="00E43F61" w:rsidP="00E43F61">
      <w:pPr>
        <w:pStyle w:val="Heading1"/>
        <w:rPr>
          <w:b/>
          <w:bCs/>
        </w:rPr>
      </w:pPr>
      <w:bookmarkStart w:id="2" w:name="_Toc143034125"/>
      <w:r w:rsidRPr="00E43F61">
        <w:rPr>
          <w:b/>
          <w:bCs/>
        </w:rPr>
        <w:t>Critically evaluating the development vehicles.</w:t>
      </w:r>
      <w:bookmarkEnd w:id="2"/>
    </w:p>
    <w:p w14:paraId="518E994E" w14:textId="7EAB49EE" w:rsidR="0047324D" w:rsidRPr="00B516B0" w:rsidRDefault="0047324D" w:rsidP="00B516B0">
      <w:pPr>
        <w:pStyle w:val="Heading2"/>
        <w:rPr>
          <w:b/>
          <w:bCs/>
        </w:rPr>
      </w:pPr>
      <w:bookmarkStart w:id="3" w:name="_Toc143034126"/>
      <w:r w:rsidRPr="00B516B0">
        <w:rPr>
          <w:b/>
          <w:bCs/>
        </w:rPr>
        <w:t>Mentoring</w:t>
      </w:r>
      <w:r w:rsidR="006C13DB" w:rsidRPr="00B516B0">
        <w:rPr>
          <w:b/>
          <w:bCs/>
        </w:rPr>
        <w:t xml:space="preserve"> and Training</w:t>
      </w:r>
      <w:r w:rsidRPr="00B516B0">
        <w:rPr>
          <w:b/>
          <w:bCs/>
        </w:rPr>
        <w:t xml:space="preserve"> Programs</w:t>
      </w:r>
      <w:bookmarkEnd w:id="3"/>
    </w:p>
    <w:p w14:paraId="22836185" w14:textId="77777777" w:rsidR="00E70EF0" w:rsidRPr="00E70EF0" w:rsidRDefault="00E70EF0" w:rsidP="00E70EF0">
      <w:pPr>
        <w:spacing w:line="360" w:lineRule="auto"/>
        <w:jc w:val="both"/>
        <w:rPr>
          <w:color w:val="000000" w:themeColor="text1"/>
          <w:sz w:val="24"/>
          <w:szCs w:val="24"/>
        </w:rPr>
      </w:pPr>
      <w:r w:rsidRPr="00E70EF0">
        <w:rPr>
          <w:color w:val="000000" w:themeColor="text1"/>
          <w:sz w:val="24"/>
          <w:szCs w:val="24"/>
        </w:rPr>
        <w:t>As part of its human resource management, Tesco has made significant use of mentoring and training programmes. Tesco encourages its staff to work together and learn from one another by matching veterans with rookies (Adams, 2019). Relationships based on mentoring often include frequent one-on-one contacts, individualised guidance, and the exchange of valuable work-related knowledge and experience (Stone et al., 2020). These policies are in line with Tesco's overall commitment to developing its employees' skills and potential.</w:t>
      </w:r>
    </w:p>
    <w:p w14:paraId="2540E337" w14:textId="77777777" w:rsidR="00E70EF0" w:rsidRPr="00E70EF0" w:rsidRDefault="00E70EF0" w:rsidP="00E70EF0">
      <w:pPr>
        <w:spacing w:line="360" w:lineRule="auto"/>
        <w:jc w:val="both"/>
        <w:rPr>
          <w:color w:val="000000" w:themeColor="text1"/>
          <w:sz w:val="24"/>
          <w:szCs w:val="24"/>
        </w:rPr>
      </w:pPr>
      <w:r w:rsidRPr="00E70EF0">
        <w:rPr>
          <w:color w:val="000000" w:themeColor="text1"/>
          <w:sz w:val="24"/>
          <w:szCs w:val="24"/>
        </w:rPr>
        <w:lastRenderedPageBreak/>
        <w:t>Tesco's mentoring and training programmes have been important in the company's success. Incorporating these programmes into the workplace may lead to greater job satisfaction and productivity (Mathis et al., 2016; Stewart and Brown, 2019). Improved staff engagement ratings, decreased turnover rates, and higher individual productivity inside Tesco are all evidence of this success (Hewett et al., 2018). Improved productivity is only one side effect of mentoring's individualised approach, which also encourages feelings of belonging and trust.</w:t>
      </w:r>
    </w:p>
    <w:p w14:paraId="732E3BBD" w14:textId="71DF8232" w:rsidR="00DB21E4" w:rsidRDefault="00E70EF0" w:rsidP="00DB21E4">
      <w:pPr>
        <w:spacing w:line="360" w:lineRule="auto"/>
        <w:jc w:val="both"/>
        <w:rPr>
          <w:color w:val="000000" w:themeColor="text1"/>
          <w:sz w:val="24"/>
          <w:szCs w:val="24"/>
        </w:rPr>
      </w:pPr>
      <w:r w:rsidRPr="00E70EF0">
        <w:rPr>
          <w:color w:val="000000" w:themeColor="text1"/>
          <w:sz w:val="24"/>
          <w:szCs w:val="24"/>
        </w:rPr>
        <w:t>Mentoring and training programmes at Tesco are designed to boost productivity across the board, not just for individual employees. Tesco's competitive advantage is bolstered and employees' efforts are better coordinated with company objectives as a result of the company's focus on employee development and satisfaction (Ivanovic &amp; Ivancevic, 2022). The mentorship programme at Tesco, for instance, was crucial in the project's effective execution since it ensured that staff had the necessary skills and were committed to the project's goals (Andalib, Darun, &amp; Azizan, 2019). Increased productivity and happy customers boosted Tesco's profit line thanks to this alignment.</w:t>
      </w:r>
    </w:p>
    <w:p w14:paraId="1688435A" w14:textId="6B49E239" w:rsidR="00E7129C" w:rsidRPr="00DB21E4" w:rsidRDefault="00E7129C" w:rsidP="00DB21E4">
      <w:pPr>
        <w:spacing w:line="360" w:lineRule="auto"/>
        <w:jc w:val="both"/>
        <w:rPr>
          <w:color w:val="000000" w:themeColor="text1"/>
          <w:sz w:val="24"/>
          <w:szCs w:val="24"/>
        </w:rPr>
      </w:pPr>
      <w:r w:rsidRPr="00E7129C">
        <w:rPr>
          <w:color w:val="000000" w:themeColor="text1"/>
          <w:sz w:val="24"/>
          <w:szCs w:val="24"/>
        </w:rPr>
        <w:t>While Mentoring and Training Programs have offered substantial benefits to Tesco, they have also presented certain challenges. The implementation of these programs necessitates considerable investment in terms of time, resources, and finances (Stone et al., 2020). Furthermore, a significant risk exists in the potential loss that Tesco may incur if mentored or trained employees are not retained within the organisation (Stewart and Brown, 2019). Such a loss not only translates to a monetary setback but also a depletion of intellectual capital that was nurtured through these programs (Stone and Deadrick, 2015; DeCenzo et al., 2016). The failure to retain these valuable employees could diminish the return on investment in development efforts, underscoring the need for a thoughtful strategy that aligns individual career paths with organisational objectives.</w:t>
      </w:r>
    </w:p>
    <w:p w14:paraId="03C081C4" w14:textId="7807D58D" w:rsidR="00DB21E4" w:rsidRDefault="00DB21E4" w:rsidP="00D03099">
      <w:pPr>
        <w:spacing w:line="360" w:lineRule="auto"/>
        <w:jc w:val="both"/>
        <w:rPr>
          <w:color w:val="000000" w:themeColor="text1"/>
          <w:sz w:val="24"/>
          <w:szCs w:val="24"/>
        </w:rPr>
      </w:pPr>
      <w:r w:rsidRPr="00DB21E4">
        <w:rPr>
          <w:color w:val="000000" w:themeColor="text1"/>
          <w:sz w:val="24"/>
          <w:szCs w:val="24"/>
        </w:rPr>
        <w:t xml:space="preserve">The success of the Mentoring and Training Programs at Tesco can be critically examined through the lens of Social Learning Theory (SLT). According to SLT, learning occurs within a social context through observation, imitation, and </w:t>
      </w:r>
      <w:r>
        <w:rPr>
          <w:color w:val="000000" w:themeColor="text1"/>
          <w:sz w:val="24"/>
          <w:szCs w:val="24"/>
        </w:rPr>
        <w:t>modelling</w:t>
      </w:r>
      <w:r w:rsidRPr="00DB21E4">
        <w:rPr>
          <w:color w:val="000000" w:themeColor="text1"/>
          <w:sz w:val="24"/>
          <w:szCs w:val="24"/>
        </w:rPr>
        <w:t xml:space="preserve"> (Stone and Deadrick, 2015; DeCenzo et al., 2016). In Tesco's mentoring framework, mentees observe and emulate the behaviours and practices of </w:t>
      </w:r>
      <w:r w:rsidRPr="00DB21E4">
        <w:rPr>
          <w:color w:val="000000" w:themeColor="text1"/>
          <w:sz w:val="24"/>
          <w:szCs w:val="24"/>
        </w:rPr>
        <w:lastRenderedPageBreak/>
        <w:t>their mentors. This observational learning promotes the acquisition of new skills and the reinforcement of desired organisational values and culture. The application of SLT in this context underscores the importance of interpersonal relationships in learning, thereby further validating Tesco's focus on Mentoring and Training Programs as effective development vehicles.</w:t>
      </w:r>
    </w:p>
    <w:p w14:paraId="71B379A7" w14:textId="02E9B484" w:rsidR="0047324D" w:rsidRPr="00B516B0" w:rsidRDefault="0047324D" w:rsidP="00B516B0">
      <w:pPr>
        <w:pStyle w:val="Heading2"/>
        <w:rPr>
          <w:b/>
          <w:bCs/>
        </w:rPr>
      </w:pPr>
      <w:bookmarkStart w:id="4" w:name="_Toc143034127"/>
      <w:r w:rsidRPr="00B516B0">
        <w:rPr>
          <w:b/>
          <w:bCs/>
        </w:rPr>
        <w:t>Leadership Development Programs</w:t>
      </w:r>
      <w:bookmarkEnd w:id="4"/>
    </w:p>
    <w:p w14:paraId="4CE20475" w14:textId="0C89AAF1" w:rsidR="00786725" w:rsidRPr="00786725" w:rsidRDefault="00786725" w:rsidP="00786725">
      <w:pPr>
        <w:spacing w:line="360" w:lineRule="auto"/>
        <w:jc w:val="both"/>
        <w:rPr>
          <w:color w:val="000000" w:themeColor="text1"/>
          <w:sz w:val="24"/>
          <w:szCs w:val="24"/>
        </w:rPr>
      </w:pPr>
      <w:r w:rsidRPr="00786725">
        <w:rPr>
          <w:color w:val="000000" w:themeColor="text1"/>
          <w:sz w:val="24"/>
          <w:szCs w:val="24"/>
        </w:rPr>
        <w:t>Tesco's Leadership Development Program is a structured initiative designed to identify and nurture future leaders within the organization. These programs are multi-faceted, encompassing workshops, simulations, real-world projects, and feedback sessions that emphasize developing leadership skills, strategic thinking, and decision-making abilities (Dhyana and Gupta, 2022). Tesco often partners with renowned business schools and institutes to deliver cutting-edge content, ensuring alignment with contemporary leadership theories and practices (Wilton, 2022; Pattanayak, 2020).</w:t>
      </w:r>
    </w:p>
    <w:p w14:paraId="15D1CCC1" w14:textId="2458AE5A" w:rsidR="00786725" w:rsidRPr="00786725" w:rsidRDefault="00786725" w:rsidP="00786725">
      <w:pPr>
        <w:spacing w:line="360" w:lineRule="auto"/>
        <w:jc w:val="both"/>
        <w:rPr>
          <w:color w:val="000000" w:themeColor="text1"/>
          <w:sz w:val="24"/>
          <w:szCs w:val="24"/>
        </w:rPr>
      </w:pPr>
      <w:r w:rsidRPr="00786725">
        <w:rPr>
          <w:color w:val="000000" w:themeColor="text1"/>
          <w:sz w:val="24"/>
          <w:szCs w:val="24"/>
        </w:rPr>
        <w:t xml:space="preserve">The Leadership Development Program at Tesco has made significant strides in boosting employee performance. By focusing on essential leadership competencies, the program equips potential leaders with the skills needed to inspire, innovate, and drive success within their teams. Evidence of this impact can be seen in the upward movement of program graduates within Tesco's hierarchy, resulting in more agile and responsive teams (Bratton, Gold, Bratton, and Steele, 2021). The alignment of personal career aspirations with </w:t>
      </w:r>
      <w:r>
        <w:rPr>
          <w:color w:val="000000" w:themeColor="text1"/>
          <w:sz w:val="24"/>
          <w:szCs w:val="24"/>
        </w:rPr>
        <w:t>organisational</w:t>
      </w:r>
      <w:r w:rsidRPr="00786725">
        <w:rPr>
          <w:color w:val="000000" w:themeColor="text1"/>
          <w:sz w:val="24"/>
          <w:szCs w:val="24"/>
        </w:rPr>
        <w:t xml:space="preserve"> goals has further contributed to a motivated and engaged workforce (Boxall and Purcell, 2022).</w:t>
      </w:r>
    </w:p>
    <w:p w14:paraId="2CA8D032" w14:textId="0A4E91E4" w:rsidR="00786725" w:rsidRPr="00786725" w:rsidRDefault="00786725" w:rsidP="00786725">
      <w:pPr>
        <w:spacing w:line="360" w:lineRule="auto"/>
        <w:jc w:val="both"/>
        <w:rPr>
          <w:color w:val="000000" w:themeColor="text1"/>
          <w:sz w:val="24"/>
          <w:szCs w:val="24"/>
        </w:rPr>
      </w:pPr>
      <w:r w:rsidRPr="00786725">
        <w:rPr>
          <w:color w:val="000000" w:themeColor="text1"/>
          <w:sz w:val="24"/>
          <w:szCs w:val="24"/>
        </w:rPr>
        <w:t>The program has also proven instrumental in bolstering Tesco's overall business performance. The systematic nurturing of internal talent ensures a consistent supply of capable leaders who understand Tesco's values, culture, and strategic imperatives (Andalib, Darun, and Azizan, 2019). An example of its success can be traced to the strategic expansion of Tesco's global presence, where the groomed leaders played pivotal roles in aligning local practices with global strategies, thereby enhancing market penetration and revenue growth (Guest et al., 2021).</w:t>
      </w:r>
    </w:p>
    <w:p w14:paraId="6347DDF6" w14:textId="730B4EC5" w:rsidR="00786725" w:rsidRPr="00786725" w:rsidRDefault="00786725" w:rsidP="00786725">
      <w:pPr>
        <w:spacing w:line="360" w:lineRule="auto"/>
        <w:jc w:val="both"/>
        <w:rPr>
          <w:color w:val="000000" w:themeColor="text1"/>
          <w:sz w:val="24"/>
          <w:szCs w:val="24"/>
        </w:rPr>
      </w:pPr>
      <w:r w:rsidRPr="00786725">
        <w:rPr>
          <w:color w:val="000000" w:themeColor="text1"/>
          <w:sz w:val="24"/>
          <w:szCs w:val="24"/>
        </w:rPr>
        <w:t xml:space="preserve">Despite the successes, the Leadership Development Program also presents certain challenges for Tesco. The substantial costs associated with program design, content delivery, and evaluation may strain the </w:t>
      </w:r>
      <w:r>
        <w:rPr>
          <w:color w:val="000000" w:themeColor="text1"/>
          <w:sz w:val="24"/>
          <w:szCs w:val="24"/>
        </w:rPr>
        <w:t>organisational</w:t>
      </w:r>
      <w:r w:rsidRPr="00786725">
        <w:rPr>
          <w:color w:val="000000" w:themeColor="text1"/>
          <w:sz w:val="24"/>
          <w:szCs w:val="24"/>
        </w:rPr>
        <w:t xml:space="preserve"> budget (Ellinger and Kim, 2014). Moreover, identifying </w:t>
      </w:r>
      <w:r w:rsidRPr="00786725">
        <w:rPr>
          <w:color w:val="000000" w:themeColor="text1"/>
          <w:sz w:val="24"/>
          <w:szCs w:val="24"/>
        </w:rPr>
        <w:lastRenderedPageBreak/>
        <w:t xml:space="preserve">the right candidates and ensuring that the program aligns with individual and </w:t>
      </w:r>
      <w:r>
        <w:rPr>
          <w:color w:val="000000" w:themeColor="text1"/>
          <w:sz w:val="24"/>
          <w:szCs w:val="24"/>
        </w:rPr>
        <w:t>organisational</w:t>
      </w:r>
      <w:r w:rsidRPr="00786725">
        <w:rPr>
          <w:color w:val="000000" w:themeColor="text1"/>
          <w:sz w:val="24"/>
          <w:szCs w:val="24"/>
        </w:rPr>
        <w:t xml:space="preserve"> goals may be complex and time-consuming. The failure to </w:t>
      </w:r>
      <w:r>
        <w:rPr>
          <w:color w:val="000000" w:themeColor="text1"/>
          <w:sz w:val="24"/>
          <w:szCs w:val="24"/>
        </w:rPr>
        <w:t>realise</w:t>
      </w:r>
      <w:r w:rsidRPr="00786725">
        <w:rPr>
          <w:color w:val="000000" w:themeColor="text1"/>
          <w:sz w:val="24"/>
          <w:szCs w:val="24"/>
        </w:rPr>
        <w:t xml:space="preserve"> the expected returns from this investment can be another significant obstacle, </w:t>
      </w:r>
      <w:r>
        <w:rPr>
          <w:color w:val="000000" w:themeColor="text1"/>
          <w:sz w:val="24"/>
          <w:szCs w:val="24"/>
        </w:rPr>
        <w:t>emphasising</w:t>
      </w:r>
      <w:r w:rsidRPr="00786725">
        <w:rPr>
          <w:color w:val="000000" w:themeColor="text1"/>
          <w:sz w:val="24"/>
          <w:szCs w:val="24"/>
        </w:rPr>
        <w:t xml:space="preserve"> the importance of regular evaluation and alignment (Kantola, 2015).</w:t>
      </w:r>
    </w:p>
    <w:p w14:paraId="571B115D" w14:textId="365253A9" w:rsidR="00786725" w:rsidRPr="00786725" w:rsidRDefault="00786725" w:rsidP="00786725">
      <w:pPr>
        <w:spacing w:line="360" w:lineRule="auto"/>
        <w:jc w:val="both"/>
        <w:rPr>
          <w:color w:val="000000" w:themeColor="text1"/>
          <w:sz w:val="24"/>
          <w:szCs w:val="24"/>
        </w:rPr>
      </w:pPr>
      <w:r w:rsidRPr="00786725">
        <w:rPr>
          <w:color w:val="000000" w:themeColor="text1"/>
          <w:sz w:val="24"/>
          <w:szCs w:val="24"/>
        </w:rPr>
        <w:t xml:space="preserve">The effectiveness of Tesco's Leadership Development Program can be critically </w:t>
      </w:r>
      <w:r>
        <w:rPr>
          <w:color w:val="000000" w:themeColor="text1"/>
          <w:sz w:val="24"/>
          <w:szCs w:val="24"/>
        </w:rPr>
        <w:t>analysed</w:t>
      </w:r>
      <w:r w:rsidRPr="00786725">
        <w:rPr>
          <w:color w:val="000000" w:themeColor="text1"/>
          <w:sz w:val="24"/>
          <w:szCs w:val="24"/>
        </w:rPr>
        <w:t xml:space="preserve"> through the lens of Transformational Leadership Theory. Transformational leadership </w:t>
      </w:r>
      <w:r>
        <w:rPr>
          <w:color w:val="000000" w:themeColor="text1"/>
          <w:sz w:val="24"/>
          <w:szCs w:val="24"/>
        </w:rPr>
        <w:t>emphasises</w:t>
      </w:r>
      <w:r w:rsidRPr="00786725">
        <w:rPr>
          <w:color w:val="000000" w:themeColor="text1"/>
          <w:sz w:val="24"/>
          <w:szCs w:val="24"/>
        </w:rPr>
        <w:t xml:space="preserve"> vision, inspiration, and positive change, traits that Tesco's program aims to </w:t>
      </w:r>
      <w:r>
        <w:rPr>
          <w:color w:val="000000" w:themeColor="text1"/>
          <w:sz w:val="24"/>
          <w:szCs w:val="24"/>
        </w:rPr>
        <w:t>instil</w:t>
      </w:r>
      <w:r w:rsidRPr="00786725">
        <w:rPr>
          <w:color w:val="000000" w:themeColor="text1"/>
          <w:sz w:val="24"/>
          <w:szCs w:val="24"/>
        </w:rPr>
        <w:t xml:space="preserve"> in its participants (Bratton, Gold, Bratton, and Steele, 2021). By engaging employees at an emotional level and encouraging them to transcend personal interests for the greater </w:t>
      </w:r>
      <w:r>
        <w:rPr>
          <w:color w:val="000000" w:themeColor="text1"/>
          <w:sz w:val="24"/>
          <w:szCs w:val="24"/>
        </w:rPr>
        <w:t>organisational</w:t>
      </w:r>
      <w:r w:rsidRPr="00786725">
        <w:rPr>
          <w:color w:val="000000" w:themeColor="text1"/>
          <w:sz w:val="24"/>
          <w:szCs w:val="24"/>
        </w:rPr>
        <w:t xml:space="preserve"> good, Tesco's program aligns well with the principles of transformational leadership. This theoretical alignment contributes to the program's success in shaping individuals who </w:t>
      </w:r>
      <w:r w:rsidR="001933C8">
        <w:rPr>
          <w:color w:val="000000" w:themeColor="text1"/>
          <w:sz w:val="24"/>
          <w:szCs w:val="24"/>
        </w:rPr>
        <w:t>excel in their roles and</w:t>
      </w:r>
      <w:r w:rsidRPr="00786725">
        <w:rPr>
          <w:color w:val="000000" w:themeColor="text1"/>
          <w:sz w:val="24"/>
          <w:szCs w:val="24"/>
        </w:rPr>
        <w:t xml:space="preserve"> inspire others to strive for excellence (Boxall and Purcell, 2022).</w:t>
      </w:r>
    </w:p>
    <w:p w14:paraId="7EB69072" w14:textId="77777777" w:rsidR="00786725" w:rsidRPr="00786725" w:rsidRDefault="00786725" w:rsidP="00786725">
      <w:pPr>
        <w:spacing w:line="360" w:lineRule="auto"/>
        <w:jc w:val="both"/>
        <w:rPr>
          <w:vanish/>
          <w:color w:val="000000" w:themeColor="text1"/>
          <w:sz w:val="24"/>
          <w:szCs w:val="24"/>
        </w:rPr>
      </w:pPr>
      <w:r w:rsidRPr="00786725">
        <w:rPr>
          <w:vanish/>
          <w:color w:val="000000" w:themeColor="text1"/>
          <w:sz w:val="24"/>
          <w:szCs w:val="24"/>
        </w:rPr>
        <w:t>Top of Form</w:t>
      </w:r>
    </w:p>
    <w:p w14:paraId="539D43FD" w14:textId="3F2677FD" w:rsidR="0047324D" w:rsidRPr="00B516B0" w:rsidRDefault="0047324D" w:rsidP="00B516B0">
      <w:pPr>
        <w:pStyle w:val="Heading2"/>
        <w:rPr>
          <w:b/>
          <w:bCs/>
        </w:rPr>
      </w:pPr>
      <w:bookmarkStart w:id="5" w:name="_Toc143034128"/>
      <w:r w:rsidRPr="00B516B0">
        <w:rPr>
          <w:b/>
          <w:bCs/>
        </w:rPr>
        <w:t>Appraisal meeting</w:t>
      </w:r>
      <w:bookmarkEnd w:id="5"/>
    </w:p>
    <w:p w14:paraId="0C21CE87"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t>Tesco's Appraisal Meeting Programme is an organised method for evaluating employee performance and planning for their future growth. It comes before any talk of progress, which is why it is called "separate" (Dhyana and Gupta, 2022). Formal meetings between a manager and an employee to discuss the latter's performance, the former's strengths and limitations, and the latter's next steps (Armstrong and Taylor, 2020; Stone et al., 2015). Tesco's assessment procedure is harmonised throughout the company to guarantee cohesion and conformity with core values and goals (Torrington, 2014).</w:t>
      </w:r>
    </w:p>
    <w:p w14:paraId="07FCBEC1"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t>Tesco's Appraisal Meeting Programme is vital in boosting staff performance by communicating expectations, acknowledging successes, and pinpointing areas for improvement. Satisfaction, motivation, and productivity have all gone up as a result of this programme (Brewster et al., 2016). Aligning employee goals with corporate goals and creating individualised strategies for professional growth are two such examples (Marchington et al., 2016).</w:t>
      </w:r>
    </w:p>
    <w:p w14:paraId="062EAC54"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t xml:space="preserve">Tesco's annual performance review meetings have benefited the company as a whole by bringing about more consistency between employee efforts and company objectives. Hewett et al. (2018) found that companies with regular all-hands meetings saw significant increases in </w:t>
      </w:r>
      <w:r w:rsidRPr="007A7D38">
        <w:rPr>
          <w:color w:val="000000" w:themeColor="text1"/>
          <w:sz w:val="24"/>
          <w:szCs w:val="24"/>
        </w:rPr>
        <w:lastRenderedPageBreak/>
        <w:t>both productivity and efficiency across all divisions. Tesco ensures that its goals are understood and pursued at all levels of the business by encouraging open lines of communication between management and staff (Andalib, Darun, &amp; Azizan, 2019).</w:t>
      </w:r>
    </w:p>
    <w:p w14:paraId="4795BBE7"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t>There are, however, obstacles that must be overcome in Tesco's Appraisal Meeting Programme. Managers' competence and objectivity are crucial to the success of the evaluation sessions they lead. Dissatisfaction and a lack of motivation among workers might result from inconsistent evaluations or prejudices (Guest et al., 2021). Meetings like this may be very time consuming and resource intensive, which can have a negative influence on other areas of business operations (Stone et al., 2015).</w:t>
      </w:r>
    </w:p>
    <w:p w14:paraId="1888247A" w14:textId="5656785B" w:rsidR="008D2F21" w:rsidRPr="008D2F21" w:rsidRDefault="007A7D38" w:rsidP="007A7D38">
      <w:pPr>
        <w:spacing w:line="360" w:lineRule="auto"/>
        <w:jc w:val="both"/>
        <w:rPr>
          <w:color w:val="000000" w:themeColor="text1"/>
          <w:sz w:val="24"/>
          <w:szCs w:val="24"/>
        </w:rPr>
      </w:pPr>
      <w:r w:rsidRPr="007A7D38">
        <w:rPr>
          <w:color w:val="000000" w:themeColor="text1"/>
          <w:sz w:val="24"/>
          <w:szCs w:val="24"/>
        </w:rPr>
        <w:t>Tesco's programme for performance reviews, known as Appraisal Meetings, conforms closely to the Goal-Setting Theory. Higher performance may be achieved by setting objectives that are both realistic and demanding and providing regular feedback on progress (Armstrong and Taylor, 2020). Appraisal sessions at Tesco allow employees to establish goals that are both personal and company-wide, as well as concrete, quantifiable, and realistic. Employees' motivation and dedication may be bolstered by regular reviews of their progress towards these objectives, during which any required modifications can be made and any achievements can be celebrated (Torrington, 2014).</w:t>
      </w:r>
    </w:p>
    <w:p w14:paraId="33F26B12" w14:textId="77777777" w:rsidR="008D2F21" w:rsidRPr="008D2F21" w:rsidRDefault="008D2F21" w:rsidP="008D2F21">
      <w:pPr>
        <w:spacing w:line="360" w:lineRule="auto"/>
        <w:jc w:val="both"/>
        <w:rPr>
          <w:vanish/>
          <w:color w:val="000000" w:themeColor="text1"/>
          <w:sz w:val="24"/>
          <w:szCs w:val="24"/>
        </w:rPr>
      </w:pPr>
      <w:r w:rsidRPr="008D2F21">
        <w:rPr>
          <w:vanish/>
          <w:color w:val="000000" w:themeColor="text1"/>
          <w:sz w:val="24"/>
          <w:szCs w:val="24"/>
        </w:rPr>
        <w:t>Top of Form</w:t>
      </w:r>
    </w:p>
    <w:p w14:paraId="69A7D873" w14:textId="3830510D" w:rsidR="0047324D" w:rsidRPr="00B516B0" w:rsidRDefault="0047324D" w:rsidP="00B516B0">
      <w:pPr>
        <w:pStyle w:val="Heading2"/>
        <w:rPr>
          <w:b/>
          <w:bCs/>
        </w:rPr>
      </w:pPr>
      <w:bookmarkStart w:id="6" w:name="_Toc143034129"/>
      <w:r w:rsidRPr="00B516B0">
        <w:rPr>
          <w:b/>
          <w:bCs/>
        </w:rPr>
        <w:t>Performance-based Incentives</w:t>
      </w:r>
      <w:bookmarkEnd w:id="6"/>
    </w:p>
    <w:p w14:paraId="73EDBD96"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t>To better connect staff efforts with organisational objectives, Tesco has developed Performance-based Incentives. Financial bonuses, awards, and promotions are only a few examples (Kukreja &amp; Gupta, 2016) of what might be offered as motivation. Tesco provides a direct association between individual contributions and incentives by creating performance criteria and linking rewards to them (Hecklau et al., 2016; Tyson, 2014).</w:t>
      </w:r>
    </w:p>
    <w:p w14:paraId="028F220D"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t>Tesco's use of PBIs, or Performance-based Incentives, has proved crucial in boosting productivity in the workplace. Tesco encourages its staff to go above and beyond by giving them recognition and rewards when they do so (Becker and Smidt, 2016). For instance, according to research by Sparrow, Brewster, and Chung (2016), the introduction of incentive programmes tied to project success increased engagement and productivity in the targeted divisions.</w:t>
      </w:r>
    </w:p>
    <w:p w14:paraId="4819F841"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lastRenderedPageBreak/>
        <w:t>Performance-based Incentives at Tesco have helped the company in the long run. Aligning individual incentives with organisational strategy is one way Tesco keeps its staff focused on the company's most important goals (Torrington et al., 2020), which in turn boosts productivity and growth. Increased sales of designated product lines may be attributed to performance-based bonuses, and strategic initiatives can be carried out with the help of such bonuses (Rosnizam et al., 2020).</w:t>
      </w:r>
    </w:p>
    <w:p w14:paraId="2755C3E9" w14:textId="77777777" w:rsidR="007A7D38" w:rsidRPr="007A7D38" w:rsidRDefault="007A7D38" w:rsidP="007A7D38">
      <w:pPr>
        <w:spacing w:line="360" w:lineRule="auto"/>
        <w:jc w:val="both"/>
        <w:rPr>
          <w:color w:val="000000" w:themeColor="text1"/>
          <w:sz w:val="24"/>
          <w:szCs w:val="24"/>
        </w:rPr>
      </w:pPr>
      <w:r w:rsidRPr="007A7D38">
        <w:rPr>
          <w:color w:val="000000" w:themeColor="text1"/>
          <w:sz w:val="24"/>
          <w:szCs w:val="24"/>
        </w:rPr>
        <w:t>However, there are several difficulties in putting Performance-based Incentives into practise. It has the potential to foster unhealthy levels of competitiveness among workers, which may have a chilling effect on teamwork (Zarqan &amp; Sukarni, 2017). In addition, if these incentives are not properly crafted, they might lead to a focus on short-term goals at the expense of the organization's long-term interests (Hecklau et al., 2016). One of the difficulties is preventing incentives from becoming a sore point by keeping everyone in the loop and making sure they fairly represent performance (Tyson, 2014).</w:t>
      </w:r>
    </w:p>
    <w:p w14:paraId="6857C431" w14:textId="20499A83" w:rsidR="00813A29" w:rsidRPr="00813A29" w:rsidRDefault="007A7D38" w:rsidP="007A7D38">
      <w:pPr>
        <w:spacing w:line="360" w:lineRule="auto"/>
        <w:jc w:val="both"/>
        <w:rPr>
          <w:color w:val="000000" w:themeColor="text1"/>
          <w:sz w:val="24"/>
          <w:szCs w:val="24"/>
        </w:rPr>
      </w:pPr>
      <w:r w:rsidRPr="007A7D38">
        <w:rPr>
          <w:color w:val="000000" w:themeColor="text1"/>
          <w:sz w:val="24"/>
          <w:szCs w:val="24"/>
        </w:rPr>
        <w:t>Expectancy theory may be used to examine Tesco's use of performance-based incentives. Motivation is explained by the expectation that one's efforts will yield results and those results will be rewarded (Becker and Smidt, 2016). This notion is embodied in Tesco's incentive system via the direct correlation of effort and performance with monetary compensation. Employees that believe their efforts will be noticed put out more effort and are more dedicated to their jobs as a result (Sparrow, Brewster, &amp; Chung, 2016).</w:t>
      </w:r>
    </w:p>
    <w:p w14:paraId="59B2648E" w14:textId="1728D4D0" w:rsidR="0047324D" w:rsidRPr="00B516B0" w:rsidRDefault="0047324D" w:rsidP="00B516B0">
      <w:pPr>
        <w:pStyle w:val="Heading2"/>
        <w:rPr>
          <w:b/>
          <w:bCs/>
        </w:rPr>
      </w:pPr>
      <w:bookmarkStart w:id="7" w:name="_Toc143034130"/>
      <w:r w:rsidRPr="00B516B0">
        <w:rPr>
          <w:b/>
          <w:bCs/>
        </w:rPr>
        <w:t>Individual Development Plans</w:t>
      </w:r>
      <w:bookmarkEnd w:id="7"/>
    </w:p>
    <w:p w14:paraId="7B65C858" w14:textId="77777777" w:rsidR="00DF0B64" w:rsidRPr="00DF0B64" w:rsidRDefault="00DF0B64" w:rsidP="00DF0B64">
      <w:pPr>
        <w:spacing w:line="360" w:lineRule="auto"/>
        <w:jc w:val="both"/>
        <w:rPr>
          <w:color w:val="000000" w:themeColor="text1"/>
          <w:sz w:val="24"/>
          <w:szCs w:val="24"/>
        </w:rPr>
      </w:pPr>
      <w:r w:rsidRPr="00DF0B64">
        <w:rPr>
          <w:color w:val="000000" w:themeColor="text1"/>
          <w:sz w:val="24"/>
          <w:szCs w:val="24"/>
        </w:rPr>
        <w:t>Tesco has integrated Individual Development Plans into its human resource practices to foster employee growth. These IDPs are formulated in collaboration with managers, whereby specific goals, training needs, and actionable steps are defined to align with the employee’s career aspirations (Rosnizam et al., 2020). Such plans may include targeted skill development, cross-functional training, or educational programs (Zarqan and Sukarni, 2017).</w:t>
      </w:r>
    </w:p>
    <w:p w14:paraId="0AC3D0FB" w14:textId="7414D693" w:rsidR="00DF0B64" w:rsidRPr="00DF0B64" w:rsidRDefault="00DF0B64" w:rsidP="00DF0B64">
      <w:pPr>
        <w:spacing w:line="360" w:lineRule="auto"/>
        <w:jc w:val="both"/>
        <w:rPr>
          <w:color w:val="000000" w:themeColor="text1"/>
          <w:sz w:val="24"/>
          <w:szCs w:val="24"/>
        </w:rPr>
      </w:pPr>
      <w:r w:rsidRPr="00DF0B64">
        <w:rPr>
          <w:color w:val="000000" w:themeColor="text1"/>
          <w:sz w:val="24"/>
          <w:szCs w:val="24"/>
        </w:rPr>
        <w:t xml:space="preserve">The implementation of IDPs at Tesco has significantly contributed to enhancing employee performance. By providing a clear pathway for development, employees are motivated to work on specific areas of improvement (Armstrong and Taylor, 2020). This tailor-made approach </w:t>
      </w:r>
      <w:r w:rsidRPr="00DF0B64">
        <w:rPr>
          <w:color w:val="000000" w:themeColor="text1"/>
          <w:sz w:val="24"/>
          <w:szCs w:val="24"/>
        </w:rPr>
        <w:lastRenderedPageBreak/>
        <w:t xml:space="preserve">ensures that the development aligns with both individual needs and </w:t>
      </w:r>
      <w:r>
        <w:rPr>
          <w:color w:val="000000" w:themeColor="text1"/>
          <w:sz w:val="24"/>
          <w:szCs w:val="24"/>
        </w:rPr>
        <w:t>organisational</w:t>
      </w:r>
      <w:r w:rsidRPr="00DF0B64">
        <w:rPr>
          <w:color w:val="000000" w:themeColor="text1"/>
          <w:sz w:val="24"/>
          <w:szCs w:val="24"/>
        </w:rPr>
        <w:t xml:space="preserve"> objectives. For example, an employee seeking to move into a managerial role may receive leadership training, resulting in increased competence and confidence (Wilton, 2022).</w:t>
      </w:r>
    </w:p>
    <w:p w14:paraId="1534EE26" w14:textId="68DA97F8" w:rsidR="00DF0B64" w:rsidRPr="00DF0B64" w:rsidRDefault="00DF0B64" w:rsidP="00DF0B64">
      <w:pPr>
        <w:spacing w:line="360" w:lineRule="auto"/>
        <w:jc w:val="both"/>
        <w:rPr>
          <w:color w:val="000000" w:themeColor="text1"/>
          <w:sz w:val="24"/>
          <w:szCs w:val="24"/>
        </w:rPr>
      </w:pPr>
      <w:r w:rsidRPr="00DF0B64">
        <w:rPr>
          <w:color w:val="000000" w:themeColor="text1"/>
          <w:sz w:val="24"/>
          <w:szCs w:val="24"/>
        </w:rPr>
        <w:t xml:space="preserve">From an </w:t>
      </w:r>
      <w:r>
        <w:rPr>
          <w:color w:val="000000" w:themeColor="text1"/>
          <w:sz w:val="24"/>
          <w:szCs w:val="24"/>
        </w:rPr>
        <w:t>organisational</w:t>
      </w:r>
      <w:r w:rsidRPr="00DF0B64">
        <w:rPr>
          <w:color w:val="000000" w:themeColor="text1"/>
          <w:sz w:val="24"/>
          <w:szCs w:val="24"/>
        </w:rPr>
        <w:t xml:space="preserve"> standpoint, IDPs have positively impacted Tesco's overall performance. By aligning individual growth with </w:t>
      </w:r>
      <w:r>
        <w:rPr>
          <w:color w:val="000000" w:themeColor="text1"/>
          <w:sz w:val="24"/>
          <w:szCs w:val="24"/>
        </w:rPr>
        <w:t>organisational</w:t>
      </w:r>
      <w:r w:rsidRPr="00DF0B64">
        <w:rPr>
          <w:color w:val="000000" w:themeColor="text1"/>
          <w:sz w:val="24"/>
          <w:szCs w:val="24"/>
        </w:rPr>
        <w:t xml:space="preserve"> needs, Tesco ensures that employees are developing skills and knowledge that directly contribute to strategic goals (Pattanayak, 2020). This has led to improved efficiency and effectiveness across various departments, with notable examples including increased innovation in product development or enhanced customer service delivery through </w:t>
      </w:r>
      <w:r>
        <w:rPr>
          <w:color w:val="000000" w:themeColor="text1"/>
          <w:sz w:val="24"/>
          <w:szCs w:val="24"/>
        </w:rPr>
        <w:t>specialised</w:t>
      </w:r>
      <w:r w:rsidRPr="00DF0B64">
        <w:rPr>
          <w:color w:val="000000" w:themeColor="text1"/>
          <w:sz w:val="24"/>
          <w:szCs w:val="24"/>
        </w:rPr>
        <w:t xml:space="preserve"> training (Bratton, Gold, Bratton and Steele, 2021).</w:t>
      </w:r>
    </w:p>
    <w:p w14:paraId="2AA0EDCA" w14:textId="2DE2610A" w:rsidR="00DF0B64" w:rsidRDefault="00DF0B64" w:rsidP="00DF0B64">
      <w:pPr>
        <w:spacing w:line="360" w:lineRule="auto"/>
        <w:jc w:val="both"/>
        <w:rPr>
          <w:color w:val="000000" w:themeColor="text1"/>
          <w:sz w:val="24"/>
          <w:szCs w:val="24"/>
        </w:rPr>
      </w:pPr>
      <w:r w:rsidRPr="00DF0B64">
        <w:rPr>
          <w:color w:val="000000" w:themeColor="text1"/>
          <w:sz w:val="24"/>
          <w:szCs w:val="24"/>
        </w:rPr>
        <w:t xml:space="preserve">The use of IDPs at Tesco can be critically understood through the lens of Self-Determination Theory. This theory </w:t>
      </w:r>
      <w:r>
        <w:rPr>
          <w:color w:val="000000" w:themeColor="text1"/>
          <w:sz w:val="24"/>
          <w:szCs w:val="24"/>
        </w:rPr>
        <w:t>emphasises</w:t>
      </w:r>
      <w:r w:rsidRPr="00DF0B64">
        <w:rPr>
          <w:color w:val="000000" w:themeColor="text1"/>
          <w:sz w:val="24"/>
          <w:szCs w:val="24"/>
        </w:rPr>
        <w:t xml:space="preserve"> the importance of autonomy, competence, and relatedness in motivating individuals (Boxall and Purcell, 2022). By allowing employees </w:t>
      </w:r>
      <w:r>
        <w:rPr>
          <w:color w:val="000000" w:themeColor="text1"/>
          <w:sz w:val="24"/>
          <w:szCs w:val="24"/>
        </w:rPr>
        <w:t>to participate in the creation of their development plans actively</w:t>
      </w:r>
      <w:r w:rsidRPr="00DF0B64">
        <w:rPr>
          <w:color w:val="000000" w:themeColor="text1"/>
          <w:sz w:val="24"/>
          <w:szCs w:val="24"/>
        </w:rPr>
        <w:t>, Tesco is fostering a sense of autonomy and ownership over their growth. This, in turn, leads to increased motivation, engagement, and</w:t>
      </w:r>
      <w:r>
        <w:rPr>
          <w:color w:val="000000" w:themeColor="text1"/>
          <w:sz w:val="24"/>
          <w:szCs w:val="24"/>
        </w:rPr>
        <w:t>,</w:t>
      </w:r>
      <w:r w:rsidRPr="00DF0B64">
        <w:rPr>
          <w:color w:val="000000" w:themeColor="text1"/>
          <w:sz w:val="24"/>
          <w:szCs w:val="24"/>
        </w:rPr>
        <w:t xml:space="preserve"> ultimately, success (Wilton, 2022). The alignment of individual goals with broader </w:t>
      </w:r>
      <w:r>
        <w:rPr>
          <w:color w:val="000000" w:themeColor="text1"/>
          <w:sz w:val="24"/>
          <w:szCs w:val="24"/>
        </w:rPr>
        <w:t>organisational</w:t>
      </w:r>
      <w:r w:rsidRPr="00DF0B64">
        <w:rPr>
          <w:color w:val="000000" w:themeColor="text1"/>
          <w:sz w:val="24"/>
          <w:szCs w:val="24"/>
        </w:rPr>
        <w:t xml:space="preserve"> objectives further enhances a sense of competence and relatedness, reinforcing the connection between personal growth and collective success (Armstrong and Taylor, 2020).</w:t>
      </w:r>
    </w:p>
    <w:p w14:paraId="573FCEC1" w14:textId="77777777" w:rsidR="003B2137" w:rsidRPr="00DF0B64" w:rsidRDefault="003B2137" w:rsidP="00DF0B64">
      <w:pPr>
        <w:spacing w:line="360" w:lineRule="auto"/>
        <w:jc w:val="both"/>
        <w:rPr>
          <w:color w:val="000000" w:themeColor="text1"/>
          <w:sz w:val="24"/>
          <w:szCs w:val="24"/>
        </w:rPr>
      </w:pPr>
    </w:p>
    <w:p w14:paraId="748C15FC" w14:textId="59AD2D95" w:rsidR="00891CF8" w:rsidRPr="00103E12" w:rsidRDefault="00103E12" w:rsidP="00103E12">
      <w:pPr>
        <w:pStyle w:val="Heading1"/>
        <w:rPr>
          <w:b/>
          <w:bCs/>
        </w:rPr>
      </w:pPr>
      <w:bookmarkStart w:id="8" w:name="_Toc143034131"/>
      <w:r w:rsidRPr="00103E12">
        <w:rPr>
          <w:b/>
          <w:bCs/>
        </w:rPr>
        <w:t>A professional development plan (PDP) for an individual employee</w:t>
      </w:r>
      <w:bookmarkEnd w:id="8"/>
    </w:p>
    <w:p w14:paraId="140DA27D" w14:textId="6112BFC1" w:rsidR="00D03099" w:rsidRDefault="00317B7D" w:rsidP="00317B7D">
      <w:pPr>
        <w:spacing w:line="360" w:lineRule="auto"/>
        <w:jc w:val="both"/>
        <w:rPr>
          <w:color w:val="000000" w:themeColor="text1"/>
          <w:sz w:val="24"/>
          <w:szCs w:val="24"/>
        </w:rPr>
      </w:pPr>
      <w:r>
        <w:rPr>
          <w:color w:val="000000" w:themeColor="text1"/>
          <w:sz w:val="24"/>
          <w:szCs w:val="24"/>
        </w:rPr>
        <w:t xml:space="preserve">An interview with an employee at the new e-fulfilment project at Tesco reveals that the individual employee has severe limitations in the areas: </w:t>
      </w:r>
      <w:r w:rsidRPr="00317B7D">
        <w:rPr>
          <w:color w:val="000000" w:themeColor="text1"/>
          <w:sz w:val="24"/>
          <w:szCs w:val="24"/>
        </w:rPr>
        <w:t>Analytical Skills</w:t>
      </w:r>
      <w:r>
        <w:rPr>
          <w:color w:val="000000" w:themeColor="text1"/>
          <w:sz w:val="24"/>
          <w:szCs w:val="24"/>
        </w:rPr>
        <w:t xml:space="preserve">, </w:t>
      </w:r>
      <w:r w:rsidRPr="00317B7D">
        <w:rPr>
          <w:color w:val="000000" w:themeColor="text1"/>
          <w:sz w:val="24"/>
          <w:szCs w:val="24"/>
        </w:rPr>
        <w:t>Problem-Solving Skills</w:t>
      </w:r>
      <w:r>
        <w:rPr>
          <w:color w:val="000000" w:themeColor="text1"/>
          <w:sz w:val="24"/>
          <w:szCs w:val="24"/>
        </w:rPr>
        <w:t xml:space="preserve">, </w:t>
      </w:r>
      <w:r w:rsidRPr="00317B7D">
        <w:rPr>
          <w:color w:val="000000" w:themeColor="text1"/>
          <w:sz w:val="24"/>
          <w:szCs w:val="24"/>
        </w:rPr>
        <w:t>Emotional Resilience</w:t>
      </w:r>
      <w:r>
        <w:rPr>
          <w:color w:val="000000" w:themeColor="text1"/>
          <w:sz w:val="24"/>
          <w:szCs w:val="24"/>
        </w:rPr>
        <w:t xml:space="preserve">, </w:t>
      </w:r>
      <w:r w:rsidRPr="00317B7D">
        <w:rPr>
          <w:color w:val="000000" w:themeColor="text1"/>
          <w:sz w:val="24"/>
          <w:szCs w:val="24"/>
        </w:rPr>
        <w:t>Adaptability</w:t>
      </w:r>
      <w:r>
        <w:rPr>
          <w:color w:val="000000" w:themeColor="text1"/>
          <w:sz w:val="24"/>
          <w:szCs w:val="24"/>
        </w:rPr>
        <w:t xml:space="preserve">, and </w:t>
      </w:r>
      <w:r w:rsidRPr="00317B7D">
        <w:rPr>
          <w:color w:val="000000" w:themeColor="text1"/>
          <w:sz w:val="24"/>
          <w:szCs w:val="24"/>
        </w:rPr>
        <w:t>Proactivity</w:t>
      </w:r>
      <w:r>
        <w:rPr>
          <w:color w:val="000000" w:themeColor="text1"/>
          <w:sz w:val="24"/>
          <w:szCs w:val="24"/>
        </w:rPr>
        <w:t>. Therefore, a professional development plan has been developed to address these limitations.</w:t>
      </w:r>
    </w:p>
    <w:tbl>
      <w:tblPr>
        <w:tblStyle w:val="TableGrid"/>
        <w:tblW w:w="10201" w:type="dxa"/>
        <w:jc w:val="center"/>
        <w:tblLook w:val="04A0" w:firstRow="1" w:lastRow="0" w:firstColumn="1" w:lastColumn="0" w:noHBand="0" w:noVBand="1"/>
      </w:tblPr>
      <w:tblGrid>
        <w:gridCol w:w="1562"/>
        <w:gridCol w:w="1040"/>
        <w:gridCol w:w="1676"/>
        <w:gridCol w:w="1510"/>
        <w:gridCol w:w="1375"/>
        <w:gridCol w:w="1375"/>
        <w:gridCol w:w="1676"/>
      </w:tblGrid>
      <w:tr w:rsidR="0066757B" w:rsidRPr="0066757B" w14:paraId="27DE8ED8" w14:textId="77777777" w:rsidTr="0066757B">
        <w:trPr>
          <w:trHeight w:val="763"/>
          <w:jc w:val="center"/>
        </w:trPr>
        <w:tc>
          <w:tcPr>
            <w:tcW w:w="1558" w:type="dxa"/>
            <w:hideMark/>
          </w:tcPr>
          <w:p w14:paraId="4516745C" w14:textId="77777777" w:rsidR="0066757B" w:rsidRPr="0066757B" w:rsidRDefault="0066757B" w:rsidP="0066757B">
            <w:pPr>
              <w:spacing w:line="360" w:lineRule="auto"/>
              <w:jc w:val="both"/>
              <w:rPr>
                <w:b/>
                <w:bCs/>
                <w:color w:val="000000" w:themeColor="text1"/>
                <w:sz w:val="24"/>
                <w:szCs w:val="24"/>
              </w:rPr>
            </w:pPr>
            <w:r w:rsidRPr="0066757B">
              <w:rPr>
                <w:b/>
                <w:bCs/>
                <w:color w:val="000000" w:themeColor="text1"/>
                <w:sz w:val="24"/>
                <w:szCs w:val="24"/>
              </w:rPr>
              <w:t>Development Objectives</w:t>
            </w:r>
          </w:p>
        </w:tc>
        <w:tc>
          <w:tcPr>
            <w:tcW w:w="1045" w:type="dxa"/>
            <w:hideMark/>
          </w:tcPr>
          <w:p w14:paraId="097AD74D" w14:textId="77777777" w:rsidR="0066757B" w:rsidRPr="0066757B" w:rsidRDefault="0066757B" w:rsidP="0066757B">
            <w:pPr>
              <w:spacing w:line="360" w:lineRule="auto"/>
              <w:jc w:val="both"/>
              <w:rPr>
                <w:b/>
                <w:bCs/>
                <w:color w:val="000000" w:themeColor="text1"/>
                <w:sz w:val="24"/>
                <w:szCs w:val="24"/>
              </w:rPr>
            </w:pPr>
            <w:r w:rsidRPr="0066757B">
              <w:rPr>
                <w:b/>
                <w:bCs/>
                <w:color w:val="000000" w:themeColor="text1"/>
                <w:sz w:val="24"/>
                <w:szCs w:val="24"/>
              </w:rPr>
              <w:t>Priority</w:t>
            </w:r>
          </w:p>
        </w:tc>
        <w:tc>
          <w:tcPr>
            <w:tcW w:w="1670" w:type="dxa"/>
            <w:hideMark/>
          </w:tcPr>
          <w:p w14:paraId="48A24B56" w14:textId="77777777" w:rsidR="0066757B" w:rsidRPr="0066757B" w:rsidRDefault="0066757B" w:rsidP="0066757B">
            <w:pPr>
              <w:spacing w:line="360" w:lineRule="auto"/>
              <w:jc w:val="both"/>
              <w:rPr>
                <w:b/>
                <w:bCs/>
                <w:color w:val="000000" w:themeColor="text1"/>
                <w:sz w:val="24"/>
                <w:szCs w:val="24"/>
              </w:rPr>
            </w:pPr>
            <w:r w:rsidRPr="0066757B">
              <w:rPr>
                <w:b/>
                <w:bCs/>
                <w:color w:val="000000" w:themeColor="text1"/>
                <w:sz w:val="24"/>
                <w:szCs w:val="24"/>
              </w:rPr>
              <w:t>Activities to be undertaken</w:t>
            </w:r>
          </w:p>
        </w:tc>
        <w:tc>
          <w:tcPr>
            <w:tcW w:w="1508" w:type="dxa"/>
            <w:hideMark/>
          </w:tcPr>
          <w:p w14:paraId="1530FC16" w14:textId="77777777" w:rsidR="0066757B" w:rsidRPr="0066757B" w:rsidRDefault="0066757B" w:rsidP="0066757B">
            <w:pPr>
              <w:spacing w:line="360" w:lineRule="auto"/>
              <w:jc w:val="both"/>
              <w:rPr>
                <w:b/>
                <w:bCs/>
                <w:color w:val="000000" w:themeColor="text1"/>
                <w:sz w:val="24"/>
                <w:szCs w:val="24"/>
              </w:rPr>
            </w:pPr>
            <w:r w:rsidRPr="0066757B">
              <w:rPr>
                <w:b/>
                <w:bCs/>
                <w:color w:val="000000" w:themeColor="text1"/>
                <w:sz w:val="24"/>
                <w:szCs w:val="24"/>
              </w:rPr>
              <w:t>Resources</w:t>
            </w:r>
          </w:p>
        </w:tc>
        <w:tc>
          <w:tcPr>
            <w:tcW w:w="1375" w:type="dxa"/>
            <w:hideMark/>
          </w:tcPr>
          <w:p w14:paraId="1343834E" w14:textId="77777777" w:rsidR="0066757B" w:rsidRPr="0066757B" w:rsidRDefault="0066757B" w:rsidP="0066757B">
            <w:pPr>
              <w:spacing w:line="360" w:lineRule="auto"/>
              <w:jc w:val="both"/>
              <w:rPr>
                <w:b/>
                <w:bCs/>
                <w:color w:val="000000" w:themeColor="text1"/>
                <w:sz w:val="24"/>
                <w:szCs w:val="24"/>
              </w:rPr>
            </w:pPr>
            <w:r w:rsidRPr="0066757B">
              <w:rPr>
                <w:b/>
                <w:bCs/>
                <w:color w:val="000000" w:themeColor="text1"/>
                <w:sz w:val="24"/>
                <w:szCs w:val="24"/>
              </w:rPr>
              <w:t>Target Start Date</w:t>
            </w:r>
          </w:p>
        </w:tc>
        <w:tc>
          <w:tcPr>
            <w:tcW w:w="1375" w:type="dxa"/>
            <w:hideMark/>
          </w:tcPr>
          <w:p w14:paraId="2010FA5D" w14:textId="77777777" w:rsidR="0066757B" w:rsidRPr="0066757B" w:rsidRDefault="0066757B" w:rsidP="0066757B">
            <w:pPr>
              <w:spacing w:line="360" w:lineRule="auto"/>
              <w:jc w:val="both"/>
              <w:rPr>
                <w:b/>
                <w:bCs/>
                <w:color w:val="000000" w:themeColor="text1"/>
                <w:sz w:val="24"/>
                <w:szCs w:val="24"/>
              </w:rPr>
            </w:pPr>
            <w:r w:rsidRPr="0066757B">
              <w:rPr>
                <w:b/>
                <w:bCs/>
                <w:color w:val="000000" w:themeColor="text1"/>
                <w:sz w:val="24"/>
                <w:szCs w:val="24"/>
              </w:rPr>
              <w:t>Target End Date</w:t>
            </w:r>
          </w:p>
        </w:tc>
        <w:tc>
          <w:tcPr>
            <w:tcW w:w="1670" w:type="dxa"/>
            <w:hideMark/>
          </w:tcPr>
          <w:p w14:paraId="46619003" w14:textId="77777777" w:rsidR="0066757B" w:rsidRPr="0066757B" w:rsidRDefault="0066757B" w:rsidP="0066757B">
            <w:pPr>
              <w:spacing w:line="360" w:lineRule="auto"/>
              <w:jc w:val="both"/>
              <w:rPr>
                <w:b/>
                <w:bCs/>
                <w:color w:val="000000" w:themeColor="text1"/>
                <w:sz w:val="24"/>
                <w:szCs w:val="24"/>
              </w:rPr>
            </w:pPr>
            <w:r w:rsidRPr="0066757B">
              <w:rPr>
                <w:b/>
                <w:bCs/>
                <w:color w:val="000000" w:themeColor="text1"/>
                <w:sz w:val="24"/>
                <w:szCs w:val="24"/>
              </w:rPr>
              <w:t>Evaluation</w:t>
            </w:r>
          </w:p>
        </w:tc>
      </w:tr>
      <w:tr w:rsidR="0066757B" w:rsidRPr="0066757B" w14:paraId="51F9841D" w14:textId="77777777" w:rsidTr="0066757B">
        <w:trPr>
          <w:trHeight w:val="1527"/>
          <w:jc w:val="center"/>
        </w:trPr>
        <w:tc>
          <w:tcPr>
            <w:tcW w:w="1558" w:type="dxa"/>
            <w:hideMark/>
          </w:tcPr>
          <w:p w14:paraId="201AC073"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lastRenderedPageBreak/>
              <w:t>Analytical Skills: Take to expert level</w:t>
            </w:r>
          </w:p>
        </w:tc>
        <w:tc>
          <w:tcPr>
            <w:tcW w:w="1045" w:type="dxa"/>
            <w:hideMark/>
          </w:tcPr>
          <w:p w14:paraId="3D55B64C"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High</w:t>
            </w:r>
          </w:p>
        </w:tc>
        <w:tc>
          <w:tcPr>
            <w:tcW w:w="1670" w:type="dxa"/>
            <w:hideMark/>
          </w:tcPr>
          <w:p w14:paraId="1C3F5622" w14:textId="7895477C" w:rsidR="0066757B" w:rsidRPr="0066757B" w:rsidRDefault="0066757B" w:rsidP="0066757B">
            <w:pPr>
              <w:spacing w:line="360" w:lineRule="auto"/>
              <w:jc w:val="both"/>
              <w:rPr>
                <w:color w:val="000000" w:themeColor="text1"/>
                <w:sz w:val="24"/>
                <w:szCs w:val="24"/>
              </w:rPr>
            </w:pPr>
            <w:r>
              <w:rPr>
                <w:color w:val="000000" w:themeColor="text1"/>
                <w:sz w:val="24"/>
                <w:szCs w:val="24"/>
              </w:rPr>
              <w:t>Enrol</w:t>
            </w:r>
            <w:r w:rsidRPr="0066757B">
              <w:rPr>
                <w:color w:val="000000" w:themeColor="text1"/>
                <w:sz w:val="24"/>
                <w:szCs w:val="24"/>
              </w:rPr>
              <w:t xml:space="preserve"> in advanced analytics courses, participate in workshops, </w:t>
            </w:r>
            <w:r>
              <w:rPr>
                <w:color w:val="000000" w:themeColor="text1"/>
                <w:sz w:val="24"/>
                <w:szCs w:val="24"/>
              </w:rPr>
              <w:t xml:space="preserve">and </w:t>
            </w:r>
            <w:r w:rsidRPr="0066757B">
              <w:rPr>
                <w:color w:val="000000" w:themeColor="text1"/>
                <w:sz w:val="24"/>
                <w:szCs w:val="24"/>
              </w:rPr>
              <w:t>practice with real-life scenarios</w:t>
            </w:r>
          </w:p>
        </w:tc>
        <w:tc>
          <w:tcPr>
            <w:tcW w:w="1508" w:type="dxa"/>
            <w:hideMark/>
          </w:tcPr>
          <w:p w14:paraId="44D805A2"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Analytics tools, Course materials, Workshop fees</w:t>
            </w:r>
          </w:p>
        </w:tc>
        <w:tc>
          <w:tcPr>
            <w:tcW w:w="1375" w:type="dxa"/>
            <w:hideMark/>
          </w:tcPr>
          <w:p w14:paraId="2E5CE2EE"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01/09/2023</w:t>
            </w:r>
          </w:p>
        </w:tc>
        <w:tc>
          <w:tcPr>
            <w:tcW w:w="1375" w:type="dxa"/>
            <w:hideMark/>
          </w:tcPr>
          <w:p w14:paraId="3C7A9E73"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30/12/2023</w:t>
            </w:r>
          </w:p>
        </w:tc>
        <w:tc>
          <w:tcPr>
            <w:tcW w:w="1670" w:type="dxa"/>
            <w:hideMark/>
          </w:tcPr>
          <w:p w14:paraId="471D8163"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A continuous evaluation through pre and post-assessment tests will ensure the effectiveness of training in enhancing analytical skills.</w:t>
            </w:r>
          </w:p>
        </w:tc>
      </w:tr>
      <w:tr w:rsidR="0066757B" w:rsidRPr="0066757B" w14:paraId="2EB6446A" w14:textId="77777777" w:rsidTr="0066757B">
        <w:trPr>
          <w:trHeight w:val="1527"/>
          <w:jc w:val="center"/>
        </w:trPr>
        <w:tc>
          <w:tcPr>
            <w:tcW w:w="1558" w:type="dxa"/>
            <w:hideMark/>
          </w:tcPr>
          <w:p w14:paraId="6C4E1B82"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Problem-Solving Skills: Improve efficiency</w:t>
            </w:r>
          </w:p>
        </w:tc>
        <w:tc>
          <w:tcPr>
            <w:tcW w:w="1045" w:type="dxa"/>
            <w:hideMark/>
          </w:tcPr>
          <w:p w14:paraId="0B82354D"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High</w:t>
            </w:r>
          </w:p>
        </w:tc>
        <w:tc>
          <w:tcPr>
            <w:tcW w:w="1670" w:type="dxa"/>
            <w:hideMark/>
          </w:tcPr>
          <w:p w14:paraId="1D43942E"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Attend problem-solving workshops, join group projects, apply methods to work situations</w:t>
            </w:r>
          </w:p>
        </w:tc>
        <w:tc>
          <w:tcPr>
            <w:tcW w:w="1508" w:type="dxa"/>
            <w:hideMark/>
          </w:tcPr>
          <w:p w14:paraId="44986DF2"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Workshop fees, Group collaboration tools, Real-life case studies</w:t>
            </w:r>
          </w:p>
        </w:tc>
        <w:tc>
          <w:tcPr>
            <w:tcW w:w="1375" w:type="dxa"/>
            <w:hideMark/>
          </w:tcPr>
          <w:p w14:paraId="26BEB076"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15/09/2023</w:t>
            </w:r>
          </w:p>
        </w:tc>
        <w:tc>
          <w:tcPr>
            <w:tcW w:w="1375" w:type="dxa"/>
            <w:hideMark/>
          </w:tcPr>
          <w:p w14:paraId="7C8466A5"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15/02/2024</w:t>
            </w:r>
          </w:p>
        </w:tc>
        <w:tc>
          <w:tcPr>
            <w:tcW w:w="1670" w:type="dxa"/>
            <w:hideMark/>
          </w:tcPr>
          <w:p w14:paraId="7E62C897"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Regular evaluations of applied problem-solving strategies and feedback from peers and supervisors will measure success.</w:t>
            </w:r>
          </w:p>
        </w:tc>
      </w:tr>
      <w:tr w:rsidR="0066757B" w:rsidRPr="0066757B" w14:paraId="381A6451" w14:textId="77777777" w:rsidTr="0066757B">
        <w:trPr>
          <w:trHeight w:val="1527"/>
          <w:jc w:val="center"/>
        </w:trPr>
        <w:tc>
          <w:tcPr>
            <w:tcW w:w="1558" w:type="dxa"/>
            <w:hideMark/>
          </w:tcPr>
          <w:p w14:paraId="216B5E37"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Emotional Resilience: Enhance coping mechanisms</w:t>
            </w:r>
          </w:p>
        </w:tc>
        <w:tc>
          <w:tcPr>
            <w:tcW w:w="1045" w:type="dxa"/>
            <w:hideMark/>
          </w:tcPr>
          <w:p w14:paraId="2F0A374D"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Medium</w:t>
            </w:r>
          </w:p>
        </w:tc>
        <w:tc>
          <w:tcPr>
            <w:tcW w:w="1670" w:type="dxa"/>
            <w:hideMark/>
          </w:tcPr>
          <w:p w14:paraId="35F85E37" w14:textId="715747EE"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 xml:space="preserve">Engage in </w:t>
            </w:r>
            <w:r>
              <w:rPr>
                <w:color w:val="000000" w:themeColor="text1"/>
                <w:sz w:val="24"/>
                <w:szCs w:val="24"/>
              </w:rPr>
              <w:t>counselling</w:t>
            </w:r>
            <w:r w:rsidRPr="0066757B">
              <w:rPr>
                <w:color w:val="000000" w:themeColor="text1"/>
                <w:sz w:val="24"/>
                <w:szCs w:val="24"/>
              </w:rPr>
              <w:t>, join support groups, practice mindfulness</w:t>
            </w:r>
          </w:p>
        </w:tc>
        <w:tc>
          <w:tcPr>
            <w:tcW w:w="1508" w:type="dxa"/>
            <w:hideMark/>
          </w:tcPr>
          <w:p w14:paraId="14432446" w14:textId="18418C44" w:rsidR="0066757B" w:rsidRPr="0066757B" w:rsidRDefault="0066757B" w:rsidP="0066757B">
            <w:pPr>
              <w:spacing w:line="360" w:lineRule="auto"/>
              <w:jc w:val="both"/>
              <w:rPr>
                <w:color w:val="000000" w:themeColor="text1"/>
                <w:sz w:val="24"/>
                <w:szCs w:val="24"/>
              </w:rPr>
            </w:pPr>
            <w:r>
              <w:rPr>
                <w:color w:val="000000" w:themeColor="text1"/>
                <w:sz w:val="24"/>
                <w:szCs w:val="24"/>
              </w:rPr>
              <w:t>Counsellor</w:t>
            </w:r>
            <w:r w:rsidRPr="0066757B">
              <w:rPr>
                <w:color w:val="000000" w:themeColor="text1"/>
                <w:sz w:val="24"/>
                <w:szCs w:val="24"/>
              </w:rPr>
              <w:t>, Support group membership, Mindfulness resources</w:t>
            </w:r>
          </w:p>
        </w:tc>
        <w:tc>
          <w:tcPr>
            <w:tcW w:w="1375" w:type="dxa"/>
            <w:hideMark/>
          </w:tcPr>
          <w:p w14:paraId="6ED33F0F"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01/10/2023</w:t>
            </w:r>
          </w:p>
        </w:tc>
        <w:tc>
          <w:tcPr>
            <w:tcW w:w="1375" w:type="dxa"/>
            <w:hideMark/>
          </w:tcPr>
          <w:p w14:paraId="3927140B"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01/05/2024</w:t>
            </w:r>
          </w:p>
        </w:tc>
        <w:tc>
          <w:tcPr>
            <w:tcW w:w="1670" w:type="dxa"/>
            <w:hideMark/>
          </w:tcPr>
          <w:p w14:paraId="2B38AB8F"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 xml:space="preserve">Emotional well-being assessments, feedback from support groups, and </w:t>
            </w:r>
            <w:r w:rsidRPr="0066757B">
              <w:rPr>
                <w:color w:val="000000" w:themeColor="text1"/>
                <w:sz w:val="24"/>
                <w:szCs w:val="24"/>
              </w:rPr>
              <w:lastRenderedPageBreak/>
              <w:t>personal reflection will gauge emotional resilience.</w:t>
            </w:r>
          </w:p>
        </w:tc>
      </w:tr>
      <w:tr w:rsidR="0066757B" w:rsidRPr="0066757B" w14:paraId="0BA03A23" w14:textId="77777777" w:rsidTr="0066757B">
        <w:trPr>
          <w:trHeight w:val="1527"/>
          <w:jc w:val="center"/>
        </w:trPr>
        <w:tc>
          <w:tcPr>
            <w:tcW w:w="1558" w:type="dxa"/>
            <w:hideMark/>
          </w:tcPr>
          <w:p w14:paraId="67874952"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lastRenderedPageBreak/>
              <w:t>Adaptability: Increase flexibility</w:t>
            </w:r>
          </w:p>
        </w:tc>
        <w:tc>
          <w:tcPr>
            <w:tcW w:w="1045" w:type="dxa"/>
            <w:hideMark/>
          </w:tcPr>
          <w:p w14:paraId="4C14BD15"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Medium</w:t>
            </w:r>
          </w:p>
        </w:tc>
        <w:tc>
          <w:tcPr>
            <w:tcW w:w="1670" w:type="dxa"/>
            <w:hideMark/>
          </w:tcPr>
          <w:p w14:paraId="52A6B6DA"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Participate in change management courses, simulate different work environments, seek mentorship</w:t>
            </w:r>
          </w:p>
        </w:tc>
        <w:tc>
          <w:tcPr>
            <w:tcW w:w="1508" w:type="dxa"/>
            <w:hideMark/>
          </w:tcPr>
          <w:p w14:paraId="60C1BC6F"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Change management courses, Simulation tools, Mentorship</w:t>
            </w:r>
          </w:p>
        </w:tc>
        <w:tc>
          <w:tcPr>
            <w:tcW w:w="1375" w:type="dxa"/>
            <w:hideMark/>
          </w:tcPr>
          <w:p w14:paraId="0366D61B"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15/10/2023</w:t>
            </w:r>
          </w:p>
        </w:tc>
        <w:tc>
          <w:tcPr>
            <w:tcW w:w="1375" w:type="dxa"/>
            <w:hideMark/>
          </w:tcPr>
          <w:p w14:paraId="1B306CE1"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15/03/2024</w:t>
            </w:r>
          </w:p>
        </w:tc>
        <w:tc>
          <w:tcPr>
            <w:tcW w:w="1670" w:type="dxa"/>
            <w:hideMark/>
          </w:tcPr>
          <w:p w14:paraId="2BCDA784"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Observing behavioral changes during transitions and receiving feedback from mentors and colleagues will assess adaptability.</w:t>
            </w:r>
          </w:p>
        </w:tc>
      </w:tr>
      <w:tr w:rsidR="0066757B" w:rsidRPr="0066757B" w14:paraId="13DDD483" w14:textId="77777777" w:rsidTr="0066757B">
        <w:trPr>
          <w:trHeight w:val="1781"/>
          <w:jc w:val="center"/>
        </w:trPr>
        <w:tc>
          <w:tcPr>
            <w:tcW w:w="1558" w:type="dxa"/>
            <w:hideMark/>
          </w:tcPr>
          <w:p w14:paraId="1CE3199F" w14:textId="424A3A52"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 xml:space="preserve">Proactivity: Enhance </w:t>
            </w:r>
            <w:r w:rsidR="00685D87">
              <w:rPr>
                <w:color w:val="000000" w:themeColor="text1"/>
                <w:sz w:val="24"/>
                <w:szCs w:val="24"/>
              </w:rPr>
              <w:t>initiative-taking</w:t>
            </w:r>
          </w:p>
        </w:tc>
        <w:tc>
          <w:tcPr>
            <w:tcW w:w="1045" w:type="dxa"/>
            <w:hideMark/>
          </w:tcPr>
          <w:p w14:paraId="4F5AB87C"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Low</w:t>
            </w:r>
          </w:p>
        </w:tc>
        <w:tc>
          <w:tcPr>
            <w:tcW w:w="1670" w:type="dxa"/>
            <w:hideMark/>
          </w:tcPr>
          <w:p w14:paraId="66645113"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Set clear goals, engage in leadership activities, ask for additional responsibilities</w:t>
            </w:r>
          </w:p>
        </w:tc>
        <w:tc>
          <w:tcPr>
            <w:tcW w:w="1508" w:type="dxa"/>
            <w:hideMark/>
          </w:tcPr>
          <w:p w14:paraId="3187328D" w14:textId="68C2C21C" w:rsidR="0066757B" w:rsidRPr="0066757B" w:rsidRDefault="00685D87" w:rsidP="0066757B">
            <w:pPr>
              <w:spacing w:line="360" w:lineRule="auto"/>
              <w:jc w:val="both"/>
              <w:rPr>
                <w:color w:val="000000" w:themeColor="text1"/>
                <w:sz w:val="24"/>
                <w:szCs w:val="24"/>
              </w:rPr>
            </w:pPr>
            <w:r>
              <w:rPr>
                <w:color w:val="000000" w:themeColor="text1"/>
                <w:sz w:val="24"/>
                <w:szCs w:val="24"/>
              </w:rPr>
              <w:t>Goal-setting</w:t>
            </w:r>
            <w:r w:rsidR="0066757B" w:rsidRPr="0066757B">
              <w:rPr>
                <w:color w:val="000000" w:themeColor="text1"/>
                <w:sz w:val="24"/>
                <w:szCs w:val="24"/>
              </w:rPr>
              <w:t xml:space="preserve"> tools, Leadership workshops, Supervisors' support</w:t>
            </w:r>
          </w:p>
        </w:tc>
        <w:tc>
          <w:tcPr>
            <w:tcW w:w="1375" w:type="dxa"/>
            <w:hideMark/>
          </w:tcPr>
          <w:p w14:paraId="2AAB0D3C"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01/11/2023</w:t>
            </w:r>
          </w:p>
        </w:tc>
        <w:tc>
          <w:tcPr>
            <w:tcW w:w="1375" w:type="dxa"/>
            <w:hideMark/>
          </w:tcPr>
          <w:p w14:paraId="7F27919B" w14:textId="77777777"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30/06/2024</w:t>
            </w:r>
          </w:p>
        </w:tc>
        <w:tc>
          <w:tcPr>
            <w:tcW w:w="1670" w:type="dxa"/>
            <w:hideMark/>
          </w:tcPr>
          <w:p w14:paraId="2C09ED35" w14:textId="77989196" w:rsidR="0066757B" w:rsidRPr="0066757B" w:rsidRDefault="0066757B" w:rsidP="0066757B">
            <w:pPr>
              <w:spacing w:line="360" w:lineRule="auto"/>
              <w:jc w:val="both"/>
              <w:rPr>
                <w:color w:val="000000" w:themeColor="text1"/>
                <w:sz w:val="24"/>
                <w:szCs w:val="24"/>
              </w:rPr>
            </w:pPr>
            <w:r w:rsidRPr="0066757B">
              <w:rPr>
                <w:color w:val="000000" w:themeColor="text1"/>
                <w:sz w:val="24"/>
                <w:szCs w:val="24"/>
              </w:rPr>
              <w:t>Progress toward goals, feedback from supervisors, and the ability to handle additional responsibilities will evaluate proactivity.</w:t>
            </w:r>
          </w:p>
        </w:tc>
      </w:tr>
    </w:tbl>
    <w:p w14:paraId="40701B1C" w14:textId="77777777" w:rsidR="00317B7D" w:rsidRDefault="00317B7D" w:rsidP="00317B7D">
      <w:pPr>
        <w:spacing w:line="360" w:lineRule="auto"/>
        <w:jc w:val="both"/>
        <w:rPr>
          <w:color w:val="000000" w:themeColor="text1"/>
          <w:sz w:val="24"/>
          <w:szCs w:val="24"/>
        </w:rPr>
      </w:pPr>
    </w:p>
    <w:p w14:paraId="5083585F" w14:textId="533AC6B7" w:rsidR="00D03099" w:rsidRPr="00103E12" w:rsidRDefault="00103E12" w:rsidP="00103E12">
      <w:pPr>
        <w:pStyle w:val="Heading1"/>
        <w:rPr>
          <w:b/>
          <w:bCs/>
        </w:rPr>
      </w:pPr>
      <w:bookmarkStart w:id="9" w:name="_Toc143034132"/>
      <w:r w:rsidRPr="00103E12">
        <w:rPr>
          <w:b/>
          <w:bCs/>
        </w:rPr>
        <w:lastRenderedPageBreak/>
        <w:t>Conclusion</w:t>
      </w:r>
      <w:bookmarkEnd w:id="9"/>
    </w:p>
    <w:p w14:paraId="53DF7B3E" w14:textId="2888B7FD" w:rsidR="00D03099" w:rsidRDefault="0066757B" w:rsidP="00D03099">
      <w:pPr>
        <w:spacing w:line="360" w:lineRule="auto"/>
        <w:jc w:val="both"/>
        <w:rPr>
          <w:color w:val="000000" w:themeColor="text1"/>
          <w:sz w:val="24"/>
          <w:szCs w:val="24"/>
        </w:rPr>
      </w:pPr>
      <w:r w:rsidRPr="0066757B">
        <w:rPr>
          <w:color w:val="000000" w:themeColor="text1"/>
          <w:sz w:val="24"/>
          <w:szCs w:val="24"/>
        </w:rPr>
        <w:t>The report's examination of Tesco's various development vehicles, including Mentoring and Training Programs, Leadership Development, Appraisal Meetings, Performance-based Incentives, and Individual Development Plans, has revealed several key findings. The effective integration of these strategies has played a substantial role in enhancing both employee performance and organisational success. They have fostered a culture of continuous learning, motivation, and growth within Tesco. However, these development strategies have not been without challenges, with issues such as increased costs and potential losses from non-retention. The tailored Professional Development Plan for an individual employee in the e-fulfilment project showcases a targeted approach that addresses specific skills, indicating Tesco's commitment to employee development. The alignment of theoretical frameworks like Self-Determination Theory and Expectancy Theory further underscores the effectiveness of these development vehicles in contributing to individual success.</w:t>
      </w:r>
    </w:p>
    <w:p w14:paraId="54BAD284" w14:textId="77777777" w:rsidR="0066757B" w:rsidRDefault="0066757B">
      <w:pPr>
        <w:rPr>
          <w:rFonts w:asciiTheme="majorHAnsi" w:eastAsiaTheme="majorEastAsia" w:hAnsiTheme="majorHAnsi" w:cstheme="majorBidi"/>
          <w:b/>
          <w:bCs/>
          <w:color w:val="2F5496" w:themeColor="accent1" w:themeShade="BF"/>
          <w:sz w:val="32"/>
          <w:szCs w:val="32"/>
        </w:rPr>
      </w:pPr>
      <w:r>
        <w:rPr>
          <w:b/>
          <w:bCs/>
        </w:rPr>
        <w:br w:type="page"/>
      </w:r>
    </w:p>
    <w:p w14:paraId="57C773D6" w14:textId="4C4D8381" w:rsidR="00D03099" w:rsidRPr="00103E12" w:rsidRDefault="00103E12" w:rsidP="00103E12">
      <w:pPr>
        <w:pStyle w:val="Heading1"/>
        <w:rPr>
          <w:b/>
          <w:bCs/>
        </w:rPr>
      </w:pPr>
      <w:bookmarkStart w:id="10" w:name="_Toc143034133"/>
      <w:r w:rsidRPr="00103E12">
        <w:rPr>
          <w:b/>
          <w:bCs/>
        </w:rPr>
        <w:lastRenderedPageBreak/>
        <w:t>References</w:t>
      </w:r>
      <w:bookmarkEnd w:id="10"/>
    </w:p>
    <w:p w14:paraId="2E9B8CB3" w14:textId="77777777" w:rsidR="00EF4FCE" w:rsidRPr="00EF4FCE" w:rsidRDefault="00EF4FCE" w:rsidP="00EF4FCE">
      <w:pPr>
        <w:spacing w:line="360" w:lineRule="auto"/>
        <w:jc w:val="both"/>
        <w:rPr>
          <w:color w:val="000000" w:themeColor="text1"/>
          <w:sz w:val="24"/>
          <w:szCs w:val="24"/>
        </w:rPr>
      </w:pPr>
      <w:r w:rsidRPr="00EF4FCE">
        <w:rPr>
          <w:color w:val="000000" w:themeColor="text1"/>
          <w:sz w:val="24"/>
          <w:szCs w:val="24"/>
        </w:rPr>
        <w:t xml:space="preserve">Adams, N. (2019). </w:t>
      </w:r>
      <w:r w:rsidRPr="00EF4FCE">
        <w:rPr>
          <w:i/>
          <w:iCs/>
          <w:color w:val="000000" w:themeColor="text1"/>
          <w:sz w:val="24"/>
          <w:szCs w:val="24"/>
        </w:rPr>
        <w:t>Supporting diverse talent through Tesco Executive Mentoring</w:t>
      </w:r>
      <w:r w:rsidRPr="00EF4FCE">
        <w:rPr>
          <w:color w:val="000000" w:themeColor="text1"/>
          <w:sz w:val="24"/>
          <w:szCs w:val="24"/>
        </w:rPr>
        <w:t xml:space="preserve">. [online] Available at: </w:t>
      </w:r>
      <w:hyperlink r:id="rId9" w:history="1">
        <w:r w:rsidRPr="00EF4FCE">
          <w:rPr>
            <w:rStyle w:val="Hyperlink"/>
            <w:rFonts w:cstheme="minorBidi"/>
            <w:sz w:val="24"/>
            <w:szCs w:val="24"/>
          </w:rPr>
          <w:t>https://www.tescoplc.com/supporting-diverse-talent-through-tesco-executive-mentoring/</w:t>
        </w:r>
      </w:hyperlink>
      <w:r w:rsidRPr="00EF4FCE">
        <w:rPr>
          <w:color w:val="000000" w:themeColor="text1"/>
          <w:sz w:val="24"/>
          <w:szCs w:val="24"/>
        </w:rPr>
        <w:t xml:space="preserve"> [Accessed 13 Aug. 2023].</w:t>
      </w:r>
    </w:p>
    <w:p w14:paraId="207169B3" w14:textId="77777777" w:rsidR="00EF4FCE" w:rsidRPr="00EF4FCE" w:rsidRDefault="00EF4FCE" w:rsidP="00EF4FCE">
      <w:pPr>
        <w:spacing w:line="360" w:lineRule="auto"/>
        <w:jc w:val="both"/>
        <w:rPr>
          <w:rFonts w:cstheme="minorHAnsi"/>
          <w:sz w:val="24"/>
          <w:szCs w:val="24"/>
          <w:shd w:val="clear" w:color="auto" w:fill="FFFFFF"/>
        </w:rPr>
      </w:pPr>
      <w:bookmarkStart w:id="11" w:name="_Hlk138460073"/>
      <w:r w:rsidRPr="00EF4FCE">
        <w:rPr>
          <w:rFonts w:cstheme="minorHAnsi"/>
          <w:sz w:val="24"/>
          <w:szCs w:val="24"/>
          <w:shd w:val="clear" w:color="auto" w:fill="FFFFFF"/>
        </w:rPr>
        <w:t>Andalib, T. W., Darun, M. R., and Azizan, N. A. (2019). East Asian trends of human resource management: theories and practices. </w:t>
      </w:r>
      <w:r w:rsidRPr="00EF4FCE">
        <w:rPr>
          <w:rFonts w:cstheme="minorHAnsi"/>
          <w:i/>
          <w:iCs/>
          <w:sz w:val="24"/>
          <w:szCs w:val="24"/>
          <w:shd w:val="clear" w:color="auto" w:fill="FFFFFF"/>
        </w:rPr>
        <w:t>International Journal of Human Resources Development and Management</w:t>
      </w:r>
      <w:r w:rsidRPr="00EF4FCE">
        <w:rPr>
          <w:rFonts w:cstheme="minorHAnsi"/>
          <w:sz w:val="24"/>
          <w:szCs w:val="24"/>
          <w:shd w:val="clear" w:color="auto" w:fill="FFFFFF"/>
        </w:rPr>
        <w:t>, </w:t>
      </w:r>
      <w:r w:rsidRPr="00EF4FCE">
        <w:rPr>
          <w:rFonts w:cstheme="minorHAnsi"/>
          <w:i/>
          <w:iCs/>
          <w:sz w:val="24"/>
          <w:szCs w:val="24"/>
          <w:shd w:val="clear" w:color="auto" w:fill="FFFFFF"/>
        </w:rPr>
        <w:t>19</w:t>
      </w:r>
      <w:r w:rsidRPr="00EF4FCE">
        <w:rPr>
          <w:rFonts w:cstheme="minorHAnsi"/>
          <w:sz w:val="24"/>
          <w:szCs w:val="24"/>
          <w:shd w:val="clear" w:color="auto" w:fill="FFFFFF"/>
        </w:rPr>
        <w:t>(2), 135-149.</w:t>
      </w:r>
    </w:p>
    <w:p w14:paraId="39F0B41F"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Armstrong, M., and Taylor, S. (2020). </w:t>
      </w:r>
      <w:r w:rsidRPr="00EF4FCE">
        <w:rPr>
          <w:rFonts w:cstheme="minorHAnsi"/>
          <w:i/>
          <w:iCs/>
          <w:sz w:val="24"/>
          <w:szCs w:val="24"/>
          <w:shd w:val="clear" w:color="auto" w:fill="FFFFFF"/>
        </w:rPr>
        <w:t>Armstrong's handbook of human resource management practice</w:t>
      </w:r>
      <w:r w:rsidRPr="00EF4FCE">
        <w:rPr>
          <w:rFonts w:cstheme="minorHAnsi"/>
          <w:sz w:val="24"/>
          <w:szCs w:val="24"/>
          <w:shd w:val="clear" w:color="auto" w:fill="FFFFFF"/>
        </w:rPr>
        <w:t>. Kogan Page Publishers.</w:t>
      </w:r>
    </w:p>
    <w:p w14:paraId="623AD6A9" w14:textId="77777777" w:rsidR="00EF4FCE" w:rsidRPr="00EF4FCE" w:rsidRDefault="00EF4FCE" w:rsidP="00EF4FCE">
      <w:pPr>
        <w:spacing w:line="360" w:lineRule="auto"/>
        <w:jc w:val="both"/>
        <w:rPr>
          <w:rFonts w:cstheme="minorHAnsi"/>
          <w:sz w:val="24"/>
          <w:szCs w:val="24"/>
        </w:rPr>
      </w:pPr>
      <w:r w:rsidRPr="00EF4FCE">
        <w:rPr>
          <w:rFonts w:cstheme="minorHAnsi"/>
          <w:sz w:val="24"/>
          <w:szCs w:val="24"/>
          <w:shd w:val="clear" w:color="auto" w:fill="FFFFFF"/>
        </w:rPr>
        <w:t>Armstrong, M., and Taylor, S. (2020). </w:t>
      </w:r>
      <w:r w:rsidRPr="00EF4FCE">
        <w:rPr>
          <w:rFonts w:cstheme="minorHAnsi"/>
          <w:i/>
          <w:iCs/>
          <w:sz w:val="24"/>
          <w:szCs w:val="24"/>
          <w:shd w:val="clear" w:color="auto" w:fill="FFFFFF"/>
        </w:rPr>
        <w:t>Armstrong's handbook of human resource management practice</w:t>
      </w:r>
      <w:r w:rsidRPr="00EF4FCE">
        <w:rPr>
          <w:rFonts w:cstheme="minorHAnsi"/>
          <w:sz w:val="24"/>
          <w:szCs w:val="24"/>
          <w:shd w:val="clear" w:color="auto" w:fill="FFFFFF"/>
        </w:rPr>
        <w:t>. Kogan Page Publishers.</w:t>
      </w:r>
    </w:p>
    <w:p w14:paraId="064A0397" w14:textId="77777777" w:rsidR="00EF4FCE" w:rsidRPr="00EF4FCE" w:rsidRDefault="00EF4FCE" w:rsidP="00EF4FCE">
      <w:pPr>
        <w:spacing w:line="360" w:lineRule="auto"/>
        <w:jc w:val="both"/>
        <w:rPr>
          <w:rFonts w:cstheme="minorHAnsi"/>
          <w:sz w:val="24"/>
          <w:szCs w:val="24"/>
        </w:rPr>
      </w:pPr>
      <w:r w:rsidRPr="00EF4FCE">
        <w:rPr>
          <w:rFonts w:cstheme="minorHAnsi"/>
          <w:sz w:val="24"/>
          <w:szCs w:val="24"/>
          <w:shd w:val="clear" w:color="auto" w:fill="FFFFFF"/>
        </w:rPr>
        <w:t>Becker, K., and Smidt, M. (2016). A risk perspective on human resource management: A review and directions for future research. </w:t>
      </w:r>
      <w:r w:rsidRPr="00EF4FCE">
        <w:rPr>
          <w:rFonts w:cstheme="minorHAnsi"/>
          <w:i/>
          <w:iCs/>
          <w:sz w:val="24"/>
          <w:szCs w:val="24"/>
          <w:shd w:val="clear" w:color="auto" w:fill="FFFFFF"/>
        </w:rPr>
        <w:t>Human Resource Management Review</w:t>
      </w:r>
      <w:r w:rsidRPr="00EF4FCE">
        <w:rPr>
          <w:rFonts w:cstheme="minorHAnsi"/>
          <w:sz w:val="24"/>
          <w:szCs w:val="24"/>
          <w:shd w:val="clear" w:color="auto" w:fill="FFFFFF"/>
        </w:rPr>
        <w:t>, </w:t>
      </w:r>
      <w:r w:rsidRPr="00EF4FCE">
        <w:rPr>
          <w:rFonts w:cstheme="minorHAnsi"/>
          <w:i/>
          <w:iCs/>
          <w:sz w:val="24"/>
          <w:szCs w:val="24"/>
          <w:shd w:val="clear" w:color="auto" w:fill="FFFFFF"/>
        </w:rPr>
        <w:t>26</w:t>
      </w:r>
      <w:r w:rsidRPr="00EF4FCE">
        <w:rPr>
          <w:rFonts w:cstheme="minorHAnsi"/>
          <w:sz w:val="24"/>
          <w:szCs w:val="24"/>
          <w:shd w:val="clear" w:color="auto" w:fill="FFFFFF"/>
        </w:rPr>
        <w:t>(2), 149-165.</w:t>
      </w:r>
    </w:p>
    <w:p w14:paraId="60786470"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Boxall, P., and Purcell, J. (2022). </w:t>
      </w:r>
      <w:r w:rsidRPr="00EF4FCE">
        <w:rPr>
          <w:rFonts w:cstheme="minorHAnsi"/>
          <w:i/>
          <w:iCs/>
          <w:sz w:val="24"/>
          <w:szCs w:val="24"/>
          <w:shd w:val="clear" w:color="auto" w:fill="FFFFFF"/>
        </w:rPr>
        <w:t>Strategy and human resource management</w:t>
      </w:r>
      <w:r w:rsidRPr="00EF4FCE">
        <w:rPr>
          <w:rFonts w:cstheme="minorHAnsi"/>
          <w:sz w:val="24"/>
          <w:szCs w:val="24"/>
          <w:shd w:val="clear" w:color="auto" w:fill="FFFFFF"/>
        </w:rPr>
        <w:t>. Bloomsbury Publishing.</w:t>
      </w:r>
    </w:p>
    <w:p w14:paraId="05B1F974"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Bratton, J., Gold, J., Bratton, A., and Steele, L. (2021). </w:t>
      </w:r>
      <w:r w:rsidRPr="00EF4FCE">
        <w:rPr>
          <w:rFonts w:cstheme="minorHAnsi"/>
          <w:i/>
          <w:iCs/>
          <w:sz w:val="24"/>
          <w:szCs w:val="24"/>
          <w:shd w:val="clear" w:color="auto" w:fill="FFFFFF"/>
        </w:rPr>
        <w:t>Human resource management</w:t>
      </w:r>
      <w:r w:rsidRPr="00EF4FCE">
        <w:rPr>
          <w:rFonts w:cstheme="minorHAnsi"/>
          <w:sz w:val="24"/>
          <w:szCs w:val="24"/>
          <w:shd w:val="clear" w:color="auto" w:fill="FFFFFF"/>
        </w:rPr>
        <w:t>. Bloomsbury Publishing.</w:t>
      </w:r>
    </w:p>
    <w:p w14:paraId="17BB85AD"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Brewster, C., Houldsworth, E., Sparrow, P., and Vernon, G. (2016). </w:t>
      </w:r>
      <w:r w:rsidRPr="00EF4FCE">
        <w:rPr>
          <w:rFonts w:cstheme="minorHAnsi"/>
          <w:i/>
          <w:iCs/>
          <w:sz w:val="24"/>
          <w:szCs w:val="24"/>
          <w:shd w:val="clear" w:color="auto" w:fill="FFFFFF"/>
        </w:rPr>
        <w:t>International human resource management</w:t>
      </w:r>
      <w:r w:rsidRPr="00EF4FCE">
        <w:rPr>
          <w:rFonts w:cstheme="minorHAnsi"/>
          <w:sz w:val="24"/>
          <w:szCs w:val="24"/>
          <w:shd w:val="clear" w:color="auto" w:fill="FFFFFF"/>
        </w:rPr>
        <w:t>. Kogan Page Publishers.</w:t>
      </w:r>
    </w:p>
    <w:p w14:paraId="1003E99C"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DeCenzo, D. A., Robbins, S. P., and Verhulst, S. L. (2016). </w:t>
      </w:r>
      <w:r w:rsidRPr="00EF4FCE">
        <w:rPr>
          <w:rFonts w:cstheme="minorHAnsi"/>
          <w:i/>
          <w:iCs/>
          <w:sz w:val="24"/>
          <w:szCs w:val="24"/>
          <w:shd w:val="clear" w:color="auto" w:fill="FFFFFF"/>
        </w:rPr>
        <w:t>Fundamentals of human resource management</w:t>
      </w:r>
      <w:r w:rsidRPr="00EF4FCE">
        <w:rPr>
          <w:rFonts w:cstheme="minorHAnsi"/>
          <w:sz w:val="24"/>
          <w:szCs w:val="24"/>
          <w:shd w:val="clear" w:color="auto" w:fill="FFFFFF"/>
        </w:rPr>
        <w:t>. John Wiley and Sons.</w:t>
      </w:r>
    </w:p>
    <w:p w14:paraId="0125BC26" w14:textId="77777777" w:rsidR="00EF4FCE" w:rsidRPr="00EF4FCE" w:rsidRDefault="00EF4FCE" w:rsidP="00EF4FCE">
      <w:pPr>
        <w:spacing w:line="360" w:lineRule="auto"/>
        <w:jc w:val="both"/>
        <w:rPr>
          <w:color w:val="000000" w:themeColor="text1"/>
          <w:sz w:val="24"/>
          <w:szCs w:val="24"/>
        </w:rPr>
      </w:pPr>
      <w:r w:rsidRPr="00EF4FCE">
        <w:rPr>
          <w:color w:val="000000" w:themeColor="text1"/>
          <w:sz w:val="24"/>
          <w:szCs w:val="24"/>
        </w:rPr>
        <w:t>Dhyana, B., and Gupta, O. (2022). Evaluating the management model of information systems and its applicability in enhancing business operations in Tesco. </w:t>
      </w:r>
      <w:r w:rsidRPr="00EF4FCE">
        <w:rPr>
          <w:i/>
          <w:iCs/>
          <w:color w:val="000000" w:themeColor="text1"/>
          <w:sz w:val="24"/>
          <w:szCs w:val="24"/>
        </w:rPr>
        <w:t>Central European Management Journal</w:t>
      </w:r>
      <w:r w:rsidRPr="00EF4FCE">
        <w:rPr>
          <w:color w:val="000000" w:themeColor="text1"/>
          <w:sz w:val="24"/>
          <w:szCs w:val="24"/>
        </w:rPr>
        <w:t>, </w:t>
      </w:r>
      <w:r w:rsidRPr="00EF4FCE">
        <w:rPr>
          <w:i/>
          <w:iCs/>
          <w:color w:val="000000" w:themeColor="text1"/>
          <w:sz w:val="24"/>
          <w:szCs w:val="24"/>
        </w:rPr>
        <w:t>30</w:t>
      </w:r>
      <w:r w:rsidRPr="00EF4FCE">
        <w:rPr>
          <w:color w:val="000000" w:themeColor="text1"/>
          <w:sz w:val="24"/>
          <w:szCs w:val="24"/>
        </w:rPr>
        <w:t>(3), 353-357.</w:t>
      </w:r>
    </w:p>
    <w:p w14:paraId="1FAFB34E" w14:textId="77777777" w:rsidR="00EF4FCE" w:rsidRPr="00EF4FCE" w:rsidRDefault="00EF4FCE" w:rsidP="00EF4FCE">
      <w:pPr>
        <w:spacing w:line="360" w:lineRule="auto"/>
        <w:jc w:val="both"/>
        <w:rPr>
          <w:color w:val="000000" w:themeColor="text1"/>
          <w:sz w:val="24"/>
          <w:szCs w:val="24"/>
        </w:rPr>
      </w:pPr>
      <w:r w:rsidRPr="00EF4FCE">
        <w:rPr>
          <w:color w:val="000000" w:themeColor="text1"/>
          <w:sz w:val="24"/>
          <w:szCs w:val="24"/>
        </w:rPr>
        <w:lastRenderedPageBreak/>
        <w:t>Dhyana, B., and Gupta, O. (2022). Evaluating the management model of information systems and its applicability in enhancing business operations in Tesco. </w:t>
      </w:r>
      <w:r w:rsidRPr="00EF4FCE">
        <w:rPr>
          <w:i/>
          <w:iCs/>
          <w:color w:val="000000" w:themeColor="text1"/>
          <w:sz w:val="24"/>
          <w:szCs w:val="24"/>
        </w:rPr>
        <w:t>Central European Management Journal</w:t>
      </w:r>
      <w:r w:rsidRPr="00EF4FCE">
        <w:rPr>
          <w:color w:val="000000" w:themeColor="text1"/>
          <w:sz w:val="24"/>
          <w:szCs w:val="24"/>
        </w:rPr>
        <w:t>, </w:t>
      </w:r>
      <w:r w:rsidRPr="00EF4FCE">
        <w:rPr>
          <w:i/>
          <w:iCs/>
          <w:color w:val="000000" w:themeColor="text1"/>
          <w:sz w:val="24"/>
          <w:szCs w:val="24"/>
        </w:rPr>
        <w:t>30</w:t>
      </w:r>
      <w:r w:rsidRPr="00EF4FCE">
        <w:rPr>
          <w:color w:val="000000" w:themeColor="text1"/>
          <w:sz w:val="24"/>
          <w:szCs w:val="24"/>
        </w:rPr>
        <w:t>(3), 353-357.</w:t>
      </w:r>
    </w:p>
    <w:p w14:paraId="327E8557"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Ellinger, A. D., and Kim, S. (2014). Coaching and human resource development: Examining relevant theories, coaching genres, and scales to advance research and practice. </w:t>
      </w:r>
      <w:r w:rsidRPr="00EF4FCE">
        <w:rPr>
          <w:rFonts w:cstheme="minorHAnsi"/>
          <w:i/>
          <w:iCs/>
          <w:sz w:val="24"/>
          <w:szCs w:val="24"/>
          <w:shd w:val="clear" w:color="auto" w:fill="FFFFFF"/>
        </w:rPr>
        <w:t>Advances in Developing Human Resources</w:t>
      </w:r>
      <w:r w:rsidRPr="00EF4FCE">
        <w:rPr>
          <w:rFonts w:cstheme="minorHAnsi"/>
          <w:sz w:val="24"/>
          <w:szCs w:val="24"/>
          <w:shd w:val="clear" w:color="auto" w:fill="FFFFFF"/>
        </w:rPr>
        <w:t>, </w:t>
      </w:r>
      <w:r w:rsidRPr="00EF4FCE">
        <w:rPr>
          <w:rFonts w:cstheme="minorHAnsi"/>
          <w:i/>
          <w:iCs/>
          <w:sz w:val="24"/>
          <w:szCs w:val="24"/>
          <w:shd w:val="clear" w:color="auto" w:fill="FFFFFF"/>
        </w:rPr>
        <w:t>16</w:t>
      </w:r>
      <w:r w:rsidRPr="00EF4FCE">
        <w:rPr>
          <w:rFonts w:cstheme="minorHAnsi"/>
          <w:sz w:val="24"/>
          <w:szCs w:val="24"/>
          <w:shd w:val="clear" w:color="auto" w:fill="FFFFFF"/>
        </w:rPr>
        <w:t>(2), 127-138.</w:t>
      </w:r>
    </w:p>
    <w:bookmarkEnd w:id="11"/>
    <w:p w14:paraId="3ACE1CF5"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Guest, D. E., Sanders, K., Rodrigues, R., and Oliveira, T. (2021). Signalling theory as a framework for analysing human resource management processes and integrating human resource attribution theories: A conceptual analysis and empirical exploration. </w:t>
      </w:r>
      <w:r w:rsidRPr="00EF4FCE">
        <w:rPr>
          <w:rFonts w:cstheme="minorHAnsi"/>
          <w:i/>
          <w:iCs/>
          <w:sz w:val="24"/>
          <w:szCs w:val="24"/>
          <w:shd w:val="clear" w:color="auto" w:fill="FFFFFF"/>
        </w:rPr>
        <w:t>Human Resource Management Journal</w:t>
      </w:r>
      <w:r w:rsidRPr="00EF4FCE">
        <w:rPr>
          <w:rFonts w:cstheme="minorHAnsi"/>
          <w:sz w:val="24"/>
          <w:szCs w:val="24"/>
          <w:shd w:val="clear" w:color="auto" w:fill="FFFFFF"/>
        </w:rPr>
        <w:t>, </w:t>
      </w:r>
      <w:r w:rsidRPr="00EF4FCE">
        <w:rPr>
          <w:rFonts w:cstheme="minorHAnsi"/>
          <w:i/>
          <w:iCs/>
          <w:sz w:val="24"/>
          <w:szCs w:val="24"/>
          <w:shd w:val="clear" w:color="auto" w:fill="FFFFFF"/>
        </w:rPr>
        <w:t>31</w:t>
      </w:r>
      <w:r w:rsidRPr="00EF4FCE">
        <w:rPr>
          <w:rFonts w:cstheme="minorHAnsi"/>
          <w:sz w:val="24"/>
          <w:szCs w:val="24"/>
          <w:shd w:val="clear" w:color="auto" w:fill="FFFFFF"/>
        </w:rPr>
        <w:t>(3), 796-818.</w:t>
      </w:r>
    </w:p>
    <w:p w14:paraId="1039A3A2"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Hecklau, F., Galeitzke, M., Flachs, S., and Kohl, H. (2016). Holistic approach for human resource management in Industry 4.0. </w:t>
      </w:r>
      <w:r w:rsidRPr="00EF4FCE">
        <w:rPr>
          <w:rFonts w:cstheme="minorHAnsi"/>
          <w:i/>
          <w:iCs/>
          <w:sz w:val="24"/>
          <w:szCs w:val="24"/>
          <w:shd w:val="clear" w:color="auto" w:fill="FFFFFF"/>
        </w:rPr>
        <w:t>Procedia Cirp</w:t>
      </w:r>
      <w:r w:rsidRPr="00EF4FCE">
        <w:rPr>
          <w:rFonts w:cstheme="minorHAnsi"/>
          <w:sz w:val="24"/>
          <w:szCs w:val="24"/>
          <w:shd w:val="clear" w:color="auto" w:fill="FFFFFF"/>
        </w:rPr>
        <w:t>, </w:t>
      </w:r>
      <w:r w:rsidRPr="00EF4FCE">
        <w:rPr>
          <w:rFonts w:cstheme="minorHAnsi"/>
          <w:i/>
          <w:iCs/>
          <w:sz w:val="24"/>
          <w:szCs w:val="24"/>
          <w:shd w:val="clear" w:color="auto" w:fill="FFFFFF"/>
        </w:rPr>
        <w:t>54</w:t>
      </w:r>
      <w:r w:rsidRPr="00EF4FCE">
        <w:rPr>
          <w:rFonts w:cstheme="minorHAnsi"/>
          <w:sz w:val="24"/>
          <w:szCs w:val="24"/>
          <w:shd w:val="clear" w:color="auto" w:fill="FFFFFF"/>
        </w:rPr>
        <w:t>, 1-6.</w:t>
      </w:r>
    </w:p>
    <w:p w14:paraId="0E4737B3" w14:textId="77777777" w:rsidR="00EF4FCE" w:rsidRPr="00EF4FCE" w:rsidRDefault="00EF4FCE" w:rsidP="00EF4FCE">
      <w:pPr>
        <w:spacing w:line="360" w:lineRule="auto"/>
        <w:jc w:val="both"/>
        <w:rPr>
          <w:rFonts w:cstheme="minorHAnsi"/>
          <w:sz w:val="24"/>
          <w:szCs w:val="24"/>
        </w:rPr>
      </w:pPr>
      <w:r w:rsidRPr="00EF4FCE">
        <w:rPr>
          <w:rFonts w:cstheme="minorHAnsi"/>
          <w:sz w:val="24"/>
          <w:szCs w:val="24"/>
          <w:shd w:val="clear" w:color="auto" w:fill="FFFFFF"/>
        </w:rPr>
        <w:t>Hewett, R., Shantz, A., Mundy, J., and Alfes, K. (2018). Attribution theories in human resource management research: A review and research agenda. </w:t>
      </w:r>
      <w:r w:rsidRPr="00EF4FCE">
        <w:rPr>
          <w:rFonts w:cstheme="minorHAnsi"/>
          <w:i/>
          <w:iCs/>
          <w:sz w:val="24"/>
          <w:szCs w:val="24"/>
          <w:shd w:val="clear" w:color="auto" w:fill="FFFFFF"/>
        </w:rPr>
        <w:t>The International Journal of Human Resource Management</w:t>
      </w:r>
      <w:r w:rsidRPr="00EF4FCE">
        <w:rPr>
          <w:rFonts w:cstheme="minorHAnsi"/>
          <w:sz w:val="24"/>
          <w:szCs w:val="24"/>
          <w:shd w:val="clear" w:color="auto" w:fill="FFFFFF"/>
        </w:rPr>
        <w:t>, </w:t>
      </w:r>
      <w:r w:rsidRPr="00EF4FCE">
        <w:rPr>
          <w:rFonts w:cstheme="minorHAnsi"/>
          <w:i/>
          <w:iCs/>
          <w:sz w:val="24"/>
          <w:szCs w:val="24"/>
          <w:shd w:val="clear" w:color="auto" w:fill="FFFFFF"/>
        </w:rPr>
        <w:t>29</w:t>
      </w:r>
      <w:r w:rsidRPr="00EF4FCE">
        <w:rPr>
          <w:rFonts w:cstheme="minorHAnsi"/>
          <w:sz w:val="24"/>
          <w:szCs w:val="24"/>
          <w:shd w:val="clear" w:color="auto" w:fill="FFFFFF"/>
        </w:rPr>
        <w:t>(1), 87-126.</w:t>
      </w:r>
    </w:p>
    <w:p w14:paraId="5D308A31"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Ivanovic, T., and Ivancevic, S. (2022). Human resource management. In </w:t>
      </w:r>
      <w:r w:rsidRPr="00EF4FCE">
        <w:rPr>
          <w:rFonts w:cstheme="minorHAnsi"/>
          <w:i/>
          <w:iCs/>
          <w:sz w:val="24"/>
          <w:szCs w:val="24"/>
          <w:shd w:val="clear" w:color="auto" w:fill="FFFFFF"/>
        </w:rPr>
        <w:t>Encyclopedia of Tourism Management and Marketing</w:t>
      </w:r>
      <w:r w:rsidRPr="00EF4FCE">
        <w:rPr>
          <w:rFonts w:cstheme="minorHAnsi"/>
          <w:sz w:val="24"/>
          <w:szCs w:val="24"/>
          <w:shd w:val="clear" w:color="auto" w:fill="FFFFFF"/>
        </w:rPr>
        <w:t> (pp. 621-624). Edward Elgar Publishing.</w:t>
      </w:r>
    </w:p>
    <w:p w14:paraId="2A327489"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Kantola, J. (2015). </w:t>
      </w:r>
      <w:r w:rsidRPr="00EF4FCE">
        <w:rPr>
          <w:rFonts w:cstheme="minorHAnsi"/>
          <w:i/>
          <w:iCs/>
          <w:sz w:val="24"/>
          <w:szCs w:val="24"/>
          <w:shd w:val="clear" w:color="auto" w:fill="FFFFFF"/>
        </w:rPr>
        <w:t>Organizational resource management: theories, methodologies, and applications</w:t>
      </w:r>
      <w:r w:rsidRPr="00EF4FCE">
        <w:rPr>
          <w:rFonts w:cstheme="minorHAnsi"/>
          <w:sz w:val="24"/>
          <w:szCs w:val="24"/>
          <w:shd w:val="clear" w:color="auto" w:fill="FFFFFF"/>
        </w:rPr>
        <w:t>. CRC Press.</w:t>
      </w:r>
    </w:p>
    <w:p w14:paraId="6CAD7379" w14:textId="77777777" w:rsidR="00EF4FCE" w:rsidRPr="00EF4FCE" w:rsidRDefault="00EF4FCE" w:rsidP="00EF4FCE">
      <w:pPr>
        <w:spacing w:line="360" w:lineRule="auto"/>
        <w:jc w:val="both"/>
        <w:rPr>
          <w:color w:val="000000" w:themeColor="text1"/>
          <w:sz w:val="24"/>
          <w:szCs w:val="24"/>
        </w:rPr>
      </w:pPr>
      <w:r w:rsidRPr="00EF4FCE">
        <w:rPr>
          <w:color w:val="000000" w:themeColor="text1"/>
          <w:sz w:val="24"/>
          <w:szCs w:val="24"/>
        </w:rPr>
        <w:t>Kukreja, G., and Gupta, S. (2016). Tesco Accounting Misstatements: Myopic Ideologies Overshadowing Larger Organisational Interests. </w:t>
      </w:r>
      <w:r w:rsidRPr="00EF4FCE">
        <w:rPr>
          <w:i/>
          <w:iCs/>
          <w:color w:val="000000" w:themeColor="text1"/>
          <w:sz w:val="24"/>
          <w:szCs w:val="24"/>
        </w:rPr>
        <w:t>SDMIMD Journal of Management</w:t>
      </w:r>
      <w:r w:rsidRPr="00EF4FCE">
        <w:rPr>
          <w:color w:val="000000" w:themeColor="text1"/>
          <w:sz w:val="24"/>
          <w:szCs w:val="24"/>
        </w:rPr>
        <w:t>, </w:t>
      </w:r>
      <w:r w:rsidRPr="00EF4FCE">
        <w:rPr>
          <w:i/>
          <w:iCs/>
          <w:color w:val="000000" w:themeColor="text1"/>
          <w:sz w:val="24"/>
          <w:szCs w:val="24"/>
        </w:rPr>
        <w:t>7</w:t>
      </w:r>
      <w:r w:rsidRPr="00EF4FCE">
        <w:rPr>
          <w:color w:val="000000" w:themeColor="text1"/>
          <w:sz w:val="24"/>
          <w:szCs w:val="24"/>
        </w:rPr>
        <w:t>(1).</w:t>
      </w:r>
    </w:p>
    <w:p w14:paraId="5533E2A4"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Marchington, M., Wilkinson, A., Donnelly, R., and Kynighou, A. (2016). </w:t>
      </w:r>
      <w:r w:rsidRPr="00EF4FCE">
        <w:rPr>
          <w:rFonts w:cstheme="minorHAnsi"/>
          <w:i/>
          <w:iCs/>
          <w:sz w:val="24"/>
          <w:szCs w:val="24"/>
          <w:shd w:val="clear" w:color="auto" w:fill="FFFFFF"/>
        </w:rPr>
        <w:t>Human resource management at work</w:t>
      </w:r>
      <w:r w:rsidRPr="00EF4FCE">
        <w:rPr>
          <w:rFonts w:cstheme="minorHAnsi"/>
          <w:sz w:val="24"/>
          <w:szCs w:val="24"/>
          <w:shd w:val="clear" w:color="auto" w:fill="FFFFFF"/>
        </w:rPr>
        <w:t>. Kogan Page Publishers.</w:t>
      </w:r>
    </w:p>
    <w:p w14:paraId="428A86D1"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Mathis, R. L., Jackson, J. H., Valentine, S. R., and Meglich, P. (2016). </w:t>
      </w:r>
      <w:r w:rsidRPr="00EF4FCE">
        <w:rPr>
          <w:rFonts w:cstheme="minorHAnsi"/>
          <w:i/>
          <w:iCs/>
          <w:sz w:val="24"/>
          <w:szCs w:val="24"/>
          <w:shd w:val="clear" w:color="auto" w:fill="FFFFFF"/>
        </w:rPr>
        <w:t>Human resource management</w:t>
      </w:r>
      <w:r w:rsidRPr="00EF4FCE">
        <w:rPr>
          <w:rFonts w:cstheme="minorHAnsi"/>
          <w:sz w:val="24"/>
          <w:szCs w:val="24"/>
          <w:shd w:val="clear" w:color="auto" w:fill="FFFFFF"/>
        </w:rPr>
        <w:t>. Cengage Learning.</w:t>
      </w:r>
    </w:p>
    <w:p w14:paraId="5762E694"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Pattanayak, B. (2020). </w:t>
      </w:r>
      <w:r w:rsidRPr="00EF4FCE">
        <w:rPr>
          <w:rFonts w:cstheme="minorHAnsi"/>
          <w:i/>
          <w:iCs/>
          <w:sz w:val="24"/>
          <w:szCs w:val="24"/>
          <w:shd w:val="clear" w:color="auto" w:fill="FFFFFF"/>
        </w:rPr>
        <w:t>Human resource management</w:t>
      </w:r>
      <w:r w:rsidRPr="00EF4FCE">
        <w:rPr>
          <w:rFonts w:cstheme="minorHAnsi"/>
          <w:sz w:val="24"/>
          <w:szCs w:val="24"/>
          <w:shd w:val="clear" w:color="auto" w:fill="FFFFFF"/>
        </w:rPr>
        <w:t>. PHI Learning Pvt. Ltd..</w:t>
      </w:r>
    </w:p>
    <w:p w14:paraId="08348FC4" w14:textId="77777777" w:rsidR="00EF4FCE" w:rsidRPr="00EF4FCE" w:rsidRDefault="00EF4FCE" w:rsidP="00EF4FCE">
      <w:pPr>
        <w:spacing w:line="360" w:lineRule="auto"/>
        <w:jc w:val="both"/>
        <w:rPr>
          <w:sz w:val="24"/>
          <w:szCs w:val="24"/>
        </w:rPr>
      </w:pPr>
      <w:r w:rsidRPr="00EF4FCE">
        <w:rPr>
          <w:sz w:val="24"/>
          <w:szCs w:val="24"/>
        </w:rPr>
        <w:lastRenderedPageBreak/>
        <w:t>Rosnizam, M. R. A. B., Kee, D. M. H., Akhir, M. E. H. B. M., Shahqira, M., Yusoff, M. A. H. B. M., Budiman, R. S., and Alajmi, A. M. (2020). Market opportunities and challenges: A case study of Tesco. </w:t>
      </w:r>
      <w:r w:rsidRPr="00EF4FCE">
        <w:rPr>
          <w:i/>
          <w:iCs/>
          <w:sz w:val="24"/>
          <w:szCs w:val="24"/>
        </w:rPr>
        <w:t>Journal of the community development in Asia</w:t>
      </w:r>
      <w:r w:rsidRPr="00EF4FCE">
        <w:rPr>
          <w:sz w:val="24"/>
          <w:szCs w:val="24"/>
        </w:rPr>
        <w:t>, </w:t>
      </w:r>
      <w:r w:rsidRPr="00EF4FCE">
        <w:rPr>
          <w:i/>
          <w:iCs/>
          <w:sz w:val="24"/>
          <w:szCs w:val="24"/>
        </w:rPr>
        <w:t>3</w:t>
      </w:r>
      <w:r w:rsidRPr="00EF4FCE">
        <w:rPr>
          <w:sz w:val="24"/>
          <w:szCs w:val="24"/>
        </w:rPr>
        <w:t>(2), 18-27.</w:t>
      </w:r>
    </w:p>
    <w:p w14:paraId="637BF711"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Sparrow, P., Brewster, C., and Chung, C. (2016). </w:t>
      </w:r>
      <w:r w:rsidRPr="00EF4FCE">
        <w:rPr>
          <w:rFonts w:cstheme="minorHAnsi"/>
          <w:i/>
          <w:iCs/>
          <w:sz w:val="24"/>
          <w:szCs w:val="24"/>
          <w:shd w:val="clear" w:color="auto" w:fill="FFFFFF"/>
        </w:rPr>
        <w:t>Globalizing human resource management</w:t>
      </w:r>
      <w:r w:rsidRPr="00EF4FCE">
        <w:rPr>
          <w:rFonts w:cstheme="minorHAnsi"/>
          <w:sz w:val="24"/>
          <w:szCs w:val="24"/>
          <w:shd w:val="clear" w:color="auto" w:fill="FFFFFF"/>
        </w:rPr>
        <w:t>. Routledge.</w:t>
      </w:r>
    </w:p>
    <w:p w14:paraId="25C22F1A"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Stewart, G. L., and Brown, K. G. (2019). </w:t>
      </w:r>
      <w:r w:rsidRPr="00EF4FCE">
        <w:rPr>
          <w:rFonts w:cstheme="minorHAnsi"/>
          <w:i/>
          <w:iCs/>
          <w:sz w:val="24"/>
          <w:szCs w:val="24"/>
          <w:shd w:val="clear" w:color="auto" w:fill="FFFFFF"/>
        </w:rPr>
        <w:t>Human resource management</w:t>
      </w:r>
      <w:r w:rsidRPr="00EF4FCE">
        <w:rPr>
          <w:rFonts w:cstheme="minorHAnsi"/>
          <w:sz w:val="24"/>
          <w:szCs w:val="24"/>
          <w:shd w:val="clear" w:color="auto" w:fill="FFFFFF"/>
        </w:rPr>
        <w:t>. John Wiley and Sons.</w:t>
      </w:r>
    </w:p>
    <w:p w14:paraId="2595CFD0"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Stone, D. L., and Deadrick, D. L. (2015). Challenges and opportunities affecting the future of human resource management. </w:t>
      </w:r>
      <w:r w:rsidRPr="00EF4FCE">
        <w:rPr>
          <w:rFonts w:cstheme="minorHAnsi"/>
          <w:i/>
          <w:iCs/>
          <w:sz w:val="24"/>
          <w:szCs w:val="24"/>
          <w:shd w:val="clear" w:color="auto" w:fill="FFFFFF"/>
        </w:rPr>
        <w:t>Human Resource Management Review</w:t>
      </w:r>
      <w:r w:rsidRPr="00EF4FCE">
        <w:rPr>
          <w:rFonts w:cstheme="minorHAnsi"/>
          <w:sz w:val="24"/>
          <w:szCs w:val="24"/>
          <w:shd w:val="clear" w:color="auto" w:fill="FFFFFF"/>
        </w:rPr>
        <w:t>, </w:t>
      </w:r>
      <w:r w:rsidRPr="00EF4FCE">
        <w:rPr>
          <w:rFonts w:cstheme="minorHAnsi"/>
          <w:i/>
          <w:iCs/>
          <w:sz w:val="24"/>
          <w:szCs w:val="24"/>
          <w:shd w:val="clear" w:color="auto" w:fill="FFFFFF"/>
        </w:rPr>
        <w:t>25</w:t>
      </w:r>
      <w:r w:rsidRPr="00EF4FCE">
        <w:rPr>
          <w:rFonts w:cstheme="minorHAnsi"/>
          <w:sz w:val="24"/>
          <w:szCs w:val="24"/>
          <w:shd w:val="clear" w:color="auto" w:fill="FFFFFF"/>
        </w:rPr>
        <w:t>(2), 139-145.</w:t>
      </w:r>
    </w:p>
    <w:p w14:paraId="7F523075"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Stone, D. L., Deadrick, D. L., Lukaszewski, K. M., and Johnson, R. (2015). The influence of technology on the future of human resource management. </w:t>
      </w:r>
      <w:r w:rsidRPr="00EF4FCE">
        <w:rPr>
          <w:rFonts w:cstheme="minorHAnsi"/>
          <w:i/>
          <w:iCs/>
          <w:sz w:val="24"/>
          <w:szCs w:val="24"/>
          <w:shd w:val="clear" w:color="auto" w:fill="FFFFFF"/>
        </w:rPr>
        <w:t>Human resource management review</w:t>
      </w:r>
      <w:r w:rsidRPr="00EF4FCE">
        <w:rPr>
          <w:rFonts w:cstheme="minorHAnsi"/>
          <w:sz w:val="24"/>
          <w:szCs w:val="24"/>
          <w:shd w:val="clear" w:color="auto" w:fill="FFFFFF"/>
        </w:rPr>
        <w:t>, </w:t>
      </w:r>
      <w:r w:rsidRPr="00EF4FCE">
        <w:rPr>
          <w:rFonts w:cstheme="minorHAnsi"/>
          <w:i/>
          <w:iCs/>
          <w:sz w:val="24"/>
          <w:szCs w:val="24"/>
          <w:shd w:val="clear" w:color="auto" w:fill="FFFFFF"/>
        </w:rPr>
        <w:t>25</w:t>
      </w:r>
      <w:r w:rsidRPr="00EF4FCE">
        <w:rPr>
          <w:rFonts w:cstheme="minorHAnsi"/>
          <w:sz w:val="24"/>
          <w:szCs w:val="24"/>
          <w:shd w:val="clear" w:color="auto" w:fill="FFFFFF"/>
        </w:rPr>
        <w:t>(2), 216-231.</w:t>
      </w:r>
    </w:p>
    <w:p w14:paraId="0F19E6CD"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Stone, R. J., Cox, A., and Gavin, M. (2020). </w:t>
      </w:r>
      <w:r w:rsidRPr="00EF4FCE">
        <w:rPr>
          <w:rFonts w:cstheme="minorHAnsi"/>
          <w:i/>
          <w:iCs/>
          <w:sz w:val="24"/>
          <w:szCs w:val="24"/>
          <w:shd w:val="clear" w:color="auto" w:fill="FFFFFF"/>
        </w:rPr>
        <w:t>Human resource management</w:t>
      </w:r>
      <w:r w:rsidRPr="00EF4FCE">
        <w:rPr>
          <w:rFonts w:cstheme="minorHAnsi"/>
          <w:sz w:val="24"/>
          <w:szCs w:val="24"/>
          <w:shd w:val="clear" w:color="auto" w:fill="FFFFFF"/>
        </w:rPr>
        <w:t>. John Wiley and Sons.</w:t>
      </w:r>
    </w:p>
    <w:p w14:paraId="6FB80855" w14:textId="4C09229A" w:rsidR="00EF4FCE" w:rsidRPr="00EF4FCE" w:rsidRDefault="00EF4FCE" w:rsidP="00EF4FCE">
      <w:pPr>
        <w:spacing w:line="360" w:lineRule="auto"/>
        <w:jc w:val="both"/>
        <w:rPr>
          <w:color w:val="000000" w:themeColor="text1"/>
          <w:sz w:val="24"/>
          <w:szCs w:val="24"/>
        </w:rPr>
      </w:pPr>
      <w:bookmarkStart w:id="12" w:name="_Hlk127151872"/>
      <w:r w:rsidRPr="00EF4FCE">
        <w:rPr>
          <w:color w:val="000000" w:themeColor="text1"/>
          <w:sz w:val="24"/>
          <w:szCs w:val="24"/>
        </w:rPr>
        <w:t xml:space="preserve">Tesco Plc., (2022). </w:t>
      </w:r>
      <w:r w:rsidRPr="00EF4FCE">
        <w:rPr>
          <w:i/>
          <w:iCs/>
          <w:color w:val="000000"/>
          <w:sz w:val="24"/>
          <w:szCs w:val="24"/>
        </w:rPr>
        <w:t>Annual Report and Financial Statements 2022</w:t>
      </w:r>
      <w:r w:rsidRPr="00EF4FCE">
        <w:rPr>
          <w:color w:val="000000"/>
          <w:sz w:val="24"/>
          <w:szCs w:val="24"/>
        </w:rPr>
        <w:t xml:space="preserve">. [Online] Available at </w:t>
      </w:r>
      <w:hyperlink r:id="rId10" w:history="1">
        <w:r w:rsidRPr="00EF4FCE">
          <w:rPr>
            <w:rStyle w:val="Hyperlink"/>
            <w:sz w:val="24"/>
            <w:szCs w:val="24"/>
          </w:rPr>
          <w:t>https://www.tescoplc.com/media/759057/tesco-annual-report-2022.pdf</w:t>
        </w:r>
      </w:hyperlink>
      <w:r w:rsidRPr="00EF4FCE">
        <w:rPr>
          <w:color w:val="000000"/>
          <w:sz w:val="24"/>
          <w:szCs w:val="24"/>
        </w:rPr>
        <w:t xml:space="preserve"> [Assessed on 1</w:t>
      </w:r>
      <w:r w:rsidR="002B777D">
        <w:rPr>
          <w:color w:val="000000"/>
          <w:sz w:val="24"/>
          <w:szCs w:val="24"/>
        </w:rPr>
        <w:t>4</w:t>
      </w:r>
      <w:r w:rsidRPr="00EF4FCE">
        <w:rPr>
          <w:color w:val="000000"/>
          <w:sz w:val="24"/>
          <w:szCs w:val="24"/>
        </w:rPr>
        <w:t xml:space="preserve"> August 2023]</w:t>
      </w:r>
    </w:p>
    <w:bookmarkEnd w:id="12"/>
    <w:p w14:paraId="0224981F"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Torrington, D. (2014). </w:t>
      </w:r>
      <w:r w:rsidRPr="00EF4FCE">
        <w:rPr>
          <w:rFonts w:cstheme="minorHAnsi"/>
          <w:i/>
          <w:iCs/>
          <w:sz w:val="24"/>
          <w:szCs w:val="24"/>
          <w:shd w:val="clear" w:color="auto" w:fill="FFFFFF"/>
        </w:rPr>
        <w:t>Human resource management</w:t>
      </w:r>
      <w:r w:rsidRPr="00EF4FCE">
        <w:rPr>
          <w:rFonts w:cstheme="minorHAnsi"/>
          <w:sz w:val="24"/>
          <w:szCs w:val="24"/>
          <w:shd w:val="clear" w:color="auto" w:fill="FFFFFF"/>
        </w:rPr>
        <w:t>. Trans-Atlantic Publications.</w:t>
      </w:r>
    </w:p>
    <w:p w14:paraId="50EC9ED3"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Torrington, D., Hall, L., Atkinson, C., and Taylor, S. (2020). </w:t>
      </w:r>
      <w:r w:rsidRPr="00EF4FCE">
        <w:rPr>
          <w:rFonts w:cstheme="minorHAnsi"/>
          <w:i/>
          <w:iCs/>
          <w:sz w:val="24"/>
          <w:szCs w:val="24"/>
          <w:shd w:val="clear" w:color="auto" w:fill="FFFFFF"/>
        </w:rPr>
        <w:t>Human resource management</w:t>
      </w:r>
      <w:r w:rsidRPr="00EF4FCE">
        <w:rPr>
          <w:rFonts w:cstheme="minorHAnsi"/>
          <w:sz w:val="24"/>
          <w:szCs w:val="24"/>
          <w:shd w:val="clear" w:color="auto" w:fill="FFFFFF"/>
        </w:rPr>
        <w:t>. Pearson UK.</w:t>
      </w:r>
    </w:p>
    <w:p w14:paraId="2095DC06"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Tyson, S. (2014). </w:t>
      </w:r>
      <w:r w:rsidRPr="00EF4FCE">
        <w:rPr>
          <w:rFonts w:cstheme="minorHAnsi"/>
          <w:i/>
          <w:iCs/>
          <w:sz w:val="24"/>
          <w:szCs w:val="24"/>
          <w:shd w:val="clear" w:color="auto" w:fill="FFFFFF"/>
        </w:rPr>
        <w:t>Essentials of human resource management</w:t>
      </w:r>
      <w:r w:rsidRPr="00EF4FCE">
        <w:rPr>
          <w:rFonts w:cstheme="minorHAnsi"/>
          <w:sz w:val="24"/>
          <w:szCs w:val="24"/>
          <w:shd w:val="clear" w:color="auto" w:fill="FFFFFF"/>
        </w:rPr>
        <w:t>. Routledge.</w:t>
      </w:r>
    </w:p>
    <w:p w14:paraId="302694B8" w14:textId="77777777" w:rsidR="00EF4FCE" w:rsidRPr="00EF4FCE" w:rsidRDefault="00EF4FCE" w:rsidP="00EF4FCE">
      <w:pPr>
        <w:spacing w:line="360" w:lineRule="auto"/>
        <w:jc w:val="both"/>
        <w:rPr>
          <w:rFonts w:cstheme="minorHAnsi"/>
          <w:sz w:val="24"/>
          <w:szCs w:val="24"/>
          <w:shd w:val="clear" w:color="auto" w:fill="FFFFFF"/>
        </w:rPr>
      </w:pPr>
      <w:r w:rsidRPr="00EF4FCE">
        <w:rPr>
          <w:rFonts w:cstheme="minorHAnsi"/>
          <w:sz w:val="24"/>
          <w:szCs w:val="24"/>
          <w:shd w:val="clear" w:color="auto" w:fill="FFFFFF"/>
        </w:rPr>
        <w:t>Wilton, N. (2022). An introduction to human resource management. </w:t>
      </w:r>
      <w:r w:rsidRPr="00EF4FCE">
        <w:rPr>
          <w:rFonts w:cstheme="minorHAnsi"/>
          <w:i/>
          <w:iCs/>
          <w:sz w:val="24"/>
          <w:szCs w:val="24"/>
          <w:shd w:val="clear" w:color="auto" w:fill="FFFFFF"/>
        </w:rPr>
        <w:t>An Introduction to Human Resource Management</w:t>
      </w:r>
      <w:r w:rsidRPr="00EF4FCE">
        <w:rPr>
          <w:rFonts w:cstheme="minorHAnsi"/>
          <w:sz w:val="24"/>
          <w:szCs w:val="24"/>
          <w:shd w:val="clear" w:color="auto" w:fill="FFFFFF"/>
        </w:rPr>
        <w:t>, 1-100.</w:t>
      </w:r>
    </w:p>
    <w:p w14:paraId="532415B5" w14:textId="77777777" w:rsidR="00EF4FCE" w:rsidRPr="00EF4FCE" w:rsidRDefault="00EF4FCE" w:rsidP="00D03099">
      <w:pPr>
        <w:spacing w:line="360" w:lineRule="auto"/>
        <w:jc w:val="both"/>
        <w:rPr>
          <w:sz w:val="24"/>
          <w:szCs w:val="24"/>
        </w:rPr>
      </w:pPr>
      <w:r w:rsidRPr="00EF4FCE">
        <w:rPr>
          <w:sz w:val="24"/>
          <w:szCs w:val="24"/>
        </w:rPr>
        <w:t>Zarqan, I. A., and Sukarni, S. (2017). Human resource development in the era of technology; technology’s implementation for innovative human resource development. </w:t>
      </w:r>
      <w:r w:rsidRPr="00EF4FCE">
        <w:rPr>
          <w:i/>
          <w:iCs/>
          <w:sz w:val="24"/>
          <w:szCs w:val="24"/>
        </w:rPr>
        <w:t>Journal of theory and Applied Management</w:t>
      </w:r>
      <w:r w:rsidRPr="00EF4FCE">
        <w:rPr>
          <w:sz w:val="24"/>
          <w:szCs w:val="24"/>
        </w:rPr>
        <w:t>, </w:t>
      </w:r>
      <w:r w:rsidRPr="00EF4FCE">
        <w:rPr>
          <w:i/>
          <w:iCs/>
          <w:sz w:val="24"/>
          <w:szCs w:val="24"/>
        </w:rPr>
        <w:t>10</w:t>
      </w:r>
      <w:r w:rsidRPr="00EF4FCE">
        <w:rPr>
          <w:sz w:val="24"/>
          <w:szCs w:val="24"/>
        </w:rPr>
        <w:t>(3).</w:t>
      </w:r>
    </w:p>
    <w:sectPr w:rsidR="00EF4FCE" w:rsidRPr="00EF4FCE" w:rsidSect="00CD19E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1B6089" w14:textId="77777777" w:rsidR="00955937" w:rsidRDefault="00955937" w:rsidP="000D19D4">
      <w:pPr>
        <w:spacing w:after="0" w:line="240" w:lineRule="auto"/>
      </w:pPr>
      <w:r>
        <w:separator/>
      </w:r>
    </w:p>
  </w:endnote>
  <w:endnote w:type="continuationSeparator" w:id="0">
    <w:p w14:paraId="27820C72" w14:textId="77777777" w:rsidR="00955937" w:rsidRDefault="00955937" w:rsidP="000D1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3585548"/>
      <w:docPartObj>
        <w:docPartGallery w:val="Page Numbers (Bottom of Page)"/>
        <w:docPartUnique/>
      </w:docPartObj>
    </w:sdtPr>
    <w:sdtEndPr>
      <w:rPr>
        <w:noProof/>
      </w:rPr>
    </w:sdtEndPr>
    <w:sdtContent>
      <w:p w14:paraId="70B30226" w14:textId="19C85F12" w:rsidR="000D19D4" w:rsidRDefault="000D19D4">
        <w:pPr>
          <w:pStyle w:val="Footer"/>
          <w:jc w:val="center"/>
        </w:pPr>
        <w:r>
          <w:fldChar w:fldCharType="begin"/>
        </w:r>
        <w:r>
          <w:instrText xml:space="preserve"> PAGE   \* MERGEFORMAT </w:instrText>
        </w:r>
        <w:r>
          <w:fldChar w:fldCharType="separate"/>
        </w:r>
        <w:r w:rsidR="0055259C">
          <w:rPr>
            <w:noProof/>
          </w:rPr>
          <w:t>1</w:t>
        </w:r>
        <w:r>
          <w:rPr>
            <w:noProof/>
          </w:rPr>
          <w:fldChar w:fldCharType="end"/>
        </w:r>
      </w:p>
    </w:sdtContent>
  </w:sdt>
  <w:p w14:paraId="296D87C4" w14:textId="77777777" w:rsidR="000D19D4" w:rsidRDefault="000D19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2CDD9E" w14:textId="77777777" w:rsidR="00955937" w:rsidRDefault="00955937" w:rsidP="000D19D4">
      <w:pPr>
        <w:spacing w:after="0" w:line="240" w:lineRule="auto"/>
      </w:pPr>
      <w:r>
        <w:separator/>
      </w:r>
    </w:p>
  </w:footnote>
  <w:footnote w:type="continuationSeparator" w:id="0">
    <w:p w14:paraId="0D8B288D" w14:textId="77777777" w:rsidR="00955937" w:rsidRDefault="00955937" w:rsidP="000D19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B0E21"/>
    <w:multiLevelType w:val="multilevel"/>
    <w:tmpl w:val="5074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F10914"/>
    <w:multiLevelType w:val="multilevel"/>
    <w:tmpl w:val="EAD6B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A168A1"/>
    <w:multiLevelType w:val="multilevel"/>
    <w:tmpl w:val="8DBAB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2D69F4"/>
    <w:multiLevelType w:val="multilevel"/>
    <w:tmpl w:val="F0AA3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1B1444"/>
    <w:multiLevelType w:val="multilevel"/>
    <w:tmpl w:val="66265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B52"/>
    <w:rsid w:val="000D19D4"/>
    <w:rsid w:val="000D4898"/>
    <w:rsid w:val="00101763"/>
    <w:rsid w:val="00103E12"/>
    <w:rsid w:val="001343B9"/>
    <w:rsid w:val="00134FEE"/>
    <w:rsid w:val="001933C8"/>
    <w:rsid w:val="001B441E"/>
    <w:rsid w:val="001E1195"/>
    <w:rsid w:val="00215AD4"/>
    <w:rsid w:val="00292B3E"/>
    <w:rsid w:val="002A2043"/>
    <w:rsid w:val="002B777D"/>
    <w:rsid w:val="002D636D"/>
    <w:rsid w:val="00317B7D"/>
    <w:rsid w:val="003B2137"/>
    <w:rsid w:val="00402421"/>
    <w:rsid w:val="00435192"/>
    <w:rsid w:val="0047324D"/>
    <w:rsid w:val="0055259C"/>
    <w:rsid w:val="00552E40"/>
    <w:rsid w:val="00605624"/>
    <w:rsid w:val="0066757B"/>
    <w:rsid w:val="00685D87"/>
    <w:rsid w:val="00692CD5"/>
    <w:rsid w:val="006C13DB"/>
    <w:rsid w:val="00712B52"/>
    <w:rsid w:val="007361D2"/>
    <w:rsid w:val="00786725"/>
    <w:rsid w:val="007A7D38"/>
    <w:rsid w:val="00813A29"/>
    <w:rsid w:val="00891CF8"/>
    <w:rsid w:val="008D2F21"/>
    <w:rsid w:val="009401DE"/>
    <w:rsid w:val="00955937"/>
    <w:rsid w:val="00A31A00"/>
    <w:rsid w:val="00A9576D"/>
    <w:rsid w:val="00B458BB"/>
    <w:rsid w:val="00B516B0"/>
    <w:rsid w:val="00C8622F"/>
    <w:rsid w:val="00C9688D"/>
    <w:rsid w:val="00CD19EB"/>
    <w:rsid w:val="00D03099"/>
    <w:rsid w:val="00D743E0"/>
    <w:rsid w:val="00D7572E"/>
    <w:rsid w:val="00DB21E4"/>
    <w:rsid w:val="00DF0B64"/>
    <w:rsid w:val="00DF5379"/>
    <w:rsid w:val="00E43F61"/>
    <w:rsid w:val="00E70EF0"/>
    <w:rsid w:val="00E7129C"/>
    <w:rsid w:val="00EF3A22"/>
    <w:rsid w:val="00EF4FCE"/>
    <w:rsid w:val="00FB42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F7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20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3E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0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3E1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67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4FCE"/>
    <w:rPr>
      <w:rFonts w:cs="Times New Roman"/>
      <w:color w:val="0563C1"/>
      <w:u w:val="single"/>
    </w:rPr>
  </w:style>
  <w:style w:type="paragraph" w:styleId="Header">
    <w:name w:val="header"/>
    <w:basedOn w:val="Normal"/>
    <w:link w:val="HeaderChar"/>
    <w:uiPriority w:val="99"/>
    <w:unhideWhenUsed/>
    <w:rsid w:val="000D1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9D4"/>
  </w:style>
  <w:style w:type="paragraph" w:styleId="Footer">
    <w:name w:val="footer"/>
    <w:basedOn w:val="Normal"/>
    <w:link w:val="FooterChar"/>
    <w:uiPriority w:val="99"/>
    <w:unhideWhenUsed/>
    <w:rsid w:val="000D1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9D4"/>
  </w:style>
  <w:style w:type="paragraph" w:styleId="TOCHeading">
    <w:name w:val="TOC Heading"/>
    <w:basedOn w:val="Heading1"/>
    <w:next w:val="Normal"/>
    <w:uiPriority w:val="39"/>
    <w:unhideWhenUsed/>
    <w:qFormat/>
    <w:rsid w:val="00605624"/>
    <w:pPr>
      <w:outlineLvl w:val="9"/>
    </w:pPr>
    <w:rPr>
      <w:kern w:val="0"/>
      <w:lang w:val="en-US"/>
      <w14:ligatures w14:val="none"/>
    </w:rPr>
  </w:style>
  <w:style w:type="paragraph" w:styleId="TOC1">
    <w:name w:val="toc 1"/>
    <w:basedOn w:val="Normal"/>
    <w:next w:val="Normal"/>
    <w:autoRedefine/>
    <w:uiPriority w:val="39"/>
    <w:unhideWhenUsed/>
    <w:rsid w:val="00605624"/>
    <w:pPr>
      <w:spacing w:after="100"/>
    </w:pPr>
  </w:style>
  <w:style w:type="paragraph" w:styleId="TOC2">
    <w:name w:val="toc 2"/>
    <w:basedOn w:val="Normal"/>
    <w:next w:val="Normal"/>
    <w:autoRedefine/>
    <w:uiPriority w:val="39"/>
    <w:unhideWhenUsed/>
    <w:rsid w:val="00605624"/>
    <w:pPr>
      <w:spacing w:after="100"/>
      <w:ind w:left="220"/>
    </w:pPr>
  </w:style>
  <w:style w:type="paragraph" w:styleId="BalloonText">
    <w:name w:val="Balloon Text"/>
    <w:basedOn w:val="Normal"/>
    <w:link w:val="BalloonTextChar"/>
    <w:uiPriority w:val="99"/>
    <w:semiHidden/>
    <w:unhideWhenUsed/>
    <w:rsid w:val="005525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5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20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3E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0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3E1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67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4FCE"/>
    <w:rPr>
      <w:rFonts w:cs="Times New Roman"/>
      <w:color w:val="0563C1"/>
      <w:u w:val="single"/>
    </w:rPr>
  </w:style>
  <w:style w:type="paragraph" w:styleId="Header">
    <w:name w:val="header"/>
    <w:basedOn w:val="Normal"/>
    <w:link w:val="HeaderChar"/>
    <w:uiPriority w:val="99"/>
    <w:unhideWhenUsed/>
    <w:rsid w:val="000D1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9D4"/>
  </w:style>
  <w:style w:type="paragraph" w:styleId="Footer">
    <w:name w:val="footer"/>
    <w:basedOn w:val="Normal"/>
    <w:link w:val="FooterChar"/>
    <w:uiPriority w:val="99"/>
    <w:unhideWhenUsed/>
    <w:rsid w:val="000D1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9D4"/>
  </w:style>
  <w:style w:type="paragraph" w:styleId="TOCHeading">
    <w:name w:val="TOC Heading"/>
    <w:basedOn w:val="Heading1"/>
    <w:next w:val="Normal"/>
    <w:uiPriority w:val="39"/>
    <w:unhideWhenUsed/>
    <w:qFormat/>
    <w:rsid w:val="00605624"/>
    <w:pPr>
      <w:outlineLvl w:val="9"/>
    </w:pPr>
    <w:rPr>
      <w:kern w:val="0"/>
      <w:lang w:val="en-US"/>
      <w14:ligatures w14:val="none"/>
    </w:rPr>
  </w:style>
  <w:style w:type="paragraph" w:styleId="TOC1">
    <w:name w:val="toc 1"/>
    <w:basedOn w:val="Normal"/>
    <w:next w:val="Normal"/>
    <w:autoRedefine/>
    <w:uiPriority w:val="39"/>
    <w:unhideWhenUsed/>
    <w:rsid w:val="00605624"/>
    <w:pPr>
      <w:spacing w:after="100"/>
    </w:pPr>
  </w:style>
  <w:style w:type="paragraph" w:styleId="TOC2">
    <w:name w:val="toc 2"/>
    <w:basedOn w:val="Normal"/>
    <w:next w:val="Normal"/>
    <w:autoRedefine/>
    <w:uiPriority w:val="39"/>
    <w:unhideWhenUsed/>
    <w:rsid w:val="00605624"/>
    <w:pPr>
      <w:spacing w:after="100"/>
      <w:ind w:left="220"/>
    </w:pPr>
  </w:style>
  <w:style w:type="paragraph" w:styleId="BalloonText">
    <w:name w:val="Balloon Text"/>
    <w:basedOn w:val="Normal"/>
    <w:link w:val="BalloonTextChar"/>
    <w:uiPriority w:val="99"/>
    <w:semiHidden/>
    <w:unhideWhenUsed/>
    <w:rsid w:val="005525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5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68615">
      <w:bodyDiv w:val="1"/>
      <w:marLeft w:val="0"/>
      <w:marRight w:val="0"/>
      <w:marTop w:val="0"/>
      <w:marBottom w:val="0"/>
      <w:divBdr>
        <w:top w:val="none" w:sz="0" w:space="0" w:color="auto"/>
        <w:left w:val="none" w:sz="0" w:space="0" w:color="auto"/>
        <w:bottom w:val="none" w:sz="0" w:space="0" w:color="auto"/>
        <w:right w:val="none" w:sz="0" w:space="0" w:color="auto"/>
      </w:divBdr>
    </w:div>
    <w:div w:id="213004238">
      <w:bodyDiv w:val="1"/>
      <w:marLeft w:val="0"/>
      <w:marRight w:val="0"/>
      <w:marTop w:val="0"/>
      <w:marBottom w:val="0"/>
      <w:divBdr>
        <w:top w:val="none" w:sz="0" w:space="0" w:color="auto"/>
        <w:left w:val="none" w:sz="0" w:space="0" w:color="auto"/>
        <w:bottom w:val="none" w:sz="0" w:space="0" w:color="auto"/>
        <w:right w:val="none" w:sz="0" w:space="0" w:color="auto"/>
      </w:divBdr>
    </w:div>
    <w:div w:id="259679919">
      <w:bodyDiv w:val="1"/>
      <w:marLeft w:val="0"/>
      <w:marRight w:val="0"/>
      <w:marTop w:val="0"/>
      <w:marBottom w:val="0"/>
      <w:divBdr>
        <w:top w:val="none" w:sz="0" w:space="0" w:color="auto"/>
        <w:left w:val="none" w:sz="0" w:space="0" w:color="auto"/>
        <w:bottom w:val="none" w:sz="0" w:space="0" w:color="auto"/>
        <w:right w:val="none" w:sz="0" w:space="0" w:color="auto"/>
      </w:divBdr>
      <w:divsChild>
        <w:div w:id="488905558">
          <w:marLeft w:val="0"/>
          <w:marRight w:val="0"/>
          <w:marTop w:val="0"/>
          <w:marBottom w:val="0"/>
          <w:divBdr>
            <w:top w:val="single" w:sz="2" w:space="0" w:color="D9D9E3"/>
            <w:left w:val="single" w:sz="2" w:space="0" w:color="D9D9E3"/>
            <w:bottom w:val="single" w:sz="2" w:space="0" w:color="D9D9E3"/>
            <w:right w:val="single" w:sz="2" w:space="0" w:color="D9D9E3"/>
          </w:divBdr>
          <w:divsChild>
            <w:div w:id="1833640449">
              <w:marLeft w:val="0"/>
              <w:marRight w:val="0"/>
              <w:marTop w:val="0"/>
              <w:marBottom w:val="0"/>
              <w:divBdr>
                <w:top w:val="single" w:sz="2" w:space="0" w:color="D9D9E3"/>
                <w:left w:val="single" w:sz="2" w:space="0" w:color="D9D9E3"/>
                <w:bottom w:val="single" w:sz="2" w:space="0" w:color="D9D9E3"/>
                <w:right w:val="single" w:sz="2" w:space="0" w:color="D9D9E3"/>
              </w:divBdr>
              <w:divsChild>
                <w:div w:id="1597056856">
                  <w:marLeft w:val="0"/>
                  <w:marRight w:val="0"/>
                  <w:marTop w:val="0"/>
                  <w:marBottom w:val="0"/>
                  <w:divBdr>
                    <w:top w:val="single" w:sz="2" w:space="0" w:color="D9D9E3"/>
                    <w:left w:val="single" w:sz="2" w:space="0" w:color="D9D9E3"/>
                    <w:bottom w:val="single" w:sz="2" w:space="0" w:color="D9D9E3"/>
                    <w:right w:val="single" w:sz="2" w:space="0" w:color="D9D9E3"/>
                  </w:divBdr>
                  <w:divsChild>
                    <w:div w:id="1397237208">
                      <w:marLeft w:val="0"/>
                      <w:marRight w:val="0"/>
                      <w:marTop w:val="0"/>
                      <w:marBottom w:val="0"/>
                      <w:divBdr>
                        <w:top w:val="single" w:sz="2" w:space="0" w:color="D9D9E3"/>
                        <w:left w:val="single" w:sz="2" w:space="0" w:color="D9D9E3"/>
                        <w:bottom w:val="single" w:sz="2" w:space="0" w:color="D9D9E3"/>
                        <w:right w:val="single" w:sz="2" w:space="0" w:color="D9D9E3"/>
                      </w:divBdr>
                      <w:divsChild>
                        <w:div w:id="1861620329">
                          <w:marLeft w:val="0"/>
                          <w:marRight w:val="0"/>
                          <w:marTop w:val="0"/>
                          <w:marBottom w:val="0"/>
                          <w:divBdr>
                            <w:top w:val="single" w:sz="2" w:space="0" w:color="auto"/>
                            <w:left w:val="single" w:sz="2" w:space="0" w:color="auto"/>
                            <w:bottom w:val="single" w:sz="6" w:space="0" w:color="auto"/>
                            <w:right w:val="single" w:sz="2" w:space="0" w:color="auto"/>
                          </w:divBdr>
                          <w:divsChild>
                            <w:div w:id="96947553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0614389">
                                  <w:marLeft w:val="0"/>
                                  <w:marRight w:val="0"/>
                                  <w:marTop w:val="0"/>
                                  <w:marBottom w:val="0"/>
                                  <w:divBdr>
                                    <w:top w:val="single" w:sz="2" w:space="0" w:color="D9D9E3"/>
                                    <w:left w:val="single" w:sz="2" w:space="0" w:color="D9D9E3"/>
                                    <w:bottom w:val="single" w:sz="2" w:space="0" w:color="D9D9E3"/>
                                    <w:right w:val="single" w:sz="2" w:space="0" w:color="D9D9E3"/>
                                  </w:divBdr>
                                  <w:divsChild>
                                    <w:div w:id="729692133">
                                      <w:marLeft w:val="0"/>
                                      <w:marRight w:val="0"/>
                                      <w:marTop w:val="0"/>
                                      <w:marBottom w:val="0"/>
                                      <w:divBdr>
                                        <w:top w:val="single" w:sz="2" w:space="0" w:color="D9D9E3"/>
                                        <w:left w:val="single" w:sz="2" w:space="0" w:color="D9D9E3"/>
                                        <w:bottom w:val="single" w:sz="2" w:space="0" w:color="D9D9E3"/>
                                        <w:right w:val="single" w:sz="2" w:space="0" w:color="D9D9E3"/>
                                      </w:divBdr>
                                      <w:divsChild>
                                        <w:div w:id="1224607846">
                                          <w:marLeft w:val="0"/>
                                          <w:marRight w:val="0"/>
                                          <w:marTop w:val="0"/>
                                          <w:marBottom w:val="0"/>
                                          <w:divBdr>
                                            <w:top w:val="single" w:sz="2" w:space="0" w:color="D9D9E3"/>
                                            <w:left w:val="single" w:sz="2" w:space="0" w:color="D9D9E3"/>
                                            <w:bottom w:val="single" w:sz="2" w:space="0" w:color="D9D9E3"/>
                                            <w:right w:val="single" w:sz="2" w:space="0" w:color="D9D9E3"/>
                                          </w:divBdr>
                                          <w:divsChild>
                                            <w:div w:id="2073262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111423">
          <w:marLeft w:val="0"/>
          <w:marRight w:val="0"/>
          <w:marTop w:val="0"/>
          <w:marBottom w:val="0"/>
          <w:divBdr>
            <w:top w:val="none" w:sz="0" w:space="0" w:color="auto"/>
            <w:left w:val="none" w:sz="0" w:space="0" w:color="auto"/>
            <w:bottom w:val="none" w:sz="0" w:space="0" w:color="auto"/>
            <w:right w:val="none" w:sz="0" w:space="0" w:color="auto"/>
          </w:divBdr>
        </w:div>
      </w:divsChild>
    </w:div>
    <w:div w:id="396628621">
      <w:bodyDiv w:val="1"/>
      <w:marLeft w:val="0"/>
      <w:marRight w:val="0"/>
      <w:marTop w:val="0"/>
      <w:marBottom w:val="0"/>
      <w:divBdr>
        <w:top w:val="none" w:sz="0" w:space="0" w:color="auto"/>
        <w:left w:val="none" w:sz="0" w:space="0" w:color="auto"/>
        <w:bottom w:val="none" w:sz="0" w:space="0" w:color="auto"/>
        <w:right w:val="none" w:sz="0" w:space="0" w:color="auto"/>
      </w:divBdr>
    </w:div>
    <w:div w:id="758018980">
      <w:bodyDiv w:val="1"/>
      <w:marLeft w:val="0"/>
      <w:marRight w:val="0"/>
      <w:marTop w:val="0"/>
      <w:marBottom w:val="0"/>
      <w:divBdr>
        <w:top w:val="none" w:sz="0" w:space="0" w:color="auto"/>
        <w:left w:val="none" w:sz="0" w:space="0" w:color="auto"/>
        <w:bottom w:val="none" w:sz="0" w:space="0" w:color="auto"/>
        <w:right w:val="none" w:sz="0" w:space="0" w:color="auto"/>
      </w:divBdr>
      <w:divsChild>
        <w:div w:id="1423064928">
          <w:marLeft w:val="0"/>
          <w:marRight w:val="0"/>
          <w:marTop w:val="0"/>
          <w:marBottom w:val="0"/>
          <w:divBdr>
            <w:top w:val="single" w:sz="2" w:space="0" w:color="D9D9E3"/>
            <w:left w:val="single" w:sz="2" w:space="0" w:color="D9D9E3"/>
            <w:bottom w:val="single" w:sz="2" w:space="0" w:color="D9D9E3"/>
            <w:right w:val="single" w:sz="2" w:space="0" w:color="D9D9E3"/>
          </w:divBdr>
          <w:divsChild>
            <w:div w:id="819689896">
              <w:marLeft w:val="0"/>
              <w:marRight w:val="0"/>
              <w:marTop w:val="0"/>
              <w:marBottom w:val="0"/>
              <w:divBdr>
                <w:top w:val="single" w:sz="2" w:space="0" w:color="D9D9E3"/>
                <w:left w:val="single" w:sz="2" w:space="0" w:color="D9D9E3"/>
                <w:bottom w:val="single" w:sz="2" w:space="0" w:color="D9D9E3"/>
                <w:right w:val="single" w:sz="2" w:space="0" w:color="D9D9E3"/>
              </w:divBdr>
              <w:divsChild>
                <w:div w:id="1668709276">
                  <w:marLeft w:val="0"/>
                  <w:marRight w:val="0"/>
                  <w:marTop w:val="0"/>
                  <w:marBottom w:val="0"/>
                  <w:divBdr>
                    <w:top w:val="single" w:sz="2" w:space="0" w:color="D9D9E3"/>
                    <w:left w:val="single" w:sz="2" w:space="0" w:color="D9D9E3"/>
                    <w:bottom w:val="single" w:sz="2" w:space="0" w:color="D9D9E3"/>
                    <w:right w:val="single" w:sz="2" w:space="0" w:color="D9D9E3"/>
                  </w:divBdr>
                  <w:divsChild>
                    <w:div w:id="214855380">
                      <w:marLeft w:val="0"/>
                      <w:marRight w:val="0"/>
                      <w:marTop w:val="0"/>
                      <w:marBottom w:val="0"/>
                      <w:divBdr>
                        <w:top w:val="single" w:sz="2" w:space="0" w:color="D9D9E3"/>
                        <w:left w:val="single" w:sz="2" w:space="0" w:color="D9D9E3"/>
                        <w:bottom w:val="single" w:sz="2" w:space="0" w:color="D9D9E3"/>
                        <w:right w:val="single" w:sz="2" w:space="0" w:color="D9D9E3"/>
                      </w:divBdr>
                      <w:divsChild>
                        <w:div w:id="958029771">
                          <w:marLeft w:val="0"/>
                          <w:marRight w:val="0"/>
                          <w:marTop w:val="0"/>
                          <w:marBottom w:val="0"/>
                          <w:divBdr>
                            <w:top w:val="single" w:sz="2" w:space="0" w:color="auto"/>
                            <w:left w:val="single" w:sz="2" w:space="0" w:color="auto"/>
                            <w:bottom w:val="single" w:sz="6" w:space="0" w:color="auto"/>
                            <w:right w:val="single" w:sz="2" w:space="0" w:color="auto"/>
                          </w:divBdr>
                          <w:divsChild>
                            <w:div w:id="84346505">
                              <w:marLeft w:val="0"/>
                              <w:marRight w:val="0"/>
                              <w:marTop w:val="100"/>
                              <w:marBottom w:val="100"/>
                              <w:divBdr>
                                <w:top w:val="single" w:sz="2" w:space="0" w:color="D9D9E3"/>
                                <w:left w:val="single" w:sz="2" w:space="0" w:color="D9D9E3"/>
                                <w:bottom w:val="single" w:sz="2" w:space="0" w:color="D9D9E3"/>
                                <w:right w:val="single" w:sz="2" w:space="0" w:color="D9D9E3"/>
                              </w:divBdr>
                              <w:divsChild>
                                <w:div w:id="759445585">
                                  <w:marLeft w:val="0"/>
                                  <w:marRight w:val="0"/>
                                  <w:marTop w:val="0"/>
                                  <w:marBottom w:val="0"/>
                                  <w:divBdr>
                                    <w:top w:val="single" w:sz="2" w:space="0" w:color="D9D9E3"/>
                                    <w:left w:val="single" w:sz="2" w:space="0" w:color="D9D9E3"/>
                                    <w:bottom w:val="single" w:sz="2" w:space="0" w:color="D9D9E3"/>
                                    <w:right w:val="single" w:sz="2" w:space="0" w:color="D9D9E3"/>
                                  </w:divBdr>
                                  <w:divsChild>
                                    <w:div w:id="1033505317">
                                      <w:marLeft w:val="0"/>
                                      <w:marRight w:val="0"/>
                                      <w:marTop w:val="0"/>
                                      <w:marBottom w:val="0"/>
                                      <w:divBdr>
                                        <w:top w:val="single" w:sz="2" w:space="0" w:color="D9D9E3"/>
                                        <w:left w:val="single" w:sz="2" w:space="0" w:color="D9D9E3"/>
                                        <w:bottom w:val="single" w:sz="2" w:space="0" w:color="D9D9E3"/>
                                        <w:right w:val="single" w:sz="2" w:space="0" w:color="D9D9E3"/>
                                      </w:divBdr>
                                      <w:divsChild>
                                        <w:div w:id="559098995">
                                          <w:marLeft w:val="0"/>
                                          <w:marRight w:val="0"/>
                                          <w:marTop w:val="0"/>
                                          <w:marBottom w:val="0"/>
                                          <w:divBdr>
                                            <w:top w:val="single" w:sz="2" w:space="0" w:color="D9D9E3"/>
                                            <w:left w:val="single" w:sz="2" w:space="0" w:color="D9D9E3"/>
                                            <w:bottom w:val="single" w:sz="2" w:space="0" w:color="D9D9E3"/>
                                            <w:right w:val="single" w:sz="2" w:space="0" w:color="D9D9E3"/>
                                          </w:divBdr>
                                          <w:divsChild>
                                            <w:div w:id="1739354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80383501">
          <w:marLeft w:val="0"/>
          <w:marRight w:val="0"/>
          <w:marTop w:val="0"/>
          <w:marBottom w:val="0"/>
          <w:divBdr>
            <w:top w:val="none" w:sz="0" w:space="0" w:color="auto"/>
            <w:left w:val="none" w:sz="0" w:space="0" w:color="auto"/>
            <w:bottom w:val="none" w:sz="0" w:space="0" w:color="auto"/>
            <w:right w:val="none" w:sz="0" w:space="0" w:color="auto"/>
          </w:divBdr>
        </w:div>
      </w:divsChild>
    </w:div>
    <w:div w:id="1141655820">
      <w:bodyDiv w:val="1"/>
      <w:marLeft w:val="0"/>
      <w:marRight w:val="0"/>
      <w:marTop w:val="0"/>
      <w:marBottom w:val="0"/>
      <w:divBdr>
        <w:top w:val="none" w:sz="0" w:space="0" w:color="auto"/>
        <w:left w:val="none" w:sz="0" w:space="0" w:color="auto"/>
        <w:bottom w:val="none" w:sz="0" w:space="0" w:color="auto"/>
        <w:right w:val="none" w:sz="0" w:space="0" w:color="auto"/>
      </w:divBdr>
      <w:divsChild>
        <w:div w:id="1028288468">
          <w:marLeft w:val="0"/>
          <w:marRight w:val="0"/>
          <w:marTop w:val="0"/>
          <w:marBottom w:val="0"/>
          <w:divBdr>
            <w:top w:val="single" w:sz="2" w:space="0" w:color="D9D9E3"/>
            <w:left w:val="single" w:sz="2" w:space="0" w:color="D9D9E3"/>
            <w:bottom w:val="single" w:sz="2" w:space="0" w:color="D9D9E3"/>
            <w:right w:val="single" w:sz="2" w:space="0" w:color="D9D9E3"/>
          </w:divBdr>
          <w:divsChild>
            <w:div w:id="2013339642">
              <w:marLeft w:val="0"/>
              <w:marRight w:val="0"/>
              <w:marTop w:val="0"/>
              <w:marBottom w:val="0"/>
              <w:divBdr>
                <w:top w:val="single" w:sz="2" w:space="0" w:color="D9D9E3"/>
                <w:left w:val="single" w:sz="2" w:space="0" w:color="D9D9E3"/>
                <w:bottom w:val="single" w:sz="2" w:space="0" w:color="D9D9E3"/>
                <w:right w:val="single" w:sz="2" w:space="0" w:color="D9D9E3"/>
              </w:divBdr>
              <w:divsChild>
                <w:div w:id="225802318">
                  <w:marLeft w:val="0"/>
                  <w:marRight w:val="0"/>
                  <w:marTop w:val="0"/>
                  <w:marBottom w:val="0"/>
                  <w:divBdr>
                    <w:top w:val="single" w:sz="2" w:space="0" w:color="D9D9E3"/>
                    <w:left w:val="single" w:sz="2" w:space="0" w:color="D9D9E3"/>
                    <w:bottom w:val="single" w:sz="2" w:space="0" w:color="D9D9E3"/>
                    <w:right w:val="single" w:sz="2" w:space="0" w:color="D9D9E3"/>
                  </w:divBdr>
                  <w:divsChild>
                    <w:div w:id="421798311">
                      <w:marLeft w:val="0"/>
                      <w:marRight w:val="0"/>
                      <w:marTop w:val="0"/>
                      <w:marBottom w:val="0"/>
                      <w:divBdr>
                        <w:top w:val="single" w:sz="2" w:space="0" w:color="D9D9E3"/>
                        <w:left w:val="single" w:sz="2" w:space="0" w:color="D9D9E3"/>
                        <w:bottom w:val="single" w:sz="2" w:space="0" w:color="D9D9E3"/>
                        <w:right w:val="single" w:sz="2" w:space="0" w:color="D9D9E3"/>
                      </w:divBdr>
                      <w:divsChild>
                        <w:div w:id="182132946">
                          <w:marLeft w:val="0"/>
                          <w:marRight w:val="0"/>
                          <w:marTop w:val="0"/>
                          <w:marBottom w:val="0"/>
                          <w:divBdr>
                            <w:top w:val="single" w:sz="2" w:space="0" w:color="auto"/>
                            <w:left w:val="single" w:sz="2" w:space="0" w:color="auto"/>
                            <w:bottom w:val="single" w:sz="6" w:space="0" w:color="auto"/>
                            <w:right w:val="single" w:sz="2" w:space="0" w:color="auto"/>
                          </w:divBdr>
                          <w:divsChild>
                            <w:div w:id="1942105165">
                              <w:marLeft w:val="0"/>
                              <w:marRight w:val="0"/>
                              <w:marTop w:val="100"/>
                              <w:marBottom w:val="100"/>
                              <w:divBdr>
                                <w:top w:val="single" w:sz="2" w:space="0" w:color="D9D9E3"/>
                                <w:left w:val="single" w:sz="2" w:space="0" w:color="D9D9E3"/>
                                <w:bottom w:val="single" w:sz="2" w:space="0" w:color="D9D9E3"/>
                                <w:right w:val="single" w:sz="2" w:space="0" w:color="D9D9E3"/>
                              </w:divBdr>
                              <w:divsChild>
                                <w:div w:id="680014925">
                                  <w:marLeft w:val="0"/>
                                  <w:marRight w:val="0"/>
                                  <w:marTop w:val="0"/>
                                  <w:marBottom w:val="0"/>
                                  <w:divBdr>
                                    <w:top w:val="single" w:sz="2" w:space="0" w:color="D9D9E3"/>
                                    <w:left w:val="single" w:sz="2" w:space="0" w:color="D9D9E3"/>
                                    <w:bottom w:val="single" w:sz="2" w:space="0" w:color="D9D9E3"/>
                                    <w:right w:val="single" w:sz="2" w:space="0" w:color="D9D9E3"/>
                                  </w:divBdr>
                                  <w:divsChild>
                                    <w:div w:id="1640957296">
                                      <w:marLeft w:val="0"/>
                                      <w:marRight w:val="0"/>
                                      <w:marTop w:val="0"/>
                                      <w:marBottom w:val="0"/>
                                      <w:divBdr>
                                        <w:top w:val="single" w:sz="2" w:space="0" w:color="D9D9E3"/>
                                        <w:left w:val="single" w:sz="2" w:space="0" w:color="D9D9E3"/>
                                        <w:bottom w:val="single" w:sz="2" w:space="0" w:color="D9D9E3"/>
                                        <w:right w:val="single" w:sz="2" w:space="0" w:color="D9D9E3"/>
                                      </w:divBdr>
                                      <w:divsChild>
                                        <w:div w:id="252590210">
                                          <w:marLeft w:val="0"/>
                                          <w:marRight w:val="0"/>
                                          <w:marTop w:val="0"/>
                                          <w:marBottom w:val="0"/>
                                          <w:divBdr>
                                            <w:top w:val="single" w:sz="2" w:space="0" w:color="D9D9E3"/>
                                            <w:left w:val="single" w:sz="2" w:space="0" w:color="D9D9E3"/>
                                            <w:bottom w:val="single" w:sz="2" w:space="0" w:color="D9D9E3"/>
                                            <w:right w:val="single" w:sz="2" w:space="0" w:color="D9D9E3"/>
                                          </w:divBdr>
                                          <w:divsChild>
                                            <w:div w:id="211238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93273199">
          <w:marLeft w:val="0"/>
          <w:marRight w:val="0"/>
          <w:marTop w:val="0"/>
          <w:marBottom w:val="0"/>
          <w:divBdr>
            <w:top w:val="none" w:sz="0" w:space="0" w:color="auto"/>
            <w:left w:val="none" w:sz="0" w:space="0" w:color="auto"/>
            <w:bottom w:val="none" w:sz="0" w:space="0" w:color="auto"/>
            <w:right w:val="none" w:sz="0" w:space="0" w:color="auto"/>
          </w:divBdr>
        </w:div>
      </w:divsChild>
    </w:div>
    <w:div w:id="1300720057">
      <w:bodyDiv w:val="1"/>
      <w:marLeft w:val="0"/>
      <w:marRight w:val="0"/>
      <w:marTop w:val="0"/>
      <w:marBottom w:val="0"/>
      <w:divBdr>
        <w:top w:val="none" w:sz="0" w:space="0" w:color="auto"/>
        <w:left w:val="none" w:sz="0" w:space="0" w:color="auto"/>
        <w:bottom w:val="none" w:sz="0" w:space="0" w:color="auto"/>
        <w:right w:val="none" w:sz="0" w:space="0" w:color="auto"/>
      </w:divBdr>
      <w:divsChild>
        <w:div w:id="1674870371">
          <w:marLeft w:val="0"/>
          <w:marRight w:val="0"/>
          <w:marTop w:val="0"/>
          <w:marBottom w:val="0"/>
          <w:divBdr>
            <w:top w:val="single" w:sz="2" w:space="0" w:color="D9D9E3"/>
            <w:left w:val="single" w:sz="2" w:space="0" w:color="D9D9E3"/>
            <w:bottom w:val="single" w:sz="2" w:space="0" w:color="D9D9E3"/>
            <w:right w:val="single" w:sz="2" w:space="0" w:color="D9D9E3"/>
          </w:divBdr>
          <w:divsChild>
            <w:div w:id="2135054845">
              <w:marLeft w:val="0"/>
              <w:marRight w:val="0"/>
              <w:marTop w:val="0"/>
              <w:marBottom w:val="0"/>
              <w:divBdr>
                <w:top w:val="single" w:sz="2" w:space="0" w:color="D9D9E3"/>
                <w:left w:val="single" w:sz="2" w:space="0" w:color="D9D9E3"/>
                <w:bottom w:val="single" w:sz="2" w:space="0" w:color="D9D9E3"/>
                <w:right w:val="single" w:sz="2" w:space="0" w:color="D9D9E3"/>
              </w:divBdr>
              <w:divsChild>
                <w:div w:id="1010107205">
                  <w:marLeft w:val="0"/>
                  <w:marRight w:val="0"/>
                  <w:marTop w:val="0"/>
                  <w:marBottom w:val="0"/>
                  <w:divBdr>
                    <w:top w:val="single" w:sz="2" w:space="0" w:color="D9D9E3"/>
                    <w:left w:val="single" w:sz="2" w:space="0" w:color="D9D9E3"/>
                    <w:bottom w:val="single" w:sz="2" w:space="0" w:color="D9D9E3"/>
                    <w:right w:val="single" w:sz="2" w:space="0" w:color="D9D9E3"/>
                  </w:divBdr>
                  <w:divsChild>
                    <w:div w:id="1967077124">
                      <w:marLeft w:val="0"/>
                      <w:marRight w:val="0"/>
                      <w:marTop w:val="0"/>
                      <w:marBottom w:val="0"/>
                      <w:divBdr>
                        <w:top w:val="single" w:sz="2" w:space="0" w:color="D9D9E3"/>
                        <w:left w:val="single" w:sz="2" w:space="0" w:color="D9D9E3"/>
                        <w:bottom w:val="single" w:sz="2" w:space="0" w:color="D9D9E3"/>
                        <w:right w:val="single" w:sz="2" w:space="0" w:color="D9D9E3"/>
                      </w:divBdr>
                      <w:divsChild>
                        <w:div w:id="178084967">
                          <w:marLeft w:val="0"/>
                          <w:marRight w:val="0"/>
                          <w:marTop w:val="0"/>
                          <w:marBottom w:val="0"/>
                          <w:divBdr>
                            <w:top w:val="single" w:sz="2" w:space="0" w:color="auto"/>
                            <w:left w:val="single" w:sz="2" w:space="0" w:color="auto"/>
                            <w:bottom w:val="single" w:sz="6" w:space="0" w:color="auto"/>
                            <w:right w:val="single" w:sz="2" w:space="0" w:color="auto"/>
                          </w:divBdr>
                          <w:divsChild>
                            <w:div w:id="327559811">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744569">
                                  <w:marLeft w:val="0"/>
                                  <w:marRight w:val="0"/>
                                  <w:marTop w:val="0"/>
                                  <w:marBottom w:val="0"/>
                                  <w:divBdr>
                                    <w:top w:val="single" w:sz="2" w:space="0" w:color="D9D9E3"/>
                                    <w:left w:val="single" w:sz="2" w:space="0" w:color="D9D9E3"/>
                                    <w:bottom w:val="single" w:sz="2" w:space="0" w:color="D9D9E3"/>
                                    <w:right w:val="single" w:sz="2" w:space="0" w:color="D9D9E3"/>
                                  </w:divBdr>
                                  <w:divsChild>
                                    <w:div w:id="609241293">
                                      <w:marLeft w:val="0"/>
                                      <w:marRight w:val="0"/>
                                      <w:marTop w:val="0"/>
                                      <w:marBottom w:val="0"/>
                                      <w:divBdr>
                                        <w:top w:val="single" w:sz="2" w:space="0" w:color="D9D9E3"/>
                                        <w:left w:val="single" w:sz="2" w:space="0" w:color="D9D9E3"/>
                                        <w:bottom w:val="single" w:sz="2" w:space="0" w:color="D9D9E3"/>
                                        <w:right w:val="single" w:sz="2" w:space="0" w:color="D9D9E3"/>
                                      </w:divBdr>
                                      <w:divsChild>
                                        <w:div w:id="297226086">
                                          <w:marLeft w:val="0"/>
                                          <w:marRight w:val="0"/>
                                          <w:marTop w:val="0"/>
                                          <w:marBottom w:val="0"/>
                                          <w:divBdr>
                                            <w:top w:val="single" w:sz="2" w:space="0" w:color="D9D9E3"/>
                                            <w:left w:val="single" w:sz="2" w:space="0" w:color="D9D9E3"/>
                                            <w:bottom w:val="single" w:sz="2" w:space="0" w:color="D9D9E3"/>
                                            <w:right w:val="single" w:sz="2" w:space="0" w:color="D9D9E3"/>
                                          </w:divBdr>
                                          <w:divsChild>
                                            <w:div w:id="1665939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00787154">
          <w:marLeft w:val="0"/>
          <w:marRight w:val="0"/>
          <w:marTop w:val="0"/>
          <w:marBottom w:val="0"/>
          <w:divBdr>
            <w:top w:val="none" w:sz="0" w:space="0" w:color="auto"/>
            <w:left w:val="none" w:sz="0" w:space="0" w:color="auto"/>
            <w:bottom w:val="none" w:sz="0" w:space="0" w:color="auto"/>
            <w:right w:val="none" w:sz="0" w:space="0" w:color="auto"/>
          </w:divBdr>
        </w:div>
      </w:divsChild>
    </w:div>
    <w:div w:id="131251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tescoplc.com/media/759057/tesco-annual-report-2022.pdf" TargetMode="External"/><Relationship Id="rId4" Type="http://schemas.microsoft.com/office/2007/relationships/stylesWithEffects" Target="stylesWithEffects.xml"/><Relationship Id="rId9" Type="http://schemas.openxmlformats.org/officeDocument/2006/relationships/hyperlink" Target="https://www.tescoplc.com/supporting-diverse-talent-through-tesco-executive-men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4EFBA-9A3B-47B2-8714-37A441CE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15</Pages>
  <Words>3844</Words>
  <Characters>21911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elektek</cp:lastModifiedBy>
  <cp:revision>2</cp:revision>
  <dcterms:created xsi:type="dcterms:W3CDTF">2023-08-15T13:17:00Z</dcterms:created>
  <dcterms:modified xsi:type="dcterms:W3CDTF">2023-08-25T06:41:00Z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95ef37f186fca01bb8c3f04406ad9e9ccc108747360b1b7c10099dd79123d3f9</vt:lpwstr>
  </property>
</Properties>
</file>