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D9E0D" w14:textId="06C32DAC" w:rsidR="00E51FC1" w:rsidRDefault="00E51FC1">
      <w:pPr>
        <w:jc w:val="center"/>
        <w:rPr>
          <w:rFonts w:ascii="Arial" w:eastAsia="Arial" w:hAnsi="Arial" w:cs="Arial"/>
          <w:color w:val="1F1F1F"/>
          <w:sz w:val="33"/>
          <w:szCs w:val="33"/>
          <w:highlight w:val="white"/>
        </w:rPr>
      </w:pPr>
    </w:p>
    <w:p w14:paraId="28551AE3" w14:textId="56FA5EF0" w:rsidR="00E51FC1" w:rsidRDefault="00A35B1A">
      <w:pPr>
        <w:jc w:val="center"/>
        <w:rPr>
          <w:rFonts w:ascii="Arial" w:eastAsia="Arial" w:hAnsi="Arial" w:cs="Arial"/>
          <w:color w:val="1F1F1F"/>
          <w:sz w:val="33"/>
          <w:szCs w:val="33"/>
          <w:highlight w:val="white"/>
        </w:rPr>
      </w:pPr>
      <w:r>
        <w:rPr>
          <w:rFonts w:ascii="Arial" w:eastAsia="Arial" w:hAnsi="Arial" w:cs="Arial"/>
          <w:color w:val="1F1F1F"/>
          <w:sz w:val="33"/>
          <w:szCs w:val="33"/>
          <w:highlight w:val="white"/>
        </w:rPr>
        <w:t>Name: Khaleda Chowdhury</w:t>
      </w:r>
    </w:p>
    <w:p w14:paraId="5E18FA06" w14:textId="2ED48E56" w:rsidR="00A35B1A" w:rsidRDefault="00A35B1A">
      <w:pPr>
        <w:jc w:val="center"/>
        <w:rPr>
          <w:rFonts w:ascii="Arial" w:eastAsia="Arial" w:hAnsi="Arial" w:cs="Arial"/>
          <w:color w:val="1F1F1F"/>
          <w:sz w:val="33"/>
          <w:szCs w:val="33"/>
          <w:highlight w:val="white"/>
        </w:rPr>
      </w:pPr>
      <w:r>
        <w:rPr>
          <w:rFonts w:ascii="Arial" w:eastAsia="Arial" w:hAnsi="Arial" w:cs="Arial"/>
          <w:color w:val="1F1F1F"/>
          <w:sz w:val="33"/>
          <w:szCs w:val="33"/>
          <w:highlight w:val="white"/>
        </w:rPr>
        <w:t>Student ID: 2107822</w:t>
      </w:r>
    </w:p>
    <w:p w14:paraId="63F538D9" w14:textId="2B655242" w:rsidR="00E51FC1" w:rsidRDefault="00000000">
      <w:pPr>
        <w:jc w:val="center"/>
        <w:rPr>
          <w:rFonts w:ascii="Arial" w:eastAsia="Arial" w:hAnsi="Arial" w:cs="Arial"/>
          <w:sz w:val="33"/>
          <w:szCs w:val="33"/>
          <w:highlight w:val="white"/>
        </w:rPr>
      </w:pPr>
      <w:r>
        <w:rPr>
          <w:rFonts w:ascii="Arial" w:eastAsia="Arial" w:hAnsi="Arial" w:cs="Arial"/>
          <w:sz w:val="33"/>
          <w:szCs w:val="33"/>
          <w:highlight w:val="white"/>
        </w:rPr>
        <w:t>Personnel Resourcing and Development</w:t>
      </w:r>
    </w:p>
    <w:p w14:paraId="09D4B858" w14:textId="11822BBE" w:rsidR="00E51FC1" w:rsidRPr="00A35B1A" w:rsidRDefault="00000000" w:rsidP="00A35B1A">
      <w:pPr>
        <w:jc w:val="center"/>
        <w:rPr>
          <w:rFonts w:ascii="Arial" w:eastAsia="Arial" w:hAnsi="Arial" w:cs="Arial"/>
          <w:sz w:val="33"/>
          <w:szCs w:val="33"/>
          <w:highlight w:val="white"/>
        </w:rPr>
      </w:pPr>
      <w:r>
        <w:rPr>
          <w:rFonts w:ascii="Arial" w:eastAsia="Arial" w:hAnsi="Arial" w:cs="Arial"/>
          <w:sz w:val="33"/>
          <w:szCs w:val="33"/>
          <w:highlight w:val="white"/>
        </w:rPr>
        <w:t>How to engage employees throughout the employee lifecycl</w:t>
      </w:r>
      <w:r w:rsidR="00A35B1A">
        <w:rPr>
          <w:rFonts w:ascii="Arial" w:eastAsia="Arial" w:hAnsi="Arial" w:cs="Arial"/>
          <w:sz w:val="33"/>
          <w:szCs w:val="33"/>
          <w:highlight w:val="white"/>
        </w:rPr>
        <w:t>e</w:t>
      </w:r>
    </w:p>
    <w:p w14:paraId="40B0ADA8" w14:textId="77777777" w:rsidR="00E51FC1" w:rsidRDefault="00000000">
      <w:pPr>
        <w:rPr>
          <w:rFonts w:ascii="Arial" w:eastAsia="Arial" w:hAnsi="Arial" w:cs="Arial"/>
          <w:b/>
          <w:sz w:val="24"/>
          <w:szCs w:val="24"/>
          <w:highlight w:val="white"/>
        </w:rPr>
      </w:pPr>
      <w:r>
        <w:br w:type="page"/>
      </w:r>
    </w:p>
    <w:p w14:paraId="5502EDE2" w14:textId="77777777" w:rsidR="00E51FC1" w:rsidRDefault="00000000">
      <w:pPr>
        <w:keepNext/>
        <w:keepLines/>
        <w:pBdr>
          <w:top w:val="nil"/>
          <w:left w:val="nil"/>
          <w:bottom w:val="nil"/>
          <w:right w:val="nil"/>
          <w:between w:val="nil"/>
        </w:pBdr>
        <w:spacing w:before="240" w:after="240" w:line="360" w:lineRule="auto"/>
        <w:jc w:val="both"/>
        <w:rPr>
          <w:rFonts w:ascii="Arial" w:eastAsia="Arial" w:hAnsi="Arial" w:cs="Arial"/>
          <w:sz w:val="32"/>
          <w:szCs w:val="32"/>
          <w:highlight w:val="white"/>
        </w:rPr>
      </w:pPr>
      <w:r>
        <w:rPr>
          <w:rFonts w:ascii="Arial" w:eastAsia="Arial" w:hAnsi="Arial" w:cs="Arial"/>
          <w:sz w:val="32"/>
          <w:szCs w:val="32"/>
          <w:highlight w:val="white"/>
        </w:rPr>
        <w:lastRenderedPageBreak/>
        <w:t>Introduction</w:t>
      </w:r>
    </w:p>
    <w:p w14:paraId="6C6CC77F"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An industry study found that since the end of 2019, the consequences of Brexit and the coronavirus epidemic have led to a loss of approximately 200,000 foreign employees from the hospitality sector in the United Kingdom. The Office for National Statistics estimates that the hospitality industry accounts for around 7</w:t>
      </w:r>
      <w:proofErr w:type="gramStart"/>
      <w:r>
        <w:rPr>
          <w:rFonts w:ascii="Arial" w:eastAsia="Arial" w:hAnsi="Arial" w:cs="Arial"/>
          <w:sz w:val="24"/>
          <w:szCs w:val="24"/>
          <w:highlight w:val="white"/>
        </w:rPr>
        <w:t>%  of</w:t>
      </w:r>
      <w:proofErr w:type="gramEnd"/>
      <w:r>
        <w:rPr>
          <w:rFonts w:ascii="Arial" w:eastAsia="Arial" w:hAnsi="Arial" w:cs="Arial"/>
          <w:sz w:val="24"/>
          <w:szCs w:val="24"/>
          <w:highlight w:val="white"/>
        </w:rPr>
        <w:t xml:space="preserve"> total employment in the United Kingdom. Historically, more than 40% of the hotel industry workforce has been made up of international workers (Osborne and Hammoud, 2017). The purpose of this article is to provide an outline of how to keep workers engaged throughout the employee's lifetime. </w:t>
      </w:r>
    </w:p>
    <w:p w14:paraId="242E4F85"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Human resource management is the process through which a business ensures its personnel are productively putting in their time and efforts. To achieve desired results, human resource managers must first guarantee a positive brand image in the minds of customers. Managers who value building a positive reputation for their company's brand in the minds of consumers are more likely to use staff branding methods. There is a connection between some of these tactics and the procedures that help businesses achieve their financial objectives (Mann and Harter, 2016). More and more hotel managers are realising that the only way to obtain competitive advantage is to make significant changes to how they presently do business to deliver hospitality services that are of a higher standard to their customers. </w:t>
      </w:r>
      <w:proofErr w:type="gramStart"/>
      <w:r>
        <w:rPr>
          <w:rFonts w:ascii="Arial" w:eastAsia="Arial" w:hAnsi="Arial" w:cs="Arial"/>
          <w:sz w:val="24"/>
          <w:szCs w:val="24"/>
          <w:highlight w:val="white"/>
        </w:rPr>
        <w:t>How</w:t>
      </w:r>
      <w:proofErr w:type="gramEnd"/>
      <w:r>
        <w:rPr>
          <w:rFonts w:ascii="Arial" w:eastAsia="Arial" w:hAnsi="Arial" w:cs="Arial"/>
          <w:sz w:val="24"/>
          <w:szCs w:val="24"/>
          <w:highlight w:val="white"/>
        </w:rPr>
        <w:t xml:space="preserve"> crucial policies and procedures about human resources are concerning the performance and productivity of hotels (Byrne, 2016). This entails putting into practice efficient management strategies that are essential to the process of creating the hotel's brand. The process, on the other hand, is carried out by using a wide range of helpful strategies, the efficacy of which can be evaluated based on the results they provide for the company. Several studies have shown that increased hotel revenues and productivity are excellent markers of effective branding decisions made by human resource managers. These choices were found to have been made by hotels.</w:t>
      </w:r>
    </w:p>
    <w:p w14:paraId="1FAD68E0"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In either boosting company revenues or enhancing the hotel's performance in terms of customer happiness, efficient and effective human resource management has a substantial influence on the performance of hotel management. Human resource procedures and control factors, on the other hand, seem to be spot on about a real-</w:t>
      </w:r>
      <w:r>
        <w:rPr>
          <w:rFonts w:ascii="Arial" w:eastAsia="Arial" w:hAnsi="Arial" w:cs="Arial"/>
          <w:sz w:val="24"/>
          <w:szCs w:val="24"/>
          <w:highlight w:val="white"/>
        </w:rPr>
        <w:lastRenderedPageBreak/>
        <w:t xml:space="preserve">world sector. Human resource managers' primary focus is on the employer brand, which they want to build and strengthen via increased employer effectiveness. Perceived HRM strategies are beneficial in influencing the commitment of high-potential workers and in fostering the development of leadership skills. Firms need to dedicate more resources to training their leaders if they want to succeed. Therefore, businesses must share information about the HRM practices they provide and how they are received. The competitive edge of certain hotels is attributable to the high levels of customer loyalty they've attained in addition to the high levels of staff satisfaction they've achieved from providing better service to their guests. But HRM procedures are launched through strategic planning by HR managers who utilise possible efforts to achieve company objectives (Sun and </w:t>
      </w:r>
      <w:proofErr w:type="spellStart"/>
      <w:r>
        <w:rPr>
          <w:rFonts w:ascii="Arial" w:eastAsia="Arial" w:hAnsi="Arial" w:cs="Arial"/>
          <w:sz w:val="24"/>
          <w:szCs w:val="24"/>
          <w:highlight w:val="white"/>
        </w:rPr>
        <w:t>Bunchapattanasakda</w:t>
      </w:r>
      <w:proofErr w:type="spellEnd"/>
      <w:r>
        <w:rPr>
          <w:rFonts w:ascii="Arial" w:eastAsia="Arial" w:hAnsi="Arial" w:cs="Arial"/>
          <w:sz w:val="24"/>
          <w:szCs w:val="24"/>
          <w:highlight w:val="white"/>
        </w:rPr>
        <w:t>, 2019). Improved hotel branding can only be achieved via human resource management strategies congruent with the industry's established goals and workers' skills and talents.</w:t>
      </w:r>
    </w:p>
    <w:p w14:paraId="5A9D1EC2"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Recruitment through a separation is all steps that make up an employee's life cycle. The employee life cycle is a concept used in human resources that maps out the many points at which an employee's career development within a company may be optimised (</w:t>
      </w:r>
      <w:proofErr w:type="spellStart"/>
      <w:r>
        <w:rPr>
          <w:rFonts w:ascii="Arial" w:eastAsia="Arial" w:hAnsi="Arial" w:cs="Arial"/>
          <w:sz w:val="24"/>
          <w:szCs w:val="24"/>
          <w:highlight w:val="white"/>
        </w:rPr>
        <w:t>Chandani</w:t>
      </w:r>
      <w:proofErr w:type="spellEnd"/>
      <w:r>
        <w:rPr>
          <w:rFonts w:ascii="Arial" w:eastAsia="Arial" w:hAnsi="Arial" w:cs="Arial"/>
          <w:sz w:val="24"/>
          <w:szCs w:val="24"/>
          <w:highlight w:val="white"/>
        </w:rPr>
        <w:t xml:space="preserve"> et al., 2016). Tracking the stages of an employee's career at a firm is useful for both the person and the employer since it provides clarity about what to expect at each stage and allows for data analysis. Because people are an organisation's most important resource, employee life cycle management is a critical HR responsibility. Creating a life cycle programme provides employees with a standard sequence of actions as they go through their careers in an organisation, and it allows companies to examine data, such as what employees disclose during offboarding, to make HR enhancements. </w:t>
      </w:r>
    </w:p>
    <w:p w14:paraId="58B1D9F5"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An employee's journey through the organisation is broken down into several phases, each of which has its unique significance, and they are described using the employee life cycle model (</w:t>
      </w:r>
      <w:proofErr w:type="spellStart"/>
      <w:r>
        <w:rPr>
          <w:rFonts w:ascii="Arial" w:eastAsia="Arial" w:hAnsi="Arial" w:cs="Arial"/>
          <w:sz w:val="24"/>
          <w:szCs w:val="24"/>
          <w:highlight w:val="white"/>
        </w:rPr>
        <w:t>Anitha</w:t>
      </w:r>
      <w:proofErr w:type="spellEnd"/>
      <w:r>
        <w:rPr>
          <w:rFonts w:ascii="Arial" w:eastAsia="Arial" w:hAnsi="Arial" w:cs="Arial"/>
          <w:sz w:val="24"/>
          <w:szCs w:val="24"/>
          <w:highlight w:val="white"/>
        </w:rPr>
        <w:t xml:space="preserve">, 2014). Attraction, recruitment, onboarding, development, retention, and separation are the six phases at play. The employee advances through the ranks in reverse order. Some businesses utilise talent acquisition software to create and automate the whole gamut of the recruiting process, from first contact with applicants to final offer letters and beyond. Those who accept employment offers </w:t>
      </w:r>
      <w:r>
        <w:rPr>
          <w:rFonts w:ascii="Arial" w:eastAsia="Arial" w:hAnsi="Arial" w:cs="Arial"/>
          <w:sz w:val="24"/>
          <w:szCs w:val="24"/>
          <w:highlight w:val="white"/>
        </w:rPr>
        <w:lastRenderedPageBreak/>
        <w:t>formally join the company's staff. During this period, they are introduced to the company's culture and given the resources they'll need to do their duties effectively. Workers get instruction and training on the company's norms and practices as well as their specific responsibilities. While workplace absenteeism may harm any company in a variety of ways, it is generally recognised as a management issue and hence is a problem shared by many. As a company's bottom line suffers, absenteeism must be handled immediately to prevent a catastrophic increase. As a result of their commitment to the company's goals and values, engaged workers tend to exhibit positive attitudes and actions. As a result of adopting this mindset, workers are 17% more productive in their efforts to achieve their objectives (</w:t>
      </w:r>
      <w:proofErr w:type="spellStart"/>
      <w:r>
        <w:rPr>
          <w:rFonts w:ascii="Arial" w:eastAsia="Arial" w:hAnsi="Arial" w:cs="Arial"/>
          <w:sz w:val="24"/>
          <w:szCs w:val="24"/>
          <w:highlight w:val="white"/>
        </w:rPr>
        <w:t>Handa</w:t>
      </w:r>
      <w:proofErr w:type="spellEnd"/>
      <w:r>
        <w:rPr>
          <w:rFonts w:ascii="Arial" w:eastAsia="Arial" w:hAnsi="Arial" w:cs="Arial"/>
          <w:sz w:val="24"/>
          <w:szCs w:val="24"/>
          <w:highlight w:val="white"/>
        </w:rPr>
        <w:t xml:space="preserve"> and Gulati, 2014). Workers that are invested in their jobs feel that their efforts are respected and recognised. This means they will be more productive and less likely to waste time on frivolous pursuits like chit chatting between themselves or extended periods away from the office. Having a more productive and efficient workforce is a major advantage for businesses that invest in their employees' engagement (Truss et al., 2013). Workers who show up to work and keep their heads down tend to be more concerned with quality and safety on the job. Workers are less likely to make careless errors that might lead to accidents on the job if they are in a positive frame of mind and are not under undue stress. Businesses with high levels of employee engagement have been shown to have turnover rates up to 59% lower than their industry average. </w:t>
      </w:r>
      <w:proofErr w:type="gramStart"/>
      <w:r>
        <w:rPr>
          <w:rFonts w:ascii="Arial" w:eastAsia="Arial" w:hAnsi="Arial" w:cs="Arial"/>
          <w:sz w:val="24"/>
          <w:szCs w:val="24"/>
          <w:highlight w:val="white"/>
        </w:rPr>
        <w:t>In light of</w:t>
      </w:r>
      <w:proofErr w:type="gramEnd"/>
      <w:r>
        <w:rPr>
          <w:rFonts w:ascii="Arial" w:eastAsia="Arial" w:hAnsi="Arial" w:cs="Arial"/>
          <w:sz w:val="24"/>
          <w:szCs w:val="24"/>
          <w:highlight w:val="white"/>
        </w:rPr>
        <w:t xml:space="preserve"> this, it's clear that increasing employee engagement should be a high priority for business executives and HR departments.</w:t>
      </w:r>
    </w:p>
    <w:p w14:paraId="3A0371E8"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Successful company owners understand the importance of keeping their staff motivated and involved. The leaders of a company or organization will have an advantage over their rivals if they can gauge the enthusiasm of their employees. The positive effects of workers who are invested in their work are felt by everyone in the organization. People that come to work with a sense of pride and drive will provide the clients with better service. Increased earnings are often associated with satisfied customers (Kumar and </w:t>
      </w:r>
      <w:proofErr w:type="spellStart"/>
      <w:r>
        <w:rPr>
          <w:rFonts w:ascii="Arial" w:eastAsia="Arial" w:hAnsi="Arial" w:cs="Arial"/>
          <w:sz w:val="24"/>
          <w:szCs w:val="24"/>
          <w:highlight w:val="white"/>
        </w:rPr>
        <w:t>Pansari</w:t>
      </w:r>
      <w:proofErr w:type="spellEnd"/>
      <w:r>
        <w:rPr>
          <w:rFonts w:ascii="Arial" w:eastAsia="Arial" w:hAnsi="Arial" w:cs="Arial"/>
          <w:sz w:val="24"/>
          <w:szCs w:val="24"/>
          <w:highlight w:val="white"/>
        </w:rPr>
        <w:t xml:space="preserve">, 2015). Thus, the return on investment for the company's owners improved. firstly, </w:t>
      </w:r>
      <w:proofErr w:type="gramStart"/>
      <w:r>
        <w:rPr>
          <w:rFonts w:ascii="Arial" w:eastAsia="Arial" w:hAnsi="Arial" w:cs="Arial"/>
          <w:sz w:val="24"/>
          <w:szCs w:val="24"/>
          <w:highlight w:val="white"/>
        </w:rPr>
        <w:t>The</w:t>
      </w:r>
      <w:proofErr w:type="gramEnd"/>
      <w:r>
        <w:rPr>
          <w:rFonts w:ascii="Arial" w:eastAsia="Arial" w:hAnsi="Arial" w:cs="Arial"/>
          <w:sz w:val="24"/>
          <w:szCs w:val="24"/>
          <w:highlight w:val="white"/>
        </w:rPr>
        <w:t xml:space="preserve"> easiest and most efficient strategy to get workers invested is to spend time with them and get to know them. It's easier to connect with employees and build trust as a manager if you take the time to learn about their lives outside of work. Create a pause in your day to say hello, check in on </w:t>
      </w:r>
      <w:r>
        <w:rPr>
          <w:rFonts w:ascii="Arial" w:eastAsia="Arial" w:hAnsi="Arial" w:cs="Arial"/>
          <w:sz w:val="24"/>
          <w:szCs w:val="24"/>
          <w:highlight w:val="white"/>
        </w:rPr>
        <w:lastRenderedPageBreak/>
        <w:t>how their families are doing, and learn about what they like doing (Abraham, 2012). This little gesture might go a long way in showing the worker how much the boss values him or her as an individual. Employees who believe their contributions are appreciated are more invested in their jobs and produce better results, according to the literature. Employees are the lifeblood of a business, and their efforts may make or break a company (Sorenson et al., 2013). They should be kept abreast of the company's triumphs and tribulations so that they may take an active interest in its success or failure. In the event an employee presents a pitch or idea to their manager that isn't exactly what they're looking for, the manager should reply in a manner that encourages more creative thinking and innovation. Even if managers end up rejecting their first proposal, it's always crucial to show them support and gratitude for their efforts.</w:t>
      </w:r>
    </w:p>
    <w:p w14:paraId="3135AC52"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According to the Zinger model, there are 10 critical things that managers must do to keep their staff engaged. The pyramid form may be seen throughout David Zinger's paradigm of employee engagement. It highlights the significance of employee needs and the value of employee engagement. For employee participation to increase, </w:t>
      </w:r>
      <w:proofErr w:type="gramStart"/>
      <w:r>
        <w:rPr>
          <w:rFonts w:ascii="Arial" w:eastAsia="Arial" w:hAnsi="Arial" w:cs="Arial"/>
          <w:sz w:val="24"/>
          <w:szCs w:val="24"/>
          <w:highlight w:val="white"/>
        </w:rPr>
        <w:t>all of</w:t>
      </w:r>
      <w:proofErr w:type="gramEnd"/>
      <w:r>
        <w:rPr>
          <w:rFonts w:ascii="Arial" w:eastAsia="Arial" w:hAnsi="Arial" w:cs="Arial"/>
          <w:sz w:val="24"/>
          <w:szCs w:val="24"/>
          <w:highlight w:val="white"/>
        </w:rPr>
        <w:t xml:space="preserve"> the "building blocks" in the pyramid must be in place (Al </w:t>
      </w:r>
      <w:proofErr w:type="spellStart"/>
      <w:r>
        <w:rPr>
          <w:rFonts w:ascii="Arial" w:eastAsia="Arial" w:hAnsi="Arial" w:cs="Arial"/>
          <w:sz w:val="24"/>
          <w:szCs w:val="24"/>
          <w:highlight w:val="white"/>
        </w:rPr>
        <w:t>Mehrzi</w:t>
      </w:r>
      <w:proofErr w:type="spellEnd"/>
      <w:r>
        <w:rPr>
          <w:rFonts w:ascii="Arial" w:eastAsia="Arial" w:hAnsi="Arial" w:cs="Arial"/>
          <w:sz w:val="24"/>
          <w:szCs w:val="24"/>
          <w:highlight w:val="white"/>
        </w:rPr>
        <w:t xml:space="preserve"> and Singh et al., 2016). The second level of the pyramid expands upon the first by bridging the gap between individuals and the </w:t>
      </w:r>
      <w:proofErr w:type="gramStart"/>
      <w:r>
        <w:rPr>
          <w:rFonts w:ascii="Arial" w:eastAsia="Arial" w:hAnsi="Arial" w:cs="Arial"/>
          <w:sz w:val="24"/>
          <w:szCs w:val="24"/>
          <w:highlight w:val="white"/>
        </w:rPr>
        <w:t>organisation as a whole</w:t>
      </w:r>
      <w:proofErr w:type="gramEnd"/>
      <w:r>
        <w:rPr>
          <w:rFonts w:ascii="Arial" w:eastAsia="Arial" w:hAnsi="Arial" w:cs="Arial"/>
          <w:sz w:val="24"/>
          <w:szCs w:val="24"/>
          <w:highlight w:val="white"/>
        </w:rPr>
        <w:t xml:space="preserve">. The most important things to do are to get to know people, become known, and learn to seize the moment. The third row of the pyramid takes the fundamentals of individual and group participation and transforms them into actionable strategies (Book et al., 2019). The goals of this section are progress monitoring and output enhancement. The approach that Aon Hewitt takes to increase employee engagement </w:t>
      </w:r>
      <w:proofErr w:type="gramStart"/>
      <w:r>
        <w:rPr>
          <w:rFonts w:ascii="Arial" w:eastAsia="Arial" w:hAnsi="Arial" w:cs="Arial"/>
          <w:sz w:val="24"/>
          <w:szCs w:val="24"/>
          <w:highlight w:val="white"/>
        </w:rPr>
        <w:t>takes into account</w:t>
      </w:r>
      <w:proofErr w:type="gramEnd"/>
      <w:r>
        <w:rPr>
          <w:rFonts w:ascii="Arial" w:eastAsia="Arial" w:hAnsi="Arial" w:cs="Arial"/>
          <w:sz w:val="24"/>
          <w:szCs w:val="24"/>
          <w:highlight w:val="white"/>
        </w:rPr>
        <w:t xml:space="preserve"> how doing so will impact the bottom line of the organisation (Raza et al., 2021). It is widely known that the level of employee involvement has a direct bearing on the performance of the </w:t>
      </w:r>
      <w:proofErr w:type="gramStart"/>
      <w:r>
        <w:rPr>
          <w:rFonts w:ascii="Arial" w:eastAsia="Arial" w:hAnsi="Arial" w:cs="Arial"/>
          <w:sz w:val="24"/>
          <w:szCs w:val="24"/>
          <w:highlight w:val="white"/>
        </w:rPr>
        <w:t>company as a whole, in</w:t>
      </w:r>
      <w:proofErr w:type="gramEnd"/>
      <w:r>
        <w:rPr>
          <w:rFonts w:ascii="Arial" w:eastAsia="Arial" w:hAnsi="Arial" w:cs="Arial"/>
          <w:sz w:val="24"/>
          <w:szCs w:val="24"/>
          <w:highlight w:val="white"/>
        </w:rPr>
        <w:t xml:space="preserve"> areas ranging from the happiness of customers to financial results and beyond. The research did a good job of establishing the connection between the two, but it's all too easy to become distracted by the minutiae and miss the bigger picture while you're looking at them (Ruel and Njoku, 2020). The strategy used by Aon Hewitt involves including engagement outcomes as a connection between organisational objectives and engagement drivers. The use of these indicators as benchmarks allows managers to assess the level of devotion shown by their employees. "</w:t>
      </w:r>
      <w:proofErr w:type="gramStart"/>
      <w:r>
        <w:rPr>
          <w:rFonts w:ascii="Arial" w:eastAsia="Arial" w:hAnsi="Arial" w:cs="Arial"/>
          <w:sz w:val="24"/>
          <w:szCs w:val="24"/>
          <w:highlight w:val="white"/>
        </w:rPr>
        <w:t>say</w:t>
      </w:r>
      <w:proofErr w:type="gramEnd"/>
      <w:r>
        <w:rPr>
          <w:rFonts w:ascii="Arial" w:eastAsia="Arial" w:hAnsi="Arial" w:cs="Arial"/>
          <w:sz w:val="24"/>
          <w:szCs w:val="24"/>
          <w:highlight w:val="white"/>
        </w:rPr>
        <w:t xml:space="preserve">," "remain," </w:t>
      </w:r>
      <w:r>
        <w:rPr>
          <w:rFonts w:ascii="Arial" w:eastAsia="Arial" w:hAnsi="Arial" w:cs="Arial"/>
          <w:sz w:val="24"/>
          <w:szCs w:val="24"/>
          <w:highlight w:val="white"/>
        </w:rPr>
        <w:lastRenderedPageBreak/>
        <w:t xml:space="preserve">and "strive" are the three outcomes that might come about as a consequence of employee participation (Casey and </w:t>
      </w:r>
      <w:proofErr w:type="spellStart"/>
      <w:r>
        <w:rPr>
          <w:rFonts w:ascii="Arial" w:eastAsia="Arial" w:hAnsi="Arial" w:cs="Arial"/>
          <w:sz w:val="24"/>
          <w:szCs w:val="24"/>
          <w:highlight w:val="white"/>
        </w:rPr>
        <w:t>Sieber</w:t>
      </w:r>
      <w:proofErr w:type="spellEnd"/>
      <w:r>
        <w:rPr>
          <w:rFonts w:ascii="Arial" w:eastAsia="Arial" w:hAnsi="Arial" w:cs="Arial"/>
          <w:sz w:val="24"/>
          <w:szCs w:val="24"/>
          <w:highlight w:val="white"/>
        </w:rPr>
        <w:t>, 2016). </w:t>
      </w:r>
    </w:p>
    <w:p w14:paraId="732093DD"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Given the goals and factors at play here, it makes more sense to focus on how employees feel about their workplaces to understand the connection between HRM strategies and hotel brands' success. Human resource management methods in the hotel industry have far-reaching effects on businesses. Hiring personnel with a wide range of skills and educating those who interact directly with customers both contribute to a hospitality company's ability to be at the forefront of incremental and radical innovation (</w:t>
      </w:r>
      <w:proofErr w:type="spellStart"/>
      <w:r>
        <w:rPr>
          <w:rFonts w:ascii="Arial" w:eastAsia="Arial" w:hAnsi="Arial" w:cs="Arial"/>
          <w:sz w:val="24"/>
          <w:szCs w:val="24"/>
          <w:highlight w:val="white"/>
        </w:rPr>
        <w:t>Veliath</w:t>
      </w:r>
      <w:proofErr w:type="spellEnd"/>
      <w:r>
        <w:rPr>
          <w:rFonts w:ascii="Arial" w:eastAsia="Arial" w:hAnsi="Arial" w:cs="Arial"/>
          <w:sz w:val="24"/>
          <w:szCs w:val="24"/>
          <w:highlight w:val="white"/>
        </w:rPr>
        <w:t xml:space="preserve"> et al., 2021). Most Jordanian hotel guests are looking for high-quality service, which is a key performance measure. The management and staff of Jordanian hotels take the initiative to carry out crucial initiatives to enhance the level of service provided. the role of HR policies and procedures in elevating the standard of care in Thailand's upscale hotel chains (Okay, 2018). The results showed no correlation between service quality and performance for hotel workers. Additionally, the quality of service provided by workers was shown to be indirectly related to effective HRM processes. Workplaces and the competitive landscapes in which businesses operate undergo alternation as a direct outcome of ongoing assessments of management methods.</w:t>
      </w:r>
    </w:p>
    <w:p w14:paraId="43D56977" w14:textId="77777777" w:rsidR="00E51FC1" w:rsidRDefault="00000000">
      <w:pPr>
        <w:keepNext/>
        <w:keepLines/>
        <w:pBdr>
          <w:top w:val="nil"/>
          <w:left w:val="nil"/>
          <w:bottom w:val="nil"/>
          <w:right w:val="nil"/>
          <w:between w:val="nil"/>
        </w:pBdr>
        <w:spacing w:before="240" w:after="240" w:line="360" w:lineRule="auto"/>
        <w:jc w:val="both"/>
        <w:rPr>
          <w:rFonts w:ascii="Arial" w:eastAsia="Arial" w:hAnsi="Arial" w:cs="Arial"/>
          <w:sz w:val="32"/>
          <w:szCs w:val="32"/>
          <w:highlight w:val="white"/>
        </w:rPr>
      </w:pPr>
      <w:r>
        <w:rPr>
          <w:rFonts w:ascii="Arial" w:eastAsia="Arial" w:hAnsi="Arial" w:cs="Arial"/>
          <w:sz w:val="32"/>
          <w:szCs w:val="32"/>
          <w:highlight w:val="white"/>
        </w:rPr>
        <w:t>Conclusion</w:t>
      </w:r>
    </w:p>
    <w:p w14:paraId="6D3BCE86" w14:textId="77777777" w:rsidR="00E51FC1" w:rsidRDefault="00000000">
      <w:pPr>
        <w:spacing w:before="240" w:after="240" w:line="360" w:lineRule="auto"/>
        <w:jc w:val="both"/>
        <w:rPr>
          <w:rFonts w:ascii="Arial" w:eastAsia="Arial" w:hAnsi="Arial" w:cs="Arial"/>
          <w:sz w:val="24"/>
          <w:szCs w:val="24"/>
          <w:highlight w:val="white"/>
        </w:rPr>
      </w:pPr>
      <w:r>
        <w:rPr>
          <w:rFonts w:ascii="Arial" w:eastAsia="Arial" w:hAnsi="Arial" w:cs="Arial"/>
          <w:sz w:val="24"/>
          <w:szCs w:val="24"/>
          <w:highlight w:val="white"/>
        </w:rPr>
        <w:t>Both internal variables such as pay and advancement opportunities and external ones such as feedback on how well employees are doing contribute to employee happiness. This pertains to the positive or negative effects on their mental health that they may have experienced as a result of their employment, which may have long-lasting effects on their career and overall quality of life.  Hiring personnel with a wide range of skills and educating those who interact directly with customers both contribute to a hospitality company's ability to be at the forefront of incremental and radical innovation.</w:t>
      </w:r>
    </w:p>
    <w:p w14:paraId="2A6ED1C8" w14:textId="77777777" w:rsidR="00E51FC1" w:rsidRDefault="00E51FC1">
      <w:pPr>
        <w:spacing w:before="240" w:after="240" w:line="360" w:lineRule="auto"/>
        <w:jc w:val="both"/>
        <w:rPr>
          <w:rFonts w:ascii="Arial" w:eastAsia="Arial" w:hAnsi="Arial" w:cs="Arial"/>
          <w:sz w:val="24"/>
          <w:szCs w:val="24"/>
          <w:highlight w:val="white"/>
        </w:rPr>
      </w:pPr>
    </w:p>
    <w:p w14:paraId="7872BD18" w14:textId="77777777" w:rsidR="00E51FC1" w:rsidRDefault="00000000">
      <w:pPr>
        <w:spacing w:after="240" w:line="360" w:lineRule="auto"/>
        <w:jc w:val="both"/>
        <w:rPr>
          <w:rFonts w:ascii="Arial" w:eastAsia="Arial" w:hAnsi="Arial" w:cs="Arial"/>
          <w:sz w:val="24"/>
          <w:szCs w:val="24"/>
          <w:highlight w:val="white"/>
        </w:rPr>
      </w:pPr>
      <w:r>
        <w:br w:type="page"/>
      </w:r>
    </w:p>
    <w:p w14:paraId="64CD40F2" w14:textId="77777777" w:rsidR="00E51FC1" w:rsidRDefault="00000000">
      <w:pPr>
        <w:keepNext/>
        <w:keepLines/>
        <w:pBdr>
          <w:top w:val="nil"/>
          <w:left w:val="nil"/>
          <w:bottom w:val="nil"/>
          <w:right w:val="nil"/>
          <w:between w:val="nil"/>
        </w:pBdr>
        <w:spacing w:before="240" w:after="240" w:line="360" w:lineRule="auto"/>
        <w:jc w:val="both"/>
        <w:rPr>
          <w:rFonts w:ascii="Arial" w:eastAsia="Arial" w:hAnsi="Arial" w:cs="Arial"/>
          <w:sz w:val="32"/>
          <w:szCs w:val="32"/>
          <w:highlight w:val="white"/>
        </w:rPr>
      </w:pPr>
      <w:r>
        <w:rPr>
          <w:rFonts w:ascii="Arial" w:eastAsia="Arial" w:hAnsi="Arial" w:cs="Arial"/>
          <w:sz w:val="32"/>
          <w:szCs w:val="32"/>
          <w:highlight w:val="white"/>
        </w:rPr>
        <w:lastRenderedPageBreak/>
        <w:t>References</w:t>
      </w:r>
    </w:p>
    <w:p w14:paraId="31416E3D"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Abraham, S., 2012. Development of an employee engagement programme based on an employee satisfaction survey. </w:t>
      </w:r>
      <w:r>
        <w:rPr>
          <w:rFonts w:ascii="Arial" w:eastAsia="Arial" w:hAnsi="Arial" w:cs="Arial"/>
          <w:i/>
          <w:sz w:val="24"/>
          <w:szCs w:val="24"/>
          <w:highlight w:val="white"/>
        </w:rPr>
        <w:t>Journal of economic development, management, IT, finance, and marketing</w:t>
      </w:r>
      <w:r>
        <w:rPr>
          <w:rFonts w:ascii="Arial" w:eastAsia="Arial" w:hAnsi="Arial" w:cs="Arial"/>
          <w:sz w:val="24"/>
          <w:szCs w:val="24"/>
          <w:highlight w:val="white"/>
        </w:rPr>
        <w:t xml:space="preserve">, </w:t>
      </w:r>
      <w:r>
        <w:rPr>
          <w:rFonts w:ascii="Arial" w:eastAsia="Arial" w:hAnsi="Arial" w:cs="Arial"/>
          <w:i/>
          <w:sz w:val="24"/>
          <w:szCs w:val="24"/>
          <w:highlight w:val="white"/>
        </w:rPr>
        <w:t>4</w:t>
      </w:r>
      <w:r>
        <w:rPr>
          <w:rFonts w:ascii="Arial" w:eastAsia="Arial" w:hAnsi="Arial" w:cs="Arial"/>
          <w:sz w:val="24"/>
          <w:szCs w:val="24"/>
          <w:highlight w:val="white"/>
        </w:rPr>
        <w:t>(1), p.27.</w:t>
      </w:r>
    </w:p>
    <w:p w14:paraId="362EEA56"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Al </w:t>
      </w:r>
      <w:proofErr w:type="spellStart"/>
      <w:r>
        <w:rPr>
          <w:rFonts w:ascii="Arial" w:eastAsia="Arial" w:hAnsi="Arial" w:cs="Arial"/>
          <w:sz w:val="24"/>
          <w:szCs w:val="24"/>
          <w:highlight w:val="white"/>
        </w:rPr>
        <w:t>Mehrzi</w:t>
      </w:r>
      <w:proofErr w:type="spellEnd"/>
      <w:r>
        <w:rPr>
          <w:rFonts w:ascii="Arial" w:eastAsia="Arial" w:hAnsi="Arial" w:cs="Arial"/>
          <w:sz w:val="24"/>
          <w:szCs w:val="24"/>
          <w:highlight w:val="white"/>
        </w:rPr>
        <w:t xml:space="preserve">, N. and Singh, S.K., 2016. Competing through employee engagement: a proposed framework. </w:t>
      </w:r>
      <w:r>
        <w:rPr>
          <w:rFonts w:ascii="Arial" w:eastAsia="Arial" w:hAnsi="Arial" w:cs="Arial"/>
          <w:i/>
          <w:sz w:val="24"/>
          <w:szCs w:val="24"/>
          <w:highlight w:val="white"/>
        </w:rPr>
        <w:t>International Journal of Productivity and Performance Management</w:t>
      </w:r>
      <w:r>
        <w:rPr>
          <w:rFonts w:ascii="Arial" w:eastAsia="Arial" w:hAnsi="Arial" w:cs="Arial"/>
          <w:sz w:val="24"/>
          <w:szCs w:val="24"/>
          <w:highlight w:val="white"/>
        </w:rPr>
        <w:t xml:space="preserve">, </w:t>
      </w:r>
      <w:r>
        <w:rPr>
          <w:rFonts w:ascii="Arial" w:eastAsia="Arial" w:hAnsi="Arial" w:cs="Arial"/>
          <w:i/>
          <w:sz w:val="24"/>
          <w:szCs w:val="24"/>
          <w:highlight w:val="white"/>
        </w:rPr>
        <w:t>65</w:t>
      </w:r>
      <w:r>
        <w:rPr>
          <w:rFonts w:ascii="Arial" w:eastAsia="Arial" w:hAnsi="Arial" w:cs="Arial"/>
          <w:sz w:val="24"/>
          <w:szCs w:val="24"/>
          <w:highlight w:val="white"/>
        </w:rPr>
        <w:t>(6), pp.831-843.</w:t>
      </w:r>
    </w:p>
    <w:p w14:paraId="40E0A65B" w14:textId="77777777" w:rsidR="00E51FC1" w:rsidRDefault="00000000">
      <w:pPr>
        <w:spacing w:before="240" w:after="240" w:line="360" w:lineRule="auto"/>
        <w:jc w:val="both"/>
        <w:rPr>
          <w:rFonts w:ascii="Arial" w:eastAsia="Arial" w:hAnsi="Arial" w:cs="Arial"/>
          <w:sz w:val="24"/>
          <w:szCs w:val="24"/>
        </w:rPr>
      </w:pPr>
      <w:proofErr w:type="spellStart"/>
      <w:r>
        <w:rPr>
          <w:rFonts w:ascii="Arial" w:eastAsia="Arial" w:hAnsi="Arial" w:cs="Arial"/>
          <w:sz w:val="24"/>
          <w:szCs w:val="24"/>
          <w:highlight w:val="white"/>
        </w:rPr>
        <w:t>Anitha</w:t>
      </w:r>
      <w:proofErr w:type="spellEnd"/>
      <w:r>
        <w:rPr>
          <w:rFonts w:ascii="Arial" w:eastAsia="Arial" w:hAnsi="Arial" w:cs="Arial"/>
          <w:sz w:val="24"/>
          <w:szCs w:val="24"/>
          <w:highlight w:val="white"/>
        </w:rPr>
        <w:t xml:space="preserve">, J., 2014. Determinants of employee engagement and their impact on employee performance. </w:t>
      </w:r>
      <w:r>
        <w:rPr>
          <w:rFonts w:ascii="Arial" w:eastAsia="Arial" w:hAnsi="Arial" w:cs="Arial"/>
          <w:i/>
          <w:sz w:val="24"/>
          <w:szCs w:val="24"/>
          <w:highlight w:val="white"/>
        </w:rPr>
        <w:t>International journal of productivity and performance management</w:t>
      </w:r>
      <w:r>
        <w:rPr>
          <w:rFonts w:ascii="Arial" w:eastAsia="Arial" w:hAnsi="Arial" w:cs="Arial"/>
          <w:sz w:val="24"/>
          <w:szCs w:val="24"/>
          <w:highlight w:val="white"/>
        </w:rPr>
        <w:t>.</w:t>
      </w:r>
    </w:p>
    <w:p w14:paraId="055AC4FB"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Book, L., Gatling, A. and Kim, J., 2019. The effects of leadership satisfaction on employee engagement, loyalty, and retention in the hospitality industry. </w:t>
      </w:r>
      <w:r>
        <w:rPr>
          <w:rFonts w:ascii="Arial" w:eastAsia="Arial" w:hAnsi="Arial" w:cs="Arial"/>
          <w:i/>
          <w:sz w:val="24"/>
          <w:szCs w:val="24"/>
          <w:highlight w:val="white"/>
        </w:rPr>
        <w:t>Journal of Human Resources in Hospitality &amp; Tourism</w:t>
      </w:r>
      <w:r>
        <w:rPr>
          <w:rFonts w:ascii="Arial" w:eastAsia="Arial" w:hAnsi="Arial" w:cs="Arial"/>
          <w:sz w:val="24"/>
          <w:szCs w:val="24"/>
          <w:highlight w:val="white"/>
        </w:rPr>
        <w:t xml:space="preserve">, </w:t>
      </w:r>
      <w:r>
        <w:rPr>
          <w:rFonts w:ascii="Arial" w:eastAsia="Arial" w:hAnsi="Arial" w:cs="Arial"/>
          <w:i/>
          <w:sz w:val="24"/>
          <w:szCs w:val="24"/>
          <w:highlight w:val="white"/>
        </w:rPr>
        <w:t>18</w:t>
      </w:r>
      <w:r>
        <w:rPr>
          <w:rFonts w:ascii="Arial" w:eastAsia="Arial" w:hAnsi="Arial" w:cs="Arial"/>
          <w:sz w:val="24"/>
          <w:szCs w:val="24"/>
          <w:highlight w:val="white"/>
        </w:rPr>
        <w:t>(3), pp.368-393.</w:t>
      </w:r>
    </w:p>
    <w:p w14:paraId="06439572"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Byrne, Z.S., 2014. </w:t>
      </w:r>
      <w:r>
        <w:rPr>
          <w:rFonts w:ascii="Arial" w:eastAsia="Arial" w:hAnsi="Arial" w:cs="Arial"/>
          <w:i/>
          <w:sz w:val="24"/>
          <w:szCs w:val="24"/>
          <w:highlight w:val="white"/>
        </w:rPr>
        <w:t>Understanding employee engagement: Theory, research, and practice</w:t>
      </w:r>
      <w:r>
        <w:rPr>
          <w:rFonts w:ascii="Arial" w:eastAsia="Arial" w:hAnsi="Arial" w:cs="Arial"/>
          <w:sz w:val="24"/>
          <w:szCs w:val="24"/>
          <w:highlight w:val="white"/>
        </w:rPr>
        <w:t>. Routledge.</w:t>
      </w:r>
    </w:p>
    <w:p w14:paraId="69C8FC18"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Casey, D. and </w:t>
      </w:r>
      <w:proofErr w:type="spellStart"/>
      <w:r>
        <w:rPr>
          <w:rFonts w:ascii="Arial" w:eastAsia="Arial" w:hAnsi="Arial" w:cs="Arial"/>
          <w:sz w:val="24"/>
          <w:szCs w:val="24"/>
          <w:highlight w:val="white"/>
        </w:rPr>
        <w:t>Sieber</w:t>
      </w:r>
      <w:proofErr w:type="spellEnd"/>
      <w:r>
        <w:rPr>
          <w:rFonts w:ascii="Arial" w:eastAsia="Arial" w:hAnsi="Arial" w:cs="Arial"/>
          <w:sz w:val="24"/>
          <w:szCs w:val="24"/>
          <w:highlight w:val="white"/>
        </w:rPr>
        <w:t xml:space="preserve">, S., 2016. Employees, sustainability and motivation: Increasing employee engagement by addressing sustainability and corporate social responsibility. </w:t>
      </w:r>
      <w:r>
        <w:rPr>
          <w:rFonts w:ascii="Arial" w:eastAsia="Arial" w:hAnsi="Arial" w:cs="Arial"/>
          <w:i/>
          <w:sz w:val="24"/>
          <w:szCs w:val="24"/>
          <w:highlight w:val="white"/>
        </w:rPr>
        <w:t>Research in Hospitality Management</w:t>
      </w:r>
      <w:r>
        <w:rPr>
          <w:rFonts w:ascii="Arial" w:eastAsia="Arial" w:hAnsi="Arial" w:cs="Arial"/>
          <w:sz w:val="24"/>
          <w:szCs w:val="24"/>
          <w:highlight w:val="white"/>
        </w:rPr>
        <w:t xml:space="preserve">, </w:t>
      </w:r>
      <w:r>
        <w:rPr>
          <w:rFonts w:ascii="Arial" w:eastAsia="Arial" w:hAnsi="Arial" w:cs="Arial"/>
          <w:i/>
          <w:sz w:val="24"/>
          <w:szCs w:val="24"/>
          <w:highlight w:val="white"/>
        </w:rPr>
        <w:t>6</w:t>
      </w:r>
      <w:r>
        <w:rPr>
          <w:rFonts w:ascii="Arial" w:eastAsia="Arial" w:hAnsi="Arial" w:cs="Arial"/>
          <w:sz w:val="24"/>
          <w:szCs w:val="24"/>
          <w:highlight w:val="white"/>
        </w:rPr>
        <w:t>(1), pp.69-76.</w:t>
      </w:r>
    </w:p>
    <w:p w14:paraId="5E7C2212" w14:textId="77777777" w:rsidR="00E51FC1" w:rsidRDefault="00000000">
      <w:pPr>
        <w:spacing w:before="240" w:after="240" w:line="360" w:lineRule="auto"/>
        <w:jc w:val="both"/>
        <w:rPr>
          <w:rFonts w:ascii="Arial" w:eastAsia="Arial" w:hAnsi="Arial" w:cs="Arial"/>
          <w:sz w:val="24"/>
          <w:szCs w:val="24"/>
        </w:rPr>
      </w:pPr>
      <w:proofErr w:type="spellStart"/>
      <w:r>
        <w:rPr>
          <w:rFonts w:ascii="Arial" w:eastAsia="Arial" w:hAnsi="Arial" w:cs="Arial"/>
          <w:sz w:val="24"/>
          <w:szCs w:val="24"/>
          <w:highlight w:val="white"/>
        </w:rPr>
        <w:t>Chandani</w:t>
      </w:r>
      <w:proofErr w:type="spellEnd"/>
      <w:r>
        <w:rPr>
          <w:rFonts w:ascii="Arial" w:eastAsia="Arial" w:hAnsi="Arial" w:cs="Arial"/>
          <w:sz w:val="24"/>
          <w:szCs w:val="24"/>
          <w:highlight w:val="white"/>
        </w:rPr>
        <w:t xml:space="preserve">, A., Mehta, M., Mall, A. and Khokhar, V., 2016. Employee engagement: A review paper on factors affecting employee engagement. </w:t>
      </w:r>
      <w:r>
        <w:rPr>
          <w:rFonts w:ascii="Arial" w:eastAsia="Arial" w:hAnsi="Arial" w:cs="Arial"/>
          <w:i/>
          <w:sz w:val="24"/>
          <w:szCs w:val="24"/>
          <w:highlight w:val="white"/>
        </w:rPr>
        <w:t>Indian Journal of Science and Technology</w:t>
      </w:r>
      <w:r>
        <w:rPr>
          <w:rFonts w:ascii="Arial" w:eastAsia="Arial" w:hAnsi="Arial" w:cs="Arial"/>
          <w:sz w:val="24"/>
          <w:szCs w:val="24"/>
          <w:highlight w:val="white"/>
        </w:rPr>
        <w:t xml:space="preserve">, </w:t>
      </w:r>
      <w:r>
        <w:rPr>
          <w:rFonts w:ascii="Arial" w:eastAsia="Arial" w:hAnsi="Arial" w:cs="Arial"/>
          <w:i/>
          <w:sz w:val="24"/>
          <w:szCs w:val="24"/>
          <w:highlight w:val="white"/>
        </w:rPr>
        <w:t>9</w:t>
      </w:r>
      <w:r>
        <w:rPr>
          <w:rFonts w:ascii="Arial" w:eastAsia="Arial" w:hAnsi="Arial" w:cs="Arial"/>
          <w:sz w:val="24"/>
          <w:szCs w:val="24"/>
          <w:highlight w:val="white"/>
        </w:rPr>
        <w:t>(15), pp.1-7.</w:t>
      </w:r>
    </w:p>
    <w:p w14:paraId="5B340852" w14:textId="77777777" w:rsidR="00E51FC1" w:rsidRDefault="00000000">
      <w:pPr>
        <w:spacing w:before="240" w:after="240" w:line="360" w:lineRule="auto"/>
        <w:jc w:val="both"/>
        <w:rPr>
          <w:rFonts w:ascii="Arial" w:eastAsia="Arial" w:hAnsi="Arial" w:cs="Arial"/>
          <w:sz w:val="24"/>
          <w:szCs w:val="24"/>
        </w:rPr>
      </w:pPr>
      <w:proofErr w:type="spellStart"/>
      <w:r>
        <w:rPr>
          <w:rFonts w:ascii="Arial" w:eastAsia="Arial" w:hAnsi="Arial" w:cs="Arial"/>
          <w:sz w:val="24"/>
          <w:szCs w:val="24"/>
          <w:highlight w:val="white"/>
        </w:rPr>
        <w:t>Handa</w:t>
      </w:r>
      <w:proofErr w:type="spellEnd"/>
      <w:r>
        <w:rPr>
          <w:rFonts w:ascii="Arial" w:eastAsia="Arial" w:hAnsi="Arial" w:cs="Arial"/>
          <w:sz w:val="24"/>
          <w:szCs w:val="24"/>
          <w:highlight w:val="white"/>
        </w:rPr>
        <w:t xml:space="preserve">, M. and Gulati, A., 2014. Employee Engagement. </w:t>
      </w:r>
      <w:r>
        <w:rPr>
          <w:rFonts w:ascii="Arial" w:eastAsia="Arial" w:hAnsi="Arial" w:cs="Arial"/>
          <w:i/>
          <w:sz w:val="24"/>
          <w:szCs w:val="24"/>
          <w:highlight w:val="white"/>
        </w:rPr>
        <w:t>Journal of Management Research (09725814)</w:t>
      </w:r>
      <w:r>
        <w:rPr>
          <w:rFonts w:ascii="Arial" w:eastAsia="Arial" w:hAnsi="Arial" w:cs="Arial"/>
          <w:sz w:val="24"/>
          <w:szCs w:val="24"/>
          <w:highlight w:val="white"/>
        </w:rPr>
        <w:t xml:space="preserve">, </w:t>
      </w:r>
      <w:r>
        <w:rPr>
          <w:rFonts w:ascii="Arial" w:eastAsia="Arial" w:hAnsi="Arial" w:cs="Arial"/>
          <w:i/>
          <w:sz w:val="24"/>
          <w:szCs w:val="24"/>
          <w:highlight w:val="white"/>
        </w:rPr>
        <w:t>14</w:t>
      </w:r>
      <w:r>
        <w:rPr>
          <w:rFonts w:ascii="Arial" w:eastAsia="Arial" w:hAnsi="Arial" w:cs="Arial"/>
          <w:sz w:val="24"/>
          <w:szCs w:val="24"/>
          <w:highlight w:val="white"/>
        </w:rPr>
        <w:t>(1).</w:t>
      </w:r>
    </w:p>
    <w:p w14:paraId="76300E53"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Kumar, V. and </w:t>
      </w:r>
      <w:proofErr w:type="spellStart"/>
      <w:r>
        <w:rPr>
          <w:rFonts w:ascii="Arial" w:eastAsia="Arial" w:hAnsi="Arial" w:cs="Arial"/>
          <w:sz w:val="24"/>
          <w:szCs w:val="24"/>
          <w:highlight w:val="white"/>
        </w:rPr>
        <w:t>Pansari</w:t>
      </w:r>
      <w:proofErr w:type="spellEnd"/>
      <w:r>
        <w:rPr>
          <w:rFonts w:ascii="Arial" w:eastAsia="Arial" w:hAnsi="Arial" w:cs="Arial"/>
          <w:sz w:val="24"/>
          <w:szCs w:val="24"/>
          <w:highlight w:val="white"/>
        </w:rPr>
        <w:t xml:space="preserve">, A., 2015. Measuring the benefits of employee engagement. </w:t>
      </w:r>
      <w:r>
        <w:rPr>
          <w:rFonts w:ascii="Arial" w:eastAsia="Arial" w:hAnsi="Arial" w:cs="Arial"/>
          <w:i/>
          <w:sz w:val="24"/>
          <w:szCs w:val="24"/>
          <w:highlight w:val="white"/>
        </w:rPr>
        <w:t>MIT Sloan Management Review</w:t>
      </w:r>
      <w:r>
        <w:rPr>
          <w:rFonts w:ascii="Arial" w:eastAsia="Arial" w:hAnsi="Arial" w:cs="Arial"/>
          <w:sz w:val="24"/>
          <w:szCs w:val="24"/>
          <w:highlight w:val="white"/>
        </w:rPr>
        <w:t xml:space="preserve">, </w:t>
      </w:r>
      <w:r>
        <w:rPr>
          <w:rFonts w:ascii="Arial" w:eastAsia="Arial" w:hAnsi="Arial" w:cs="Arial"/>
          <w:i/>
          <w:sz w:val="24"/>
          <w:szCs w:val="24"/>
          <w:highlight w:val="white"/>
        </w:rPr>
        <w:t>56</w:t>
      </w:r>
      <w:r>
        <w:rPr>
          <w:rFonts w:ascii="Arial" w:eastAsia="Arial" w:hAnsi="Arial" w:cs="Arial"/>
          <w:sz w:val="24"/>
          <w:szCs w:val="24"/>
          <w:highlight w:val="white"/>
        </w:rPr>
        <w:t>(4), p.67.</w:t>
      </w:r>
    </w:p>
    <w:p w14:paraId="2CA26C82"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Mann, A. and Harter, J., 2016. The worldwide employee engagement crisis. </w:t>
      </w:r>
      <w:r>
        <w:rPr>
          <w:rFonts w:ascii="Arial" w:eastAsia="Arial" w:hAnsi="Arial" w:cs="Arial"/>
          <w:i/>
          <w:sz w:val="24"/>
          <w:szCs w:val="24"/>
          <w:highlight w:val="white"/>
        </w:rPr>
        <w:t>Gallup Business Journal</w:t>
      </w:r>
      <w:r>
        <w:rPr>
          <w:rFonts w:ascii="Arial" w:eastAsia="Arial" w:hAnsi="Arial" w:cs="Arial"/>
          <w:sz w:val="24"/>
          <w:szCs w:val="24"/>
          <w:highlight w:val="white"/>
        </w:rPr>
        <w:t xml:space="preserve">, </w:t>
      </w:r>
      <w:r>
        <w:rPr>
          <w:rFonts w:ascii="Arial" w:eastAsia="Arial" w:hAnsi="Arial" w:cs="Arial"/>
          <w:i/>
          <w:sz w:val="24"/>
          <w:szCs w:val="24"/>
          <w:highlight w:val="white"/>
        </w:rPr>
        <w:t>7</w:t>
      </w:r>
      <w:r>
        <w:rPr>
          <w:rFonts w:ascii="Arial" w:eastAsia="Arial" w:hAnsi="Arial" w:cs="Arial"/>
          <w:sz w:val="24"/>
          <w:szCs w:val="24"/>
          <w:highlight w:val="white"/>
        </w:rPr>
        <w:t>(1), pp.1-5.</w:t>
      </w:r>
    </w:p>
    <w:p w14:paraId="6E296F7F"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lastRenderedPageBreak/>
        <w:t xml:space="preserve">Okay, B.H., 2018. The effect of employee turnover in the hospitality industry: Quantitative correlational study. </w:t>
      </w:r>
      <w:r>
        <w:rPr>
          <w:rFonts w:ascii="Arial" w:eastAsia="Arial" w:hAnsi="Arial" w:cs="Arial"/>
          <w:i/>
          <w:sz w:val="24"/>
          <w:szCs w:val="24"/>
          <w:highlight w:val="white"/>
        </w:rPr>
        <w:t>International Journal of Learning and Development</w:t>
      </w:r>
      <w:r>
        <w:rPr>
          <w:rFonts w:ascii="Arial" w:eastAsia="Arial" w:hAnsi="Arial" w:cs="Arial"/>
          <w:sz w:val="24"/>
          <w:szCs w:val="24"/>
          <w:highlight w:val="white"/>
        </w:rPr>
        <w:t xml:space="preserve">, </w:t>
      </w:r>
      <w:r>
        <w:rPr>
          <w:rFonts w:ascii="Arial" w:eastAsia="Arial" w:hAnsi="Arial" w:cs="Arial"/>
          <w:i/>
          <w:sz w:val="24"/>
          <w:szCs w:val="24"/>
          <w:highlight w:val="white"/>
        </w:rPr>
        <w:t>8</w:t>
      </w:r>
      <w:r>
        <w:rPr>
          <w:rFonts w:ascii="Arial" w:eastAsia="Arial" w:hAnsi="Arial" w:cs="Arial"/>
          <w:sz w:val="24"/>
          <w:szCs w:val="24"/>
          <w:highlight w:val="white"/>
        </w:rPr>
        <w:t>(1), pp.156-183.</w:t>
      </w:r>
    </w:p>
    <w:p w14:paraId="46A744C9"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Osborne, S. and Hammoud, M.S., 2017. Effective employee engagement in the workplace. </w:t>
      </w:r>
      <w:r>
        <w:rPr>
          <w:rFonts w:ascii="Arial" w:eastAsia="Arial" w:hAnsi="Arial" w:cs="Arial"/>
          <w:i/>
          <w:sz w:val="24"/>
          <w:szCs w:val="24"/>
          <w:highlight w:val="white"/>
        </w:rPr>
        <w:t>International Journal of Applied Management and Technology</w:t>
      </w:r>
      <w:r>
        <w:rPr>
          <w:rFonts w:ascii="Arial" w:eastAsia="Arial" w:hAnsi="Arial" w:cs="Arial"/>
          <w:sz w:val="24"/>
          <w:szCs w:val="24"/>
          <w:highlight w:val="white"/>
        </w:rPr>
        <w:t xml:space="preserve">, </w:t>
      </w:r>
      <w:r>
        <w:rPr>
          <w:rFonts w:ascii="Arial" w:eastAsia="Arial" w:hAnsi="Arial" w:cs="Arial"/>
          <w:i/>
          <w:sz w:val="24"/>
          <w:szCs w:val="24"/>
          <w:highlight w:val="white"/>
        </w:rPr>
        <w:t>16</w:t>
      </w:r>
      <w:r>
        <w:rPr>
          <w:rFonts w:ascii="Arial" w:eastAsia="Arial" w:hAnsi="Arial" w:cs="Arial"/>
          <w:sz w:val="24"/>
          <w:szCs w:val="24"/>
          <w:highlight w:val="white"/>
        </w:rPr>
        <w:t>(1), p.4.</w:t>
      </w:r>
    </w:p>
    <w:p w14:paraId="1A06B15B"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Raza, A., Farrukh, M., Iqbal, M.K., Farhan, M. and Wu, Y., 2021. Corporate social responsibility and employees' voluntary pro</w:t>
      </w:r>
      <w:r>
        <w:rPr>
          <w:rFonts w:ascii="Cambria Math" w:eastAsia="Cambria Math" w:hAnsi="Cambria Math" w:cs="Cambria Math"/>
          <w:sz w:val="24"/>
          <w:szCs w:val="24"/>
          <w:highlight w:val="white"/>
        </w:rPr>
        <w:t>‐</w:t>
      </w:r>
      <w:r>
        <w:rPr>
          <w:rFonts w:ascii="Arial" w:eastAsia="Arial" w:hAnsi="Arial" w:cs="Arial"/>
          <w:sz w:val="24"/>
          <w:szCs w:val="24"/>
          <w:highlight w:val="white"/>
        </w:rPr>
        <w:t xml:space="preserve">environmental behaviour: The role of organizational pride and employee engagement. </w:t>
      </w:r>
      <w:r>
        <w:rPr>
          <w:rFonts w:ascii="Arial" w:eastAsia="Arial" w:hAnsi="Arial" w:cs="Arial"/>
          <w:i/>
          <w:sz w:val="24"/>
          <w:szCs w:val="24"/>
          <w:highlight w:val="white"/>
        </w:rPr>
        <w:t>Corporate Social Responsibility and Environmental Management</w:t>
      </w:r>
      <w:r>
        <w:rPr>
          <w:rFonts w:ascii="Arial" w:eastAsia="Arial" w:hAnsi="Arial" w:cs="Arial"/>
          <w:sz w:val="24"/>
          <w:szCs w:val="24"/>
          <w:highlight w:val="white"/>
        </w:rPr>
        <w:t xml:space="preserve">, </w:t>
      </w:r>
      <w:r>
        <w:rPr>
          <w:rFonts w:ascii="Arial" w:eastAsia="Arial" w:hAnsi="Arial" w:cs="Arial"/>
          <w:i/>
          <w:sz w:val="24"/>
          <w:szCs w:val="24"/>
          <w:highlight w:val="white"/>
        </w:rPr>
        <w:t>28</w:t>
      </w:r>
      <w:r>
        <w:rPr>
          <w:rFonts w:ascii="Arial" w:eastAsia="Arial" w:hAnsi="Arial" w:cs="Arial"/>
          <w:sz w:val="24"/>
          <w:szCs w:val="24"/>
          <w:highlight w:val="white"/>
        </w:rPr>
        <w:t>(3), pp.1104-1116.</w:t>
      </w:r>
    </w:p>
    <w:p w14:paraId="0DCEBDD6"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Ruel, H. and Njoku, E., 2020. AI redefines the hospitality industry. </w:t>
      </w:r>
      <w:r>
        <w:rPr>
          <w:rFonts w:ascii="Arial" w:eastAsia="Arial" w:hAnsi="Arial" w:cs="Arial"/>
          <w:i/>
          <w:sz w:val="24"/>
          <w:szCs w:val="24"/>
          <w:highlight w:val="white"/>
        </w:rPr>
        <w:t>Journal of Tourism Futures</w:t>
      </w:r>
      <w:r>
        <w:rPr>
          <w:rFonts w:ascii="Arial" w:eastAsia="Arial" w:hAnsi="Arial" w:cs="Arial"/>
          <w:sz w:val="24"/>
          <w:szCs w:val="24"/>
          <w:highlight w:val="white"/>
        </w:rPr>
        <w:t>.</w:t>
      </w:r>
    </w:p>
    <w:p w14:paraId="4F55830C"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Sorenson, S., 2013. How employee engagement drives growth. </w:t>
      </w:r>
      <w:r>
        <w:rPr>
          <w:rFonts w:ascii="Arial" w:eastAsia="Arial" w:hAnsi="Arial" w:cs="Arial"/>
          <w:i/>
          <w:sz w:val="24"/>
          <w:szCs w:val="24"/>
          <w:highlight w:val="white"/>
        </w:rPr>
        <w:t>Gallup business journal</w:t>
      </w:r>
      <w:r>
        <w:rPr>
          <w:rFonts w:ascii="Arial" w:eastAsia="Arial" w:hAnsi="Arial" w:cs="Arial"/>
          <w:sz w:val="24"/>
          <w:szCs w:val="24"/>
          <w:highlight w:val="white"/>
        </w:rPr>
        <w:t xml:space="preserve">, </w:t>
      </w:r>
      <w:r>
        <w:rPr>
          <w:rFonts w:ascii="Arial" w:eastAsia="Arial" w:hAnsi="Arial" w:cs="Arial"/>
          <w:i/>
          <w:sz w:val="24"/>
          <w:szCs w:val="24"/>
          <w:highlight w:val="white"/>
        </w:rPr>
        <w:t>1</w:t>
      </w:r>
      <w:r>
        <w:rPr>
          <w:rFonts w:ascii="Arial" w:eastAsia="Arial" w:hAnsi="Arial" w:cs="Arial"/>
          <w:sz w:val="24"/>
          <w:szCs w:val="24"/>
          <w:highlight w:val="white"/>
        </w:rPr>
        <w:t>, pp.1-4.</w:t>
      </w:r>
    </w:p>
    <w:p w14:paraId="1E914811"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Sun, L. and </w:t>
      </w:r>
      <w:proofErr w:type="spellStart"/>
      <w:r>
        <w:rPr>
          <w:rFonts w:ascii="Arial" w:eastAsia="Arial" w:hAnsi="Arial" w:cs="Arial"/>
          <w:sz w:val="24"/>
          <w:szCs w:val="24"/>
          <w:highlight w:val="white"/>
        </w:rPr>
        <w:t>Bunchapattanasakda</w:t>
      </w:r>
      <w:proofErr w:type="spellEnd"/>
      <w:r>
        <w:rPr>
          <w:rFonts w:ascii="Arial" w:eastAsia="Arial" w:hAnsi="Arial" w:cs="Arial"/>
          <w:sz w:val="24"/>
          <w:szCs w:val="24"/>
          <w:highlight w:val="white"/>
        </w:rPr>
        <w:t xml:space="preserve">, C., 2019. Employee engagement: A literature review. </w:t>
      </w:r>
      <w:r>
        <w:rPr>
          <w:rFonts w:ascii="Arial" w:eastAsia="Arial" w:hAnsi="Arial" w:cs="Arial"/>
          <w:i/>
          <w:sz w:val="24"/>
          <w:szCs w:val="24"/>
          <w:highlight w:val="white"/>
        </w:rPr>
        <w:t>International Journal of Human Resource Studies</w:t>
      </w:r>
      <w:r>
        <w:rPr>
          <w:rFonts w:ascii="Arial" w:eastAsia="Arial" w:hAnsi="Arial" w:cs="Arial"/>
          <w:sz w:val="24"/>
          <w:szCs w:val="24"/>
          <w:highlight w:val="white"/>
        </w:rPr>
        <w:t xml:space="preserve">, </w:t>
      </w:r>
      <w:r>
        <w:rPr>
          <w:rFonts w:ascii="Arial" w:eastAsia="Arial" w:hAnsi="Arial" w:cs="Arial"/>
          <w:i/>
          <w:sz w:val="24"/>
          <w:szCs w:val="24"/>
          <w:highlight w:val="white"/>
        </w:rPr>
        <w:t>9</w:t>
      </w:r>
      <w:r>
        <w:rPr>
          <w:rFonts w:ascii="Arial" w:eastAsia="Arial" w:hAnsi="Arial" w:cs="Arial"/>
          <w:sz w:val="24"/>
          <w:szCs w:val="24"/>
          <w:highlight w:val="white"/>
        </w:rPr>
        <w:t>(1), pp.63-80.</w:t>
      </w:r>
    </w:p>
    <w:p w14:paraId="46866C72" w14:textId="77777777" w:rsidR="00E51FC1"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Truss, C., </w:t>
      </w:r>
      <w:proofErr w:type="spellStart"/>
      <w:r>
        <w:rPr>
          <w:rFonts w:ascii="Arial" w:eastAsia="Arial" w:hAnsi="Arial" w:cs="Arial"/>
          <w:sz w:val="24"/>
          <w:szCs w:val="24"/>
          <w:highlight w:val="white"/>
        </w:rPr>
        <w:t>Delbridge</w:t>
      </w:r>
      <w:proofErr w:type="spellEnd"/>
      <w:r>
        <w:rPr>
          <w:rFonts w:ascii="Arial" w:eastAsia="Arial" w:hAnsi="Arial" w:cs="Arial"/>
          <w:sz w:val="24"/>
          <w:szCs w:val="24"/>
          <w:highlight w:val="white"/>
        </w:rPr>
        <w:t xml:space="preserve">, R., </w:t>
      </w:r>
      <w:proofErr w:type="spellStart"/>
      <w:r>
        <w:rPr>
          <w:rFonts w:ascii="Arial" w:eastAsia="Arial" w:hAnsi="Arial" w:cs="Arial"/>
          <w:sz w:val="24"/>
          <w:szCs w:val="24"/>
          <w:highlight w:val="white"/>
        </w:rPr>
        <w:t>Alfes</w:t>
      </w:r>
      <w:proofErr w:type="spellEnd"/>
      <w:r>
        <w:rPr>
          <w:rFonts w:ascii="Arial" w:eastAsia="Arial" w:hAnsi="Arial" w:cs="Arial"/>
          <w:sz w:val="24"/>
          <w:szCs w:val="24"/>
          <w:highlight w:val="white"/>
        </w:rPr>
        <w:t xml:space="preserve">, K., Shantz, A. and Soane, E. eds., 2013. </w:t>
      </w:r>
      <w:r>
        <w:rPr>
          <w:rFonts w:ascii="Arial" w:eastAsia="Arial" w:hAnsi="Arial" w:cs="Arial"/>
          <w:i/>
          <w:sz w:val="24"/>
          <w:szCs w:val="24"/>
          <w:highlight w:val="white"/>
        </w:rPr>
        <w:t>Employee engagement in theory and practice</w:t>
      </w:r>
      <w:r>
        <w:rPr>
          <w:rFonts w:ascii="Arial" w:eastAsia="Arial" w:hAnsi="Arial" w:cs="Arial"/>
          <w:sz w:val="24"/>
          <w:szCs w:val="24"/>
          <w:highlight w:val="white"/>
        </w:rPr>
        <w:t>. London: Routledge.</w:t>
      </w:r>
    </w:p>
    <w:p w14:paraId="2DFB3B10" w14:textId="77777777" w:rsidR="00E51FC1" w:rsidRDefault="00000000">
      <w:pPr>
        <w:spacing w:before="240" w:after="240" w:line="360" w:lineRule="auto"/>
        <w:jc w:val="both"/>
        <w:rPr>
          <w:rFonts w:ascii="Arial" w:eastAsia="Arial" w:hAnsi="Arial" w:cs="Arial"/>
          <w:sz w:val="24"/>
          <w:szCs w:val="24"/>
        </w:rPr>
      </w:pPr>
      <w:proofErr w:type="spellStart"/>
      <w:r>
        <w:rPr>
          <w:rFonts w:ascii="Arial" w:eastAsia="Arial" w:hAnsi="Arial" w:cs="Arial"/>
          <w:sz w:val="24"/>
          <w:szCs w:val="24"/>
          <w:highlight w:val="white"/>
        </w:rPr>
        <w:t>Veliath</w:t>
      </w:r>
      <w:proofErr w:type="spellEnd"/>
      <w:r>
        <w:rPr>
          <w:rFonts w:ascii="Arial" w:eastAsia="Arial" w:hAnsi="Arial" w:cs="Arial"/>
          <w:sz w:val="24"/>
          <w:szCs w:val="24"/>
          <w:highlight w:val="white"/>
        </w:rPr>
        <w:t xml:space="preserve">, P.S., </w:t>
      </w:r>
      <w:proofErr w:type="spellStart"/>
      <w:r>
        <w:rPr>
          <w:rFonts w:ascii="Arial" w:eastAsia="Arial" w:hAnsi="Arial" w:cs="Arial"/>
          <w:sz w:val="24"/>
          <w:szCs w:val="24"/>
          <w:highlight w:val="white"/>
        </w:rPr>
        <w:t>Koppar</w:t>
      </w:r>
      <w:proofErr w:type="spellEnd"/>
      <w:r>
        <w:rPr>
          <w:rFonts w:ascii="Arial" w:eastAsia="Arial" w:hAnsi="Arial" w:cs="Arial"/>
          <w:sz w:val="24"/>
          <w:szCs w:val="24"/>
          <w:highlight w:val="white"/>
        </w:rPr>
        <w:t xml:space="preserve">, R., </w:t>
      </w:r>
      <w:proofErr w:type="spellStart"/>
      <w:r>
        <w:rPr>
          <w:rFonts w:ascii="Arial" w:eastAsia="Arial" w:hAnsi="Arial" w:cs="Arial"/>
          <w:sz w:val="24"/>
          <w:szCs w:val="24"/>
          <w:highlight w:val="white"/>
        </w:rPr>
        <w:t>Wankhar</w:t>
      </w:r>
      <w:proofErr w:type="spellEnd"/>
      <w:r>
        <w:rPr>
          <w:rFonts w:ascii="Arial" w:eastAsia="Arial" w:hAnsi="Arial" w:cs="Arial"/>
          <w:sz w:val="24"/>
          <w:szCs w:val="24"/>
          <w:highlight w:val="white"/>
        </w:rPr>
        <w:t xml:space="preserve">, V. and Mathur, R.C., 2021. Crafting Conscious Employee Engagement through Wellbeing: A Key Differentiator to Long-Term Organizational Success within the Hospitality Industry. </w:t>
      </w:r>
      <w:proofErr w:type="spellStart"/>
      <w:r>
        <w:rPr>
          <w:rFonts w:ascii="Arial" w:eastAsia="Arial" w:hAnsi="Arial" w:cs="Arial"/>
          <w:i/>
          <w:sz w:val="24"/>
          <w:szCs w:val="24"/>
          <w:highlight w:val="white"/>
        </w:rPr>
        <w:t>Atna</w:t>
      </w:r>
      <w:proofErr w:type="spellEnd"/>
      <w:r>
        <w:rPr>
          <w:rFonts w:ascii="Arial" w:eastAsia="Arial" w:hAnsi="Arial" w:cs="Arial"/>
          <w:i/>
          <w:sz w:val="24"/>
          <w:szCs w:val="24"/>
          <w:highlight w:val="white"/>
        </w:rPr>
        <w:t xml:space="preserve"> Journal of Tourism Studies</w:t>
      </w:r>
      <w:r>
        <w:rPr>
          <w:rFonts w:ascii="Arial" w:eastAsia="Arial" w:hAnsi="Arial" w:cs="Arial"/>
          <w:sz w:val="24"/>
          <w:szCs w:val="24"/>
          <w:highlight w:val="white"/>
        </w:rPr>
        <w:t xml:space="preserve">, </w:t>
      </w:r>
      <w:r>
        <w:rPr>
          <w:rFonts w:ascii="Arial" w:eastAsia="Arial" w:hAnsi="Arial" w:cs="Arial"/>
          <w:i/>
          <w:sz w:val="24"/>
          <w:szCs w:val="24"/>
          <w:highlight w:val="white"/>
        </w:rPr>
        <w:t>16</w:t>
      </w:r>
      <w:r>
        <w:rPr>
          <w:rFonts w:ascii="Arial" w:eastAsia="Arial" w:hAnsi="Arial" w:cs="Arial"/>
          <w:sz w:val="24"/>
          <w:szCs w:val="24"/>
          <w:highlight w:val="white"/>
        </w:rPr>
        <w:t>(2), p.23.</w:t>
      </w:r>
    </w:p>
    <w:p w14:paraId="1A15B300" w14:textId="77777777" w:rsidR="00E51FC1" w:rsidRDefault="00E51FC1">
      <w:pPr>
        <w:keepNext/>
        <w:keepLines/>
        <w:pBdr>
          <w:top w:val="nil"/>
          <w:left w:val="nil"/>
          <w:bottom w:val="nil"/>
          <w:right w:val="nil"/>
          <w:between w:val="nil"/>
        </w:pBdr>
        <w:spacing w:before="240" w:after="240" w:line="360" w:lineRule="auto"/>
        <w:jc w:val="both"/>
        <w:rPr>
          <w:rFonts w:ascii="Arial" w:eastAsia="Arial" w:hAnsi="Arial" w:cs="Arial"/>
          <w:sz w:val="32"/>
          <w:szCs w:val="32"/>
          <w:highlight w:val="white"/>
        </w:rPr>
      </w:pPr>
    </w:p>
    <w:p w14:paraId="4D80C6D7" w14:textId="77777777" w:rsidR="00E51FC1" w:rsidRDefault="00E51FC1">
      <w:pPr>
        <w:spacing w:before="240" w:after="240" w:line="360" w:lineRule="auto"/>
        <w:jc w:val="both"/>
        <w:rPr>
          <w:rFonts w:ascii="Arial" w:eastAsia="Arial" w:hAnsi="Arial" w:cs="Arial"/>
        </w:rPr>
      </w:pPr>
    </w:p>
    <w:sectPr w:rsidR="00E51FC1">
      <w:footerReference w:type="default" r:id="rId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418CD" w14:textId="77777777" w:rsidR="000E583D" w:rsidRDefault="000E583D">
      <w:pPr>
        <w:spacing w:after="0" w:line="240" w:lineRule="auto"/>
      </w:pPr>
      <w:r>
        <w:separator/>
      </w:r>
    </w:p>
  </w:endnote>
  <w:endnote w:type="continuationSeparator" w:id="0">
    <w:p w14:paraId="17DC569D" w14:textId="77777777" w:rsidR="000E583D" w:rsidRDefault="000E5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E213E" w14:textId="77777777" w:rsidR="00E51FC1"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CD7485">
      <w:rPr>
        <w:noProof/>
        <w:color w:val="000000"/>
      </w:rPr>
      <w:t>1</w:t>
    </w:r>
    <w:r>
      <w:rPr>
        <w:color w:val="000000"/>
      </w:rPr>
      <w:fldChar w:fldCharType="end"/>
    </w:r>
  </w:p>
  <w:p w14:paraId="595E0424" w14:textId="77777777" w:rsidR="00E51FC1" w:rsidRDefault="00E51FC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9EAD8" w14:textId="77777777" w:rsidR="000E583D" w:rsidRDefault="000E583D">
      <w:pPr>
        <w:spacing w:after="0" w:line="240" w:lineRule="auto"/>
      </w:pPr>
      <w:r>
        <w:separator/>
      </w:r>
    </w:p>
  </w:footnote>
  <w:footnote w:type="continuationSeparator" w:id="0">
    <w:p w14:paraId="0F6DE4E8" w14:textId="77777777" w:rsidR="000E583D" w:rsidRDefault="000E58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FC1"/>
    <w:rsid w:val="000E583D"/>
    <w:rsid w:val="00A35B1A"/>
    <w:rsid w:val="00CD7485"/>
    <w:rsid w:val="00E51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1DCB6"/>
  <w15:docId w15:val="{1B7AC085-4116-4823-923C-7532C7F12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18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1918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918FC"/>
    <w:rPr>
      <w:rFonts w:asciiTheme="majorHAnsi" w:eastAsiaTheme="majorEastAsia" w:hAnsiTheme="majorHAnsi" w:cstheme="majorBidi"/>
      <w:color w:val="2F5496" w:themeColor="accent1" w:themeShade="BF"/>
      <w:sz w:val="32"/>
      <w:szCs w:val="32"/>
    </w:rPr>
  </w:style>
  <w:style w:type="paragraph" w:customStyle="1" w:styleId="Style1">
    <w:name w:val="Style1"/>
    <w:basedOn w:val="Heading1"/>
    <w:link w:val="Style1Char"/>
    <w:qFormat/>
    <w:rsid w:val="001918FC"/>
    <w:rPr>
      <w:rFonts w:ascii="Times New Roman" w:eastAsia="Times New Roman" w:hAnsi="Times New Roman" w:cs="Times New Roman"/>
      <w:shd w:val="clear" w:color="auto" w:fill="FFFFFF"/>
    </w:rPr>
  </w:style>
  <w:style w:type="paragraph" w:styleId="Header">
    <w:name w:val="header"/>
    <w:basedOn w:val="Normal"/>
    <w:link w:val="HeaderChar"/>
    <w:uiPriority w:val="99"/>
    <w:unhideWhenUsed/>
    <w:rsid w:val="001918FC"/>
    <w:pPr>
      <w:tabs>
        <w:tab w:val="center" w:pos="4680"/>
        <w:tab w:val="right" w:pos="9360"/>
      </w:tabs>
      <w:spacing w:after="0" w:line="240" w:lineRule="auto"/>
    </w:pPr>
  </w:style>
  <w:style w:type="character" w:customStyle="1" w:styleId="Style1Char">
    <w:name w:val="Style1 Char"/>
    <w:basedOn w:val="Heading1Char"/>
    <w:link w:val="Style1"/>
    <w:rsid w:val="001918FC"/>
    <w:rPr>
      <w:rFonts w:ascii="Times New Roman" w:eastAsia="Times New Roman" w:hAnsi="Times New Roman" w:cs="Times New Roman"/>
      <w:color w:val="2F5496" w:themeColor="accent1" w:themeShade="BF"/>
      <w:sz w:val="32"/>
      <w:szCs w:val="32"/>
    </w:rPr>
  </w:style>
  <w:style w:type="character" w:customStyle="1" w:styleId="HeaderChar">
    <w:name w:val="Header Char"/>
    <w:basedOn w:val="DefaultParagraphFont"/>
    <w:link w:val="Header"/>
    <w:uiPriority w:val="99"/>
    <w:rsid w:val="001918FC"/>
  </w:style>
  <w:style w:type="paragraph" w:styleId="Footer">
    <w:name w:val="footer"/>
    <w:basedOn w:val="Normal"/>
    <w:link w:val="FooterChar"/>
    <w:uiPriority w:val="99"/>
    <w:unhideWhenUsed/>
    <w:rsid w:val="001918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18FC"/>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8tyfODjWwFhqFfqhOIvx3PfnO+w==">AMUW2mWoTrAuKopUoZzgCoLVcz3fzkbU3Cxx7D5EsadJ6UQjJivH87gl5N2RAIO1P1i36RWaH75GxVh+//hxif2kRW5EUGnKAzffPD5BvD4M8JIduQ7mEGw=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2306</Words>
  <Characters>13149</Characters>
  <Application>Microsoft Office Word</Application>
  <DocSecurity>0</DocSecurity>
  <Lines>109</Lines>
  <Paragraphs>30</Paragraphs>
  <ScaleCrop>false</ScaleCrop>
  <Company/>
  <LinksUpToDate>false</LinksUpToDate>
  <CharactersWithSpaces>15425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Khaleda Chowdhury (2107822)</cp:lastModifiedBy>
  <cp:revision>3</cp:revision>
  <dcterms:created xsi:type="dcterms:W3CDTF">2022-10-26T16:49:00Z</dcterms:created>
  <dcterms:modified xsi:type="dcterms:W3CDTF">2022-10-26T16:53:00Z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01909f1bc3d0bf83e2078252ed9d5c8be2c8ef6d069d3acdff033e566e126a65</vt:lpwstr>
  </property>
</Properties>
</file>