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A3B50" w14:textId="1BB266C3" w:rsidR="007626C8" w:rsidRPr="00D56943" w:rsidRDefault="00A53B8A" w:rsidP="00FA1034">
      <w:pPr>
        <w:jc w:val="center"/>
        <w:rPr>
          <w:rFonts w:ascii="Arial" w:hAnsi="Arial" w:cs="Arial"/>
          <w:b/>
          <w:bCs/>
          <w:sz w:val="52"/>
          <w:szCs w:val="52"/>
        </w:rPr>
      </w:pPr>
      <w:r w:rsidRPr="00D56943">
        <w:rPr>
          <w:rFonts w:ascii="Arial" w:hAnsi="Arial" w:cs="Arial"/>
          <w:b/>
          <w:bCs/>
          <w:sz w:val="52"/>
          <w:szCs w:val="52"/>
        </w:rPr>
        <w:t xml:space="preserve">Student </w:t>
      </w:r>
      <w:proofErr w:type="gramStart"/>
      <w:r w:rsidRPr="00D56943">
        <w:rPr>
          <w:rFonts w:ascii="Arial" w:hAnsi="Arial" w:cs="Arial"/>
          <w:b/>
          <w:bCs/>
          <w:sz w:val="52"/>
          <w:szCs w:val="52"/>
        </w:rPr>
        <w:t>name :Nadia</w:t>
      </w:r>
      <w:proofErr w:type="gramEnd"/>
      <w:r w:rsidRPr="00D56943">
        <w:rPr>
          <w:rFonts w:ascii="Arial" w:hAnsi="Arial" w:cs="Arial"/>
          <w:b/>
          <w:bCs/>
          <w:sz w:val="52"/>
          <w:szCs w:val="52"/>
        </w:rPr>
        <w:t xml:space="preserve"> </w:t>
      </w:r>
      <w:r w:rsidR="00364447">
        <w:rPr>
          <w:rFonts w:ascii="Arial" w:hAnsi="Arial" w:cs="Arial"/>
          <w:b/>
          <w:bCs/>
          <w:sz w:val="52"/>
          <w:szCs w:val="52"/>
        </w:rPr>
        <w:t>B</w:t>
      </w:r>
      <w:r w:rsidRPr="00D56943">
        <w:rPr>
          <w:rFonts w:ascii="Arial" w:hAnsi="Arial" w:cs="Arial"/>
          <w:b/>
          <w:bCs/>
          <w:sz w:val="52"/>
          <w:szCs w:val="52"/>
        </w:rPr>
        <w:t>i</w:t>
      </w:r>
    </w:p>
    <w:p w14:paraId="73C3442E" w14:textId="77777777" w:rsidR="00D56943" w:rsidRPr="00D56943" w:rsidRDefault="00D56943" w:rsidP="00FA1034">
      <w:pPr>
        <w:jc w:val="center"/>
        <w:rPr>
          <w:rFonts w:ascii="Arial" w:hAnsi="Arial" w:cs="Arial"/>
          <w:b/>
          <w:bCs/>
          <w:sz w:val="52"/>
          <w:szCs w:val="52"/>
        </w:rPr>
      </w:pPr>
    </w:p>
    <w:p w14:paraId="187AB988" w14:textId="7089DBD4" w:rsidR="00A53B8A" w:rsidRPr="00D56943" w:rsidRDefault="00A53B8A" w:rsidP="00FA1034">
      <w:pPr>
        <w:jc w:val="center"/>
        <w:rPr>
          <w:rFonts w:ascii="Arial" w:hAnsi="Arial" w:cs="Arial"/>
          <w:b/>
          <w:bCs/>
          <w:sz w:val="52"/>
          <w:szCs w:val="52"/>
        </w:rPr>
      </w:pPr>
      <w:r w:rsidRPr="00D56943">
        <w:rPr>
          <w:rFonts w:ascii="Arial" w:hAnsi="Arial" w:cs="Arial"/>
          <w:b/>
          <w:bCs/>
          <w:sz w:val="52"/>
          <w:szCs w:val="52"/>
        </w:rPr>
        <w:t>Student num</w:t>
      </w:r>
      <w:r w:rsidR="00497635" w:rsidRPr="00D56943">
        <w:rPr>
          <w:rFonts w:ascii="Arial" w:hAnsi="Arial" w:cs="Arial"/>
          <w:b/>
          <w:bCs/>
          <w:sz w:val="52"/>
          <w:szCs w:val="52"/>
        </w:rPr>
        <w:t>ber :2434187</w:t>
      </w:r>
    </w:p>
    <w:p w14:paraId="2E4D6030" w14:textId="77777777" w:rsidR="00D56943" w:rsidRPr="00D56943" w:rsidRDefault="00D56943" w:rsidP="00FA1034">
      <w:pPr>
        <w:jc w:val="center"/>
        <w:rPr>
          <w:rFonts w:ascii="Arial" w:hAnsi="Arial" w:cs="Arial"/>
          <w:b/>
          <w:bCs/>
          <w:sz w:val="52"/>
          <w:szCs w:val="52"/>
          <w:lang w:val="de-DE"/>
        </w:rPr>
      </w:pPr>
    </w:p>
    <w:p w14:paraId="3F7276E1" w14:textId="016ADD67" w:rsidR="00C762A7" w:rsidRPr="00D56943" w:rsidRDefault="00D54D38" w:rsidP="00FA1034">
      <w:pPr>
        <w:jc w:val="center"/>
        <w:rPr>
          <w:rFonts w:ascii="Segoe UI" w:hAnsi="Segoe UI" w:cs="Segoe UI"/>
          <w:color w:val="1D2125"/>
          <w:sz w:val="52"/>
          <w:szCs w:val="52"/>
          <w:shd w:val="clear" w:color="auto" w:fill="FFFFFF"/>
        </w:rPr>
      </w:pPr>
      <w:r w:rsidRPr="00D56943">
        <w:rPr>
          <w:rFonts w:ascii="Arial" w:hAnsi="Arial" w:cs="Arial"/>
          <w:b/>
          <w:bCs/>
          <w:sz w:val="52"/>
          <w:szCs w:val="52"/>
        </w:rPr>
        <w:t xml:space="preserve">Tutor </w:t>
      </w:r>
      <w:r w:rsidR="00FC4AE2">
        <w:rPr>
          <w:rFonts w:ascii="Arial" w:hAnsi="Arial" w:cs="Arial"/>
          <w:b/>
          <w:bCs/>
          <w:sz w:val="52"/>
          <w:szCs w:val="52"/>
        </w:rPr>
        <w:t>N</w:t>
      </w:r>
      <w:r w:rsidRPr="00D56943">
        <w:rPr>
          <w:rFonts w:ascii="Arial" w:hAnsi="Arial" w:cs="Arial"/>
          <w:b/>
          <w:bCs/>
          <w:sz w:val="52"/>
          <w:szCs w:val="52"/>
        </w:rPr>
        <w:t xml:space="preserve">ame: </w:t>
      </w:r>
      <w:r w:rsidR="0011758B" w:rsidRPr="00D56943">
        <w:rPr>
          <w:rFonts w:ascii="Arial" w:hAnsi="Arial" w:cs="Arial"/>
          <w:b/>
          <w:bCs/>
          <w:color w:val="1D2125"/>
          <w:sz w:val="52"/>
          <w:szCs w:val="52"/>
          <w:shd w:val="clear" w:color="auto" w:fill="FFFFFF"/>
        </w:rPr>
        <w:t>Rizwan Nadim</w:t>
      </w:r>
    </w:p>
    <w:p w14:paraId="03CD498D" w14:textId="77777777" w:rsidR="00D56943" w:rsidRPr="00D56943" w:rsidRDefault="00D56943" w:rsidP="00FA1034">
      <w:pPr>
        <w:jc w:val="center"/>
        <w:rPr>
          <w:rFonts w:ascii="Segoe UI" w:hAnsi="Segoe UI" w:cs="Segoe UI"/>
          <w:color w:val="1D2125"/>
          <w:sz w:val="52"/>
          <w:szCs w:val="52"/>
          <w:shd w:val="clear" w:color="auto" w:fill="FFFFFF"/>
        </w:rPr>
      </w:pPr>
    </w:p>
    <w:p w14:paraId="4DC5C276" w14:textId="474461CF" w:rsidR="00CF1C7C" w:rsidRPr="00D56943" w:rsidRDefault="00136CCF" w:rsidP="00FA1034">
      <w:pPr>
        <w:jc w:val="center"/>
        <w:rPr>
          <w:rFonts w:ascii="Segoe UI" w:hAnsi="Segoe UI" w:cs="Segoe UI"/>
          <w:b/>
          <w:bCs/>
          <w:color w:val="1D2125"/>
          <w:sz w:val="52"/>
          <w:szCs w:val="52"/>
          <w:shd w:val="clear" w:color="auto" w:fill="FFFFFF"/>
        </w:rPr>
      </w:pPr>
      <w:r w:rsidRPr="00D56943">
        <w:rPr>
          <w:rFonts w:ascii="Arial" w:hAnsi="Arial" w:cs="Arial"/>
          <w:b/>
          <w:bCs/>
          <w:color w:val="1D2125"/>
          <w:sz w:val="52"/>
          <w:szCs w:val="52"/>
          <w:shd w:val="clear" w:color="auto" w:fill="FFFFFF"/>
        </w:rPr>
        <w:t xml:space="preserve">Title </w:t>
      </w:r>
      <w:proofErr w:type="gramStart"/>
      <w:r w:rsidR="00FC4AE2">
        <w:rPr>
          <w:rFonts w:ascii="Arial" w:hAnsi="Arial" w:cs="Arial"/>
          <w:b/>
          <w:bCs/>
          <w:color w:val="1D2125"/>
          <w:sz w:val="52"/>
          <w:szCs w:val="52"/>
          <w:shd w:val="clear" w:color="auto" w:fill="FFFFFF"/>
        </w:rPr>
        <w:t>N</w:t>
      </w:r>
      <w:r w:rsidRPr="00D56943">
        <w:rPr>
          <w:rFonts w:ascii="Arial" w:hAnsi="Arial" w:cs="Arial"/>
          <w:b/>
          <w:bCs/>
          <w:color w:val="1D2125"/>
          <w:sz w:val="52"/>
          <w:szCs w:val="52"/>
          <w:shd w:val="clear" w:color="auto" w:fill="FFFFFF"/>
        </w:rPr>
        <w:t>ame</w:t>
      </w:r>
      <w:r w:rsidRPr="00D56943">
        <w:rPr>
          <w:rFonts w:ascii="Segoe UI" w:hAnsi="Segoe UI" w:cs="Segoe UI"/>
          <w:color w:val="1D2125"/>
          <w:sz w:val="52"/>
          <w:szCs w:val="52"/>
          <w:shd w:val="clear" w:color="auto" w:fill="FFFFFF"/>
        </w:rPr>
        <w:t xml:space="preserve"> :</w:t>
      </w:r>
      <w:proofErr w:type="gramEnd"/>
      <w:r w:rsidR="00CF1C7C" w:rsidRPr="00D56943">
        <w:rPr>
          <w:rFonts w:ascii="Segoe UI" w:eastAsia="Times New Roman" w:hAnsi="Segoe UI" w:cs="Segoe UI"/>
          <w:b/>
          <w:bCs/>
          <w:color w:val="1D2125"/>
          <w:kern w:val="36"/>
          <w:sz w:val="52"/>
          <w:szCs w:val="52"/>
          <w:lang w:eastAsia="en-GB"/>
          <w14:ligatures w14:val="none"/>
        </w:rPr>
        <w:t xml:space="preserve"> </w:t>
      </w:r>
      <w:r w:rsidR="00CF1C7C" w:rsidRPr="00D56943">
        <w:rPr>
          <w:rFonts w:ascii="Segoe UI" w:hAnsi="Segoe UI" w:cs="Segoe UI"/>
          <w:b/>
          <w:bCs/>
          <w:color w:val="1D2125"/>
          <w:sz w:val="52"/>
          <w:szCs w:val="52"/>
          <w:shd w:val="clear" w:color="auto" w:fill="FFFFFF"/>
        </w:rPr>
        <w:t>Principles of Health and Social Care Practice</w:t>
      </w:r>
      <w:r w:rsidR="00CF1C7C" w:rsidRPr="00D56943">
        <w:rPr>
          <w:rFonts w:ascii="Segoe UI" w:hAnsi="Segoe UI" w:cs="Segoe UI"/>
          <w:b/>
          <w:bCs/>
          <w:color w:val="1D2125"/>
          <w:sz w:val="52"/>
          <w:szCs w:val="52"/>
          <w:shd w:val="clear" w:color="auto" w:fill="FFFFFF"/>
        </w:rPr>
        <w:t xml:space="preserve"> </w:t>
      </w:r>
      <w:r w:rsidR="005551AD">
        <w:rPr>
          <w:rFonts w:ascii="Segoe UI" w:hAnsi="Segoe UI" w:cs="Segoe UI"/>
          <w:b/>
          <w:bCs/>
          <w:color w:val="1D2125"/>
          <w:sz w:val="52"/>
          <w:szCs w:val="52"/>
          <w:shd w:val="clear" w:color="auto" w:fill="FFFFFF"/>
        </w:rPr>
        <w:t>BMHP</w:t>
      </w:r>
      <w:r w:rsidR="00CF1C7C" w:rsidRPr="00D56943">
        <w:rPr>
          <w:rFonts w:ascii="Segoe UI" w:hAnsi="Segoe UI" w:cs="Segoe UI"/>
          <w:b/>
          <w:bCs/>
          <w:color w:val="1D2125"/>
          <w:sz w:val="52"/>
          <w:szCs w:val="52"/>
          <w:shd w:val="clear" w:color="auto" w:fill="FFFFFF"/>
        </w:rPr>
        <w:t xml:space="preserve"> 5016</w:t>
      </w:r>
    </w:p>
    <w:p w14:paraId="6FF26F4A" w14:textId="77777777" w:rsidR="00D56943" w:rsidRDefault="00D56943" w:rsidP="00FA1034">
      <w:pPr>
        <w:jc w:val="center"/>
        <w:rPr>
          <w:rFonts w:ascii="Arial" w:hAnsi="Arial" w:cs="Arial"/>
          <w:b/>
          <w:bCs/>
          <w:sz w:val="52"/>
          <w:szCs w:val="52"/>
        </w:rPr>
      </w:pPr>
    </w:p>
    <w:p w14:paraId="139172CF" w14:textId="590D57E9" w:rsidR="00D54D38" w:rsidRPr="00D56943" w:rsidRDefault="00016DC1" w:rsidP="00FA1034">
      <w:pPr>
        <w:jc w:val="center"/>
        <w:rPr>
          <w:rFonts w:ascii="Arial" w:hAnsi="Arial" w:cs="Arial"/>
          <w:b/>
          <w:bCs/>
          <w:sz w:val="52"/>
          <w:szCs w:val="52"/>
        </w:rPr>
      </w:pPr>
      <w:proofErr w:type="gramStart"/>
      <w:r w:rsidRPr="00D56943">
        <w:rPr>
          <w:rFonts w:ascii="Arial" w:hAnsi="Arial" w:cs="Arial"/>
          <w:b/>
          <w:bCs/>
          <w:sz w:val="52"/>
          <w:szCs w:val="52"/>
        </w:rPr>
        <w:t>Date :</w:t>
      </w:r>
      <w:proofErr w:type="gramEnd"/>
      <w:r w:rsidR="00CF6CF1" w:rsidRPr="00D56943">
        <w:rPr>
          <w:rFonts w:ascii="Arial" w:hAnsi="Arial" w:cs="Arial"/>
          <w:b/>
          <w:bCs/>
          <w:sz w:val="52"/>
          <w:szCs w:val="52"/>
        </w:rPr>
        <w:t xml:space="preserve"> </w:t>
      </w:r>
      <w:r w:rsidR="004B0CB4" w:rsidRPr="00D56943">
        <w:rPr>
          <w:rFonts w:ascii="Arial" w:hAnsi="Arial" w:cs="Arial"/>
          <w:b/>
          <w:bCs/>
          <w:sz w:val="52"/>
          <w:szCs w:val="52"/>
        </w:rPr>
        <w:t xml:space="preserve">28 </w:t>
      </w:r>
      <w:r w:rsidR="0049111F" w:rsidRPr="00D56943">
        <w:rPr>
          <w:rFonts w:ascii="Arial" w:hAnsi="Arial" w:cs="Arial"/>
          <w:b/>
          <w:bCs/>
          <w:sz w:val="52"/>
          <w:szCs w:val="52"/>
        </w:rPr>
        <w:t>June 2026</w:t>
      </w:r>
    </w:p>
    <w:p w14:paraId="300FA330" w14:textId="77777777" w:rsidR="00497635" w:rsidRPr="00CF1C7C" w:rsidRDefault="00497635" w:rsidP="00396A0B">
      <w:pPr>
        <w:rPr>
          <w:rFonts w:ascii="Arial" w:hAnsi="Arial" w:cs="Arial"/>
          <w:b/>
          <w:bCs/>
          <w:sz w:val="28"/>
          <w:szCs w:val="28"/>
        </w:rPr>
      </w:pPr>
    </w:p>
    <w:p w14:paraId="16691A0E" w14:textId="77777777" w:rsidR="007626C8" w:rsidRPr="00CF1C7C" w:rsidRDefault="007626C8" w:rsidP="00396A0B">
      <w:pPr>
        <w:rPr>
          <w:rFonts w:ascii="Arial" w:hAnsi="Arial" w:cs="Arial"/>
          <w:b/>
          <w:bCs/>
          <w:sz w:val="28"/>
          <w:szCs w:val="28"/>
        </w:rPr>
      </w:pPr>
    </w:p>
    <w:p w14:paraId="385F6D89" w14:textId="77777777" w:rsidR="007626C8" w:rsidRPr="00CF1C7C" w:rsidRDefault="007626C8" w:rsidP="00396A0B">
      <w:pPr>
        <w:rPr>
          <w:rFonts w:ascii="Arial" w:hAnsi="Arial" w:cs="Arial"/>
          <w:b/>
          <w:bCs/>
          <w:sz w:val="28"/>
          <w:szCs w:val="28"/>
        </w:rPr>
      </w:pPr>
    </w:p>
    <w:p w14:paraId="75A831FA" w14:textId="77777777" w:rsidR="007626C8" w:rsidRPr="00CF1C7C" w:rsidRDefault="007626C8" w:rsidP="00396A0B">
      <w:pPr>
        <w:rPr>
          <w:rFonts w:ascii="Arial" w:hAnsi="Arial" w:cs="Arial"/>
          <w:b/>
          <w:bCs/>
          <w:sz w:val="28"/>
          <w:szCs w:val="28"/>
        </w:rPr>
      </w:pPr>
    </w:p>
    <w:p w14:paraId="14C17D85" w14:textId="77777777" w:rsidR="007626C8" w:rsidRPr="00CF1C7C" w:rsidRDefault="007626C8" w:rsidP="00396A0B">
      <w:pPr>
        <w:rPr>
          <w:rFonts w:ascii="Arial" w:hAnsi="Arial" w:cs="Arial"/>
          <w:b/>
          <w:bCs/>
          <w:sz w:val="28"/>
          <w:szCs w:val="28"/>
        </w:rPr>
      </w:pPr>
    </w:p>
    <w:p w14:paraId="34DB0E08" w14:textId="77777777" w:rsidR="007626C8" w:rsidRPr="00CF1C7C" w:rsidRDefault="007626C8" w:rsidP="00396A0B">
      <w:pPr>
        <w:rPr>
          <w:rFonts w:ascii="Arial" w:hAnsi="Arial" w:cs="Arial"/>
          <w:b/>
          <w:bCs/>
          <w:sz w:val="28"/>
          <w:szCs w:val="28"/>
        </w:rPr>
      </w:pPr>
    </w:p>
    <w:p w14:paraId="311AA2A7" w14:textId="77777777" w:rsidR="007626C8" w:rsidRPr="00CF1C7C" w:rsidRDefault="007626C8" w:rsidP="00396A0B">
      <w:pPr>
        <w:rPr>
          <w:rFonts w:ascii="Arial" w:hAnsi="Arial" w:cs="Arial"/>
          <w:b/>
          <w:bCs/>
          <w:sz w:val="28"/>
          <w:szCs w:val="28"/>
        </w:rPr>
      </w:pPr>
    </w:p>
    <w:p w14:paraId="2CAE7E83" w14:textId="77777777" w:rsidR="007626C8" w:rsidRPr="00CF1C7C" w:rsidRDefault="007626C8" w:rsidP="00396A0B">
      <w:pPr>
        <w:rPr>
          <w:rFonts w:ascii="Arial" w:hAnsi="Arial" w:cs="Arial"/>
          <w:b/>
          <w:bCs/>
          <w:sz w:val="28"/>
          <w:szCs w:val="28"/>
        </w:rPr>
      </w:pPr>
    </w:p>
    <w:p w14:paraId="304760C0" w14:textId="77777777" w:rsidR="007626C8" w:rsidRPr="00CF1C7C" w:rsidRDefault="007626C8" w:rsidP="00396A0B">
      <w:pPr>
        <w:rPr>
          <w:rFonts w:ascii="Arial" w:hAnsi="Arial" w:cs="Arial"/>
          <w:b/>
          <w:bCs/>
          <w:sz w:val="28"/>
          <w:szCs w:val="28"/>
        </w:rPr>
      </w:pPr>
    </w:p>
    <w:sdt>
      <w:sdtPr>
        <w:id w:val="118432258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E10BA23" w14:textId="40E4C44E" w:rsidR="0035339B" w:rsidRDefault="0035339B">
          <w:pPr>
            <w:pStyle w:val="TOCHeading"/>
          </w:pPr>
          <w:r>
            <w:t>Contents</w:t>
          </w:r>
        </w:p>
        <w:p w14:paraId="6B04EE70" w14:textId="79E0DF7C" w:rsidR="0035339B" w:rsidRPr="00E771EB" w:rsidRDefault="0035339B">
          <w:pPr>
            <w:pStyle w:val="TOC3"/>
            <w:tabs>
              <w:tab w:val="right" w:leader="dot" w:pos="9016"/>
            </w:tabs>
            <w:rPr>
              <w:rStyle w:val="Hyperlink"/>
              <w:noProof/>
              <w:sz w:val="20"/>
              <w:szCs w:val="20"/>
            </w:rPr>
          </w:pPr>
          <w:r>
            <w:fldChar w:fldCharType="begin"/>
          </w:r>
          <w:r>
            <w:instrText xml:space="preserve"> TOC \o "1-3" \h \z \u </w:instrText>
          </w:r>
          <w:r>
            <w:fldChar w:fldCharType="separate"/>
          </w:r>
          <w:r w:rsidRPr="001053C9">
            <w:rPr>
              <w:rStyle w:val="Hyperlink"/>
              <w:rFonts w:ascii="Arial" w:eastAsia="Times New Roman" w:hAnsi="Arial" w:cs="Arial"/>
              <w:b/>
              <w:bCs/>
              <w:noProof/>
              <w:kern w:val="0"/>
              <w:sz w:val="20"/>
              <w:szCs w:val="20"/>
              <w:lang w:eastAsia="en-GB"/>
              <w14:ligatures w14:val="none"/>
            </w:rPr>
            <w:t>Person-Centred Care</w:t>
          </w:r>
          <w:r w:rsidRPr="00E771EB">
            <w:rPr>
              <w:noProof/>
              <w:webHidden/>
              <w:sz w:val="20"/>
              <w:szCs w:val="20"/>
            </w:rPr>
            <w:tab/>
          </w:r>
          <w:r w:rsidRPr="00E771EB">
            <w:rPr>
              <w:noProof/>
              <w:webHidden/>
              <w:sz w:val="20"/>
              <w:szCs w:val="20"/>
            </w:rPr>
            <w:fldChar w:fldCharType="begin"/>
          </w:r>
          <w:r w:rsidRPr="00E771EB">
            <w:rPr>
              <w:noProof/>
              <w:webHidden/>
              <w:sz w:val="20"/>
              <w:szCs w:val="20"/>
            </w:rPr>
            <w:instrText xml:space="preserve"> PAGEREF _Toc233275496 \h </w:instrText>
          </w:r>
          <w:r w:rsidRPr="00E771EB">
            <w:rPr>
              <w:noProof/>
              <w:webHidden/>
              <w:sz w:val="20"/>
              <w:szCs w:val="20"/>
            </w:rPr>
            <w:fldChar w:fldCharType="separate"/>
          </w:r>
          <w:r w:rsidR="00AB23ED">
            <w:rPr>
              <w:b/>
              <w:bCs/>
              <w:noProof/>
              <w:webHidden/>
              <w:sz w:val="20"/>
              <w:szCs w:val="20"/>
            </w:rPr>
            <w:t>Error! Bookmark not define.</w:t>
          </w:r>
          <w:r w:rsidRPr="00E771EB">
            <w:rPr>
              <w:noProof/>
              <w:webHidden/>
              <w:sz w:val="20"/>
              <w:szCs w:val="20"/>
            </w:rPr>
            <w:fldChar w:fldCharType="end"/>
          </w:r>
        </w:p>
        <w:p w14:paraId="4BF31E1B" w14:textId="2D85F8E9" w:rsidR="005C1036" w:rsidRPr="00E771EB" w:rsidRDefault="005C1036" w:rsidP="000869F7">
          <w:pPr>
            <w:rPr>
              <w:noProof/>
              <w:sz w:val="20"/>
              <w:szCs w:val="20"/>
            </w:rPr>
          </w:pPr>
          <w:r w:rsidRPr="00E771EB">
            <w:rPr>
              <w:noProof/>
              <w:sz w:val="20"/>
              <w:szCs w:val="20"/>
            </w:rPr>
            <w:t>Introduction</w:t>
          </w:r>
        </w:p>
        <w:p w14:paraId="73852980" w14:textId="77777777" w:rsidR="005C1036" w:rsidRPr="00E771EB" w:rsidRDefault="005C1036" w:rsidP="005C1036">
          <w:pPr>
            <w:jc w:val="both"/>
            <w:rPr>
              <w:rFonts w:ascii="Arial" w:hAnsi="Arial" w:cs="Arial"/>
              <w:b/>
              <w:bCs/>
              <w:noProof/>
              <w:sz w:val="20"/>
              <w:szCs w:val="20"/>
              <w:u w:val="single"/>
            </w:rPr>
          </w:pPr>
          <w:r w:rsidRPr="00E771EB">
            <w:rPr>
              <w:rFonts w:ascii="Arial" w:hAnsi="Arial" w:cs="Arial"/>
              <w:b/>
              <w:bCs/>
              <w:noProof/>
              <w:sz w:val="20"/>
              <w:szCs w:val="20"/>
              <w:u w:val="single"/>
            </w:rPr>
            <w:t>Task 1: Reflection on the Importance of Principles</w:t>
          </w:r>
        </w:p>
        <w:p w14:paraId="569618B9" w14:textId="77777777" w:rsidR="005C1036" w:rsidRPr="00E771EB" w:rsidRDefault="005C1036" w:rsidP="005C1036">
          <w:pPr>
            <w:jc w:val="both"/>
            <w:rPr>
              <w:rFonts w:ascii="Arial" w:hAnsi="Arial" w:cs="Arial"/>
              <w:b/>
              <w:bCs/>
              <w:noProof/>
              <w:sz w:val="20"/>
              <w:szCs w:val="20"/>
              <w:u w:val="single"/>
            </w:rPr>
          </w:pPr>
          <w:r w:rsidRPr="00E771EB">
            <w:rPr>
              <w:rFonts w:ascii="Arial" w:hAnsi="Arial" w:cs="Arial"/>
              <w:b/>
              <w:bCs/>
              <w:noProof/>
              <w:sz w:val="20"/>
              <w:szCs w:val="20"/>
              <w:u w:val="single"/>
            </w:rPr>
            <w:t>Person-Centred Care</w:t>
          </w:r>
        </w:p>
        <w:p w14:paraId="70D3BB49" w14:textId="77777777" w:rsidR="005C1036" w:rsidRPr="00E771EB" w:rsidRDefault="005C1036" w:rsidP="005C1036">
          <w:pPr>
            <w:jc w:val="both"/>
            <w:rPr>
              <w:rFonts w:ascii="Arial" w:hAnsi="Arial" w:cs="Arial"/>
              <w:b/>
              <w:bCs/>
              <w:noProof/>
              <w:sz w:val="20"/>
              <w:szCs w:val="20"/>
              <w:u w:val="single"/>
            </w:rPr>
          </w:pPr>
          <w:r w:rsidRPr="00E771EB">
            <w:rPr>
              <w:rFonts w:ascii="Arial" w:hAnsi="Arial" w:cs="Arial"/>
              <w:b/>
              <w:bCs/>
              <w:noProof/>
              <w:sz w:val="20"/>
              <w:szCs w:val="20"/>
              <w:u w:val="single"/>
            </w:rPr>
            <w:t>Partnership Working</w:t>
          </w:r>
        </w:p>
        <w:p w14:paraId="5911F3CF" w14:textId="7D6290CF" w:rsidR="00E40568" w:rsidRPr="00E771EB" w:rsidRDefault="005C1036" w:rsidP="00E40568">
          <w:pPr>
            <w:jc w:val="both"/>
            <w:rPr>
              <w:rFonts w:ascii="Arial" w:hAnsi="Arial" w:cs="Arial"/>
              <w:b/>
              <w:bCs/>
              <w:noProof/>
              <w:sz w:val="20"/>
              <w:szCs w:val="20"/>
              <w:u w:val="single"/>
            </w:rPr>
          </w:pPr>
          <w:r w:rsidRPr="00E771EB">
            <w:rPr>
              <w:rFonts w:ascii="Arial" w:hAnsi="Arial" w:cs="Arial"/>
              <w:b/>
              <w:bCs/>
              <w:noProof/>
              <w:sz w:val="20"/>
              <w:szCs w:val="20"/>
              <w:u w:val="single"/>
            </w:rPr>
            <w:t>Ethical Practice</w:t>
          </w:r>
        </w:p>
        <w:p w14:paraId="20C33507" w14:textId="501B97EC" w:rsidR="00E40568" w:rsidRPr="00E771EB" w:rsidRDefault="00FA1034" w:rsidP="00E40568">
          <w:pPr>
            <w:jc w:val="both"/>
            <w:rPr>
              <w:rFonts w:ascii="Arial" w:hAnsi="Arial" w:cs="Arial"/>
              <w:b/>
              <w:bCs/>
              <w:noProof/>
              <w:sz w:val="20"/>
              <w:szCs w:val="20"/>
              <w:u w:val="single"/>
            </w:rPr>
          </w:pPr>
          <w:r>
            <w:rPr>
              <w:rFonts w:ascii="Arial" w:hAnsi="Arial" w:cs="Arial"/>
              <w:b/>
              <w:bCs/>
              <w:noProof/>
              <w:sz w:val="20"/>
              <w:szCs w:val="20"/>
              <w:u w:val="single"/>
            </w:rPr>
            <w:t>t</w:t>
          </w:r>
          <w:r w:rsidR="00E40568" w:rsidRPr="00E771EB">
            <w:rPr>
              <w:rFonts w:ascii="Arial" w:hAnsi="Arial" w:cs="Arial"/>
              <w:b/>
              <w:bCs/>
              <w:noProof/>
              <w:sz w:val="20"/>
              <w:szCs w:val="20"/>
              <w:u w:val="single"/>
            </w:rPr>
            <w:t>ask 2: Practical Example in Practice</w:t>
          </w:r>
        </w:p>
        <w:p w14:paraId="64EC3370" w14:textId="409E0517" w:rsidR="00E40568" w:rsidRPr="00E771EB" w:rsidRDefault="00E40568" w:rsidP="00E40568">
          <w:pPr>
            <w:spacing w:before="100" w:beforeAutospacing="1" w:after="100" w:afterAutospacing="1" w:line="240" w:lineRule="auto"/>
            <w:jc w:val="both"/>
            <w:rPr>
              <w:rFonts w:ascii="Arial" w:eastAsia="Times New Roman" w:hAnsi="Arial" w:cs="Arial"/>
              <w:b/>
              <w:bCs/>
              <w:noProof/>
              <w:kern w:val="0"/>
              <w:sz w:val="20"/>
              <w:szCs w:val="20"/>
              <w:u w:val="single"/>
              <w:lang w:eastAsia="en-GB"/>
              <w14:ligatures w14:val="none"/>
            </w:rPr>
          </w:pPr>
          <w:r w:rsidRPr="00E771EB">
            <w:rPr>
              <w:rFonts w:ascii="Arial" w:eastAsia="Times New Roman" w:hAnsi="Arial" w:cs="Arial"/>
              <w:b/>
              <w:bCs/>
              <w:noProof/>
              <w:kern w:val="0"/>
              <w:sz w:val="20"/>
              <w:szCs w:val="20"/>
              <w:u w:val="single"/>
              <w:lang w:eastAsia="en-GB"/>
              <w14:ligatures w14:val="none"/>
            </w:rPr>
            <w:t>Person-Centred Care</w:t>
          </w:r>
        </w:p>
        <w:p w14:paraId="66A05529" w14:textId="3A5FC950" w:rsidR="00E40568" w:rsidRPr="00E771EB" w:rsidRDefault="00E40568" w:rsidP="00E40568">
          <w:pPr>
            <w:spacing w:before="100" w:beforeAutospacing="1" w:after="100" w:afterAutospacing="1" w:line="240" w:lineRule="auto"/>
            <w:jc w:val="both"/>
            <w:rPr>
              <w:rFonts w:ascii="Arial" w:eastAsia="Times New Roman" w:hAnsi="Arial" w:cs="Arial"/>
              <w:b/>
              <w:bCs/>
              <w:noProof/>
              <w:kern w:val="0"/>
              <w:sz w:val="20"/>
              <w:szCs w:val="20"/>
              <w:u w:val="single"/>
              <w:lang w:eastAsia="en-GB"/>
              <w14:ligatures w14:val="none"/>
            </w:rPr>
          </w:pPr>
          <w:r w:rsidRPr="00E771EB">
            <w:rPr>
              <w:rFonts w:ascii="Arial" w:eastAsia="Times New Roman" w:hAnsi="Arial" w:cs="Arial"/>
              <w:b/>
              <w:bCs/>
              <w:noProof/>
              <w:kern w:val="0"/>
              <w:sz w:val="20"/>
              <w:szCs w:val="20"/>
              <w:u w:val="single"/>
              <w:lang w:eastAsia="en-GB"/>
              <w14:ligatures w14:val="none"/>
            </w:rPr>
            <w:t>Par</w:t>
          </w:r>
          <w:r w:rsidRPr="00E771EB">
            <w:rPr>
              <w:rFonts w:ascii="Arial" w:eastAsia="Times New Roman" w:hAnsi="Arial" w:cs="Arial"/>
              <w:b/>
              <w:bCs/>
              <w:noProof/>
              <w:kern w:val="0"/>
              <w:sz w:val="20"/>
              <w:szCs w:val="20"/>
              <w:u w:val="single"/>
              <w:lang w:eastAsia="en-GB"/>
              <w14:ligatures w14:val="none"/>
            </w:rPr>
            <w:t xml:space="preserve"> </w:t>
          </w:r>
          <w:r w:rsidRPr="00E771EB">
            <w:rPr>
              <w:rFonts w:ascii="Arial" w:eastAsia="Times New Roman" w:hAnsi="Arial" w:cs="Arial"/>
              <w:b/>
              <w:bCs/>
              <w:noProof/>
              <w:kern w:val="0"/>
              <w:sz w:val="20"/>
              <w:szCs w:val="20"/>
              <w:u w:val="single"/>
              <w:lang w:eastAsia="en-GB"/>
              <w14:ligatures w14:val="none"/>
            </w:rPr>
            <w:t>Outcomes</w:t>
          </w:r>
        </w:p>
        <w:p w14:paraId="0622E954" w14:textId="77777777" w:rsidR="00E40568" w:rsidRPr="00E771EB" w:rsidRDefault="00E40568" w:rsidP="00E40568">
          <w:pPr>
            <w:spacing w:before="100" w:beforeAutospacing="1" w:after="100" w:afterAutospacing="1" w:line="240" w:lineRule="auto"/>
            <w:jc w:val="both"/>
            <w:rPr>
              <w:rFonts w:ascii="Arial" w:eastAsia="Times New Roman" w:hAnsi="Arial" w:cs="Arial"/>
              <w:b/>
              <w:bCs/>
              <w:noProof/>
              <w:kern w:val="0"/>
              <w:sz w:val="20"/>
              <w:szCs w:val="20"/>
              <w:u w:val="single"/>
              <w:lang w:eastAsia="en-GB"/>
              <w14:ligatures w14:val="none"/>
            </w:rPr>
          </w:pPr>
          <w:r w:rsidRPr="00E771EB">
            <w:rPr>
              <w:rFonts w:ascii="Arial" w:eastAsia="Times New Roman" w:hAnsi="Arial" w:cs="Arial"/>
              <w:b/>
              <w:bCs/>
              <w:noProof/>
              <w:kern w:val="0"/>
              <w:sz w:val="20"/>
              <w:szCs w:val="20"/>
              <w:u w:val="single"/>
              <w:lang w:eastAsia="en-GB"/>
              <w14:ligatures w14:val="none"/>
            </w:rPr>
            <w:t>Ethical Practice</w:t>
          </w:r>
        </w:p>
        <w:p w14:paraId="266AC067" w14:textId="050D0A5B" w:rsidR="00E40568" w:rsidRPr="00E771EB" w:rsidRDefault="00E40568" w:rsidP="00E40568">
          <w:pPr>
            <w:spacing w:before="100" w:beforeAutospacing="1" w:after="100" w:afterAutospacing="1" w:line="240" w:lineRule="auto"/>
            <w:jc w:val="both"/>
            <w:rPr>
              <w:rFonts w:ascii="Arial" w:eastAsia="Times New Roman" w:hAnsi="Arial" w:cs="Arial"/>
              <w:b/>
              <w:bCs/>
              <w:noProof/>
              <w:kern w:val="0"/>
              <w:sz w:val="20"/>
              <w:szCs w:val="20"/>
              <w:u w:val="single"/>
              <w:lang w:eastAsia="en-GB"/>
              <w14:ligatures w14:val="none"/>
            </w:rPr>
          </w:pPr>
          <w:r w:rsidRPr="00E771EB">
            <w:rPr>
              <w:rFonts w:ascii="Arial" w:eastAsia="Times New Roman" w:hAnsi="Arial" w:cs="Arial"/>
              <w:b/>
              <w:bCs/>
              <w:noProof/>
              <w:kern w:val="0"/>
              <w:sz w:val="20"/>
              <w:szCs w:val="20"/>
              <w:u w:val="single"/>
              <w:lang w:eastAsia="en-GB"/>
              <w14:ligatures w14:val="none"/>
            </w:rPr>
            <w:t>outcome</w:t>
          </w:r>
          <w:r w:rsidR="00CC565B" w:rsidRPr="00E771EB">
            <w:rPr>
              <w:rFonts w:ascii="Arial" w:eastAsia="Times New Roman" w:hAnsi="Arial" w:cs="Arial"/>
              <w:b/>
              <w:bCs/>
              <w:noProof/>
              <w:kern w:val="0"/>
              <w:sz w:val="20"/>
              <w:szCs w:val="20"/>
              <w:u w:val="single"/>
              <w:lang w:eastAsia="en-GB"/>
              <w14:ligatures w14:val="none"/>
            </w:rPr>
            <w:t>s</w:t>
          </w:r>
        </w:p>
        <w:p w14:paraId="745CBCC4" w14:textId="77777777" w:rsidR="00CC565B" w:rsidRPr="00E771EB" w:rsidRDefault="00CC565B" w:rsidP="00CC565B">
          <w:pPr>
            <w:spacing w:before="100" w:beforeAutospacing="1" w:after="100" w:afterAutospacing="1" w:line="240" w:lineRule="auto"/>
            <w:jc w:val="both"/>
            <w:rPr>
              <w:rFonts w:ascii="Arial" w:eastAsia="Times New Roman" w:hAnsi="Arial" w:cs="Arial"/>
              <w:b/>
              <w:bCs/>
              <w:noProof/>
              <w:kern w:val="0"/>
              <w:sz w:val="20"/>
              <w:szCs w:val="20"/>
              <w:u w:val="single"/>
              <w:lang w:eastAsia="en-GB"/>
              <w14:ligatures w14:val="none"/>
            </w:rPr>
          </w:pPr>
          <w:r w:rsidRPr="00E771EB">
            <w:rPr>
              <w:rFonts w:ascii="Arial" w:eastAsia="Times New Roman" w:hAnsi="Arial" w:cs="Arial"/>
              <w:b/>
              <w:bCs/>
              <w:noProof/>
              <w:kern w:val="0"/>
              <w:sz w:val="20"/>
              <w:szCs w:val="20"/>
              <w:u w:val="single"/>
              <w:lang w:eastAsia="en-GB"/>
              <w14:ligatures w14:val="none"/>
            </w:rPr>
            <w:t>Conclusion</w:t>
          </w:r>
        </w:p>
        <w:p w14:paraId="36B4E6E0" w14:textId="02F288AD" w:rsidR="00E771EB" w:rsidRPr="00FA1034"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Task 3</w:t>
          </w:r>
          <w:r w:rsidR="00FA1034">
            <w:rPr>
              <w:rFonts w:ascii="Arial" w:hAnsi="Arial" w:cs="Arial"/>
              <w:b/>
              <w:bCs/>
              <w:noProof/>
              <w:sz w:val="20"/>
              <w:szCs w:val="20"/>
              <w:u w:val="single"/>
            </w:rPr>
            <w:t xml:space="preserve"> </w:t>
          </w:r>
          <w:r w:rsidRPr="00E771EB">
            <w:rPr>
              <w:rFonts w:ascii="Arial" w:hAnsi="Arial" w:cs="Arial"/>
              <w:noProof/>
              <w:sz w:val="20"/>
              <w:szCs w:val="20"/>
              <w:u w:val="single"/>
            </w:rPr>
            <w:t>Margaret's Story</w:t>
          </w:r>
        </w:p>
        <w:p w14:paraId="4E4DDB42" w14:textId="77777777" w:rsidR="00E771EB" w:rsidRPr="00E771EB"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Task 3: Self-Reflection</w:t>
          </w:r>
        </w:p>
        <w:p w14:paraId="1BE15DC0" w14:textId="77777777" w:rsidR="00E771EB" w:rsidRPr="00E771EB"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Gibbs' Reflective Cycle</w:t>
          </w:r>
        </w:p>
        <w:p w14:paraId="2FD6625F" w14:textId="77777777" w:rsidR="00E771EB" w:rsidRPr="00E771EB"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Description</w:t>
          </w:r>
        </w:p>
        <w:p w14:paraId="1569DD3A" w14:textId="77777777" w:rsidR="00E771EB" w:rsidRPr="00E771EB"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Feelings</w:t>
          </w:r>
        </w:p>
        <w:p w14:paraId="03308BA2" w14:textId="77777777" w:rsidR="00E771EB" w:rsidRPr="00E771EB"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Evaluation</w:t>
          </w:r>
        </w:p>
        <w:p w14:paraId="4615360F" w14:textId="7675DF4A" w:rsidR="00E771EB" w:rsidRPr="00E771EB"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Analysis</w:t>
          </w:r>
        </w:p>
        <w:p w14:paraId="0C688879" w14:textId="214836C4" w:rsidR="00E771EB" w:rsidRPr="00E771EB"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Conclusion</w:t>
          </w:r>
        </w:p>
        <w:p w14:paraId="7F41F5F6" w14:textId="77777777" w:rsidR="00E771EB" w:rsidRPr="00E771EB"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Action Plan</w:t>
          </w:r>
        </w:p>
        <w:p w14:paraId="4E2B8C88" w14:textId="77777777" w:rsidR="00E771EB" w:rsidRPr="00E771EB" w:rsidRDefault="00E771EB" w:rsidP="00E771EB">
          <w:pPr>
            <w:jc w:val="both"/>
            <w:rPr>
              <w:rFonts w:ascii="Arial" w:hAnsi="Arial" w:cs="Arial"/>
              <w:b/>
              <w:bCs/>
              <w:noProof/>
              <w:sz w:val="20"/>
              <w:szCs w:val="20"/>
              <w:u w:val="single"/>
            </w:rPr>
          </w:pPr>
          <w:r w:rsidRPr="00E771EB">
            <w:rPr>
              <w:rFonts w:ascii="Arial" w:hAnsi="Arial" w:cs="Arial"/>
              <w:b/>
              <w:bCs/>
              <w:noProof/>
              <w:sz w:val="20"/>
              <w:szCs w:val="20"/>
              <w:u w:val="single"/>
            </w:rPr>
            <w:t xml:space="preserve">Reference List </w:t>
          </w:r>
        </w:p>
        <w:p w14:paraId="42942613" w14:textId="77777777" w:rsidR="00E771EB" w:rsidRDefault="00E771EB" w:rsidP="00E771EB">
          <w:pPr>
            <w:jc w:val="both"/>
            <w:rPr>
              <w:rFonts w:ascii="Arial" w:hAnsi="Arial" w:cs="Arial"/>
              <w:b/>
              <w:bCs/>
              <w:noProof/>
              <w:sz w:val="22"/>
              <w:szCs w:val="22"/>
              <w:u w:val="single"/>
            </w:rPr>
          </w:pPr>
        </w:p>
        <w:p w14:paraId="2B3DE278" w14:textId="77777777" w:rsidR="00E771EB" w:rsidRPr="00C62A6E" w:rsidRDefault="00E771EB" w:rsidP="00E771EB">
          <w:pPr>
            <w:jc w:val="both"/>
            <w:rPr>
              <w:rFonts w:ascii="Arial" w:hAnsi="Arial" w:cs="Arial"/>
              <w:b/>
              <w:bCs/>
              <w:noProof/>
              <w:sz w:val="22"/>
              <w:szCs w:val="22"/>
              <w:u w:val="single"/>
            </w:rPr>
          </w:pPr>
        </w:p>
        <w:p w14:paraId="5C7B3F8D" w14:textId="77777777" w:rsidR="00E771EB" w:rsidRPr="00C62A6E" w:rsidRDefault="00E771EB" w:rsidP="00E771EB">
          <w:pPr>
            <w:jc w:val="both"/>
            <w:rPr>
              <w:rFonts w:ascii="Arial" w:hAnsi="Arial" w:cs="Arial"/>
              <w:b/>
              <w:bCs/>
              <w:noProof/>
              <w:sz w:val="22"/>
              <w:szCs w:val="22"/>
              <w:u w:val="single"/>
            </w:rPr>
          </w:pPr>
        </w:p>
        <w:p w14:paraId="2CFD0EE1" w14:textId="77777777" w:rsidR="00E771EB" w:rsidRPr="00C62A6E" w:rsidRDefault="00E771EB" w:rsidP="00E771EB">
          <w:pPr>
            <w:jc w:val="both"/>
            <w:rPr>
              <w:rFonts w:ascii="Arial" w:hAnsi="Arial" w:cs="Arial"/>
              <w:b/>
              <w:bCs/>
              <w:noProof/>
              <w:sz w:val="22"/>
              <w:szCs w:val="22"/>
              <w:u w:val="single"/>
            </w:rPr>
          </w:pPr>
        </w:p>
        <w:p w14:paraId="356F99BE" w14:textId="77777777" w:rsidR="00E771EB" w:rsidRPr="00C62A6E" w:rsidRDefault="00E771EB" w:rsidP="00E771EB">
          <w:pPr>
            <w:jc w:val="both"/>
            <w:rPr>
              <w:rFonts w:ascii="Arial" w:hAnsi="Arial" w:cs="Arial"/>
              <w:b/>
              <w:bCs/>
              <w:noProof/>
              <w:sz w:val="22"/>
              <w:szCs w:val="22"/>
              <w:u w:val="single"/>
            </w:rPr>
          </w:pPr>
        </w:p>
        <w:p w14:paraId="6EFE5BBD" w14:textId="77777777" w:rsidR="00E771EB" w:rsidRPr="00C62A6E" w:rsidRDefault="00E771EB" w:rsidP="00E771EB">
          <w:pPr>
            <w:jc w:val="both"/>
            <w:rPr>
              <w:rFonts w:ascii="Arial" w:hAnsi="Arial" w:cs="Arial"/>
              <w:noProof/>
              <w:sz w:val="22"/>
              <w:szCs w:val="22"/>
              <w:u w:val="single"/>
            </w:rPr>
          </w:pPr>
        </w:p>
        <w:p w14:paraId="405AD869" w14:textId="77777777" w:rsidR="005C1036" w:rsidRPr="000869F7" w:rsidRDefault="005C1036" w:rsidP="000869F7">
          <w:pPr>
            <w:rPr>
              <w:noProof/>
            </w:rPr>
          </w:pPr>
        </w:p>
        <w:p w14:paraId="23FAA3A1" w14:textId="55B6C6AB" w:rsidR="00FA1034" w:rsidRDefault="0035339B" w:rsidP="00E771EB">
          <w:pPr>
            <w:rPr>
              <w:b/>
              <w:bCs/>
            </w:rPr>
          </w:pPr>
          <w:r>
            <w:rPr>
              <w:b/>
              <w:bCs/>
            </w:rPr>
            <w:fldChar w:fldCharType="end"/>
          </w:r>
        </w:p>
      </w:sdtContent>
    </w:sdt>
    <w:p w14:paraId="5F534FEF" w14:textId="78991655" w:rsidR="00396A0B" w:rsidRPr="00FA1034" w:rsidRDefault="00396A0B" w:rsidP="00E771EB">
      <w:pPr>
        <w:rPr>
          <w:b/>
          <w:bCs/>
        </w:rPr>
      </w:pPr>
      <w:r w:rsidRPr="00C62A6E">
        <w:rPr>
          <w:rFonts w:ascii="Arial" w:hAnsi="Arial" w:cs="Arial"/>
          <w:b/>
          <w:bCs/>
          <w:sz w:val="22"/>
          <w:szCs w:val="22"/>
          <w:u w:val="single"/>
        </w:rPr>
        <w:lastRenderedPageBreak/>
        <w:t>Principles of Health and Social Care Practice</w:t>
      </w:r>
    </w:p>
    <w:p w14:paraId="1A2E721F" w14:textId="77777777" w:rsidR="00396A0B" w:rsidRPr="00C62A6E" w:rsidRDefault="00396A0B" w:rsidP="00CE5A3D">
      <w:pPr>
        <w:jc w:val="both"/>
        <w:rPr>
          <w:rFonts w:ascii="Arial" w:hAnsi="Arial" w:cs="Arial"/>
          <w:b/>
          <w:bCs/>
          <w:sz w:val="22"/>
          <w:szCs w:val="22"/>
          <w:u w:val="single"/>
        </w:rPr>
      </w:pPr>
      <w:r w:rsidRPr="00C62A6E">
        <w:rPr>
          <w:rFonts w:ascii="Arial" w:hAnsi="Arial" w:cs="Arial"/>
          <w:b/>
          <w:bCs/>
          <w:sz w:val="22"/>
          <w:szCs w:val="22"/>
          <w:u w:val="single"/>
        </w:rPr>
        <w:t>Introduction</w:t>
      </w:r>
    </w:p>
    <w:p w14:paraId="6011D14B" w14:textId="58898B70" w:rsidR="004C1769" w:rsidRPr="00C62A6E" w:rsidRDefault="004C1769" w:rsidP="00CE5A3D">
      <w:pPr>
        <w:pStyle w:val="isselectedend"/>
        <w:jc w:val="both"/>
        <w:rPr>
          <w:rFonts w:ascii="Arial" w:hAnsi="Arial" w:cs="Arial"/>
          <w:sz w:val="22"/>
          <w:szCs w:val="22"/>
        </w:rPr>
      </w:pPr>
      <w:r w:rsidRPr="00C62A6E">
        <w:rPr>
          <w:rFonts w:ascii="Arial" w:hAnsi="Arial" w:cs="Arial"/>
          <w:sz w:val="22"/>
          <w:szCs w:val="22"/>
        </w:rPr>
        <w:t>Health and social care services in the UK are guided by key principles that ensure individuals receive safe, effective and high-quality care. These principles are essential for promoting dignity, wellbeing and positive outcomes for service users. The three main principles explored in this report are person-centred care, partnership working and ethical practice.</w:t>
      </w:r>
    </w:p>
    <w:p w14:paraId="26970D14" w14:textId="77777777" w:rsidR="004C1769" w:rsidRPr="00C62A6E" w:rsidRDefault="004C1769" w:rsidP="00CE5A3D">
      <w:pPr>
        <w:pStyle w:val="isselectedend"/>
        <w:jc w:val="both"/>
        <w:rPr>
          <w:rFonts w:ascii="Arial" w:hAnsi="Arial" w:cs="Arial"/>
          <w:sz w:val="22"/>
          <w:szCs w:val="22"/>
        </w:rPr>
      </w:pPr>
      <w:r w:rsidRPr="00C62A6E">
        <w:rPr>
          <w:rFonts w:ascii="Arial" w:hAnsi="Arial" w:cs="Arial"/>
          <w:sz w:val="22"/>
          <w:szCs w:val="22"/>
        </w:rPr>
        <w:t>Person-centred care ensures that individuals are actively involved in decisions about their care and their preferences are respected (NICE, 2021). Partnership working involves collaboration between service users, families and multidisciplinary professionals to deliver coordinated care (Glasby and Dickinson, 2020). Ethical practice ensures that care is delivered with fairness, respect, confidentiality and accountability in line with professional codes such as the HCPC Standards (HCPC, 2023).</w:t>
      </w:r>
    </w:p>
    <w:p w14:paraId="0BDD8226" w14:textId="77777777" w:rsidR="004C1769" w:rsidRPr="00C62A6E" w:rsidRDefault="004C1769" w:rsidP="00CE5A3D">
      <w:pPr>
        <w:pStyle w:val="NormalWeb"/>
        <w:jc w:val="both"/>
        <w:rPr>
          <w:rFonts w:ascii="Arial" w:hAnsi="Arial" w:cs="Arial"/>
          <w:sz w:val="22"/>
          <w:szCs w:val="22"/>
        </w:rPr>
      </w:pPr>
      <w:r w:rsidRPr="00C62A6E">
        <w:rPr>
          <w:rFonts w:ascii="Arial" w:hAnsi="Arial" w:cs="Arial"/>
          <w:sz w:val="22"/>
          <w:szCs w:val="22"/>
        </w:rPr>
        <w:t>The purpose of this report is to explore the importance of these principles in health and social care practice. It will examine their benefits, challenges and links to theory and legislation such as the Care Act 2014 and Health and Care Act 2022. In addition, Joan’s case study will be analysed to demonstrate how these principles operate in real practice.</w:t>
      </w:r>
    </w:p>
    <w:p w14:paraId="1BE6375F" w14:textId="77777777" w:rsidR="00650292" w:rsidRDefault="00650292" w:rsidP="00CE5A3D">
      <w:pPr>
        <w:jc w:val="both"/>
        <w:rPr>
          <w:rFonts w:ascii="Arial" w:hAnsi="Arial" w:cs="Arial"/>
          <w:sz w:val="22"/>
          <w:szCs w:val="22"/>
        </w:rPr>
      </w:pPr>
    </w:p>
    <w:p w14:paraId="01572C84" w14:textId="79A07645" w:rsidR="0070329E" w:rsidRPr="00C62A6E" w:rsidRDefault="0070329E" w:rsidP="00CE5A3D">
      <w:pPr>
        <w:jc w:val="both"/>
        <w:rPr>
          <w:rFonts w:ascii="Arial" w:hAnsi="Arial" w:cs="Arial"/>
          <w:b/>
          <w:bCs/>
          <w:sz w:val="22"/>
          <w:szCs w:val="22"/>
          <w:u w:val="single"/>
        </w:rPr>
      </w:pPr>
      <w:r w:rsidRPr="00C62A6E">
        <w:rPr>
          <w:rFonts w:ascii="Arial" w:hAnsi="Arial" w:cs="Arial"/>
          <w:b/>
          <w:bCs/>
          <w:sz w:val="22"/>
          <w:szCs w:val="22"/>
          <w:u w:val="single"/>
        </w:rPr>
        <w:t>Task 1: Reflection on the Importance of Principles</w:t>
      </w:r>
    </w:p>
    <w:p w14:paraId="08537B67" w14:textId="77777777" w:rsidR="0070329E" w:rsidRPr="00C62A6E" w:rsidRDefault="0070329E" w:rsidP="00CE5A3D">
      <w:pPr>
        <w:jc w:val="both"/>
        <w:rPr>
          <w:rFonts w:ascii="Arial" w:hAnsi="Arial" w:cs="Arial"/>
          <w:b/>
          <w:bCs/>
          <w:sz w:val="22"/>
          <w:szCs w:val="22"/>
          <w:u w:val="single"/>
        </w:rPr>
      </w:pPr>
      <w:r w:rsidRPr="00C62A6E">
        <w:rPr>
          <w:rFonts w:ascii="Arial" w:hAnsi="Arial" w:cs="Arial"/>
          <w:b/>
          <w:bCs/>
          <w:sz w:val="22"/>
          <w:szCs w:val="22"/>
          <w:u w:val="single"/>
        </w:rPr>
        <w:t>Person-Centred Care</w:t>
      </w:r>
    </w:p>
    <w:p w14:paraId="65CA743A" w14:textId="77777777" w:rsidR="00DF0418" w:rsidRPr="00C62A6E" w:rsidRDefault="007842AA" w:rsidP="00CE5A3D">
      <w:pPr>
        <w:jc w:val="both"/>
        <w:rPr>
          <w:rFonts w:ascii="Arial" w:hAnsi="Arial" w:cs="Arial"/>
          <w:sz w:val="22"/>
          <w:szCs w:val="22"/>
        </w:rPr>
      </w:pPr>
      <w:r w:rsidRPr="00C62A6E">
        <w:rPr>
          <w:rFonts w:ascii="Arial" w:hAnsi="Arial" w:cs="Arial"/>
          <w:sz w:val="22"/>
          <w:szCs w:val="22"/>
        </w:rPr>
        <w:t>Person-centred care is an approach that places the individual at the centre of their care planning and delivery. It focuses on respecting personal values, needs and preferences (NICE, 2021). SCIE (2024) states that this approach empowers individuals by involving them in decision-making and promoting independence.</w:t>
      </w:r>
    </w:p>
    <w:p w14:paraId="6BB77B10" w14:textId="147D589B" w:rsidR="00320ADC" w:rsidRPr="00C62A6E" w:rsidRDefault="007842AA" w:rsidP="00CE5A3D">
      <w:pPr>
        <w:jc w:val="both"/>
        <w:rPr>
          <w:rFonts w:ascii="Arial" w:hAnsi="Arial" w:cs="Arial"/>
          <w:sz w:val="22"/>
          <w:szCs w:val="22"/>
        </w:rPr>
      </w:pPr>
      <w:r w:rsidRPr="00C62A6E">
        <w:rPr>
          <w:rFonts w:ascii="Arial" w:hAnsi="Arial" w:cs="Arial"/>
          <w:sz w:val="22"/>
          <w:szCs w:val="22"/>
        </w:rPr>
        <w:t xml:space="preserve">The importance of person-centred care lies in its ability to </w:t>
      </w:r>
      <w:r w:rsidR="00650292" w:rsidRPr="00C62A6E">
        <w:rPr>
          <w:rFonts w:ascii="Arial" w:hAnsi="Arial" w:cs="Arial"/>
          <w:sz w:val="22"/>
          <w:szCs w:val="22"/>
        </w:rPr>
        <w:t>improve.</w:t>
      </w:r>
    </w:p>
    <w:p w14:paraId="3F1688AB" w14:textId="68ADF1A2" w:rsidR="007B311B" w:rsidRPr="00C62A6E" w:rsidRDefault="007B311B" w:rsidP="00CE5A3D">
      <w:pPr>
        <w:jc w:val="both"/>
        <w:rPr>
          <w:rFonts w:ascii="Arial" w:hAnsi="Arial" w:cs="Arial"/>
          <w:b/>
          <w:bCs/>
          <w:sz w:val="22"/>
          <w:szCs w:val="22"/>
          <w:u w:val="single"/>
        </w:rPr>
      </w:pPr>
      <w:r w:rsidRPr="00C62A6E">
        <w:rPr>
          <w:rFonts w:ascii="Arial" w:hAnsi="Arial" w:cs="Arial"/>
          <w:b/>
          <w:bCs/>
          <w:sz w:val="22"/>
          <w:szCs w:val="22"/>
          <w:u w:val="single"/>
        </w:rPr>
        <w:t>Partnership Working</w:t>
      </w:r>
    </w:p>
    <w:p w14:paraId="5E85D0C3" w14:textId="77777777" w:rsidR="007B311B" w:rsidRPr="00C62A6E" w:rsidRDefault="007B311B" w:rsidP="00CE5A3D">
      <w:pPr>
        <w:jc w:val="both"/>
        <w:rPr>
          <w:rFonts w:ascii="Arial" w:hAnsi="Arial" w:cs="Arial"/>
          <w:sz w:val="22"/>
          <w:szCs w:val="22"/>
        </w:rPr>
      </w:pPr>
      <w:r w:rsidRPr="00C62A6E">
        <w:rPr>
          <w:rFonts w:ascii="Arial" w:hAnsi="Arial" w:cs="Arial"/>
          <w:sz w:val="22"/>
          <w:szCs w:val="22"/>
        </w:rPr>
        <w:t>Partnership working refers to collaboration between professionals, service users and organisations to deliver coordinated care (Glasby and Dickinson, 2020). It ensures that care is holistic and addresses all aspects of an individual’s needs.</w:t>
      </w:r>
    </w:p>
    <w:p w14:paraId="4EA6B9AE" w14:textId="77777777" w:rsidR="007B311B" w:rsidRPr="00C62A6E" w:rsidRDefault="007B311B" w:rsidP="00CE5A3D">
      <w:pPr>
        <w:jc w:val="both"/>
        <w:rPr>
          <w:rFonts w:ascii="Arial" w:hAnsi="Arial" w:cs="Arial"/>
          <w:sz w:val="22"/>
          <w:szCs w:val="22"/>
        </w:rPr>
      </w:pPr>
      <w:r w:rsidRPr="00C62A6E">
        <w:rPr>
          <w:rFonts w:ascii="Arial" w:hAnsi="Arial" w:cs="Arial"/>
          <w:sz w:val="22"/>
          <w:szCs w:val="22"/>
        </w:rPr>
        <w:t>Its importance lies in improving communication, reducing duplication of services and ensuring continuity of care. However, challenges can arise due to poor communication between agencies, differences in professional opinions and information-sharing barriers.</w:t>
      </w:r>
    </w:p>
    <w:p w14:paraId="6D2E372D" w14:textId="77777777" w:rsidR="007B311B" w:rsidRPr="00C62A6E" w:rsidRDefault="007B311B" w:rsidP="00CE5A3D">
      <w:pPr>
        <w:jc w:val="both"/>
        <w:rPr>
          <w:rFonts w:ascii="Arial" w:hAnsi="Arial" w:cs="Arial"/>
          <w:sz w:val="22"/>
          <w:szCs w:val="22"/>
        </w:rPr>
      </w:pPr>
      <w:r w:rsidRPr="00C62A6E">
        <w:rPr>
          <w:rFonts w:ascii="Arial" w:hAnsi="Arial" w:cs="Arial"/>
          <w:sz w:val="22"/>
          <w:szCs w:val="22"/>
        </w:rPr>
        <w:t>Bronfenbrenner’s Ecological Systems Theory supports partnership working by showing that individuals are influenced by multiple systems including family, community and healthcare services (Bronfenbrenner, 1979). This highlights the need for cooperation between all levels of care provision.</w:t>
      </w:r>
    </w:p>
    <w:p w14:paraId="5A19C5DC" w14:textId="77777777" w:rsidR="00650292" w:rsidRDefault="00650292" w:rsidP="00CE5A3D">
      <w:pPr>
        <w:jc w:val="both"/>
        <w:rPr>
          <w:rFonts w:ascii="Arial" w:hAnsi="Arial" w:cs="Arial"/>
          <w:b/>
          <w:bCs/>
          <w:sz w:val="22"/>
          <w:szCs w:val="22"/>
          <w:u w:val="single"/>
        </w:rPr>
      </w:pPr>
    </w:p>
    <w:p w14:paraId="06B86D91" w14:textId="77777777" w:rsidR="00650292" w:rsidRDefault="00650292" w:rsidP="00CE5A3D">
      <w:pPr>
        <w:jc w:val="both"/>
        <w:rPr>
          <w:rFonts w:ascii="Arial" w:hAnsi="Arial" w:cs="Arial"/>
          <w:b/>
          <w:bCs/>
          <w:sz w:val="22"/>
          <w:szCs w:val="22"/>
          <w:u w:val="single"/>
        </w:rPr>
      </w:pPr>
    </w:p>
    <w:p w14:paraId="581A9337" w14:textId="77777777" w:rsidR="00650292" w:rsidRDefault="00650292" w:rsidP="00CE5A3D">
      <w:pPr>
        <w:jc w:val="both"/>
        <w:rPr>
          <w:rFonts w:ascii="Arial" w:hAnsi="Arial" w:cs="Arial"/>
          <w:b/>
          <w:bCs/>
          <w:sz w:val="22"/>
          <w:szCs w:val="22"/>
          <w:u w:val="single"/>
        </w:rPr>
      </w:pPr>
    </w:p>
    <w:p w14:paraId="416B1B29" w14:textId="6C501AA1" w:rsidR="00345FEC" w:rsidRPr="00C62A6E" w:rsidRDefault="00345FEC" w:rsidP="00CE5A3D">
      <w:pPr>
        <w:jc w:val="both"/>
        <w:rPr>
          <w:rFonts w:ascii="Arial" w:hAnsi="Arial" w:cs="Arial"/>
          <w:b/>
          <w:bCs/>
          <w:sz w:val="22"/>
          <w:szCs w:val="22"/>
          <w:u w:val="single"/>
        </w:rPr>
      </w:pPr>
      <w:r w:rsidRPr="00C62A6E">
        <w:rPr>
          <w:rFonts w:ascii="Arial" w:hAnsi="Arial" w:cs="Arial"/>
          <w:b/>
          <w:bCs/>
          <w:sz w:val="22"/>
          <w:szCs w:val="22"/>
          <w:u w:val="single"/>
        </w:rPr>
        <w:lastRenderedPageBreak/>
        <w:t>Ethical Practice</w:t>
      </w:r>
    </w:p>
    <w:p w14:paraId="44FDC0FF" w14:textId="77777777" w:rsidR="00345FEC" w:rsidRPr="00C62A6E" w:rsidRDefault="00345FEC" w:rsidP="00CE5A3D">
      <w:pPr>
        <w:jc w:val="both"/>
        <w:rPr>
          <w:rFonts w:ascii="Arial" w:hAnsi="Arial" w:cs="Arial"/>
          <w:sz w:val="22"/>
          <w:szCs w:val="22"/>
        </w:rPr>
      </w:pPr>
      <w:r w:rsidRPr="00C62A6E">
        <w:rPr>
          <w:rFonts w:ascii="Arial" w:hAnsi="Arial" w:cs="Arial"/>
          <w:sz w:val="22"/>
          <w:szCs w:val="22"/>
        </w:rPr>
        <w:t>Ethical practice refers to the moral principles that guide behaviour in health and social care. These include autonomy, beneficence, non-maleficence, justice and confidentiality (HCPC, 2023).</w:t>
      </w:r>
    </w:p>
    <w:p w14:paraId="55E1CCF4" w14:textId="77777777" w:rsidR="00345FEC" w:rsidRPr="00C62A6E" w:rsidRDefault="00345FEC" w:rsidP="00CE5A3D">
      <w:pPr>
        <w:jc w:val="both"/>
        <w:rPr>
          <w:rFonts w:ascii="Arial" w:hAnsi="Arial" w:cs="Arial"/>
          <w:sz w:val="22"/>
          <w:szCs w:val="22"/>
        </w:rPr>
      </w:pPr>
      <w:r w:rsidRPr="00C62A6E">
        <w:rPr>
          <w:rFonts w:ascii="Arial" w:hAnsi="Arial" w:cs="Arial"/>
          <w:sz w:val="22"/>
          <w:szCs w:val="22"/>
        </w:rPr>
        <w:t>Ethical practice is essential for maintaining trust, dignity and respect between professionals and service users. It ensures that individuals are treated fairly and protected from harm. However, ethical dilemmas can arise, such as balancing an individual’s independence with their safety.</w:t>
      </w:r>
    </w:p>
    <w:p w14:paraId="1EBC9CED" w14:textId="77777777" w:rsidR="00CF4E6A" w:rsidRPr="00C62A6E" w:rsidRDefault="00345FEC" w:rsidP="00CE5A3D">
      <w:pPr>
        <w:jc w:val="both"/>
        <w:rPr>
          <w:rFonts w:ascii="Arial" w:hAnsi="Arial" w:cs="Arial"/>
          <w:sz w:val="22"/>
          <w:szCs w:val="22"/>
        </w:rPr>
      </w:pPr>
      <w:r w:rsidRPr="00C62A6E">
        <w:rPr>
          <w:rFonts w:ascii="Arial" w:hAnsi="Arial" w:cs="Arial"/>
          <w:sz w:val="22"/>
          <w:szCs w:val="22"/>
        </w:rPr>
        <w:t>Legislation such as the Care Act 2014 and Health and Care Act 2022 supports ethical practice by promoting wellbeing, safeguarding and integrated care delivery (Department of Health and Social Care, 2022).</w:t>
      </w:r>
    </w:p>
    <w:p w14:paraId="235C268F" w14:textId="77777777" w:rsidR="00446D63" w:rsidRPr="00C62A6E" w:rsidRDefault="00446D63" w:rsidP="00CE5A3D">
      <w:pPr>
        <w:jc w:val="both"/>
        <w:rPr>
          <w:rFonts w:ascii="Arial" w:hAnsi="Arial" w:cs="Arial"/>
          <w:b/>
          <w:bCs/>
          <w:sz w:val="22"/>
          <w:szCs w:val="22"/>
          <w:u w:val="single"/>
        </w:rPr>
      </w:pPr>
    </w:p>
    <w:p w14:paraId="3B7D4CE2" w14:textId="4B5F1C8A" w:rsidR="0070329E" w:rsidRPr="00C62A6E" w:rsidRDefault="00446D63" w:rsidP="00CE5A3D">
      <w:pPr>
        <w:jc w:val="both"/>
        <w:rPr>
          <w:rFonts w:ascii="Arial" w:hAnsi="Arial" w:cs="Arial"/>
          <w:sz w:val="22"/>
          <w:szCs w:val="22"/>
          <w:u w:val="single"/>
        </w:rPr>
      </w:pPr>
      <w:r w:rsidRPr="00C62A6E">
        <w:rPr>
          <w:rFonts w:ascii="Arial" w:hAnsi="Arial" w:cs="Arial"/>
          <w:b/>
          <w:bCs/>
          <w:sz w:val="22"/>
          <w:szCs w:val="22"/>
          <w:u w:val="single"/>
        </w:rPr>
        <w:t>T</w:t>
      </w:r>
      <w:r w:rsidR="0070329E" w:rsidRPr="00C62A6E">
        <w:rPr>
          <w:rFonts w:ascii="Arial" w:hAnsi="Arial" w:cs="Arial"/>
          <w:b/>
          <w:bCs/>
          <w:sz w:val="22"/>
          <w:szCs w:val="22"/>
          <w:u w:val="single"/>
        </w:rPr>
        <w:t>ask 2: Practical Example in Practice</w:t>
      </w:r>
    </w:p>
    <w:p w14:paraId="2559CC29" w14:textId="3326F008" w:rsidR="00B03140" w:rsidRPr="00C62A6E" w:rsidRDefault="003568CC" w:rsidP="00CE5A3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C62A6E">
        <w:rPr>
          <w:rFonts w:ascii="Arial" w:eastAsia="Times New Roman" w:hAnsi="Arial" w:cs="Arial"/>
          <w:kern w:val="0"/>
          <w:sz w:val="22"/>
          <w:szCs w:val="22"/>
          <w:lang w:eastAsia="en-GB"/>
          <w14:ligatures w14:val="none"/>
        </w:rPr>
        <w:t>Joan</w:t>
      </w:r>
      <w:r w:rsidR="00B03140" w:rsidRPr="00C62A6E">
        <w:rPr>
          <w:rFonts w:ascii="Arial" w:eastAsia="Times New Roman" w:hAnsi="Arial" w:cs="Arial"/>
          <w:kern w:val="0"/>
          <w:sz w:val="22"/>
          <w:szCs w:val="22"/>
          <w:lang w:eastAsia="en-GB"/>
          <w14:ligatures w14:val="none"/>
        </w:rPr>
        <w:t xml:space="preserve"> is a patient living with Chronic Obstructive Pulmonary Disease (COPD) who experiences difficulties managing her condition, leading to missed appointments and emergency hospital admissions. A Patient Activation Measure (PAM) assessment identified that Joan had low confidence and limited knowledge of self-management.</w:t>
      </w:r>
    </w:p>
    <w:p w14:paraId="4753AD5A" w14:textId="77777777" w:rsidR="003568CC" w:rsidRPr="00C62A6E" w:rsidRDefault="003568CC" w:rsidP="00CE5A3D">
      <w:pPr>
        <w:spacing w:before="100" w:beforeAutospacing="1" w:after="100" w:afterAutospacing="1" w:line="240" w:lineRule="auto"/>
        <w:jc w:val="both"/>
        <w:rPr>
          <w:rFonts w:ascii="Arial" w:eastAsia="Times New Roman" w:hAnsi="Arial" w:cs="Arial"/>
          <w:b/>
          <w:bCs/>
          <w:kern w:val="0"/>
          <w:sz w:val="22"/>
          <w:szCs w:val="22"/>
          <w:u w:val="single"/>
          <w:lang w:eastAsia="en-GB"/>
          <w14:ligatures w14:val="none"/>
        </w:rPr>
      </w:pPr>
      <w:r w:rsidRPr="00C62A6E">
        <w:rPr>
          <w:rFonts w:ascii="Arial" w:eastAsia="Times New Roman" w:hAnsi="Arial" w:cs="Arial"/>
          <w:b/>
          <w:bCs/>
          <w:kern w:val="0"/>
          <w:sz w:val="22"/>
          <w:szCs w:val="22"/>
          <w:u w:val="single"/>
          <w:lang w:eastAsia="en-GB"/>
          <w14:ligatures w14:val="none"/>
        </w:rPr>
        <w:t>Person-Centred Care</w:t>
      </w:r>
    </w:p>
    <w:p w14:paraId="5DD97A89" w14:textId="77777777" w:rsidR="00320ADC" w:rsidRPr="00C62A6E" w:rsidRDefault="003568CC" w:rsidP="00CE5A3D">
      <w:pPr>
        <w:spacing w:before="100" w:beforeAutospacing="1" w:after="100" w:afterAutospacing="1" w:line="240" w:lineRule="auto"/>
        <w:jc w:val="both"/>
        <w:rPr>
          <w:rFonts w:ascii="Arial" w:eastAsia="Times New Roman" w:hAnsi="Arial" w:cs="Arial"/>
          <w:b/>
          <w:bCs/>
          <w:kern w:val="0"/>
          <w:sz w:val="22"/>
          <w:szCs w:val="22"/>
          <w:lang w:eastAsia="en-GB"/>
          <w14:ligatures w14:val="none"/>
        </w:rPr>
      </w:pPr>
      <w:r w:rsidRPr="00C62A6E">
        <w:rPr>
          <w:rFonts w:ascii="Arial" w:eastAsia="Times New Roman" w:hAnsi="Arial" w:cs="Arial"/>
          <w:kern w:val="0"/>
          <w:sz w:val="22"/>
          <w:szCs w:val="22"/>
          <w:lang w:eastAsia="en-GB"/>
          <w14:ligatures w14:val="none"/>
        </w:rPr>
        <w:t>Person-centred care was central to Joan’s support. Healthcare professionals focused on understanding her individual needs rather than only treating COPD symptoms. Regular meetings allowed Joan to express her concerns and identify barriers affecting her engagement with care. This aligns with NICE (2021), which emphasises shared decision-making and individual involvement in care planning.</w:t>
      </w:r>
      <w:r w:rsidR="008C7359" w:rsidRPr="00C62A6E">
        <w:rPr>
          <w:rFonts w:ascii="Arial" w:eastAsia="Times New Roman" w:hAnsi="Arial" w:cs="Arial"/>
          <w:b/>
          <w:bCs/>
          <w:kern w:val="0"/>
          <w:sz w:val="22"/>
          <w:szCs w:val="22"/>
          <w:lang w:eastAsia="en-GB"/>
          <w14:ligatures w14:val="none"/>
        </w:rPr>
        <w:t xml:space="preserve"> </w:t>
      </w:r>
    </w:p>
    <w:p w14:paraId="32E99372" w14:textId="40678155" w:rsidR="008C7359" w:rsidRPr="00C62A6E" w:rsidRDefault="008C7359" w:rsidP="00CE5A3D">
      <w:pPr>
        <w:spacing w:before="100" w:beforeAutospacing="1" w:after="100" w:afterAutospacing="1" w:line="240" w:lineRule="auto"/>
        <w:jc w:val="both"/>
        <w:rPr>
          <w:rFonts w:ascii="Arial" w:eastAsia="Times New Roman" w:hAnsi="Arial" w:cs="Arial"/>
          <w:b/>
          <w:bCs/>
          <w:kern w:val="0"/>
          <w:sz w:val="22"/>
          <w:szCs w:val="22"/>
          <w:u w:val="single"/>
          <w:lang w:eastAsia="en-GB"/>
          <w14:ligatures w14:val="none"/>
        </w:rPr>
      </w:pPr>
      <w:r w:rsidRPr="00C62A6E">
        <w:rPr>
          <w:rFonts w:ascii="Arial" w:eastAsia="Times New Roman" w:hAnsi="Arial" w:cs="Arial"/>
          <w:b/>
          <w:bCs/>
          <w:kern w:val="0"/>
          <w:sz w:val="22"/>
          <w:szCs w:val="22"/>
          <w:u w:val="single"/>
          <w:lang w:eastAsia="en-GB"/>
          <w14:ligatures w14:val="none"/>
        </w:rPr>
        <w:t>Partnership Working</w:t>
      </w:r>
    </w:p>
    <w:p w14:paraId="45CA51FB" w14:textId="77777777" w:rsidR="008C7359" w:rsidRPr="00C62A6E" w:rsidRDefault="008C7359" w:rsidP="00CE5A3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C62A6E">
        <w:rPr>
          <w:rFonts w:ascii="Arial" w:eastAsia="Times New Roman" w:hAnsi="Arial" w:cs="Arial"/>
          <w:kern w:val="0"/>
          <w:sz w:val="22"/>
          <w:szCs w:val="22"/>
          <w:lang w:eastAsia="en-GB"/>
          <w14:ligatures w14:val="none"/>
        </w:rPr>
        <w:t>Partnership working was demonstrated through collaboration between Joan, her physiotherapist, GP and therapy team. Through this teamwork, it was discovered that Joan’s uncontrolled Crohn’s disease was preventing her from leaving the house. Joint planning allowed professionals to address both conditions and create a more effective care plan (Glasby and Dickinson, 2020). Joan’s daughter also provided informal support, improving her confidence and independence.</w:t>
      </w:r>
    </w:p>
    <w:p w14:paraId="7DB7F4A7" w14:textId="77777777" w:rsidR="008C7359" w:rsidRPr="00C62A6E" w:rsidRDefault="008C7359" w:rsidP="00CE5A3D">
      <w:pPr>
        <w:spacing w:before="100" w:beforeAutospacing="1" w:after="100" w:afterAutospacing="1" w:line="240" w:lineRule="auto"/>
        <w:jc w:val="both"/>
        <w:rPr>
          <w:rFonts w:ascii="Arial" w:eastAsia="Times New Roman" w:hAnsi="Arial" w:cs="Arial"/>
          <w:b/>
          <w:bCs/>
          <w:kern w:val="0"/>
          <w:sz w:val="22"/>
          <w:szCs w:val="22"/>
          <w:u w:val="single"/>
          <w:lang w:eastAsia="en-GB"/>
          <w14:ligatures w14:val="none"/>
        </w:rPr>
      </w:pPr>
      <w:r w:rsidRPr="00C62A6E">
        <w:rPr>
          <w:rFonts w:ascii="Arial" w:eastAsia="Times New Roman" w:hAnsi="Arial" w:cs="Arial"/>
          <w:b/>
          <w:bCs/>
          <w:kern w:val="0"/>
          <w:sz w:val="22"/>
          <w:szCs w:val="22"/>
          <w:u w:val="single"/>
          <w:lang w:eastAsia="en-GB"/>
          <w14:ligatures w14:val="none"/>
        </w:rPr>
        <w:t>Ethical Practice</w:t>
      </w:r>
    </w:p>
    <w:p w14:paraId="1531AF25" w14:textId="77777777" w:rsidR="008C7359" w:rsidRPr="00C62A6E" w:rsidRDefault="008C7359" w:rsidP="00CE5A3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C62A6E">
        <w:rPr>
          <w:rFonts w:ascii="Arial" w:eastAsia="Times New Roman" w:hAnsi="Arial" w:cs="Arial"/>
          <w:kern w:val="0"/>
          <w:sz w:val="22"/>
          <w:szCs w:val="22"/>
          <w:lang w:eastAsia="en-GB"/>
          <w14:ligatures w14:val="none"/>
        </w:rPr>
        <w:t>Ethical practice was evident as professionals respected Joan’s autonomy and involved her in all decisions. The HCPC (2023) highlights the importance of consent, dignity and respect in care delivery. Joan was supported rather than pressured, ensuring her rights were maintained throughout the process.</w:t>
      </w:r>
    </w:p>
    <w:p w14:paraId="561E41B7" w14:textId="77777777" w:rsidR="00650292" w:rsidRDefault="00650292" w:rsidP="00CE5A3D">
      <w:pPr>
        <w:spacing w:before="100" w:beforeAutospacing="1" w:after="100" w:afterAutospacing="1" w:line="240" w:lineRule="auto"/>
        <w:jc w:val="both"/>
        <w:rPr>
          <w:rFonts w:ascii="Arial" w:eastAsia="Times New Roman" w:hAnsi="Arial" w:cs="Arial"/>
          <w:b/>
          <w:bCs/>
          <w:kern w:val="0"/>
          <w:sz w:val="22"/>
          <w:szCs w:val="22"/>
          <w:u w:val="single"/>
          <w:lang w:eastAsia="en-GB"/>
          <w14:ligatures w14:val="none"/>
        </w:rPr>
      </w:pPr>
    </w:p>
    <w:p w14:paraId="6996E786" w14:textId="77777777" w:rsidR="00650292" w:rsidRDefault="00650292" w:rsidP="00CE5A3D">
      <w:pPr>
        <w:spacing w:before="100" w:beforeAutospacing="1" w:after="100" w:afterAutospacing="1" w:line="240" w:lineRule="auto"/>
        <w:jc w:val="both"/>
        <w:rPr>
          <w:rFonts w:ascii="Arial" w:eastAsia="Times New Roman" w:hAnsi="Arial" w:cs="Arial"/>
          <w:b/>
          <w:bCs/>
          <w:kern w:val="0"/>
          <w:sz w:val="22"/>
          <w:szCs w:val="22"/>
          <w:u w:val="single"/>
          <w:lang w:eastAsia="en-GB"/>
          <w14:ligatures w14:val="none"/>
        </w:rPr>
      </w:pPr>
    </w:p>
    <w:p w14:paraId="044EBF86" w14:textId="77777777" w:rsidR="00650292" w:rsidRDefault="00650292" w:rsidP="00CE5A3D">
      <w:pPr>
        <w:spacing w:before="100" w:beforeAutospacing="1" w:after="100" w:afterAutospacing="1" w:line="240" w:lineRule="auto"/>
        <w:jc w:val="both"/>
        <w:rPr>
          <w:rFonts w:ascii="Arial" w:eastAsia="Times New Roman" w:hAnsi="Arial" w:cs="Arial"/>
          <w:b/>
          <w:bCs/>
          <w:kern w:val="0"/>
          <w:sz w:val="22"/>
          <w:szCs w:val="22"/>
          <w:u w:val="single"/>
          <w:lang w:eastAsia="en-GB"/>
          <w14:ligatures w14:val="none"/>
        </w:rPr>
      </w:pPr>
    </w:p>
    <w:p w14:paraId="3DB1620B" w14:textId="5D3CE5F5" w:rsidR="003E008C" w:rsidRPr="00C62A6E" w:rsidRDefault="003E008C" w:rsidP="00CE5A3D">
      <w:pPr>
        <w:spacing w:before="100" w:beforeAutospacing="1" w:after="100" w:afterAutospacing="1" w:line="240" w:lineRule="auto"/>
        <w:jc w:val="both"/>
        <w:rPr>
          <w:rFonts w:ascii="Arial" w:eastAsia="Times New Roman" w:hAnsi="Arial" w:cs="Arial"/>
          <w:b/>
          <w:bCs/>
          <w:kern w:val="0"/>
          <w:sz w:val="22"/>
          <w:szCs w:val="22"/>
          <w:u w:val="single"/>
          <w:lang w:eastAsia="en-GB"/>
          <w14:ligatures w14:val="none"/>
        </w:rPr>
      </w:pPr>
      <w:r w:rsidRPr="00C62A6E">
        <w:rPr>
          <w:rFonts w:ascii="Arial" w:eastAsia="Times New Roman" w:hAnsi="Arial" w:cs="Arial"/>
          <w:b/>
          <w:bCs/>
          <w:kern w:val="0"/>
          <w:sz w:val="22"/>
          <w:szCs w:val="22"/>
          <w:u w:val="single"/>
          <w:lang w:eastAsia="en-GB"/>
          <w14:ligatures w14:val="none"/>
        </w:rPr>
        <w:lastRenderedPageBreak/>
        <w:t>Outcomes</w:t>
      </w:r>
    </w:p>
    <w:p w14:paraId="590B2692" w14:textId="77777777" w:rsidR="003E008C" w:rsidRPr="00C62A6E" w:rsidRDefault="003E008C" w:rsidP="00CE5A3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C62A6E">
        <w:rPr>
          <w:rFonts w:ascii="Arial" w:eastAsia="Times New Roman" w:hAnsi="Arial" w:cs="Arial"/>
          <w:kern w:val="0"/>
          <w:sz w:val="22"/>
          <w:szCs w:val="22"/>
          <w:lang w:eastAsia="en-GB"/>
          <w14:ligatures w14:val="none"/>
        </w:rPr>
        <w:t>The outcomes were highly positive. After seven months, Joan’s PAM score increased by over 40%, showing improved confidence and self-management. Her attendance at outpatient appointments improved significantly and emergency admissions reduced from two to one per year. This demonstrates improved wellbeing and more efficient use of healthcare services.</w:t>
      </w:r>
    </w:p>
    <w:p w14:paraId="1BD3A26E" w14:textId="77777777" w:rsidR="003E008C" w:rsidRPr="00C62A6E" w:rsidRDefault="003E008C" w:rsidP="00CE5A3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C62A6E">
        <w:rPr>
          <w:rFonts w:ascii="Arial" w:eastAsia="Times New Roman" w:hAnsi="Arial" w:cs="Arial"/>
          <w:kern w:val="0"/>
          <w:sz w:val="22"/>
          <w:szCs w:val="22"/>
          <w:lang w:eastAsia="en-GB"/>
          <w14:ligatures w14:val="none"/>
        </w:rPr>
        <w:t xml:space="preserve">This case reflects national standards such as the Care Quality Commission (CQC, 2024) and the 6 </w:t>
      </w:r>
      <w:proofErr w:type="gramStart"/>
      <w:r w:rsidRPr="00C62A6E">
        <w:rPr>
          <w:rFonts w:ascii="Arial" w:eastAsia="Times New Roman" w:hAnsi="Arial" w:cs="Arial"/>
          <w:kern w:val="0"/>
          <w:sz w:val="22"/>
          <w:szCs w:val="22"/>
          <w:lang w:eastAsia="en-GB"/>
          <w14:ligatures w14:val="none"/>
        </w:rPr>
        <w:t>C’s</w:t>
      </w:r>
      <w:proofErr w:type="gramEnd"/>
      <w:r w:rsidRPr="00C62A6E">
        <w:rPr>
          <w:rFonts w:ascii="Arial" w:eastAsia="Times New Roman" w:hAnsi="Arial" w:cs="Arial"/>
          <w:kern w:val="0"/>
          <w:sz w:val="22"/>
          <w:szCs w:val="22"/>
          <w:lang w:eastAsia="en-GB"/>
          <w14:ligatures w14:val="none"/>
        </w:rPr>
        <w:t xml:space="preserve"> of nursing (care, compassion, competence, communication, courage and commitment).</w:t>
      </w:r>
    </w:p>
    <w:p w14:paraId="6424184A" w14:textId="3C3B8CAE" w:rsidR="003E008C" w:rsidRPr="00C62A6E" w:rsidRDefault="003E008C" w:rsidP="00CE5A3D">
      <w:pPr>
        <w:spacing w:before="100" w:beforeAutospacing="1" w:after="100" w:afterAutospacing="1" w:line="240" w:lineRule="auto"/>
        <w:jc w:val="both"/>
        <w:rPr>
          <w:rFonts w:ascii="Arial" w:eastAsia="Times New Roman" w:hAnsi="Arial" w:cs="Arial"/>
          <w:b/>
          <w:bCs/>
          <w:kern w:val="0"/>
          <w:sz w:val="22"/>
          <w:szCs w:val="22"/>
          <w:u w:val="single"/>
          <w:lang w:eastAsia="en-GB"/>
          <w14:ligatures w14:val="none"/>
        </w:rPr>
      </w:pPr>
      <w:r w:rsidRPr="00C62A6E">
        <w:rPr>
          <w:rFonts w:ascii="Arial" w:eastAsia="Times New Roman" w:hAnsi="Arial" w:cs="Arial"/>
          <w:b/>
          <w:bCs/>
          <w:kern w:val="0"/>
          <w:sz w:val="22"/>
          <w:szCs w:val="22"/>
          <w:u w:val="single"/>
          <w:lang w:eastAsia="en-GB"/>
          <w14:ligatures w14:val="none"/>
        </w:rPr>
        <w:t>Conclusion</w:t>
      </w:r>
    </w:p>
    <w:p w14:paraId="57C4B05D" w14:textId="77777777" w:rsidR="003E008C" w:rsidRPr="00C62A6E" w:rsidRDefault="003E008C" w:rsidP="00CE5A3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C62A6E">
        <w:rPr>
          <w:rFonts w:ascii="Arial" w:eastAsia="Times New Roman" w:hAnsi="Arial" w:cs="Arial"/>
          <w:kern w:val="0"/>
          <w:sz w:val="22"/>
          <w:szCs w:val="22"/>
          <w:lang w:eastAsia="en-GB"/>
          <w14:ligatures w14:val="none"/>
        </w:rPr>
        <w:t>Person-centred care, partnership working and ethical practice are essential principles in health and social care. They ensure that individuals receive respectful, coordinated and high-quality care. Joan’s case study demonstrates how these principles can significantly improve health outcomes, increase independence and reduce pressure on healthcare services. Overall, these principles are fundamental to delivering safe and effective care in line with UK legislation and professional standards.</w:t>
      </w:r>
    </w:p>
    <w:p w14:paraId="1B4FCE3F" w14:textId="77777777" w:rsidR="0009786A" w:rsidRDefault="0009786A" w:rsidP="00CE5A3D">
      <w:pPr>
        <w:jc w:val="both"/>
        <w:rPr>
          <w:rFonts w:ascii="Arial" w:eastAsia="Times New Roman" w:hAnsi="Arial" w:cs="Arial"/>
          <w:kern w:val="0"/>
          <w:sz w:val="22"/>
          <w:szCs w:val="22"/>
          <w:lang w:eastAsia="en-GB"/>
          <w14:ligatures w14:val="none"/>
        </w:rPr>
      </w:pPr>
    </w:p>
    <w:p w14:paraId="1BDB2E86" w14:textId="02ABFE84" w:rsidR="001B41A9" w:rsidRPr="00C62A6E" w:rsidRDefault="001B41A9" w:rsidP="00CE5A3D">
      <w:pPr>
        <w:jc w:val="both"/>
        <w:rPr>
          <w:rFonts w:ascii="Arial" w:hAnsi="Arial" w:cs="Arial"/>
          <w:b/>
          <w:bCs/>
          <w:sz w:val="22"/>
          <w:szCs w:val="22"/>
          <w:u w:val="single"/>
        </w:rPr>
      </w:pPr>
      <w:r w:rsidRPr="00C62A6E">
        <w:rPr>
          <w:rFonts w:ascii="Arial" w:hAnsi="Arial" w:cs="Arial"/>
          <w:b/>
          <w:bCs/>
          <w:sz w:val="22"/>
          <w:szCs w:val="22"/>
          <w:u w:val="single"/>
        </w:rPr>
        <w:t>Task 3</w:t>
      </w:r>
    </w:p>
    <w:p w14:paraId="449BAF35" w14:textId="15F52F78" w:rsidR="008D09E3" w:rsidRPr="00C62A6E" w:rsidRDefault="008D09E3" w:rsidP="00CE5A3D">
      <w:pPr>
        <w:jc w:val="both"/>
        <w:rPr>
          <w:rFonts w:ascii="Arial" w:hAnsi="Arial" w:cs="Arial"/>
          <w:sz w:val="22"/>
          <w:szCs w:val="22"/>
          <w:u w:val="single"/>
        </w:rPr>
      </w:pPr>
      <w:r w:rsidRPr="00C62A6E">
        <w:rPr>
          <w:rFonts w:ascii="Arial" w:hAnsi="Arial" w:cs="Arial"/>
          <w:b/>
          <w:bCs/>
          <w:sz w:val="22"/>
          <w:szCs w:val="22"/>
          <w:u w:val="single"/>
        </w:rPr>
        <w:t xml:space="preserve"> </w:t>
      </w:r>
      <w:r w:rsidRPr="00C62A6E">
        <w:rPr>
          <w:rFonts w:ascii="Arial" w:hAnsi="Arial" w:cs="Arial"/>
          <w:sz w:val="22"/>
          <w:szCs w:val="22"/>
          <w:u w:val="single"/>
        </w:rPr>
        <w:t>Margaret's Story</w:t>
      </w:r>
    </w:p>
    <w:p w14:paraId="00CCD495" w14:textId="77777777" w:rsidR="0039336C" w:rsidRPr="00AC17A2" w:rsidRDefault="0039336C" w:rsidP="00AC17A2">
      <w:pPr>
        <w:pStyle w:val="pdq2pgselectionanchorcontainer"/>
        <w:jc w:val="both"/>
        <w:rPr>
          <w:rFonts w:ascii="Arial" w:hAnsi="Arial" w:cs="Arial"/>
          <w:sz w:val="22"/>
          <w:szCs w:val="22"/>
        </w:rPr>
      </w:pPr>
      <w:r w:rsidRPr="00AC17A2">
        <w:rPr>
          <w:rFonts w:ascii="Arial" w:hAnsi="Arial" w:cs="Arial"/>
          <w:sz w:val="22"/>
          <w:szCs w:val="22"/>
        </w:rPr>
        <w:t>Margaret is my 72-year-old mother-in-law. She has been living with Type 2 diabetes and high blood pressure for several years. She lives with my husband and me, and we support her with daily activities and help her manage her health conditions. Despite regular treatment, I have noticed that Margaret often struggles to maintain stable blood glucose levels and blood pressure due to limited mobility and difficulties following a consistent healthy lifestyle (NICE, 2022).</w:t>
      </w:r>
    </w:p>
    <w:p w14:paraId="4D04017D" w14:textId="77777777" w:rsidR="0039336C" w:rsidRPr="00AC17A2" w:rsidRDefault="0039336C" w:rsidP="00AC17A2">
      <w:pPr>
        <w:pStyle w:val="NormalWeb"/>
        <w:jc w:val="both"/>
        <w:rPr>
          <w:rFonts w:ascii="Arial" w:hAnsi="Arial" w:cs="Arial"/>
          <w:sz w:val="22"/>
          <w:szCs w:val="22"/>
        </w:rPr>
      </w:pPr>
      <w:r w:rsidRPr="00AC17A2">
        <w:rPr>
          <w:rFonts w:ascii="Arial" w:hAnsi="Arial" w:cs="Arial"/>
          <w:sz w:val="22"/>
          <w:szCs w:val="22"/>
        </w:rPr>
        <w:t>Three weeks ago, Margaret was admitted to hospital after experiencing severe pain and swelling in her left leg. After assessment and diagnostic tests, she was diagnosed with a deep vein thrombosis (DVT). Due to the risk of serious complications, including the clot travelling to her lungs (pulmonary embolism), she remained in hospital for treatment and monitoring (NHS, 2023).</w:t>
      </w:r>
    </w:p>
    <w:p w14:paraId="2DB9FC71" w14:textId="77777777" w:rsidR="0039336C" w:rsidRPr="00AC17A2" w:rsidRDefault="0039336C" w:rsidP="00AC17A2">
      <w:pPr>
        <w:pStyle w:val="NormalWeb"/>
        <w:jc w:val="both"/>
        <w:rPr>
          <w:rFonts w:ascii="Arial" w:hAnsi="Arial" w:cs="Arial"/>
          <w:sz w:val="22"/>
          <w:szCs w:val="22"/>
        </w:rPr>
      </w:pPr>
      <w:r w:rsidRPr="00AC17A2">
        <w:rPr>
          <w:rFonts w:ascii="Arial" w:hAnsi="Arial" w:cs="Arial"/>
          <w:sz w:val="22"/>
          <w:szCs w:val="22"/>
        </w:rPr>
        <w:t>During her hospital stay, healthcare professionals used a person-centred approach to care. I was involved in discussions with the healthcare team, and Margaret was encouraged to take part in decisions about her treatment. Her care plan included anticoagulant medication, regular blood pressure monitoring, and diabetes management. A multidisciplinary team, including nurses, doctors, physiotherapists, and dietitians, worked together to provide coordinated and individualised care tailored to her needs (Department of Health and Social Care, 2022).</w:t>
      </w:r>
    </w:p>
    <w:p w14:paraId="53164CCC" w14:textId="77777777" w:rsidR="0039336C" w:rsidRPr="00AC17A2" w:rsidRDefault="0039336C" w:rsidP="00AC17A2">
      <w:pPr>
        <w:pStyle w:val="NormalWeb"/>
        <w:jc w:val="both"/>
        <w:rPr>
          <w:rFonts w:ascii="Arial" w:hAnsi="Arial" w:cs="Arial"/>
          <w:sz w:val="22"/>
          <w:szCs w:val="22"/>
        </w:rPr>
      </w:pPr>
      <w:r w:rsidRPr="00AC17A2">
        <w:rPr>
          <w:rFonts w:ascii="Arial" w:hAnsi="Arial" w:cs="Arial"/>
          <w:sz w:val="22"/>
          <w:szCs w:val="22"/>
        </w:rPr>
        <w:t>The principle of co-production was clearly demonstrated, as both Margaret and our family were involved in planning her care. The healthcare professionals listened to our concerns about her return home and worked with us to create a safe discharge plan. This included guidance on medication management, dietary changes, and mobility support to ensure she would be safe and well supported at home (Health and Care Act 2022).</w:t>
      </w:r>
    </w:p>
    <w:p w14:paraId="198D0E78" w14:textId="77777777" w:rsidR="0039336C" w:rsidRPr="00AC17A2" w:rsidRDefault="0039336C" w:rsidP="00AC17A2">
      <w:pPr>
        <w:pStyle w:val="NormalWeb"/>
        <w:jc w:val="both"/>
        <w:rPr>
          <w:rFonts w:ascii="Arial" w:hAnsi="Arial" w:cs="Arial"/>
          <w:sz w:val="22"/>
          <w:szCs w:val="22"/>
        </w:rPr>
      </w:pPr>
      <w:r w:rsidRPr="00AC17A2">
        <w:rPr>
          <w:rFonts w:ascii="Arial" w:hAnsi="Arial" w:cs="Arial"/>
          <w:sz w:val="22"/>
          <w:szCs w:val="22"/>
        </w:rPr>
        <w:t xml:space="preserve">Patient activation was also encouraged throughout her hospital stay. Nurses educated Margaret about managing her diabetes, controlling her blood pressure, recognising signs of </w:t>
      </w:r>
      <w:r w:rsidRPr="00AC17A2">
        <w:rPr>
          <w:rFonts w:ascii="Arial" w:hAnsi="Arial" w:cs="Arial"/>
          <w:sz w:val="22"/>
          <w:szCs w:val="22"/>
        </w:rPr>
        <w:lastRenderedPageBreak/>
        <w:t>complications, and preventing further blood clots. She was supported to take an active role in her health by understanding her medications, monitoring her symptoms, and making healthier lifestyle choices, such as improving her diet and gradually increasing safe physical activity (NHS England, 2019).</w:t>
      </w:r>
    </w:p>
    <w:p w14:paraId="5370DBB2" w14:textId="77777777" w:rsidR="0039336C" w:rsidRPr="00AC17A2" w:rsidRDefault="0039336C" w:rsidP="00AC17A2">
      <w:pPr>
        <w:pStyle w:val="NormalWeb"/>
        <w:jc w:val="both"/>
        <w:rPr>
          <w:rFonts w:ascii="Arial" w:hAnsi="Arial" w:cs="Arial"/>
          <w:sz w:val="22"/>
          <w:szCs w:val="22"/>
        </w:rPr>
      </w:pPr>
      <w:r w:rsidRPr="00AC17A2">
        <w:rPr>
          <w:rFonts w:ascii="Arial" w:hAnsi="Arial" w:cs="Arial"/>
          <w:sz w:val="22"/>
          <w:szCs w:val="22"/>
        </w:rPr>
        <w:t>The impact of this approach was very positive for both Margaret and our family. Margaret gained a much better understanding of her conditions and felt more confident about managing her health after discharge. As a family, we felt more informed and prepared to support her recovery at home. The healthcare team also benefited from improved communication and collaboration, which helped ensure her care was safe, effective, and personalised (Care Quality Commission, 2024).</w:t>
      </w:r>
    </w:p>
    <w:p w14:paraId="2BA92E28" w14:textId="77777777" w:rsidR="0039336C" w:rsidRPr="00AC17A2" w:rsidRDefault="0039336C" w:rsidP="00AC17A2">
      <w:pPr>
        <w:pStyle w:val="NormalWeb"/>
        <w:jc w:val="both"/>
        <w:rPr>
          <w:rFonts w:ascii="Arial" w:hAnsi="Arial" w:cs="Arial"/>
          <w:sz w:val="22"/>
          <w:szCs w:val="22"/>
        </w:rPr>
      </w:pPr>
      <w:r w:rsidRPr="00AC17A2">
        <w:rPr>
          <w:rFonts w:ascii="Arial" w:hAnsi="Arial" w:cs="Arial"/>
          <w:sz w:val="22"/>
          <w:szCs w:val="22"/>
        </w:rPr>
        <w:t>However, there were some challenges during her treatment. At first, Margaret felt anxious about her diagnosis and worried about becoming dependent on us. Managing multiple long-term conditions alongside a new diagnosis also required careful coordination between different healthcare professionals. These challenges were managed through regular communication, emotional support, patient education, and effective multidisciplinary teamwork.</w:t>
      </w:r>
    </w:p>
    <w:p w14:paraId="145C7CFD" w14:textId="77777777" w:rsidR="0039336C" w:rsidRPr="00AC17A2" w:rsidRDefault="0039336C" w:rsidP="00AC17A2">
      <w:pPr>
        <w:pStyle w:val="NormalWeb"/>
        <w:jc w:val="both"/>
        <w:rPr>
          <w:rFonts w:ascii="Arial" w:hAnsi="Arial" w:cs="Arial"/>
          <w:sz w:val="22"/>
          <w:szCs w:val="22"/>
        </w:rPr>
      </w:pPr>
      <w:r w:rsidRPr="00AC17A2">
        <w:rPr>
          <w:rFonts w:ascii="Arial" w:hAnsi="Arial" w:cs="Arial"/>
          <w:sz w:val="22"/>
          <w:szCs w:val="22"/>
        </w:rPr>
        <w:t>Overall, Margaret’s care reflects the principles of the Health and Care Act 2022, which promotes integrated and person-centred care. It also aligns with the NHS Long Term Plan, which focuses on empowering patients to take greater control of their health and wellbeing. Through person-centred care, co-production, and patient activation, Margaret has been supported to improve her health outcomes and prepare for a safe return home (Department of Health and Social Care, 2022; NHS England, 2019).</w:t>
      </w:r>
    </w:p>
    <w:p w14:paraId="63B3D46D" w14:textId="77777777" w:rsidR="0039336C" w:rsidRPr="00C62A6E" w:rsidRDefault="0039336C" w:rsidP="00CE5A3D">
      <w:pPr>
        <w:jc w:val="both"/>
        <w:rPr>
          <w:rFonts w:ascii="Arial" w:hAnsi="Arial" w:cs="Arial"/>
          <w:sz w:val="22"/>
          <w:szCs w:val="22"/>
        </w:rPr>
      </w:pPr>
    </w:p>
    <w:p w14:paraId="154BB81F" w14:textId="77777777" w:rsidR="0054325E" w:rsidRPr="00C62A6E" w:rsidRDefault="0054325E" w:rsidP="00CE5A3D">
      <w:pPr>
        <w:jc w:val="both"/>
        <w:rPr>
          <w:rFonts w:ascii="Arial" w:hAnsi="Arial" w:cs="Arial"/>
          <w:b/>
          <w:bCs/>
          <w:sz w:val="22"/>
          <w:szCs w:val="22"/>
        </w:rPr>
      </w:pPr>
    </w:p>
    <w:p w14:paraId="6EA8A81A" w14:textId="77777777" w:rsidR="0054325E" w:rsidRPr="00C62A6E" w:rsidRDefault="0054325E" w:rsidP="00CE5A3D">
      <w:pPr>
        <w:jc w:val="both"/>
        <w:rPr>
          <w:rFonts w:ascii="Arial" w:hAnsi="Arial" w:cs="Arial"/>
          <w:b/>
          <w:bCs/>
          <w:sz w:val="22"/>
          <w:szCs w:val="22"/>
        </w:rPr>
      </w:pPr>
    </w:p>
    <w:p w14:paraId="7D872E5C" w14:textId="77777777" w:rsidR="00CB0E1B" w:rsidRDefault="00CB0E1B" w:rsidP="00CE5A3D">
      <w:pPr>
        <w:jc w:val="both"/>
        <w:rPr>
          <w:rFonts w:ascii="Arial" w:hAnsi="Arial" w:cs="Arial"/>
          <w:b/>
          <w:bCs/>
          <w:sz w:val="22"/>
          <w:szCs w:val="22"/>
          <w:u w:val="single"/>
        </w:rPr>
      </w:pPr>
    </w:p>
    <w:p w14:paraId="19F4A44A" w14:textId="77777777" w:rsidR="00CB0E1B" w:rsidRDefault="00CB0E1B" w:rsidP="00CE5A3D">
      <w:pPr>
        <w:jc w:val="both"/>
        <w:rPr>
          <w:rFonts w:ascii="Arial" w:hAnsi="Arial" w:cs="Arial"/>
          <w:b/>
          <w:bCs/>
          <w:sz w:val="22"/>
          <w:szCs w:val="22"/>
          <w:u w:val="single"/>
        </w:rPr>
      </w:pPr>
    </w:p>
    <w:p w14:paraId="5553DC0D" w14:textId="77777777" w:rsidR="00CB0E1B" w:rsidRDefault="00CB0E1B" w:rsidP="00CE5A3D">
      <w:pPr>
        <w:jc w:val="both"/>
        <w:rPr>
          <w:rFonts w:ascii="Arial" w:hAnsi="Arial" w:cs="Arial"/>
          <w:b/>
          <w:bCs/>
          <w:sz w:val="22"/>
          <w:szCs w:val="22"/>
          <w:u w:val="single"/>
        </w:rPr>
      </w:pPr>
    </w:p>
    <w:p w14:paraId="2CE62B4E" w14:textId="77777777" w:rsidR="00CB0E1B" w:rsidRDefault="00CB0E1B" w:rsidP="00CE5A3D">
      <w:pPr>
        <w:jc w:val="both"/>
        <w:rPr>
          <w:rFonts w:ascii="Arial" w:hAnsi="Arial" w:cs="Arial"/>
          <w:b/>
          <w:bCs/>
          <w:sz w:val="22"/>
          <w:szCs w:val="22"/>
          <w:u w:val="single"/>
        </w:rPr>
      </w:pPr>
    </w:p>
    <w:p w14:paraId="5B3E1187" w14:textId="77777777" w:rsidR="00CB0E1B" w:rsidRDefault="00CB0E1B" w:rsidP="00CE5A3D">
      <w:pPr>
        <w:jc w:val="both"/>
        <w:rPr>
          <w:rFonts w:ascii="Arial" w:hAnsi="Arial" w:cs="Arial"/>
          <w:b/>
          <w:bCs/>
          <w:sz w:val="22"/>
          <w:szCs w:val="22"/>
          <w:u w:val="single"/>
        </w:rPr>
      </w:pPr>
    </w:p>
    <w:p w14:paraId="04F4A6F5" w14:textId="77777777" w:rsidR="00CB0E1B" w:rsidRDefault="00CB0E1B" w:rsidP="00CE5A3D">
      <w:pPr>
        <w:jc w:val="both"/>
        <w:rPr>
          <w:rFonts w:ascii="Arial" w:hAnsi="Arial" w:cs="Arial"/>
          <w:b/>
          <w:bCs/>
          <w:sz w:val="22"/>
          <w:szCs w:val="22"/>
          <w:u w:val="single"/>
        </w:rPr>
      </w:pPr>
    </w:p>
    <w:p w14:paraId="2F590E03" w14:textId="77777777" w:rsidR="00CB0E1B" w:rsidRDefault="00CB0E1B" w:rsidP="00CE5A3D">
      <w:pPr>
        <w:jc w:val="both"/>
        <w:rPr>
          <w:rFonts w:ascii="Arial" w:hAnsi="Arial" w:cs="Arial"/>
          <w:b/>
          <w:bCs/>
          <w:sz w:val="22"/>
          <w:szCs w:val="22"/>
          <w:u w:val="single"/>
        </w:rPr>
      </w:pPr>
    </w:p>
    <w:p w14:paraId="4313FE39" w14:textId="77777777" w:rsidR="00CB0E1B" w:rsidRDefault="00CB0E1B" w:rsidP="00CE5A3D">
      <w:pPr>
        <w:jc w:val="both"/>
        <w:rPr>
          <w:rFonts w:ascii="Arial" w:hAnsi="Arial" w:cs="Arial"/>
          <w:b/>
          <w:bCs/>
          <w:sz w:val="22"/>
          <w:szCs w:val="22"/>
          <w:u w:val="single"/>
        </w:rPr>
      </w:pPr>
    </w:p>
    <w:p w14:paraId="0FA0FB65" w14:textId="77777777" w:rsidR="00CB0E1B" w:rsidRDefault="00CB0E1B" w:rsidP="00CE5A3D">
      <w:pPr>
        <w:jc w:val="both"/>
        <w:rPr>
          <w:rFonts w:ascii="Arial" w:hAnsi="Arial" w:cs="Arial"/>
          <w:b/>
          <w:bCs/>
          <w:sz w:val="22"/>
          <w:szCs w:val="22"/>
          <w:u w:val="single"/>
        </w:rPr>
      </w:pPr>
    </w:p>
    <w:p w14:paraId="6D5BC65A" w14:textId="77777777" w:rsidR="00650292" w:rsidRDefault="00650292" w:rsidP="00CE5A3D">
      <w:pPr>
        <w:jc w:val="both"/>
        <w:rPr>
          <w:rFonts w:ascii="Arial" w:hAnsi="Arial" w:cs="Arial"/>
          <w:b/>
          <w:bCs/>
          <w:sz w:val="22"/>
          <w:szCs w:val="22"/>
          <w:u w:val="single"/>
        </w:rPr>
      </w:pPr>
    </w:p>
    <w:p w14:paraId="5EF7DB28" w14:textId="77777777" w:rsidR="00AC17A2" w:rsidRDefault="00AC17A2" w:rsidP="00CE5A3D">
      <w:pPr>
        <w:jc w:val="both"/>
        <w:rPr>
          <w:rFonts w:ascii="Arial" w:hAnsi="Arial" w:cs="Arial"/>
          <w:b/>
          <w:bCs/>
          <w:sz w:val="22"/>
          <w:szCs w:val="22"/>
          <w:u w:val="single"/>
        </w:rPr>
      </w:pPr>
    </w:p>
    <w:p w14:paraId="324736EA" w14:textId="77777777" w:rsidR="00AC17A2" w:rsidRDefault="00AC17A2" w:rsidP="00CE5A3D">
      <w:pPr>
        <w:jc w:val="both"/>
        <w:rPr>
          <w:rFonts w:ascii="Arial" w:hAnsi="Arial" w:cs="Arial"/>
          <w:b/>
          <w:bCs/>
          <w:sz w:val="22"/>
          <w:szCs w:val="22"/>
          <w:u w:val="single"/>
        </w:rPr>
      </w:pPr>
    </w:p>
    <w:p w14:paraId="6C587E30" w14:textId="77777777" w:rsidR="00AC17A2" w:rsidRDefault="00AC17A2" w:rsidP="00CE5A3D">
      <w:pPr>
        <w:jc w:val="both"/>
        <w:rPr>
          <w:rFonts w:ascii="Arial" w:hAnsi="Arial" w:cs="Arial"/>
          <w:b/>
          <w:bCs/>
          <w:sz w:val="22"/>
          <w:szCs w:val="22"/>
          <w:u w:val="single"/>
        </w:rPr>
      </w:pPr>
    </w:p>
    <w:p w14:paraId="477AC573" w14:textId="7112767D" w:rsidR="00464BCF" w:rsidRPr="00C62A6E" w:rsidRDefault="00464BCF" w:rsidP="00CE5A3D">
      <w:pPr>
        <w:jc w:val="both"/>
        <w:rPr>
          <w:rFonts w:ascii="Arial" w:hAnsi="Arial" w:cs="Arial"/>
          <w:b/>
          <w:bCs/>
          <w:sz w:val="22"/>
          <w:szCs w:val="22"/>
          <w:u w:val="single"/>
        </w:rPr>
      </w:pPr>
      <w:r w:rsidRPr="00C62A6E">
        <w:rPr>
          <w:rFonts w:ascii="Arial" w:hAnsi="Arial" w:cs="Arial"/>
          <w:b/>
          <w:bCs/>
          <w:sz w:val="22"/>
          <w:szCs w:val="22"/>
          <w:u w:val="single"/>
        </w:rPr>
        <w:lastRenderedPageBreak/>
        <w:t>Task 3: Self-Reflection</w:t>
      </w:r>
    </w:p>
    <w:p w14:paraId="4BF59CCD" w14:textId="77777777" w:rsidR="00464BCF" w:rsidRPr="00C62A6E" w:rsidRDefault="00464BCF" w:rsidP="00CE5A3D">
      <w:pPr>
        <w:jc w:val="both"/>
        <w:rPr>
          <w:rFonts w:ascii="Arial" w:hAnsi="Arial" w:cs="Arial"/>
          <w:b/>
          <w:bCs/>
          <w:sz w:val="22"/>
          <w:szCs w:val="22"/>
          <w:u w:val="single"/>
        </w:rPr>
      </w:pPr>
      <w:r w:rsidRPr="00C62A6E">
        <w:rPr>
          <w:rFonts w:ascii="Arial" w:hAnsi="Arial" w:cs="Arial"/>
          <w:b/>
          <w:bCs/>
          <w:sz w:val="22"/>
          <w:szCs w:val="22"/>
          <w:u w:val="single"/>
        </w:rPr>
        <w:t>Gibbs' Reflective Cycle</w:t>
      </w:r>
    </w:p>
    <w:p w14:paraId="288D3E04" w14:textId="77777777" w:rsidR="00464BCF" w:rsidRPr="00C62A6E" w:rsidRDefault="00464BCF" w:rsidP="00CE5A3D">
      <w:pPr>
        <w:jc w:val="both"/>
        <w:rPr>
          <w:rFonts w:ascii="Arial" w:hAnsi="Arial" w:cs="Arial"/>
          <w:b/>
          <w:bCs/>
          <w:sz w:val="22"/>
          <w:szCs w:val="22"/>
          <w:u w:val="single"/>
        </w:rPr>
      </w:pPr>
      <w:r w:rsidRPr="00C62A6E">
        <w:rPr>
          <w:rFonts w:ascii="Arial" w:hAnsi="Arial" w:cs="Arial"/>
          <w:b/>
          <w:bCs/>
          <w:sz w:val="22"/>
          <w:szCs w:val="22"/>
          <w:u w:val="single"/>
        </w:rPr>
        <w:t>Description</w:t>
      </w:r>
    </w:p>
    <w:p w14:paraId="4D90D540"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Throughout this module, I have developed a greater understanding of person-centred care, partnership working, and ethical practice. A personal experience that helped me understand these principles involved supporting my mother-in-law. She has Type 2 diabetes and high blood pressure and was recently admitted to hospital after developing a blood clot in her leg. At the time of writing, she has been in hospital for three weeks. Before her admission, she lived with my partner and me, and I helped support her with daily activities, medication reminders, appointments, and emotional support.</w:t>
      </w:r>
    </w:p>
    <w:p w14:paraId="4851E220"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During this period, I worked closely with healthcare professionals and family members to ensure she received the support she needed. This experience allowed me to observe how person-centred care and partnership working can positively affect an individual's wellbeing and recovery (CQC, 2022).</w:t>
      </w:r>
    </w:p>
    <w:p w14:paraId="085CB25B" w14:textId="77777777" w:rsidR="00464BCF" w:rsidRPr="00C62A6E" w:rsidRDefault="00464BCF" w:rsidP="00CE5A3D">
      <w:pPr>
        <w:jc w:val="both"/>
        <w:rPr>
          <w:rFonts w:ascii="Arial" w:hAnsi="Arial" w:cs="Arial"/>
          <w:b/>
          <w:bCs/>
          <w:sz w:val="22"/>
          <w:szCs w:val="22"/>
          <w:u w:val="single"/>
        </w:rPr>
      </w:pPr>
      <w:r w:rsidRPr="00C62A6E">
        <w:rPr>
          <w:rFonts w:ascii="Arial" w:hAnsi="Arial" w:cs="Arial"/>
          <w:b/>
          <w:bCs/>
          <w:sz w:val="22"/>
          <w:szCs w:val="22"/>
          <w:u w:val="single"/>
        </w:rPr>
        <w:t>Feelings</w:t>
      </w:r>
    </w:p>
    <w:p w14:paraId="67330088"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Initially, I felt worried and anxious when my mother-in-law was admitted to hospital. The diagnosis of a blood clot was frightening because I understood the potential risks associated with the condition. I also felt a sense of responsibility because I had been involved in helping to care for her at home. However, I wanted to do everything possible to support her and help her feel comfortable during a difficult time.</w:t>
      </w:r>
    </w:p>
    <w:p w14:paraId="2AA85971"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As I communicated with healthcare professionals, I became more confident and recognised the importance of listening to her wishes and ensuring her voice was heard. This helped me understand the value of person-centred care and respecting an individual's choices (SCIE, 2024).</w:t>
      </w:r>
    </w:p>
    <w:p w14:paraId="601777F8" w14:textId="77777777" w:rsidR="007B5CA8" w:rsidRPr="00C62A6E" w:rsidRDefault="007B5CA8" w:rsidP="00CE5A3D">
      <w:pPr>
        <w:jc w:val="both"/>
        <w:rPr>
          <w:rFonts w:ascii="Arial" w:hAnsi="Arial" w:cs="Arial"/>
          <w:sz w:val="22"/>
          <w:szCs w:val="22"/>
        </w:rPr>
      </w:pPr>
    </w:p>
    <w:p w14:paraId="177C1D71" w14:textId="2C62B037" w:rsidR="00464BCF" w:rsidRPr="00C62A6E" w:rsidRDefault="00464BCF" w:rsidP="00CE5A3D">
      <w:pPr>
        <w:jc w:val="both"/>
        <w:rPr>
          <w:rFonts w:ascii="Arial" w:hAnsi="Arial" w:cs="Arial"/>
          <w:b/>
          <w:bCs/>
          <w:sz w:val="22"/>
          <w:szCs w:val="22"/>
          <w:u w:val="single"/>
        </w:rPr>
      </w:pPr>
      <w:r w:rsidRPr="00C62A6E">
        <w:rPr>
          <w:rFonts w:ascii="Arial" w:hAnsi="Arial" w:cs="Arial"/>
          <w:b/>
          <w:bCs/>
          <w:sz w:val="22"/>
          <w:szCs w:val="22"/>
          <w:u w:val="single"/>
        </w:rPr>
        <w:t>Evaluation</w:t>
      </w:r>
    </w:p>
    <w:p w14:paraId="0F824647"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One positive aspect of this experience was the way healthcare professionals involved my mother-in-law in decisions about her care. Doctors and nurses explained her treatment plan and encouraged her to ask questions. This helped her feel respected and involved in the process, which reflects the principles of shared decision-making (NICE, 2021).</w:t>
      </w:r>
    </w:p>
    <w:p w14:paraId="13CEDD8C"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Partnership working was also evident. Healthcare professionals worked together with family members to discuss her progress and future care needs. This collaborative approach helped ensure that everyone understood her condition and the support she would need after discharge.</w:t>
      </w:r>
    </w:p>
    <w:p w14:paraId="02160FD7" w14:textId="6D13F6C1" w:rsidR="00464BCF" w:rsidRPr="00C62A6E" w:rsidRDefault="00464BCF" w:rsidP="00CE5A3D">
      <w:pPr>
        <w:jc w:val="both"/>
        <w:rPr>
          <w:rFonts w:ascii="Arial" w:hAnsi="Arial" w:cs="Arial"/>
          <w:sz w:val="22"/>
          <w:szCs w:val="22"/>
        </w:rPr>
      </w:pPr>
      <w:r w:rsidRPr="00C62A6E">
        <w:rPr>
          <w:rFonts w:ascii="Arial" w:hAnsi="Arial" w:cs="Arial"/>
          <w:sz w:val="22"/>
          <w:szCs w:val="22"/>
        </w:rPr>
        <w:t xml:space="preserve">However, there were challenges. At times, communication between different departments appeared inconsistent, and family members were not always updated as quickly as we would have liked. This </w:t>
      </w:r>
      <w:r w:rsidR="005E31B1" w:rsidRPr="00C62A6E">
        <w:rPr>
          <w:rFonts w:ascii="Arial" w:hAnsi="Arial" w:cs="Arial"/>
          <w:sz w:val="22"/>
          <w:szCs w:val="22"/>
        </w:rPr>
        <w:t>sometimes-created</w:t>
      </w:r>
      <w:r w:rsidRPr="00C62A6E">
        <w:rPr>
          <w:rFonts w:ascii="Arial" w:hAnsi="Arial" w:cs="Arial"/>
          <w:sz w:val="22"/>
          <w:szCs w:val="22"/>
        </w:rPr>
        <w:t xml:space="preserve"> uncertainty and increased stress. This experience highlighted the importance of effective communication and coordinated care (Skills for Care, 2023).</w:t>
      </w:r>
    </w:p>
    <w:p w14:paraId="13202AD1" w14:textId="77777777" w:rsidR="00CB0E1B" w:rsidRDefault="00CB0E1B" w:rsidP="00CE5A3D">
      <w:pPr>
        <w:jc w:val="both"/>
        <w:rPr>
          <w:rFonts w:ascii="Arial" w:hAnsi="Arial" w:cs="Arial"/>
          <w:b/>
          <w:bCs/>
          <w:sz w:val="22"/>
          <w:szCs w:val="22"/>
          <w:u w:val="single"/>
        </w:rPr>
      </w:pPr>
    </w:p>
    <w:p w14:paraId="236A65A0" w14:textId="6A9C8ED3" w:rsidR="00464BCF" w:rsidRPr="00C62A6E" w:rsidRDefault="00464BCF" w:rsidP="00CE5A3D">
      <w:pPr>
        <w:jc w:val="both"/>
        <w:rPr>
          <w:rFonts w:ascii="Arial" w:hAnsi="Arial" w:cs="Arial"/>
          <w:b/>
          <w:bCs/>
          <w:sz w:val="22"/>
          <w:szCs w:val="22"/>
          <w:u w:val="single"/>
        </w:rPr>
      </w:pPr>
      <w:r w:rsidRPr="00C62A6E">
        <w:rPr>
          <w:rFonts w:ascii="Arial" w:hAnsi="Arial" w:cs="Arial"/>
          <w:b/>
          <w:bCs/>
          <w:sz w:val="22"/>
          <w:szCs w:val="22"/>
          <w:u w:val="single"/>
        </w:rPr>
        <w:lastRenderedPageBreak/>
        <w:t>Analysis</w:t>
      </w:r>
    </w:p>
    <w:p w14:paraId="43C97FA6"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Reflecting on this experience has helped me understand how person-centred care can improve outcomes for individuals. By listening to my mother-in-law's concerns and involving her in decisions, healthcare professionals respected her dignity and autonomy. The Care Quality Commission (2022) states that care should be tailored to the individual's needs, preferences, and values, which I observed throughout her treatment.</w:t>
      </w:r>
    </w:p>
    <w:p w14:paraId="2432C997"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 xml:space="preserve">Partnership working was equally important. The Health and Care Act 2022 </w:t>
      </w:r>
      <w:proofErr w:type="gramStart"/>
      <w:r w:rsidRPr="00C62A6E">
        <w:rPr>
          <w:rFonts w:ascii="Arial" w:hAnsi="Arial" w:cs="Arial"/>
          <w:sz w:val="22"/>
          <w:szCs w:val="22"/>
        </w:rPr>
        <w:t>promotes</w:t>
      </w:r>
      <w:proofErr w:type="gramEnd"/>
      <w:r w:rsidRPr="00C62A6E">
        <w:rPr>
          <w:rFonts w:ascii="Arial" w:hAnsi="Arial" w:cs="Arial"/>
          <w:sz w:val="22"/>
          <w:szCs w:val="22"/>
        </w:rPr>
        <w:t xml:space="preserve"> integrated care and collaboration between services. In my mother-in-law's case, doctors, nurses, specialists, and family members all contributed to supporting her recovery. This collaborative approach ensured that both her physical and emotional needs were considered.</w:t>
      </w:r>
    </w:p>
    <w:p w14:paraId="4B6C67DE"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Ethical practice was demonstrated through maintaining her dignity, privacy, and confidentiality while providing treatment. The principles of the 6 Cs—care, compassion, competence, communication, courage, and commitment—were visible in the actions of many healthcare professionals involved in her care (Department of Health, 2012).</w:t>
      </w:r>
    </w:p>
    <w:p w14:paraId="18D98A77"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Through this experience, I identified several strengths within myself, including empathy, patience, and effective listening skills. I was able to provide emotional support and advocate for my mother-in-law when she felt overwhelmed. However, I also recognised areas for improvement. I would like to develop greater confidence when communicating with healthcare professionals and increase my knowledge of long-term health conditions such as diabetes and cardiovascular disease.</w:t>
      </w:r>
    </w:p>
    <w:p w14:paraId="6CA1B066" w14:textId="77777777" w:rsidR="00464BCF" w:rsidRPr="00C62A6E" w:rsidRDefault="00464BCF" w:rsidP="00CE5A3D">
      <w:pPr>
        <w:jc w:val="both"/>
        <w:rPr>
          <w:rFonts w:ascii="Arial" w:hAnsi="Arial" w:cs="Arial"/>
          <w:b/>
          <w:bCs/>
          <w:sz w:val="22"/>
          <w:szCs w:val="22"/>
          <w:u w:val="single"/>
        </w:rPr>
      </w:pPr>
      <w:r w:rsidRPr="00C62A6E">
        <w:rPr>
          <w:rFonts w:ascii="Arial" w:hAnsi="Arial" w:cs="Arial"/>
          <w:b/>
          <w:bCs/>
          <w:sz w:val="22"/>
          <w:szCs w:val="22"/>
          <w:u w:val="single"/>
        </w:rPr>
        <w:t>Conclusion</w:t>
      </w:r>
    </w:p>
    <w:p w14:paraId="11F9299A"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This experience reinforced the importance of person-centred care, partnership working, and ethical practice. I learned that involving individuals in decisions about their care can improve confidence, wellbeing, and overall outcomes. I also recognised the value of collaboration between healthcare professionals, patients, and families in achieving positive results.</w:t>
      </w:r>
    </w:p>
    <w:p w14:paraId="1EBDA5D4" w14:textId="6E93BA7C" w:rsidR="00464BCF" w:rsidRPr="00C62A6E" w:rsidRDefault="00464BCF" w:rsidP="00CE5A3D">
      <w:pPr>
        <w:jc w:val="both"/>
        <w:rPr>
          <w:rFonts w:ascii="Arial" w:hAnsi="Arial" w:cs="Arial"/>
          <w:b/>
          <w:bCs/>
          <w:sz w:val="22"/>
          <w:szCs w:val="22"/>
          <w:u w:val="single"/>
        </w:rPr>
      </w:pPr>
      <w:r w:rsidRPr="00C62A6E">
        <w:rPr>
          <w:rFonts w:ascii="Arial" w:hAnsi="Arial" w:cs="Arial"/>
          <w:b/>
          <w:bCs/>
          <w:sz w:val="22"/>
          <w:szCs w:val="22"/>
          <w:u w:val="single"/>
        </w:rPr>
        <w:t>Action Plan</w:t>
      </w:r>
    </w:p>
    <w:p w14:paraId="6C8F8849"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To improve my future practice, I plan to continue developing my knowledge through training, research, and Continuing Professional Development (CPD). I would like to learn more about diabetes management, cardiovascular health, and supporting individuals with long-term conditions. I also intend to develop my communication skills by observing experienced professionals and seeking opportunities to work within health and social care settings.</w:t>
      </w:r>
    </w:p>
    <w:p w14:paraId="596C434B" w14:textId="77777777" w:rsidR="00464BCF" w:rsidRPr="00C62A6E" w:rsidRDefault="00464BCF" w:rsidP="00CE5A3D">
      <w:pPr>
        <w:jc w:val="both"/>
        <w:rPr>
          <w:rFonts w:ascii="Arial" w:hAnsi="Arial" w:cs="Arial"/>
          <w:sz w:val="22"/>
          <w:szCs w:val="22"/>
        </w:rPr>
      </w:pPr>
      <w:r w:rsidRPr="00C62A6E">
        <w:rPr>
          <w:rFonts w:ascii="Arial" w:hAnsi="Arial" w:cs="Arial"/>
          <w:sz w:val="22"/>
          <w:szCs w:val="22"/>
        </w:rPr>
        <w:t>I will continue to use reflective practice, particularly Gibbs' Reflective Cycle (Gibbs, 1988), to evaluate my experiences and identify areas for improvement. This will help me develop the skills and knowledge required to provide high-quality, person-centred care and work effectively in partnership with others throughout my future career.</w:t>
      </w:r>
    </w:p>
    <w:p w14:paraId="6061CEBD" w14:textId="77777777" w:rsidR="00464BCF" w:rsidRDefault="00464BCF" w:rsidP="00CE5A3D">
      <w:pPr>
        <w:jc w:val="both"/>
        <w:rPr>
          <w:b/>
          <w:bCs/>
        </w:rPr>
      </w:pPr>
    </w:p>
    <w:p w14:paraId="671264E0" w14:textId="77777777" w:rsidR="007C24D1" w:rsidRDefault="007C24D1" w:rsidP="00CE5A3D">
      <w:pPr>
        <w:jc w:val="both"/>
        <w:rPr>
          <w:b/>
          <w:bCs/>
        </w:rPr>
      </w:pPr>
    </w:p>
    <w:p w14:paraId="7C6BCEE6" w14:textId="77777777" w:rsidR="007C24D1" w:rsidRDefault="007C24D1" w:rsidP="00CE5A3D">
      <w:pPr>
        <w:jc w:val="both"/>
        <w:rPr>
          <w:b/>
          <w:bCs/>
        </w:rPr>
      </w:pPr>
    </w:p>
    <w:p w14:paraId="001205B5" w14:textId="77777777" w:rsidR="007C24D1" w:rsidRDefault="007C24D1" w:rsidP="00CE5A3D">
      <w:pPr>
        <w:jc w:val="both"/>
        <w:rPr>
          <w:b/>
          <w:bCs/>
        </w:rPr>
      </w:pPr>
    </w:p>
    <w:p w14:paraId="06CD207C" w14:textId="77777777" w:rsidR="00E771EB" w:rsidRDefault="00E771EB" w:rsidP="00CE5A3D">
      <w:pPr>
        <w:jc w:val="both"/>
        <w:rPr>
          <w:rFonts w:ascii="Arial" w:hAnsi="Arial" w:cs="Arial"/>
          <w:b/>
          <w:bCs/>
          <w:sz w:val="32"/>
          <w:szCs w:val="32"/>
          <w:u w:val="single"/>
        </w:rPr>
      </w:pPr>
    </w:p>
    <w:p w14:paraId="1B75A71B" w14:textId="217B0074" w:rsidR="008B6E1F" w:rsidRPr="004C5AB9" w:rsidRDefault="008B6E1F" w:rsidP="00CE5A3D">
      <w:pPr>
        <w:jc w:val="both"/>
        <w:rPr>
          <w:rFonts w:ascii="Arial" w:hAnsi="Arial" w:cs="Arial"/>
          <w:b/>
          <w:bCs/>
          <w:sz w:val="32"/>
          <w:szCs w:val="32"/>
          <w:u w:val="single"/>
        </w:rPr>
      </w:pPr>
      <w:r w:rsidRPr="004C5AB9">
        <w:rPr>
          <w:rFonts w:ascii="Arial" w:hAnsi="Arial" w:cs="Arial"/>
          <w:b/>
          <w:bCs/>
          <w:sz w:val="32"/>
          <w:szCs w:val="32"/>
          <w:u w:val="single"/>
        </w:rPr>
        <w:t xml:space="preserve">Reference List </w:t>
      </w:r>
    </w:p>
    <w:p w14:paraId="0B987215" w14:textId="04E57050" w:rsidR="008B6E1F" w:rsidRPr="004C5AB9" w:rsidRDefault="008B6E1F" w:rsidP="00CE5A3D">
      <w:pPr>
        <w:jc w:val="both"/>
        <w:rPr>
          <w:i/>
          <w:iCs/>
          <w:sz w:val="32"/>
          <w:szCs w:val="32"/>
        </w:rPr>
      </w:pPr>
      <w:r w:rsidRPr="004C5AB9">
        <w:rPr>
          <w:i/>
          <w:iCs/>
          <w:sz w:val="32"/>
          <w:szCs w:val="32"/>
        </w:rPr>
        <w:t xml:space="preserve">Bronfenbrenner, U. (1979) The Ecology of Human Development: Experiments by Nature and Design. Cambridge, MA: Harvard University </w:t>
      </w:r>
      <w:proofErr w:type="gramStart"/>
      <w:r w:rsidRPr="004C5AB9">
        <w:rPr>
          <w:i/>
          <w:iCs/>
          <w:sz w:val="32"/>
          <w:szCs w:val="32"/>
        </w:rPr>
        <w:t>Press.</w:t>
      </w:r>
      <w:r w:rsidR="00F11866">
        <w:rPr>
          <w:i/>
          <w:iCs/>
          <w:sz w:val="32"/>
          <w:szCs w:val="32"/>
        </w:rPr>
        <w:t>(</w:t>
      </w:r>
      <w:proofErr w:type="gramEnd"/>
      <w:r w:rsidR="00F11866">
        <w:rPr>
          <w:i/>
          <w:iCs/>
          <w:sz w:val="32"/>
          <w:szCs w:val="32"/>
        </w:rPr>
        <w:t xml:space="preserve">Accessed 12 June </w:t>
      </w:r>
      <w:r w:rsidR="006A13CC">
        <w:rPr>
          <w:i/>
          <w:iCs/>
          <w:sz w:val="32"/>
          <w:szCs w:val="32"/>
        </w:rPr>
        <w:t>2026)</w:t>
      </w:r>
    </w:p>
    <w:p w14:paraId="725D36BD" w14:textId="77777777" w:rsidR="008B6E1F" w:rsidRPr="004C5AB9" w:rsidRDefault="008B6E1F" w:rsidP="00CE5A3D">
      <w:pPr>
        <w:jc w:val="both"/>
        <w:rPr>
          <w:i/>
          <w:iCs/>
          <w:sz w:val="32"/>
          <w:szCs w:val="32"/>
        </w:rPr>
      </w:pPr>
      <w:r w:rsidRPr="004C5AB9">
        <w:rPr>
          <w:i/>
          <w:iCs/>
          <w:sz w:val="32"/>
          <w:szCs w:val="32"/>
        </w:rPr>
        <w:t xml:space="preserve">Care Quality Commission (CQC) (2022) Person-centred care. Available at: </w:t>
      </w:r>
      <w:hyperlink r:id="rId7" w:tgtFrame="_new" w:history="1">
        <w:r w:rsidRPr="004C5AB9">
          <w:rPr>
            <w:rStyle w:val="Hyperlink"/>
            <w:i/>
            <w:iCs/>
            <w:sz w:val="32"/>
            <w:szCs w:val="32"/>
          </w:rPr>
          <w:t>https://www.cqc.org.uk/guidance-providers/adult-social-care/person-centred-care</w:t>
        </w:r>
      </w:hyperlink>
      <w:r w:rsidRPr="004C5AB9">
        <w:rPr>
          <w:i/>
          <w:iCs/>
          <w:sz w:val="32"/>
          <w:szCs w:val="32"/>
        </w:rPr>
        <w:t xml:space="preserve"> (Accessed: 18 June 2026).</w:t>
      </w:r>
    </w:p>
    <w:p w14:paraId="7D09E9D1" w14:textId="3C806EE8" w:rsidR="008B6E1F" w:rsidRPr="004C5AB9" w:rsidRDefault="008B6E1F" w:rsidP="00CE5A3D">
      <w:pPr>
        <w:jc w:val="both"/>
        <w:rPr>
          <w:i/>
          <w:iCs/>
          <w:sz w:val="32"/>
          <w:szCs w:val="32"/>
        </w:rPr>
      </w:pPr>
      <w:r w:rsidRPr="004C5AB9">
        <w:rPr>
          <w:i/>
          <w:iCs/>
          <w:sz w:val="32"/>
          <w:szCs w:val="32"/>
        </w:rPr>
        <w:t xml:space="preserve">Care Quality Commission (CQC) (2024) Fundamental standards. Newcastle upon Tyne: </w:t>
      </w:r>
      <w:proofErr w:type="gramStart"/>
      <w:r w:rsidRPr="004C5AB9">
        <w:rPr>
          <w:i/>
          <w:iCs/>
          <w:sz w:val="32"/>
          <w:szCs w:val="32"/>
        </w:rPr>
        <w:t>CQC.</w:t>
      </w:r>
      <w:r w:rsidR="006A13CC">
        <w:rPr>
          <w:i/>
          <w:iCs/>
          <w:sz w:val="32"/>
          <w:szCs w:val="32"/>
        </w:rPr>
        <w:t>(</w:t>
      </w:r>
      <w:proofErr w:type="gramEnd"/>
      <w:r w:rsidR="006A13CC">
        <w:rPr>
          <w:i/>
          <w:iCs/>
          <w:sz w:val="32"/>
          <w:szCs w:val="32"/>
        </w:rPr>
        <w:t>Accessed 3</w:t>
      </w:r>
      <w:r w:rsidR="00F856C1">
        <w:rPr>
          <w:i/>
          <w:iCs/>
          <w:sz w:val="32"/>
          <w:szCs w:val="32"/>
        </w:rPr>
        <w:t xml:space="preserve"> June 2026)</w:t>
      </w:r>
    </w:p>
    <w:p w14:paraId="005BEC31" w14:textId="46D25EAD" w:rsidR="008B6E1F" w:rsidRPr="004C5AB9" w:rsidRDefault="008B6E1F" w:rsidP="00CE5A3D">
      <w:pPr>
        <w:jc w:val="both"/>
        <w:rPr>
          <w:i/>
          <w:iCs/>
          <w:sz w:val="32"/>
          <w:szCs w:val="32"/>
        </w:rPr>
      </w:pPr>
      <w:r w:rsidRPr="004C5AB9">
        <w:rPr>
          <w:i/>
          <w:iCs/>
          <w:sz w:val="32"/>
          <w:szCs w:val="32"/>
        </w:rPr>
        <w:t xml:space="preserve">Department of Health (2012) Compassion in Practice. London: Department of </w:t>
      </w:r>
      <w:proofErr w:type="gramStart"/>
      <w:r w:rsidRPr="004C5AB9">
        <w:rPr>
          <w:i/>
          <w:iCs/>
          <w:sz w:val="32"/>
          <w:szCs w:val="32"/>
        </w:rPr>
        <w:t>Health.</w:t>
      </w:r>
      <w:r w:rsidR="00F856C1">
        <w:rPr>
          <w:i/>
          <w:iCs/>
          <w:sz w:val="32"/>
          <w:szCs w:val="32"/>
        </w:rPr>
        <w:t>(</w:t>
      </w:r>
      <w:proofErr w:type="gramEnd"/>
      <w:r w:rsidR="00F856C1">
        <w:rPr>
          <w:i/>
          <w:iCs/>
          <w:sz w:val="32"/>
          <w:szCs w:val="32"/>
        </w:rPr>
        <w:t xml:space="preserve">Accessed </w:t>
      </w:r>
      <w:r w:rsidR="00813495">
        <w:rPr>
          <w:i/>
          <w:iCs/>
          <w:sz w:val="32"/>
          <w:szCs w:val="32"/>
        </w:rPr>
        <w:t>14 June 2026)</w:t>
      </w:r>
    </w:p>
    <w:p w14:paraId="6180D19D" w14:textId="46D1067F" w:rsidR="008B6E1F" w:rsidRPr="004C5AB9" w:rsidRDefault="008B6E1F" w:rsidP="00CE5A3D">
      <w:pPr>
        <w:jc w:val="both"/>
        <w:rPr>
          <w:i/>
          <w:iCs/>
          <w:sz w:val="32"/>
          <w:szCs w:val="32"/>
        </w:rPr>
      </w:pPr>
      <w:r w:rsidRPr="004C5AB9">
        <w:rPr>
          <w:i/>
          <w:iCs/>
          <w:sz w:val="32"/>
          <w:szCs w:val="32"/>
        </w:rPr>
        <w:t xml:space="preserve">Department of Health and Social Care (2022) Health and Care Act 2022. London: HMSO. Available at: </w:t>
      </w:r>
      <w:hyperlink r:id="rId8" w:tgtFrame="_new" w:history="1">
        <w:r w:rsidRPr="004C5AB9">
          <w:rPr>
            <w:rStyle w:val="Hyperlink"/>
            <w:i/>
            <w:iCs/>
            <w:sz w:val="32"/>
            <w:szCs w:val="32"/>
          </w:rPr>
          <w:t>https://www.legislation.gov.uk/ukpga/2022/31/contents</w:t>
        </w:r>
      </w:hyperlink>
      <w:r w:rsidRPr="004C5AB9">
        <w:rPr>
          <w:i/>
          <w:iCs/>
          <w:sz w:val="32"/>
          <w:szCs w:val="32"/>
        </w:rPr>
        <w:t xml:space="preserve"> (Accessed: 1</w:t>
      </w:r>
      <w:r w:rsidR="00813495">
        <w:rPr>
          <w:i/>
          <w:iCs/>
          <w:sz w:val="32"/>
          <w:szCs w:val="32"/>
        </w:rPr>
        <w:t>6</w:t>
      </w:r>
      <w:r w:rsidRPr="004C5AB9">
        <w:rPr>
          <w:i/>
          <w:iCs/>
          <w:sz w:val="32"/>
          <w:szCs w:val="32"/>
        </w:rPr>
        <w:t xml:space="preserve"> June 2026).</w:t>
      </w:r>
    </w:p>
    <w:p w14:paraId="25F66E9F" w14:textId="1F430162" w:rsidR="008B6E1F" w:rsidRPr="004C5AB9" w:rsidRDefault="008B6E1F" w:rsidP="00CE5A3D">
      <w:pPr>
        <w:jc w:val="both"/>
        <w:rPr>
          <w:i/>
          <w:iCs/>
          <w:sz w:val="32"/>
          <w:szCs w:val="32"/>
        </w:rPr>
      </w:pPr>
      <w:r w:rsidRPr="004C5AB9">
        <w:rPr>
          <w:i/>
          <w:iCs/>
          <w:sz w:val="32"/>
          <w:szCs w:val="32"/>
        </w:rPr>
        <w:t xml:space="preserve">Gibbs, G. (1988) Learning by Doing: A Guide to Teaching and Learning Methods. Oxford: Oxford </w:t>
      </w:r>
      <w:proofErr w:type="gramStart"/>
      <w:r w:rsidRPr="004C5AB9">
        <w:rPr>
          <w:i/>
          <w:iCs/>
          <w:sz w:val="32"/>
          <w:szCs w:val="32"/>
        </w:rPr>
        <w:t>Polytechnic.</w:t>
      </w:r>
      <w:r w:rsidR="00813495">
        <w:rPr>
          <w:i/>
          <w:iCs/>
          <w:sz w:val="32"/>
          <w:szCs w:val="32"/>
        </w:rPr>
        <w:t>(</w:t>
      </w:r>
      <w:proofErr w:type="gramEnd"/>
      <w:r w:rsidR="00813495">
        <w:rPr>
          <w:i/>
          <w:iCs/>
          <w:sz w:val="32"/>
          <w:szCs w:val="32"/>
        </w:rPr>
        <w:t>A</w:t>
      </w:r>
      <w:r w:rsidR="0007566B">
        <w:rPr>
          <w:i/>
          <w:iCs/>
          <w:sz w:val="32"/>
          <w:szCs w:val="32"/>
        </w:rPr>
        <w:t>ccessed 17</w:t>
      </w:r>
      <w:r w:rsidR="00186237">
        <w:rPr>
          <w:i/>
          <w:iCs/>
          <w:sz w:val="32"/>
          <w:szCs w:val="32"/>
        </w:rPr>
        <w:t xml:space="preserve"> June 2026)</w:t>
      </w:r>
    </w:p>
    <w:p w14:paraId="79FE91EA" w14:textId="2C711827" w:rsidR="008B6E1F" w:rsidRPr="004C5AB9" w:rsidRDefault="008B6E1F" w:rsidP="00CE5A3D">
      <w:pPr>
        <w:jc w:val="both"/>
        <w:rPr>
          <w:i/>
          <w:iCs/>
          <w:sz w:val="32"/>
          <w:szCs w:val="32"/>
        </w:rPr>
      </w:pPr>
      <w:r w:rsidRPr="004C5AB9">
        <w:rPr>
          <w:i/>
          <w:iCs/>
          <w:sz w:val="32"/>
          <w:szCs w:val="32"/>
        </w:rPr>
        <w:t xml:space="preserve">Glasby, J. and Dickinson, H. (2020) Partnership Working in Health and Social Care. Bristol: Policy </w:t>
      </w:r>
      <w:proofErr w:type="gramStart"/>
      <w:r w:rsidRPr="004C5AB9">
        <w:rPr>
          <w:i/>
          <w:iCs/>
          <w:sz w:val="32"/>
          <w:szCs w:val="32"/>
        </w:rPr>
        <w:t>Press.</w:t>
      </w:r>
      <w:r w:rsidR="00186237">
        <w:rPr>
          <w:i/>
          <w:iCs/>
          <w:sz w:val="32"/>
          <w:szCs w:val="32"/>
        </w:rPr>
        <w:t>(</w:t>
      </w:r>
      <w:proofErr w:type="gramEnd"/>
      <w:r w:rsidR="00186237">
        <w:rPr>
          <w:i/>
          <w:iCs/>
          <w:sz w:val="32"/>
          <w:szCs w:val="32"/>
        </w:rPr>
        <w:t>Accessed 11</w:t>
      </w:r>
      <w:r w:rsidR="005B4946">
        <w:rPr>
          <w:i/>
          <w:iCs/>
          <w:sz w:val="32"/>
          <w:szCs w:val="32"/>
        </w:rPr>
        <w:t xml:space="preserve"> June 2026)</w:t>
      </w:r>
    </w:p>
    <w:p w14:paraId="2EE6B666" w14:textId="7275034D" w:rsidR="005B4946" w:rsidRDefault="008B6E1F" w:rsidP="00CE5A3D">
      <w:pPr>
        <w:jc w:val="both"/>
        <w:rPr>
          <w:i/>
          <w:iCs/>
          <w:sz w:val="32"/>
          <w:szCs w:val="32"/>
        </w:rPr>
      </w:pPr>
      <w:r w:rsidRPr="004C5AB9">
        <w:rPr>
          <w:i/>
          <w:iCs/>
          <w:sz w:val="32"/>
          <w:szCs w:val="32"/>
        </w:rPr>
        <w:t xml:space="preserve">Health and Care Professions Council (HCPC) (2023) Standards of conduct, performance and ethics. London: </w:t>
      </w:r>
      <w:proofErr w:type="gramStart"/>
      <w:r w:rsidRPr="004C5AB9">
        <w:rPr>
          <w:i/>
          <w:iCs/>
          <w:sz w:val="32"/>
          <w:szCs w:val="32"/>
        </w:rPr>
        <w:t>HCPC.</w:t>
      </w:r>
      <w:r w:rsidR="005B4946">
        <w:rPr>
          <w:i/>
          <w:iCs/>
          <w:sz w:val="32"/>
          <w:szCs w:val="32"/>
        </w:rPr>
        <w:t>(</w:t>
      </w:r>
      <w:proofErr w:type="gramEnd"/>
      <w:r w:rsidR="005B4946">
        <w:rPr>
          <w:i/>
          <w:iCs/>
          <w:sz w:val="32"/>
          <w:szCs w:val="32"/>
        </w:rPr>
        <w:t>Accessed 11 June</w:t>
      </w:r>
      <w:r w:rsidR="00064F07">
        <w:rPr>
          <w:i/>
          <w:iCs/>
          <w:sz w:val="32"/>
          <w:szCs w:val="32"/>
        </w:rPr>
        <w:t xml:space="preserve"> 2026)</w:t>
      </w:r>
    </w:p>
    <w:p w14:paraId="068814BF" w14:textId="0487E025" w:rsidR="008B6E1F" w:rsidRPr="004C5AB9" w:rsidRDefault="008B6E1F" w:rsidP="00CE5A3D">
      <w:pPr>
        <w:jc w:val="both"/>
        <w:rPr>
          <w:i/>
          <w:iCs/>
          <w:sz w:val="32"/>
          <w:szCs w:val="32"/>
        </w:rPr>
      </w:pPr>
      <w:r w:rsidRPr="004C5AB9">
        <w:rPr>
          <w:i/>
          <w:iCs/>
          <w:sz w:val="32"/>
          <w:szCs w:val="32"/>
        </w:rPr>
        <w:t>Maslow, A.H. (1943) ‘A Theory of Human Motivation’, Psychological Review, 50(4), pp. 370–</w:t>
      </w:r>
      <w:proofErr w:type="gramStart"/>
      <w:r w:rsidRPr="004C5AB9">
        <w:rPr>
          <w:i/>
          <w:iCs/>
          <w:sz w:val="32"/>
          <w:szCs w:val="32"/>
        </w:rPr>
        <w:t>396.</w:t>
      </w:r>
      <w:r w:rsidR="00064F07">
        <w:rPr>
          <w:i/>
          <w:iCs/>
          <w:sz w:val="32"/>
          <w:szCs w:val="32"/>
        </w:rPr>
        <w:t>(</w:t>
      </w:r>
      <w:proofErr w:type="gramEnd"/>
      <w:r w:rsidR="00064F07">
        <w:rPr>
          <w:i/>
          <w:iCs/>
          <w:sz w:val="32"/>
          <w:szCs w:val="32"/>
        </w:rPr>
        <w:t>Acc</w:t>
      </w:r>
      <w:r w:rsidR="00385FAB">
        <w:rPr>
          <w:i/>
          <w:iCs/>
          <w:sz w:val="32"/>
          <w:szCs w:val="32"/>
        </w:rPr>
        <w:t>essed 29 May 2026</w:t>
      </w:r>
      <w:r w:rsidR="002505F4">
        <w:rPr>
          <w:i/>
          <w:iCs/>
          <w:sz w:val="32"/>
          <w:szCs w:val="32"/>
        </w:rPr>
        <w:t>)</w:t>
      </w:r>
    </w:p>
    <w:p w14:paraId="2D908D7F" w14:textId="77777777" w:rsidR="008B6E1F" w:rsidRPr="004C5AB9" w:rsidRDefault="008B6E1F" w:rsidP="00CE5A3D">
      <w:pPr>
        <w:jc w:val="both"/>
        <w:rPr>
          <w:i/>
          <w:iCs/>
          <w:sz w:val="32"/>
          <w:szCs w:val="32"/>
        </w:rPr>
      </w:pPr>
      <w:r w:rsidRPr="004C5AB9">
        <w:rPr>
          <w:i/>
          <w:iCs/>
          <w:sz w:val="32"/>
          <w:szCs w:val="32"/>
        </w:rPr>
        <w:lastRenderedPageBreak/>
        <w:t xml:space="preserve">NHS England (2019) The NHS Long Term Plan. Available at: </w:t>
      </w:r>
      <w:hyperlink r:id="rId9" w:tgtFrame="_new" w:history="1">
        <w:r w:rsidRPr="004C5AB9">
          <w:rPr>
            <w:rStyle w:val="Hyperlink"/>
            <w:i/>
            <w:iCs/>
            <w:sz w:val="32"/>
            <w:szCs w:val="32"/>
          </w:rPr>
          <w:t>https://www.longtermplan.nhs.uk</w:t>
        </w:r>
      </w:hyperlink>
      <w:r w:rsidRPr="004C5AB9">
        <w:rPr>
          <w:i/>
          <w:iCs/>
          <w:sz w:val="32"/>
          <w:szCs w:val="32"/>
        </w:rPr>
        <w:t xml:space="preserve"> (Accessed: 18 June 2026).</w:t>
      </w:r>
    </w:p>
    <w:p w14:paraId="1D911E20" w14:textId="77777777" w:rsidR="008B6E1F" w:rsidRPr="004C5AB9" w:rsidRDefault="008B6E1F" w:rsidP="00CE5A3D">
      <w:pPr>
        <w:jc w:val="both"/>
        <w:rPr>
          <w:i/>
          <w:iCs/>
          <w:sz w:val="32"/>
          <w:szCs w:val="32"/>
        </w:rPr>
      </w:pPr>
      <w:r w:rsidRPr="004C5AB9">
        <w:rPr>
          <w:i/>
          <w:iCs/>
          <w:sz w:val="32"/>
          <w:szCs w:val="32"/>
        </w:rPr>
        <w:t xml:space="preserve">NICE (2021) Shared decision making (NG197). Available at: </w:t>
      </w:r>
      <w:hyperlink r:id="rId10" w:tgtFrame="_new" w:history="1">
        <w:r w:rsidRPr="004C5AB9">
          <w:rPr>
            <w:rStyle w:val="Hyperlink"/>
            <w:i/>
            <w:iCs/>
            <w:sz w:val="32"/>
            <w:szCs w:val="32"/>
          </w:rPr>
          <w:t>https://www.nice.org.uk/guidance/ng197</w:t>
        </w:r>
      </w:hyperlink>
      <w:r w:rsidRPr="004C5AB9">
        <w:rPr>
          <w:i/>
          <w:iCs/>
          <w:sz w:val="32"/>
          <w:szCs w:val="32"/>
        </w:rPr>
        <w:t xml:space="preserve"> (Accessed: 18 June 2026).</w:t>
      </w:r>
    </w:p>
    <w:p w14:paraId="633D750F" w14:textId="77777777" w:rsidR="008B6E1F" w:rsidRPr="004C5AB9" w:rsidRDefault="008B6E1F" w:rsidP="00CE5A3D">
      <w:pPr>
        <w:jc w:val="both"/>
        <w:rPr>
          <w:i/>
          <w:iCs/>
          <w:sz w:val="32"/>
          <w:szCs w:val="32"/>
        </w:rPr>
      </w:pPr>
      <w:r w:rsidRPr="004C5AB9">
        <w:rPr>
          <w:i/>
          <w:iCs/>
          <w:sz w:val="32"/>
          <w:szCs w:val="32"/>
        </w:rPr>
        <w:t xml:space="preserve">Nursing and Midwifery Council (NMC) (2018) The Code: Professional standards of practice and behaviour for nurses, midwives and nursing associates. Available at: </w:t>
      </w:r>
      <w:hyperlink r:id="rId11" w:tgtFrame="_new" w:history="1">
        <w:r w:rsidRPr="004C5AB9">
          <w:rPr>
            <w:rStyle w:val="Hyperlink"/>
            <w:i/>
            <w:iCs/>
            <w:sz w:val="32"/>
            <w:szCs w:val="32"/>
          </w:rPr>
          <w:t>https://www.nmc.org.uk</w:t>
        </w:r>
      </w:hyperlink>
      <w:r w:rsidRPr="004C5AB9">
        <w:rPr>
          <w:i/>
          <w:iCs/>
          <w:sz w:val="32"/>
          <w:szCs w:val="32"/>
        </w:rPr>
        <w:t xml:space="preserve"> (Accessed: 18 June 2026).</w:t>
      </w:r>
    </w:p>
    <w:p w14:paraId="47C0AC92" w14:textId="77777777" w:rsidR="008B6E1F" w:rsidRPr="004C5AB9" w:rsidRDefault="008B6E1F" w:rsidP="00CE5A3D">
      <w:pPr>
        <w:jc w:val="both"/>
        <w:rPr>
          <w:i/>
          <w:iCs/>
          <w:sz w:val="32"/>
          <w:szCs w:val="32"/>
        </w:rPr>
      </w:pPr>
      <w:r w:rsidRPr="004C5AB9">
        <w:rPr>
          <w:i/>
          <w:iCs/>
          <w:sz w:val="32"/>
          <w:szCs w:val="32"/>
        </w:rPr>
        <w:t xml:space="preserve">Social Care Institute for Excellence (SCIE) (2024) Person-centred care guidance. London: SCIE. Available at: </w:t>
      </w:r>
      <w:hyperlink r:id="rId12" w:tgtFrame="_new" w:history="1">
        <w:r w:rsidRPr="004C5AB9">
          <w:rPr>
            <w:rStyle w:val="Hyperlink"/>
            <w:i/>
            <w:iCs/>
            <w:sz w:val="32"/>
            <w:szCs w:val="32"/>
          </w:rPr>
          <w:t>https://www.scie.org.uk/person-centred-care</w:t>
        </w:r>
      </w:hyperlink>
      <w:r w:rsidRPr="004C5AB9">
        <w:rPr>
          <w:i/>
          <w:iCs/>
          <w:sz w:val="32"/>
          <w:szCs w:val="32"/>
        </w:rPr>
        <w:t xml:space="preserve"> (Accessed: 18 June 2026).</w:t>
      </w:r>
    </w:p>
    <w:p w14:paraId="45A93B00" w14:textId="77777777" w:rsidR="008B6E1F" w:rsidRPr="004C5AB9" w:rsidRDefault="008B6E1F" w:rsidP="00CE5A3D">
      <w:pPr>
        <w:jc w:val="both"/>
        <w:rPr>
          <w:i/>
          <w:iCs/>
          <w:sz w:val="32"/>
          <w:szCs w:val="32"/>
        </w:rPr>
      </w:pPr>
      <w:r w:rsidRPr="004C5AB9">
        <w:rPr>
          <w:i/>
          <w:iCs/>
          <w:sz w:val="32"/>
          <w:szCs w:val="32"/>
        </w:rPr>
        <w:t xml:space="preserve">Skills for Care (2023) Working in partnership. Available at: </w:t>
      </w:r>
      <w:hyperlink r:id="rId13" w:tgtFrame="_new" w:history="1">
        <w:r w:rsidRPr="004C5AB9">
          <w:rPr>
            <w:rStyle w:val="Hyperlink"/>
            <w:i/>
            <w:iCs/>
            <w:sz w:val="32"/>
            <w:szCs w:val="32"/>
          </w:rPr>
          <w:t>https://www.skillsforcare.org.uk</w:t>
        </w:r>
      </w:hyperlink>
      <w:r w:rsidRPr="004C5AB9">
        <w:rPr>
          <w:i/>
          <w:iCs/>
          <w:sz w:val="32"/>
          <w:szCs w:val="32"/>
        </w:rPr>
        <w:t xml:space="preserve"> (Accessed: 18 June 2026).</w:t>
      </w:r>
    </w:p>
    <w:p w14:paraId="0849404D" w14:textId="1B474D5E" w:rsidR="008B6E1F" w:rsidRPr="004C5AB9" w:rsidRDefault="008B6E1F" w:rsidP="00CE5A3D">
      <w:pPr>
        <w:jc w:val="both"/>
        <w:rPr>
          <w:i/>
          <w:iCs/>
          <w:sz w:val="32"/>
          <w:szCs w:val="32"/>
        </w:rPr>
      </w:pPr>
      <w:r w:rsidRPr="004C5AB9">
        <w:rPr>
          <w:i/>
          <w:iCs/>
          <w:sz w:val="32"/>
          <w:szCs w:val="32"/>
        </w:rPr>
        <w:t>The Care Act 2014. London: HMSO.</w:t>
      </w:r>
      <w:r w:rsidR="00446D63" w:rsidRPr="00446D63">
        <w:rPr>
          <w:i/>
          <w:iCs/>
          <w:sz w:val="32"/>
          <w:szCs w:val="32"/>
        </w:rPr>
        <w:t xml:space="preserve"> </w:t>
      </w:r>
      <w:proofErr w:type="gramStart"/>
      <w:r w:rsidR="00446D63" w:rsidRPr="004C5AB9">
        <w:rPr>
          <w:i/>
          <w:iCs/>
          <w:sz w:val="32"/>
          <w:szCs w:val="32"/>
        </w:rPr>
        <w:t>.</w:t>
      </w:r>
      <w:r w:rsidR="00446D63">
        <w:rPr>
          <w:i/>
          <w:iCs/>
          <w:sz w:val="32"/>
          <w:szCs w:val="32"/>
        </w:rPr>
        <w:t>(</w:t>
      </w:r>
      <w:proofErr w:type="gramEnd"/>
      <w:r w:rsidR="00446D63">
        <w:rPr>
          <w:i/>
          <w:iCs/>
          <w:sz w:val="32"/>
          <w:szCs w:val="32"/>
        </w:rPr>
        <w:t>Accessed 29 May 2026)</w:t>
      </w:r>
    </w:p>
    <w:p w14:paraId="7D348084" w14:textId="54280AE7" w:rsidR="008B6E1F" w:rsidRPr="004C5AB9" w:rsidRDefault="008B6E1F" w:rsidP="00CE5A3D">
      <w:pPr>
        <w:jc w:val="both"/>
        <w:rPr>
          <w:i/>
          <w:iCs/>
          <w:sz w:val="32"/>
          <w:szCs w:val="32"/>
        </w:rPr>
      </w:pPr>
      <w:r w:rsidRPr="004C5AB9">
        <w:rPr>
          <w:i/>
          <w:iCs/>
          <w:sz w:val="32"/>
          <w:szCs w:val="32"/>
        </w:rPr>
        <w:t xml:space="preserve">Thompson, N. (2023) Understanding Person-centred Practice. London: Palgrave </w:t>
      </w:r>
      <w:proofErr w:type="gramStart"/>
      <w:r w:rsidRPr="004C5AB9">
        <w:rPr>
          <w:i/>
          <w:iCs/>
          <w:sz w:val="32"/>
          <w:szCs w:val="32"/>
        </w:rPr>
        <w:t>Macmillan.</w:t>
      </w:r>
      <w:r w:rsidR="003868B8">
        <w:rPr>
          <w:i/>
          <w:iCs/>
          <w:sz w:val="32"/>
          <w:szCs w:val="32"/>
        </w:rPr>
        <w:t>(</w:t>
      </w:r>
      <w:proofErr w:type="gramEnd"/>
      <w:r w:rsidR="003868B8">
        <w:rPr>
          <w:i/>
          <w:iCs/>
          <w:sz w:val="32"/>
          <w:szCs w:val="32"/>
        </w:rPr>
        <w:t>Accessed 29 May 2026)</w:t>
      </w:r>
    </w:p>
    <w:p w14:paraId="62335125" w14:textId="77777777" w:rsidR="008B6E1F" w:rsidRPr="004C5AB9" w:rsidRDefault="008B6E1F" w:rsidP="00CE5A3D">
      <w:pPr>
        <w:jc w:val="both"/>
        <w:rPr>
          <w:i/>
          <w:iCs/>
          <w:sz w:val="32"/>
          <w:szCs w:val="32"/>
        </w:rPr>
      </w:pPr>
      <w:r w:rsidRPr="004C5AB9">
        <w:rPr>
          <w:i/>
          <w:iCs/>
          <w:sz w:val="32"/>
          <w:szCs w:val="32"/>
        </w:rPr>
        <w:t xml:space="preserve">World Health Organization (WHO) (2021) Integrated people-centred health services. Available at: </w:t>
      </w:r>
      <w:hyperlink r:id="rId14" w:tgtFrame="_new" w:history="1">
        <w:r w:rsidRPr="004C5AB9">
          <w:rPr>
            <w:rStyle w:val="Hyperlink"/>
            <w:i/>
            <w:iCs/>
            <w:sz w:val="32"/>
            <w:szCs w:val="32"/>
          </w:rPr>
          <w:t>https://www.who.int</w:t>
        </w:r>
      </w:hyperlink>
      <w:r w:rsidRPr="004C5AB9">
        <w:rPr>
          <w:i/>
          <w:iCs/>
          <w:sz w:val="32"/>
          <w:szCs w:val="32"/>
        </w:rPr>
        <w:t xml:space="preserve"> (Accessed: 18 June 2026).</w:t>
      </w:r>
    </w:p>
    <w:p w14:paraId="4A0EA1EE" w14:textId="77777777" w:rsidR="008B6E1F" w:rsidRDefault="008B6E1F" w:rsidP="00CE5A3D">
      <w:pPr>
        <w:jc w:val="both"/>
        <w:rPr>
          <w:b/>
          <w:bCs/>
        </w:rPr>
      </w:pPr>
    </w:p>
    <w:p w14:paraId="16D9CC55" w14:textId="77777777" w:rsidR="00914083" w:rsidRPr="008D09E3" w:rsidRDefault="00914083" w:rsidP="00CE5A3D">
      <w:pPr>
        <w:jc w:val="both"/>
        <w:rPr>
          <w:b/>
          <w:bCs/>
        </w:rPr>
      </w:pPr>
    </w:p>
    <w:p w14:paraId="49944631" w14:textId="77777777" w:rsidR="00914083" w:rsidRPr="0070329E" w:rsidRDefault="00914083" w:rsidP="00CE5A3D">
      <w:pPr>
        <w:jc w:val="both"/>
      </w:pPr>
    </w:p>
    <w:p w14:paraId="15109C98" w14:textId="5F116586" w:rsidR="0070329E" w:rsidRPr="0070329E" w:rsidRDefault="0070329E" w:rsidP="00CE5A3D">
      <w:pPr>
        <w:jc w:val="both"/>
      </w:pPr>
    </w:p>
    <w:p w14:paraId="38E6784A" w14:textId="79040FDD" w:rsidR="0070329E" w:rsidRPr="0070329E" w:rsidRDefault="0070329E" w:rsidP="00CE5A3D">
      <w:pPr>
        <w:jc w:val="both"/>
      </w:pPr>
    </w:p>
    <w:p w14:paraId="533DE1BF" w14:textId="77777777" w:rsidR="00CB3A65" w:rsidRDefault="00CB3A65" w:rsidP="00CE5A3D">
      <w:pPr>
        <w:jc w:val="both"/>
      </w:pPr>
    </w:p>
    <w:sectPr w:rsidR="00CB3A65" w:rsidSect="00CE5A3D">
      <w:headerReference w:type="default" r:id="rId15"/>
      <w:footerReference w:type="default" r:id="rId16"/>
      <w:pgSz w:w="11906" w:h="16838"/>
      <w:pgMar w:top="1440" w:right="1440" w:bottom="1440" w:left="1440" w:header="85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852A6F" w14:textId="77777777" w:rsidR="00E171A2" w:rsidRDefault="00E171A2" w:rsidP="00FC4E10">
      <w:pPr>
        <w:spacing w:after="0" w:line="240" w:lineRule="auto"/>
      </w:pPr>
      <w:r>
        <w:separator/>
      </w:r>
    </w:p>
  </w:endnote>
  <w:endnote w:type="continuationSeparator" w:id="0">
    <w:p w14:paraId="278E134D" w14:textId="77777777" w:rsidR="00E171A2" w:rsidRDefault="00E171A2" w:rsidP="00FC4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5720614"/>
      <w:docPartObj>
        <w:docPartGallery w:val="Page Numbers (Bottom of Page)"/>
        <w:docPartUnique/>
      </w:docPartObj>
    </w:sdtPr>
    <w:sdtContent>
      <w:p w14:paraId="04331054" w14:textId="2476078F" w:rsidR="00F8081D" w:rsidRDefault="00F8081D">
        <w:pPr>
          <w:pStyle w:val="Footer"/>
          <w:jc w:val="right"/>
        </w:pPr>
        <w:r>
          <w:fldChar w:fldCharType="begin"/>
        </w:r>
        <w:r>
          <w:instrText>PAGE   \* MERGEFORMAT</w:instrText>
        </w:r>
        <w:r>
          <w:fldChar w:fldCharType="separate"/>
        </w:r>
        <w:r>
          <w:t>2</w:t>
        </w:r>
        <w:r>
          <w:fldChar w:fldCharType="end"/>
        </w:r>
      </w:p>
    </w:sdtContent>
  </w:sdt>
  <w:p w14:paraId="1E2396E6" w14:textId="77777777" w:rsidR="00F8081D" w:rsidRDefault="00F808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4D184" w14:textId="77777777" w:rsidR="00E171A2" w:rsidRDefault="00E171A2" w:rsidP="00FC4E10">
      <w:pPr>
        <w:spacing w:after="0" w:line="240" w:lineRule="auto"/>
      </w:pPr>
      <w:r>
        <w:separator/>
      </w:r>
    </w:p>
  </w:footnote>
  <w:footnote w:type="continuationSeparator" w:id="0">
    <w:p w14:paraId="13164872" w14:textId="77777777" w:rsidR="00E171A2" w:rsidRDefault="00E171A2" w:rsidP="00FC4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CB297" w14:textId="77777777" w:rsidR="00FC4E10" w:rsidRDefault="00FC4E10">
    <w:pPr>
      <w:pStyle w:val="Header"/>
    </w:pPr>
  </w:p>
  <w:p w14:paraId="64B79633" w14:textId="5ACAEA30" w:rsidR="00FC4E10" w:rsidRDefault="00FC4E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A0B"/>
    <w:rsid w:val="00016DC1"/>
    <w:rsid w:val="00055D7A"/>
    <w:rsid w:val="00064F07"/>
    <w:rsid w:val="0007566B"/>
    <w:rsid w:val="000869F7"/>
    <w:rsid w:val="0009786A"/>
    <w:rsid w:val="000D1332"/>
    <w:rsid w:val="000D60A8"/>
    <w:rsid w:val="000E54E2"/>
    <w:rsid w:val="001053C9"/>
    <w:rsid w:val="0011758B"/>
    <w:rsid w:val="00136CCF"/>
    <w:rsid w:val="00186237"/>
    <w:rsid w:val="001B41A9"/>
    <w:rsid w:val="001F6006"/>
    <w:rsid w:val="002505F4"/>
    <w:rsid w:val="002E7FFB"/>
    <w:rsid w:val="00307E98"/>
    <w:rsid w:val="00320ADC"/>
    <w:rsid w:val="00330701"/>
    <w:rsid w:val="00331EBD"/>
    <w:rsid w:val="003337B2"/>
    <w:rsid w:val="00345FEC"/>
    <w:rsid w:val="0035339B"/>
    <w:rsid w:val="003568CC"/>
    <w:rsid w:val="00364447"/>
    <w:rsid w:val="00385FAB"/>
    <w:rsid w:val="0038627A"/>
    <w:rsid w:val="003868B8"/>
    <w:rsid w:val="0039336C"/>
    <w:rsid w:val="00396A0B"/>
    <w:rsid w:val="003E008C"/>
    <w:rsid w:val="00446D63"/>
    <w:rsid w:val="00464BCF"/>
    <w:rsid w:val="004659B2"/>
    <w:rsid w:val="0049111F"/>
    <w:rsid w:val="00494F24"/>
    <w:rsid w:val="00497635"/>
    <w:rsid w:val="004B0CB4"/>
    <w:rsid w:val="004C1769"/>
    <w:rsid w:val="004C5AB9"/>
    <w:rsid w:val="0054325E"/>
    <w:rsid w:val="005551AD"/>
    <w:rsid w:val="005B4946"/>
    <w:rsid w:val="005C1036"/>
    <w:rsid w:val="005E26C8"/>
    <w:rsid w:val="005E31B1"/>
    <w:rsid w:val="00650292"/>
    <w:rsid w:val="006A13CC"/>
    <w:rsid w:val="0070329E"/>
    <w:rsid w:val="007626C8"/>
    <w:rsid w:val="00770958"/>
    <w:rsid w:val="00770A6F"/>
    <w:rsid w:val="007842AA"/>
    <w:rsid w:val="007B311B"/>
    <w:rsid w:val="007B5CA8"/>
    <w:rsid w:val="007C24D1"/>
    <w:rsid w:val="008015A9"/>
    <w:rsid w:val="00813495"/>
    <w:rsid w:val="008B6E1F"/>
    <w:rsid w:val="008C7359"/>
    <w:rsid w:val="008D09E3"/>
    <w:rsid w:val="00900A7E"/>
    <w:rsid w:val="00914083"/>
    <w:rsid w:val="00A04EE3"/>
    <w:rsid w:val="00A53B8A"/>
    <w:rsid w:val="00AB23ED"/>
    <w:rsid w:val="00AC17A2"/>
    <w:rsid w:val="00B03140"/>
    <w:rsid w:val="00B71A03"/>
    <w:rsid w:val="00BD5FB5"/>
    <w:rsid w:val="00C20B61"/>
    <w:rsid w:val="00C62A6E"/>
    <w:rsid w:val="00C762A7"/>
    <w:rsid w:val="00CB0E1B"/>
    <w:rsid w:val="00CB3A65"/>
    <w:rsid w:val="00CC565B"/>
    <w:rsid w:val="00CE5A3D"/>
    <w:rsid w:val="00CF1C7C"/>
    <w:rsid w:val="00CF4E6A"/>
    <w:rsid w:val="00CF6CF1"/>
    <w:rsid w:val="00D04B9E"/>
    <w:rsid w:val="00D54D38"/>
    <w:rsid w:val="00D56943"/>
    <w:rsid w:val="00DF0418"/>
    <w:rsid w:val="00E171A2"/>
    <w:rsid w:val="00E40568"/>
    <w:rsid w:val="00E6748B"/>
    <w:rsid w:val="00E75CF2"/>
    <w:rsid w:val="00E771EB"/>
    <w:rsid w:val="00EB1364"/>
    <w:rsid w:val="00F11866"/>
    <w:rsid w:val="00F3088E"/>
    <w:rsid w:val="00F8081D"/>
    <w:rsid w:val="00F856C1"/>
    <w:rsid w:val="00FA1034"/>
    <w:rsid w:val="00FC4AE2"/>
    <w:rsid w:val="00FC4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8B7EF"/>
  <w15:chartTrackingRefBased/>
  <w15:docId w15:val="{9A921E1F-F9BB-4F13-8E2F-427F44699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A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6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6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A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6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96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A0B"/>
    <w:rPr>
      <w:rFonts w:eastAsiaTheme="majorEastAsia" w:cstheme="majorBidi"/>
      <w:color w:val="272727" w:themeColor="text1" w:themeTint="D8"/>
    </w:rPr>
  </w:style>
  <w:style w:type="paragraph" w:styleId="Title">
    <w:name w:val="Title"/>
    <w:basedOn w:val="Normal"/>
    <w:next w:val="Normal"/>
    <w:link w:val="TitleChar"/>
    <w:uiPriority w:val="10"/>
    <w:qFormat/>
    <w:rsid w:val="00396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A0B"/>
    <w:pPr>
      <w:spacing w:before="160"/>
      <w:jc w:val="center"/>
    </w:pPr>
    <w:rPr>
      <w:i/>
      <w:iCs/>
      <w:color w:val="404040" w:themeColor="text1" w:themeTint="BF"/>
    </w:rPr>
  </w:style>
  <w:style w:type="character" w:customStyle="1" w:styleId="QuoteChar">
    <w:name w:val="Quote Char"/>
    <w:basedOn w:val="DefaultParagraphFont"/>
    <w:link w:val="Quote"/>
    <w:uiPriority w:val="29"/>
    <w:rsid w:val="00396A0B"/>
    <w:rPr>
      <w:i/>
      <w:iCs/>
      <w:color w:val="404040" w:themeColor="text1" w:themeTint="BF"/>
    </w:rPr>
  </w:style>
  <w:style w:type="paragraph" w:styleId="ListParagraph">
    <w:name w:val="List Paragraph"/>
    <w:basedOn w:val="Normal"/>
    <w:uiPriority w:val="34"/>
    <w:qFormat/>
    <w:rsid w:val="00396A0B"/>
    <w:pPr>
      <w:ind w:left="720"/>
      <w:contextualSpacing/>
    </w:pPr>
  </w:style>
  <w:style w:type="character" w:styleId="IntenseEmphasis">
    <w:name w:val="Intense Emphasis"/>
    <w:basedOn w:val="DefaultParagraphFont"/>
    <w:uiPriority w:val="21"/>
    <w:qFormat/>
    <w:rsid w:val="00396A0B"/>
    <w:rPr>
      <w:i/>
      <w:iCs/>
      <w:color w:val="0F4761" w:themeColor="accent1" w:themeShade="BF"/>
    </w:rPr>
  </w:style>
  <w:style w:type="paragraph" w:styleId="IntenseQuote">
    <w:name w:val="Intense Quote"/>
    <w:basedOn w:val="Normal"/>
    <w:next w:val="Normal"/>
    <w:link w:val="IntenseQuoteChar"/>
    <w:uiPriority w:val="30"/>
    <w:qFormat/>
    <w:rsid w:val="00396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A0B"/>
    <w:rPr>
      <w:i/>
      <w:iCs/>
      <w:color w:val="0F4761" w:themeColor="accent1" w:themeShade="BF"/>
    </w:rPr>
  </w:style>
  <w:style w:type="character" w:styleId="IntenseReference">
    <w:name w:val="Intense Reference"/>
    <w:basedOn w:val="DefaultParagraphFont"/>
    <w:uiPriority w:val="32"/>
    <w:qFormat/>
    <w:rsid w:val="00396A0B"/>
    <w:rPr>
      <w:b/>
      <w:bCs/>
      <w:smallCaps/>
      <w:color w:val="0F4761" w:themeColor="accent1" w:themeShade="BF"/>
      <w:spacing w:val="5"/>
    </w:rPr>
  </w:style>
  <w:style w:type="paragraph" w:customStyle="1" w:styleId="isselectedend">
    <w:name w:val="isselectedend"/>
    <w:basedOn w:val="Normal"/>
    <w:rsid w:val="004C17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4C17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C4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E10"/>
  </w:style>
  <w:style w:type="paragraph" w:styleId="Footer">
    <w:name w:val="footer"/>
    <w:basedOn w:val="Normal"/>
    <w:link w:val="FooterChar"/>
    <w:uiPriority w:val="99"/>
    <w:unhideWhenUsed/>
    <w:rsid w:val="00FC4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E10"/>
  </w:style>
  <w:style w:type="character" w:styleId="Hyperlink">
    <w:name w:val="Hyperlink"/>
    <w:basedOn w:val="DefaultParagraphFont"/>
    <w:uiPriority w:val="99"/>
    <w:unhideWhenUsed/>
    <w:rsid w:val="00770958"/>
    <w:rPr>
      <w:color w:val="467886" w:themeColor="hyperlink"/>
      <w:u w:val="single"/>
    </w:rPr>
  </w:style>
  <w:style w:type="character" w:styleId="UnresolvedMention">
    <w:name w:val="Unresolved Mention"/>
    <w:basedOn w:val="DefaultParagraphFont"/>
    <w:uiPriority w:val="99"/>
    <w:semiHidden/>
    <w:unhideWhenUsed/>
    <w:rsid w:val="00770958"/>
    <w:rPr>
      <w:color w:val="605E5C"/>
      <w:shd w:val="clear" w:color="auto" w:fill="E1DFDD"/>
    </w:rPr>
  </w:style>
  <w:style w:type="paragraph" w:styleId="TOCHeading">
    <w:name w:val="TOC Heading"/>
    <w:basedOn w:val="Heading1"/>
    <w:next w:val="Normal"/>
    <w:uiPriority w:val="39"/>
    <w:unhideWhenUsed/>
    <w:qFormat/>
    <w:rsid w:val="0035339B"/>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35339B"/>
    <w:pPr>
      <w:spacing w:after="100"/>
      <w:ind w:left="480"/>
    </w:pPr>
  </w:style>
  <w:style w:type="paragraph" w:customStyle="1" w:styleId="pdq2pgselectionanchorcontainer">
    <w:name w:val="pdq2pg_selectionanchorcontainer"/>
    <w:basedOn w:val="Normal"/>
    <w:rsid w:val="0039336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2/31/contents" TargetMode="External"/><Relationship Id="rId13" Type="http://schemas.openxmlformats.org/officeDocument/2006/relationships/hyperlink" Target="https://www.skillsforcare.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qc.org.uk/guidance-providers/adult-social-care/person-centred-care" TargetMode="External"/><Relationship Id="rId12" Type="http://schemas.openxmlformats.org/officeDocument/2006/relationships/hyperlink" Target="https://www.scie.org.uk/person-centred-ca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mc.org.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ice.org.uk/guidance/ng197" TargetMode="External"/><Relationship Id="rId4" Type="http://schemas.openxmlformats.org/officeDocument/2006/relationships/webSettings" Target="webSettings.xml"/><Relationship Id="rId9" Type="http://schemas.openxmlformats.org/officeDocument/2006/relationships/hyperlink" Target="https://www.longtermplan.nhs.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0A7BBE-62BD-4E88-8B34-0E834804F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2767</Words>
  <Characters>15776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ahmar mahmood</cp:lastModifiedBy>
  <cp:revision>93</cp:revision>
  <dcterms:created xsi:type="dcterms:W3CDTF">2026-06-11T08:09:00Z</dcterms:created>
  <dcterms:modified xsi:type="dcterms:W3CDTF">2026-06-25T10:26:00Z</dcterms:modified>
</cp:coreProperties>
</file>