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D299B" w14:textId="266B86B5" w:rsidR="001B0507" w:rsidRDefault="00EC42EA" w:rsidP="007D57CD">
      <w:pPr>
        <w:spacing w:line="240" w:lineRule="auto"/>
      </w:pPr>
      <w:r>
        <w:t>European folktales have not been traditionally known for having strong female protagonists</w:t>
      </w:r>
      <w:r w:rsidR="004C532F">
        <w:t>, or even</w:t>
      </w:r>
      <w:r w:rsidR="006722B5">
        <w:t xml:space="preserve"> </w:t>
      </w:r>
      <w:r w:rsidR="003F114E">
        <w:t>female supporting characters</w:t>
      </w:r>
      <w:r w:rsidR="005B7995">
        <w:t xml:space="preserve"> who aren’t </w:t>
      </w:r>
      <w:r w:rsidR="00B146DB">
        <w:t>just passive love interests</w:t>
      </w:r>
      <w:r w:rsidR="00777EDC">
        <w:t xml:space="preserve"> needing to be saved</w:t>
      </w:r>
      <w:r w:rsidR="001E11E4">
        <w:t xml:space="preserve"> by a man</w:t>
      </w:r>
      <w:r w:rsidR="00696291">
        <w:t xml:space="preserve"> or an evil </w:t>
      </w:r>
      <w:r w:rsidR="00CB76E1">
        <w:t>old hag</w:t>
      </w:r>
      <w:r w:rsidR="00C274DA">
        <w:t xml:space="preserve"> who serves as an antagonist.</w:t>
      </w:r>
      <w:r w:rsidR="003326AF">
        <w:t xml:space="preserve"> Female characters are either demur</w:t>
      </w:r>
      <w:r w:rsidR="00BD7519">
        <w:t xml:space="preserve"> and dependent</w:t>
      </w:r>
      <w:r w:rsidR="00CB0F4C">
        <w:t xml:space="preserve"> </w:t>
      </w:r>
      <w:r w:rsidR="008B0EAB">
        <w:t xml:space="preserve">or </w:t>
      </w:r>
      <w:r w:rsidR="00301E27">
        <w:t>ugly and cruel</w:t>
      </w:r>
      <w:r w:rsidR="007145F5">
        <w:t>,</w:t>
      </w:r>
      <w:r w:rsidR="00E462D9">
        <w:t xml:space="preserve"> and there are only a small </w:t>
      </w:r>
      <w:proofErr w:type="gramStart"/>
      <w:r w:rsidR="00E462D9">
        <w:t>amount</w:t>
      </w:r>
      <w:proofErr w:type="gramEnd"/>
      <w:r w:rsidR="002F0B97">
        <w:t xml:space="preserve"> of E</w:t>
      </w:r>
      <w:r w:rsidR="003708A7">
        <w:t>uropean</w:t>
      </w:r>
      <w:r w:rsidR="00707C0C">
        <w:t xml:space="preserve"> folktales</w:t>
      </w:r>
      <w:r w:rsidR="00AE41D0">
        <w:t xml:space="preserve"> with</w:t>
      </w:r>
      <w:r w:rsidR="007145F5">
        <w:t xml:space="preserve"> heroic female characters and protagonists.</w:t>
      </w:r>
      <w:r w:rsidR="00A018F1">
        <w:t xml:space="preserve"> </w:t>
      </w:r>
      <w:r w:rsidR="00DC0B0A">
        <w:t>Some feminist folklorists</w:t>
      </w:r>
      <w:r w:rsidR="00A737A8">
        <w:t xml:space="preserve"> </w:t>
      </w:r>
      <w:r w:rsidR="003D221A">
        <w:t>suggest</w:t>
      </w:r>
      <w:r w:rsidR="00A737A8">
        <w:t xml:space="preserve"> that w</w:t>
      </w:r>
      <w:r w:rsidR="00A018F1">
        <w:t>hen women are heroic in folktales,</w:t>
      </w:r>
      <w:r w:rsidR="00AE7D4D">
        <w:t xml:space="preserve"> it is at the cost of their femininity as they usually disguise themselves as </w:t>
      </w:r>
      <w:r w:rsidR="00DE1FBA">
        <w:t xml:space="preserve">a </w:t>
      </w:r>
      <w:r w:rsidR="00AE7D4D">
        <w:t>m</w:t>
      </w:r>
      <w:r w:rsidR="00DE1FBA">
        <w:t>a</w:t>
      </w:r>
      <w:r w:rsidR="00AE7D4D">
        <w:t xml:space="preserve">n </w:t>
      </w:r>
      <w:r w:rsidR="00D145C5">
        <w:t xml:space="preserve">or </w:t>
      </w:r>
      <w:r w:rsidR="00217E4B">
        <w:t>b</w:t>
      </w:r>
      <w:r w:rsidR="00D145C5">
        <w:t xml:space="preserve">e transformed into a man </w:t>
      </w:r>
      <w:proofErr w:type="gramStart"/>
      <w:r w:rsidR="00D145C5">
        <w:t>in order to</w:t>
      </w:r>
      <w:proofErr w:type="gramEnd"/>
      <w:r w:rsidR="00D145C5">
        <w:t xml:space="preserve"> be </w:t>
      </w:r>
      <w:r w:rsidR="009B06B3">
        <w:t xml:space="preserve">seen as </w:t>
      </w:r>
      <w:r w:rsidR="002D57B4">
        <w:t xml:space="preserve">a hero, </w:t>
      </w:r>
      <w:r w:rsidR="00DE1FBA">
        <w:t xml:space="preserve">which they believe </w:t>
      </w:r>
      <w:r w:rsidR="002D57B4">
        <w:t>impl</w:t>
      </w:r>
      <w:r w:rsidR="003D221A">
        <w:t>ies</w:t>
      </w:r>
      <w:r w:rsidR="002D57B4">
        <w:t xml:space="preserve"> that</w:t>
      </w:r>
      <w:r w:rsidR="003D221A">
        <w:t xml:space="preserve"> a</w:t>
      </w:r>
      <w:r w:rsidR="002D57B4">
        <w:t xml:space="preserve"> wom</w:t>
      </w:r>
      <w:r w:rsidR="003D221A">
        <w:t>a</w:t>
      </w:r>
      <w:r w:rsidR="002D57B4">
        <w:t>n cannot truly be strong unless</w:t>
      </w:r>
      <w:r w:rsidR="000F4CA3">
        <w:t xml:space="preserve"> they are functionally or actually a man</w:t>
      </w:r>
      <w:r w:rsidR="00D37C3D">
        <w:t xml:space="preserve"> [1].</w:t>
      </w:r>
    </w:p>
    <w:p w14:paraId="62BC2179" w14:textId="70ED3910" w:rsidR="00BF3602" w:rsidRDefault="00BF3602" w:rsidP="00BF3602">
      <w:pPr>
        <w:spacing w:line="240" w:lineRule="auto"/>
      </w:pPr>
      <w:r>
        <w:t xml:space="preserve">‘The Girl Who Pretended to be a Boy’ is a fairytale of Albanian origin, and though it was translated into French and also features in Andrew Lang’s Violet Fairy Book, the most common variations of the tale come from </w:t>
      </w:r>
      <w:proofErr w:type="gramStart"/>
      <w:r>
        <w:t>South Eastern</w:t>
      </w:r>
      <w:proofErr w:type="gramEnd"/>
      <w:r>
        <w:t xml:space="preserve"> Europe, namely Romania and North Macedonia. In all versions of the story, the protagonist is a young girl who disguises herself as a boy and completes a series of challenges with the help of a </w:t>
      </w:r>
      <w:proofErr w:type="spellStart"/>
      <w:r>
        <w:t>talking</w:t>
      </w:r>
      <w:proofErr w:type="spellEnd"/>
      <w:r>
        <w:t xml:space="preserve"> horse, ending with her being transformed into a boy and winning the hand of a princess in marriage</w:t>
      </w:r>
      <w:r w:rsidR="00372B21">
        <w:t>. This narrative plot is an exact match for</w:t>
      </w:r>
      <w:r w:rsidR="00C8240C">
        <w:t xml:space="preserve"> the folktale type ATU 514</w:t>
      </w:r>
      <w:r w:rsidR="0027144E">
        <w:t xml:space="preserve"> ‘The Shift in Sex’</w:t>
      </w:r>
      <w:r w:rsidR="0036616F">
        <w:t>,</w:t>
      </w:r>
      <w:r w:rsidR="00EB065D">
        <w:t xml:space="preserve"> though this narrative plot</w:t>
      </w:r>
      <w:r w:rsidR="000C1A73">
        <w:t xml:space="preserve"> is seen more</w:t>
      </w:r>
      <w:r w:rsidR="00D92D52">
        <w:t xml:space="preserve"> positively than the general</w:t>
      </w:r>
      <w:r w:rsidR="00AD0ED1">
        <w:t xml:space="preserve"> stereotype of women only being able to be heroic</w:t>
      </w:r>
      <w:r w:rsidR="00F60E4B">
        <w:t xml:space="preserve"> if they are disguised as men</w:t>
      </w:r>
      <w:r w:rsidR="00B57E97">
        <w:t xml:space="preserve">, being instead </w:t>
      </w:r>
      <w:r w:rsidR="005A53C1">
        <w:t xml:space="preserve">suggested to be transgender </w:t>
      </w:r>
      <w:r w:rsidR="00FF2770">
        <w:t xml:space="preserve">representation </w:t>
      </w:r>
      <w:r w:rsidR="00D5246D">
        <w:t>that is also</w:t>
      </w:r>
      <w:r w:rsidR="00FF2770">
        <w:t xml:space="preserve"> </w:t>
      </w:r>
      <w:r w:rsidR="00D5246D">
        <w:t>positively perceived and rewarded within the narrative</w:t>
      </w:r>
      <w:r w:rsidR="00691B1F">
        <w:t xml:space="preserve"> as the protagonist always gets a happily ever after</w:t>
      </w:r>
      <w:r w:rsidR="00607A58">
        <w:t xml:space="preserve"> </w:t>
      </w:r>
      <w:r w:rsidR="005A5B44">
        <w:t>[2]</w:t>
      </w:r>
      <w:r>
        <w:t>.</w:t>
      </w:r>
    </w:p>
    <w:p w14:paraId="35E263E9" w14:textId="3858EA6A" w:rsidR="00E81FD1" w:rsidRDefault="00DA3458" w:rsidP="0014711F">
      <w:pPr>
        <w:spacing w:line="240" w:lineRule="auto"/>
      </w:pPr>
      <w:r>
        <w:t xml:space="preserve">The first version of this story I came across was ‘The Girl Who Became a Boy’, in Peter Stevenson’s book ‘Boggarts, Trolls &amp; </w:t>
      </w:r>
      <w:proofErr w:type="spellStart"/>
      <w:r>
        <w:t>Tylwyth</w:t>
      </w:r>
      <w:proofErr w:type="spellEnd"/>
      <w:r>
        <w:t xml:space="preserve"> Teg’, where he describes the story as being an exploration of gender boundaries. His story is set in Northen Albania and begins with a father who is upset that he has no sons to send to war due to his sons having died in a blood feud and leaving him with three daughters. While the two oldest daughters offer to marry a soldier for him, the youngest daughter, Nora, says she will disguise herself as a boy and fight in the war herself. She points out </w:t>
      </w:r>
      <w:proofErr w:type="gramStart"/>
      <w:r>
        <w:t>a number of</w:t>
      </w:r>
      <w:proofErr w:type="gramEnd"/>
      <w:r>
        <w:t xml:space="preserve"> men in their village, who she reveals used to be women whose male family members died and they became men to take over their roles. While Nora enlists, a multi-headed dragon called </w:t>
      </w:r>
      <w:proofErr w:type="spellStart"/>
      <w:r>
        <w:t>Kulshedra</w:t>
      </w:r>
      <w:proofErr w:type="spellEnd"/>
      <w:r>
        <w:t xml:space="preserve"> comes to the village to eat all the children. The King offers his son as a sacrifice to spare the other children and leaves him in the town square. Nora saves the </w:t>
      </w:r>
      <w:proofErr w:type="gramStart"/>
      <w:r>
        <w:t>Prince</w:t>
      </w:r>
      <w:proofErr w:type="gramEnd"/>
      <w:r>
        <w:t xml:space="preserve"> by cutting off one of </w:t>
      </w:r>
      <w:proofErr w:type="spellStart"/>
      <w:r>
        <w:t>Kulshedra’s</w:t>
      </w:r>
      <w:proofErr w:type="spellEnd"/>
      <w:r>
        <w:t xml:space="preserve"> heads, and the prince tells him to ask for his father’s horse as a reward as it is magical. The horse, </w:t>
      </w:r>
      <w:proofErr w:type="spellStart"/>
      <w:r>
        <w:t>Demirçil</w:t>
      </w:r>
      <w:proofErr w:type="spellEnd"/>
      <w:r>
        <w:t xml:space="preserve">, takes Nora across the border to the land of the Mountain Queen, where soldiers are competing for the hand of her daughter, Illyria. Illyria wishes to marry Nora as he values her consent in the marriage. The Queen’s courtiers are suspicious of Nora and send him on impossible quests, which Nora completes with </w:t>
      </w:r>
      <w:proofErr w:type="spellStart"/>
      <w:r>
        <w:t>Demirçil’s</w:t>
      </w:r>
      <w:proofErr w:type="spellEnd"/>
      <w:r>
        <w:t xml:space="preserve"> help, and on the last quest returns dressed once more as a girl, revealing himself to also be the soldier who then marries Illyria [</w:t>
      </w:r>
      <w:r w:rsidR="00607A58">
        <w:t>3</w:t>
      </w:r>
      <w:r>
        <w:t xml:space="preserve">]. </w:t>
      </w:r>
    </w:p>
    <w:p w14:paraId="4E69CD4C" w14:textId="77777777" w:rsidR="00C5799F" w:rsidRDefault="00C5799F" w:rsidP="0014711F">
      <w:pPr>
        <w:spacing w:line="240" w:lineRule="auto"/>
      </w:pPr>
    </w:p>
    <w:p w14:paraId="16AE0F40" w14:textId="77777777" w:rsidR="00E81FD1" w:rsidRDefault="00E81FD1" w:rsidP="00543E58">
      <w:pPr>
        <w:pBdr>
          <w:top w:val="single" w:sz="12" w:space="1" w:color="auto"/>
        </w:pBdr>
        <w:spacing w:line="240" w:lineRule="auto"/>
        <w:ind w:left="284" w:right="521"/>
      </w:pPr>
      <w:r>
        <w:t>[1] Jessica Hooker,</w:t>
      </w:r>
      <w:r w:rsidRPr="004341EC">
        <w:t xml:space="preserve"> </w:t>
      </w:r>
      <w:r>
        <w:t>‘T</w:t>
      </w:r>
      <w:r w:rsidRPr="004341EC">
        <w:t xml:space="preserve">he Hen Who Sang: </w:t>
      </w:r>
      <w:proofErr w:type="spellStart"/>
      <w:r w:rsidRPr="004341EC">
        <w:t>Swordbearing</w:t>
      </w:r>
      <w:proofErr w:type="spellEnd"/>
      <w:r w:rsidRPr="004341EC">
        <w:t xml:space="preserve"> Women in Eastern European Fairytales</w:t>
      </w:r>
      <w:r>
        <w:t xml:space="preserve">’, </w:t>
      </w:r>
      <w:r w:rsidRPr="004341EC">
        <w:rPr>
          <w:i/>
          <w:iCs/>
        </w:rPr>
        <w:t>Folklore</w:t>
      </w:r>
      <w:r>
        <w:t xml:space="preserve">, volume </w:t>
      </w:r>
      <w:proofErr w:type="gramStart"/>
      <w:r>
        <w:t>101:II</w:t>
      </w:r>
      <w:proofErr w:type="gramEnd"/>
      <w:r>
        <w:t xml:space="preserve"> (1990), 178-184 (178).</w:t>
      </w:r>
    </w:p>
    <w:p w14:paraId="30CF9143" w14:textId="100C96F7" w:rsidR="002734A7" w:rsidRDefault="004F6EA3" w:rsidP="00543E58">
      <w:pPr>
        <w:pBdr>
          <w:top w:val="single" w:sz="12" w:space="1" w:color="auto"/>
        </w:pBdr>
        <w:spacing w:line="240" w:lineRule="auto"/>
        <w:ind w:left="284" w:right="521"/>
      </w:pPr>
      <w:r>
        <w:t>[</w:t>
      </w:r>
      <w:r w:rsidR="00607A58">
        <w:t>2</w:t>
      </w:r>
      <w:r>
        <w:t xml:space="preserve">] </w:t>
      </w:r>
      <w:bookmarkStart w:id="0" w:name="_Hlk162009034"/>
      <w:r w:rsidR="000F75CE" w:rsidRPr="00DD5ED3">
        <w:rPr>
          <w:i/>
          <w:iCs/>
        </w:rPr>
        <w:t>The Transgender Imagination in Folk Narratives: The Case of ATU 514, “The Shift of Sex”</w:t>
      </w:r>
      <w:r w:rsidR="00926475">
        <w:t xml:space="preserve"> (2021)</w:t>
      </w:r>
      <w:r w:rsidR="00D92029">
        <w:t>,</w:t>
      </w:r>
      <w:r w:rsidR="00DD5ED3">
        <w:t xml:space="preserve"> </w:t>
      </w:r>
      <w:r w:rsidR="00DD5ED3" w:rsidRPr="00DD5ED3">
        <w:t>De Gruyter Open Access</w:t>
      </w:r>
      <w:r w:rsidR="00DD5ED3">
        <w:t xml:space="preserve"> &lt;</w:t>
      </w:r>
      <w:r w:rsidR="00DD5ED3" w:rsidRPr="00DD5ED3">
        <w:t xml:space="preserve"> </w:t>
      </w:r>
      <w:r w:rsidR="00516768" w:rsidRPr="00516768">
        <w:t>https://www.degruyter.com/document/doi/</w:t>
      </w:r>
      <w:r w:rsidR="00516768">
        <w:t xml:space="preserve"> </w:t>
      </w:r>
      <w:r w:rsidR="00DD5ED3" w:rsidRPr="003D06CC">
        <w:t>10.1515/culture-2020-0133/html</w:t>
      </w:r>
      <w:r w:rsidR="00DD5ED3">
        <w:t xml:space="preserve">&gt; </w:t>
      </w:r>
      <w:r w:rsidR="003D06CC">
        <w:t>[Accessed 0</w:t>
      </w:r>
      <w:r w:rsidR="00516768">
        <w:t>9/03/24]</w:t>
      </w:r>
      <w:r w:rsidR="00607A58">
        <w:t>.</w:t>
      </w:r>
      <w:r w:rsidR="00D93A34">
        <w:t xml:space="preserve"> Under ‘Abstract’.</w:t>
      </w:r>
    </w:p>
    <w:bookmarkEnd w:id="0"/>
    <w:p w14:paraId="2E8BC2BF" w14:textId="2B67FFFB" w:rsidR="00E81FD1" w:rsidRDefault="00E81FD1" w:rsidP="00543E58">
      <w:pPr>
        <w:pBdr>
          <w:top w:val="single" w:sz="12" w:space="1" w:color="auto"/>
        </w:pBdr>
        <w:spacing w:line="240" w:lineRule="auto"/>
        <w:ind w:left="284" w:right="521"/>
      </w:pPr>
      <w:r>
        <w:t>[</w:t>
      </w:r>
      <w:r w:rsidR="00607A58">
        <w:t>3</w:t>
      </w:r>
      <w:r>
        <w:t xml:space="preserve">] Peter Stevenson, ‘The Girl Who Became a Boy’ in </w:t>
      </w:r>
      <w:r w:rsidRPr="00F20769">
        <w:rPr>
          <w:i/>
          <w:iCs/>
        </w:rPr>
        <w:t xml:space="preserve">Boggarts, Trolls &amp; </w:t>
      </w:r>
      <w:proofErr w:type="spellStart"/>
      <w:r w:rsidRPr="00F20769">
        <w:rPr>
          <w:i/>
          <w:iCs/>
        </w:rPr>
        <w:t>Tylwyth</w:t>
      </w:r>
      <w:proofErr w:type="spellEnd"/>
      <w:r w:rsidRPr="00F20769">
        <w:rPr>
          <w:i/>
          <w:iCs/>
        </w:rPr>
        <w:t xml:space="preserve"> Teg: Folktales of Hidden People &amp; Lost Lands</w:t>
      </w:r>
      <w:r>
        <w:t xml:space="preserve"> (Cheltenham: The History Press, 2023), 107-112 (109-112).</w:t>
      </w:r>
    </w:p>
    <w:p w14:paraId="5AF39C81" w14:textId="77777777" w:rsidR="00E81FD1" w:rsidRDefault="00E81FD1" w:rsidP="0014711F">
      <w:pPr>
        <w:spacing w:line="240" w:lineRule="auto"/>
      </w:pPr>
    </w:p>
    <w:p w14:paraId="417AB8D1" w14:textId="77777777" w:rsidR="00016868" w:rsidRDefault="00016868" w:rsidP="0014711F">
      <w:pPr>
        <w:spacing w:line="240" w:lineRule="auto"/>
      </w:pPr>
    </w:p>
    <w:p w14:paraId="0FA0B755" w14:textId="77777777" w:rsidR="001F5C30" w:rsidRDefault="001F5C30" w:rsidP="0014711F">
      <w:pPr>
        <w:spacing w:line="240" w:lineRule="auto"/>
      </w:pPr>
    </w:p>
    <w:p w14:paraId="565B06E8" w14:textId="497EF093" w:rsidR="00446FEC" w:rsidRDefault="007B6EB3" w:rsidP="0014711F">
      <w:pPr>
        <w:spacing w:line="240" w:lineRule="auto"/>
      </w:pPr>
      <w:r>
        <w:lastRenderedPageBreak/>
        <w:t>Nora’s</w:t>
      </w:r>
      <w:r w:rsidR="008C2718">
        <w:t xml:space="preserve"> description in this version of the men in the village who used to be women</w:t>
      </w:r>
      <w:r w:rsidR="00763845">
        <w:t xml:space="preserve"> is in refe</w:t>
      </w:r>
      <w:r w:rsidR="003F6323">
        <w:t>rence to ‘Sworn Virgins’</w:t>
      </w:r>
      <w:r w:rsidR="00CA0DB2">
        <w:t>, a tradition existing in the</w:t>
      </w:r>
      <w:r w:rsidR="00CA0DB2" w:rsidRPr="00CA0DB2">
        <w:t xml:space="preserve"> </w:t>
      </w:r>
      <w:r w:rsidR="00CA0DB2">
        <w:t>Southern Balkans</w:t>
      </w:r>
      <w:r w:rsidR="00F764FC">
        <w:t xml:space="preserve"> where, in the absence of male heirs, a woman either at birth </w:t>
      </w:r>
      <w:r w:rsidR="003C4979">
        <w:t xml:space="preserve">by her parents </w:t>
      </w:r>
      <w:r w:rsidR="00F764FC">
        <w:t>or at her own choice later in life</w:t>
      </w:r>
      <w:r w:rsidR="003C4979">
        <w:t xml:space="preserve"> will be declared a man</w:t>
      </w:r>
      <w:r w:rsidR="00F977E8">
        <w:t xml:space="preserve"> </w:t>
      </w:r>
      <w:r w:rsidR="005E2A1A">
        <w:t>and swear</w:t>
      </w:r>
      <w:r w:rsidR="00441C82">
        <w:t xml:space="preserve"> their</w:t>
      </w:r>
      <w:r w:rsidR="005E2A1A">
        <w:t xml:space="preserve"> virginity.</w:t>
      </w:r>
      <w:r w:rsidR="00A70F4C">
        <w:t xml:space="preserve"> This tradition is a result of the Southern Balkans deeply patriarchal society</w:t>
      </w:r>
      <w:r w:rsidR="00C53C2A">
        <w:t>, particularly in Northen</w:t>
      </w:r>
      <w:r w:rsidR="0032161D">
        <w:t xml:space="preserve"> Albania</w:t>
      </w:r>
      <w:r w:rsidR="00446045">
        <w:t xml:space="preserve"> which is where</w:t>
      </w:r>
      <w:r w:rsidR="00A0326D">
        <w:t xml:space="preserve"> ‘The Girl Who Became a Boy’ is set</w:t>
      </w:r>
      <w:r w:rsidR="00696775">
        <w:t xml:space="preserve">, and </w:t>
      </w:r>
      <w:r w:rsidR="00C163FF">
        <w:t>still has</w:t>
      </w:r>
      <w:r w:rsidR="007F6393">
        <w:t xml:space="preserve"> </w:t>
      </w:r>
      <w:r w:rsidR="00696775">
        <w:t>Sworn Virgins</w:t>
      </w:r>
      <w:r w:rsidR="00CA06BD">
        <w:t xml:space="preserve"> </w:t>
      </w:r>
      <w:r w:rsidR="005A4F71">
        <w:t>even in the 21</w:t>
      </w:r>
      <w:r w:rsidR="005A4F71" w:rsidRPr="005A4F71">
        <w:rPr>
          <w:vertAlign w:val="superscript"/>
        </w:rPr>
        <w:t>st</w:t>
      </w:r>
      <w:r w:rsidR="005A4F71">
        <w:t xml:space="preserve"> century</w:t>
      </w:r>
      <w:r w:rsidR="00103758">
        <w:t>.</w:t>
      </w:r>
      <w:r w:rsidR="00696775">
        <w:t xml:space="preserve"> Interestingly, Sworn Virgins were not</w:t>
      </w:r>
      <w:r w:rsidR="007F6393">
        <w:t xml:space="preserve"> treated any differently to a born man amongst the close knit</w:t>
      </w:r>
      <w:r w:rsidR="002E5491">
        <w:t xml:space="preserve"> societies they lived in</w:t>
      </w:r>
      <w:r w:rsidR="00150DDE">
        <w:t>, and though this does perpetuate the message that the only members of society</w:t>
      </w:r>
      <w:r w:rsidR="00211C41">
        <w:t xml:space="preserve"> who can complete certain roles and responsibilities </w:t>
      </w:r>
      <w:r w:rsidR="008F3587">
        <w:t xml:space="preserve">are men, making them superior to women, it does also allow women an opportunity </w:t>
      </w:r>
      <w:r w:rsidR="00DD5D84">
        <w:t>to</w:t>
      </w:r>
      <w:r w:rsidR="000439B0">
        <w:t xml:space="preserve"> escape that subservient lifestyle and take on the </w:t>
      </w:r>
      <w:r w:rsidR="005925BB">
        <w:t>social and legal that a man has</w:t>
      </w:r>
      <w:r w:rsidR="002C5F15">
        <w:t xml:space="preserve"> at the cost of their feminine identity</w:t>
      </w:r>
      <w:r w:rsidR="0016631E">
        <w:t xml:space="preserve"> [1].</w:t>
      </w:r>
      <w:r w:rsidR="00AD104F">
        <w:t xml:space="preserve"> Viewing this folktale through the lens of a society </w:t>
      </w:r>
      <w:r w:rsidR="005C71E7">
        <w:t>where women becoming men</w:t>
      </w:r>
      <w:r w:rsidR="00BC111E">
        <w:t xml:space="preserve"> was</w:t>
      </w:r>
      <w:r w:rsidR="00276297">
        <w:t xml:space="preserve"> a norm allows it to be grounded </w:t>
      </w:r>
      <w:proofErr w:type="gramStart"/>
      <w:r w:rsidR="00276297">
        <w:t>in reality as</w:t>
      </w:r>
      <w:proofErr w:type="gramEnd"/>
      <w:r w:rsidR="00276297">
        <w:t xml:space="preserve"> a</w:t>
      </w:r>
      <w:r w:rsidR="009D7933">
        <w:t xml:space="preserve"> narrative that might very well have been true</w:t>
      </w:r>
      <w:r w:rsidR="00C462AB">
        <w:t>.</w:t>
      </w:r>
      <w:r w:rsidR="00CE7864">
        <w:t xml:space="preserve"> </w:t>
      </w:r>
      <w:r w:rsidR="00250166">
        <w:t>Knowing this scenario was something that happened</w:t>
      </w:r>
      <w:r w:rsidR="00CE7864">
        <w:t xml:space="preserve"> also helps with understanding why</w:t>
      </w:r>
      <w:r w:rsidR="00F91C9B">
        <w:t xml:space="preserve"> this story might have been brought about</w:t>
      </w:r>
      <w:r w:rsidR="003533B2">
        <w:t xml:space="preserve"> and what the intended reading of it would have been when it was originally told orally. </w:t>
      </w:r>
      <w:proofErr w:type="gramStart"/>
      <w:r w:rsidR="006122C6">
        <w:t>Despite the fact that</w:t>
      </w:r>
      <w:proofErr w:type="gramEnd"/>
      <w:r w:rsidR="006122C6">
        <w:t xml:space="preserve"> it implies that only men are capable of being heroes and women fundamentally cannot be heroic, it does seem to promote a message</w:t>
      </w:r>
      <w:r w:rsidR="00700342">
        <w:t xml:space="preserve"> to any girl who hears it, that they are in fact capable of</w:t>
      </w:r>
      <w:r w:rsidR="00430766">
        <w:t xml:space="preserve"> being a hero</w:t>
      </w:r>
      <w:r w:rsidR="006042BB">
        <w:t xml:space="preserve"> in virtue of their </w:t>
      </w:r>
      <w:r w:rsidR="00FE537D">
        <w:t>capability to become a boy.</w:t>
      </w:r>
      <w:r w:rsidR="00B924FF">
        <w:t xml:space="preserve"> While it seems somewhat backwards, it does imply a level of acceptance among society that women are just as capable of the roles and responsibilities of men</w:t>
      </w:r>
      <w:r w:rsidR="00EE73CE">
        <w:t>, they just need to step into the position</w:t>
      </w:r>
      <w:r w:rsidR="00856416">
        <w:t xml:space="preserve"> of a man to</w:t>
      </w:r>
      <w:r w:rsidR="000B3C91">
        <w:t xml:space="preserve"> fulfil them</w:t>
      </w:r>
      <w:r w:rsidR="0056296A">
        <w:t xml:space="preserve">. It also suggests that there was </w:t>
      </w:r>
      <w:r w:rsidR="00B70E69">
        <w:t>some</w:t>
      </w:r>
      <w:r w:rsidR="0056296A">
        <w:t xml:space="preserve"> recognition</w:t>
      </w:r>
      <w:r w:rsidR="00B70E69">
        <w:t xml:space="preserve"> that the roles of men and women, at least in a social and legal sense, were not defined by the body you were born in</w:t>
      </w:r>
      <w:r w:rsidR="001724DA">
        <w:t xml:space="preserve"> and were instead defined by the actions and duties taken throughout </w:t>
      </w:r>
      <w:r w:rsidR="00287D39">
        <w:t>one’s</w:t>
      </w:r>
      <w:r w:rsidR="001724DA">
        <w:t xml:space="preserve"> life</w:t>
      </w:r>
      <w:r w:rsidR="00CD29EA">
        <w:t>, which is a very progressive understanding of gender identity.</w:t>
      </w:r>
    </w:p>
    <w:p w14:paraId="079AF7D3" w14:textId="02A87D43" w:rsidR="00B77B41" w:rsidRDefault="00941062" w:rsidP="0014711F">
      <w:pPr>
        <w:spacing w:line="240" w:lineRule="auto"/>
      </w:pPr>
      <w:r>
        <w:t>Stevenson’s version of the story</w:t>
      </w:r>
      <w:r w:rsidR="001D7E81">
        <w:t xml:space="preserve"> is based heavily </w:t>
      </w:r>
      <w:r w:rsidR="00265854">
        <w:t>off</w:t>
      </w:r>
      <w:r w:rsidR="001D7E81">
        <w:t xml:space="preserve"> </w:t>
      </w:r>
      <w:r w:rsidR="002A6F0D">
        <w:t>Robert Elsi</w:t>
      </w:r>
      <w:r w:rsidR="00C4543C">
        <w:t>e’s</w:t>
      </w:r>
      <w:r w:rsidR="00CC7E18">
        <w:t xml:space="preserve"> version, also titled </w:t>
      </w:r>
      <w:r w:rsidR="00EB1FBF">
        <w:t xml:space="preserve">‘The Girl Who Became a Boy’, </w:t>
      </w:r>
      <w:r w:rsidR="00CC7E18">
        <w:t xml:space="preserve">which was </w:t>
      </w:r>
      <w:r w:rsidR="00EB1FBF">
        <w:t>his</w:t>
      </w:r>
      <w:r w:rsidR="00C4543C">
        <w:t xml:space="preserve"> translation</w:t>
      </w:r>
      <w:r w:rsidR="00503E4E">
        <w:t xml:space="preserve"> of</w:t>
      </w:r>
      <w:r w:rsidR="00546FD6">
        <w:t xml:space="preserve"> </w:t>
      </w:r>
      <w:r w:rsidR="002227D9">
        <w:t xml:space="preserve">the story from </w:t>
      </w:r>
      <w:r w:rsidR="003914DD">
        <w:t>‘</w:t>
      </w:r>
      <w:proofErr w:type="spellStart"/>
      <w:r w:rsidR="00546FD6" w:rsidRPr="00546FD6">
        <w:t>Folklor</w:t>
      </w:r>
      <w:proofErr w:type="spellEnd"/>
      <w:r w:rsidR="00546FD6" w:rsidRPr="00546FD6">
        <w:t xml:space="preserve"> </w:t>
      </w:r>
      <w:proofErr w:type="spellStart"/>
      <w:r w:rsidR="00546FD6" w:rsidRPr="00546FD6">
        <w:t>shqiptar</w:t>
      </w:r>
      <w:proofErr w:type="spellEnd"/>
      <w:r w:rsidR="003914DD">
        <w:t>’</w:t>
      </w:r>
      <w:r w:rsidR="00546FD6" w:rsidRPr="00546FD6">
        <w:t xml:space="preserve"> </w:t>
      </w:r>
      <w:r w:rsidR="00503E4E">
        <w:t>from</w:t>
      </w:r>
      <w:r w:rsidR="00F815BE">
        <w:t xml:space="preserve"> Albanian to English</w:t>
      </w:r>
      <w:r w:rsidR="002227D9">
        <w:t>.</w:t>
      </w:r>
      <w:r w:rsidR="00A77365">
        <w:t xml:space="preserve"> </w:t>
      </w:r>
      <w:r w:rsidR="005D1F5A">
        <w:t>There are s</w:t>
      </w:r>
      <w:r w:rsidR="00A77365">
        <w:t xml:space="preserve">ome notable </w:t>
      </w:r>
      <w:r w:rsidR="00355D3F">
        <w:t>differences between</w:t>
      </w:r>
      <w:r w:rsidR="00123170">
        <w:t xml:space="preserve"> the two versions</w:t>
      </w:r>
      <w:r w:rsidR="005D1F5A">
        <w:t xml:space="preserve">, like </w:t>
      </w:r>
      <w:r w:rsidR="00A25FEA">
        <w:t>the fact</w:t>
      </w:r>
      <w:r w:rsidR="00A01B02">
        <w:t xml:space="preserve"> that </w:t>
      </w:r>
      <w:r w:rsidR="00FC70FC">
        <w:t>in Elsie’s version the protagonist</w:t>
      </w:r>
      <w:r w:rsidR="0075687A">
        <w:t xml:space="preserve"> is never </w:t>
      </w:r>
      <w:r w:rsidR="00265854">
        <w:t>named</w:t>
      </w:r>
      <w:r w:rsidR="008D1D53">
        <w:t xml:space="preserve"> and </w:t>
      </w:r>
      <w:r w:rsidR="00265854">
        <w:t>only</w:t>
      </w:r>
      <w:r w:rsidR="008D1D53">
        <w:t xml:space="preserve"> referred to as the ‘young man’</w:t>
      </w:r>
      <w:r w:rsidR="008A554A">
        <w:t xml:space="preserve">, though the fact that </w:t>
      </w:r>
      <w:r w:rsidR="00CB613B">
        <w:t>s</w:t>
      </w:r>
      <w:r w:rsidR="008A554A">
        <w:t>he is actually a girl is repeatedly emphasised throughout</w:t>
      </w:r>
      <w:r w:rsidR="00CB613B">
        <w:t xml:space="preserve"> until she is magically transformed int</w:t>
      </w:r>
      <w:r w:rsidR="00047CEE">
        <w:t>o a boy</w:t>
      </w:r>
      <w:r w:rsidR="008A554A">
        <w:t>,</w:t>
      </w:r>
      <w:r w:rsidR="00E504E7">
        <w:t xml:space="preserve"> </w:t>
      </w:r>
      <w:r w:rsidR="00911349">
        <w:t>while</w:t>
      </w:r>
      <w:r w:rsidR="00E504E7">
        <w:t xml:space="preserve"> Stevenson’s version </w:t>
      </w:r>
      <w:r w:rsidR="00911349">
        <w:t>names her</w:t>
      </w:r>
      <w:r w:rsidR="00047CEE">
        <w:t xml:space="preserve"> Nora</w:t>
      </w:r>
      <w:r w:rsidR="009A6848">
        <w:t xml:space="preserve"> and the narrative switches </w:t>
      </w:r>
      <w:r w:rsidR="00911349">
        <w:t xml:space="preserve">between </w:t>
      </w:r>
      <w:r w:rsidR="009A6848">
        <w:t>calling her a girl or a boy depending on whose perspective it is</w:t>
      </w:r>
      <w:r w:rsidR="00FB05D2">
        <w:t>.</w:t>
      </w:r>
      <w:r w:rsidR="008929CB">
        <w:t xml:space="preserve"> These differences had a big impact on my reading of the stories, with Elsie’s version</w:t>
      </w:r>
      <w:r w:rsidR="00D659B7">
        <w:t xml:space="preserve"> </w:t>
      </w:r>
      <w:r w:rsidR="00911349">
        <w:t>seeming</w:t>
      </w:r>
      <w:r w:rsidR="008B5ECD">
        <w:t xml:space="preserve"> like a girl who pretend</w:t>
      </w:r>
      <w:r w:rsidR="007C1633">
        <w:t>ed</w:t>
      </w:r>
      <w:r w:rsidR="008B5ECD">
        <w:t xml:space="preserve"> to be a boy in order to do something, whereas Stevenson’s version</w:t>
      </w:r>
      <w:r w:rsidR="002401F4">
        <w:t xml:space="preserve"> presents a more fluid view of gender, with Nora denying taking on </w:t>
      </w:r>
      <w:r w:rsidR="003D7981">
        <w:t>the</w:t>
      </w:r>
      <w:r w:rsidR="002401F4">
        <w:t xml:space="preserve"> label of </w:t>
      </w:r>
      <w:r w:rsidR="00706541">
        <w:t>either son or daughter and only wanting to be herself,</w:t>
      </w:r>
      <w:r w:rsidR="0022045C">
        <w:t xml:space="preserve"> promoting an idea of gender labels being unimportant</w:t>
      </w:r>
      <w:r w:rsidR="005E3FC5">
        <w:t xml:space="preserve"> and</w:t>
      </w:r>
      <w:r w:rsidR="00072B1A">
        <w:t xml:space="preserve"> having no link to</w:t>
      </w:r>
      <w:r w:rsidR="005E3FC5">
        <w:t xml:space="preserve"> one’s capability</w:t>
      </w:r>
      <w:r w:rsidR="0011775D">
        <w:t>. Another difference of note</w:t>
      </w:r>
      <w:r w:rsidR="0064736B">
        <w:t xml:space="preserve"> is that Elsie’s version has the </w:t>
      </w:r>
      <w:r w:rsidR="003F30B8">
        <w:t>‘young man’ and the princess marry when they meet and courtiers</w:t>
      </w:r>
      <w:r w:rsidR="008D2EF9">
        <w:t xml:space="preserve"> only being suspicious of him as the princess did not report that they had sex</w:t>
      </w:r>
      <w:r w:rsidR="001B2B2C">
        <w:t>, whereas Stevenson’s courtiers become suspicious when Nora says she’ll only marry Illyria if she consents</w:t>
      </w:r>
      <w:r w:rsidR="00D96F91">
        <w:t xml:space="preserve"> </w:t>
      </w:r>
      <w:r w:rsidR="00517037">
        <w:t>which</w:t>
      </w:r>
      <w:r w:rsidR="00D96F91">
        <w:t xml:space="preserve"> Illyria</w:t>
      </w:r>
      <w:r w:rsidR="00517037">
        <w:t xml:space="preserve"> approves of as she believes in having independence.</w:t>
      </w:r>
      <w:r w:rsidR="00181BC4">
        <w:t xml:space="preserve"> This difference creates a very different slant on the theme of the story, </w:t>
      </w:r>
      <w:r w:rsidR="00190E85">
        <w:t>though both of them seem distinctly anti-patriarchy</w:t>
      </w:r>
      <w:r w:rsidR="00073B8D">
        <w:t xml:space="preserve">: </w:t>
      </w:r>
      <w:r w:rsidR="00181BC4">
        <w:t xml:space="preserve">Elsie’s </w:t>
      </w:r>
      <w:r w:rsidR="009404B9">
        <w:t>establish</w:t>
      </w:r>
      <w:r w:rsidR="00073B8D">
        <w:t>es</w:t>
      </w:r>
      <w:r w:rsidR="009404B9">
        <w:t xml:space="preserve"> that the marriage not being consummated is </w:t>
      </w:r>
      <w:r w:rsidR="00D03A6F">
        <w:t>what is seen as wrong</w:t>
      </w:r>
      <w:r w:rsidR="00306A74">
        <w:t xml:space="preserve"> and </w:t>
      </w:r>
      <w:r w:rsidR="00A85342">
        <w:t xml:space="preserve">the courtiers, representing the patriarchal </w:t>
      </w:r>
      <w:r w:rsidR="00561385">
        <w:t xml:space="preserve">society, </w:t>
      </w:r>
      <w:r w:rsidR="003569C0">
        <w:t>decide</w:t>
      </w:r>
      <w:r w:rsidR="00E00B3F">
        <w:t xml:space="preserve"> the ‘young man’ </w:t>
      </w:r>
      <w:r w:rsidR="003569C0">
        <w:t>is not</w:t>
      </w:r>
      <w:r w:rsidR="00E00B3F">
        <w:t xml:space="preserve"> a suitable husband,</w:t>
      </w:r>
      <w:r w:rsidR="00561385">
        <w:t xml:space="preserve"> as the goal of this marriage would be to have </w:t>
      </w:r>
      <w:r w:rsidR="004D4696">
        <w:t>heirs</w:t>
      </w:r>
      <w:r w:rsidR="00320D6F">
        <w:t xml:space="preserve">, while </w:t>
      </w:r>
      <w:r w:rsidR="00D03A6F">
        <w:t xml:space="preserve"> </w:t>
      </w:r>
      <w:r w:rsidR="00DC5600">
        <w:t xml:space="preserve">Stevenson’s </w:t>
      </w:r>
      <w:r w:rsidR="00D073FA">
        <w:t xml:space="preserve">version </w:t>
      </w:r>
      <w:r w:rsidR="00DC5600">
        <w:t>determin</w:t>
      </w:r>
      <w:r w:rsidR="00C66A85">
        <w:t>es</w:t>
      </w:r>
      <w:r w:rsidR="00D03A6F">
        <w:t xml:space="preserve"> that Nora</w:t>
      </w:r>
      <w:r w:rsidR="00306A74">
        <w:t xml:space="preserve"> wanting Illyria to be able to choose if she wants to marry</w:t>
      </w:r>
      <w:r w:rsidR="00C66A85">
        <w:t xml:space="preserve"> and Illyria’s desire to be able to choose are seen as problem</w:t>
      </w:r>
      <w:r w:rsidR="00DB7ACC">
        <w:t>atic</w:t>
      </w:r>
      <w:r w:rsidR="00C66A85">
        <w:t xml:space="preserve"> by the courtiers</w:t>
      </w:r>
      <w:r w:rsidR="005D42C2">
        <w:t xml:space="preserve">, again </w:t>
      </w:r>
      <w:r w:rsidR="00C165F2">
        <w:t>representing the patriarchy,</w:t>
      </w:r>
      <w:r w:rsidR="00E40015">
        <w:t xml:space="preserve"> as</w:t>
      </w:r>
      <w:r w:rsidR="00D92E30">
        <w:t xml:space="preserve"> it is wrong to them for women to want agency and suspicious for a man to encourage </w:t>
      </w:r>
      <w:r w:rsidR="007A3AB3">
        <w:t>it</w:t>
      </w:r>
      <w:r w:rsidR="00016868">
        <w:t xml:space="preserve"> [2]</w:t>
      </w:r>
      <w:r w:rsidR="00A50A1B">
        <w:t xml:space="preserve">. </w:t>
      </w:r>
    </w:p>
    <w:p w14:paraId="4DE2EB18" w14:textId="77777777" w:rsidR="00DD143C" w:rsidRDefault="00DD143C" w:rsidP="0014711F">
      <w:pPr>
        <w:spacing w:line="240" w:lineRule="auto"/>
      </w:pPr>
    </w:p>
    <w:p w14:paraId="4EB92F20" w14:textId="77777777" w:rsidR="00B77B41" w:rsidRDefault="00B77B41" w:rsidP="00B77B41">
      <w:pPr>
        <w:pBdr>
          <w:top w:val="single" w:sz="12" w:space="1" w:color="auto"/>
        </w:pBdr>
        <w:spacing w:line="240" w:lineRule="auto"/>
        <w:ind w:left="284" w:right="521"/>
      </w:pPr>
      <w:r>
        <w:t xml:space="preserve">[1] Antonia Young &amp; Larenda Twigg, </w:t>
      </w:r>
      <w:proofErr w:type="gramStart"/>
      <w:r>
        <w:t>‘ ‘</w:t>
      </w:r>
      <w:proofErr w:type="gramEnd"/>
      <w:r>
        <w:t xml:space="preserve">Sworn virgins’ </w:t>
      </w:r>
      <w:r w:rsidRPr="00D239EA">
        <w:t>As Enhancers Of Albanian Patriarchal Society In Contrast To Emerging Roles For Albanian Women</w:t>
      </w:r>
      <w:r>
        <w:t xml:space="preserve">’, </w:t>
      </w:r>
      <w:proofErr w:type="spellStart"/>
      <w:r w:rsidRPr="00E510AB">
        <w:rPr>
          <w:i/>
          <w:iCs/>
        </w:rPr>
        <w:t>Etnološka</w:t>
      </w:r>
      <w:proofErr w:type="spellEnd"/>
      <w:r w:rsidRPr="00E510AB">
        <w:rPr>
          <w:i/>
          <w:iCs/>
        </w:rPr>
        <w:t xml:space="preserve"> </w:t>
      </w:r>
      <w:proofErr w:type="spellStart"/>
      <w:r w:rsidRPr="00E510AB">
        <w:rPr>
          <w:i/>
          <w:iCs/>
        </w:rPr>
        <w:t>tribina</w:t>
      </w:r>
      <w:proofErr w:type="spellEnd"/>
      <w:r>
        <w:t xml:space="preserve">, </w:t>
      </w:r>
      <w:r w:rsidRPr="00FB1193">
        <w:t>Volume 39 Issue 32</w:t>
      </w:r>
      <w:r>
        <w:t xml:space="preserve"> (2009),</w:t>
      </w:r>
      <w:r w:rsidRPr="00FB1193">
        <w:t xml:space="preserve"> 1</w:t>
      </w:r>
      <w:r>
        <w:t>17-134 (117-118).</w:t>
      </w:r>
    </w:p>
    <w:p w14:paraId="1552FB52" w14:textId="6DCD8A9B" w:rsidR="00B77B41" w:rsidRDefault="00B77B41" w:rsidP="00072B1A">
      <w:pPr>
        <w:pBdr>
          <w:top w:val="single" w:sz="12" w:space="1" w:color="auto"/>
        </w:pBdr>
        <w:spacing w:line="240" w:lineRule="auto"/>
        <w:ind w:left="284" w:right="521"/>
      </w:pPr>
      <w:r>
        <w:t xml:space="preserve">[2] Robert Elsie, </w:t>
      </w:r>
      <w:r w:rsidRPr="008B1F8A">
        <w:rPr>
          <w:i/>
          <w:iCs/>
        </w:rPr>
        <w:t>The Girl who Became a Boy</w:t>
      </w:r>
      <w:r>
        <w:t xml:space="preserve"> (2019), </w:t>
      </w:r>
      <w:r w:rsidRPr="008B1F8A">
        <w:rPr>
          <w:i/>
          <w:iCs/>
        </w:rPr>
        <w:t>Albanian Literature</w:t>
      </w:r>
      <w:r>
        <w:t xml:space="preserve"> &lt;</w:t>
      </w:r>
      <w:r w:rsidRPr="00652A4C">
        <w:t xml:space="preserve"> http://www.albanianliterature.net/folktales/tale_07.html</w:t>
      </w:r>
      <w:r>
        <w:t>&gt; [Accessed 09/03/24].</w:t>
      </w:r>
    </w:p>
    <w:p w14:paraId="636779A5" w14:textId="56BE9CD0" w:rsidR="00941062" w:rsidRDefault="00A50A1B" w:rsidP="0014711F">
      <w:pPr>
        <w:spacing w:line="240" w:lineRule="auto"/>
      </w:pPr>
      <w:r>
        <w:lastRenderedPageBreak/>
        <w:t>I think these differences show a change of attitude over time, though they ultimately convey the same message</w:t>
      </w:r>
      <w:r w:rsidR="002A4237">
        <w:t xml:space="preserve"> of </w:t>
      </w:r>
      <w:r w:rsidR="0038776D">
        <w:t>anti</w:t>
      </w:r>
      <w:r w:rsidR="000D729D">
        <w:t>-patriarchy and</w:t>
      </w:r>
      <w:r w:rsidR="00E423B3">
        <w:t xml:space="preserve"> </w:t>
      </w:r>
      <w:r w:rsidR="003372F7">
        <w:t>challenge to gender stereotypes</w:t>
      </w:r>
      <w:r w:rsidR="00C9644E">
        <w:t>.</w:t>
      </w:r>
      <w:r w:rsidR="006E580A">
        <w:t xml:space="preserve"> Elsie’s version, which is a representation of what an earlier version of the story would look like</w:t>
      </w:r>
      <w:r w:rsidR="00C8656C">
        <w:t>, seems to have a more fixed</w:t>
      </w:r>
      <w:r w:rsidR="00815C51">
        <w:t xml:space="preserve"> binary of gender</w:t>
      </w:r>
      <w:r w:rsidR="00D4320D">
        <w:t xml:space="preserve"> than Stevenson’s, a more modern interpretation of the story,</w:t>
      </w:r>
      <w:r w:rsidR="00D85924">
        <w:t xml:space="preserve"> though they both break gender ster</w:t>
      </w:r>
      <w:r w:rsidR="00384FC9">
        <w:t>eotypes</w:t>
      </w:r>
      <w:r w:rsidR="00C9644E">
        <w:t>.</w:t>
      </w:r>
      <w:r w:rsidR="00FB5DC7">
        <w:t xml:space="preserve"> Elsie’s version</w:t>
      </w:r>
      <w:r w:rsidR="00C9644E">
        <w:t xml:space="preserve"> of the story</w:t>
      </w:r>
      <w:r w:rsidR="00FB5DC7">
        <w:t xml:space="preserve"> emphasises </w:t>
      </w:r>
      <w:r w:rsidR="006B7EC9">
        <w:t>the societal</w:t>
      </w:r>
      <w:r w:rsidR="00FB5DC7">
        <w:t xml:space="preserve"> concern</w:t>
      </w:r>
      <w:r w:rsidR="00B77B41">
        <w:t xml:space="preserve"> of heteron</w:t>
      </w:r>
      <w:r w:rsidR="00B30E97">
        <w:t>ormative relationships being primarily concerned with producing children, and a relationship between a woman and a ‘sworn virgin’</w:t>
      </w:r>
      <w:r w:rsidR="00E31A6E">
        <w:t xml:space="preserve"> could not achieve this aim,</w:t>
      </w:r>
      <w:r w:rsidR="00653854">
        <w:t xml:space="preserve"> this seeming to be the chief reasoning against a </w:t>
      </w:r>
      <w:r w:rsidR="00D904A6">
        <w:t xml:space="preserve">woman becoming a man as she would not be able to fulfil this </w:t>
      </w:r>
      <w:r w:rsidR="00EF5B05">
        <w:t>purpose and</w:t>
      </w:r>
      <w:r w:rsidR="00D904A6">
        <w:t xml:space="preserve"> may even prevent a woman</w:t>
      </w:r>
      <w:r w:rsidR="00EF5B05">
        <w:t xml:space="preserve"> from doing so if they are in a relationship. This is a concern that </w:t>
      </w:r>
      <w:r w:rsidR="0040378A">
        <w:t>would have prevailed at the time this version of the story was</w:t>
      </w:r>
      <w:r w:rsidR="00635C06">
        <w:t xml:space="preserve"> composed, especially with nobility wanting heirs to continue the line of heritage.</w:t>
      </w:r>
      <w:r w:rsidR="00906337">
        <w:t xml:space="preserve"> Stevenson’s version has a slightly more modern</w:t>
      </w:r>
      <w:r w:rsidR="006B7EC9">
        <w:t xml:space="preserve"> societal</w:t>
      </w:r>
      <w:r w:rsidR="00906337">
        <w:t xml:space="preserve"> concern</w:t>
      </w:r>
      <w:r w:rsidR="006B7EC9">
        <w:t xml:space="preserve"> of women’s consent and agency, and men being able to respect that</w:t>
      </w:r>
      <w:r w:rsidR="008177BB">
        <w:t>, which seems more in line with the contemporary values of today.</w:t>
      </w:r>
    </w:p>
    <w:p w14:paraId="356E0813" w14:textId="14E15D9B" w:rsidR="00185838" w:rsidRDefault="001421E3" w:rsidP="0014711F">
      <w:pPr>
        <w:spacing w:line="240" w:lineRule="auto"/>
      </w:pPr>
      <w:r>
        <w:t xml:space="preserve">I feel that </w:t>
      </w:r>
      <w:r w:rsidR="00207BB0">
        <w:t>I have gained a better understanding of the cultural reasons behind this folktale, as</w:t>
      </w:r>
      <w:r w:rsidR="00444071">
        <w:t xml:space="preserve"> I had considered historical attitudes towards gender would be a predominant contributing factor to the basis </w:t>
      </w:r>
      <w:r w:rsidR="00BA4004">
        <w:t>of the narrative plot, but the added layer of seeing the slight differences in variations of the story over time has highlighted how the tale</w:t>
      </w:r>
      <w:r w:rsidR="00CC31C1">
        <w:t xml:space="preserve"> has been changed</w:t>
      </w:r>
      <w:r w:rsidR="00EB618A">
        <w:t xml:space="preserve"> to be in keeping with </w:t>
      </w:r>
      <w:r w:rsidR="00CC31C1">
        <w:t xml:space="preserve"> </w:t>
      </w:r>
      <w:proofErr w:type="spellStart"/>
      <w:r w:rsidR="00EB618A">
        <w:t>it’s</w:t>
      </w:r>
      <w:proofErr w:type="spellEnd"/>
      <w:r w:rsidR="00EB618A">
        <w:t xml:space="preserve"> time’s social </w:t>
      </w:r>
      <w:r w:rsidR="004C1C4B">
        <w:t xml:space="preserve">values. The cultural significance of the ‘sworn virgins’ </w:t>
      </w:r>
      <w:r w:rsidR="000C7E84">
        <w:t>took on</w:t>
      </w:r>
      <w:r w:rsidR="004C1C4B">
        <w:t xml:space="preserve"> a principal </w:t>
      </w:r>
      <w:r w:rsidR="000C7E84">
        <w:t>role in my ability to appreciate this tale</w:t>
      </w:r>
      <w:r w:rsidR="00421A07">
        <w:t xml:space="preserve"> as the social piece that it is, something that </w:t>
      </w:r>
      <w:r w:rsidR="0008246B">
        <w:t>displays a narrative that would have been familiar and known to people at the time</w:t>
      </w:r>
      <w:r w:rsidR="00FB5C75">
        <w:t xml:space="preserve"> and explores the cultural views at that time, but also the challenge it presents to what those cultural</w:t>
      </w:r>
      <w:r w:rsidR="00223432">
        <w:t xml:space="preserve"> ideals actually meant to the people who </w:t>
      </w:r>
      <w:r w:rsidR="000A4B47">
        <w:t xml:space="preserve">both </w:t>
      </w:r>
      <w:r w:rsidR="00223432">
        <w:t>perpetuated and contested</w:t>
      </w:r>
      <w:r w:rsidR="000A4B47">
        <w:t xml:space="preserve"> them, and how that has led to the change the story has experienced over time.</w:t>
      </w:r>
    </w:p>
    <w:p w14:paraId="41A7592F" w14:textId="77777777" w:rsidR="00185838" w:rsidRDefault="00185838" w:rsidP="0014711F">
      <w:pPr>
        <w:spacing w:line="240" w:lineRule="auto"/>
      </w:pPr>
    </w:p>
    <w:p w14:paraId="7DA5638B" w14:textId="77777777" w:rsidR="00185838" w:rsidRDefault="00185838" w:rsidP="0014711F">
      <w:pPr>
        <w:spacing w:line="240" w:lineRule="auto"/>
      </w:pPr>
    </w:p>
    <w:p w14:paraId="57214C40" w14:textId="77777777" w:rsidR="00185838" w:rsidRDefault="00185838" w:rsidP="0014711F">
      <w:pPr>
        <w:spacing w:line="240" w:lineRule="auto"/>
      </w:pPr>
    </w:p>
    <w:p w14:paraId="7BB380B4" w14:textId="77777777" w:rsidR="00185838" w:rsidRDefault="00185838" w:rsidP="0014711F">
      <w:pPr>
        <w:spacing w:line="240" w:lineRule="auto"/>
      </w:pPr>
    </w:p>
    <w:p w14:paraId="07C5F24A" w14:textId="050BCF2D" w:rsidR="00446FEC" w:rsidRDefault="00446FEC" w:rsidP="0014711F">
      <w:pPr>
        <w:spacing w:line="240" w:lineRule="auto"/>
      </w:pPr>
    </w:p>
    <w:p w14:paraId="7F54E979" w14:textId="77777777" w:rsidR="00930754" w:rsidRDefault="00930754" w:rsidP="0014711F">
      <w:pPr>
        <w:spacing w:line="240" w:lineRule="auto"/>
      </w:pPr>
    </w:p>
    <w:p w14:paraId="61FD1D26" w14:textId="6F6C7FDE" w:rsidR="00930754" w:rsidRPr="0014711F" w:rsidRDefault="008719F5" w:rsidP="0014711F">
      <w:pPr>
        <w:spacing w:line="240" w:lineRule="auto"/>
        <w:rPr>
          <w:b/>
          <w:bCs/>
          <w:u w:val="single"/>
        </w:rPr>
      </w:pPr>
      <w:r w:rsidRPr="0014711F">
        <w:rPr>
          <w:b/>
          <w:bCs/>
          <w:u w:val="single"/>
        </w:rPr>
        <w:t>Bibliography</w:t>
      </w:r>
    </w:p>
    <w:p w14:paraId="3242732F" w14:textId="4C29FE01" w:rsidR="008719F5" w:rsidRDefault="008719F5" w:rsidP="0014711F">
      <w:pPr>
        <w:spacing w:line="240" w:lineRule="auto"/>
      </w:pPr>
      <w:r>
        <w:t>Hooker,</w:t>
      </w:r>
      <w:r w:rsidR="00EC03B2">
        <w:t xml:space="preserve"> Jessica,</w:t>
      </w:r>
      <w:r>
        <w:t xml:space="preserve"> ‘The Hen Who Sang: </w:t>
      </w:r>
      <w:proofErr w:type="spellStart"/>
      <w:r>
        <w:t>Swordbearing</w:t>
      </w:r>
      <w:proofErr w:type="spellEnd"/>
      <w:r>
        <w:t xml:space="preserve"> Women in Eastern European Fairytales’, </w:t>
      </w:r>
      <w:r w:rsidRPr="0014711F">
        <w:rPr>
          <w:i/>
          <w:iCs/>
        </w:rPr>
        <w:t>Folklore</w:t>
      </w:r>
      <w:r>
        <w:t xml:space="preserve">, volume </w:t>
      </w:r>
      <w:proofErr w:type="gramStart"/>
      <w:r>
        <w:t>101:II</w:t>
      </w:r>
      <w:proofErr w:type="gramEnd"/>
      <w:r>
        <w:t xml:space="preserve"> (1990)</w:t>
      </w:r>
      <w:r w:rsidR="0014711F">
        <w:t>.</w:t>
      </w:r>
    </w:p>
    <w:p w14:paraId="12E5E909" w14:textId="03136792" w:rsidR="008719F5" w:rsidRDefault="008719F5" w:rsidP="0014711F">
      <w:pPr>
        <w:spacing w:line="240" w:lineRule="auto"/>
      </w:pPr>
      <w:r>
        <w:t xml:space="preserve">Stevenson, </w:t>
      </w:r>
      <w:r w:rsidR="00E21C66">
        <w:t xml:space="preserve">Peter, </w:t>
      </w:r>
      <w:r>
        <w:t xml:space="preserve">‘The Girl Who Became a Boy’ in Boggarts, </w:t>
      </w:r>
      <w:r w:rsidRPr="00F20769">
        <w:rPr>
          <w:i/>
          <w:iCs/>
        </w:rPr>
        <w:t xml:space="preserve">Trolls &amp; </w:t>
      </w:r>
      <w:proofErr w:type="spellStart"/>
      <w:r w:rsidRPr="00F20769">
        <w:rPr>
          <w:i/>
          <w:iCs/>
        </w:rPr>
        <w:t>Tylwyth</w:t>
      </w:r>
      <w:proofErr w:type="spellEnd"/>
      <w:r w:rsidRPr="00F20769">
        <w:rPr>
          <w:i/>
          <w:iCs/>
        </w:rPr>
        <w:t xml:space="preserve"> Teg: Folktales of Hidden People &amp; Lost Lands</w:t>
      </w:r>
      <w:r>
        <w:t xml:space="preserve"> (Cheltenham: The History Press, 2023).</w:t>
      </w:r>
    </w:p>
    <w:p w14:paraId="19AAA549" w14:textId="5154FB5D" w:rsidR="00D93A34" w:rsidRDefault="00D93A34" w:rsidP="0014711F">
      <w:pPr>
        <w:spacing w:line="240" w:lineRule="auto"/>
      </w:pPr>
      <w:r w:rsidRPr="00FE2CBD">
        <w:rPr>
          <w:i/>
          <w:iCs/>
        </w:rPr>
        <w:t>The Transgender Imagination in Folk Narratives: The Case of ATU 514, “The Shift of Sex”</w:t>
      </w:r>
      <w:r w:rsidRPr="00D93A34">
        <w:t xml:space="preserve"> (2021), De Gruyter Open Access &lt; https://www.degruyter.com/document/doi/10.1515/culture-2020-0133/html&gt; [Accessed </w:t>
      </w:r>
      <w:r w:rsidR="00DD143C">
        <w:t>11</w:t>
      </w:r>
      <w:r w:rsidRPr="00D93A34">
        <w:t xml:space="preserve">/03/24]. </w:t>
      </w:r>
    </w:p>
    <w:p w14:paraId="7F73CF53" w14:textId="10A2037D" w:rsidR="00E510AB" w:rsidRDefault="00AE7BA7" w:rsidP="00174159">
      <w:pPr>
        <w:spacing w:line="240" w:lineRule="auto"/>
      </w:pPr>
      <w:r>
        <w:t xml:space="preserve">Young, </w:t>
      </w:r>
      <w:r w:rsidR="00E510AB">
        <w:t xml:space="preserve">Antonia &amp; </w:t>
      </w:r>
      <w:r w:rsidR="0030293F">
        <w:t xml:space="preserve">Twigg, </w:t>
      </w:r>
      <w:r w:rsidR="00E510AB">
        <w:t xml:space="preserve">Larenda, </w:t>
      </w:r>
      <w:proofErr w:type="gramStart"/>
      <w:r w:rsidR="00E510AB">
        <w:t>‘ ‘</w:t>
      </w:r>
      <w:proofErr w:type="gramEnd"/>
      <w:r w:rsidR="00E510AB">
        <w:t xml:space="preserve">Sworn virgins’ </w:t>
      </w:r>
      <w:r w:rsidR="00E510AB" w:rsidRPr="00D239EA">
        <w:t>As Enhancers Of Albanian Patriarchal Society In Contrast To Emerging Roles For Albanian Women</w:t>
      </w:r>
      <w:r w:rsidR="00E510AB">
        <w:t xml:space="preserve">’, </w:t>
      </w:r>
      <w:proofErr w:type="spellStart"/>
      <w:r w:rsidR="00E510AB" w:rsidRPr="00E510AB">
        <w:rPr>
          <w:i/>
          <w:iCs/>
        </w:rPr>
        <w:t>Etnološka</w:t>
      </w:r>
      <w:proofErr w:type="spellEnd"/>
      <w:r w:rsidR="00E510AB" w:rsidRPr="00E510AB">
        <w:rPr>
          <w:i/>
          <w:iCs/>
        </w:rPr>
        <w:t xml:space="preserve"> </w:t>
      </w:r>
      <w:proofErr w:type="spellStart"/>
      <w:r w:rsidR="00E510AB" w:rsidRPr="00E510AB">
        <w:rPr>
          <w:i/>
          <w:iCs/>
        </w:rPr>
        <w:t>tribina</w:t>
      </w:r>
      <w:proofErr w:type="spellEnd"/>
      <w:r w:rsidR="00E510AB">
        <w:t xml:space="preserve">, </w:t>
      </w:r>
      <w:r w:rsidR="00E510AB" w:rsidRPr="00FB1193">
        <w:t>Volume 39 Issue 32</w:t>
      </w:r>
      <w:r w:rsidR="00E510AB">
        <w:t xml:space="preserve"> (2009),</w:t>
      </w:r>
      <w:r w:rsidR="00E510AB" w:rsidRPr="00FB1193">
        <w:t xml:space="preserve"> 1</w:t>
      </w:r>
      <w:r w:rsidR="00E510AB">
        <w:t>17-134.</w:t>
      </w:r>
    </w:p>
    <w:p w14:paraId="2C3E0C58" w14:textId="77777777" w:rsidR="000A6E84" w:rsidRDefault="00174159" w:rsidP="000A6E84">
      <w:pPr>
        <w:spacing w:after="0" w:line="240" w:lineRule="auto"/>
      </w:pPr>
      <w:r w:rsidRPr="00174159">
        <w:t xml:space="preserve">Elsie, </w:t>
      </w:r>
      <w:r w:rsidR="0030293F" w:rsidRPr="00174159">
        <w:t>Robert</w:t>
      </w:r>
      <w:r w:rsidR="0030293F">
        <w:t>,</w:t>
      </w:r>
      <w:r w:rsidR="0030293F" w:rsidRPr="00174159">
        <w:t xml:space="preserve"> </w:t>
      </w:r>
      <w:r w:rsidRPr="00174159">
        <w:rPr>
          <w:i/>
          <w:iCs/>
        </w:rPr>
        <w:t>The Girl who Became a Boy</w:t>
      </w:r>
      <w:r w:rsidRPr="00174159">
        <w:t xml:space="preserve"> (2019), </w:t>
      </w:r>
      <w:r w:rsidRPr="00174159">
        <w:rPr>
          <w:i/>
          <w:iCs/>
        </w:rPr>
        <w:t>Albanian Literature</w:t>
      </w:r>
      <w:r w:rsidRPr="00174159">
        <w:t xml:space="preserve"> &lt; http://www.albanianliterature.net/folktales/tale_07.html&gt; [Accessed 09/03/24].</w:t>
      </w:r>
      <w:r w:rsidR="000A6E84" w:rsidRPr="000A6E84">
        <w:t xml:space="preserve"> </w:t>
      </w:r>
    </w:p>
    <w:p w14:paraId="4D546CDC" w14:textId="77777777" w:rsidR="000A6E84" w:rsidRDefault="000A6E84" w:rsidP="000A6E84">
      <w:pPr>
        <w:spacing w:after="0" w:line="240" w:lineRule="auto"/>
      </w:pPr>
    </w:p>
    <w:p w14:paraId="653056A6" w14:textId="77777777" w:rsidR="000A6E84" w:rsidRDefault="000A6E84" w:rsidP="000A6E84">
      <w:pPr>
        <w:spacing w:after="0" w:line="240" w:lineRule="auto"/>
      </w:pPr>
    </w:p>
    <w:p w14:paraId="0CA28943" w14:textId="141ACD34" w:rsidR="00174159" w:rsidRPr="006E2A5F" w:rsidRDefault="00174159" w:rsidP="00174159">
      <w:pPr>
        <w:spacing w:after="0" w:line="240" w:lineRule="auto"/>
      </w:pPr>
    </w:p>
    <w:sectPr w:rsidR="00174159" w:rsidRPr="006E2A5F" w:rsidSect="001F5C30">
      <w:headerReference w:type="default" r:id="rId7"/>
      <w:pgSz w:w="11906" w:h="16838"/>
      <w:pgMar w:top="1134"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51693" w14:textId="77777777" w:rsidR="00E57780" w:rsidRDefault="00E57780" w:rsidP="00E57780">
      <w:pPr>
        <w:spacing w:after="0" w:line="240" w:lineRule="auto"/>
      </w:pPr>
      <w:r>
        <w:separator/>
      </w:r>
    </w:p>
  </w:endnote>
  <w:endnote w:type="continuationSeparator" w:id="0">
    <w:p w14:paraId="47FDF446" w14:textId="77777777" w:rsidR="00E57780" w:rsidRDefault="00E57780" w:rsidP="00E57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D28A0" w14:textId="77777777" w:rsidR="00E57780" w:rsidRDefault="00E57780" w:rsidP="00E57780">
      <w:pPr>
        <w:spacing w:after="0" w:line="240" w:lineRule="auto"/>
      </w:pPr>
      <w:r>
        <w:separator/>
      </w:r>
    </w:p>
  </w:footnote>
  <w:footnote w:type="continuationSeparator" w:id="0">
    <w:p w14:paraId="10A12961" w14:textId="77777777" w:rsidR="00E57780" w:rsidRDefault="00E57780" w:rsidP="00E577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EE1CD" w14:textId="2D0A04FB" w:rsidR="00E57780" w:rsidRPr="00E57780" w:rsidRDefault="00E57780" w:rsidP="00E57780">
    <w:pPr>
      <w:spacing w:line="240" w:lineRule="auto"/>
      <w:rPr>
        <w:b/>
        <w:bCs/>
        <w:u w:val="single"/>
      </w:rPr>
    </w:pPr>
    <w:r w:rsidRPr="00930754">
      <w:rPr>
        <w:b/>
        <w:bCs/>
        <w:u w:val="single"/>
      </w:rPr>
      <w:t>With reference to one text, discuss the ways in which an engagement with critical debate has shaped your understanding of that text.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770A8"/>
    <w:multiLevelType w:val="hybridMultilevel"/>
    <w:tmpl w:val="4CAE3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06866"/>
    <w:multiLevelType w:val="hybridMultilevel"/>
    <w:tmpl w:val="10864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25A44"/>
    <w:multiLevelType w:val="hybridMultilevel"/>
    <w:tmpl w:val="D25479EA"/>
    <w:lvl w:ilvl="0" w:tplc="9EAC96B2">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25658"/>
    <w:multiLevelType w:val="hybridMultilevel"/>
    <w:tmpl w:val="8818A584"/>
    <w:lvl w:ilvl="0" w:tplc="17662010">
      <w:start w:val="17"/>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04390"/>
    <w:multiLevelType w:val="hybridMultilevel"/>
    <w:tmpl w:val="58866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6325A0"/>
    <w:multiLevelType w:val="hybridMultilevel"/>
    <w:tmpl w:val="60040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FF0869"/>
    <w:multiLevelType w:val="hybridMultilevel"/>
    <w:tmpl w:val="2F2AB240"/>
    <w:lvl w:ilvl="0" w:tplc="0809000F">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B1D78FE"/>
    <w:multiLevelType w:val="hybridMultilevel"/>
    <w:tmpl w:val="EE46B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57191D"/>
    <w:multiLevelType w:val="hybridMultilevel"/>
    <w:tmpl w:val="39F61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5526538">
    <w:abstractNumId w:val="8"/>
  </w:num>
  <w:num w:numId="2" w16cid:durableId="810290327">
    <w:abstractNumId w:val="5"/>
  </w:num>
  <w:num w:numId="3" w16cid:durableId="2094164491">
    <w:abstractNumId w:val="7"/>
  </w:num>
  <w:num w:numId="4" w16cid:durableId="1278871602">
    <w:abstractNumId w:val="4"/>
  </w:num>
  <w:num w:numId="5" w16cid:durableId="659961819">
    <w:abstractNumId w:val="0"/>
  </w:num>
  <w:num w:numId="6" w16cid:durableId="1958029025">
    <w:abstractNumId w:val="2"/>
  </w:num>
  <w:num w:numId="7" w16cid:durableId="1468082308">
    <w:abstractNumId w:val="6"/>
  </w:num>
  <w:num w:numId="8" w16cid:durableId="1922566070">
    <w:abstractNumId w:val="1"/>
  </w:num>
  <w:num w:numId="9" w16cid:durableId="8406624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A8C"/>
    <w:rsid w:val="00016868"/>
    <w:rsid w:val="000439B0"/>
    <w:rsid w:val="0004405D"/>
    <w:rsid w:val="00047CEE"/>
    <w:rsid w:val="00051783"/>
    <w:rsid w:val="000651A1"/>
    <w:rsid w:val="00072B1A"/>
    <w:rsid w:val="00073B8D"/>
    <w:rsid w:val="0008246B"/>
    <w:rsid w:val="00092B9B"/>
    <w:rsid w:val="0009446C"/>
    <w:rsid w:val="000A4B47"/>
    <w:rsid w:val="000A6E84"/>
    <w:rsid w:val="000B3C91"/>
    <w:rsid w:val="000C088A"/>
    <w:rsid w:val="000C1A73"/>
    <w:rsid w:val="000C7E84"/>
    <w:rsid w:val="000D18D8"/>
    <w:rsid w:val="000D729D"/>
    <w:rsid w:val="000E3640"/>
    <w:rsid w:val="000E661B"/>
    <w:rsid w:val="000F2587"/>
    <w:rsid w:val="000F4CA3"/>
    <w:rsid w:val="000F75CE"/>
    <w:rsid w:val="00103758"/>
    <w:rsid w:val="0011775D"/>
    <w:rsid w:val="00123170"/>
    <w:rsid w:val="00131321"/>
    <w:rsid w:val="00135003"/>
    <w:rsid w:val="001421E3"/>
    <w:rsid w:val="0014711F"/>
    <w:rsid w:val="00150DDE"/>
    <w:rsid w:val="0015151F"/>
    <w:rsid w:val="0016631E"/>
    <w:rsid w:val="001677AE"/>
    <w:rsid w:val="001724DA"/>
    <w:rsid w:val="00174159"/>
    <w:rsid w:val="00176572"/>
    <w:rsid w:val="00181BC4"/>
    <w:rsid w:val="0018570D"/>
    <w:rsid w:val="00185838"/>
    <w:rsid w:val="00190E85"/>
    <w:rsid w:val="001A3645"/>
    <w:rsid w:val="001B0507"/>
    <w:rsid w:val="001B2B2C"/>
    <w:rsid w:val="001D054E"/>
    <w:rsid w:val="001D76BD"/>
    <w:rsid w:val="001D7E81"/>
    <w:rsid w:val="001E11E4"/>
    <w:rsid w:val="001E2B4D"/>
    <w:rsid w:val="001E31B4"/>
    <w:rsid w:val="001E7B6A"/>
    <w:rsid w:val="001F5C30"/>
    <w:rsid w:val="00202B19"/>
    <w:rsid w:val="00203ADA"/>
    <w:rsid w:val="00207BB0"/>
    <w:rsid w:val="00211C41"/>
    <w:rsid w:val="002129C8"/>
    <w:rsid w:val="00217E4B"/>
    <w:rsid w:val="0022045C"/>
    <w:rsid w:val="002227D9"/>
    <w:rsid w:val="00223432"/>
    <w:rsid w:val="0022516F"/>
    <w:rsid w:val="0023181D"/>
    <w:rsid w:val="00235A8C"/>
    <w:rsid w:val="002401F4"/>
    <w:rsid w:val="00242533"/>
    <w:rsid w:val="00250166"/>
    <w:rsid w:val="0025137B"/>
    <w:rsid w:val="00265854"/>
    <w:rsid w:val="0027144E"/>
    <w:rsid w:val="002734A7"/>
    <w:rsid w:val="00276297"/>
    <w:rsid w:val="00287D39"/>
    <w:rsid w:val="00294332"/>
    <w:rsid w:val="00297B88"/>
    <w:rsid w:val="002A4237"/>
    <w:rsid w:val="002A63BB"/>
    <w:rsid w:val="002A6F0D"/>
    <w:rsid w:val="002C0783"/>
    <w:rsid w:val="002C5F15"/>
    <w:rsid w:val="002D57B4"/>
    <w:rsid w:val="002E5491"/>
    <w:rsid w:val="002E7D11"/>
    <w:rsid w:val="002F0B97"/>
    <w:rsid w:val="00301E27"/>
    <w:rsid w:val="0030293F"/>
    <w:rsid w:val="00305F64"/>
    <w:rsid w:val="00306A74"/>
    <w:rsid w:val="003137B9"/>
    <w:rsid w:val="00320528"/>
    <w:rsid w:val="00320D6F"/>
    <w:rsid w:val="0032161D"/>
    <w:rsid w:val="00331830"/>
    <w:rsid w:val="003326AF"/>
    <w:rsid w:val="003372F7"/>
    <w:rsid w:val="003533B2"/>
    <w:rsid w:val="00355D3F"/>
    <w:rsid w:val="003569C0"/>
    <w:rsid w:val="00362EF3"/>
    <w:rsid w:val="0036616F"/>
    <w:rsid w:val="003708A7"/>
    <w:rsid w:val="00372B21"/>
    <w:rsid w:val="00383B22"/>
    <w:rsid w:val="00384FC9"/>
    <w:rsid w:val="00387544"/>
    <w:rsid w:val="0038776D"/>
    <w:rsid w:val="003914DD"/>
    <w:rsid w:val="0039233A"/>
    <w:rsid w:val="003A6B94"/>
    <w:rsid w:val="003B22DD"/>
    <w:rsid w:val="003C3202"/>
    <w:rsid w:val="003C4979"/>
    <w:rsid w:val="003D06CC"/>
    <w:rsid w:val="003D221A"/>
    <w:rsid w:val="003D7981"/>
    <w:rsid w:val="003E58EA"/>
    <w:rsid w:val="003F114E"/>
    <w:rsid w:val="003F30B8"/>
    <w:rsid w:val="003F6323"/>
    <w:rsid w:val="003F68DA"/>
    <w:rsid w:val="004017D9"/>
    <w:rsid w:val="0040378A"/>
    <w:rsid w:val="00416A9E"/>
    <w:rsid w:val="00421A07"/>
    <w:rsid w:val="00427379"/>
    <w:rsid w:val="00430766"/>
    <w:rsid w:val="004341EC"/>
    <w:rsid w:val="00437903"/>
    <w:rsid w:val="00441C82"/>
    <w:rsid w:val="00443F3B"/>
    <w:rsid w:val="00444071"/>
    <w:rsid w:val="00446045"/>
    <w:rsid w:val="00446FEC"/>
    <w:rsid w:val="0045182D"/>
    <w:rsid w:val="00465CD5"/>
    <w:rsid w:val="0047648A"/>
    <w:rsid w:val="004C1509"/>
    <w:rsid w:val="004C1C4B"/>
    <w:rsid w:val="004C532F"/>
    <w:rsid w:val="004D4696"/>
    <w:rsid w:val="004E3956"/>
    <w:rsid w:val="004F6EA3"/>
    <w:rsid w:val="00503E4E"/>
    <w:rsid w:val="00507D7A"/>
    <w:rsid w:val="00516768"/>
    <w:rsid w:val="00517037"/>
    <w:rsid w:val="00517A49"/>
    <w:rsid w:val="005427C5"/>
    <w:rsid w:val="00543E58"/>
    <w:rsid w:val="00546FD6"/>
    <w:rsid w:val="00556F02"/>
    <w:rsid w:val="00561385"/>
    <w:rsid w:val="0056296A"/>
    <w:rsid w:val="00575E37"/>
    <w:rsid w:val="00582B4B"/>
    <w:rsid w:val="00592529"/>
    <w:rsid w:val="005925BB"/>
    <w:rsid w:val="005A4F71"/>
    <w:rsid w:val="005A53C1"/>
    <w:rsid w:val="005A5B44"/>
    <w:rsid w:val="005B7995"/>
    <w:rsid w:val="005C71E7"/>
    <w:rsid w:val="005D1F5A"/>
    <w:rsid w:val="005D42C2"/>
    <w:rsid w:val="005E2A1A"/>
    <w:rsid w:val="005E3FC5"/>
    <w:rsid w:val="00601612"/>
    <w:rsid w:val="006024CC"/>
    <w:rsid w:val="00602773"/>
    <w:rsid w:val="006042BB"/>
    <w:rsid w:val="00607A58"/>
    <w:rsid w:val="006122C6"/>
    <w:rsid w:val="00626877"/>
    <w:rsid w:val="00635C06"/>
    <w:rsid w:val="0064736B"/>
    <w:rsid w:val="00652A4C"/>
    <w:rsid w:val="00653854"/>
    <w:rsid w:val="00657709"/>
    <w:rsid w:val="006722B5"/>
    <w:rsid w:val="00691B1F"/>
    <w:rsid w:val="00696291"/>
    <w:rsid w:val="00696369"/>
    <w:rsid w:val="00696775"/>
    <w:rsid w:val="006A631E"/>
    <w:rsid w:val="006A6BC6"/>
    <w:rsid w:val="006B198C"/>
    <w:rsid w:val="006B7EC9"/>
    <w:rsid w:val="006D5B46"/>
    <w:rsid w:val="006D6A43"/>
    <w:rsid w:val="006E2A5F"/>
    <w:rsid w:val="006E5666"/>
    <w:rsid w:val="006E580A"/>
    <w:rsid w:val="00700342"/>
    <w:rsid w:val="0070194C"/>
    <w:rsid w:val="00706541"/>
    <w:rsid w:val="00707C0C"/>
    <w:rsid w:val="007145F5"/>
    <w:rsid w:val="0075687A"/>
    <w:rsid w:val="00763845"/>
    <w:rsid w:val="00777EDC"/>
    <w:rsid w:val="007A3AB3"/>
    <w:rsid w:val="007B6EB3"/>
    <w:rsid w:val="007C1633"/>
    <w:rsid w:val="007C5340"/>
    <w:rsid w:val="007D57CD"/>
    <w:rsid w:val="007D7B3D"/>
    <w:rsid w:val="007F6393"/>
    <w:rsid w:val="00804A68"/>
    <w:rsid w:val="00805CB2"/>
    <w:rsid w:val="00815C51"/>
    <w:rsid w:val="008177BB"/>
    <w:rsid w:val="0082773A"/>
    <w:rsid w:val="00851426"/>
    <w:rsid w:val="008520AC"/>
    <w:rsid w:val="00856416"/>
    <w:rsid w:val="008626B9"/>
    <w:rsid w:val="0086289C"/>
    <w:rsid w:val="00863981"/>
    <w:rsid w:val="008719F5"/>
    <w:rsid w:val="008929CB"/>
    <w:rsid w:val="00894AAF"/>
    <w:rsid w:val="008A554A"/>
    <w:rsid w:val="008B0EAB"/>
    <w:rsid w:val="008B1F8A"/>
    <w:rsid w:val="008B5ECD"/>
    <w:rsid w:val="008C2718"/>
    <w:rsid w:val="008C6984"/>
    <w:rsid w:val="008D1D53"/>
    <w:rsid w:val="008D2EF9"/>
    <w:rsid w:val="008D3415"/>
    <w:rsid w:val="008D581C"/>
    <w:rsid w:val="008F3587"/>
    <w:rsid w:val="008F5CC8"/>
    <w:rsid w:val="00906337"/>
    <w:rsid w:val="00911349"/>
    <w:rsid w:val="00914B7A"/>
    <w:rsid w:val="009231BA"/>
    <w:rsid w:val="0092566B"/>
    <w:rsid w:val="00926475"/>
    <w:rsid w:val="00930754"/>
    <w:rsid w:val="009404B9"/>
    <w:rsid w:val="00941062"/>
    <w:rsid w:val="0095082E"/>
    <w:rsid w:val="009A6848"/>
    <w:rsid w:val="009B06B3"/>
    <w:rsid w:val="009C0F8A"/>
    <w:rsid w:val="009D46BD"/>
    <w:rsid w:val="009D7933"/>
    <w:rsid w:val="009E1D4D"/>
    <w:rsid w:val="00A018F1"/>
    <w:rsid w:val="00A01B02"/>
    <w:rsid w:val="00A0326D"/>
    <w:rsid w:val="00A22DDE"/>
    <w:rsid w:val="00A25FEA"/>
    <w:rsid w:val="00A34531"/>
    <w:rsid w:val="00A50A1B"/>
    <w:rsid w:val="00A7011F"/>
    <w:rsid w:val="00A70F4C"/>
    <w:rsid w:val="00A737A8"/>
    <w:rsid w:val="00A77365"/>
    <w:rsid w:val="00A85342"/>
    <w:rsid w:val="00AB2FD9"/>
    <w:rsid w:val="00AC58FA"/>
    <w:rsid w:val="00AD0ED1"/>
    <w:rsid w:val="00AD104F"/>
    <w:rsid w:val="00AD1656"/>
    <w:rsid w:val="00AE41D0"/>
    <w:rsid w:val="00AE7BA7"/>
    <w:rsid w:val="00AE7D4D"/>
    <w:rsid w:val="00B146DB"/>
    <w:rsid w:val="00B30E97"/>
    <w:rsid w:val="00B36BC3"/>
    <w:rsid w:val="00B57E97"/>
    <w:rsid w:val="00B636BC"/>
    <w:rsid w:val="00B65425"/>
    <w:rsid w:val="00B70E69"/>
    <w:rsid w:val="00B77B41"/>
    <w:rsid w:val="00B924FF"/>
    <w:rsid w:val="00B95A46"/>
    <w:rsid w:val="00BA4004"/>
    <w:rsid w:val="00BB13AD"/>
    <w:rsid w:val="00BC111E"/>
    <w:rsid w:val="00BD7519"/>
    <w:rsid w:val="00BE677D"/>
    <w:rsid w:val="00BF10AE"/>
    <w:rsid w:val="00BF3602"/>
    <w:rsid w:val="00C039F5"/>
    <w:rsid w:val="00C163FF"/>
    <w:rsid w:val="00C165F2"/>
    <w:rsid w:val="00C25CE1"/>
    <w:rsid w:val="00C274DA"/>
    <w:rsid w:val="00C322BC"/>
    <w:rsid w:val="00C4543C"/>
    <w:rsid w:val="00C462AB"/>
    <w:rsid w:val="00C53C2A"/>
    <w:rsid w:val="00C55424"/>
    <w:rsid w:val="00C5799F"/>
    <w:rsid w:val="00C63205"/>
    <w:rsid w:val="00C66A85"/>
    <w:rsid w:val="00C74A4B"/>
    <w:rsid w:val="00C8240C"/>
    <w:rsid w:val="00C8656C"/>
    <w:rsid w:val="00C9644E"/>
    <w:rsid w:val="00CA06BD"/>
    <w:rsid w:val="00CA0DB2"/>
    <w:rsid w:val="00CA5819"/>
    <w:rsid w:val="00CB0F4C"/>
    <w:rsid w:val="00CB613B"/>
    <w:rsid w:val="00CB76E1"/>
    <w:rsid w:val="00CC0B69"/>
    <w:rsid w:val="00CC0D6E"/>
    <w:rsid w:val="00CC31C1"/>
    <w:rsid w:val="00CC7E18"/>
    <w:rsid w:val="00CD29EA"/>
    <w:rsid w:val="00CD54BA"/>
    <w:rsid w:val="00CE4313"/>
    <w:rsid w:val="00CE7864"/>
    <w:rsid w:val="00CF4016"/>
    <w:rsid w:val="00D00556"/>
    <w:rsid w:val="00D03A6F"/>
    <w:rsid w:val="00D073FA"/>
    <w:rsid w:val="00D110ED"/>
    <w:rsid w:val="00D13D55"/>
    <w:rsid w:val="00D145C5"/>
    <w:rsid w:val="00D239EA"/>
    <w:rsid w:val="00D369D8"/>
    <w:rsid w:val="00D37C3D"/>
    <w:rsid w:val="00D4320D"/>
    <w:rsid w:val="00D5246D"/>
    <w:rsid w:val="00D659B7"/>
    <w:rsid w:val="00D85074"/>
    <w:rsid w:val="00D85924"/>
    <w:rsid w:val="00D904A6"/>
    <w:rsid w:val="00D92029"/>
    <w:rsid w:val="00D92D52"/>
    <w:rsid w:val="00D92E30"/>
    <w:rsid w:val="00D93A34"/>
    <w:rsid w:val="00D96F91"/>
    <w:rsid w:val="00DA3458"/>
    <w:rsid w:val="00DB5446"/>
    <w:rsid w:val="00DB7ACC"/>
    <w:rsid w:val="00DC0B0A"/>
    <w:rsid w:val="00DC5600"/>
    <w:rsid w:val="00DD143C"/>
    <w:rsid w:val="00DD5AF3"/>
    <w:rsid w:val="00DD5D84"/>
    <w:rsid w:val="00DD5ED3"/>
    <w:rsid w:val="00DD6FA0"/>
    <w:rsid w:val="00DE1FBA"/>
    <w:rsid w:val="00DE59DD"/>
    <w:rsid w:val="00E00B3F"/>
    <w:rsid w:val="00E21C66"/>
    <w:rsid w:val="00E223BA"/>
    <w:rsid w:val="00E31A6E"/>
    <w:rsid w:val="00E34550"/>
    <w:rsid w:val="00E34618"/>
    <w:rsid w:val="00E40015"/>
    <w:rsid w:val="00E423B3"/>
    <w:rsid w:val="00E43E59"/>
    <w:rsid w:val="00E462D9"/>
    <w:rsid w:val="00E504E7"/>
    <w:rsid w:val="00E510AB"/>
    <w:rsid w:val="00E57780"/>
    <w:rsid w:val="00E72340"/>
    <w:rsid w:val="00E7484D"/>
    <w:rsid w:val="00E81FD1"/>
    <w:rsid w:val="00EB002C"/>
    <w:rsid w:val="00EB065D"/>
    <w:rsid w:val="00EB1FBF"/>
    <w:rsid w:val="00EB3316"/>
    <w:rsid w:val="00EB618A"/>
    <w:rsid w:val="00EC03B2"/>
    <w:rsid w:val="00EC1A5E"/>
    <w:rsid w:val="00EC42EA"/>
    <w:rsid w:val="00EE73CE"/>
    <w:rsid w:val="00EF5B05"/>
    <w:rsid w:val="00F20769"/>
    <w:rsid w:val="00F22B15"/>
    <w:rsid w:val="00F40D3F"/>
    <w:rsid w:val="00F60E4B"/>
    <w:rsid w:val="00F764FC"/>
    <w:rsid w:val="00F815BE"/>
    <w:rsid w:val="00F91C9B"/>
    <w:rsid w:val="00F977E8"/>
    <w:rsid w:val="00FA63D3"/>
    <w:rsid w:val="00FA768E"/>
    <w:rsid w:val="00FB05D2"/>
    <w:rsid w:val="00FB1193"/>
    <w:rsid w:val="00FB5C75"/>
    <w:rsid w:val="00FB5DC7"/>
    <w:rsid w:val="00FC4125"/>
    <w:rsid w:val="00FC70FC"/>
    <w:rsid w:val="00FD3B48"/>
    <w:rsid w:val="00FD7E43"/>
    <w:rsid w:val="00FE0351"/>
    <w:rsid w:val="00FE2CBD"/>
    <w:rsid w:val="00FE34E4"/>
    <w:rsid w:val="00FE537D"/>
    <w:rsid w:val="00FF2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7E7CD"/>
  <w15:docId w15:val="{BD42E3DC-83D9-458F-B252-5FA69F53C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A8C"/>
    <w:rPr>
      <w:rFonts w:eastAsiaTheme="majorEastAsia" w:cstheme="majorBidi"/>
      <w:color w:val="272727" w:themeColor="text1" w:themeTint="D8"/>
    </w:rPr>
  </w:style>
  <w:style w:type="paragraph" w:styleId="Title">
    <w:name w:val="Title"/>
    <w:basedOn w:val="Normal"/>
    <w:next w:val="Normal"/>
    <w:link w:val="TitleChar"/>
    <w:uiPriority w:val="10"/>
    <w:qFormat/>
    <w:rsid w:val="00235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A8C"/>
    <w:pPr>
      <w:spacing w:before="160"/>
      <w:jc w:val="center"/>
    </w:pPr>
    <w:rPr>
      <w:i/>
      <w:iCs/>
      <w:color w:val="404040" w:themeColor="text1" w:themeTint="BF"/>
    </w:rPr>
  </w:style>
  <w:style w:type="character" w:customStyle="1" w:styleId="QuoteChar">
    <w:name w:val="Quote Char"/>
    <w:basedOn w:val="DefaultParagraphFont"/>
    <w:link w:val="Quote"/>
    <w:uiPriority w:val="29"/>
    <w:rsid w:val="00235A8C"/>
    <w:rPr>
      <w:i/>
      <w:iCs/>
      <w:color w:val="404040" w:themeColor="text1" w:themeTint="BF"/>
    </w:rPr>
  </w:style>
  <w:style w:type="paragraph" w:styleId="ListParagraph">
    <w:name w:val="List Paragraph"/>
    <w:basedOn w:val="Normal"/>
    <w:uiPriority w:val="34"/>
    <w:qFormat/>
    <w:rsid w:val="00235A8C"/>
    <w:pPr>
      <w:ind w:left="720"/>
      <w:contextualSpacing/>
    </w:pPr>
  </w:style>
  <w:style w:type="character" w:styleId="IntenseEmphasis">
    <w:name w:val="Intense Emphasis"/>
    <w:basedOn w:val="DefaultParagraphFont"/>
    <w:uiPriority w:val="21"/>
    <w:qFormat/>
    <w:rsid w:val="00235A8C"/>
    <w:rPr>
      <w:i/>
      <w:iCs/>
      <w:color w:val="0F4761" w:themeColor="accent1" w:themeShade="BF"/>
    </w:rPr>
  </w:style>
  <w:style w:type="paragraph" w:styleId="IntenseQuote">
    <w:name w:val="Intense Quote"/>
    <w:basedOn w:val="Normal"/>
    <w:next w:val="Normal"/>
    <w:link w:val="IntenseQuoteChar"/>
    <w:uiPriority w:val="30"/>
    <w:qFormat/>
    <w:rsid w:val="00235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A8C"/>
    <w:rPr>
      <w:i/>
      <w:iCs/>
      <w:color w:val="0F4761" w:themeColor="accent1" w:themeShade="BF"/>
    </w:rPr>
  </w:style>
  <w:style w:type="character" w:styleId="IntenseReference">
    <w:name w:val="Intense Reference"/>
    <w:basedOn w:val="DefaultParagraphFont"/>
    <w:uiPriority w:val="32"/>
    <w:qFormat/>
    <w:rsid w:val="00235A8C"/>
    <w:rPr>
      <w:b/>
      <w:bCs/>
      <w:smallCaps/>
      <w:color w:val="0F4761" w:themeColor="accent1" w:themeShade="BF"/>
      <w:spacing w:val="5"/>
    </w:rPr>
  </w:style>
  <w:style w:type="table" w:styleId="TableGrid">
    <w:name w:val="Table Grid"/>
    <w:basedOn w:val="TableNormal"/>
    <w:uiPriority w:val="39"/>
    <w:rsid w:val="004017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4531"/>
    <w:rPr>
      <w:color w:val="467886" w:themeColor="hyperlink"/>
      <w:u w:val="single"/>
    </w:rPr>
  </w:style>
  <w:style w:type="character" w:styleId="UnresolvedMention">
    <w:name w:val="Unresolved Mention"/>
    <w:basedOn w:val="DefaultParagraphFont"/>
    <w:uiPriority w:val="99"/>
    <w:semiHidden/>
    <w:unhideWhenUsed/>
    <w:rsid w:val="00A34531"/>
    <w:rPr>
      <w:color w:val="605E5C"/>
      <w:shd w:val="clear" w:color="auto" w:fill="E1DFDD"/>
    </w:rPr>
  </w:style>
  <w:style w:type="paragraph" w:styleId="Header">
    <w:name w:val="header"/>
    <w:basedOn w:val="Normal"/>
    <w:link w:val="HeaderChar"/>
    <w:uiPriority w:val="99"/>
    <w:unhideWhenUsed/>
    <w:rsid w:val="00E57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780"/>
  </w:style>
  <w:style w:type="paragraph" w:styleId="Footer">
    <w:name w:val="footer"/>
    <w:basedOn w:val="Normal"/>
    <w:link w:val="FooterChar"/>
    <w:uiPriority w:val="99"/>
    <w:unhideWhenUsed/>
    <w:rsid w:val="00E57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780"/>
  </w:style>
  <w:style w:type="character" w:styleId="PlaceholderText">
    <w:name w:val="Placeholder Text"/>
    <w:basedOn w:val="DefaultParagraphFont"/>
    <w:uiPriority w:val="99"/>
    <w:semiHidden/>
    <w:rsid w:val="0005178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3</Pages>
  <Words>1714</Words>
  <Characters>9772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dc:creator>
  <cp:keywords/>
  <dc:description/>
  <cp:lastModifiedBy>Emmett Leitch</cp:lastModifiedBy>
  <cp:revision>96</cp:revision>
  <dcterms:created xsi:type="dcterms:W3CDTF">2024-03-22T21:39:00Z</dcterms:created>
  <dcterms:modified xsi:type="dcterms:W3CDTF">2024-03-22T23:06:00Z</dcterms:modified>
</cp:coreProperties>
</file>