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27722" w14:textId="77777777" w:rsidR="0028141B" w:rsidRDefault="0028141B" w:rsidP="0028141B">
      <w:pPr>
        <w:jc w:val="center"/>
        <w:rPr>
          <w:rFonts w:ascii="Arial" w:eastAsia="Arial" w:hAnsi="Arial" w:cs="Arial"/>
          <w:b/>
          <w:bCs/>
        </w:rPr>
      </w:pPr>
      <w:r>
        <w:rPr>
          <w:rFonts w:ascii="Arial" w:eastAsia="Arial" w:hAnsi="Arial" w:cs="Arial"/>
          <w:b/>
          <w:bCs/>
          <w:noProof/>
        </w:rPr>
        <w:drawing>
          <wp:inline distT="0" distB="0" distL="0" distR="0" wp14:anchorId="54948BA8" wp14:editId="61BE9B39">
            <wp:extent cx="5731510" cy="19850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85010"/>
                    </a:xfrm>
                    <a:prstGeom prst="rect">
                      <a:avLst/>
                    </a:prstGeom>
                    <a:noFill/>
                    <a:ln>
                      <a:noFill/>
                    </a:ln>
                  </pic:spPr>
                </pic:pic>
              </a:graphicData>
            </a:graphic>
          </wp:inline>
        </w:drawing>
      </w:r>
    </w:p>
    <w:p w14:paraId="26C13848" w14:textId="77777777" w:rsidR="0028141B" w:rsidRDefault="0028141B" w:rsidP="0028141B">
      <w:pPr>
        <w:ind w:left="720" w:hanging="720"/>
        <w:jc w:val="center"/>
        <w:rPr>
          <w:rFonts w:ascii="Arial" w:eastAsia="Arial" w:hAnsi="Arial" w:cs="Arial"/>
          <w:b/>
          <w:bCs/>
        </w:rPr>
      </w:pPr>
    </w:p>
    <w:p w14:paraId="5D98EF55" w14:textId="77777777" w:rsidR="0028141B" w:rsidRDefault="0028141B" w:rsidP="0028141B">
      <w:pPr>
        <w:ind w:left="720" w:hanging="720"/>
        <w:jc w:val="center"/>
        <w:rPr>
          <w:rFonts w:ascii="Arial" w:eastAsia="Arial" w:hAnsi="Arial" w:cs="Arial"/>
          <w:b/>
          <w:bCs/>
        </w:rPr>
      </w:pPr>
    </w:p>
    <w:p w14:paraId="4F226D2A" w14:textId="77777777" w:rsidR="0028141B" w:rsidRDefault="0028141B" w:rsidP="0028141B">
      <w:pPr>
        <w:ind w:left="720" w:hanging="720"/>
        <w:jc w:val="center"/>
        <w:rPr>
          <w:rFonts w:ascii="Arial" w:eastAsia="Arial" w:hAnsi="Arial" w:cs="Arial"/>
          <w:b/>
          <w:bCs/>
        </w:rPr>
      </w:pPr>
    </w:p>
    <w:p w14:paraId="76C2C390" w14:textId="77777777" w:rsidR="0028141B" w:rsidRDefault="0028141B" w:rsidP="0028141B">
      <w:pPr>
        <w:ind w:left="720" w:hanging="720"/>
        <w:jc w:val="center"/>
        <w:rPr>
          <w:rFonts w:ascii="Arial" w:eastAsia="Arial" w:hAnsi="Arial" w:cs="Arial"/>
          <w:b/>
          <w:bCs/>
        </w:rPr>
      </w:pPr>
    </w:p>
    <w:p w14:paraId="3249AC40" w14:textId="77777777" w:rsidR="00F3258F" w:rsidRDefault="00F3258F" w:rsidP="0028141B">
      <w:pPr>
        <w:spacing w:line="360" w:lineRule="auto"/>
        <w:ind w:left="720" w:hanging="720"/>
        <w:jc w:val="center"/>
        <w:rPr>
          <w:rFonts w:ascii="Arial" w:eastAsia="Arial" w:hAnsi="Arial" w:cs="Arial"/>
          <w:b/>
          <w:bCs/>
        </w:rPr>
      </w:pPr>
      <w:r>
        <w:rPr>
          <w:rFonts w:ascii="Arial" w:eastAsia="Arial" w:hAnsi="Arial" w:cs="Arial"/>
          <w:b/>
          <w:bCs/>
        </w:rPr>
        <w:t>Law and the workplace</w:t>
      </w:r>
    </w:p>
    <w:p w14:paraId="1ECF7599" w14:textId="0B360425" w:rsidR="0028141B" w:rsidRPr="00503565" w:rsidRDefault="0028141B" w:rsidP="0028141B">
      <w:pPr>
        <w:spacing w:line="360" w:lineRule="auto"/>
        <w:ind w:left="720" w:hanging="720"/>
        <w:jc w:val="center"/>
        <w:rPr>
          <w:rFonts w:ascii="Arial" w:eastAsia="Arial" w:hAnsi="Arial" w:cs="Arial"/>
          <w:b/>
          <w:bCs/>
        </w:rPr>
      </w:pPr>
      <w:r w:rsidRPr="00503565">
        <w:rPr>
          <w:rFonts w:ascii="Arial" w:eastAsia="Arial" w:hAnsi="Arial" w:cs="Arial"/>
          <w:b/>
          <w:bCs/>
        </w:rPr>
        <w:t>By</w:t>
      </w:r>
    </w:p>
    <w:p w14:paraId="17DF38C4" w14:textId="77777777" w:rsidR="0028141B" w:rsidRPr="00503565" w:rsidRDefault="0028141B" w:rsidP="0028141B">
      <w:pPr>
        <w:spacing w:line="360" w:lineRule="auto"/>
        <w:ind w:left="720" w:hanging="720"/>
        <w:jc w:val="center"/>
        <w:rPr>
          <w:rFonts w:ascii="Arial" w:eastAsia="Arial" w:hAnsi="Arial" w:cs="Arial"/>
          <w:b/>
          <w:bCs/>
        </w:rPr>
      </w:pPr>
      <w:r w:rsidRPr="00503565">
        <w:rPr>
          <w:rFonts w:ascii="Arial" w:eastAsia="Arial" w:hAnsi="Arial" w:cs="Arial"/>
          <w:b/>
          <w:bCs/>
        </w:rPr>
        <w:t>Graham  Jones</w:t>
      </w:r>
    </w:p>
    <w:p w14:paraId="699163EF" w14:textId="77777777" w:rsidR="0028141B" w:rsidRPr="00503565" w:rsidRDefault="0028141B" w:rsidP="0028141B">
      <w:pPr>
        <w:spacing w:line="360" w:lineRule="auto"/>
        <w:ind w:left="720" w:hanging="720"/>
        <w:jc w:val="center"/>
        <w:rPr>
          <w:rFonts w:ascii="Arial" w:eastAsia="Arial" w:hAnsi="Arial" w:cs="Arial"/>
          <w:b/>
          <w:bCs/>
        </w:rPr>
      </w:pPr>
      <w:r w:rsidRPr="00503565">
        <w:rPr>
          <w:rFonts w:ascii="Arial" w:eastAsia="Arial" w:hAnsi="Arial" w:cs="Arial"/>
          <w:b/>
          <w:bCs/>
        </w:rPr>
        <w:t>2313935</w:t>
      </w:r>
    </w:p>
    <w:p w14:paraId="09B3B287" w14:textId="77777777" w:rsidR="0028141B" w:rsidRPr="00503565" w:rsidRDefault="0028141B" w:rsidP="0028141B">
      <w:pPr>
        <w:ind w:left="720" w:hanging="720"/>
        <w:jc w:val="center"/>
        <w:rPr>
          <w:rFonts w:ascii="Arial" w:eastAsia="Arial" w:hAnsi="Arial" w:cs="Arial"/>
          <w:b/>
          <w:bCs/>
        </w:rPr>
      </w:pPr>
    </w:p>
    <w:p w14:paraId="4DD48B55" w14:textId="77777777" w:rsidR="0028141B" w:rsidRPr="00503565" w:rsidRDefault="0028141B" w:rsidP="0028141B">
      <w:pPr>
        <w:ind w:left="720" w:hanging="720"/>
        <w:jc w:val="center"/>
        <w:rPr>
          <w:rFonts w:ascii="Arial" w:eastAsia="Arial" w:hAnsi="Arial" w:cs="Arial"/>
          <w:b/>
          <w:bCs/>
        </w:rPr>
      </w:pPr>
    </w:p>
    <w:p w14:paraId="6DF20EBF" w14:textId="77777777" w:rsidR="0028141B" w:rsidRPr="00503565" w:rsidRDefault="0028141B" w:rsidP="0028141B">
      <w:pPr>
        <w:ind w:left="720" w:hanging="720"/>
        <w:jc w:val="center"/>
        <w:rPr>
          <w:rFonts w:ascii="Arial" w:eastAsia="Arial" w:hAnsi="Arial" w:cs="Arial"/>
          <w:b/>
          <w:bCs/>
        </w:rPr>
      </w:pPr>
    </w:p>
    <w:p w14:paraId="7A2CB18A" w14:textId="77777777" w:rsidR="0028141B" w:rsidRPr="00B809AE" w:rsidRDefault="0028141B" w:rsidP="0028141B">
      <w:pPr>
        <w:pStyle w:val="paragraph"/>
        <w:spacing w:before="0" w:beforeAutospacing="0" w:after="0" w:afterAutospacing="0" w:line="360" w:lineRule="auto"/>
        <w:jc w:val="center"/>
        <w:textAlignment w:val="baseline"/>
        <w:rPr>
          <w:rFonts w:ascii="Arial" w:hAnsi="Arial" w:cs="Arial"/>
          <w:b/>
          <w:bCs/>
          <w:sz w:val="22"/>
          <w:szCs w:val="22"/>
        </w:rPr>
      </w:pPr>
      <w:r w:rsidRPr="00B809AE">
        <w:rPr>
          <w:rStyle w:val="normaltextrun"/>
          <w:rFonts w:ascii="Arial" w:eastAsiaTheme="majorEastAsia" w:hAnsi="Arial" w:cs="Arial"/>
          <w:b/>
          <w:bCs/>
          <w:sz w:val="22"/>
          <w:szCs w:val="22"/>
          <w:lang w:val="en-US"/>
        </w:rPr>
        <w:t>Degree Apprenticeship in Logistics and Supply Chain Management</w:t>
      </w:r>
    </w:p>
    <w:p w14:paraId="1FA3FA97" w14:textId="20CEA911" w:rsidR="0028141B" w:rsidRPr="00B809AE" w:rsidRDefault="00B92BDA" w:rsidP="0028141B">
      <w:pPr>
        <w:pStyle w:val="paragraph"/>
        <w:spacing w:before="0" w:beforeAutospacing="0" w:after="0" w:afterAutospacing="0" w:line="360" w:lineRule="auto"/>
        <w:jc w:val="center"/>
        <w:textAlignment w:val="baseline"/>
        <w:rPr>
          <w:rFonts w:ascii="Arial" w:hAnsi="Arial" w:cs="Arial"/>
          <w:b/>
          <w:bCs/>
          <w:sz w:val="22"/>
          <w:szCs w:val="22"/>
        </w:rPr>
      </w:pPr>
      <w:r>
        <w:rPr>
          <w:rStyle w:val="normaltextrun"/>
          <w:rFonts w:ascii="Arial" w:eastAsiaTheme="majorEastAsia" w:hAnsi="Arial" w:cs="Arial"/>
          <w:b/>
          <w:bCs/>
          <w:sz w:val="22"/>
          <w:szCs w:val="22"/>
          <w:lang w:val="en-US"/>
        </w:rPr>
        <w:t>5</w:t>
      </w:r>
      <w:r w:rsidRPr="00B92BDA">
        <w:rPr>
          <w:rStyle w:val="normaltextrun"/>
          <w:rFonts w:ascii="Arial" w:eastAsiaTheme="majorEastAsia" w:hAnsi="Arial" w:cs="Arial"/>
          <w:b/>
          <w:bCs/>
          <w:sz w:val="22"/>
          <w:szCs w:val="22"/>
          <w:vertAlign w:val="superscript"/>
          <w:lang w:val="en-US"/>
        </w:rPr>
        <w:t>th</w:t>
      </w:r>
      <w:r>
        <w:rPr>
          <w:rStyle w:val="normaltextrun"/>
          <w:rFonts w:ascii="Arial" w:eastAsiaTheme="majorEastAsia" w:hAnsi="Arial" w:cs="Arial"/>
          <w:b/>
          <w:bCs/>
          <w:sz w:val="22"/>
          <w:szCs w:val="22"/>
          <w:lang w:val="en-US"/>
        </w:rPr>
        <w:t xml:space="preserve"> June</w:t>
      </w:r>
      <w:r w:rsidR="0028141B" w:rsidRPr="00B809AE">
        <w:rPr>
          <w:rStyle w:val="normaltextrun"/>
          <w:rFonts w:ascii="Arial" w:eastAsiaTheme="majorEastAsia" w:hAnsi="Arial" w:cs="Arial"/>
          <w:b/>
          <w:bCs/>
          <w:sz w:val="22"/>
          <w:szCs w:val="22"/>
          <w:lang w:val="en-US"/>
        </w:rPr>
        <w:t xml:space="preserve"> 2025</w:t>
      </w:r>
    </w:p>
    <w:p w14:paraId="114BDDDC" w14:textId="1CD7525F" w:rsidR="000A18F4" w:rsidRDefault="00491363" w:rsidP="0049294A">
      <w:pPr>
        <w:jc w:val="center"/>
        <w:rPr>
          <w:rStyle w:val="normaltextrun"/>
          <w:rFonts w:ascii="Arial" w:eastAsiaTheme="majorEastAsia" w:hAnsi="Arial" w:cs="Arial"/>
          <w:b/>
          <w:bCs/>
          <w:lang w:val="en-US"/>
        </w:rPr>
      </w:pPr>
      <w:r w:rsidRPr="00B809AE">
        <w:rPr>
          <w:rStyle w:val="normaltextrun"/>
          <w:rFonts w:ascii="Arial" w:eastAsiaTheme="majorEastAsia" w:hAnsi="Arial" w:cs="Arial"/>
          <w:b/>
          <w:bCs/>
          <w:lang w:val="en-US"/>
        </w:rPr>
        <w:t>Ethics &amp; Law (</w:t>
      </w:r>
      <w:r w:rsidR="00B809AE" w:rsidRPr="00B809AE">
        <w:rPr>
          <w:rStyle w:val="normaltextrun"/>
          <w:rFonts w:ascii="Arial" w:eastAsiaTheme="majorEastAsia" w:hAnsi="Arial" w:cs="Arial"/>
          <w:b/>
          <w:bCs/>
          <w:lang w:val="en-US"/>
        </w:rPr>
        <w:t>ACMA 5015)</w:t>
      </w:r>
    </w:p>
    <w:p w14:paraId="6B1196E9" w14:textId="75D0245C" w:rsidR="0049294A" w:rsidRPr="0049294A" w:rsidRDefault="000A18F4" w:rsidP="000A18F4">
      <w:pPr>
        <w:rPr>
          <w:rStyle w:val="normaltextrun"/>
          <w:rFonts w:ascii="Arial" w:eastAsiaTheme="majorEastAsia" w:hAnsi="Arial" w:cs="Arial"/>
          <w:b/>
          <w:bCs/>
          <w:lang w:val="en-US"/>
        </w:rPr>
      </w:pPr>
      <w:r>
        <w:rPr>
          <w:rStyle w:val="normaltextrun"/>
          <w:rFonts w:ascii="Arial" w:eastAsiaTheme="majorEastAsia" w:hAnsi="Arial" w:cs="Arial"/>
          <w:b/>
          <w:bCs/>
          <w:lang w:val="en-US"/>
        </w:rPr>
        <w:br w:type="page"/>
      </w:r>
    </w:p>
    <w:p w14:paraId="0DE99C25" w14:textId="77777777" w:rsidR="0028141B" w:rsidRPr="000A5541" w:rsidRDefault="0028141B" w:rsidP="0028141B">
      <w:pPr>
        <w:ind w:left="555" w:firstLine="135"/>
        <w:jc w:val="both"/>
        <w:textAlignment w:val="baseline"/>
        <w:rPr>
          <w:rFonts w:ascii="Segoe UI" w:hAnsi="Segoe UI" w:cs="Segoe UI"/>
          <w:sz w:val="18"/>
          <w:szCs w:val="18"/>
          <w:lang w:eastAsia="zh-CN"/>
        </w:rPr>
      </w:pPr>
      <w:r w:rsidRPr="000A5541">
        <w:rPr>
          <w:rFonts w:ascii="Arial" w:hAnsi="Arial" w:cs="Arial"/>
          <w:b/>
          <w:bCs/>
          <w:lang w:eastAsia="zh-CN"/>
        </w:rPr>
        <w:lastRenderedPageBreak/>
        <w:t>Use of Generative AI in Assessment </w:t>
      </w:r>
    </w:p>
    <w:p w14:paraId="5618006C" w14:textId="77777777" w:rsidR="0028141B" w:rsidRPr="000A5541" w:rsidRDefault="0028141B" w:rsidP="0028141B">
      <w:pPr>
        <w:textAlignment w:val="baseline"/>
        <w:rPr>
          <w:rFonts w:ascii="Segoe UI" w:hAnsi="Segoe UI" w:cs="Segoe UI"/>
          <w:sz w:val="18"/>
          <w:szCs w:val="18"/>
          <w:lang w:eastAsia="zh-CN"/>
        </w:rPr>
      </w:pPr>
      <w:r w:rsidRPr="000A5541">
        <w:rPr>
          <w:lang w:eastAsia="zh-CN"/>
        </w:rPr>
        <w:t> </w:t>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91363" w:rsidRPr="00FA7E96" w14:paraId="524B456B" w14:textId="77777777" w:rsidTr="00A457DB">
        <w:trPr>
          <w:trHeight w:val="300"/>
        </w:trPr>
        <w:tc>
          <w:tcPr>
            <w:tcW w:w="2250" w:type="dxa"/>
            <w:tcMar>
              <w:left w:w="105" w:type="dxa"/>
              <w:right w:w="105" w:type="dxa"/>
            </w:tcMar>
          </w:tcPr>
          <w:p w14:paraId="5D5B95E7" w14:textId="77777777" w:rsidR="00491363" w:rsidRPr="00FA7E96" w:rsidRDefault="00491363" w:rsidP="00A457DB">
            <w:pPr>
              <w:spacing w:line="259" w:lineRule="auto"/>
              <w:rPr>
                <w:rFonts w:eastAsia="Calibri" w:cs="Arial"/>
              </w:rPr>
            </w:pPr>
            <w:r w:rsidRPr="00FA7E96">
              <w:rPr>
                <w:rFonts w:eastAsia="Calibri" w:cs="Arial"/>
              </w:rPr>
              <w:t>RESEARCH</w:t>
            </w:r>
          </w:p>
        </w:tc>
        <w:tc>
          <w:tcPr>
            <w:tcW w:w="5397" w:type="dxa"/>
            <w:tcMar>
              <w:left w:w="105" w:type="dxa"/>
              <w:right w:w="105" w:type="dxa"/>
            </w:tcMar>
          </w:tcPr>
          <w:p w14:paraId="1D92B6E1" w14:textId="77777777" w:rsidR="00491363" w:rsidRPr="00FA7E96" w:rsidRDefault="00491363" w:rsidP="00A457DB">
            <w:pPr>
              <w:spacing w:line="259" w:lineRule="auto"/>
              <w:rPr>
                <w:rFonts w:eastAsia="Calibri" w:cs="Arial"/>
              </w:rPr>
            </w:pPr>
            <w:r w:rsidRPr="00FA7E96">
              <w:rPr>
                <w:rFonts w:eastAsia="Calibri" w:cs="Arial"/>
              </w:rPr>
              <w:t>For this assessment, you can use Generative AI to support you in research, including searching for bibliography, using tools to summarise, compare and interrogate materials.</w:t>
            </w:r>
          </w:p>
        </w:tc>
        <w:tc>
          <w:tcPr>
            <w:tcW w:w="1417" w:type="dxa"/>
          </w:tcPr>
          <w:p w14:paraId="207EA829" w14:textId="77777777" w:rsidR="00491363" w:rsidRDefault="00491363" w:rsidP="00A457DB">
            <w:pPr>
              <w:rPr>
                <w:rFonts w:eastAsia="Calibri" w:cs="Arial"/>
              </w:rPr>
            </w:pPr>
            <w:r>
              <w:rPr>
                <w:rFonts w:eastAsia="Calibri" w:cs="Arial"/>
              </w:rPr>
              <w:t xml:space="preserve">Yes </w:t>
            </w:r>
            <w:sdt>
              <w:sdtPr>
                <w:rPr>
                  <w:rFonts w:cs="Arial"/>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3605FF3E" w14:textId="77777777" w:rsidR="00491363" w:rsidRDefault="00491363" w:rsidP="00A457DB">
            <w:pPr>
              <w:rPr>
                <w:rFonts w:eastAsia="Calibri" w:cs="Arial"/>
              </w:rPr>
            </w:pPr>
          </w:p>
          <w:p w14:paraId="1F1DB8E7" w14:textId="77777777" w:rsidR="00491363" w:rsidRPr="00FA7E96" w:rsidRDefault="00491363" w:rsidP="00A457DB">
            <w:pPr>
              <w:rPr>
                <w:rFonts w:eastAsia="Calibri" w:cs="Arial"/>
              </w:rPr>
            </w:pPr>
            <w:r>
              <w:rPr>
                <w:rFonts w:eastAsia="Calibri" w:cs="Arial"/>
              </w:rPr>
              <w:t xml:space="preserve">No  </w:t>
            </w:r>
            <w:sdt>
              <w:sdtPr>
                <w:rPr>
                  <w:rFonts w:cs="Arial"/>
                </w:rPr>
                <w:id w:val="232746510"/>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91363" w:rsidRPr="00FA7E96" w14:paraId="1495DCE1" w14:textId="77777777" w:rsidTr="00A457DB">
        <w:trPr>
          <w:trHeight w:val="300"/>
        </w:trPr>
        <w:tc>
          <w:tcPr>
            <w:tcW w:w="2250" w:type="dxa"/>
            <w:tcMar>
              <w:left w:w="105" w:type="dxa"/>
              <w:right w:w="105" w:type="dxa"/>
            </w:tcMar>
          </w:tcPr>
          <w:p w14:paraId="2CB2E8FF" w14:textId="77777777" w:rsidR="00491363" w:rsidRPr="00FA7E96" w:rsidRDefault="00491363" w:rsidP="00A457DB">
            <w:pPr>
              <w:spacing w:line="259" w:lineRule="auto"/>
              <w:rPr>
                <w:rFonts w:eastAsia="Calibri" w:cs="Arial"/>
              </w:rPr>
            </w:pPr>
            <w:r w:rsidRPr="00FA7E96">
              <w:rPr>
                <w:rFonts w:eastAsia="Calibri" w:cs="Arial"/>
              </w:rPr>
              <w:t>STRUCTURE</w:t>
            </w:r>
          </w:p>
        </w:tc>
        <w:tc>
          <w:tcPr>
            <w:tcW w:w="5397" w:type="dxa"/>
            <w:tcMar>
              <w:left w:w="105" w:type="dxa"/>
              <w:right w:w="105" w:type="dxa"/>
            </w:tcMar>
          </w:tcPr>
          <w:p w14:paraId="66A15148" w14:textId="77777777" w:rsidR="00491363" w:rsidRPr="00FA7E96" w:rsidRDefault="00491363" w:rsidP="00A457DB">
            <w:pPr>
              <w:spacing w:line="259" w:lineRule="auto"/>
              <w:rPr>
                <w:rFonts w:eastAsia="Calibri" w:cs="Arial"/>
              </w:rPr>
            </w:pPr>
            <w:r w:rsidRPr="00FA7E96">
              <w:rPr>
                <w:rFonts w:eastAsia="Calibri" w:cs="Arial"/>
              </w:rPr>
              <w:t>For this assessment, you can use Generative AI to support you in structuring your submission, including creating a draft argument structure, identifying parts and headings, etc.</w:t>
            </w:r>
          </w:p>
        </w:tc>
        <w:tc>
          <w:tcPr>
            <w:tcW w:w="1417" w:type="dxa"/>
          </w:tcPr>
          <w:p w14:paraId="55B81E68" w14:textId="77777777" w:rsidR="00491363" w:rsidRDefault="00491363" w:rsidP="00A457DB">
            <w:pPr>
              <w:rPr>
                <w:rFonts w:eastAsia="Calibri" w:cs="Arial"/>
              </w:rPr>
            </w:pPr>
            <w:r>
              <w:rPr>
                <w:rFonts w:eastAsia="Calibri" w:cs="Arial"/>
              </w:rPr>
              <w:t xml:space="preserve">Yes </w:t>
            </w:r>
            <w:sdt>
              <w:sdtPr>
                <w:rPr>
                  <w:rFonts w:cs="Arial"/>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1373612A" w14:textId="77777777" w:rsidR="00491363" w:rsidRDefault="00491363" w:rsidP="00A457DB">
            <w:pPr>
              <w:rPr>
                <w:rFonts w:eastAsia="Calibri" w:cs="Arial"/>
              </w:rPr>
            </w:pPr>
          </w:p>
          <w:p w14:paraId="4C633284" w14:textId="77777777" w:rsidR="00491363" w:rsidRPr="00FA7E96" w:rsidRDefault="00491363" w:rsidP="00A457DB">
            <w:pPr>
              <w:rPr>
                <w:rFonts w:eastAsia="Calibri" w:cs="Arial"/>
              </w:rPr>
            </w:pPr>
            <w:r>
              <w:rPr>
                <w:rFonts w:eastAsia="Calibri" w:cs="Arial"/>
              </w:rPr>
              <w:t xml:space="preserve">No  </w:t>
            </w:r>
            <w:sdt>
              <w:sdtPr>
                <w:rPr>
                  <w:rFonts w:cs="Arial"/>
                </w:rPr>
                <w:id w:val="-177076507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91363" w:rsidRPr="00FA7E96" w14:paraId="26FB024A" w14:textId="77777777" w:rsidTr="00A457DB">
        <w:trPr>
          <w:trHeight w:val="300"/>
        </w:trPr>
        <w:tc>
          <w:tcPr>
            <w:tcW w:w="2250" w:type="dxa"/>
            <w:tcMar>
              <w:left w:w="105" w:type="dxa"/>
              <w:right w:w="105" w:type="dxa"/>
            </w:tcMar>
          </w:tcPr>
          <w:p w14:paraId="54475EEE" w14:textId="77777777" w:rsidR="00491363" w:rsidRPr="00FA7E96" w:rsidRDefault="00491363" w:rsidP="00A457DB">
            <w:pPr>
              <w:spacing w:line="259" w:lineRule="auto"/>
              <w:rPr>
                <w:rFonts w:eastAsia="Calibri" w:cs="Arial"/>
              </w:rPr>
            </w:pPr>
            <w:r w:rsidRPr="00FA7E96">
              <w:rPr>
                <w:rFonts w:eastAsia="Calibri" w:cs="Arial"/>
              </w:rPr>
              <w:t>PROOFREADING</w:t>
            </w:r>
          </w:p>
        </w:tc>
        <w:tc>
          <w:tcPr>
            <w:tcW w:w="5397" w:type="dxa"/>
            <w:tcMar>
              <w:left w:w="105" w:type="dxa"/>
              <w:right w:w="105" w:type="dxa"/>
            </w:tcMar>
          </w:tcPr>
          <w:p w14:paraId="5111BD55" w14:textId="77777777" w:rsidR="00491363" w:rsidRPr="00FA7E96" w:rsidRDefault="00491363" w:rsidP="00A457DB">
            <w:pPr>
              <w:spacing w:line="259" w:lineRule="auto"/>
              <w:rPr>
                <w:rFonts w:eastAsia="Calibri" w:cs="Arial"/>
              </w:rPr>
            </w:pPr>
            <w:r w:rsidRPr="00FA7E96">
              <w:rPr>
                <w:rFonts w:eastAsia="Calibri" w:cs="Arial"/>
              </w:rPr>
              <w:t>For this assessment, you can use Generative AI to check your own text/creation for grammatical and syntactical mistakes, including rephrasing of your own work within specific standards.</w:t>
            </w:r>
          </w:p>
        </w:tc>
        <w:tc>
          <w:tcPr>
            <w:tcW w:w="1417" w:type="dxa"/>
          </w:tcPr>
          <w:p w14:paraId="30993CCC" w14:textId="77777777" w:rsidR="00491363" w:rsidRDefault="00491363" w:rsidP="00A457DB">
            <w:pPr>
              <w:rPr>
                <w:rFonts w:eastAsia="Calibri" w:cs="Arial"/>
              </w:rPr>
            </w:pPr>
            <w:r>
              <w:rPr>
                <w:rFonts w:eastAsia="Calibri" w:cs="Arial"/>
              </w:rPr>
              <w:t xml:space="preserve">Yes </w:t>
            </w:r>
            <w:sdt>
              <w:sdtPr>
                <w:rPr>
                  <w:rFonts w:cs="Arial"/>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01BE2C90" w14:textId="77777777" w:rsidR="00491363" w:rsidRDefault="00491363" w:rsidP="00A457DB">
            <w:pPr>
              <w:rPr>
                <w:rFonts w:eastAsia="Calibri" w:cs="Arial"/>
              </w:rPr>
            </w:pPr>
          </w:p>
          <w:p w14:paraId="77C04A9B" w14:textId="77777777" w:rsidR="00491363" w:rsidRPr="00FA7E96" w:rsidRDefault="00491363" w:rsidP="00A457DB">
            <w:pPr>
              <w:rPr>
                <w:rFonts w:eastAsia="Calibri" w:cs="Arial"/>
              </w:rPr>
            </w:pPr>
            <w:r>
              <w:rPr>
                <w:rFonts w:eastAsia="Calibri" w:cs="Arial"/>
              </w:rPr>
              <w:t xml:space="preserve">No  </w:t>
            </w:r>
            <w:sdt>
              <w:sdtPr>
                <w:rPr>
                  <w:rFonts w:cs="Arial"/>
                </w:rPr>
                <w:id w:val="-2147112077"/>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91363" w:rsidRPr="00FA7E96" w14:paraId="41D5C755" w14:textId="77777777" w:rsidTr="00A457DB">
        <w:trPr>
          <w:trHeight w:val="300"/>
        </w:trPr>
        <w:tc>
          <w:tcPr>
            <w:tcW w:w="2250" w:type="dxa"/>
            <w:tcMar>
              <w:left w:w="105" w:type="dxa"/>
              <w:right w:w="105" w:type="dxa"/>
            </w:tcMar>
          </w:tcPr>
          <w:p w14:paraId="0693A388" w14:textId="77777777" w:rsidR="00491363" w:rsidRPr="00FA7E96" w:rsidRDefault="00491363" w:rsidP="00A457DB">
            <w:pPr>
              <w:spacing w:line="259" w:lineRule="auto"/>
              <w:rPr>
                <w:rFonts w:eastAsia="Calibri" w:cs="Arial"/>
              </w:rPr>
            </w:pPr>
            <w:r w:rsidRPr="00FA7E96">
              <w:rPr>
                <w:rFonts w:eastAsia="Calibri" w:cs="Arial"/>
              </w:rPr>
              <w:t>WRITING</w:t>
            </w:r>
          </w:p>
        </w:tc>
        <w:tc>
          <w:tcPr>
            <w:tcW w:w="5397" w:type="dxa"/>
            <w:tcMar>
              <w:left w:w="105" w:type="dxa"/>
              <w:right w:w="105" w:type="dxa"/>
            </w:tcMar>
          </w:tcPr>
          <w:p w14:paraId="68F5594B" w14:textId="77777777" w:rsidR="00491363" w:rsidRPr="00FA7E96" w:rsidRDefault="00491363" w:rsidP="00A457DB">
            <w:pPr>
              <w:spacing w:line="259" w:lineRule="auto"/>
              <w:rPr>
                <w:rFonts w:eastAsia="Calibri" w:cs="Arial"/>
              </w:rPr>
            </w:pPr>
            <w:r w:rsidRPr="00FA7E96">
              <w:rPr>
                <w:rFonts w:eastAsia="Calibri" w:cs="Arial"/>
              </w:rPr>
              <w:t>For this assessment, you can use Generative AI to create text for submission.</w:t>
            </w:r>
          </w:p>
        </w:tc>
        <w:tc>
          <w:tcPr>
            <w:tcW w:w="1417" w:type="dxa"/>
          </w:tcPr>
          <w:p w14:paraId="276F77A0" w14:textId="77777777" w:rsidR="00491363" w:rsidRDefault="00491363" w:rsidP="00A457DB">
            <w:pPr>
              <w:rPr>
                <w:rFonts w:eastAsia="Calibri" w:cs="Arial"/>
              </w:rPr>
            </w:pPr>
            <w:r>
              <w:rPr>
                <w:rFonts w:eastAsia="Calibri" w:cs="Arial"/>
              </w:rPr>
              <w:t xml:space="preserve">Yes </w:t>
            </w:r>
            <w:sdt>
              <w:sdtPr>
                <w:rPr>
                  <w:rFonts w:cs="Arial"/>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7A4D05BF" w14:textId="77777777" w:rsidR="00491363" w:rsidRDefault="00491363" w:rsidP="00A457DB">
            <w:pPr>
              <w:rPr>
                <w:rFonts w:eastAsia="Calibri" w:cs="Arial"/>
              </w:rPr>
            </w:pPr>
          </w:p>
          <w:p w14:paraId="77E25B4E" w14:textId="77777777" w:rsidR="00491363" w:rsidRPr="00FA7E96" w:rsidRDefault="00491363" w:rsidP="00A457DB">
            <w:pPr>
              <w:rPr>
                <w:rFonts w:eastAsia="Calibri" w:cs="Arial"/>
              </w:rPr>
            </w:pPr>
            <w:r>
              <w:rPr>
                <w:rFonts w:eastAsia="Calibri" w:cs="Arial"/>
              </w:rPr>
              <w:t xml:space="preserve">No  </w:t>
            </w:r>
            <w:sdt>
              <w:sdtPr>
                <w:rPr>
                  <w:rFonts w:cs="Arial"/>
                </w:rPr>
                <w:id w:val="-13627395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91363" w:rsidRPr="00FA7E96" w14:paraId="08D92FB2" w14:textId="77777777" w:rsidTr="00A457DB">
        <w:trPr>
          <w:trHeight w:val="300"/>
        </w:trPr>
        <w:tc>
          <w:tcPr>
            <w:tcW w:w="2250" w:type="dxa"/>
            <w:tcMar>
              <w:left w:w="105" w:type="dxa"/>
              <w:right w:w="105" w:type="dxa"/>
            </w:tcMar>
          </w:tcPr>
          <w:p w14:paraId="414CD56E" w14:textId="77777777" w:rsidR="00491363" w:rsidRPr="00FA7E96" w:rsidRDefault="00491363" w:rsidP="00A457DB">
            <w:pPr>
              <w:spacing w:line="259" w:lineRule="auto"/>
              <w:rPr>
                <w:rFonts w:eastAsia="Calibri" w:cs="Arial"/>
              </w:rPr>
            </w:pPr>
            <w:r w:rsidRPr="00FA7E96">
              <w:rPr>
                <w:rFonts w:eastAsia="Calibri" w:cs="Arial"/>
              </w:rPr>
              <w:t>CREATIVE</w:t>
            </w:r>
          </w:p>
        </w:tc>
        <w:tc>
          <w:tcPr>
            <w:tcW w:w="5397" w:type="dxa"/>
            <w:tcMar>
              <w:left w:w="105" w:type="dxa"/>
              <w:right w:w="105" w:type="dxa"/>
            </w:tcMar>
          </w:tcPr>
          <w:p w14:paraId="3BA4B6BA" w14:textId="77777777" w:rsidR="00491363" w:rsidRPr="00FA7E96" w:rsidRDefault="00491363" w:rsidP="00A457DB">
            <w:pPr>
              <w:spacing w:line="259" w:lineRule="auto"/>
              <w:rPr>
                <w:rFonts w:eastAsia="Calibri" w:cs="Arial"/>
              </w:rPr>
            </w:pPr>
            <w:r w:rsidRPr="00FA7E96">
              <w:rPr>
                <w:rFonts w:eastAsia="Calibri" w:cs="Arial"/>
              </w:rPr>
              <w:t>For this assessment, you can use Generative AI to create creative materials, such as images.</w:t>
            </w:r>
          </w:p>
        </w:tc>
        <w:tc>
          <w:tcPr>
            <w:tcW w:w="1417" w:type="dxa"/>
          </w:tcPr>
          <w:p w14:paraId="3902C846" w14:textId="77777777" w:rsidR="00491363" w:rsidRDefault="00491363" w:rsidP="00A457DB">
            <w:pPr>
              <w:rPr>
                <w:rFonts w:eastAsia="Calibri" w:cs="Arial"/>
              </w:rPr>
            </w:pPr>
            <w:r>
              <w:rPr>
                <w:rFonts w:eastAsia="Calibri" w:cs="Arial"/>
              </w:rPr>
              <w:t xml:space="preserve">Yes </w:t>
            </w:r>
            <w:sdt>
              <w:sdtPr>
                <w:rPr>
                  <w:rFonts w:cs="Arial"/>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3ACA02F1" w14:textId="77777777" w:rsidR="00491363" w:rsidRDefault="00491363" w:rsidP="00A457DB">
            <w:pPr>
              <w:rPr>
                <w:rFonts w:eastAsia="Calibri" w:cs="Arial"/>
              </w:rPr>
            </w:pPr>
          </w:p>
          <w:p w14:paraId="72DFA566" w14:textId="77777777" w:rsidR="00491363" w:rsidRPr="00FA7E96" w:rsidRDefault="00491363" w:rsidP="00A457DB">
            <w:pPr>
              <w:rPr>
                <w:rFonts w:eastAsia="Calibri" w:cs="Arial"/>
              </w:rPr>
            </w:pPr>
            <w:r>
              <w:rPr>
                <w:rFonts w:eastAsia="Calibri" w:cs="Arial"/>
              </w:rPr>
              <w:t xml:space="preserve">No  </w:t>
            </w:r>
            <w:sdt>
              <w:sdtPr>
                <w:rPr>
                  <w:rFonts w:cs="Arial"/>
                </w:rPr>
                <w:id w:val="17178554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91363" w:rsidRPr="00FA7E96" w14:paraId="2B0808BA" w14:textId="77777777" w:rsidTr="00A457DB">
        <w:trPr>
          <w:trHeight w:val="300"/>
        </w:trPr>
        <w:tc>
          <w:tcPr>
            <w:tcW w:w="2250" w:type="dxa"/>
            <w:tcMar>
              <w:left w:w="105" w:type="dxa"/>
              <w:right w:w="105" w:type="dxa"/>
            </w:tcMar>
          </w:tcPr>
          <w:p w14:paraId="0F077A09" w14:textId="77777777" w:rsidR="00491363" w:rsidRPr="00FA7E96" w:rsidRDefault="00491363" w:rsidP="00A457DB">
            <w:pPr>
              <w:spacing w:line="259" w:lineRule="auto"/>
              <w:rPr>
                <w:rFonts w:cs="Arial"/>
              </w:rPr>
            </w:pPr>
            <w:r w:rsidRPr="00FA7E96">
              <w:rPr>
                <w:rFonts w:eastAsia="Calibri" w:cs="Arial"/>
              </w:rPr>
              <w:t>PROGRAMING</w:t>
            </w:r>
          </w:p>
        </w:tc>
        <w:tc>
          <w:tcPr>
            <w:tcW w:w="5397" w:type="dxa"/>
            <w:tcMar>
              <w:left w:w="105" w:type="dxa"/>
              <w:right w:w="105" w:type="dxa"/>
            </w:tcMar>
          </w:tcPr>
          <w:p w14:paraId="2CE171DA" w14:textId="77777777" w:rsidR="00491363" w:rsidRPr="00FA7E96" w:rsidRDefault="00491363" w:rsidP="00A457DB">
            <w:pPr>
              <w:spacing w:line="259" w:lineRule="auto"/>
              <w:rPr>
                <w:rFonts w:eastAsia="Calibri" w:cs="Arial"/>
              </w:rPr>
            </w:pPr>
            <w:r w:rsidRPr="00FA7E96">
              <w:rPr>
                <w:rFonts w:eastAsia="Calibri" w:cs="Arial"/>
              </w:rPr>
              <w:t>For this assessment, you can use Generative AI to create and check code.</w:t>
            </w:r>
          </w:p>
        </w:tc>
        <w:tc>
          <w:tcPr>
            <w:tcW w:w="1417" w:type="dxa"/>
          </w:tcPr>
          <w:p w14:paraId="5FD99614" w14:textId="77777777" w:rsidR="00491363" w:rsidRDefault="00491363" w:rsidP="00A457DB">
            <w:pPr>
              <w:rPr>
                <w:rFonts w:eastAsia="Calibri" w:cs="Arial"/>
              </w:rPr>
            </w:pPr>
            <w:r>
              <w:rPr>
                <w:rFonts w:eastAsia="Calibri" w:cs="Arial"/>
              </w:rPr>
              <w:t xml:space="preserve">Yes </w:t>
            </w:r>
            <w:sdt>
              <w:sdtPr>
                <w:rPr>
                  <w:rFonts w:cs="Arial"/>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395F6DF5" w14:textId="77777777" w:rsidR="00491363" w:rsidRDefault="00491363" w:rsidP="00A457DB">
            <w:pPr>
              <w:rPr>
                <w:rFonts w:eastAsia="Calibri" w:cs="Arial"/>
              </w:rPr>
            </w:pPr>
          </w:p>
          <w:p w14:paraId="1D0A310A" w14:textId="77777777" w:rsidR="00491363" w:rsidRPr="00FA7E96" w:rsidRDefault="00491363" w:rsidP="00A457DB">
            <w:pPr>
              <w:rPr>
                <w:rFonts w:eastAsia="Calibri" w:cs="Arial"/>
              </w:rPr>
            </w:pPr>
            <w:r>
              <w:rPr>
                <w:rFonts w:eastAsia="Calibri" w:cs="Arial"/>
              </w:rPr>
              <w:t xml:space="preserve">No  </w:t>
            </w:r>
            <w:sdt>
              <w:sdtPr>
                <w:rPr>
                  <w:rFonts w:cs="Arial"/>
                </w:rPr>
                <w:id w:val="64855977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91363" w:rsidRPr="00FA7E96" w14:paraId="08901CBF" w14:textId="77777777" w:rsidTr="00A457DB">
        <w:trPr>
          <w:trHeight w:val="300"/>
        </w:trPr>
        <w:tc>
          <w:tcPr>
            <w:tcW w:w="2250" w:type="dxa"/>
            <w:tcMar>
              <w:left w:w="105" w:type="dxa"/>
              <w:right w:w="105" w:type="dxa"/>
            </w:tcMar>
          </w:tcPr>
          <w:p w14:paraId="6E4394F8" w14:textId="77777777" w:rsidR="00491363" w:rsidRPr="00FA7E96" w:rsidRDefault="00491363" w:rsidP="00A457DB">
            <w:pPr>
              <w:spacing w:line="259" w:lineRule="auto"/>
              <w:rPr>
                <w:rFonts w:eastAsia="Calibri" w:cs="Arial"/>
              </w:rPr>
            </w:pPr>
            <w:r w:rsidRPr="00FA7E96">
              <w:rPr>
                <w:rFonts w:eastAsia="Calibri" w:cs="Arial"/>
              </w:rPr>
              <w:t>NONE</w:t>
            </w:r>
          </w:p>
        </w:tc>
        <w:tc>
          <w:tcPr>
            <w:tcW w:w="5397" w:type="dxa"/>
            <w:tcMar>
              <w:left w:w="105" w:type="dxa"/>
              <w:right w:w="105" w:type="dxa"/>
            </w:tcMar>
          </w:tcPr>
          <w:p w14:paraId="31B6E049" w14:textId="77777777" w:rsidR="00491363" w:rsidRPr="00FA7E96" w:rsidRDefault="00491363" w:rsidP="00A457DB">
            <w:pPr>
              <w:spacing w:line="259" w:lineRule="auto"/>
              <w:rPr>
                <w:rFonts w:eastAsia="Calibri" w:cs="Arial"/>
              </w:rPr>
            </w:pPr>
            <w:r w:rsidRPr="00FA7E96">
              <w:rPr>
                <w:rFonts w:eastAsia="Calibri" w:cs="Arial"/>
              </w:rPr>
              <w:t xml:space="preserve">For this assessment, you are not allowed to use </w:t>
            </w:r>
            <w:r w:rsidRPr="00FA7E96">
              <w:rPr>
                <w:rFonts w:eastAsia="Calibri" w:cs="Arial"/>
                <w:b/>
                <w:bCs/>
              </w:rPr>
              <w:t>any</w:t>
            </w:r>
            <w:r w:rsidRPr="00FA7E96">
              <w:rPr>
                <w:rFonts w:eastAsia="Calibri" w:cs="Arial"/>
              </w:rPr>
              <w:t xml:space="preserve"> type of Generative AI support. This includes research support, structure support, writing/proofreading support and creative support.</w:t>
            </w:r>
          </w:p>
        </w:tc>
        <w:tc>
          <w:tcPr>
            <w:tcW w:w="1417" w:type="dxa"/>
          </w:tcPr>
          <w:p w14:paraId="4FC72377" w14:textId="77777777" w:rsidR="00491363" w:rsidRDefault="00491363" w:rsidP="00A457DB">
            <w:pPr>
              <w:rPr>
                <w:rFonts w:eastAsia="Calibri" w:cs="Arial"/>
              </w:rPr>
            </w:pPr>
            <w:r>
              <w:rPr>
                <w:rFonts w:eastAsia="Calibri" w:cs="Arial"/>
              </w:rPr>
              <w:t xml:space="preserve">Yes </w:t>
            </w:r>
            <w:sdt>
              <w:sdtPr>
                <w:rPr>
                  <w:rFonts w:cs="Arial"/>
                </w:rPr>
                <w:id w:val="1610168832"/>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25A868FE" w14:textId="77777777" w:rsidR="00491363" w:rsidRDefault="00491363" w:rsidP="00A457DB">
            <w:pPr>
              <w:rPr>
                <w:rFonts w:eastAsia="Calibri" w:cs="Arial"/>
              </w:rPr>
            </w:pPr>
          </w:p>
          <w:p w14:paraId="48D0AD2B" w14:textId="77777777" w:rsidR="00491363" w:rsidRPr="00FA7E96" w:rsidRDefault="00491363" w:rsidP="00A457DB">
            <w:pPr>
              <w:rPr>
                <w:rFonts w:eastAsia="Calibri" w:cs="Arial"/>
              </w:rPr>
            </w:pPr>
            <w:r>
              <w:rPr>
                <w:rFonts w:eastAsia="Calibri" w:cs="Arial"/>
              </w:rPr>
              <w:t xml:space="preserve">No  </w:t>
            </w:r>
            <w:sdt>
              <w:sdtPr>
                <w:rPr>
                  <w:rFonts w:cs="Arial"/>
                </w:rPr>
                <w:id w:val="1628280607"/>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bl>
    <w:p w14:paraId="55605E4B" w14:textId="77777777" w:rsidR="0028141B" w:rsidRDefault="0028141B" w:rsidP="0028141B">
      <w:pPr>
        <w:ind w:left="720"/>
        <w:textAlignment w:val="baseline"/>
        <w:rPr>
          <w:rFonts w:ascii="Arial" w:hAnsi="Arial" w:cs="Arial"/>
          <w:sz w:val="24"/>
          <w:szCs w:val="24"/>
          <w:lang w:eastAsia="zh-CN"/>
        </w:rPr>
      </w:pPr>
      <w:r w:rsidRPr="000A5541">
        <w:rPr>
          <w:rFonts w:ascii="Arial" w:hAnsi="Arial" w:cs="Arial"/>
          <w:sz w:val="24"/>
          <w:szCs w:val="24"/>
          <w:lang w:eastAsia="zh-CN"/>
        </w:rPr>
        <w:t>  </w:t>
      </w:r>
    </w:p>
    <w:p w14:paraId="6D0E598E" w14:textId="77777777" w:rsidR="0028141B" w:rsidRDefault="0028141B" w:rsidP="0028141B">
      <w:pPr>
        <w:rPr>
          <w:b/>
          <w:bCs/>
          <w:sz w:val="32"/>
          <w:szCs w:val="32"/>
          <w:u w:val="single"/>
        </w:rPr>
      </w:pPr>
      <w:r w:rsidRPr="00E243A8">
        <w:rPr>
          <w:b/>
          <w:bCs/>
          <w:sz w:val="32"/>
          <w:szCs w:val="32"/>
          <w:u w:val="single"/>
        </w:rPr>
        <w:t>AI Acknowledgement</w:t>
      </w:r>
      <w:r>
        <w:rPr>
          <w:b/>
          <w:bCs/>
          <w:sz w:val="32"/>
          <w:szCs w:val="32"/>
          <w:u w:val="single"/>
        </w:rPr>
        <w:t xml:space="preserve">  </w:t>
      </w:r>
    </w:p>
    <w:p w14:paraId="5A8E9585" w14:textId="77777777" w:rsidR="0028141B" w:rsidRDefault="0028141B" w:rsidP="0028141B">
      <w:pPr>
        <w:rPr>
          <w:b/>
          <w:bCs/>
        </w:rPr>
      </w:pPr>
      <w:r w:rsidRPr="00AE6CD8">
        <w:rPr>
          <w:b/>
          <w:bCs/>
        </w:rPr>
        <w:t xml:space="preserve">I confirm that I have not presented any AI-generated materials as my </w:t>
      </w:r>
      <w:r>
        <w:rPr>
          <w:b/>
          <w:bCs/>
        </w:rPr>
        <w:t xml:space="preserve">own </w:t>
      </w:r>
      <w:r w:rsidRPr="00AE6CD8">
        <w:rPr>
          <w:b/>
          <w:bCs/>
        </w:rPr>
        <w:t xml:space="preserve">work in this portfolio.  </w:t>
      </w:r>
    </w:p>
    <w:p w14:paraId="2B0AEFC0" w14:textId="1240F4DB" w:rsidR="0028141B" w:rsidRDefault="0028141B" w:rsidP="0028141B">
      <w:pPr>
        <w:rPr>
          <w:b/>
          <w:bCs/>
        </w:rPr>
      </w:pPr>
      <w:r>
        <w:rPr>
          <w:b/>
          <w:bCs/>
        </w:rPr>
        <w:t>Graham Jones (</w:t>
      </w:r>
      <w:r w:rsidR="00B92BDA">
        <w:rPr>
          <w:b/>
          <w:bCs/>
        </w:rPr>
        <w:t>5</w:t>
      </w:r>
      <w:r w:rsidR="00B92BDA" w:rsidRPr="00B92BDA">
        <w:rPr>
          <w:b/>
          <w:bCs/>
          <w:vertAlign w:val="superscript"/>
        </w:rPr>
        <w:t>th</w:t>
      </w:r>
      <w:r w:rsidR="00B92BDA">
        <w:rPr>
          <w:b/>
          <w:bCs/>
        </w:rPr>
        <w:t xml:space="preserve"> June</w:t>
      </w:r>
      <w:r>
        <w:rPr>
          <w:b/>
          <w:bCs/>
        </w:rPr>
        <w:t xml:space="preserve"> 2025)</w:t>
      </w:r>
    </w:p>
    <w:p w14:paraId="418819E8" w14:textId="304576DA" w:rsidR="000A18F4" w:rsidRDefault="0028141B" w:rsidP="007C31F1">
      <w:pPr>
        <w:rPr>
          <w:b/>
          <w:bCs/>
        </w:rPr>
      </w:pPr>
      <w:r>
        <w:rPr>
          <w:b/>
          <w:bCs/>
        </w:rPr>
        <w:t>Student ID: 2313935</w:t>
      </w:r>
    </w:p>
    <w:p w14:paraId="73ED6308" w14:textId="77777777" w:rsidR="000A18F4" w:rsidRDefault="000A18F4">
      <w:pPr>
        <w:rPr>
          <w:b/>
          <w:bCs/>
        </w:rPr>
      </w:pPr>
      <w:r>
        <w:rPr>
          <w:b/>
          <w:bCs/>
        </w:rPr>
        <w:br w:type="page"/>
      </w:r>
    </w:p>
    <w:p w14:paraId="203870A0" w14:textId="30ED2105" w:rsidR="0057622B" w:rsidRPr="00DA7938" w:rsidRDefault="00524F1C" w:rsidP="0001472B">
      <w:pPr>
        <w:jc w:val="both"/>
        <w:rPr>
          <w:rStyle w:val="Strong"/>
          <w:rFonts w:ascii="Arial" w:hAnsi="Arial" w:cs="Arial"/>
        </w:rPr>
      </w:pPr>
      <w:r w:rsidRPr="00DA7938">
        <w:rPr>
          <w:rStyle w:val="Strong"/>
          <w:rFonts w:ascii="Arial" w:hAnsi="Arial" w:cs="Arial"/>
        </w:rPr>
        <w:lastRenderedPageBreak/>
        <w:t>Contents</w:t>
      </w:r>
    </w:p>
    <w:p w14:paraId="0E97B9DC" w14:textId="6CFF507E" w:rsidR="00524F1C" w:rsidRPr="00DA7938" w:rsidRDefault="0001472B" w:rsidP="0001472B">
      <w:pPr>
        <w:jc w:val="both"/>
        <w:rPr>
          <w:rFonts w:ascii="Arial" w:hAnsi="Arial" w:cs="Arial"/>
          <w:b/>
          <w:bCs/>
        </w:rPr>
      </w:pPr>
      <w:r>
        <w:rPr>
          <w:rStyle w:val="Strong"/>
          <w:rFonts w:ascii="Arial" w:hAnsi="Arial" w:cs="Arial"/>
        </w:rPr>
        <w:t>Page 4</w:t>
      </w:r>
      <w:r w:rsidR="00524F1C" w:rsidRPr="00DA7938">
        <w:rPr>
          <w:rStyle w:val="Strong"/>
          <w:rFonts w:ascii="Arial" w:hAnsi="Arial" w:cs="Arial"/>
        </w:rPr>
        <w:t xml:space="preserve"> </w:t>
      </w:r>
      <w:r w:rsidR="00D96E91" w:rsidRPr="00DA7938">
        <w:rPr>
          <w:rStyle w:val="Strong"/>
          <w:rFonts w:ascii="Arial" w:hAnsi="Arial" w:cs="Arial"/>
        </w:rPr>
        <w:t>–</w:t>
      </w:r>
      <w:r w:rsidR="00524F1C" w:rsidRPr="00DA7938">
        <w:rPr>
          <w:rStyle w:val="Strong"/>
          <w:rFonts w:ascii="Arial" w:hAnsi="Arial" w:cs="Arial"/>
        </w:rPr>
        <w:t xml:space="preserve"> </w:t>
      </w:r>
      <w:r w:rsidR="00F27767" w:rsidRPr="00DA7938">
        <w:rPr>
          <w:rStyle w:val="Strong"/>
          <w:rFonts w:ascii="Arial" w:hAnsi="Arial" w:cs="Arial"/>
        </w:rPr>
        <w:t>Question</w:t>
      </w:r>
      <w:r w:rsidR="00D96E91" w:rsidRPr="00DA7938">
        <w:rPr>
          <w:rStyle w:val="Strong"/>
          <w:rFonts w:ascii="Arial" w:hAnsi="Arial" w:cs="Arial"/>
        </w:rPr>
        <w:t xml:space="preserve">1; </w:t>
      </w:r>
      <w:r w:rsidR="00D96E91" w:rsidRPr="00DA7938">
        <w:rPr>
          <w:rFonts w:ascii="Arial" w:hAnsi="Arial" w:cs="Arial"/>
          <w:b/>
          <w:bCs/>
        </w:rPr>
        <w:t>Explain the process of forming a valid contract. Ensure that you support your answer with case law.</w:t>
      </w:r>
    </w:p>
    <w:p w14:paraId="1AFC8B2D" w14:textId="1D4BD5AD" w:rsidR="00D96E91" w:rsidRPr="00DA7938" w:rsidRDefault="0001472B" w:rsidP="0001472B">
      <w:pPr>
        <w:jc w:val="both"/>
        <w:rPr>
          <w:rFonts w:ascii="Arial" w:hAnsi="Arial" w:cs="Arial"/>
          <w:b/>
          <w:bCs/>
        </w:rPr>
      </w:pPr>
      <w:r>
        <w:rPr>
          <w:rFonts w:ascii="Arial" w:hAnsi="Arial" w:cs="Arial"/>
          <w:b/>
          <w:bCs/>
        </w:rPr>
        <w:t xml:space="preserve">Page </w:t>
      </w:r>
      <w:r w:rsidR="008A3DEB">
        <w:rPr>
          <w:rFonts w:ascii="Arial" w:hAnsi="Arial" w:cs="Arial"/>
          <w:b/>
          <w:bCs/>
        </w:rPr>
        <w:t>6</w:t>
      </w:r>
      <w:r w:rsidR="00D96E91" w:rsidRPr="00DA7938">
        <w:rPr>
          <w:rFonts w:ascii="Arial" w:hAnsi="Arial" w:cs="Arial"/>
          <w:b/>
          <w:bCs/>
        </w:rPr>
        <w:t xml:space="preserve"> – Question 2; </w:t>
      </w:r>
      <w:r w:rsidR="00922FB2" w:rsidRPr="00DA7938">
        <w:rPr>
          <w:rFonts w:ascii="Arial" w:hAnsi="Arial" w:cs="Arial"/>
          <w:b/>
          <w:bCs/>
        </w:rPr>
        <w:t>With particular reference to the case of Black Horse Limited v Andrew Curtis (Bristol CC, 21 February 2024, discuss the extent to which the Consumer Rights Act 2015 is in need of reform to ensure that consumer rights are clear.</w:t>
      </w:r>
    </w:p>
    <w:p w14:paraId="0DB1D0EB" w14:textId="324EB5A3" w:rsidR="00922FB2" w:rsidRPr="00DA7938" w:rsidRDefault="0001472B" w:rsidP="0001472B">
      <w:pPr>
        <w:jc w:val="both"/>
        <w:rPr>
          <w:rFonts w:ascii="Arial" w:hAnsi="Arial" w:cs="Arial"/>
          <w:b/>
          <w:bCs/>
        </w:rPr>
      </w:pPr>
      <w:r>
        <w:rPr>
          <w:rFonts w:ascii="Arial" w:hAnsi="Arial" w:cs="Arial"/>
          <w:b/>
          <w:bCs/>
        </w:rPr>
        <w:t xml:space="preserve">Page </w:t>
      </w:r>
      <w:r w:rsidR="000E002D">
        <w:rPr>
          <w:rFonts w:ascii="Arial" w:hAnsi="Arial" w:cs="Arial"/>
          <w:b/>
          <w:bCs/>
        </w:rPr>
        <w:t>8</w:t>
      </w:r>
      <w:r w:rsidR="00922FB2" w:rsidRPr="00DA7938">
        <w:rPr>
          <w:rFonts w:ascii="Arial" w:hAnsi="Arial" w:cs="Arial"/>
          <w:b/>
          <w:bCs/>
        </w:rPr>
        <w:t xml:space="preserve"> – Question 3; </w:t>
      </w:r>
      <w:r w:rsidR="00667CD2" w:rsidRPr="00DA7938">
        <w:rPr>
          <w:rFonts w:ascii="Arial" w:hAnsi="Arial" w:cs="Arial"/>
          <w:b/>
          <w:bCs/>
        </w:rPr>
        <w:t>With particular reference to section 5 and section 7 of the General Product Safety Regulations 2005, discuss the obligations of producers and how they apply to your current workplace.</w:t>
      </w:r>
    </w:p>
    <w:p w14:paraId="7C09AE97" w14:textId="4C015CDB" w:rsidR="0001472B" w:rsidRDefault="0001472B" w:rsidP="0001472B">
      <w:pPr>
        <w:jc w:val="both"/>
        <w:rPr>
          <w:rFonts w:ascii="Arial" w:hAnsi="Arial" w:cs="Arial"/>
          <w:b/>
          <w:bCs/>
        </w:rPr>
      </w:pPr>
      <w:r>
        <w:rPr>
          <w:rFonts w:ascii="Arial" w:hAnsi="Arial" w:cs="Arial"/>
          <w:b/>
          <w:bCs/>
        </w:rPr>
        <w:t xml:space="preserve">Page </w:t>
      </w:r>
      <w:r w:rsidR="00534BC9">
        <w:rPr>
          <w:rFonts w:ascii="Arial" w:hAnsi="Arial" w:cs="Arial"/>
          <w:b/>
          <w:bCs/>
        </w:rPr>
        <w:t>10</w:t>
      </w:r>
      <w:r w:rsidR="00667CD2" w:rsidRPr="00DA7938">
        <w:rPr>
          <w:rFonts w:ascii="Arial" w:hAnsi="Arial" w:cs="Arial"/>
          <w:b/>
          <w:bCs/>
        </w:rPr>
        <w:t xml:space="preserve"> – Question 4; </w:t>
      </w:r>
      <w:r w:rsidR="00DA7938" w:rsidRPr="00DA7938">
        <w:rPr>
          <w:rFonts w:ascii="Arial" w:hAnsi="Arial" w:cs="Arial"/>
          <w:b/>
          <w:bCs/>
        </w:rPr>
        <w:t>Explain ‘’ The Environmental Protection (Single-use Plastic Products) (Wales) Act 2023’’ and its effect on the workplace/supply chain.</w:t>
      </w:r>
    </w:p>
    <w:p w14:paraId="2F3249D1" w14:textId="16629B17" w:rsidR="00F964E8" w:rsidRDefault="00F964E8" w:rsidP="0001472B">
      <w:pPr>
        <w:jc w:val="both"/>
        <w:rPr>
          <w:rFonts w:ascii="Arial" w:hAnsi="Arial" w:cs="Arial"/>
          <w:b/>
          <w:bCs/>
        </w:rPr>
      </w:pPr>
      <w:r>
        <w:rPr>
          <w:rFonts w:ascii="Arial" w:hAnsi="Arial" w:cs="Arial"/>
          <w:b/>
          <w:bCs/>
        </w:rPr>
        <w:t xml:space="preserve">Page </w:t>
      </w:r>
      <w:r w:rsidR="00534BC9">
        <w:rPr>
          <w:rFonts w:ascii="Arial" w:hAnsi="Arial" w:cs="Arial"/>
          <w:b/>
          <w:bCs/>
        </w:rPr>
        <w:t>12</w:t>
      </w:r>
      <w:r>
        <w:rPr>
          <w:rFonts w:ascii="Arial" w:hAnsi="Arial" w:cs="Arial"/>
          <w:b/>
          <w:bCs/>
        </w:rPr>
        <w:t xml:space="preserve"> – References</w:t>
      </w:r>
    </w:p>
    <w:p w14:paraId="33C38A2E" w14:textId="77777777" w:rsidR="0001472B" w:rsidRDefault="0001472B">
      <w:pPr>
        <w:rPr>
          <w:rFonts w:ascii="Arial" w:hAnsi="Arial" w:cs="Arial"/>
          <w:b/>
          <w:bCs/>
        </w:rPr>
      </w:pPr>
      <w:r>
        <w:rPr>
          <w:rFonts w:ascii="Arial" w:hAnsi="Arial" w:cs="Arial"/>
          <w:b/>
          <w:bCs/>
        </w:rPr>
        <w:br w:type="page"/>
      </w:r>
    </w:p>
    <w:p w14:paraId="204F653D" w14:textId="77777777" w:rsidR="0001472B" w:rsidRDefault="0001472B" w:rsidP="0001472B">
      <w:pPr>
        <w:jc w:val="both"/>
        <w:rPr>
          <w:rStyle w:val="Strong"/>
          <w:rFonts w:ascii="Arial" w:hAnsi="Arial" w:cs="Arial"/>
        </w:rPr>
        <w:sectPr w:rsidR="0001472B" w:rsidSect="000A18F4">
          <w:footerReference w:type="even" r:id="rId8"/>
          <w:footerReference w:type="default" r:id="rId9"/>
          <w:footerReference w:type="first" r:id="rId10"/>
          <w:pgSz w:w="11906" w:h="16838" w:code="9"/>
          <w:pgMar w:top="1440" w:right="1440" w:bottom="1440" w:left="1440" w:header="709" w:footer="709" w:gutter="0"/>
          <w:cols w:space="708"/>
          <w:vAlign w:val="center"/>
          <w:docGrid w:linePitch="360"/>
        </w:sectPr>
      </w:pPr>
    </w:p>
    <w:p w14:paraId="4AD75994" w14:textId="77777777" w:rsidR="0001472B" w:rsidRDefault="0001472B" w:rsidP="00715808">
      <w:pPr>
        <w:spacing w:line="360" w:lineRule="auto"/>
        <w:jc w:val="both"/>
        <w:rPr>
          <w:rFonts w:ascii="Arial" w:hAnsi="Arial" w:cs="Arial"/>
          <w:b/>
          <w:bCs/>
        </w:rPr>
      </w:pPr>
      <w:r w:rsidRPr="00DA7938">
        <w:rPr>
          <w:rStyle w:val="Strong"/>
          <w:rFonts w:ascii="Arial" w:hAnsi="Arial" w:cs="Arial"/>
        </w:rPr>
        <w:lastRenderedPageBreak/>
        <w:t xml:space="preserve">Question1; </w:t>
      </w:r>
      <w:r w:rsidRPr="00DA7938">
        <w:rPr>
          <w:rFonts w:ascii="Arial" w:hAnsi="Arial" w:cs="Arial"/>
          <w:b/>
          <w:bCs/>
        </w:rPr>
        <w:t>Explain the process of forming a valid contract. Ensure that you support your answer with case law.</w:t>
      </w:r>
    </w:p>
    <w:p w14:paraId="50163EF7" w14:textId="5CA35025" w:rsidR="0001472B" w:rsidRDefault="00096804" w:rsidP="00715808">
      <w:pPr>
        <w:spacing w:line="360" w:lineRule="auto"/>
        <w:jc w:val="both"/>
        <w:rPr>
          <w:rFonts w:ascii="Arial" w:hAnsi="Arial" w:cs="Arial"/>
        </w:rPr>
      </w:pPr>
      <w:r>
        <w:rPr>
          <w:rFonts w:ascii="Arial" w:hAnsi="Arial" w:cs="Arial"/>
        </w:rPr>
        <w:t xml:space="preserve">A contract </w:t>
      </w:r>
      <w:r w:rsidR="00B70E42">
        <w:rPr>
          <w:rFonts w:ascii="Arial" w:hAnsi="Arial" w:cs="Arial"/>
        </w:rPr>
        <w:t xml:space="preserve">is </w:t>
      </w:r>
      <w:r w:rsidR="00505F71">
        <w:rPr>
          <w:rFonts w:ascii="Arial" w:hAnsi="Arial" w:cs="Arial"/>
        </w:rPr>
        <w:t xml:space="preserve">a legally binding promise </w:t>
      </w:r>
      <w:r w:rsidR="00B70E42">
        <w:rPr>
          <w:rFonts w:ascii="Arial" w:hAnsi="Arial" w:cs="Arial"/>
        </w:rPr>
        <w:t>agree</w:t>
      </w:r>
      <w:r w:rsidR="00505F71">
        <w:rPr>
          <w:rFonts w:ascii="Arial" w:hAnsi="Arial" w:cs="Arial"/>
        </w:rPr>
        <w:t>d</w:t>
      </w:r>
      <w:r w:rsidR="00B70E42">
        <w:rPr>
          <w:rFonts w:ascii="Arial" w:hAnsi="Arial" w:cs="Arial"/>
        </w:rPr>
        <w:t xml:space="preserve"> between parties</w:t>
      </w:r>
      <w:r w:rsidR="009A5643">
        <w:rPr>
          <w:rFonts w:ascii="Arial" w:hAnsi="Arial" w:cs="Arial"/>
        </w:rPr>
        <w:t>, either oral</w:t>
      </w:r>
      <w:r w:rsidR="001D3141">
        <w:rPr>
          <w:rFonts w:ascii="Arial" w:hAnsi="Arial" w:cs="Arial"/>
        </w:rPr>
        <w:t>ly or in writing</w:t>
      </w:r>
      <w:r w:rsidR="006C5E60">
        <w:rPr>
          <w:rFonts w:ascii="Arial" w:hAnsi="Arial" w:cs="Arial"/>
        </w:rPr>
        <w:t xml:space="preserve">. Unilaterally this will be </w:t>
      </w:r>
      <w:r w:rsidR="00ED0F71">
        <w:rPr>
          <w:rFonts w:ascii="Arial" w:hAnsi="Arial" w:cs="Arial"/>
        </w:rPr>
        <w:t xml:space="preserve">that one party will perform an obligation to another in return for </w:t>
      </w:r>
      <w:r w:rsidR="00010BF3">
        <w:rPr>
          <w:rFonts w:ascii="Arial" w:hAnsi="Arial" w:cs="Arial"/>
        </w:rPr>
        <w:t xml:space="preserve">a </w:t>
      </w:r>
      <w:r w:rsidR="00FC4D70">
        <w:rPr>
          <w:rFonts w:ascii="Arial" w:hAnsi="Arial" w:cs="Arial"/>
        </w:rPr>
        <w:t>benefit</w:t>
      </w:r>
      <w:r w:rsidR="001E1671">
        <w:rPr>
          <w:rFonts w:ascii="Arial" w:hAnsi="Arial" w:cs="Arial"/>
        </w:rPr>
        <w:t xml:space="preserve">, typically </w:t>
      </w:r>
      <w:r w:rsidR="00FC4D70">
        <w:rPr>
          <w:rFonts w:ascii="Arial" w:hAnsi="Arial" w:cs="Arial"/>
        </w:rPr>
        <w:t xml:space="preserve">this can be that one person provides goods or services to another </w:t>
      </w:r>
      <w:r w:rsidR="009E7D81">
        <w:rPr>
          <w:rFonts w:ascii="Arial" w:hAnsi="Arial" w:cs="Arial"/>
        </w:rPr>
        <w:t>in return for money</w:t>
      </w:r>
      <w:r w:rsidR="006C5E60">
        <w:rPr>
          <w:rFonts w:ascii="Arial" w:hAnsi="Arial" w:cs="Arial"/>
        </w:rPr>
        <w:t xml:space="preserve">, or bilaterally </w:t>
      </w:r>
      <w:r w:rsidR="00962633">
        <w:rPr>
          <w:rFonts w:ascii="Arial" w:hAnsi="Arial" w:cs="Arial"/>
        </w:rPr>
        <w:t>where all parties will have an obligation</w:t>
      </w:r>
      <w:r w:rsidR="0064744F">
        <w:rPr>
          <w:rFonts w:ascii="Arial" w:hAnsi="Arial" w:cs="Arial"/>
        </w:rPr>
        <w:t xml:space="preserve"> to perform something</w:t>
      </w:r>
      <w:r w:rsidR="009E7D81">
        <w:rPr>
          <w:rFonts w:ascii="Arial" w:hAnsi="Arial" w:cs="Arial"/>
        </w:rPr>
        <w:t xml:space="preserve">. A legally binding contract consists </w:t>
      </w:r>
      <w:r w:rsidR="00FC56EB">
        <w:rPr>
          <w:rFonts w:ascii="Arial" w:hAnsi="Arial" w:cs="Arial"/>
        </w:rPr>
        <w:t xml:space="preserve">of four key elements; Offer, Acceptance, Consideration and Intention </w:t>
      </w:r>
      <w:r w:rsidR="00F23E12">
        <w:rPr>
          <w:rFonts w:ascii="Arial" w:hAnsi="Arial" w:cs="Arial"/>
        </w:rPr>
        <w:t>to create legal relations.</w:t>
      </w:r>
    </w:p>
    <w:p w14:paraId="5C28CDEB" w14:textId="7FE60A24" w:rsidR="00806864" w:rsidRDefault="00806864" w:rsidP="00715808">
      <w:pPr>
        <w:spacing w:line="360" w:lineRule="auto"/>
        <w:jc w:val="both"/>
        <w:rPr>
          <w:rFonts w:ascii="Arial" w:hAnsi="Arial" w:cs="Arial"/>
        </w:rPr>
      </w:pPr>
      <w:r>
        <w:rPr>
          <w:rFonts w:ascii="Arial" w:hAnsi="Arial" w:cs="Arial"/>
        </w:rPr>
        <w:t xml:space="preserve">Offer </w:t>
      </w:r>
      <w:r w:rsidR="00A9551C">
        <w:rPr>
          <w:rFonts w:ascii="Arial" w:hAnsi="Arial" w:cs="Arial"/>
        </w:rPr>
        <w:t>–</w:t>
      </w:r>
      <w:r>
        <w:rPr>
          <w:rFonts w:ascii="Arial" w:hAnsi="Arial" w:cs="Arial"/>
        </w:rPr>
        <w:t xml:space="preserve"> </w:t>
      </w:r>
      <w:r w:rsidR="00A9551C">
        <w:rPr>
          <w:rFonts w:ascii="Arial" w:hAnsi="Arial" w:cs="Arial"/>
        </w:rPr>
        <w:t xml:space="preserve">One of the parties </w:t>
      </w:r>
      <w:r w:rsidR="00E338AF">
        <w:rPr>
          <w:rFonts w:ascii="Arial" w:hAnsi="Arial" w:cs="Arial"/>
        </w:rPr>
        <w:t xml:space="preserve">partaking in the contract will make on offer </w:t>
      </w:r>
      <w:r w:rsidR="00231151">
        <w:rPr>
          <w:rFonts w:ascii="Arial" w:hAnsi="Arial" w:cs="Arial"/>
        </w:rPr>
        <w:t>(the offe</w:t>
      </w:r>
      <w:r w:rsidR="009C4095">
        <w:rPr>
          <w:rFonts w:ascii="Arial" w:hAnsi="Arial" w:cs="Arial"/>
        </w:rPr>
        <w:t>r</w:t>
      </w:r>
      <w:r w:rsidR="00231151">
        <w:rPr>
          <w:rFonts w:ascii="Arial" w:hAnsi="Arial" w:cs="Arial"/>
        </w:rPr>
        <w:t xml:space="preserve">or) </w:t>
      </w:r>
      <w:r w:rsidR="00E338AF">
        <w:rPr>
          <w:rFonts w:ascii="Arial" w:hAnsi="Arial" w:cs="Arial"/>
        </w:rPr>
        <w:t xml:space="preserve">to the other party </w:t>
      </w:r>
      <w:r w:rsidR="009C4095">
        <w:rPr>
          <w:rFonts w:ascii="Arial" w:hAnsi="Arial" w:cs="Arial"/>
        </w:rPr>
        <w:t>(the offeree)</w:t>
      </w:r>
      <w:r w:rsidR="00591C03">
        <w:rPr>
          <w:rFonts w:ascii="Arial" w:hAnsi="Arial" w:cs="Arial"/>
        </w:rPr>
        <w:t xml:space="preserve">. Whilst the offeror will be a </w:t>
      </w:r>
      <w:r w:rsidR="006F5C13">
        <w:rPr>
          <w:rFonts w:ascii="Arial" w:hAnsi="Arial" w:cs="Arial"/>
        </w:rPr>
        <w:t xml:space="preserve">specific individual (person or business) the offeree can </w:t>
      </w:r>
      <w:r w:rsidR="00914A63">
        <w:rPr>
          <w:rFonts w:ascii="Arial" w:hAnsi="Arial" w:cs="Arial"/>
        </w:rPr>
        <w:t xml:space="preserve">be specified individual, groups </w:t>
      </w:r>
      <w:r w:rsidR="00D7795C">
        <w:rPr>
          <w:rFonts w:ascii="Arial" w:hAnsi="Arial" w:cs="Arial"/>
        </w:rPr>
        <w:t xml:space="preserve">or the general public </w:t>
      </w:r>
      <w:r w:rsidR="00E462D7">
        <w:rPr>
          <w:rFonts w:ascii="Arial" w:hAnsi="Arial" w:cs="Arial"/>
        </w:rPr>
        <w:t xml:space="preserve">as shown in the case of </w:t>
      </w:r>
      <w:r w:rsidR="00E127C2" w:rsidRPr="00E127C2">
        <w:rPr>
          <w:rFonts w:ascii="Arial" w:hAnsi="Arial" w:cs="Arial"/>
        </w:rPr>
        <w:t xml:space="preserve">Carlill v Carbolic Smoke Ball Co [1891-94] </w:t>
      </w:r>
      <w:r w:rsidR="003022E9">
        <w:rPr>
          <w:rFonts w:ascii="Arial" w:hAnsi="Arial" w:cs="Arial"/>
        </w:rPr>
        <w:t xml:space="preserve">where </w:t>
      </w:r>
      <w:r w:rsidR="0042152D">
        <w:rPr>
          <w:rFonts w:ascii="Arial" w:hAnsi="Arial" w:cs="Arial"/>
        </w:rPr>
        <w:t>it was questioned w</w:t>
      </w:r>
      <w:r w:rsidR="0042152D" w:rsidRPr="0042152D">
        <w:rPr>
          <w:rFonts w:ascii="Arial" w:hAnsi="Arial" w:cs="Arial"/>
        </w:rPr>
        <w:t>hether the advert in question constituted an offer or an invitation to treat</w:t>
      </w:r>
      <w:r w:rsidR="0042152D">
        <w:rPr>
          <w:rFonts w:ascii="Arial" w:hAnsi="Arial" w:cs="Arial"/>
        </w:rPr>
        <w:t xml:space="preserve">, </w:t>
      </w:r>
      <w:r w:rsidR="00E07A90">
        <w:rPr>
          <w:rFonts w:ascii="Arial" w:hAnsi="Arial" w:cs="Arial"/>
        </w:rPr>
        <w:t xml:space="preserve">decided that an advert </w:t>
      </w:r>
      <w:r w:rsidR="00E07A90" w:rsidRPr="00E07A90">
        <w:rPr>
          <w:rFonts w:ascii="Arial" w:hAnsi="Arial" w:cs="Arial"/>
        </w:rPr>
        <w:t>amounted to the offer for a unilateral contract by the defendants</w:t>
      </w:r>
      <w:r w:rsidR="00E07A90">
        <w:rPr>
          <w:rFonts w:ascii="Arial" w:hAnsi="Arial" w:cs="Arial"/>
        </w:rPr>
        <w:t>.</w:t>
      </w:r>
    </w:p>
    <w:p w14:paraId="72476EFE" w14:textId="5F8B7038" w:rsidR="00D02410" w:rsidRDefault="00D02410" w:rsidP="00715808">
      <w:pPr>
        <w:spacing w:line="360" w:lineRule="auto"/>
        <w:jc w:val="both"/>
        <w:rPr>
          <w:rFonts w:ascii="Arial" w:hAnsi="Arial" w:cs="Arial"/>
        </w:rPr>
      </w:pPr>
      <w:r>
        <w:rPr>
          <w:rFonts w:ascii="Arial" w:hAnsi="Arial" w:cs="Arial"/>
        </w:rPr>
        <w:t xml:space="preserve">Acceptance </w:t>
      </w:r>
      <w:r w:rsidR="00CE1C28">
        <w:rPr>
          <w:rFonts w:ascii="Arial" w:hAnsi="Arial" w:cs="Arial"/>
        </w:rPr>
        <w:t>–</w:t>
      </w:r>
      <w:r>
        <w:rPr>
          <w:rFonts w:ascii="Arial" w:hAnsi="Arial" w:cs="Arial"/>
        </w:rPr>
        <w:t xml:space="preserve"> </w:t>
      </w:r>
      <w:r w:rsidR="00CE1C28">
        <w:rPr>
          <w:rFonts w:ascii="Arial" w:hAnsi="Arial" w:cs="Arial"/>
        </w:rPr>
        <w:t xml:space="preserve">This is the expression </w:t>
      </w:r>
      <w:r w:rsidR="00206C1A">
        <w:rPr>
          <w:rFonts w:ascii="Arial" w:hAnsi="Arial" w:cs="Arial"/>
        </w:rPr>
        <w:t>from offeree to accept the terms of the offer from the offeror</w:t>
      </w:r>
      <w:r w:rsidR="007D75FC">
        <w:rPr>
          <w:rFonts w:ascii="Arial" w:hAnsi="Arial" w:cs="Arial"/>
        </w:rPr>
        <w:t>, this can be done either in words (orally or written) or by actions</w:t>
      </w:r>
      <w:r w:rsidR="00A74BF4">
        <w:rPr>
          <w:rFonts w:ascii="Arial" w:hAnsi="Arial" w:cs="Arial"/>
        </w:rPr>
        <w:t>.</w:t>
      </w:r>
      <w:r w:rsidR="00237977">
        <w:rPr>
          <w:rFonts w:ascii="Arial" w:hAnsi="Arial" w:cs="Arial"/>
        </w:rPr>
        <w:t xml:space="preserve"> When done by words there is no set </w:t>
      </w:r>
      <w:r w:rsidR="00385803">
        <w:rPr>
          <w:rFonts w:ascii="Arial" w:hAnsi="Arial" w:cs="Arial"/>
        </w:rPr>
        <w:t>script</w:t>
      </w:r>
      <w:r w:rsidR="00237977">
        <w:rPr>
          <w:rFonts w:ascii="Arial" w:hAnsi="Arial" w:cs="Arial"/>
        </w:rPr>
        <w:t xml:space="preserve"> that must be followed to accept </w:t>
      </w:r>
      <w:r w:rsidR="00385803">
        <w:rPr>
          <w:rFonts w:ascii="Arial" w:hAnsi="Arial" w:cs="Arial"/>
        </w:rPr>
        <w:t xml:space="preserve">and the only test is that </w:t>
      </w:r>
      <w:r w:rsidR="00F518DD" w:rsidRPr="00F518DD">
        <w:rPr>
          <w:rFonts w:ascii="Arial" w:hAnsi="Arial" w:cs="Arial"/>
        </w:rPr>
        <w:t xml:space="preserve">would a reasonable person in the offeror’s position understand that the offeree’s words were intended to </w:t>
      </w:r>
      <w:r w:rsidR="00CC7380">
        <w:rPr>
          <w:rFonts w:ascii="Arial" w:hAnsi="Arial" w:cs="Arial"/>
        </w:rPr>
        <w:t>agree</w:t>
      </w:r>
      <w:r w:rsidR="00F518DD" w:rsidRPr="00F518DD">
        <w:rPr>
          <w:rFonts w:ascii="Arial" w:hAnsi="Arial" w:cs="Arial"/>
        </w:rPr>
        <w:t xml:space="preserve"> to the terms of the offer</w:t>
      </w:r>
      <w:r w:rsidR="00E665D0">
        <w:rPr>
          <w:rFonts w:ascii="Arial" w:hAnsi="Arial" w:cs="Arial"/>
        </w:rPr>
        <w:t>?</w:t>
      </w:r>
    </w:p>
    <w:p w14:paraId="1F63D029" w14:textId="434EACF3" w:rsidR="00E15078" w:rsidRDefault="000958C5" w:rsidP="00715808">
      <w:pPr>
        <w:spacing w:line="360" w:lineRule="auto"/>
        <w:jc w:val="both"/>
        <w:rPr>
          <w:rFonts w:ascii="Arial" w:hAnsi="Arial" w:cs="Arial"/>
        </w:rPr>
      </w:pPr>
      <w:r>
        <w:rPr>
          <w:rFonts w:ascii="Arial" w:hAnsi="Arial" w:cs="Arial"/>
        </w:rPr>
        <w:t xml:space="preserve">It is more complicated to prove when </w:t>
      </w:r>
      <w:r w:rsidR="000C7E20">
        <w:rPr>
          <w:rFonts w:ascii="Arial" w:hAnsi="Arial" w:cs="Arial"/>
        </w:rPr>
        <w:t>an offer is accepted by actions</w:t>
      </w:r>
      <w:r w:rsidR="002F588D">
        <w:rPr>
          <w:rFonts w:ascii="Arial" w:hAnsi="Arial" w:cs="Arial"/>
        </w:rPr>
        <w:t xml:space="preserve"> as seen is the case of </w:t>
      </w:r>
      <w:proofErr w:type="spellStart"/>
      <w:r w:rsidR="002F588D">
        <w:rPr>
          <w:rFonts w:ascii="Arial" w:hAnsi="Arial" w:cs="Arial"/>
        </w:rPr>
        <w:t>Brogden</w:t>
      </w:r>
      <w:proofErr w:type="spellEnd"/>
      <w:r w:rsidR="002F588D">
        <w:rPr>
          <w:rFonts w:ascii="Arial" w:hAnsi="Arial" w:cs="Arial"/>
        </w:rPr>
        <w:t xml:space="preserve"> </w:t>
      </w:r>
      <w:r w:rsidR="00DF328F" w:rsidRPr="00DF328F">
        <w:rPr>
          <w:rFonts w:ascii="Arial" w:hAnsi="Arial" w:cs="Arial"/>
        </w:rPr>
        <w:t>v Metropolitan Railway (1877)</w:t>
      </w:r>
      <w:r w:rsidR="004F512E">
        <w:rPr>
          <w:rFonts w:ascii="Arial" w:hAnsi="Arial" w:cs="Arial"/>
        </w:rPr>
        <w:t xml:space="preserve"> where although </w:t>
      </w:r>
      <w:r w:rsidR="00B83B00">
        <w:rPr>
          <w:rFonts w:ascii="Arial" w:hAnsi="Arial" w:cs="Arial"/>
        </w:rPr>
        <w:t xml:space="preserve">no formal contract </w:t>
      </w:r>
      <w:r w:rsidR="004436E9">
        <w:rPr>
          <w:rFonts w:ascii="Arial" w:hAnsi="Arial" w:cs="Arial"/>
        </w:rPr>
        <w:t>was wri</w:t>
      </w:r>
      <w:r w:rsidR="0042002E">
        <w:rPr>
          <w:rFonts w:ascii="Arial" w:hAnsi="Arial" w:cs="Arial"/>
        </w:rPr>
        <w:t xml:space="preserve">tten a </w:t>
      </w:r>
      <w:r w:rsidR="00C5605B" w:rsidRPr="00C5605B">
        <w:rPr>
          <w:rFonts w:ascii="Arial" w:hAnsi="Arial" w:cs="Arial"/>
        </w:rPr>
        <w:t>draft contract that was amended constituted a counter offer, which was accepted by the conduct of the parties. The prices agreed in the draft contract were paid and coal was delivered. Although there had been no communication of acceptance, performing the contract without any objections was enough.</w:t>
      </w:r>
    </w:p>
    <w:p w14:paraId="69C2A2E9" w14:textId="683EF9E0" w:rsidR="00766523" w:rsidRDefault="00766523" w:rsidP="00E53AFF">
      <w:pPr>
        <w:spacing w:line="360" w:lineRule="auto"/>
        <w:jc w:val="both"/>
        <w:rPr>
          <w:rFonts w:ascii="Arial" w:hAnsi="Arial" w:cs="Arial"/>
        </w:rPr>
      </w:pPr>
      <w:r>
        <w:rPr>
          <w:rFonts w:ascii="Arial" w:hAnsi="Arial" w:cs="Arial"/>
        </w:rPr>
        <w:t xml:space="preserve">Consideration </w:t>
      </w:r>
      <w:r w:rsidR="002A2D83">
        <w:rPr>
          <w:rFonts w:ascii="Arial" w:hAnsi="Arial" w:cs="Arial"/>
        </w:rPr>
        <w:t>–</w:t>
      </w:r>
      <w:r>
        <w:rPr>
          <w:rFonts w:ascii="Arial" w:hAnsi="Arial" w:cs="Arial"/>
        </w:rPr>
        <w:t xml:space="preserve"> </w:t>
      </w:r>
      <w:r w:rsidR="002A2D83">
        <w:rPr>
          <w:rFonts w:ascii="Arial" w:hAnsi="Arial" w:cs="Arial"/>
        </w:rPr>
        <w:t xml:space="preserve">Is concerned with that both parties will have an obligation and a benefit within the contract, </w:t>
      </w:r>
      <w:r w:rsidR="00EF3551">
        <w:rPr>
          <w:rFonts w:ascii="Arial" w:hAnsi="Arial" w:cs="Arial"/>
        </w:rPr>
        <w:t>what one party is promising to provide or do in exchange for what the second party is gi</w:t>
      </w:r>
      <w:r w:rsidR="005F29B3">
        <w:rPr>
          <w:rFonts w:ascii="Arial" w:hAnsi="Arial" w:cs="Arial"/>
        </w:rPr>
        <w:t xml:space="preserve">ving or doing. </w:t>
      </w:r>
      <w:r w:rsidR="005B116E">
        <w:rPr>
          <w:rFonts w:ascii="Arial" w:hAnsi="Arial" w:cs="Arial"/>
        </w:rPr>
        <w:t xml:space="preserve">This can be either </w:t>
      </w:r>
      <w:r w:rsidR="007451EC">
        <w:rPr>
          <w:rFonts w:ascii="Arial" w:hAnsi="Arial" w:cs="Arial"/>
        </w:rPr>
        <w:t xml:space="preserve">executed, when part of the promise has been completed when they enter, or </w:t>
      </w:r>
      <w:r w:rsidR="005703C0">
        <w:rPr>
          <w:rFonts w:ascii="Arial" w:hAnsi="Arial" w:cs="Arial"/>
        </w:rPr>
        <w:t xml:space="preserve">executory, a promise for the future, but it cannot </w:t>
      </w:r>
      <w:r w:rsidR="00E2703E">
        <w:rPr>
          <w:rFonts w:ascii="Arial" w:hAnsi="Arial" w:cs="Arial"/>
        </w:rPr>
        <w:t>make a promise for a completed previous act</w:t>
      </w:r>
      <w:r w:rsidR="00750BB7">
        <w:rPr>
          <w:rFonts w:ascii="Arial" w:hAnsi="Arial" w:cs="Arial"/>
        </w:rPr>
        <w:t xml:space="preserve">, In the case of </w:t>
      </w:r>
      <w:proofErr w:type="spellStart"/>
      <w:r w:rsidR="00750BB7">
        <w:rPr>
          <w:rFonts w:ascii="Arial" w:hAnsi="Arial" w:cs="Arial"/>
        </w:rPr>
        <w:t>Rosc</w:t>
      </w:r>
      <w:r w:rsidR="00524E64">
        <w:rPr>
          <w:rFonts w:ascii="Arial" w:hAnsi="Arial" w:cs="Arial"/>
        </w:rPr>
        <w:t>o</w:t>
      </w:r>
      <w:r w:rsidR="00750BB7">
        <w:rPr>
          <w:rFonts w:ascii="Arial" w:hAnsi="Arial" w:cs="Arial"/>
        </w:rPr>
        <w:t>rla</w:t>
      </w:r>
      <w:proofErr w:type="spellEnd"/>
      <w:r w:rsidR="00750BB7">
        <w:rPr>
          <w:rFonts w:ascii="Arial" w:hAnsi="Arial" w:cs="Arial"/>
        </w:rPr>
        <w:t xml:space="preserve"> V Thomas (1842)</w:t>
      </w:r>
      <w:r w:rsidR="00E53AFF">
        <w:rPr>
          <w:rFonts w:ascii="Arial" w:hAnsi="Arial" w:cs="Arial"/>
        </w:rPr>
        <w:t xml:space="preserve"> </w:t>
      </w:r>
      <w:proofErr w:type="spellStart"/>
      <w:r w:rsidR="00E53AFF" w:rsidRPr="00E53AFF">
        <w:rPr>
          <w:rFonts w:ascii="Arial" w:hAnsi="Arial" w:cs="Arial"/>
        </w:rPr>
        <w:t>Roscorla</w:t>
      </w:r>
      <w:proofErr w:type="spellEnd"/>
      <w:r w:rsidR="00E53AFF" w:rsidRPr="00E53AFF">
        <w:rPr>
          <w:rFonts w:ascii="Arial" w:hAnsi="Arial" w:cs="Arial"/>
        </w:rPr>
        <w:t xml:space="preserve"> purchased a horse from Thomas</w:t>
      </w:r>
      <w:r w:rsidR="0000684B">
        <w:rPr>
          <w:rFonts w:ascii="Arial" w:hAnsi="Arial" w:cs="Arial"/>
        </w:rPr>
        <w:t>,</w:t>
      </w:r>
      <w:r w:rsidR="00E53AFF" w:rsidRPr="00E53AFF">
        <w:rPr>
          <w:rFonts w:ascii="Arial" w:hAnsi="Arial" w:cs="Arial"/>
        </w:rPr>
        <w:t xml:space="preserve"> Thomas then promised the horse was sound. The horse was in fact not sound and </w:t>
      </w:r>
      <w:proofErr w:type="spellStart"/>
      <w:r w:rsidR="00E53AFF" w:rsidRPr="00E53AFF">
        <w:rPr>
          <w:rFonts w:ascii="Arial" w:hAnsi="Arial" w:cs="Arial"/>
        </w:rPr>
        <w:t>Roscorla</w:t>
      </w:r>
      <w:proofErr w:type="spellEnd"/>
      <w:r w:rsidR="00E53AFF" w:rsidRPr="00E53AFF">
        <w:rPr>
          <w:rFonts w:ascii="Arial" w:hAnsi="Arial" w:cs="Arial"/>
        </w:rPr>
        <w:t xml:space="preserve"> sued for breach of contract.</w:t>
      </w:r>
      <w:r w:rsidR="00E53AFF">
        <w:rPr>
          <w:rFonts w:ascii="Arial" w:hAnsi="Arial" w:cs="Arial"/>
        </w:rPr>
        <w:t xml:space="preserve"> </w:t>
      </w:r>
      <w:r w:rsidR="00E53AFF" w:rsidRPr="00E53AFF">
        <w:rPr>
          <w:rFonts w:ascii="Arial" w:hAnsi="Arial" w:cs="Arial"/>
        </w:rPr>
        <w:t xml:space="preserve">The court said he had no case; the only consideration he had given was </w:t>
      </w:r>
      <w:r w:rsidR="00A93509" w:rsidRPr="00E53AFF">
        <w:rPr>
          <w:rFonts w:ascii="Arial" w:hAnsi="Arial" w:cs="Arial"/>
        </w:rPr>
        <w:t>passed</w:t>
      </w:r>
      <w:r w:rsidR="00E53AFF" w:rsidRPr="00E53AFF">
        <w:rPr>
          <w:rFonts w:ascii="Arial" w:hAnsi="Arial" w:cs="Arial"/>
        </w:rPr>
        <w:t xml:space="preserve"> by the time the promise was made, and the contract was merely that Thomas would deliver the horse on request.</w:t>
      </w:r>
    </w:p>
    <w:p w14:paraId="51973600" w14:textId="7A58AB63" w:rsidR="0092339B" w:rsidRPr="00607D31" w:rsidRDefault="0092339B" w:rsidP="00E53AFF">
      <w:pPr>
        <w:spacing w:line="360" w:lineRule="auto"/>
        <w:jc w:val="both"/>
        <w:rPr>
          <w:rFonts w:ascii="Arial" w:hAnsi="Arial" w:cs="Arial"/>
        </w:rPr>
      </w:pPr>
      <w:r>
        <w:rPr>
          <w:rFonts w:ascii="Arial" w:hAnsi="Arial" w:cs="Arial"/>
        </w:rPr>
        <w:lastRenderedPageBreak/>
        <w:t xml:space="preserve">Intention to create legal relations </w:t>
      </w:r>
      <w:r w:rsidR="00B450F2">
        <w:rPr>
          <w:rFonts w:ascii="Arial" w:hAnsi="Arial" w:cs="Arial"/>
        </w:rPr>
        <w:t>–</w:t>
      </w:r>
      <w:r>
        <w:rPr>
          <w:rFonts w:ascii="Arial" w:hAnsi="Arial" w:cs="Arial"/>
        </w:rPr>
        <w:t xml:space="preserve"> </w:t>
      </w:r>
      <w:r w:rsidR="00B450F2">
        <w:rPr>
          <w:rFonts w:ascii="Arial" w:hAnsi="Arial" w:cs="Arial"/>
        </w:rPr>
        <w:t xml:space="preserve">This is a key aspect of the contract process as it </w:t>
      </w:r>
      <w:r w:rsidR="00047A69">
        <w:rPr>
          <w:rFonts w:ascii="Arial" w:hAnsi="Arial" w:cs="Arial"/>
        </w:rPr>
        <w:t>s</w:t>
      </w:r>
      <w:r w:rsidR="00047A69" w:rsidRPr="00047A69">
        <w:rPr>
          <w:rFonts w:ascii="Arial" w:hAnsi="Arial" w:cs="Arial"/>
        </w:rPr>
        <w:t>top</w:t>
      </w:r>
      <w:r w:rsidR="00047A69">
        <w:rPr>
          <w:rFonts w:ascii="Arial" w:hAnsi="Arial" w:cs="Arial"/>
        </w:rPr>
        <w:t xml:space="preserve">s </w:t>
      </w:r>
      <w:r w:rsidR="00047A69" w:rsidRPr="00047A69">
        <w:rPr>
          <w:rFonts w:ascii="Arial" w:hAnsi="Arial" w:cs="Arial"/>
        </w:rPr>
        <w:t>people from having liability for things that they never intended</w:t>
      </w:r>
      <w:r w:rsidR="00047A69">
        <w:rPr>
          <w:rFonts w:ascii="Arial" w:hAnsi="Arial" w:cs="Arial"/>
        </w:rPr>
        <w:t xml:space="preserve"> and also protects people who may not have the capacity </w:t>
      </w:r>
      <w:r w:rsidR="00792E67">
        <w:rPr>
          <w:rFonts w:ascii="Arial" w:hAnsi="Arial" w:cs="Arial"/>
        </w:rPr>
        <w:t>to enter into contracts, i.e. Children</w:t>
      </w:r>
      <w:r w:rsidR="00D31FD9">
        <w:rPr>
          <w:rFonts w:ascii="Arial" w:hAnsi="Arial" w:cs="Arial"/>
        </w:rPr>
        <w:t xml:space="preserve"> or those without the </w:t>
      </w:r>
      <w:r w:rsidR="00B30D9F">
        <w:rPr>
          <w:rFonts w:ascii="Arial" w:hAnsi="Arial" w:cs="Arial"/>
        </w:rPr>
        <w:t>mental capacity (Mental capacity act 2005)</w:t>
      </w:r>
      <w:r w:rsidR="00751567">
        <w:rPr>
          <w:rFonts w:ascii="Arial" w:hAnsi="Arial" w:cs="Arial"/>
        </w:rPr>
        <w:t xml:space="preserve">. </w:t>
      </w:r>
      <w:r w:rsidR="00B50443">
        <w:rPr>
          <w:rFonts w:ascii="Arial" w:hAnsi="Arial" w:cs="Arial"/>
        </w:rPr>
        <w:t xml:space="preserve">It also takes into account the relationship between parties </w:t>
      </w:r>
      <w:r w:rsidR="00493F39">
        <w:rPr>
          <w:rFonts w:ascii="Arial" w:hAnsi="Arial" w:cs="Arial"/>
        </w:rPr>
        <w:t>as you don’t expect family members to hold others to formal contract</w:t>
      </w:r>
      <w:r w:rsidR="00B421E5">
        <w:rPr>
          <w:rFonts w:ascii="Arial" w:hAnsi="Arial" w:cs="Arial"/>
        </w:rPr>
        <w:t>s</w:t>
      </w:r>
      <w:r w:rsidR="00164DFB">
        <w:rPr>
          <w:rFonts w:ascii="Arial" w:hAnsi="Arial" w:cs="Arial"/>
        </w:rPr>
        <w:t>,</w:t>
      </w:r>
      <w:r w:rsidR="008B5EDB">
        <w:rPr>
          <w:rFonts w:ascii="Arial" w:hAnsi="Arial" w:cs="Arial"/>
        </w:rPr>
        <w:t xml:space="preserve"> as in the case of Balfour V Balfour (1919)</w:t>
      </w:r>
      <w:r w:rsidR="006E03FC">
        <w:rPr>
          <w:rFonts w:ascii="Arial" w:hAnsi="Arial" w:cs="Arial"/>
        </w:rPr>
        <w:t xml:space="preserve"> where </w:t>
      </w:r>
      <w:r w:rsidR="006E03FC" w:rsidRPr="006E03FC">
        <w:rPr>
          <w:rFonts w:ascii="Arial" w:hAnsi="Arial" w:cs="Arial"/>
        </w:rPr>
        <w:t>the court established a general presumption that agreements between spouses in a domestic context are not intended to be legally binding contracts</w:t>
      </w:r>
      <w:r w:rsidR="00164DFB">
        <w:rPr>
          <w:rFonts w:ascii="Arial" w:hAnsi="Arial" w:cs="Arial"/>
        </w:rPr>
        <w:t xml:space="preserve">, and social arrangements </w:t>
      </w:r>
      <w:r w:rsidR="00B256A3">
        <w:rPr>
          <w:rFonts w:ascii="Arial" w:hAnsi="Arial" w:cs="Arial"/>
        </w:rPr>
        <w:t>as in the case of Blue V Ashley (</w:t>
      </w:r>
      <w:r w:rsidR="00522E88">
        <w:rPr>
          <w:rFonts w:ascii="Arial" w:hAnsi="Arial" w:cs="Arial"/>
        </w:rPr>
        <w:t>2017)</w:t>
      </w:r>
      <w:r w:rsidR="00B256A3">
        <w:rPr>
          <w:rFonts w:ascii="Arial" w:hAnsi="Arial" w:cs="Arial"/>
        </w:rPr>
        <w:t xml:space="preserve"> where </w:t>
      </w:r>
      <w:r w:rsidR="00B256A3" w:rsidRPr="00B256A3">
        <w:rPr>
          <w:rFonts w:ascii="Arial" w:hAnsi="Arial" w:cs="Arial"/>
        </w:rPr>
        <w:t>the court ruled that an alleged oral agreement made during a social gathering was not legally binding. The court determined that the offer was not serious and that Mr. Blue's belief in a contract was "wishful thinking"</w:t>
      </w:r>
      <w:r w:rsidR="008A3DEB">
        <w:rPr>
          <w:rFonts w:ascii="Arial" w:hAnsi="Arial" w:cs="Arial"/>
        </w:rPr>
        <w:t>.</w:t>
      </w:r>
    </w:p>
    <w:p w14:paraId="711437AD" w14:textId="77777777" w:rsidR="0001472B" w:rsidRDefault="0001472B" w:rsidP="0001472B">
      <w:pPr>
        <w:jc w:val="both"/>
        <w:rPr>
          <w:rFonts w:ascii="Arial" w:hAnsi="Arial" w:cs="Arial"/>
          <w:b/>
          <w:bCs/>
        </w:rPr>
      </w:pPr>
    </w:p>
    <w:p w14:paraId="554A5944" w14:textId="77777777" w:rsidR="0001472B" w:rsidRDefault="0001472B" w:rsidP="0001472B">
      <w:pPr>
        <w:jc w:val="both"/>
        <w:rPr>
          <w:rFonts w:ascii="Arial" w:hAnsi="Arial" w:cs="Arial"/>
          <w:b/>
          <w:bCs/>
        </w:rPr>
        <w:sectPr w:rsidR="0001472B" w:rsidSect="0001472B">
          <w:pgSz w:w="11906" w:h="16838" w:code="9"/>
          <w:pgMar w:top="1440" w:right="1440" w:bottom="1440" w:left="1440" w:header="709" w:footer="709" w:gutter="0"/>
          <w:cols w:space="708"/>
          <w:docGrid w:linePitch="360"/>
        </w:sectPr>
      </w:pPr>
    </w:p>
    <w:p w14:paraId="45819262" w14:textId="389780BA" w:rsidR="00667CD2" w:rsidRDefault="0001472B" w:rsidP="003A452F">
      <w:pPr>
        <w:spacing w:line="360" w:lineRule="auto"/>
        <w:jc w:val="both"/>
        <w:rPr>
          <w:rFonts w:ascii="Arial" w:hAnsi="Arial" w:cs="Arial"/>
          <w:b/>
          <w:bCs/>
        </w:rPr>
      </w:pPr>
      <w:r w:rsidRPr="00DA7938">
        <w:rPr>
          <w:rFonts w:ascii="Arial" w:hAnsi="Arial" w:cs="Arial"/>
          <w:b/>
          <w:bCs/>
        </w:rPr>
        <w:lastRenderedPageBreak/>
        <w:t>Question 2; With particular reference to the case of Black Horse Limited v Andrew Curtis (Bristol CC, 21 February 2024, discuss the extent to which the Consumer Rights Act 2015 is in need of reform to ensure that consumer rights are clear.</w:t>
      </w:r>
    </w:p>
    <w:p w14:paraId="7B7F732A" w14:textId="08D6899A" w:rsidR="0001472B" w:rsidRDefault="00C93667" w:rsidP="003A452F">
      <w:pPr>
        <w:spacing w:line="360" w:lineRule="auto"/>
        <w:jc w:val="both"/>
        <w:rPr>
          <w:rFonts w:ascii="Arial" w:hAnsi="Arial" w:cs="Arial"/>
        </w:rPr>
      </w:pPr>
      <w:r>
        <w:rPr>
          <w:rFonts w:ascii="Arial" w:hAnsi="Arial" w:cs="Arial"/>
        </w:rPr>
        <w:t xml:space="preserve">The </w:t>
      </w:r>
      <w:r w:rsidR="005939A9">
        <w:rPr>
          <w:rFonts w:ascii="Arial" w:hAnsi="Arial" w:cs="Arial"/>
        </w:rPr>
        <w:t xml:space="preserve">consumer rights act (2015) was brought in </w:t>
      </w:r>
      <w:r w:rsidR="000208E7">
        <w:rPr>
          <w:rFonts w:ascii="Arial" w:hAnsi="Arial" w:cs="Arial"/>
        </w:rPr>
        <w:t>to protect consumers interests</w:t>
      </w:r>
      <w:r w:rsidR="00766FA9">
        <w:rPr>
          <w:rFonts w:ascii="Arial" w:hAnsi="Arial" w:cs="Arial"/>
        </w:rPr>
        <w:t xml:space="preserve"> when they enter </w:t>
      </w:r>
      <w:r w:rsidR="00ED59AB">
        <w:rPr>
          <w:rFonts w:ascii="Arial" w:hAnsi="Arial" w:cs="Arial"/>
        </w:rPr>
        <w:t>into a contract</w:t>
      </w:r>
      <w:r w:rsidR="000208E7">
        <w:rPr>
          <w:rFonts w:ascii="Arial" w:hAnsi="Arial" w:cs="Arial"/>
        </w:rPr>
        <w:t xml:space="preserve"> </w:t>
      </w:r>
      <w:r w:rsidR="005441E2">
        <w:rPr>
          <w:rFonts w:ascii="Arial" w:hAnsi="Arial" w:cs="Arial"/>
        </w:rPr>
        <w:t xml:space="preserve">and gives the consumer the right </w:t>
      </w:r>
      <w:r w:rsidR="00E47181">
        <w:rPr>
          <w:rFonts w:ascii="Arial" w:hAnsi="Arial" w:cs="Arial"/>
        </w:rPr>
        <w:t>to refund, repair or replace any purchased goods or services</w:t>
      </w:r>
      <w:r w:rsidR="00343D32">
        <w:rPr>
          <w:rFonts w:ascii="Arial" w:hAnsi="Arial" w:cs="Arial"/>
        </w:rPr>
        <w:t xml:space="preserve">, whether they be physical or digital purchases. </w:t>
      </w:r>
      <w:r w:rsidR="00F9576F">
        <w:rPr>
          <w:rFonts w:ascii="Arial" w:hAnsi="Arial" w:cs="Arial"/>
        </w:rPr>
        <w:t xml:space="preserve">The act was brought in to consolidate </w:t>
      </w:r>
      <w:r w:rsidR="0049751B">
        <w:rPr>
          <w:rFonts w:ascii="Arial" w:hAnsi="Arial" w:cs="Arial"/>
        </w:rPr>
        <w:t xml:space="preserve">many other previous acts such as the </w:t>
      </w:r>
      <w:r w:rsidR="00203DAE">
        <w:rPr>
          <w:rFonts w:ascii="Arial" w:hAnsi="Arial" w:cs="Arial"/>
        </w:rPr>
        <w:t xml:space="preserve">sale of goods act (1979), </w:t>
      </w:r>
      <w:r w:rsidR="00214882">
        <w:rPr>
          <w:rFonts w:ascii="Arial" w:hAnsi="Arial" w:cs="Arial"/>
        </w:rPr>
        <w:t>Supply of goods act (1973), Unfair contract terms act (1977), etc</w:t>
      </w:r>
      <w:r w:rsidR="00E4737E">
        <w:rPr>
          <w:rFonts w:ascii="Arial" w:hAnsi="Arial" w:cs="Arial"/>
        </w:rPr>
        <w:t xml:space="preserve"> that maybe seen as outdated in the current </w:t>
      </w:r>
      <w:r w:rsidR="00633A9B">
        <w:rPr>
          <w:rFonts w:ascii="Arial" w:hAnsi="Arial" w:cs="Arial"/>
        </w:rPr>
        <w:t>business</w:t>
      </w:r>
      <w:r w:rsidR="00F15A23">
        <w:rPr>
          <w:rFonts w:ascii="Arial" w:hAnsi="Arial" w:cs="Arial"/>
        </w:rPr>
        <w:t xml:space="preserve"> climate </w:t>
      </w:r>
      <w:r w:rsidR="00633A9B">
        <w:rPr>
          <w:rFonts w:ascii="Arial" w:hAnsi="Arial" w:cs="Arial"/>
        </w:rPr>
        <w:t>and consumer world</w:t>
      </w:r>
      <w:r w:rsidR="00824E99">
        <w:rPr>
          <w:rFonts w:ascii="Arial" w:hAnsi="Arial" w:cs="Arial"/>
        </w:rPr>
        <w:t>,</w:t>
      </w:r>
      <w:r w:rsidR="00633A9B">
        <w:rPr>
          <w:rFonts w:ascii="Arial" w:hAnsi="Arial" w:cs="Arial"/>
        </w:rPr>
        <w:t xml:space="preserve"> bring</w:t>
      </w:r>
      <w:r w:rsidR="00824E99">
        <w:rPr>
          <w:rFonts w:ascii="Arial" w:hAnsi="Arial" w:cs="Arial"/>
        </w:rPr>
        <w:t>ing</w:t>
      </w:r>
      <w:r w:rsidR="00633A9B">
        <w:rPr>
          <w:rFonts w:ascii="Arial" w:hAnsi="Arial" w:cs="Arial"/>
        </w:rPr>
        <w:t xml:space="preserve"> these acts up to date with modern trading </w:t>
      </w:r>
      <w:r w:rsidR="00824E99">
        <w:rPr>
          <w:rFonts w:ascii="Arial" w:hAnsi="Arial" w:cs="Arial"/>
        </w:rPr>
        <w:t>techniques</w:t>
      </w:r>
      <w:r w:rsidR="00633A9B">
        <w:rPr>
          <w:rFonts w:ascii="Arial" w:hAnsi="Arial" w:cs="Arial"/>
        </w:rPr>
        <w:t xml:space="preserve"> such as digital content</w:t>
      </w:r>
      <w:r w:rsidR="00180C68">
        <w:rPr>
          <w:rFonts w:ascii="Arial" w:hAnsi="Arial" w:cs="Arial"/>
        </w:rPr>
        <w:t xml:space="preserve">. </w:t>
      </w:r>
      <w:r w:rsidR="00BC2D76">
        <w:rPr>
          <w:rFonts w:ascii="Arial" w:hAnsi="Arial" w:cs="Arial"/>
        </w:rPr>
        <w:t xml:space="preserve">It can be said that the consumer rights act has been good for consumers in this aspect as it has </w:t>
      </w:r>
      <w:r w:rsidR="006D2806">
        <w:rPr>
          <w:rFonts w:ascii="Arial" w:hAnsi="Arial" w:cs="Arial"/>
        </w:rPr>
        <w:t xml:space="preserve">become the single reference place for consumers to discover their rights and </w:t>
      </w:r>
      <w:r w:rsidR="00AE0082">
        <w:rPr>
          <w:rFonts w:ascii="Arial" w:hAnsi="Arial" w:cs="Arial"/>
        </w:rPr>
        <w:t xml:space="preserve">outline the framework for any legal </w:t>
      </w:r>
      <w:r w:rsidR="00E50D1F">
        <w:rPr>
          <w:rFonts w:ascii="Arial" w:hAnsi="Arial" w:cs="Arial"/>
        </w:rPr>
        <w:t>proceedings needed.</w:t>
      </w:r>
    </w:p>
    <w:p w14:paraId="514EE20F" w14:textId="19FA4053" w:rsidR="00D22EE1" w:rsidRDefault="00BE56AE" w:rsidP="00D22EE1">
      <w:pPr>
        <w:spacing w:line="360" w:lineRule="auto"/>
        <w:jc w:val="both"/>
        <w:rPr>
          <w:rFonts w:ascii="Arial" w:hAnsi="Arial" w:cs="Arial"/>
        </w:rPr>
      </w:pPr>
      <w:r>
        <w:rPr>
          <w:rFonts w:ascii="Arial" w:hAnsi="Arial" w:cs="Arial"/>
        </w:rPr>
        <w:t xml:space="preserve">Unfortunately </w:t>
      </w:r>
      <w:r w:rsidR="009047DA">
        <w:rPr>
          <w:rFonts w:ascii="Arial" w:hAnsi="Arial" w:cs="Arial"/>
        </w:rPr>
        <w:t xml:space="preserve">the act still has </w:t>
      </w:r>
      <w:proofErr w:type="spellStart"/>
      <w:r w:rsidR="009047DA">
        <w:rPr>
          <w:rFonts w:ascii="Arial" w:hAnsi="Arial" w:cs="Arial"/>
        </w:rPr>
        <w:t>it’s</w:t>
      </w:r>
      <w:proofErr w:type="spellEnd"/>
      <w:r w:rsidR="009047DA">
        <w:rPr>
          <w:rFonts w:ascii="Arial" w:hAnsi="Arial" w:cs="Arial"/>
        </w:rPr>
        <w:t xml:space="preserve"> drawbacks and </w:t>
      </w:r>
      <w:r w:rsidR="00A27B6F">
        <w:rPr>
          <w:rFonts w:ascii="Arial" w:hAnsi="Arial" w:cs="Arial"/>
        </w:rPr>
        <w:t xml:space="preserve">as we can see in the case of Black Horse Ltd V Andrew Curtis, the </w:t>
      </w:r>
      <w:r w:rsidR="000807D3">
        <w:rPr>
          <w:rFonts w:ascii="Arial" w:hAnsi="Arial" w:cs="Arial"/>
        </w:rPr>
        <w:t xml:space="preserve">act </w:t>
      </w:r>
      <w:r w:rsidR="00E000F9">
        <w:rPr>
          <w:rFonts w:ascii="Arial" w:hAnsi="Arial" w:cs="Arial"/>
        </w:rPr>
        <w:t>can be hard to understand as the wording</w:t>
      </w:r>
      <w:r w:rsidR="007E6D8D">
        <w:rPr>
          <w:rFonts w:ascii="Arial" w:hAnsi="Arial" w:cs="Arial"/>
        </w:rPr>
        <w:t xml:space="preserve">, like most legal documentation, is written in a way that the average reasonable person </w:t>
      </w:r>
      <w:r w:rsidR="00F45A53">
        <w:rPr>
          <w:rFonts w:ascii="Arial" w:hAnsi="Arial" w:cs="Arial"/>
        </w:rPr>
        <w:t xml:space="preserve">which is referenced within the act cannot interpret and </w:t>
      </w:r>
      <w:r w:rsidR="000807D3">
        <w:rPr>
          <w:rFonts w:ascii="Arial" w:hAnsi="Arial" w:cs="Arial"/>
        </w:rPr>
        <w:t>still has grey areas that are subject to the interpretation of individual courts. In summary Mr Curtis</w:t>
      </w:r>
      <w:r w:rsidR="00800065">
        <w:rPr>
          <w:rFonts w:ascii="Arial" w:hAnsi="Arial" w:cs="Arial"/>
        </w:rPr>
        <w:t xml:space="preserve">, who himself is a practising solicitor, </w:t>
      </w:r>
      <w:r w:rsidR="00AC1A71">
        <w:rPr>
          <w:rFonts w:ascii="Arial" w:hAnsi="Arial" w:cs="Arial"/>
        </w:rPr>
        <w:t>purchased a vehicle from Black Horse Ltd</w:t>
      </w:r>
      <w:r w:rsidR="00696778">
        <w:rPr>
          <w:rFonts w:ascii="Arial" w:hAnsi="Arial" w:cs="Arial"/>
        </w:rPr>
        <w:t xml:space="preserve"> and after driving the vehicle decided it was not of satisfactory quality</w:t>
      </w:r>
      <w:r w:rsidR="00B716D4">
        <w:rPr>
          <w:rFonts w:ascii="Arial" w:hAnsi="Arial" w:cs="Arial"/>
        </w:rPr>
        <w:t>. Black horse admitted this and</w:t>
      </w:r>
      <w:r w:rsidR="000E4FBE">
        <w:rPr>
          <w:rFonts w:ascii="Arial" w:hAnsi="Arial" w:cs="Arial"/>
        </w:rPr>
        <w:t xml:space="preserve"> </w:t>
      </w:r>
      <w:r w:rsidR="000E4FBE" w:rsidRPr="000E4FBE">
        <w:rPr>
          <w:rFonts w:ascii="Arial" w:hAnsi="Arial" w:cs="Arial"/>
        </w:rPr>
        <w:t>accepted that the consumer had a right to reject it</w:t>
      </w:r>
      <w:r w:rsidR="000E4FBE">
        <w:rPr>
          <w:rFonts w:ascii="Arial" w:hAnsi="Arial" w:cs="Arial"/>
        </w:rPr>
        <w:t xml:space="preserve">, </w:t>
      </w:r>
      <w:r w:rsidR="005B7610">
        <w:rPr>
          <w:rFonts w:ascii="Arial" w:hAnsi="Arial" w:cs="Arial"/>
        </w:rPr>
        <w:t>Black horse</w:t>
      </w:r>
      <w:r w:rsidR="005B7610" w:rsidRPr="005B7610">
        <w:rPr>
          <w:rFonts w:ascii="Arial" w:hAnsi="Arial" w:cs="Arial"/>
        </w:rPr>
        <w:t xml:space="preserve"> said it would collect the vehicle when the consumer </w:t>
      </w:r>
      <w:r w:rsidR="003F4A2B">
        <w:rPr>
          <w:rFonts w:ascii="Arial" w:hAnsi="Arial" w:cs="Arial"/>
        </w:rPr>
        <w:t xml:space="preserve">had </w:t>
      </w:r>
      <w:r w:rsidR="005B7610" w:rsidRPr="005B7610">
        <w:rPr>
          <w:rFonts w:ascii="Arial" w:hAnsi="Arial" w:cs="Arial"/>
        </w:rPr>
        <w:t xml:space="preserve">settled his claims on </w:t>
      </w:r>
      <w:r w:rsidR="003F4A2B">
        <w:rPr>
          <w:rFonts w:ascii="Arial" w:hAnsi="Arial" w:cs="Arial"/>
        </w:rPr>
        <w:t xml:space="preserve">the </w:t>
      </w:r>
      <w:r w:rsidR="005B7610" w:rsidRPr="005B7610">
        <w:rPr>
          <w:rFonts w:ascii="Arial" w:hAnsi="Arial" w:cs="Arial"/>
        </w:rPr>
        <w:t xml:space="preserve">financial terms proposed by </w:t>
      </w:r>
      <w:r w:rsidR="00D65F8D">
        <w:rPr>
          <w:rFonts w:ascii="Arial" w:hAnsi="Arial" w:cs="Arial"/>
        </w:rPr>
        <w:t>Black horse</w:t>
      </w:r>
      <w:r w:rsidR="005B7610" w:rsidRPr="005B7610">
        <w:rPr>
          <w:rFonts w:ascii="Arial" w:hAnsi="Arial" w:cs="Arial"/>
        </w:rPr>
        <w:t xml:space="preserve">. </w:t>
      </w:r>
      <w:r w:rsidR="003F4A2B">
        <w:rPr>
          <w:rFonts w:ascii="Arial" w:hAnsi="Arial" w:cs="Arial"/>
        </w:rPr>
        <w:t>Mr Curtis</w:t>
      </w:r>
      <w:r w:rsidR="005B7610" w:rsidRPr="005B7610">
        <w:rPr>
          <w:rFonts w:ascii="Arial" w:hAnsi="Arial" w:cs="Arial"/>
        </w:rPr>
        <w:t xml:space="preserve"> refused the </w:t>
      </w:r>
      <w:r w:rsidR="00E20003">
        <w:rPr>
          <w:rFonts w:ascii="Arial" w:hAnsi="Arial" w:cs="Arial"/>
        </w:rPr>
        <w:t xml:space="preserve">financial terms </w:t>
      </w:r>
      <w:r w:rsidR="005B7610" w:rsidRPr="005B7610">
        <w:rPr>
          <w:rFonts w:ascii="Arial" w:hAnsi="Arial" w:cs="Arial"/>
        </w:rPr>
        <w:t>proposed</w:t>
      </w:r>
      <w:r w:rsidR="00E20003">
        <w:rPr>
          <w:rFonts w:ascii="Arial" w:hAnsi="Arial" w:cs="Arial"/>
        </w:rPr>
        <w:t>,</w:t>
      </w:r>
      <w:r w:rsidR="005B7610" w:rsidRPr="005B7610">
        <w:rPr>
          <w:rFonts w:ascii="Arial" w:hAnsi="Arial" w:cs="Arial"/>
        </w:rPr>
        <w:t xml:space="preserve"> but said the car was ready for collection</w:t>
      </w:r>
      <w:r w:rsidR="00E20003">
        <w:rPr>
          <w:rFonts w:ascii="Arial" w:hAnsi="Arial" w:cs="Arial"/>
        </w:rPr>
        <w:t>,</w:t>
      </w:r>
      <w:r w:rsidR="005B7610" w:rsidRPr="005B7610">
        <w:rPr>
          <w:rFonts w:ascii="Arial" w:hAnsi="Arial" w:cs="Arial"/>
        </w:rPr>
        <w:t xml:space="preserve"> </w:t>
      </w:r>
      <w:r w:rsidR="00255542">
        <w:rPr>
          <w:rFonts w:ascii="Arial" w:hAnsi="Arial" w:cs="Arial"/>
        </w:rPr>
        <w:t>Black horse</w:t>
      </w:r>
      <w:r w:rsidR="005B7610" w:rsidRPr="005B7610">
        <w:rPr>
          <w:rFonts w:ascii="Arial" w:hAnsi="Arial" w:cs="Arial"/>
        </w:rPr>
        <w:t xml:space="preserve"> refuse to collect the vehicle, so </w:t>
      </w:r>
      <w:r w:rsidR="00255542">
        <w:rPr>
          <w:rFonts w:ascii="Arial" w:hAnsi="Arial" w:cs="Arial"/>
        </w:rPr>
        <w:t xml:space="preserve">Mr Curtis said </w:t>
      </w:r>
      <w:r w:rsidR="005B7610" w:rsidRPr="005B7610">
        <w:rPr>
          <w:rFonts w:ascii="Arial" w:hAnsi="Arial" w:cs="Arial"/>
        </w:rPr>
        <w:t>he would continue to drive it.</w:t>
      </w:r>
      <w:r w:rsidR="00A65C34">
        <w:rPr>
          <w:rFonts w:ascii="Arial" w:hAnsi="Arial" w:cs="Arial"/>
        </w:rPr>
        <w:t xml:space="preserve"> By the time Black horse had </w:t>
      </w:r>
      <w:r w:rsidR="00D84B92">
        <w:rPr>
          <w:rFonts w:ascii="Arial" w:hAnsi="Arial" w:cs="Arial"/>
        </w:rPr>
        <w:t xml:space="preserve">issued proceedings for recovery of the vehicle Mr Curtis had added 40,000 miles </w:t>
      </w:r>
      <w:r w:rsidR="00E57B3F">
        <w:rPr>
          <w:rFonts w:ascii="Arial" w:hAnsi="Arial" w:cs="Arial"/>
        </w:rPr>
        <w:t>to the clock</w:t>
      </w:r>
      <w:r w:rsidR="00D22EE1">
        <w:rPr>
          <w:rFonts w:ascii="Arial" w:hAnsi="Arial" w:cs="Arial"/>
        </w:rPr>
        <w:t xml:space="preserve">. </w:t>
      </w:r>
      <w:r w:rsidR="00D22EE1" w:rsidRPr="00D22EE1">
        <w:rPr>
          <w:rFonts w:ascii="Arial" w:hAnsi="Arial" w:cs="Arial"/>
        </w:rPr>
        <w:t xml:space="preserve">At trial, the judge held that the consumer was entitled to more compensation for the defects than </w:t>
      </w:r>
      <w:r w:rsidR="00E71293">
        <w:rPr>
          <w:rFonts w:ascii="Arial" w:hAnsi="Arial" w:cs="Arial"/>
        </w:rPr>
        <w:t>Black horse</w:t>
      </w:r>
      <w:r w:rsidR="00D22EE1" w:rsidRPr="00D22EE1">
        <w:rPr>
          <w:rFonts w:ascii="Arial" w:hAnsi="Arial" w:cs="Arial"/>
        </w:rPr>
        <w:t xml:space="preserve"> had offered.</w:t>
      </w:r>
      <w:r w:rsidR="00EF01FB">
        <w:rPr>
          <w:rFonts w:ascii="Arial" w:hAnsi="Arial" w:cs="Arial"/>
        </w:rPr>
        <w:t xml:space="preserve"> The judge</w:t>
      </w:r>
      <w:r w:rsidR="00D22EE1" w:rsidRPr="00D22EE1">
        <w:rPr>
          <w:rFonts w:ascii="Arial" w:hAnsi="Arial" w:cs="Arial"/>
        </w:rPr>
        <w:t xml:space="preserve"> entered judgment for the consumer accordingly</w:t>
      </w:r>
      <w:r w:rsidR="00EF01FB">
        <w:rPr>
          <w:rFonts w:ascii="Arial" w:hAnsi="Arial" w:cs="Arial"/>
        </w:rPr>
        <w:t>, however the</w:t>
      </w:r>
      <w:r w:rsidR="00D22EE1" w:rsidRPr="00D22EE1">
        <w:rPr>
          <w:rFonts w:ascii="Arial" w:hAnsi="Arial" w:cs="Arial"/>
        </w:rPr>
        <w:t xml:space="preserve"> judge rejected the consumer’s argument that no deduction should be made for the period after the trader had failed to collect the car</w:t>
      </w:r>
      <w:r w:rsidR="00E41746">
        <w:rPr>
          <w:rFonts w:ascii="Arial" w:hAnsi="Arial" w:cs="Arial"/>
        </w:rPr>
        <w:t xml:space="preserve"> and</w:t>
      </w:r>
      <w:r w:rsidR="00D22EE1" w:rsidRPr="00D22EE1">
        <w:rPr>
          <w:rFonts w:ascii="Arial" w:hAnsi="Arial" w:cs="Arial"/>
        </w:rPr>
        <w:t xml:space="preserve"> accepted </w:t>
      </w:r>
      <w:r w:rsidR="00572770">
        <w:rPr>
          <w:rFonts w:ascii="Arial" w:hAnsi="Arial" w:cs="Arial"/>
        </w:rPr>
        <w:t>Black horse’s</w:t>
      </w:r>
      <w:r w:rsidR="00D22EE1" w:rsidRPr="00D22EE1">
        <w:rPr>
          <w:rFonts w:ascii="Arial" w:hAnsi="Arial" w:cs="Arial"/>
        </w:rPr>
        <w:t xml:space="preserve"> argument that</w:t>
      </w:r>
      <w:r w:rsidR="00E41746">
        <w:rPr>
          <w:rFonts w:ascii="Arial" w:hAnsi="Arial" w:cs="Arial"/>
        </w:rPr>
        <w:t>,</w:t>
      </w:r>
      <w:r w:rsidR="00D22EE1" w:rsidRPr="00D22EE1">
        <w:rPr>
          <w:rFonts w:ascii="Arial" w:hAnsi="Arial" w:cs="Arial"/>
        </w:rPr>
        <w:t xml:space="preserve"> because no time to collect had ever been agreed there was no failure to </w:t>
      </w:r>
      <w:r w:rsidR="00572770">
        <w:rPr>
          <w:rFonts w:ascii="Arial" w:hAnsi="Arial" w:cs="Arial"/>
        </w:rPr>
        <w:t xml:space="preserve">collect. </w:t>
      </w:r>
      <w:r w:rsidR="00D22EE1" w:rsidRPr="00D22EE1">
        <w:rPr>
          <w:rFonts w:ascii="Arial" w:hAnsi="Arial" w:cs="Arial"/>
        </w:rPr>
        <w:t xml:space="preserve">The trial judge therefore deducted from the sums due to </w:t>
      </w:r>
      <w:r w:rsidR="008E0344">
        <w:rPr>
          <w:rFonts w:ascii="Arial" w:hAnsi="Arial" w:cs="Arial"/>
        </w:rPr>
        <w:t>Mr Curtis</w:t>
      </w:r>
      <w:r w:rsidR="00D22EE1" w:rsidRPr="00D22EE1">
        <w:rPr>
          <w:rFonts w:ascii="Arial" w:hAnsi="Arial" w:cs="Arial"/>
        </w:rPr>
        <w:t xml:space="preserve"> an amount for all use of the vehicle post-rejection.</w:t>
      </w:r>
      <w:r w:rsidR="0007089D">
        <w:rPr>
          <w:rFonts w:ascii="Arial" w:hAnsi="Arial" w:cs="Arial"/>
        </w:rPr>
        <w:t xml:space="preserve"> Mr Curtis appealed this decision successfully </w:t>
      </w:r>
      <w:r w:rsidR="00141D07">
        <w:rPr>
          <w:rFonts w:ascii="Arial" w:hAnsi="Arial" w:cs="Arial"/>
        </w:rPr>
        <w:t xml:space="preserve">under the grounds that </w:t>
      </w:r>
      <w:r w:rsidR="00924455" w:rsidRPr="00924455">
        <w:rPr>
          <w:rFonts w:ascii="Arial" w:hAnsi="Arial" w:cs="Arial"/>
        </w:rPr>
        <w:t xml:space="preserve">It was an error of law for the court to conclude that section 24(9) of the Consumer Rights Act 2015 does not apply in circumstances where the </w:t>
      </w:r>
      <w:r w:rsidR="00AE66D0">
        <w:rPr>
          <w:rFonts w:ascii="Arial" w:hAnsi="Arial" w:cs="Arial"/>
        </w:rPr>
        <w:t>“</w:t>
      </w:r>
      <w:r w:rsidR="00924455" w:rsidRPr="00924455">
        <w:rPr>
          <w:rFonts w:ascii="Arial" w:hAnsi="Arial" w:cs="Arial"/>
        </w:rPr>
        <w:t>failure to collec</w:t>
      </w:r>
      <w:r w:rsidR="00AE66D0">
        <w:rPr>
          <w:rFonts w:ascii="Arial" w:hAnsi="Arial" w:cs="Arial"/>
        </w:rPr>
        <w:t>t”</w:t>
      </w:r>
      <w:r w:rsidR="00924455" w:rsidRPr="00924455">
        <w:rPr>
          <w:rFonts w:ascii="Arial" w:hAnsi="Arial" w:cs="Arial"/>
        </w:rPr>
        <w:t xml:space="preserve"> was the fault of the trader</w:t>
      </w:r>
      <w:r w:rsidR="009C2943">
        <w:rPr>
          <w:rFonts w:ascii="Arial" w:hAnsi="Arial" w:cs="Arial"/>
        </w:rPr>
        <w:t xml:space="preserve"> and that it was wrong to conclude that the </w:t>
      </w:r>
      <w:r w:rsidR="00BE0674">
        <w:rPr>
          <w:rFonts w:ascii="Arial" w:hAnsi="Arial" w:cs="Arial"/>
        </w:rPr>
        <w:t>consumer failed to co-operate.</w:t>
      </w:r>
    </w:p>
    <w:p w14:paraId="002C09B9" w14:textId="65160552" w:rsidR="00696C43" w:rsidRPr="00D22EE1" w:rsidRDefault="00696C43" w:rsidP="00D22EE1">
      <w:pPr>
        <w:spacing w:line="360" w:lineRule="auto"/>
        <w:jc w:val="both"/>
        <w:rPr>
          <w:rFonts w:ascii="Arial" w:hAnsi="Arial" w:cs="Arial"/>
        </w:rPr>
      </w:pPr>
      <w:r>
        <w:rPr>
          <w:rFonts w:ascii="Arial" w:hAnsi="Arial" w:cs="Arial"/>
        </w:rPr>
        <w:lastRenderedPageBreak/>
        <w:t xml:space="preserve">It is my opinion the consumer rights act 2015 should be reformed, whilst I agree that the act has done good work in bringing consumers rights to the forefront and </w:t>
      </w:r>
      <w:r w:rsidR="00A4057A">
        <w:rPr>
          <w:rFonts w:ascii="Arial" w:hAnsi="Arial" w:cs="Arial"/>
        </w:rPr>
        <w:t xml:space="preserve">made it easier for the average reasonable person to protect themselves when entering into </w:t>
      </w:r>
      <w:r w:rsidR="00194CFF">
        <w:rPr>
          <w:rFonts w:ascii="Arial" w:hAnsi="Arial" w:cs="Arial"/>
        </w:rPr>
        <w:t xml:space="preserve">contracts and updating other acts to include </w:t>
      </w:r>
      <w:r w:rsidR="00381D14">
        <w:rPr>
          <w:rFonts w:ascii="Arial" w:hAnsi="Arial" w:cs="Arial"/>
        </w:rPr>
        <w:t xml:space="preserve">modern goods and services such as digital media, it still </w:t>
      </w:r>
      <w:r w:rsidR="009703BA">
        <w:rPr>
          <w:rFonts w:ascii="Arial" w:hAnsi="Arial" w:cs="Arial"/>
        </w:rPr>
        <w:t>has too many grey areas that contradict each other</w:t>
      </w:r>
      <w:r w:rsidR="0076644D">
        <w:rPr>
          <w:rFonts w:ascii="Arial" w:hAnsi="Arial" w:cs="Arial"/>
        </w:rPr>
        <w:t>, difficult for the average person to translate from legal speak</w:t>
      </w:r>
      <w:r w:rsidR="009703BA">
        <w:rPr>
          <w:rFonts w:ascii="Arial" w:hAnsi="Arial" w:cs="Arial"/>
        </w:rPr>
        <w:t xml:space="preserve"> and are too open to interpretation</w:t>
      </w:r>
      <w:r w:rsidR="00C10477">
        <w:rPr>
          <w:rFonts w:ascii="Arial" w:hAnsi="Arial" w:cs="Arial"/>
        </w:rPr>
        <w:t xml:space="preserve">. As we seen in the example case law from Black Horse V Curtis, it took a practising solicitor to understand the act </w:t>
      </w:r>
      <w:r w:rsidR="0091271E">
        <w:rPr>
          <w:rFonts w:ascii="Arial" w:hAnsi="Arial" w:cs="Arial"/>
        </w:rPr>
        <w:t>and use it to protect his consumer interests and</w:t>
      </w:r>
      <w:r w:rsidR="00393D3C">
        <w:rPr>
          <w:rFonts w:ascii="Arial" w:hAnsi="Arial" w:cs="Arial"/>
        </w:rPr>
        <w:t xml:space="preserve"> also</w:t>
      </w:r>
      <w:r w:rsidR="0091271E">
        <w:rPr>
          <w:rFonts w:ascii="Arial" w:hAnsi="Arial" w:cs="Arial"/>
        </w:rPr>
        <w:t xml:space="preserve"> that two separate courts had different </w:t>
      </w:r>
      <w:r w:rsidR="00393D3C">
        <w:rPr>
          <w:rFonts w:ascii="Arial" w:hAnsi="Arial" w:cs="Arial"/>
        </w:rPr>
        <w:t>interpretations of section 24</w:t>
      </w:r>
      <w:r w:rsidR="00BA5CB4">
        <w:rPr>
          <w:rFonts w:ascii="Arial" w:hAnsi="Arial" w:cs="Arial"/>
        </w:rPr>
        <w:t xml:space="preserve"> within the act</w:t>
      </w:r>
      <w:r w:rsidR="007F7C3C">
        <w:rPr>
          <w:rFonts w:ascii="Arial" w:hAnsi="Arial" w:cs="Arial"/>
        </w:rPr>
        <w:t>,</w:t>
      </w:r>
      <w:r w:rsidR="00BA5CB4">
        <w:rPr>
          <w:rFonts w:ascii="Arial" w:hAnsi="Arial" w:cs="Arial"/>
        </w:rPr>
        <w:t xml:space="preserve"> coming to two different judgements.</w:t>
      </w:r>
    </w:p>
    <w:p w14:paraId="5A52338C" w14:textId="5A4340B3" w:rsidR="005B7610" w:rsidRPr="005B7610" w:rsidRDefault="005B7610" w:rsidP="005B7610">
      <w:pPr>
        <w:spacing w:line="360" w:lineRule="auto"/>
        <w:jc w:val="both"/>
        <w:rPr>
          <w:rFonts w:ascii="Arial" w:hAnsi="Arial" w:cs="Arial"/>
        </w:rPr>
      </w:pPr>
    </w:p>
    <w:p w14:paraId="6A086642" w14:textId="1E90593A" w:rsidR="00BE56AE" w:rsidRPr="005F5284" w:rsidRDefault="00BE56AE" w:rsidP="003A452F">
      <w:pPr>
        <w:spacing w:line="360" w:lineRule="auto"/>
        <w:jc w:val="both"/>
        <w:rPr>
          <w:rFonts w:ascii="Arial" w:hAnsi="Arial" w:cs="Arial"/>
        </w:rPr>
      </w:pPr>
    </w:p>
    <w:p w14:paraId="28833E7A" w14:textId="4E009FFE" w:rsidR="0001472B" w:rsidRDefault="0001472B">
      <w:pPr>
        <w:rPr>
          <w:rFonts w:ascii="Arial" w:hAnsi="Arial" w:cs="Arial"/>
          <w:b/>
          <w:bCs/>
        </w:rPr>
      </w:pPr>
      <w:r>
        <w:rPr>
          <w:rFonts w:ascii="Arial" w:hAnsi="Arial" w:cs="Arial"/>
          <w:b/>
          <w:bCs/>
        </w:rPr>
        <w:br w:type="page"/>
      </w:r>
    </w:p>
    <w:p w14:paraId="5A921B0F" w14:textId="77777777" w:rsidR="00F964E8" w:rsidRDefault="00F964E8" w:rsidP="00B71074">
      <w:pPr>
        <w:spacing w:line="360" w:lineRule="auto"/>
        <w:jc w:val="both"/>
        <w:rPr>
          <w:rFonts w:ascii="Arial" w:hAnsi="Arial" w:cs="Arial"/>
          <w:b/>
          <w:bCs/>
        </w:rPr>
      </w:pPr>
      <w:r w:rsidRPr="00DA7938">
        <w:rPr>
          <w:rFonts w:ascii="Arial" w:hAnsi="Arial" w:cs="Arial"/>
          <w:b/>
          <w:bCs/>
        </w:rPr>
        <w:lastRenderedPageBreak/>
        <w:t>Question 3; With particular reference to section 5 and section 7 of the General Product Safety Regulations 2005, discuss the obligations of producers and how they apply to your current workplace.</w:t>
      </w:r>
    </w:p>
    <w:p w14:paraId="50AA859E" w14:textId="700C000B" w:rsidR="00F964E8" w:rsidRDefault="001D778C" w:rsidP="00B71074">
      <w:pPr>
        <w:spacing w:line="360" w:lineRule="auto"/>
        <w:jc w:val="both"/>
        <w:rPr>
          <w:rFonts w:ascii="Arial" w:hAnsi="Arial" w:cs="Arial"/>
        </w:rPr>
      </w:pPr>
      <w:r>
        <w:rPr>
          <w:rFonts w:ascii="Arial" w:hAnsi="Arial" w:cs="Arial"/>
        </w:rPr>
        <w:t xml:space="preserve">The General Product Safety Regulations 2005 (GPSR) </w:t>
      </w:r>
      <w:r w:rsidR="00E36445">
        <w:rPr>
          <w:rFonts w:ascii="Arial" w:hAnsi="Arial" w:cs="Arial"/>
        </w:rPr>
        <w:t>directive was</w:t>
      </w:r>
      <w:r w:rsidR="00A87458">
        <w:rPr>
          <w:rFonts w:ascii="Arial" w:hAnsi="Arial" w:cs="Arial"/>
        </w:rPr>
        <w:t xml:space="preserve"> implemented to ensure that </w:t>
      </w:r>
      <w:r w:rsidR="00DB31AA">
        <w:rPr>
          <w:rFonts w:ascii="Arial" w:hAnsi="Arial" w:cs="Arial"/>
        </w:rPr>
        <w:t xml:space="preserve">only safe </w:t>
      </w:r>
      <w:r w:rsidR="002F1868">
        <w:rPr>
          <w:rFonts w:ascii="Arial" w:hAnsi="Arial" w:cs="Arial"/>
        </w:rPr>
        <w:t>products enter the marketplace</w:t>
      </w:r>
      <w:r w:rsidR="00C533C2">
        <w:rPr>
          <w:rFonts w:ascii="Arial" w:hAnsi="Arial" w:cs="Arial"/>
        </w:rPr>
        <w:t xml:space="preserve"> and enhances consumer protection against dangerous goods</w:t>
      </w:r>
      <w:r w:rsidR="00537EA7">
        <w:rPr>
          <w:rFonts w:ascii="Arial" w:hAnsi="Arial" w:cs="Arial"/>
        </w:rPr>
        <w:t xml:space="preserve">, the directive applies to all goods sold within the EU and </w:t>
      </w:r>
      <w:r w:rsidR="00DC22D7">
        <w:rPr>
          <w:rFonts w:ascii="Arial" w:hAnsi="Arial" w:cs="Arial"/>
        </w:rPr>
        <w:t xml:space="preserve">NI. Whilst the directive does not </w:t>
      </w:r>
      <w:r w:rsidR="00D517ED">
        <w:rPr>
          <w:rFonts w:ascii="Arial" w:hAnsi="Arial" w:cs="Arial"/>
        </w:rPr>
        <w:t xml:space="preserve">directly effect goods sold with GB, the legislation will impact </w:t>
      </w:r>
      <w:r w:rsidR="00B71074">
        <w:rPr>
          <w:rFonts w:ascii="Arial" w:hAnsi="Arial" w:cs="Arial"/>
        </w:rPr>
        <w:t>exports out of GB and as such products mainly will need to comply.</w:t>
      </w:r>
      <w:r w:rsidR="00A207F4">
        <w:rPr>
          <w:rFonts w:ascii="Arial" w:hAnsi="Arial" w:cs="Arial"/>
        </w:rPr>
        <w:t xml:space="preserve"> </w:t>
      </w:r>
      <w:r w:rsidR="008A2B09">
        <w:rPr>
          <w:rFonts w:ascii="Arial" w:hAnsi="Arial" w:cs="Arial"/>
        </w:rPr>
        <w:t xml:space="preserve">Business, like Tata Steel, operating within the UK and distributing into the EU will </w:t>
      </w:r>
      <w:r w:rsidR="009D3CE4">
        <w:rPr>
          <w:rFonts w:ascii="Arial" w:hAnsi="Arial" w:cs="Arial"/>
        </w:rPr>
        <w:t>be mainly concerned with section 5 of the directive</w:t>
      </w:r>
      <w:r w:rsidR="00424677">
        <w:rPr>
          <w:rFonts w:ascii="Arial" w:hAnsi="Arial" w:cs="Arial"/>
        </w:rPr>
        <w:t xml:space="preserve"> </w:t>
      </w:r>
      <w:r w:rsidR="00C923A9">
        <w:rPr>
          <w:rFonts w:ascii="Arial" w:hAnsi="Arial" w:cs="Arial"/>
        </w:rPr>
        <w:t>around the general safety requirements;</w:t>
      </w:r>
    </w:p>
    <w:p w14:paraId="064220C5" w14:textId="77777777" w:rsidR="00B02C72" w:rsidRPr="00B02C72" w:rsidRDefault="00C923A9" w:rsidP="00B02C72">
      <w:pPr>
        <w:pStyle w:val="ListParagraph"/>
        <w:numPr>
          <w:ilvl w:val="0"/>
          <w:numId w:val="4"/>
        </w:numPr>
        <w:spacing w:line="360" w:lineRule="auto"/>
        <w:jc w:val="both"/>
        <w:rPr>
          <w:rFonts w:ascii="Arial" w:hAnsi="Arial" w:cs="Arial"/>
          <w:i/>
          <w:iCs/>
        </w:rPr>
      </w:pPr>
      <w:r w:rsidRPr="00B02C72">
        <w:rPr>
          <w:rFonts w:ascii="Arial" w:hAnsi="Arial" w:cs="Arial"/>
          <w:i/>
          <w:iCs/>
        </w:rPr>
        <w:t>No producer shall place a product on the market unless the product is a safe product.</w:t>
      </w:r>
    </w:p>
    <w:p w14:paraId="1DCD3550" w14:textId="4259B358" w:rsidR="00C923A9" w:rsidRPr="00B02C72" w:rsidRDefault="00C923A9" w:rsidP="00B02C72">
      <w:pPr>
        <w:pStyle w:val="ListParagraph"/>
        <w:numPr>
          <w:ilvl w:val="0"/>
          <w:numId w:val="4"/>
        </w:numPr>
        <w:spacing w:line="360" w:lineRule="auto"/>
        <w:jc w:val="both"/>
        <w:rPr>
          <w:rFonts w:ascii="Arial" w:hAnsi="Arial" w:cs="Arial"/>
          <w:i/>
          <w:iCs/>
        </w:rPr>
      </w:pPr>
      <w:r w:rsidRPr="00B02C72">
        <w:rPr>
          <w:rFonts w:ascii="Arial" w:hAnsi="Arial" w:cs="Arial"/>
          <w:i/>
          <w:iCs/>
        </w:rPr>
        <w:t>No producer shall offer or agree to place a product on the market or expose or possess a product for placing on the market unless the product is a safe product.</w:t>
      </w:r>
    </w:p>
    <w:p w14:paraId="64830C83" w14:textId="3308B9CE" w:rsidR="00C923A9" w:rsidRPr="00B02C72" w:rsidRDefault="00C923A9" w:rsidP="00B02C72">
      <w:pPr>
        <w:pStyle w:val="ListParagraph"/>
        <w:numPr>
          <w:ilvl w:val="0"/>
          <w:numId w:val="4"/>
        </w:numPr>
        <w:spacing w:line="360" w:lineRule="auto"/>
        <w:jc w:val="both"/>
        <w:rPr>
          <w:rFonts w:ascii="Arial" w:hAnsi="Arial" w:cs="Arial"/>
          <w:i/>
          <w:iCs/>
        </w:rPr>
      </w:pPr>
      <w:r w:rsidRPr="00B02C72">
        <w:rPr>
          <w:rFonts w:ascii="Arial" w:hAnsi="Arial" w:cs="Arial"/>
          <w:i/>
          <w:iCs/>
        </w:rPr>
        <w:t>No producer shall offer or agree to supply a product or expose or possess a product for supply unless the product is a safe product.</w:t>
      </w:r>
    </w:p>
    <w:p w14:paraId="1283DE40" w14:textId="5658E663" w:rsidR="00C923A9" w:rsidRPr="00B02C72" w:rsidRDefault="00C923A9" w:rsidP="00B02C72">
      <w:pPr>
        <w:pStyle w:val="ListParagraph"/>
        <w:numPr>
          <w:ilvl w:val="0"/>
          <w:numId w:val="4"/>
        </w:numPr>
        <w:spacing w:line="360" w:lineRule="auto"/>
        <w:jc w:val="both"/>
        <w:rPr>
          <w:rFonts w:ascii="Arial" w:hAnsi="Arial" w:cs="Arial"/>
          <w:i/>
          <w:iCs/>
        </w:rPr>
      </w:pPr>
      <w:r w:rsidRPr="00B02C72">
        <w:rPr>
          <w:rFonts w:ascii="Arial" w:hAnsi="Arial" w:cs="Arial"/>
          <w:i/>
          <w:iCs/>
        </w:rPr>
        <w:t>No producer shall supply a product unless the product is a safe product.</w:t>
      </w:r>
    </w:p>
    <w:p w14:paraId="1FE0EE8E" w14:textId="4E7DED63" w:rsidR="00B02C72" w:rsidRDefault="00B02C72" w:rsidP="00B02C72">
      <w:pPr>
        <w:spacing w:line="360" w:lineRule="auto"/>
        <w:jc w:val="both"/>
        <w:rPr>
          <w:rFonts w:ascii="Arial" w:hAnsi="Arial" w:cs="Arial"/>
        </w:rPr>
      </w:pPr>
      <w:r>
        <w:rPr>
          <w:rFonts w:ascii="Arial" w:hAnsi="Arial" w:cs="Arial"/>
        </w:rPr>
        <w:t xml:space="preserve">And section 7, which list other obligations </w:t>
      </w:r>
      <w:r w:rsidR="00113867">
        <w:rPr>
          <w:rFonts w:ascii="Arial" w:hAnsi="Arial" w:cs="Arial"/>
        </w:rPr>
        <w:t>for producers.</w:t>
      </w:r>
    </w:p>
    <w:p w14:paraId="46C7EB8A" w14:textId="6B6FD72F" w:rsidR="00113867" w:rsidRPr="007D3B5F" w:rsidRDefault="00113867" w:rsidP="00113867">
      <w:pPr>
        <w:pStyle w:val="ListParagraph"/>
        <w:numPr>
          <w:ilvl w:val="0"/>
          <w:numId w:val="5"/>
        </w:numPr>
        <w:spacing w:line="360" w:lineRule="auto"/>
        <w:jc w:val="both"/>
        <w:rPr>
          <w:rFonts w:ascii="Arial" w:hAnsi="Arial" w:cs="Arial"/>
          <w:i/>
          <w:iCs/>
        </w:rPr>
      </w:pPr>
      <w:r w:rsidRPr="007D3B5F">
        <w:rPr>
          <w:rFonts w:ascii="Arial" w:hAnsi="Arial" w:cs="Arial"/>
          <w:i/>
          <w:iCs/>
        </w:rPr>
        <w:t>Within the limits of his activities, a producer shall provide consumers with the relevant information to enable them—</w:t>
      </w:r>
    </w:p>
    <w:p w14:paraId="7EA3EA6A" w14:textId="699A9C97" w:rsidR="00113867" w:rsidRPr="007D3B5F" w:rsidRDefault="00113867" w:rsidP="00113867">
      <w:pPr>
        <w:pStyle w:val="ListParagraph"/>
        <w:numPr>
          <w:ilvl w:val="1"/>
          <w:numId w:val="5"/>
        </w:numPr>
        <w:spacing w:line="360" w:lineRule="auto"/>
        <w:jc w:val="both"/>
        <w:rPr>
          <w:rFonts w:ascii="Arial" w:hAnsi="Arial" w:cs="Arial"/>
          <w:i/>
          <w:iCs/>
        </w:rPr>
      </w:pPr>
      <w:r w:rsidRPr="007D3B5F">
        <w:rPr>
          <w:rFonts w:ascii="Arial" w:hAnsi="Arial" w:cs="Arial"/>
          <w:i/>
          <w:iCs/>
        </w:rPr>
        <w:t>to assess the risks inherent in a product throughout the normal or reasonably foreseeable period of its use, where such risks are not immediately obvious without adequate warnings, and</w:t>
      </w:r>
    </w:p>
    <w:p w14:paraId="7164EA2D" w14:textId="5AE38390" w:rsidR="00113867" w:rsidRPr="007D3B5F" w:rsidRDefault="00113867" w:rsidP="00113867">
      <w:pPr>
        <w:pStyle w:val="ListParagraph"/>
        <w:numPr>
          <w:ilvl w:val="1"/>
          <w:numId w:val="5"/>
        </w:numPr>
        <w:spacing w:line="360" w:lineRule="auto"/>
        <w:jc w:val="both"/>
        <w:rPr>
          <w:rFonts w:ascii="Arial" w:hAnsi="Arial" w:cs="Arial"/>
          <w:i/>
          <w:iCs/>
        </w:rPr>
      </w:pPr>
      <w:r w:rsidRPr="007D3B5F">
        <w:rPr>
          <w:rFonts w:ascii="Arial" w:hAnsi="Arial" w:cs="Arial"/>
          <w:i/>
          <w:iCs/>
        </w:rPr>
        <w:t>to take precautions against those risks.</w:t>
      </w:r>
    </w:p>
    <w:p w14:paraId="4778C259" w14:textId="6C2AEB63" w:rsidR="00113867" w:rsidRPr="007D3B5F" w:rsidRDefault="00113867" w:rsidP="00113867">
      <w:pPr>
        <w:pStyle w:val="ListParagraph"/>
        <w:numPr>
          <w:ilvl w:val="0"/>
          <w:numId w:val="5"/>
        </w:numPr>
        <w:spacing w:line="360" w:lineRule="auto"/>
        <w:jc w:val="both"/>
        <w:rPr>
          <w:rFonts w:ascii="Arial" w:hAnsi="Arial" w:cs="Arial"/>
          <w:i/>
          <w:iCs/>
        </w:rPr>
      </w:pPr>
      <w:r w:rsidRPr="007D3B5F">
        <w:rPr>
          <w:rFonts w:ascii="Arial" w:hAnsi="Arial" w:cs="Arial"/>
          <w:i/>
          <w:iCs/>
        </w:rPr>
        <w:t>The presence of warnings does not exempt any person from compliance with the other requirements of these Regulations.</w:t>
      </w:r>
    </w:p>
    <w:p w14:paraId="7EC4AFDD" w14:textId="1C51CBEF" w:rsidR="00113867" w:rsidRPr="007D3B5F" w:rsidRDefault="00113867" w:rsidP="00113867">
      <w:pPr>
        <w:pStyle w:val="ListParagraph"/>
        <w:numPr>
          <w:ilvl w:val="0"/>
          <w:numId w:val="5"/>
        </w:numPr>
        <w:spacing w:line="360" w:lineRule="auto"/>
        <w:jc w:val="both"/>
        <w:rPr>
          <w:rFonts w:ascii="Arial" w:hAnsi="Arial" w:cs="Arial"/>
          <w:i/>
          <w:iCs/>
        </w:rPr>
      </w:pPr>
      <w:r w:rsidRPr="007D3B5F">
        <w:rPr>
          <w:rFonts w:ascii="Arial" w:hAnsi="Arial" w:cs="Arial"/>
          <w:i/>
          <w:iCs/>
        </w:rPr>
        <w:t>Within the limits of his activities, a producer shall adopt measures commensurate with the characteristics of the products which he supplies to enable him to—</w:t>
      </w:r>
    </w:p>
    <w:p w14:paraId="5A9BA1D3" w14:textId="2B38DF0B" w:rsidR="00113867" w:rsidRPr="007D3B5F" w:rsidRDefault="00113867" w:rsidP="00113867">
      <w:pPr>
        <w:pStyle w:val="ListParagraph"/>
        <w:numPr>
          <w:ilvl w:val="1"/>
          <w:numId w:val="5"/>
        </w:numPr>
        <w:spacing w:line="360" w:lineRule="auto"/>
        <w:jc w:val="both"/>
        <w:rPr>
          <w:rFonts w:ascii="Arial" w:hAnsi="Arial" w:cs="Arial"/>
          <w:i/>
          <w:iCs/>
        </w:rPr>
      </w:pPr>
      <w:r w:rsidRPr="007D3B5F">
        <w:rPr>
          <w:rFonts w:ascii="Arial" w:hAnsi="Arial" w:cs="Arial"/>
          <w:i/>
          <w:iCs/>
        </w:rPr>
        <w:t>be informed of the risks which the products might pose, and</w:t>
      </w:r>
    </w:p>
    <w:p w14:paraId="1F9C1543" w14:textId="06A838AB" w:rsidR="00113867" w:rsidRPr="007D3B5F" w:rsidRDefault="00113867" w:rsidP="0064543A">
      <w:pPr>
        <w:pStyle w:val="ListParagraph"/>
        <w:numPr>
          <w:ilvl w:val="1"/>
          <w:numId w:val="5"/>
        </w:numPr>
        <w:spacing w:line="360" w:lineRule="auto"/>
        <w:jc w:val="both"/>
        <w:rPr>
          <w:rFonts w:ascii="Arial" w:hAnsi="Arial" w:cs="Arial"/>
          <w:i/>
          <w:iCs/>
        </w:rPr>
      </w:pPr>
      <w:r w:rsidRPr="007D3B5F">
        <w:rPr>
          <w:rFonts w:ascii="Arial" w:hAnsi="Arial" w:cs="Arial"/>
          <w:i/>
          <w:iCs/>
        </w:rPr>
        <w:t>take appropriate action including, where necessary to avoid such risks, withdrawal, adequately and effectively warning consumers as to the risks or, as a last resort, recall.</w:t>
      </w:r>
    </w:p>
    <w:p w14:paraId="41E87D9C" w14:textId="09A50EF5" w:rsidR="00113867" w:rsidRPr="007D3B5F" w:rsidRDefault="00113867" w:rsidP="00113867">
      <w:pPr>
        <w:pStyle w:val="ListParagraph"/>
        <w:numPr>
          <w:ilvl w:val="0"/>
          <w:numId w:val="5"/>
        </w:numPr>
        <w:spacing w:line="360" w:lineRule="auto"/>
        <w:jc w:val="both"/>
        <w:rPr>
          <w:rFonts w:ascii="Arial" w:hAnsi="Arial" w:cs="Arial"/>
          <w:i/>
          <w:iCs/>
        </w:rPr>
      </w:pPr>
      <w:r w:rsidRPr="007D3B5F">
        <w:rPr>
          <w:rFonts w:ascii="Arial" w:hAnsi="Arial" w:cs="Arial"/>
          <w:i/>
          <w:iCs/>
        </w:rPr>
        <w:t>The measures referred to in paragraph (3) include—</w:t>
      </w:r>
    </w:p>
    <w:p w14:paraId="0F27B473" w14:textId="0DF74A72" w:rsidR="00113867" w:rsidRPr="007D3B5F" w:rsidRDefault="00113867" w:rsidP="0064543A">
      <w:pPr>
        <w:pStyle w:val="ListParagraph"/>
        <w:numPr>
          <w:ilvl w:val="1"/>
          <w:numId w:val="5"/>
        </w:numPr>
        <w:spacing w:line="360" w:lineRule="auto"/>
        <w:jc w:val="both"/>
        <w:rPr>
          <w:rFonts w:ascii="Arial" w:hAnsi="Arial" w:cs="Arial"/>
          <w:i/>
          <w:iCs/>
        </w:rPr>
      </w:pPr>
      <w:r w:rsidRPr="007D3B5F">
        <w:rPr>
          <w:rFonts w:ascii="Arial" w:hAnsi="Arial" w:cs="Arial"/>
          <w:i/>
          <w:iCs/>
        </w:rPr>
        <w:t>except where it is not reasonable to do so, an indication by means of the product or its packaging of—</w:t>
      </w:r>
    </w:p>
    <w:p w14:paraId="01424D0A" w14:textId="0E44C6DB" w:rsidR="00113867" w:rsidRPr="007D3B5F" w:rsidRDefault="00113867" w:rsidP="0064543A">
      <w:pPr>
        <w:pStyle w:val="ListParagraph"/>
        <w:numPr>
          <w:ilvl w:val="2"/>
          <w:numId w:val="5"/>
        </w:numPr>
        <w:spacing w:line="360" w:lineRule="auto"/>
        <w:jc w:val="both"/>
        <w:rPr>
          <w:rFonts w:ascii="Arial" w:hAnsi="Arial" w:cs="Arial"/>
          <w:i/>
          <w:iCs/>
        </w:rPr>
      </w:pPr>
      <w:r w:rsidRPr="007D3B5F">
        <w:rPr>
          <w:rFonts w:ascii="Arial" w:hAnsi="Arial" w:cs="Arial"/>
          <w:i/>
          <w:iCs/>
        </w:rPr>
        <w:t>the name and address of the producer, and</w:t>
      </w:r>
    </w:p>
    <w:p w14:paraId="67922104" w14:textId="013EBA90" w:rsidR="00113867" w:rsidRPr="007D3B5F" w:rsidRDefault="00113867" w:rsidP="0064543A">
      <w:pPr>
        <w:pStyle w:val="ListParagraph"/>
        <w:numPr>
          <w:ilvl w:val="2"/>
          <w:numId w:val="5"/>
        </w:numPr>
        <w:spacing w:line="360" w:lineRule="auto"/>
        <w:jc w:val="both"/>
        <w:rPr>
          <w:rFonts w:ascii="Arial" w:hAnsi="Arial" w:cs="Arial"/>
          <w:i/>
          <w:iCs/>
        </w:rPr>
      </w:pPr>
      <w:r w:rsidRPr="007D3B5F">
        <w:rPr>
          <w:rFonts w:ascii="Arial" w:hAnsi="Arial" w:cs="Arial"/>
          <w:i/>
          <w:iCs/>
        </w:rPr>
        <w:lastRenderedPageBreak/>
        <w:t>the product reference or where applicable the batch of products to which it belongs; and</w:t>
      </w:r>
    </w:p>
    <w:p w14:paraId="6C0992FC" w14:textId="01317D71" w:rsidR="00113867" w:rsidRPr="007D3B5F" w:rsidRDefault="00113867" w:rsidP="0064543A">
      <w:pPr>
        <w:pStyle w:val="ListParagraph"/>
        <w:numPr>
          <w:ilvl w:val="1"/>
          <w:numId w:val="5"/>
        </w:numPr>
        <w:spacing w:line="360" w:lineRule="auto"/>
        <w:jc w:val="both"/>
        <w:rPr>
          <w:rFonts w:ascii="Arial" w:hAnsi="Arial" w:cs="Arial"/>
          <w:i/>
          <w:iCs/>
        </w:rPr>
      </w:pPr>
      <w:r w:rsidRPr="007D3B5F">
        <w:rPr>
          <w:rFonts w:ascii="Arial" w:hAnsi="Arial" w:cs="Arial"/>
          <w:i/>
          <w:iCs/>
        </w:rPr>
        <w:t>where and to the extent that it is reasonable to do so—</w:t>
      </w:r>
    </w:p>
    <w:p w14:paraId="4658AE81" w14:textId="62308A7E" w:rsidR="00113867" w:rsidRPr="007D3B5F" w:rsidRDefault="00113867" w:rsidP="0064543A">
      <w:pPr>
        <w:pStyle w:val="ListParagraph"/>
        <w:numPr>
          <w:ilvl w:val="2"/>
          <w:numId w:val="5"/>
        </w:numPr>
        <w:spacing w:line="360" w:lineRule="auto"/>
        <w:jc w:val="both"/>
        <w:rPr>
          <w:rFonts w:ascii="Arial" w:hAnsi="Arial" w:cs="Arial"/>
          <w:i/>
          <w:iCs/>
        </w:rPr>
      </w:pPr>
      <w:r w:rsidRPr="007D3B5F">
        <w:rPr>
          <w:rFonts w:ascii="Arial" w:hAnsi="Arial" w:cs="Arial"/>
          <w:i/>
          <w:iCs/>
        </w:rPr>
        <w:t>sample testing of marketed products,</w:t>
      </w:r>
    </w:p>
    <w:p w14:paraId="532B6680" w14:textId="03FCDD88" w:rsidR="00113867" w:rsidRPr="007D3B5F" w:rsidRDefault="00113867" w:rsidP="0064543A">
      <w:pPr>
        <w:pStyle w:val="ListParagraph"/>
        <w:numPr>
          <w:ilvl w:val="2"/>
          <w:numId w:val="5"/>
        </w:numPr>
        <w:spacing w:line="360" w:lineRule="auto"/>
        <w:jc w:val="both"/>
        <w:rPr>
          <w:rFonts w:ascii="Arial" w:hAnsi="Arial" w:cs="Arial"/>
          <w:i/>
          <w:iCs/>
        </w:rPr>
      </w:pPr>
      <w:r w:rsidRPr="007D3B5F">
        <w:rPr>
          <w:rFonts w:ascii="Arial" w:hAnsi="Arial" w:cs="Arial"/>
          <w:i/>
          <w:iCs/>
        </w:rPr>
        <w:t>investigating and if necessary keeping a register of complaints concerning the safety of the product, and</w:t>
      </w:r>
    </w:p>
    <w:p w14:paraId="43081BF5" w14:textId="0BE6DE77" w:rsidR="00113867" w:rsidRPr="007D3B5F" w:rsidRDefault="00113867" w:rsidP="0064543A">
      <w:pPr>
        <w:pStyle w:val="ListParagraph"/>
        <w:numPr>
          <w:ilvl w:val="2"/>
          <w:numId w:val="5"/>
        </w:numPr>
        <w:spacing w:line="360" w:lineRule="auto"/>
        <w:jc w:val="both"/>
        <w:rPr>
          <w:rFonts w:ascii="Arial" w:hAnsi="Arial" w:cs="Arial"/>
          <w:i/>
          <w:iCs/>
        </w:rPr>
      </w:pPr>
      <w:r w:rsidRPr="007D3B5F">
        <w:rPr>
          <w:rFonts w:ascii="Arial" w:hAnsi="Arial" w:cs="Arial"/>
          <w:i/>
          <w:iCs/>
        </w:rPr>
        <w:t>keeping distributors informed of the results of such monitoring where a product presents a risk or may present a risk.</w:t>
      </w:r>
    </w:p>
    <w:p w14:paraId="63EE8A1B" w14:textId="2FAB217E" w:rsidR="0025191B" w:rsidRPr="0025191B" w:rsidRDefault="0025191B" w:rsidP="0025191B">
      <w:pPr>
        <w:spacing w:line="360" w:lineRule="auto"/>
        <w:jc w:val="both"/>
        <w:rPr>
          <w:rFonts w:ascii="Arial" w:hAnsi="Arial" w:cs="Arial"/>
        </w:rPr>
      </w:pPr>
      <w:r>
        <w:rPr>
          <w:rFonts w:ascii="Arial" w:hAnsi="Arial" w:cs="Arial"/>
        </w:rPr>
        <w:t xml:space="preserve">To comply with these regulations Tata Steel </w:t>
      </w:r>
      <w:proofErr w:type="spellStart"/>
      <w:r>
        <w:rPr>
          <w:rFonts w:ascii="Arial" w:hAnsi="Arial" w:cs="Arial"/>
        </w:rPr>
        <w:t>Colors</w:t>
      </w:r>
      <w:proofErr w:type="spellEnd"/>
      <w:r>
        <w:rPr>
          <w:rFonts w:ascii="Arial" w:hAnsi="Arial" w:cs="Arial"/>
        </w:rPr>
        <w:t xml:space="preserve"> </w:t>
      </w:r>
      <w:r w:rsidR="00E50A96">
        <w:rPr>
          <w:rFonts w:ascii="Arial" w:hAnsi="Arial" w:cs="Arial"/>
        </w:rPr>
        <w:t xml:space="preserve">provides all of it’s customers with regulations compliance and safety compliance </w:t>
      </w:r>
      <w:r w:rsidR="00685866">
        <w:rPr>
          <w:rFonts w:ascii="Arial" w:hAnsi="Arial" w:cs="Arial"/>
        </w:rPr>
        <w:t xml:space="preserve">test </w:t>
      </w:r>
      <w:r w:rsidR="00E50A96">
        <w:rPr>
          <w:rFonts w:ascii="Arial" w:hAnsi="Arial" w:cs="Arial"/>
        </w:rPr>
        <w:t>certifications</w:t>
      </w:r>
      <w:r w:rsidR="00685866">
        <w:rPr>
          <w:rFonts w:ascii="Arial" w:hAnsi="Arial" w:cs="Arial"/>
        </w:rPr>
        <w:t>. These test’s are carried out on site</w:t>
      </w:r>
      <w:r w:rsidR="00E17FBC">
        <w:rPr>
          <w:rFonts w:ascii="Arial" w:hAnsi="Arial" w:cs="Arial"/>
        </w:rPr>
        <w:t>, within the test labs,</w:t>
      </w:r>
      <w:r w:rsidR="00685866">
        <w:rPr>
          <w:rFonts w:ascii="Arial" w:hAnsi="Arial" w:cs="Arial"/>
        </w:rPr>
        <w:t xml:space="preserve"> </w:t>
      </w:r>
      <w:r w:rsidR="005D4B24">
        <w:rPr>
          <w:rFonts w:ascii="Arial" w:hAnsi="Arial" w:cs="Arial"/>
        </w:rPr>
        <w:t>on a sample taken from</w:t>
      </w:r>
      <w:r w:rsidR="00685866">
        <w:rPr>
          <w:rFonts w:ascii="Arial" w:hAnsi="Arial" w:cs="Arial"/>
        </w:rPr>
        <w:t xml:space="preserve"> every </w:t>
      </w:r>
      <w:r w:rsidR="00E17FBC">
        <w:rPr>
          <w:rFonts w:ascii="Arial" w:hAnsi="Arial" w:cs="Arial"/>
        </w:rPr>
        <w:t>product made on site</w:t>
      </w:r>
      <w:r w:rsidR="001C2317">
        <w:rPr>
          <w:rFonts w:ascii="Arial" w:hAnsi="Arial" w:cs="Arial"/>
        </w:rPr>
        <w:t xml:space="preserve">. The site also </w:t>
      </w:r>
      <w:r w:rsidR="00E17672">
        <w:rPr>
          <w:rFonts w:ascii="Arial" w:hAnsi="Arial" w:cs="Arial"/>
        </w:rPr>
        <w:t xml:space="preserve">complies with a variety of LRQA </w:t>
      </w:r>
      <w:r w:rsidR="00514C19">
        <w:rPr>
          <w:rFonts w:ascii="Arial" w:hAnsi="Arial" w:cs="Arial"/>
        </w:rPr>
        <w:t xml:space="preserve">audits </w:t>
      </w:r>
      <w:r w:rsidR="00E17672">
        <w:rPr>
          <w:rFonts w:ascii="Arial" w:hAnsi="Arial" w:cs="Arial"/>
        </w:rPr>
        <w:t>and ISO</w:t>
      </w:r>
      <w:r w:rsidR="00514C19">
        <w:rPr>
          <w:rFonts w:ascii="Arial" w:hAnsi="Arial" w:cs="Arial"/>
        </w:rPr>
        <w:t xml:space="preserve"> standards to ensure the products and process in making them comply with </w:t>
      </w:r>
      <w:r w:rsidR="0088215F">
        <w:rPr>
          <w:rFonts w:ascii="Arial" w:hAnsi="Arial" w:cs="Arial"/>
        </w:rPr>
        <w:t>legislation and consumer requirements.</w:t>
      </w:r>
    </w:p>
    <w:p w14:paraId="7B0C8404" w14:textId="77777777" w:rsidR="00113867" w:rsidRPr="00B02C72" w:rsidRDefault="00113867" w:rsidP="00B02C72">
      <w:pPr>
        <w:spacing w:line="360" w:lineRule="auto"/>
        <w:jc w:val="both"/>
        <w:rPr>
          <w:rFonts w:ascii="Arial" w:hAnsi="Arial" w:cs="Arial"/>
        </w:rPr>
      </w:pPr>
    </w:p>
    <w:p w14:paraId="6D99F0C2" w14:textId="77777777" w:rsidR="00C923A9" w:rsidRPr="00547CDA" w:rsidRDefault="00C923A9" w:rsidP="00B71074">
      <w:pPr>
        <w:spacing w:line="360" w:lineRule="auto"/>
        <w:jc w:val="both"/>
        <w:rPr>
          <w:rFonts w:ascii="Arial" w:hAnsi="Arial" w:cs="Arial"/>
        </w:rPr>
      </w:pPr>
    </w:p>
    <w:p w14:paraId="0906ACAB" w14:textId="3225012A" w:rsidR="00F964E8" w:rsidRDefault="00F964E8">
      <w:pPr>
        <w:rPr>
          <w:rStyle w:val="Strong"/>
          <w:rFonts w:ascii="Arial" w:hAnsi="Arial" w:cs="Arial"/>
        </w:rPr>
      </w:pPr>
      <w:r>
        <w:rPr>
          <w:rStyle w:val="Strong"/>
          <w:rFonts w:ascii="Arial" w:hAnsi="Arial" w:cs="Arial"/>
        </w:rPr>
        <w:br w:type="page"/>
      </w:r>
    </w:p>
    <w:p w14:paraId="4937E6A1" w14:textId="20C3079F" w:rsidR="0001472B" w:rsidRDefault="00F964E8" w:rsidP="00D420ED">
      <w:pPr>
        <w:spacing w:line="360" w:lineRule="auto"/>
        <w:jc w:val="both"/>
        <w:rPr>
          <w:rFonts w:ascii="Arial" w:hAnsi="Arial" w:cs="Arial"/>
          <w:b/>
          <w:bCs/>
        </w:rPr>
      </w:pPr>
      <w:r w:rsidRPr="00DA7938">
        <w:rPr>
          <w:rFonts w:ascii="Arial" w:hAnsi="Arial" w:cs="Arial"/>
          <w:b/>
          <w:bCs/>
        </w:rPr>
        <w:lastRenderedPageBreak/>
        <w:t>Question 4; Explain ‘’ The Environmental Protection (Single-use Plastic Products) (Wales) Act 2023’’ and its effect on the workplace/supply chain.</w:t>
      </w:r>
    </w:p>
    <w:p w14:paraId="53850AC0" w14:textId="6F05B063" w:rsidR="00F964E8" w:rsidRDefault="005862EF" w:rsidP="00D420ED">
      <w:pPr>
        <w:spacing w:line="360" w:lineRule="auto"/>
        <w:jc w:val="both"/>
        <w:rPr>
          <w:rFonts w:ascii="Arial" w:hAnsi="Arial" w:cs="Arial"/>
        </w:rPr>
      </w:pPr>
      <w:r>
        <w:rPr>
          <w:rFonts w:ascii="Arial" w:hAnsi="Arial" w:cs="Arial"/>
        </w:rPr>
        <w:t xml:space="preserve">The act has been summarised by </w:t>
      </w:r>
      <w:r w:rsidR="001B30F5">
        <w:rPr>
          <w:rFonts w:ascii="Arial" w:hAnsi="Arial" w:cs="Arial"/>
        </w:rPr>
        <w:t>Wales.gov as “</w:t>
      </w:r>
      <w:r w:rsidR="00903255" w:rsidRPr="00903255">
        <w:rPr>
          <w:rFonts w:ascii="Arial" w:hAnsi="Arial" w:cs="Arial"/>
        </w:rPr>
        <w:t xml:space="preserve">An Act to tackle plastic pollution and deliver our commitment to abolish commonly littered single-use plastic products. </w:t>
      </w:r>
      <w:r w:rsidR="001B30F5" w:rsidRPr="001B30F5">
        <w:rPr>
          <w:rFonts w:ascii="Arial" w:hAnsi="Arial" w:cs="Arial"/>
        </w:rPr>
        <w:t>The Environmental Protection (Single-use Plastic Products) (Wales) Act 2023 makes it a criminal offence to supply or offer to supply (including for free) certain single-use plastic products to consumers in Wales, unless an exemption applies</w:t>
      </w:r>
      <w:r w:rsidR="001B30F5">
        <w:rPr>
          <w:rFonts w:ascii="Arial" w:hAnsi="Arial" w:cs="Arial"/>
        </w:rPr>
        <w:t>”</w:t>
      </w:r>
      <w:r w:rsidR="00903255">
        <w:rPr>
          <w:rFonts w:ascii="Arial" w:hAnsi="Arial" w:cs="Arial"/>
        </w:rPr>
        <w:t>.</w:t>
      </w:r>
      <w:r w:rsidR="00CF53A7">
        <w:rPr>
          <w:rFonts w:ascii="Arial" w:hAnsi="Arial" w:cs="Arial"/>
        </w:rPr>
        <w:t xml:space="preserve"> </w:t>
      </w:r>
      <w:r w:rsidR="0077074B">
        <w:rPr>
          <w:rFonts w:ascii="Arial" w:hAnsi="Arial" w:cs="Arial"/>
        </w:rPr>
        <w:t>The act is broken down into two phases</w:t>
      </w:r>
      <w:r w:rsidR="0052492E">
        <w:rPr>
          <w:rFonts w:ascii="Arial" w:hAnsi="Arial" w:cs="Arial"/>
        </w:rPr>
        <w:t xml:space="preserve">, phase one has already been </w:t>
      </w:r>
      <w:r w:rsidR="00183E30">
        <w:rPr>
          <w:rFonts w:ascii="Arial" w:hAnsi="Arial" w:cs="Arial"/>
        </w:rPr>
        <w:t>launched (</w:t>
      </w:r>
      <w:r w:rsidR="0031664B">
        <w:rPr>
          <w:rFonts w:ascii="Arial" w:hAnsi="Arial" w:cs="Arial"/>
        </w:rPr>
        <w:t>from 30</w:t>
      </w:r>
      <w:r w:rsidR="0031664B" w:rsidRPr="0031664B">
        <w:rPr>
          <w:rFonts w:ascii="Arial" w:hAnsi="Arial" w:cs="Arial"/>
          <w:vertAlign w:val="superscript"/>
        </w:rPr>
        <w:t>th</w:t>
      </w:r>
      <w:r w:rsidR="0031664B">
        <w:rPr>
          <w:rFonts w:ascii="Arial" w:hAnsi="Arial" w:cs="Arial"/>
        </w:rPr>
        <w:t xml:space="preserve"> October 2023) and bans the use of the following products;</w:t>
      </w:r>
    </w:p>
    <w:p w14:paraId="51F24454" w14:textId="77777777" w:rsidR="00360876" w:rsidRPr="00360876" w:rsidRDefault="00360876" w:rsidP="00360876">
      <w:pPr>
        <w:pStyle w:val="ListParagraph"/>
        <w:numPr>
          <w:ilvl w:val="0"/>
          <w:numId w:val="2"/>
        </w:numPr>
        <w:spacing w:line="360" w:lineRule="auto"/>
        <w:jc w:val="both"/>
        <w:rPr>
          <w:rFonts w:ascii="Arial" w:hAnsi="Arial" w:cs="Arial"/>
        </w:rPr>
      </w:pPr>
      <w:r w:rsidRPr="00360876">
        <w:rPr>
          <w:rFonts w:ascii="Arial" w:hAnsi="Arial" w:cs="Arial"/>
        </w:rPr>
        <w:t>Single-use plastic plates – this includes paper plates with a laminated plastic surface</w:t>
      </w:r>
    </w:p>
    <w:p w14:paraId="5634342A" w14:textId="77777777" w:rsidR="00360876" w:rsidRPr="00360876" w:rsidRDefault="00360876" w:rsidP="00360876">
      <w:pPr>
        <w:pStyle w:val="ListParagraph"/>
        <w:numPr>
          <w:ilvl w:val="0"/>
          <w:numId w:val="2"/>
        </w:numPr>
        <w:spacing w:line="360" w:lineRule="auto"/>
        <w:jc w:val="both"/>
        <w:rPr>
          <w:rFonts w:ascii="Arial" w:hAnsi="Arial" w:cs="Arial"/>
        </w:rPr>
      </w:pPr>
      <w:r w:rsidRPr="00360876">
        <w:rPr>
          <w:rFonts w:ascii="Arial" w:hAnsi="Arial" w:cs="Arial"/>
        </w:rPr>
        <w:t xml:space="preserve">Single-use plastic cutlery – for example forks, spoons, knives   </w:t>
      </w:r>
    </w:p>
    <w:p w14:paraId="2BC20D72" w14:textId="77777777" w:rsidR="00360876" w:rsidRPr="00360876" w:rsidRDefault="00360876" w:rsidP="00360876">
      <w:pPr>
        <w:pStyle w:val="ListParagraph"/>
        <w:numPr>
          <w:ilvl w:val="0"/>
          <w:numId w:val="2"/>
        </w:numPr>
        <w:spacing w:line="360" w:lineRule="auto"/>
        <w:jc w:val="both"/>
        <w:rPr>
          <w:rFonts w:ascii="Arial" w:hAnsi="Arial" w:cs="Arial"/>
        </w:rPr>
      </w:pPr>
      <w:r w:rsidRPr="00360876">
        <w:rPr>
          <w:rFonts w:ascii="Arial" w:hAnsi="Arial" w:cs="Arial"/>
        </w:rPr>
        <w:t xml:space="preserve">Single-use plastic drinks stirrers  </w:t>
      </w:r>
    </w:p>
    <w:p w14:paraId="4E8A8E41" w14:textId="77777777" w:rsidR="00360876" w:rsidRPr="00360876" w:rsidRDefault="00360876" w:rsidP="00360876">
      <w:pPr>
        <w:pStyle w:val="ListParagraph"/>
        <w:numPr>
          <w:ilvl w:val="0"/>
          <w:numId w:val="2"/>
        </w:numPr>
        <w:spacing w:line="360" w:lineRule="auto"/>
        <w:jc w:val="both"/>
        <w:rPr>
          <w:rFonts w:ascii="Arial" w:hAnsi="Arial" w:cs="Arial"/>
        </w:rPr>
      </w:pPr>
      <w:r w:rsidRPr="00360876">
        <w:rPr>
          <w:rFonts w:ascii="Arial" w:hAnsi="Arial" w:cs="Arial"/>
        </w:rPr>
        <w:t>Cups made of expanded or foamed extruded polystyrene.</w:t>
      </w:r>
    </w:p>
    <w:p w14:paraId="3480242A" w14:textId="77777777" w:rsidR="00360876" w:rsidRPr="00360876" w:rsidRDefault="00360876" w:rsidP="00360876">
      <w:pPr>
        <w:pStyle w:val="ListParagraph"/>
        <w:numPr>
          <w:ilvl w:val="0"/>
          <w:numId w:val="2"/>
        </w:numPr>
        <w:spacing w:line="360" w:lineRule="auto"/>
        <w:jc w:val="both"/>
        <w:rPr>
          <w:rFonts w:ascii="Arial" w:hAnsi="Arial" w:cs="Arial"/>
        </w:rPr>
      </w:pPr>
      <w:r w:rsidRPr="00360876">
        <w:rPr>
          <w:rFonts w:ascii="Arial" w:hAnsi="Arial" w:cs="Arial"/>
        </w:rPr>
        <w:t>Takeaway food containers made of expanded or foamed extruded polystyrene</w:t>
      </w:r>
    </w:p>
    <w:p w14:paraId="32F81CDA" w14:textId="77777777" w:rsidR="00360876" w:rsidRPr="00360876" w:rsidRDefault="00360876" w:rsidP="00360876">
      <w:pPr>
        <w:pStyle w:val="ListParagraph"/>
        <w:numPr>
          <w:ilvl w:val="0"/>
          <w:numId w:val="2"/>
        </w:numPr>
        <w:spacing w:line="360" w:lineRule="auto"/>
        <w:jc w:val="both"/>
        <w:rPr>
          <w:rFonts w:ascii="Arial" w:hAnsi="Arial" w:cs="Arial"/>
        </w:rPr>
      </w:pPr>
      <w:r w:rsidRPr="00360876">
        <w:rPr>
          <w:rFonts w:ascii="Arial" w:hAnsi="Arial" w:cs="Arial"/>
        </w:rPr>
        <w:t>Single-use plastic balloon sticks</w:t>
      </w:r>
    </w:p>
    <w:p w14:paraId="73779682" w14:textId="77777777" w:rsidR="00360876" w:rsidRPr="00360876" w:rsidRDefault="00360876" w:rsidP="00360876">
      <w:pPr>
        <w:pStyle w:val="ListParagraph"/>
        <w:numPr>
          <w:ilvl w:val="0"/>
          <w:numId w:val="2"/>
        </w:numPr>
        <w:spacing w:line="360" w:lineRule="auto"/>
        <w:jc w:val="both"/>
        <w:rPr>
          <w:rFonts w:ascii="Arial" w:hAnsi="Arial" w:cs="Arial"/>
        </w:rPr>
      </w:pPr>
      <w:r w:rsidRPr="00360876">
        <w:rPr>
          <w:rFonts w:ascii="Arial" w:hAnsi="Arial" w:cs="Arial"/>
        </w:rPr>
        <w:t>Single-use plastic-stemmed Cotton buds</w:t>
      </w:r>
    </w:p>
    <w:p w14:paraId="2F8FFA3A" w14:textId="4DD5E5B9" w:rsidR="0031664B" w:rsidRDefault="00360876" w:rsidP="00360876">
      <w:pPr>
        <w:pStyle w:val="ListParagraph"/>
        <w:numPr>
          <w:ilvl w:val="0"/>
          <w:numId w:val="2"/>
        </w:numPr>
        <w:spacing w:line="360" w:lineRule="auto"/>
        <w:jc w:val="both"/>
        <w:rPr>
          <w:rFonts w:ascii="Arial" w:hAnsi="Arial" w:cs="Arial"/>
        </w:rPr>
      </w:pPr>
      <w:r w:rsidRPr="00360876">
        <w:rPr>
          <w:rFonts w:ascii="Arial" w:hAnsi="Arial" w:cs="Arial"/>
        </w:rPr>
        <w:t>Single-use plastic drinking straws – with exemptions so people who need them to eat and drink safely and independently can continue to have them.</w:t>
      </w:r>
    </w:p>
    <w:p w14:paraId="0B12AA36" w14:textId="0FA0AE44" w:rsidR="00360876" w:rsidRDefault="00360876" w:rsidP="00360876">
      <w:pPr>
        <w:spacing w:line="360" w:lineRule="auto"/>
        <w:jc w:val="both"/>
        <w:rPr>
          <w:rFonts w:ascii="Arial" w:hAnsi="Arial" w:cs="Arial"/>
        </w:rPr>
      </w:pPr>
      <w:r>
        <w:rPr>
          <w:rFonts w:ascii="Arial" w:hAnsi="Arial" w:cs="Arial"/>
        </w:rPr>
        <w:t xml:space="preserve">Phase two will begin the Spring 2026 and brings </w:t>
      </w:r>
      <w:r w:rsidR="00260A84">
        <w:rPr>
          <w:rFonts w:ascii="Arial" w:hAnsi="Arial" w:cs="Arial"/>
        </w:rPr>
        <w:t>in bans for the below items to the act;</w:t>
      </w:r>
    </w:p>
    <w:p w14:paraId="5E39132A" w14:textId="77777777" w:rsidR="00260A84" w:rsidRPr="00260A84" w:rsidRDefault="00260A84" w:rsidP="00260A84">
      <w:pPr>
        <w:pStyle w:val="ListParagraph"/>
        <w:numPr>
          <w:ilvl w:val="0"/>
          <w:numId w:val="3"/>
        </w:numPr>
        <w:spacing w:line="360" w:lineRule="auto"/>
        <w:jc w:val="both"/>
        <w:rPr>
          <w:rFonts w:ascii="Arial" w:hAnsi="Arial" w:cs="Arial"/>
        </w:rPr>
      </w:pPr>
      <w:r w:rsidRPr="00260A84">
        <w:rPr>
          <w:rFonts w:ascii="Arial" w:hAnsi="Arial" w:cs="Arial"/>
        </w:rPr>
        <w:t>Carrier bags – with exemptions including carrier bags for raw fish, meat or poultry and unpackaged food</w:t>
      </w:r>
    </w:p>
    <w:p w14:paraId="4EA10F65" w14:textId="77777777" w:rsidR="00260A84" w:rsidRPr="00260A84" w:rsidRDefault="00260A84" w:rsidP="00260A84">
      <w:pPr>
        <w:pStyle w:val="ListParagraph"/>
        <w:numPr>
          <w:ilvl w:val="0"/>
          <w:numId w:val="3"/>
        </w:numPr>
        <w:spacing w:line="360" w:lineRule="auto"/>
        <w:jc w:val="both"/>
        <w:rPr>
          <w:rFonts w:ascii="Arial" w:hAnsi="Arial" w:cs="Arial"/>
        </w:rPr>
      </w:pPr>
      <w:r w:rsidRPr="00260A84">
        <w:rPr>
          <w:rFonts w:ascii="Arial" w:hAnsi="Arial" w:cs="Arial"/>
        </w:rPr>
        <w:t>Polystyrene lids for cups and takeaway food containers</w:t>
      </w:r>
    </w:p>
    <w:p w14:paraId="0DFDFDDB" w14:textId="13D86711" w:rsidR="00260A84" w:rsidRDefault="00260A84" w:rsidP="00260A84">
      <w:pPr>
        <w:pStyle w:val="ListParagraph"/>
        <w:numPr>
          <w:ilvl w:val="0"/>
          <w:numId w:val="3"/>
        </w:numPr>
        <w:spacing w:line="360" w:lineRule="auto"/>
        <w:jc w:val="both"/>
        <w:rPr>
          <w:rFonts w:ascii="Arial" w:hAnsi="Arial" w:cs="Arial"/>
        </w:rPr>
      </w:pPr>
      <w:r w:rsidRPr="00260A84">
        <w:rPr>
          <w:rFonts w:ascii="Arial" w:hAnsi="Arial" w:cs="Arial"/>
        </w:rPr>
        <w:t>Oxo-degradable plastic products.</w:t>
      </w:r>
    </w:p>
    <w:p w14:paraId="5C2DD356" w14:textId="566F9C74" w:rsidR="00C53959" w:rsidRDefault="002069EF" w:rsidP="00260A84">
      <w:pPr>
        <w:spacing w:line="360" w:lineRule="auto"/>
        <w:jc w:val="both"/>
        <w:rPr>
          <w:rFonts w:ascii="Arial" w:hAnsi="Arial" w:cs="Arial"/>
        </w:rPr>
      </w:pPr>
      <w:r>
        <w:rPr>
          <w:rFonts w:ascii="Arial" w:hAnsi="Arial" w:cs="Arial"/>
        </w:rPr>
        <w:t xml:space="preserve">Whilst the act has been brought in to </w:t>
      </w:r>
      <w:r w:rsidR="00085D0D">
        <w:rPr>
          <w:rFonts w:ascii="Arial" w:hAnsi="Arial" w:cs="Arial"/>
        </w:rPr>
        <w:t xml:space="preserve">reduce Wales impact on current </w:t>
      </w:r>
      <w:r w:rsidR="001E39D5">
        <w:rPr>
          <w:rFonts w:ascii="Arial" w:hAnsi="Arial" w:cs="Arial"/>
        </w:rPr>
        <w:t xml:space="preserve">global </w:t>
      </w:r>
      <w:r w:rsidR="00085D0D">
        <w:rPr>
          <w:rFonts w:ascii="Arial" w:hAnsi="Arial" w:cs="Arial"/>
        </w:rPr>
        <w:t>climate and ecological issues</w:t>
      </w:r>
      <w:r w:rsidR="001E39D5">
        <w:rPr>
          <w:rFonts w:ascii="Arial" w:hAnsi="Arial" w:cs="Arial"/>
        </w:rPr>
        <w:t xml:space="preserve">, which the majority agree to be a good thing, it has brought in many challenges to </w:t>
      </w:r>
      <w:proofErr w:type="spellStart"/>
      <w:r w:rsidR="00546073">
        <w:rPr>
          <w:rFonts w:ascii="Arial" w:hAnsi="Arial" w:cs="Arial"/>
        </w:rPr>
        <w:t>business’s</w:t>
      </w:r>
      <w:proofErr w:type="spellEnd"/>
      <w:r w:rsidR="00546073">
        <w:rPr>
          <w:rFonts w:ascii="Arial" w:hAnsi="Arial" w:cs="Arial"/>
        </w:rPr>
        <w:t xml:space="preserve"> of all sizes within Wales</w:t>
      </w:r>
      <w:r w:rsidR="000C7D50">
        <w:rPr>
          <w:rFonts w:ascii="Arial" w:hAnsi="Arial" w:cs="Arial"/>
        </w:rPr>
        <w:t xml:space="preserve"> especially those in the </w:t>
      </w:r>
      <w:r w:rsidR="0059008E">
        <w:rPr>
          <w:rFonts w:ascii="Arial" w:hAnsi="Arial" w:cs="Arial"/>
        </w:rPr>
        <w:t xml:space="preserve">food retail and hospitality sector. </w:t>
      </w:r>
      <w:r w:rsidR="000B0C9F">
        <w:rPr>
          <w:rFonts w:ascii="Arial" w:hAnsi="Arial" w:cs="Arial"/>
        </w:rPr>
        <w:t xml:space="preserve">All </w:t>
      </w:r>
      <w:r w:rsidR="00357DEF">
        <w:rPr>
          <w:rFonts w:ascii="Arial" w:hAnsi="Arial" w:cs="Arial"/>
        </w:rPr>
        <w:t>business will need to assess whether they are using any of the banned items and either phase out the use of the item or source more sustainable alternatives to use</w:t>
      </w:r>
      <w:r w:rsidR="00835797">
        <w:rPr>
          <w:rFonts w:ascii="Arial" w:hAnsi="Arial" w:cs="Arial"/>
        </w:rPr>
        <w:t>, if we focus on the food retail and hospitality sector though these will be challenged the most as they will probably be carrying large inventories of the banned items</w:t>
      </w:r>
      <w:r w:rsidR="00610E68">
        <w:rPr>
          <w:rFonts w:ascii="Arial" w:hAnsi="Arial" w:cs="Arial"/>
        </w:rPr>
        <w:t>. So initially they will need to</w:t>
      </w:r>
      <w:r w:rsidR="00BD620D">
        <w:rPr>
          <w:rFonts w:ascii="Arial" w:hAnsi="Arial" w:cs="Arial"/>
        </w:rPr>
        <w:t xml:space="preserve"> look at using up their stocks before the ban comes into place or look into the ethical </w:t>
      </w:r>
      <w:r w:rsidR="00C35FB6">
        <w:rPr>
          <w:rFonts w:ascii="Arial" w:hAnsi="Arial" w:cs="Arial"/>
        </w:rPr>
        <w:t xml:space="preserve">disposal of any un-used stock, next the </w:t>
      </w:r>
      <w:r w:rsidR="009839FC">
        <w:rPr>
          <w:rFonts w:ascii="Arial" w:hAnsi="Arial" w:cs="Arial"/>
        </w:rPr>
        <w:t>sector</w:t>
      </w:r>
      <w:r w:rsidR="00890D74">
        <w:rPr>
          <w:rFonts w:ascii="Arial" w:hAnsi="Arial" w:cs="Arial"/>
        </w:rPr>
        <w:t>’s procurement departments</w:t>
      </w:r>
      <w:r w:rsidR="00763BA9">
        <w:rPr>
          <w:rFonts w:ascii="Arial" w:hAnsi="Arial" w:cs="Arial"/>
        </w:rPr>
        <w:t xml:space="preserve"> will need to </w:t>
      </w:r>
      <w:r w:rsidR="00361B61">
        <w:rPr>
          <w:rFonts w:ascii="Arial" w:hAnsi="Arial" w:cs="Arial"/>
        </w:rPr>
        <w:t xml:space="preserve"> asses sustainable alternatives to make sure they are appropriate for the </w:t>
      </w:r>
      <w:r w:rsidR="00890D74">
        <w:rPr>
          <w:rFonts w:ascii="Arial" w:hAnsi="Arial" w:cs="Arial"/>
        </w:rPr>
        <w:t xml:space="preserve">business usage </w:t>
      </w:r>
      <w:r w:rsidR="00131533">
        <w:rPr>
          <w:rFonts w:ascii="Arial" w:hAnsi="Arial" w:cs="Arial"/>
        </w:rPr>
        <w:t xml:space="preserve">and in keeping with </w:t>
      </w:r>
      <w:r w:rsidR="0065473B">
        <w:rPr>
          <w:rFonts w:ascii="Arial" w:hAnsi="Arial" w:cs="Arial"/>
        </w:rPr>
        <w:t xml:space="preserve">company values and ethics. Finally the businesses </w:t>
      </w:r>
      <w:r w:rsidR="009839FC">
        <w:rPr>
          <w:rFonts w:ascii="Arial" w:hAnsi="Arial" w:cs="Arial"/>
        </w:rPr>
        <w:t xml:space="preserve">will need to source large </w:t>
      </w:r>
      <w:r w:rsidR="009839FC">
        <w:rPr>
          <w:rFonts w:ascii="Arial" w:hAnsi="Arial" w:cs="Arial"/>
        </w:rPr>
        <w:lastRenderedPageBreak/>
        <w:t xml:space="preserve">amounts of sustainable alternatives </w:t>
      </w:r>
      <w:r w:rsidR="0065473B">
        <w:rPr>
          <w:rFonts w:ascii="Arial" w:hAnsi="Arial" w:cs="Arial"/>
        </w:rPr>
        <w:t>to replace the stocks they will be unable to use</w:t>
      </w:r>
      <w:r w:rsidR="0057484E">
        <w:rPr>
          <w:rFonts w:ascii="Arial" w:hAnsi="Arial" w:cs="Arial"/>
        </w:rPr>
        <w:t xml:space="preserve">, all of this for phase one will have to be done one a short timescale </w:t>
      </w:r>
      <w:r w:rsidR="00A119CD">
        <w:rPr>
          <w:rFonts w:ascii="Arial" w:hAnsi="Arial" w:cs="Arial"/>
        </w:rPr>
        <w:t xml:space="preserve">as the bill was announced in 2022 and </w:t>
      </w:r>
      <w:r w:rsidR="0034387D">
        <w:rPr>
          <w:rFonts w:ascii="Arial" w:hAnsi="Arial" w:cs="Arial"/>
        </w:rPr>
        <w:t xml:space="preserve">implemented in October 2023, putting huge strain on </w:t>
      </w:r>
      <w:r w:rsidR="00AB4801">
        <w:rPr>
          <w:rFonts w:ascii="Arial" w:hAnsi="Arial" w:cs="Arial"/>
        </w:rPr>
        <w:t xml:space="preserve">the manufacturers of sustainable alternatives and their supply chains </w:t>
      </w:r>
      <w:r w:rsidR="00270C77">
        <w:rPr>
          <w:rFonts w:ascii="Arial" w:hAnsi="Arial" w:cs="Arial"/>
        </w:rPr>
        <w:t>as they would see a massive increase in demand.</w:t>
      </w:r>
    </w:p>
    <w:p w14:paraId="50D60AFF" w14:textId="22AEEB8A" w:rsidR="00156256" w:rsidRPr="00260A84" w:rsidRDefault="00156256" w:rsidP="00260A84">
      <w:pPr>
        <w:spacing w:line="360" w:lineRule="auto"/>
        <w:jc w:val="both"/>
        <w:rPr>
          <w:rFonts w:ascii="Arial" w:hAnsi="Arial" w:cs="Arial"/>
        </w:rPr>
      </w:pPr>
      <w:r>
        <w:rPr>
          <w:rFonts w:ascii="Arial" w:hAnsi="Arial" w:cs="Arial"/>
        </w:rPr>
        <w:t>As on average sustainable alternatives generally cost more than the cheaper single use plastic</w:t>
      </w:r>
      <w:r w:rsidR="005E3659">
        <w:rPr>
          <w:rFonts w:ascii="Arial" w:hAnsi="Arial" w:cs="Arial"/>
        </w:rPr>
        <w:t xml:space="preserve"> product, we could assume that business’s will pass these costs onto the consumer so we could well see an increase </w:t>
      </w:r>
      <w:r w:rsidR="00325280">
        <w:rPr>
          <w:rFonts w:ascii="Arial" w:hAnsi="Arial" w:cs="Arial"/>
        </w:rPr>
        <w:t>in prices especially within the food retail and hospitality sector</w:t>
      </w:r>
      <w:r w:rsidR="00F827A8">
        <w:rPr>
          <w:rFonts w:ascii="Arial" w:hAnsi="Arial" w:cs="Arial"/>
        </w:rPr>
        <w:t>.</w:t>
      </w:r>
    </w:p>
    <w:p w14:paraId="6B762FB6" w14:textId="30114889" w:rsidR="00F964E8" w:rsidRDefault="00F964E8">
      <w:pPr>
        <w:rPr>
          <w:rFonts w:ascii="Arial" w:hAnsi="Arial" w:cs="Arial"/>
          <w:b/>
          <w:bCs/>
        </w:rPr>
      </w:pPr>
      <w:r>
        <w:rPr>
          <w:rFonts w:ascii="Arial" w:hAnsi="Arial" w:cs="Arial"/>
          <w:b/>
          <w:bCs/>
        </w:rPr>
        <w:br w:type="page"/>
      </w:r>
    </w:p>
    <w:p w14:paraId="22188D82" w14:textId="5260E424" w:rsidR="00F964E8" w:rsidRDefault="00F964E8" w:rsidP="0001472B">
      <w:pPr>
        <w:jc w:val="both"/>
        <w:rPr>
          <w:rStyle w:val="Strong"/>
          <w:rFonts w:ascii="Arial" w:hAnsi="Arial" w:cs="Arial"/>
        </w:rPr>
      </w:pPr>
      <w:r>
        <w:rPr>
          <w:rStyle w:val="Strong"/>
          <w:rFonts w:ascii="Arial" w:hAnsi="Arial" w:cs="Arial"/>
        </w:rPr>
        <w:lastRenderedPageBreak/>
        <w:t>References</w:t>
      </w:r>
    </w:p>
    <w:p w14:paraId="37EB3077" w14:textId="7E317014" w:rsidR="005E2E90" w:rsidRDefault="00694F11" w:rsidP="00A510BD">
      <w:pPr>
        <w:jc w:val="both"/>
        <w:rPr>
          <w:rStyle w:val="Strong"/>
          <w:rFonts w:ascii="Arial" w:hAnsi="Arial" w:cs="Arial"/>
          <w:b w:val="0"/>
          <w:bCs w:val="0"/>
        </w:rPr>
      </w:pPr>
      <w:proofErr w:type="spellStart"/>
      <w:r>
        <w:rPr>
          <w:rStyle w:val="Strong"/>
          <w:rFonts w:ascii="Arial" w:hAnsi="Arial" w:cs="Arial"/>
          <w:b w:val="0"/>
          <w:bCs w:val="0"/>
        </w:rPr>
        <w:t>Gov.Wales</w:t>
      </w:r>
      <w:proofErr w:type="spellEnd"/>
      <w:r>
        <w:rPr>
          <w:rStyle w:val="Strong"/>
          <w:rFonts w:ascii="Arial" w:hAnsi="Arial" w:cs="Arial"/>
          <w:b w:val="0"/>
          <w:bCs w:val="0"/>
        </w:rPr>
        <w:t xml:space="preserve"> (2023). “</w:t>
      </w:r>
      <w:r w:rsidRPr="009C04CA">
        <w:rPr>
          <w:rStyle w:val="Strong"/>
          <w:rFonts w:ascii="Arial" w:hAnsi="Arial" w:cs="Arial"/>
          <w:b w:val="0"/>
          <w:bCs w:val="0"/>
          <w:i/>
          <w:iCs/>
        </w:rPr>
        <w:t>The Environmental Protection (Single-use Plastic Products) (Wales) Act 2023</w:t>
      </w:r>
      <w:r>
        <w:rPr>
          <w:rStyle w:val="Strong"/>
          <w:rFonts w:ascii="Arial" w:hAnsi="Arial" w:cs="Arial"/>
          <w:b w:val="0"/>
          <w:bCs w:val="0"/>
        </w:rPr>
        <w:t xml:space="preserve">” </w:t>
      </w:r>
      <w:hyperlink r:id="rId11" w:anchor=":~:text=Overview-,Overview,Wales%2C%20unless%20an%20exemption%20applies" w:history="1">
        <w:r w:rsidRPr="009E219E">
          <w:rPr>
            <w:rStyle w:val="Hyperlink"/>
            <w:rFonts w:ascii="Arial" w:hAnsi="Arial" w:cs="Arial"/>
          </w:rPr>
          <w:t>https://www.gov.wales/environmental-protection-single-use-plastic-products-wales-act#:~:text=Overview-,Overview,Wales%2C%20unless%20an%20exemption%20applies</w:t>
        </w:r>
      </w:hyperlink>
      <w:r w:rsidRPr="00694F11">
        <w:rPr>
          <w:rStyle w:val="Strong"/>
          <w:rFonts w:ascii="Arial" w:hAnsi="Arial" w:cs="Arial"/>
          <w:b w:val="0"/>
          <w:bCs w:val="0"/>
        </w:rPr>
        <w:t>.</w:t>
      </w:r>
      <w:r>
        <w:rPr>
          <w:rStyle w:val="Strong"/>
          <w:rFonts w:ascii="Arial" w:hAnsi="Arial" w:cs="Arial"/>
          <w:b w:val="0"/>
          <w:bCs w:val="0"/>
        </w:rPr>
        <w:t xml:space="preserve"> (Accessed 31</w:t>
      </w:r>
      <w:r w:rsidRPr="00694F11">
        <w:rPr>
          <w:rStyle w:val="Strong"/>
          <w:rFonts w:ascii="Arial" w:hAnsi="Arial" w:cs="Arial"/>
          <w:b w:val="0"/>
          <w:bCs w:val="0"/>
          <w:vertAlign w:val="superscript"/>
        </w:rPr>
        <w:t>st</w:t>
      </w:r>
      <w:r>
        <w:rPr>
          <w:rStyle w:val="Strong"/>
          <w:rFonts w:ascii="Arial" w:hAnsi="Arial" w:cs="Arial"/>
          <w:b w:val="0"/>
          <w:bCs w:val="0"/>
        </w:rPr>
        <w:t xml:space="preserve"> May 2025)</w:t>
      </w:r>
    </w:p>
    <w:p w14:paraId="5BA80DBB" w14:textId="62782F98" w:rsidR="002542EF" w:rsidRPr="003A6B91" w:rsidRDefault="002542EF" w:rsidP="00A510BD">
      <w:pPr>
        <w:jc w:val="both"/>
        <w:rPr>
          <w:rStyle w:val="Strong"/>
          <w:rFonts w:ascii="Arial" w:hAnsi="Arial" w:cs="Arial"/>
          <w:b w:val="0"/>
          <w:bCs w:val="0"/>
        </w:rPr>
      </w:pPr>
      <w:r>
        <w:rPr>
          <w:rStyle w:val="Strong"/>
          <w:rFonts w:ascii="Arial" w:hAnsi="Arial" w:cs="Arial"/>
          <w:b w:val="0"/>
          <w:bCs w:val="0"/>
        </w:rPr>
        <w:t xml:space="preserve">Gov.uk (2024). </w:t>
      </w:r>
      <w:r w:rsidR="009C04CA">
        <w:rPr>
          <w:rStyle w:val="Strong"/>
          <w:rFonts w:ascii="Arial" w:hAnsi="Arial" w:cs="Arial"/>
          <w:b w:val="0"/>
          <w:bCs w:val="0"/>
        </w:rPr>
        <w:t>“</w:t>
      </w:r>
      <w:r w:rsidR="009C04CA" w:rsidRPr="003A6B91">
        <w:rPr>
          <w:rStyle w:val="Strong"/>
          <w:rFonts w:ascii="Arial" w:hAnsi="Arial" w:cs="Arial"/>
          <w:b w:val="0"/>
          <w:bCs w:val="0"/>
          <w:i/>
          <w:iCs/>
        </w:rPr>
        <w:t>General Product Safety Regulations 2005: Great Britain</w:t>
      </w:r>
      <w:r w:rsidR="009C04CA">
        <w:rPr>
          <w:rStyle w:val="Strong"/>
          <w:rFonts w:ascii="Arial" w:hAnsi="Arial" w:cs="Arial"/>
          <w:b w:val="0"/>
          <w:bCs w:val="0"/>
        </w:rPr>
        <w:t>”</w:t>
      </w:r>
      <w:r w:rsidR="003A6B91">
        <w:rPr>
          <w:rStyle w:val="Strong"/>
          <w:rFonts w:ascii="Arial" w:hAnsi="Arial" w:cs="Arial"/>
          <w:b w:val="0"/>
          <w:bCs w:val="0"/>
        </w:rPr>
        <w:t xml:space="preserve">. </w:t>
      </w:r>
      <w:hyperlink r:id="rId12" w:history="1">
        <w:r w:rsidR="003A6B91" w:rsidRPr="003A6B91">
          <w:rPr>
            <w:rStyle w:val="Hyperlink"/>
            <w:rFonts w:ascii="Arial" w:hAnsi="Arial" w:cs="Arial"/>
          </w:rPr>
          <w:t>https://www.gov.uk/government/publications/general-product-safety-regulations-2005/general-product-safety-regulations-2005-great-britain</w:t>
        </w:r>
      </w:hyperlink>
      <w:r w:rsidR="003A6B91" w:rsidRPr="003A6B91">
        <w:rPr>
          <w:rStyle w:val="Strong"/>
          <w:rFonts w:ascii="Arial" w:hAnsi="Arial" w:cs="Arial"/>
          <w:b w:val="0"/>
          <w:bCs w:val="0"/>
        </w:rPr>
        <w:t xml:space="preserve"> (Accessed</w:t>
      </w:r>
      <w:r w:rsidR="003A6B91">
        <w:rPr>
          <w:rStyle w:val="Strong"/>
          <w:rFonts w:ascii="Arial" w:hAnsi="Arial" w:cs="Arial"/>
          <w:b w:val="0"/>
          <w:bCs w:val="0"/>
        </w:rPr>
        <w:t xml:space="preserve"> 31st May 2025)</w:t>
      </w:r>
    </w:p>
    <w:p w14:paraId="45A81047" w14:textId="0E7EF78A" w:rsidR="00A510BD" w:rsidRDefault="00A510BD" w:rsidP="00A510BD">
      <w:pPr>
        <w:jc w:val="both"/>
        <w:rPr>
          <w:rStyle w:val="Strong"/>
          <w:rFonts w:ascii="Arial" w:hAnsi="Arial" w:cs="Arial"/>
          <w:b w:val="0"/>
          <w:bCs w:val="0"/>
        </w:rPr>
      </w:pPr>
      <w:r>
        <w:rPr>
          <w:rStyle w:val="Strong"/>
          <w:rFonts w:ascii="Arial" w:hAnsi="Arial" w:cs="Arial"/>
          <w:b w:val="0"/>
          <w:bCs w:val="0"/>
        </w:rPr>
        <w:t>Lexis UK (1842), “</w:t>
      </w:r>
      <w:proofErr w:type="spellStart"/>
      <w:r w:rsidRPr="00A93509">
        <w:rPr>
          <w:rStyle w:val="Strong"/>
          <w:rFonts w:ascii="Arial" w:hAnsi="Arial" w:cs="Arial"/>
          <w:b w:val="0"/>
          <w:bCs w:val="0"/>
          <w:i/>
          <w:iCs/>
        </w:rPr>
        <w:t>Roscorla</w:t>
      </w:r>
      <w:proofErr w:type="spellEnd"/>
      <w:r w:rsidRPr="00A93509">
        <w:rPr>
          <w:rStyle w:val="Strong"/>
          <w:rFonts w:ascii="Arial" w:hAnsi="Arial" w:cs="Arial"/>
          <w:b w:val="0"/>
          <w:bCs w:val="0"/>
          <w:i/>
          <w:iCs/>
        </w:rPr>
        <w:t xml:space="preserve"> v Thomas (1842) 3 QB 234, 11 LJQB 214, 2 Gal &amp; 2 Gal &amp; </w:t>
      </w:r>
      <w:proofErr w:type="spellStart"/>
      <w:r w:rsidRPr="00A93509">
        <w:rPr>
          <w:rStyle w:val="Strong"/>
          <w:rFonts w:ascii="Arial" w:hAnsi="Arial" w:cs="Arial"/>
          <w:b w:val="0"/>
          <w:bCs w:val="0"/>
          <w:i/>
          <w:iCs/>
        </w:rPr>
        <w:t>Dav</w:t>
      </w:r>
      <w:proofErr w:type="spellEnd"/>
      <w:r w:rsidRPr="00A93509">
        <w:rPr>
          <w:rStyle w:val="Strong"/>
          <w:rFonts w:ascii="Arial" w:hAnsi="Arial" w:cs="Arial"/>
          <w:b w:val="0"/>
          <w:bCs w:val="0"/>
          <w:i/>
          <w:iCs/>
        </w:rPr>
        <w:t xml:space="preserve"> 508, 6 </w:t>
      </w:r>
      <w:proofErr w:type="spellStart"/>
      <w:r w:rsidRPr="00A93509">
        <w:rPr>
          <w:rStyle w:val="Strong"/>
          <w:rFonts w:ascii="Arial" w:hAnsi="Arial" w:cs="Arial"/>
          <w:b w:val="0"/>
          <w:bCs w:val="0"/>
          <w:i/>
          <w:iCs/>
        </w:rPr>
        <w:t>Jur</w:t>
      </w:r>
      <w:proofErr w:type="spellEnd"/>
      <w:r w:rsidRPr="00A93509">
        <w:rPr>
          <w:rStyle w:val="Strong"/>
          <w:rFonts w:ascii="Arial" w:hAnsi="Arial" w:cs="Arial"/>
          <w:b w:val="0"/>
          <w:bCs w:val="0"/>
          <w:i/>
          <w:iCs/>
        </w:rPr>
        <w:t xml:space="preserve"> 929, 114 ER 496</w:t>
      </w:r>
      <w:r>
        <w:rPr>
          <w:rStyle w:val="Strong"/>
          <w:rFonts w:ascii="Arial" w:hAnsi="Arial" w:cs="Arial"/>
          <w:b w:val="0"/>
          <w:bCs w:val="0"/>
        </w:rPr>
        <w:t xml:space="preserve">” </w:t>
      </w:r>
      <w:hyperlink r:id="rId13" w:history="1">
        <w:r w:rsidRPr="00472E55">
          <w:rPr>
            <w:rStyle w:val="Hyperlink"/>
            <w:rFonts w:ascii="Arial" w:hAnsi="Arial" w:cs="Arial"/>
          </w:rPr>
          <w:t>https://plus-lexis-com.ezproxy.uwtsd.ac.uk/uk/cases-uk/roscorla-v-thomas/?crid=78f4280e-4b3d-4c01-b192-d2c9487ec272&amp;pdiskwicview=false</w:t>
        </w:r>
      </w:hyperlink>
      <w:r>
        <w:rPr>
          <w:rStyle w:val="Strong"/>
          <w:rFonts w:ascii="Arial" w:hAnsi="Arial" w:cs="Arial"/>
          <w:b w:val="0"/>
          <w:bCs w:val="0"/>
        </w:rPr>
        <w:t xml:space="preserve"> (Accessed 12</w:t>
      </w:r>
      <w:r w:rsidRPr="00A93509">
        <w:rPr>
          <w:rStyle w:val="Strong"/>
          <w:rFonts w:ascii="Arial" w:hAnsi="Arial" w:cs="Arial"/>
          <w:b w:val="0"/>
          <w:bCs w:val="0"/>
          <w:vertAlign w:val="superscript"/>
        </w:rPr>
        <w:t>th</w:t>
      </w:r>
      <w:r>
        <w:rPr>
          <w:rStyle w:val="Strong"/>
          <w:rFonts w:ascii="Arial" w:hAnsi="Arial" w:cs="Arial"/>
          <w:b w:val="0"/>
          <w:bCs w:val="0"/>
        </w:rPr>
        <w:t xml:space="preserve"> May 2025)</w:t>
      </w:r>
    </w:p>
    <w:p w14:paraId="77E4791E" w14:textId="1D541AB0" w:rsidR="00F964E8" w:rsidRDefault="00D37602" w:rsidP="0001472B">
      <w:pPr>
        <w:jc w:val="both"/>
        <w:rPr>
          <w:rStyle w:val="Strong"/>
          <w:rFonts w:ascii="Arial" w:hAnsi="Arial" w:cs="Arial"/>
          <w:b w:val="0"/>
          <w:bCs w:val="0"/>
        </w:rPr>
      </w:pPr>
      <w:r w:rsidRPr="0004543E">
        <w:rPr>
          <w:rStyle w:val="Strong"/>
          <w:rFonts w:ascii="Arial" w:hAnsi="Arial" w:cs="Arial"/>
          <w:b w:val="0"/>
          <w:bCs w:val="0"/>
        </w:rPr>
        <w:t>Lexis UK</w:t>
      </w:r>
      <w:r w:rsidR="009C452E" w:rsidRPr="0004543E">
        <w:rPr>
          <w:rStyle w:val="Strong"/>
          <w:rFonts w:ascii="Arial" w:hAnsi="Arial" w:cs="Arial"/>
          <w:b w:val="0"/>
          <w:bCs w:val="0"/>
        </w:rPr>
        <w:t xml:space="preserve"> (1892), “</w:t>
      </w:r>
      <w:r w:rsidR="00351CBD" w:rsidRPr="0004543E">
        <w:rPr>
          <w:rStyle w:val="Strong"/>
          <w:rFonts w:ascii="Arial" w:hAnsi="Arial" w:cs="Arial"/>
          <w:b w:val="0"/>
          <w:bCs w:val="0"/>
          <w:i/>
          <w:iCs/>
        </w:rPr>
        <w:t>Carlill v Carbolic Smoke Ball Co [1891-94] All ER Rep 127</w:t>
      </w:r>
      <w:r w:rsidR="00351CBD" w:rsidRPr="0004543E">
        <w:rPr>
          <w:rStyle w:val="Strong"/>
          <w:rFonts w:ascii="Arial" w:hAnsi="Arial" w:cs="Arial"/>
          <w:b w:val="0"/>
          <w:bCs w:val="0"/>
        </w:rPr>
        <w:t>”</w:t>
      </w:r>
      <w:r w:rsidR="0004543E" w:rsidRPr="0004543E">
        <w:rPr>
          <w:rStyle w:val="Strong"/>
          <w:rFonts w:ascii="Arial" w:hAnsi="Arial" w:cs="Arial"/>
        </w:rPr>
        <w:t xml:space="preserve"> </w:t>
      </w:r>
      <w:hyperlink r:id="rId14" w:history="1">
        <w:r w:rsidR="0004543E" w:rsidRPr="0004543E">
          <w:rPr>
            <w:rStyle w:val="Hyperlink"/>
            <w:rFonts w:ascii="Arial" w:hAnsi="Arial" w:cs="Arial"/>
          </w:rPr>
          <w:t>https://plus-lexis-com.ezproxy.uwtsd.ac.uk/uk/cases-uk/carlill-v-carbolic-smoke-ball-co-1891-94-al/?crid=5c083ffa-6cd1-4f67-9e92-fa3454f27a69&amp;pdproductcontenttypeid=urn:pct:285&amp;pdiskwicview=false&amp;pdpinpoint=</w:t>
        </w:r>
      </w:hyperlink>
      <w:r w:rsidR="0004543E" w:rsidRPr="0004543E">
        <w:rPr>
          <w:rStyle w:val="Strong"/>
          <w:rFonts w:ascii="Arial" w:hAnsi="Arial" w:cs="Arial"/>
        </w:rPr>
        <w:t xml:space="preserve"> </w:t>
      </w:r>
      <w:r w:rsidR="0004543E" w:rsidRPr="0004543E">
        <w:rPr>
          <w:rStyle w:val="Strong"/>
          <w:rFonts w:ascii="Arial" w:hAnsi="Arial" w:cs="Arial"/>
          <w:b w:val="0"/>
          <w:bCs w:val="0"/>
        </w:rPr>
        <w:t>(Accessed 12</w:t>
      </w:r>
      <w:r w:rsidR="0004543E" w:rsidRPr="0004543E">
        <w:rPr>
          <w:rStyle w:val="Strong"/>
          <w:rFonts w:ascii="Arial" w:hAnsi="Arial" w:cs="Arial"/>
          <w:b w:val="0"/>
          <w:bCs w:val="0"/>
          <w:vertAlign w:val="superscript"/>
        </w:rPr>
        <w:t>th</w:t>
      </w:r>
      <w:r w:rsidR="0004543E" w:rsidRPr="0004543E">
        <w:rPr>
          <w:rStyle w:val="Strong"/>
          <w:rFonts w:ascii="Arial" w:hAnsi="Arial" w:cs="Arial"/>
          <w:b w:val="0"/>
          <w:bCs w:val="0"/>
        </w:rPr>
        <w:t xml:space="preserve"> May 2025)</w:t>
      </w:r>
    </w:p>
    <w:p w14:paraId="048B1C23" w14:textId="33BC501D" w:rsidR="001D0B1C" w:rsidRPr="001D0B1C" w:rsidRDefault="001D0B1C" w:rsidP="0001472B">
      <w:pPr>
        <w:jc w:val="both"/>
        <w:rPr>
          <w:rStyle w:val="Strong"/>
          <w:rFonts w:ascii="Arial" w:hAnsi="Arial" w:cs="Arial"/>
          <w:b w:val="0"/>
          <w:bCs w:val="0"/>
        </w:rPr>
      </w:pPr>
      <w:r>
        <w:rPr>
          <w:rStyle w:val="Strong"/>
          <w:rFonts w:ascii="Arial" w:hAnsi="Arial" w:cs="Arial"/>
          <w:b w:val="0"/>
          <w:bCs w:val="0"/>
        </w:rPr>
        <w:t>Lexi UK (1919), “</w:t>
      </w:r>
      <w:r w:rsidRPr="001D0B1C">
        <w:rPr>
          <w:rStyle w:val="Strong"/>
          <w:rFonts w:ascii="Arial" w:hAnsi="Arial" w:cs="Arial"/>
          <w:b w:val="0"/>
          <w:bCs w:val="0"/>
          <w:i/>
          <w:iCs/>
        </w:rPr>
        <w:t>Balfour v Balfour [1919] 2 KB 571, 88 LJKB 1054, [1918-19] All ER Rep 860, 63 Sol Jo 661, 121 LT 346, 35 TLR 609</w:t>
      </w:r>
      <w:r>
        <w:rPr>
          <w:rStyle w:val="Strong"/>
          <w:rFonts w:ascii="Arial" w:hAnsi="Arial" w:cs="Arial"/>
          <w:b w:val="0"/>
          <w:bCs w:val="0"/>
        </w:rPr>
        <w:t>”</w:t>
      </w:r>
      <w:r w:rsidR="00157B8C">
        <w:rPr>
          <w:rStyle w:val="Strong"/>
          <w:rFonts w:ascii="Arial" w:hAnsi="Arial" w:cs="Arial"/>
          <w:b w:val="0"/>
          <w:bCs w:val="0"/>
        </w:rPr>
        <w:t xml:space="preserve"> </w:t>
      </w:r>
      <w:hyperlink r:id="rId15" w:history="1">
        <w:r w:rsidR="00157B8C" w:rsidRPr="00472E55">
          <w:rPr>
            <w:rStyle w:val="Hyperlink"/>
            <w:rFonts w:ascii="Arial" w:hAnsi="Arial" w:cs="Arial"/>
          </w:rPr>
          <w:t>https://plus-lexis-com.ezproxy.uwtsd.ac.uk/uk/cases-uk/balfour-v-balfour_2/?crid=383cb12c-fcbe-422b-a3d0-a50d1bd9bc9f&amp;pddocumentnumber=1</w:t>
        </w:r>
      </w:hyperlink>
      <w:r w:rsidR="00157B8C">
        <w:rPr>
          <w:rStyle w:val="Strong"/>
          <w:rFonts w:ascii="Arial" w:hAnsi="Arial" w:cs="Arial"/>
          <w:b w:val="0"/>
          <w:bCs w:val="0"/>
        </w:rPr>
        <w:t xml:space="preserve"> (Accessed 12</w:t>
      </w:r>
      <w:r w:rsidR="00157B8C" w:rsidRPr="00157B8C">
        <w:rPr>
          <w:rStyle w:val="Strong"/>
          <w:rFonts w:ascii="Arial" w:hAnsi="Arial" w:cs="Arial"/>
          <w:b w:val="0"/>
          <w:bCs w:val="0"/>
          <w:vertAlign w:val="superscript"/>
        </w:rPr>
        <w:t>th</w:t>
      </w:r>
      <w:r w:rsidR="00157B8C">
        <w:rPr>
          <w:rStyle w:val="Strong"/>
          <w:rFonts w:ascii="Arial" w:hAnsi="Arial" w:cs="Arial"/>
          <w:b w:val="0"/>
          <w:bCs w:val="0"/>
        </w:rPr>
        <w:t xml:space="preserve"> May 2025)</w:t>
      </w:r>
    </w:p>
    <w:p w14:paraId="43705892" w14:textId="3E276F8F" w:rsidR="00522E88" w:rsidRDefault="00522E88" w:rsidP="0001472B">
      <w:pPr>
        <w:jc w:val="both"/>
        <w:rPr>
          <w:rStyle w:val="Strong"/>
          <w:rFonts w:ascii="Arial" w:hAnsi="Arial" w:cs="Arial"/>
          <w:b w:val="0"/>
          <w:bCs w:val="0"/>
        </w:rPr>
      </w:pPr>
      <w:r>
        <w:rPr>
          <w:rStyle w:val="Strong"/>
          <w:rFonts w:ascii="Arial" w:hAnsi="Arial" w:cs="Arial"/>
          <w:b w:val="0"/>
          <w:bCs w:val="0"/>
        </w:rPr>
        <w:t xml:space="preserve">Lexis UK (2017), </w:t>
      </w:r>
      <w:r w:rsidR="00A510BD">
        <w:rPr>
          <w:rStyle w:val="Strong"/>
          <w:rFonts w:ascii="Arial" w:hAnsi="Arial" w:cs="Arial"/>
          <w:b w:val="0"/>
          <w:bCs w:val="0"/>
        </w:rPr>
        <w:t>“</w:t>
      </w:r>
      <w:r w:rsidR="00A510BD" w:rsidRPr="00157B8C">
        <w:rPr>
          <w:rStyle w:val="Strong"/>
          <w:rFonts w:ascii="Arial" w:hAnsi="Arial" w:cs="Arial"/>
          <w:b w:val="0"/>
          <w:bCs w:val="0"/>
          <w:i/>
          <w:iCs/>
        </w:rPr>
        <w:t>Blue v Ashley [2017] EWHC 1928 (Comm), [2017] All ER (D) 198 (Jul)”</w:t>
      </w:r>
      <w:r w:rsidR="00A510BD">
        <w:rPr>
          <w:rStyle w:val="Strong"/>
          <w:rFonts w:ascii="Arial" w:hAnsi="Arial" w:cs="Arial"/>
          <w:b w:val="0"/>
          <w:bCs w:val="0"/>
        </w:rPr>
        <w:t xml:space="preserve"> </w:t>
      </w:r>
      <w:hyperlink r:id="rId16" w:history="1">
        <w:r w:rsidR="00A510BD" w:rsidRPr="00472E55">
          <w:rPr>
            <w:rStyle w:val="Hyperlink"/>
            <w:rFonts w:ascii="Arial" w:hAnsi="Arial" w:cs="Arial"/>
          </w:rPr>
          <w:t>https://plus-lexis-com.ezproxy.uwtsd.ac.uk/uk/cases-uk/blue-v-ashley/?crid=4fbba3a7-41e6-4ee3-8273-306904a95b14&amp;pddocumentnumber=1</w:t>
        </w:r>
      </w:hyperlink>
      <w:r w:rsidR="00A510BD">
        <w:rPr>
          <w:rStyle w:val="Strong"/>
          <w:rFonts w:ascii="Arial" w:hAnsi="Arial" w:cs="Arial"/>
          <w:b w:val="0"/>
          <w:bCs w:val="0"/>
        </w:rPr>
        <w:t xml:space="preserve"> (Accessed 12</w:t>
      </w:r>
      <w:r w:rsidR="00A510BD" w:rsidRPr="00A510BD">
        <w:rPr>
          <w:rStyle w:val="Strong"/>
          <w:rFonts w:ascii="Arial" w:hAnsi="Arial" w:cs="Arial"/>
          <w:b w:val="0"/>
          <w:bCs w:val="0"/>
          <w:vertAlign w:val="superscript"/>
        </w:rPr>
        <w:t>th</w:t>
      </w:r>
      <w:r w:rsidR="00A510BD">
        <w:rPr>
          <w:rStyle w:val="Strong"/>
          <w:rFonts w:ascii="Arial" w:hAnsi="Arial" w:cs="Arial"/>
          <w:b w:val="0"/>
          <w:bCs w:val="0"/>
        </w:rPr>
        <w:t xml:space="preserve"> May 2025)</w:t>
      </w:r>
    </w:p>
    <w:p w14:paraId="3C3079B0" w14:textId="2833C936" w:rsidR="005E67D4" w:rsidRDefault="005E67D4" w:rsidP="0001472B">
      <w:pPr>
        <w:jc w:val="both"/>
        <w:rPr>
          <w:rStyle w:val="Strong"/>
          <w:rFonts w:ascii="Arial" w:hAnsi="Arial" w:cs="Arial"/>
          <w:b w:val="0"/>
          <w:bCs w:val="0"/>
        </w:rPr>
      </w:pPr>
      <w:r>
        <w:rPr>
          <w:rStyle w:val="Strong"/>
          <w:rFonts w:ascii="Arial" w:hAnsi="Arial" w:cs="Arial"/>
          <w:b w:val="0"/>
          <w:bCs w:val="0"/>
        </w:rPr>
        <w:t>Lexis UK (2023)</w:t>
      </w:r>
      <w:r w:rsidR="00917665">
        <w:rPr>
          <w:rStyle w:val="Strong"/>
          <w:rFonts w:ascii="Arial" w:hAnsi="Arial" w:cs="Arial"/>
          <w:b w:val="0"/>
          <w:bCs w:val="0"/>
        </w:rPr>
        <w:t>. “</w:t>
      </w:r>
      <w:r w:rsidR="00917665" w:rsidRPr="009C04CA">
        <w:rPr>
          <w:rStyle w:val="Strong"/>
          <w:rFonts w:ascii="Arial" w:hAnsi="Arial" w:cs="Arial"/>
          <w:b w:val="0"/>
          <w:bCs w:val="0"/>
          <w:i/>
          <w:iCs/>
        </w:rPr>
        <w:t>Environmental Protection (Single-use Plastic Products) (Wales) Act 2023</w:t>
      </w:r>
      <w:r w:rsidR="00917665">
        <w:rPr>
          <w:rStyle w:val="Strong"/>
          <w:rFonts w:ascii="Arial" w:hAnsi="Arial" w:cs="Arial"/>
          <w:b w:val="0"/>
          <w:bCs w:val="0"/>
        </w:rPr>
        <w:t xml:space="preserve">” </w:t>
      </w:r>
      <w:hyperlink r:id="rId17" w:history="1">
        <w:r w:rsidR="00E1030B" w:rsidRPr="009E219E">
          <w:rPr>
            <w:rStyle w:val="Hyperlink"/>
            <w:rFonts w:ascii="Arial" w:hAnsi="Arial" w:cs="Arial"/>
          </w:rPr>
          <w:t>https://plus-lexis-com.ezproxy.uwtsd.ac.uk/uk/document/?pddocfullpath=%2Fshared%2Fdocument%2Fanalytical-materials-uk%2Furn:contentItem:6D39-2FV3-RSSR-G3P6-00000-00&amp;tocnodeid=TAAWADT&amp;isviewwholeof=true&amp;fontType=verdana&amp;fontSize=Small&amp;doccollection=analytical-materials-uk&amp;tocid=urn:contentItem:5M7G-92H1-FCM4-V000-00000-00&amp;docProviderId=dg4k&amp;pct=urn:pct:237&amp;hlct=urn:hlct:50&amp;pageNumber=0&amp;new-toc=1&amp;docLni=6D39-2FV3-RSSR-G3P6-00000-00&amp;crid=dab259f4-ad97-42c1-827a-abbb3f27c5d8</w:t>
        </w:r>
      </w:hyperlink>
      <w:r w:rsidR="00E1030B">
        <w:rPr>
          <w:rStyle w:val="Strong"/>
          <w:rFonts w:ascii="Arial" w:hAnsi="Arial" w:cs="Arial"/>
          <w:b w:val="0"/>
          <w:bCs w:val="0"/>
        </w:rPr>
        <w:t xml:space="preserve"> (Accessed 31</w:t>
      </w:r>
      <w:r w:rsidR="00E1030B" w:rsidRPr="00E1030B">
        <w:rPr>
          <w:rStyle w:val="Strong"/>
          <w:rFonts w:ascii="Arial" w:hAnsi="Arial" w:cs="Arial"/>
          <w:b w:val="0"/>
          <w:bCs w:val="0"/>
          <w:vertAlign w:val="superscript"/>
        </w:rPr>
        <w:t>st</w:t>
      </w:r>
      <w:r w:rsidR="00E1030B">
        <w:rPr>
          <w:rStyle w:val="Strong"/>
          <w:rFonts w:ascii="Arial" w:hAnsi="Arial" w:cs="Arial"/>
          <w:b w:val="0"/>
          <w:bCs w:val="0"/>
        </w:rPr>
        <w:t xml:space="preserve"> May 2025)</w:t>
      </w:r>
    </w:p>
    <w:p w14:paraId="0005FC98" w14:textId="102F31E2" w:rsidR="00F75136" w:rsidRDefault="00F75136" w:rsidP="0001472B">
      <w:pPr>
        <w:jc w:val="both"/>
        <w:rPr>
          <w:rStyle w:val="Strong"/>
          <w:rFonts w:ascii="Arial" w:hAnsi="Arial" w:cs="Arial"/>
          <w:b w:val="0"/>
          <w:bCs w:val="0"/>
        </w:rPr>
      </w:pPr>
      <w:r>
        <w:rPr>
          <w:rStyle w:val="Strong"/>
          <w:rFonts w:ascii="Arial" w:hAnsi="Arial" w:cs="Arial"/>
          <w:b w:val="0"/>
          <w:bCs w:val="0"/>
        </w:rPr>
        <w:t>Law</w:t>
      </w:r>
      <w:r w:rsidR="00866832">
        <w:rPr>
          <w:rStyle w:val="Strong"/>
          <w:rFonts w:ascii="Arial" w:hAnsi="Arial" w:cs="Arial"/>
          <w:b w:val="0"/>
          <w:bCs w:val="0"/>
        </w:rPr>
        <w:t xml:space="preserve"> T</w:t>
      </w:r>
      <w:r>
        <w:rPr>
          <w:rStyle w:val="Strong"/>
          <w:rFonts w:ascii="Arial" w:hAnsi="Arial" w:cs="Arial"/>
          <w:b w:val="0"/>
          <w:bCs w:val="0"/>
        </w:rPr>
        <w:t>eacher</w:t>
      </w:r>
      <w:r w:rsidR="00866832">
        <w:rPr>
          <w:rStyle w:val="Strong"/>
          <w:rFonts w:ascii="Arial" w:hAnsi="Arial" w:cs="Arial"/>
          <w:b w:val="0"/>
          <w:bCs w:val="0"/>
        </w:rPr>
        <w:t xml:space="preserve"> “</w:t>
      </w:r>
      <w:proofErr w:type="spellStart"/>
      <w:r w:rsidR="00866832" w:rsidRPr="00866832">
        <w:rPr>
          <w:rStyle w:val="Strong"/>
          <w:rFonts w:ascii="Arial" w:hAnsi="Arial" w:cs="Arial"/>
          <w:b w:val="0"/>
          <w:bCs w:val="0"/>
          <w:i/>
          <w:iCs/>
        </w:rPr>
        <w:t>Brogden</w:t>
      </w:r>
      <w:proofErr w:type="spellEnd"/>
      <w:r w:rsidR="00866832" w:rsidRPr="00866832">
        <w:rPr>
          <w:rStyle w:val="Strong"/>
          <w:rFonts w:ascii="Arial" w:hAnsi="Arial" w:cs="Arial"/>
          <w:b w:val="0"/>
          <w:bCs w:val="0"/>
          <w:i/>
          <w:iCs/>
        </w:rPr>
        <w:t xml:space="preserve"> v Metropolitan Railway (1877) 2 App Cas 666</w:t>
      </w:r>
      <w:r w:rsidR="00866832">
        <w:rPr>
          <w:rStyle w:val="Strong"/>
          <w:rFonts w:ascii="Arial" w:hAnsi="Arial" w:cs="Arial"/>
          <w:b w:val="0"/>
          <w:bCs w:val="0"/>
        </w:rPr>
        <w:t xml:space="preserve">” </w:t>
      </w:r>
      <w:hyperlink r:id="rId18" w:history="1">
        <w:r w:rsidR="00866832" w:rsidRPr="00472E55">
          <w:rPr>
            <w:rStyle w:val="Hyperlink"/>
            <w:rFonts w:ascii="Arial" w:hAnsi="Arial" w:cs="Arial"/>
          </w:rPr>
          <w:t>https://www.lawteacher.net/cases/brogden-v-metropolitan.php</w:t>
        </w:r>
      </w:hyperlink>
      <w:r w:rsidR="00866832">
        <w:rPr>
          <w:rStyle w:val="Strong"/>
          <w:rFonts w:ascii="Arial" w:hAnsi="Arial" w:cs="Arial"/>
          <w:b w:val="0"/>
          <w:bCs w:val="0"/>
        </w:rPr>
        <w:t xml:space="preserve"> (Accessed 12th May 2025)</w:t>
      </w:r>
    </w:p>
    <w:p w14:paraId="61A8954F" w14:textId="323DDFC4" w:rsidR="008C74CF" w:rsidRDefault="00A73C76" w:rsidP="0001472B">
      <w:pPr>
        <w:jc w:val="both"/>
        <w:rPr>
          <w:rStyle w:val="Strong"/>
          <w:rFonts w:ascii="Arial" w:hAnsi="Arial" w:cs="Arial"/>
          <w:b w:val="0"/>
          <w:bCs w:val="0"/>
        </w:rPr>
      </w:pPr>
      <w:r>
        <w:rPr>
          <w:rStyle w:val="Strong"/>
          <w:rFonts w:ascii="Arial" w:hAnsi="Arial" w:cs="Arial"/>
          <w:b w:val="0"/>
          <w:bCs w:val="0"/>
        </w:rPr>
        <w:t>Legislation.gov</w:t>
      </w:r>
      <w:r w:rsidR="00127729">
        <w:rPr>
          <w:rStyle w:val="Strong"/>
          <w:rFonts w:ascii="Arial" w:hAnsi="Arial" w:cs="Arial"/>
          <w:b w:val="0"/>
          <w:bCs w:val="0"/>
        </w:rPr>
        <w:t xml:space="preserve"> (2015).</w:t>
      </w:r>
      <w:r>
        <w:rPr>
          <w:rStyle w:val="Strong"/>
          <w:rFonts w:ascii="Arial" w:hAnsi="Arial" w:cs="Arial"/>
          <w:b w:val="0"/>
          <w:bCs w:val="0"/>
        </w:rPr>
        <w:t xml:space="preserve"> “</w:t>
      </w:r>
      <w:r w:rsidRPr="00F07EC8">
        <w:rPr>
          <w:rStyle w:val="Strong"/>
          <w:rFonts w:ascii="Arial" w:hAnsi="Arial" w:cs="Arial"/>
          <w:b w:val="0"/>
          <w:bCs w:val="0"/>
          <w:i/>
          <w:iCs/>
        </w:rPr>
        <w:t>Consumer rights act 2015</w:t>
      </w:r>
      <w:r>
        <w:rPr>
          <w:rStyle w:val="Strong"/>
          <w:rFonts w:ascii="Arial" w:hAnsi="Arial" w:cs="Arial"/>
          <w:b w:val="0"/>
          <w:bCs w:val="0"/>
        </w:rPr>
        <w:t>”</w:t>
      </w:r>
      <w:hyperlink r:id="rId19" w:history="1">
        <w:r w:rsidR="00F07EC8" w:rsidRPr="009E219E">
          <w:rPr>
            <w:rStyle w:val="Hyperlink"/>
            <w:rFonts w:ascii="Arial" w:hAnsi="Arial" w:cs="Arial"/>
          </w:rPr>
          <w:t>https://www.legislation.gov.uk/ukpga/2015/15/contents</w:t>
        </w:r>
      </w:hyperlink>
      <w:r w:rsidR="00F07EC8">
        <w:rPr>
          <w:rStyle w:val="Strong"/>
          <w:rFonts w:ascii="Arial" w:hAnsi="Arial" w:cs="Arial"/>
          <w:b w:val="0"/>
          <w:bCs w:val="0"/>
        </w:rPr>
        <w:t xml:space="preserve"> (Accessed 1</w:t>
      </w:r>
      <w:r w:rsidR="00B13C69">
        <w:rPr>
          <w:rStyle w:val="Strong"/>
          <w:rFonts w:ascii="Arial" w:hAnsi="Arial" w:cs="Arial"/>
          <w:b w:val="0"/>
          <w:bCs w:val="0"/>
        </w:rPr>
        <w:t>8</w:t>
      </w:r>
      <w:r w:rsidR="00F07EC8">
        <w:rPr>
          <w:rStyle w:val="Strong"/>
          <w:rFonts w:ascii="Arial" w:hAnsi="Arial" w:cs="Arial"/>
          <w:b w:val="0"/>
          <w:bCs w:val="0"/>
        </w:rPr>
        <w:t>th May 2025)</w:t>
      </w:r>
    </w:p>
    <w:p w14:paraId="038C506D" w14:textId="0CC862C7" w:rsidR="00127729" w:rsidRDefault="00127729" w:rsidP="0001472B">
      <w:pPr>
        <w:jc w:val="both"/>
        <w:rPr>
          <w:rStyle w:val="Strong"/>
          <w:rFonts w:ascii="Arial" w:hAnsi="Arial" w:cs="Arial"/>
          <w:b w:val="0"/>
          <w:bCs w:val="0"/>
        </w:rPr>
      </w:pPr>
      <w:r>
        <w:rPr>
          <w:rStyle w:val="Strong"/>
          <w:rFonts w:ascii="Arial" w:hAnsi="Arial" w:cs="Arial"/>
          <w:b w:val="0"/>
          <w:bCs w:val="0"/>
        </w:rPr>
        <w:t>Legislation.gov (2023).</w:t>
      </w:r>
      <w:r w:rsidR="0056256E">
        <w:rPr>
          <w:rStyle w:val="Strong"/>
          <w:rFonts w:ascii="Arial" w:hAnsi="Arial" w:cs="Arial"/>
          <w:b w:val="0"/>
          <w:bCs w:val="0"/>
        </w:rPr>
        <w:t xml:space="preserve"> “</w:t>
      </w:r>
      <w:r w:rsidR="0056256E" w:rsidRPr="0016452C">
        <w:rPr>
          <w:rStyle w:val="Strong"/>
          <w:rFonts w:ascii="Arial" w:hAnsi="Arial" w:cs="Arial"/>
          <w:b w:val="0"/>
          <w:bCs w:val="0"/>
          <w:i/>
          <w:iCs/>
        </w:rPr>
        <w:t>The Environmental Protection (Single-use Plastic Products) (Wales) Act 2023</w:t>
      </w:r>
      <w:r w:rsidR="0056256E">
        <w:rPr>
          <w:rStyle w:val="Strong"/>
          <w:rFonts w:ascii="Arial" w:hAnsi="Arial" w:cs="Arial"/>
          <w:b w:val="0"/>
          <w:bCs w:val="0"/>
        </w:rPr>
        <w:t>”</w:t>
      </w:r>
      <w:r w:rsidR="0016452C">
        <w:rPr>
          <w:rStyle w:val="Strong"/>
          <w:rFonts w:ascii="Arial" w:hAnsi="Arial" w:cs="Arial"/>
          <w:b w:val="0"/>
          <w:bCs w:val="0"/>
        </w:rPr>
        <w:t xml:space="preserve">. </w:t>
      </w:r>
      <w:hyperlink r:id="rId20" w:history="1">
        <w:r w:rsidR="0016452C" w:rsidRPr="009E219E">
          <w:rPr>
            <w:rStyle w:val="Hyperlink"/>
            <w:rFonts w:ascii="Arial" w:hAnsi="Arial" w:cs="Arial"/>
          </w:rPr>
          <w:t>https://www.legislation.gov.uk/asc/2023/2/contents</w:t>
        </w:r>
      </w:hyperlink>
      <w:r w:rsidR="0016452C">
        <w:rPr>
          <w:rStyle w:val="Strong"/>
          <w:rFonts w:ascii="Arial" w:hAnsi="Arial" w:cs="Arial"/>
          <w:b w:val="0"/>
          <w:bCs w:val="0"/>
        </w:rPr>
        <w:t xml:space="preserve"> (Accessed 31st May 2025)</w:t>
      </w:r>
    </w:p>
    <w:p w14:paraId="0213AE78" w14:textId="52900492" w:rsidR="00FB6FDC" w:rsidRDefault="0080551C" w:rsidP="0001472B">
      <w:pPr>
        <w:jc w:val="both"/>
        <w:rPr>
          <w:rStyle w:val="Strong"/>
          <w:rFonts w:ascii="Arial" w:hAnsi="Arial" w:cs="Arial"/>
          <w:b w:val="0"/>
          <w:bCs w:val="0"/>
        </w:rPr>
      </w:pPr>
      <w:r>
        <w:rPr>
          <w:rStyle w:val="Strong"/>
          <w:rFonts w:ascii="Arial" w:hAnsi="Arial" w:cs="Arial"/>
          <w:b w:val="0"/>
          <w:bCs w:val="0"/>
        </w:rPr>
        <w:t>Legislation.gov (2005). “</w:t>
      </w:r>
      <w:r w:rsidRPr="009C04CA">
        <w:rPr>
          <w:rStyle w:val="Strong"/>
          <w:rFonts w:ascii="Arial" w:hAnsi="Arial" w:cs="Arial"/>
          <w:b w:val="0"/>
          <w:bCs w:val="0"/>
          <w:i/>
          <w:iCs/>
        </w:rPr>
        <w:t>The General Product Safety Regulations 2005</w:t>
      </w:r>
      <w:r>
        <w:rPr>
          <w:rStyle w:val="Strong"/>
          <w:rFonts w:ascii="Arial" w:hAnsi="Arial" w:cs="Arial"/>
          <w:b w:val="0"/>
          <w:bCs w:val="0"/>
        </w:rPr>
        <w:t xml:space="preserve">”. </w:t>
      </w:r>
      <w:hyperlink r:id="rId21" w:history="1">
        <w:r w:rsidR="00194DCF" w:rsidRPr="00891B15">
          <w:rPr>
            <w:rStyle w:val="Hyperlink"/>
            <w:rFonts w:ascii="Arial" w:hAnsi="Arial" w:cs="Arial"/>
          </w:rPr>
          <w:t>https://www.legislation.gov.uk/uksi/2005/1803/contents</w:t>
        </w:r>
      </w:hyperlink>
      <w:r w:rsidR="00194DCF">
        <w:rPr>
          <w:rStyle w:val="Strong"/>
          <w:rFonts w:ascii="Arial" w:hAnsi="Arial" w:cs="Arial"/>
          <w:b w:val="0"/>
          <w:bCs w:val="0"/>
        </w:rPr>
        <w:t xml:space="preserve"> (Accessed 31st May 2025)</w:t>
      </w:r>
    </w:p>
    <w:p w14:paraId="41AE06B6" w14:textId="1946C25D" w:rsidR="00D02410" w:rsidRPr="0004543E" w:rsidRDefault="003B12B0" w:rsidP="0001472B">
      <w:pPr>
        <w:jc w:val="both"/>
        <w:rPr>
          <w:rStyle w:val="Strong"/>
          <w:rFonts w:ascii="Arial" w:hAnsi="Arial" w:cs="Arial"/>
        </w:rPr>
      </w:pPr>
      <w:r>
        <w:rPr>
          <w:rStyle w:val="Strong"/>
          <w:rFonts w:ascii="Arial" w:hAnsi="Arial" w:cs="Arial"/>
          <w:b w:val="0"/>
          <w:bCs w:val="0"/>
        </w:rPr>
        <w:t>Lascelles, D (2024)</w:t>
      </w:r>
      <w:r w:rsidR="00127729">
        <w:rPr>
          <w:rStyle w:val="Strong"/>
          <w:rFonts w:ascii="Arial" w:hAnsi="Arial" w:cs="Arial"/>
          <w:b w:val="0"/>
          <w:bCs w:val="0"/>
        </w:rPr>
        <w:t>.</w:t>
      </w:r>
      <w:r w:rsidR="00412499">
        <w:rPr>
          <w:rStyle w:val="Strong"/>
          <w:rFonts w:ascii="Arial" w:hAnsi="Arial" w:cs="Arial"/>
          <w:b w:val="0"/>
          <w:bCs w:val="0"/>
        </w:rPr>
        <w:t xml:space="preserve"> “</w:t>
      </w:r>
      <w:r w:rsidR="005D6D0E" w:rsidRPr="009C04CA">
        <w:rPr>
          <w:rStyle w:val="Strong"/>
          <w:rFonts w:ascii="Arial" w:hAnsi="Arial" w:cs="Arial"/>
          <w:b w:val="0"/>
          <w:bCs w:val="0"/>
          <w:i/>
          <w:iCs/>
        </w:rPr>
        <w:t>New appeal decision on Consumer Rights Act 2015</w:t>
      </w:r>
      <w:r w:rsidR="005D6D0E">
        <w:rPr>
          <w:rStyle w:val="Strong"/>
          <w:rFonts w:ascii="Arial" w:hAnsi="Arial" w:cs="Arial"/>
          <w:b w:val="0"/>
          <w:bCs w:val="0"/>
        </w:rPr>
        <w:t xml:space="preserve">” </w:t>
      </w:r>
      <w:hyperlink r:id="rId22" w:history="1">
        <w:r w:rsidR="005D6D0E" w:rsidRPr="009E219E">
          <w:rPr>
            <w:rStyle w:val="Hyperlink"/>
            <w:rFonts w:ascii="Arial" w:hAnsi="Arial" w:cs="Arial"/>
          </w:rPr>
          <w:t>https://littletonchambers.com/articles-webinars/new-appeal-decision-on-consumer-rights-act-2015-david-lascelles/</w:t>
        </w:r>
      </w:hyperlink>
      <w:r w:rsidR="005D6D0E">
        <w:rPr>
          <w:rStyle w:val="Strong"/>
          <w:rFonts w:ascii="Arial" w:hAnsi="Arial" w:cs="Arial"/>
          <w:b w:val="0"/>
          <w:bCs w:val="0"/>
        </w:rPr>
        <w:t xml:space="preserve"> (Accessed 18</w:t>
      </w:r>
      <w:r w:rsidR="005D6D0E" w:rsidRPr="005D6D0E">
        <w:rPr>
          <w:rStyle w:val="Strong"/>
          <w:rFonts w:ascii="Arial" w:hAnsi="Arial" w:cs="Arial"/>
          <w:b w:val="0"/>
          <w:bCs w:val="0"/>
          <w:vertAlign w:val="superscript"/>
        </w:rPr>
        <w:t>th</w:t>
      </w:r>
      <w:r w:rsidR="005D6D0E">
        <w:rPr>
          <w:rStyle w:val="Strong"/>
          <w:rFonts w:ascii="Arial" w:hAnsi="Arial" w:cs="Arial"/>
          <w:b w:val="0"/>
          <w:bCs w:val="0"/>
        </w:rPr>
        <w:t xml:space="preserve"> May 2025)</w:t>
      </w:r>
    </w:p>
    <w:sectPr w:rsidR="00D02410" w:rsidRPr="0004543E" w:rsidSect="0001472B">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5BDD0" w14:textId="77777777" w:rsidR="004C47C8" w:rsidRDefault="004C47C8" w:rsidP="008A279A">
      <w:pPr>
        <w:spacing w:after="0" w:line="240" w:lineRule="auto"/>
      </w:pPr>
      <w:r>
        <w:separator/>
      </w:r>
    </w:p>
  </w:endnote>
  <w:endnote w:type="continuationSeparator" w:id="0">
    <w:p w14:paraId="0664E0BD" w14:textId="77777777" w:rsidR="004C47C8" w:rsidRDefault="004C47C8" w:rsidP="008A2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18B48" w14:textId="50C5A470" w:rsidR="008A279A" w:rsidRDefault="008A279A">
    <w:pPr>
      <w:pStyle w:val="Footer"/>
    </w:pPr>
    <w:r>
      <w:rPr>
        <w:noProof/>
      </w:rPr>
      <mc:AlternateContent>
        <mc:Choice Requires="wps">
          <w:drawing>
            <wp:anchor distT="0" distB="0" distL="0" distR="0" simplePos="0" relativeHeight="251659264" behindDoc="0" locked="0" layoutInCell="1" allowOverlap="1" wp14:anchorId="49423208" wp14:editId="3C1333D2">
              <wp:simplePos x="635" y="635"/>
              <wp:positionH relativeFrom="page">
                <wp:align>left</wp:align>
              </wp:positionH>
              <wp:positionV relativeFrom="page">
                <wp:align>bottom</wp:align>
              </wp:positionV>
              <wp:extent cx="1034415" cy="324485"/>
              <wp:effectExtent l="0" t="0" r="13335" b="0"/>
              <wp:wrapNone/>
              <wp:docPr id="1113027683"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7E73F811" w14:textId="4200A9C6" w:rsidR="008A279A" w:rsidRPr="008A279A" w:rsidRDefault="008A279A" w:rsidP="008A279A">
                          <w:pPr>
                            <w:spacing w:after="0"/>
                            <w:rPr>
                              <w:rFonts w:ascii="Calibri" w:eastAsia="Calibri" w:hAnsi="Calibri" w:cs="Calibri"/>
                              <w:noProof/>
                              <w:color w:val="000000"/>
                              <w:sz w:val="16"/>
                              <w:szCs w:val="16"/>
                            </w:rPr>
                          </w:pPr>
                          <w:r w:rsidRPr="008A279A">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423208"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7E73F811" w14:textId="4200A9C6" w:rsidR="008A279A" w:rsidRPr="008A279A" w:rsidRDefault="008A279A" w:rsidP="008A279A">
                    <w:pPr>
                      <w:spacing w:after="0"/>
                      <w:rPr>
                        <w:rFonts w:ascii="Calibri" w:eastAsia="Calibri" w:hAnsi="Calibri" w:cs="Calibri"/>
                        <w:noProof/>
                        <w:color w:val="000000"/>
                        <w:sz w:val="16"/>
                        <w:szCs w:val="16"/>
                      </w:rPr>
                    </w:pPr>
                    <w:r w:rsidRPr="008A279A">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78465"/>
      <w:docPartObj>
        <w:docPartGallery w:val="Page Numbers (Bottom of Page)"/>
        <w:docPartUnique/>
      </w:docPartObj>
    </w:sdtPr>
    <w:sdtContent>
      <w:sdt>
        <w:sdtPr>
          <w:id w:val="-1769616900"/>
          <w:docPartObj>
            <w:docPartGallery w:val="Page Numbers (Top of Page)"/>
            <w:docPartUnique/>
          </w:docPartObj>
        </w:sdtPr>
        <w:sdtContent>
          <w:p w14:paraId="6A89B960" w14:textId="5A86C152" w:rsidR="008A3DEB" w:rsidRDefault="008A3DE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157B84C" w14:textId="2B334FD0" w:rsidR="008A279A" w:rsidRDefault="008A27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347C5" w14:textId="35DF754E" w:rsidR="008A279A" w:rsidRDefault="008A279A">
    <w:pPr>
      <w:pStyle w:val="Footer"/>
    </w:pPr>
    <w:r>
      <w:rPr>
        <w:noProof/>
      </w:rPr>
      <mc:AlternateContent>
        <mc:Choice Requires="wps">
          <w:drawing>
            <wp:anchor distT="0" distB="0" distL="0" distR="0" simplePos="0" relativeHeight="251658240" behindDoc="0" locked="0" layoutInCell="1" allowOverlap="1" wp14:anchorId="58A3F0B9" wp14:editId="3F3E61F0">
              <wp:simplePos x="635" y="635"/>
              <wp:positionH relativeFrom="page">
                <wp:align>left</wp:align>
              </wp:positionH>
              <wp:positionV relativeFrom="page">
                <wp:align>bottom</wp:align>
              </wp:positionV>
              <wp:extent cx="1034415" cy="324485"/>
              <wp:effectExtent l="0" t="0" r="13335" b="0"/>
              <wp:wrapNone/>
              <wp:docPr id="1656157937"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7FF903E6" w14:textId="0F17902F" w:rsidR="008A279A" w:rsidRPr="008A279A" w:rsidRDefault="008A279A" w:rsidP="008A279A">
                          <w:pPr>
                            <w:spacing w:after="0"/>
                            <w:rPr>
                              <w:rFonts w:ascii="Calibri" w:eastAsia="Calibri" w:hAnsi="Calibri" w:cs="Calibri"/>
                              <w:noProof/>
                              <w:color w:val="000000"/>
                              <w:sz w:val="16"/>
                              <w:szCs w:val="16"/>
                            </w:rPr>
                          </w:pPr>
                          <w:r w:rsidRPr="008A279A">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8A3F0B9" id="_x0000_t202" coordsize="21600,21600" o:spt="202" path="m,l,21600r21600,l21600,xe">
              <v:stroke joinstyle="miter"/>
              <v:path gradientshapeok="t" o:connecttype="rect"/>
            </v:shapetype>
            <v:shape id="Text Box 1" o:spid="_x0000_s1027"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textbox style="mso-fit-shape-to-text:t" inset="20pt,0,0,15pt">
                <w:txbxContent>
                  <w:p w14:paraId="7FF903E6" w14:textId="0F17902F" w:rsidR="008A279A" w:rsidRPr="008A279A" w:rsidRDefault="008A279A" w:rsidP="008A279A">
                    <w:pPr>
                      <w:spacing w:after="0"/>
                      <w:rPr>
                        <w:rFonts w:ascii="Calibri" w:eastAsia="Calibri" w:hAnsi="Calibri" w:cs="Calibri"/>
                        <w:noProof/>
                        <w:color w:val="000000"/>
                        <w:sz w:val="16"/>
                        <w:szCs w:val="16"/>
                      </w:rPr>
                    </w:pPr>
                    <w:r w:rsidRPr="008A279A">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59BBB" w14:textId="77777777" w:rsidR="004C47C8" w:rsidRDefault="004C47C8" w:rsidP="008A279A">
      <w:pPr>
        <w:spacing w:after="0" w:line="240" w:lineRule="auto"/>
      </w:pPr>
      <w:r>
        <w:separator/>
      </w:r>
    </w:p>
  </w:footnote>
  <w:footnote w:type="continuationSeparator" w:id="0">
    <w:p w14:paraId="4A888BD8" w14:textId="77777777" w:rsidR="004C47C8" w:rsidRDefault="004C47C8" w:rsidP="008A27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955E6"/>
    <w:multiLevelType w:val="multilevel"/>
    <w:tmpl w:val="5334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613551"/>
    <w:multiLevelType w:val="hybridMultilevel"/>
    <w:tmpl w:val="3702A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D62DED"/>
    <w:multiLevelType w:val="hybridMultilevel"/>
    <w:tmpl w:val="31BA3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3F37DA"/>
    <w:multiLevelType w:val="hybridMultilevel"/>
    <w:tmpl w:val="D614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4E61E5"/>
    <w:multiLevelType w:val="hybridMultilevel"/>
    <w:tmpl w:val="D64488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8925523">
    <w:abstractNumId w:val="0"/>
  </w:num>
  <w:num w:numId="2" w16cid:durableId="516358829">
    <w:abstractNumId w:val="2"/>
  </w:num>
  <w:num w:numId="3" w16cid:durableId="1227103229">
    <w:abstractNumId w:val="3"/>
  </w:num>
  <w:num w:numId="4" w16cid:durableId="1125468679">
    <w:abstractNumId w:val="1"/>
  </w:num>
  <w:num w:numId="5" w16cid:durableId="8082848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79A"/>
    <w:rsid w:val="0000684B"/>
    <w:rsid w:val="00010BF3"/>
    <w:rsid w:val="0001472B"/>
    <w:rsid w:val="000208E7"/>
    <w:rsid w:val="0004543E"/>
    <w:rsid w:val="00047A69"/>
    <w:rsid w:val="00054D42"/>
    <w:rsid w:val="0007089D"/>
    <w:rsid w:val="00070CF3"/>
    <w:rsid w:val="000807D3"/>
    <w:rsid w:val="00085D0D"/>
    <w:rsid w:val="000958C5"/>
    <w:rsid w:val="00096804"/>
    <w:rsid w:val="000A18F4"/>
    <w:rsid w:val="000B0C9F"/>
    <w:rsid w:val="000C7D50"/>
    <w:rsid w:val="000C7E20"/>
    <w:rsid w:val="000E002D"/>
    <w:rsid w:val="000E4FBE"/>
    <w:rsid w:val="00113867"/>
    <w:rsid w:val="00127729"/>
    <w:rsid w:val="00131533"/>
    <w:rsid w:val="00141D07"/>
    <w:rsid w:val="00156256"/>
    <w:rsid w:val="00157B8C"/>
    <w:rsid w:val="0016452C"/>
    <w:rsid w:val="00164DFB"/>
    <w:rsid w:val="001722F3"/>
    <w:rsid w:val="00180C68"/>
    <w:rsid w:val="00183E30"/>
    <w:rsid w:val="00194CFF"/>
    <w:rsid w:val="00194DCF"/>
    <w:rsid w:val="001B30F5"/>
    <w:rsid w:val="001C2317"/>
    <w:rsid w:val="001D0B1C"/>
    <w:rsid w:val="001D3141"/>
    <w:rsid w:val="001D778C"/>
    <w:rsid w:val="001E1671"/>
    <w:rsid w:val="001E39D5"/>
    <w:rsid w:val="00203DAE"/>
    <w:rsid w:val="002069EF"/>
    <w:rsid w:val="00206C1A"/>
    <w:rsid w:val="00214882"/>
    <w:rsid w:val="00231151"/>
    <w:rsid w:val="00237977"/>
    <w:rsid w:val="0025191B"/>
    <w:rsid w:val="002542EF"/>
    <w:rsid w:val="00255542"/>
    <w:rsid w:val="00260A84"/>
    <w:rsid w:val="00270C77"/>
    <w:rsid w:val="0028141B"/>
    <w:rsid w:val="002A2D83"/>
    <w:rsid w:val="002B00C2"/>
    <w:rsid w:val="002F1868"/>
    <w:rsid w:val="002F588D"/>
    <w:rsid w:val="003022E9"/>
    <w:rsid w:val="0031664B"/>
    <w:rsid w:val="00325280"/>
    <w:rsid w:val="0034387D"/>
    <w:rsid w:val="00343D32"/>
    <w:rsid w:val="00351CBD"/>
    <w:rsid w:val="00357DEF"/>
    <w:rsid w:val="00360876"/>
    <w:rsid w:val="00361B61"/>
    <w:rsid w:val="00373307"/>
    <w:rsid w:val="00381D14"/>
    <w:rsid w:val="00385803"/>
    <w:rsid w:val="00393D3C"/>
    <w:rsid w:val="003A0AAD"/>
    <w:rsid w:val="003A452F"/>
    <w:rsid w:val="003A6B91"/>
    <w:rsid w:val="003B12B0"/>
    <w:rsid w:val="003B5D89"/>
    <w:rsid w:val="003F4A2B"/>
    <w:rsid w:val="00412499"/>
    <w:rsid w:val="0042002E"/>
    <w:rsid w:val="0042152D"/>
    <w:rsid w:val="00424677"/>
    <w:rsid w:val="004436E9"/>
    <w:rsid w:val="00491363"/>
    <w:rsid w:val="0049294A"/>
    <w:rsid w:val="00493F39"/>
    <w:rsid w:val="0049751B"/>
    <w:rsid w:val="004C47C8"/>
    <w:rsid w:val="004F2FCC"/>
    <w:rsid w:val="004F512E"/>
    <w:rsid w:val="00505F71"/>
    <w:rsid w:val="00514C19"/>
    <w:rsid w:val="00522E88"/>
    <w:rsid w:val="0052492E"/>
    <w:rsid w:val="00524E64"/>
    <w:rsid w:val="00524F1C"/>
    <w:rsid w:val="00530B33"/>
    <w:rsid w:val="00534BC9"/>
    <w:rsid w:val="00537EA7"/>
    <w:rsid w:val="005441E2"/>
    <w:rsid w:val="00546073"/>
    <w:rsid w:val="00547CDA"/>
    <w:rsid w:val="0056256E"/>
    <w:rsid w:val="005703C0"/>
    <w:rsid w:val="00572770"/>
    <w:rsid w:val="0057484E"/>
    <w:rsid w:val="0057622B"/>
    <w:rsid w:val="005862EF"/>
    <w:rsid w:val="0059008E"/>
    <w:rsid w:val="00591C03"/>
    <w:rsid w:val="005939A9"/>
    <w:rsid w:val="005B116E"/>
    <w:rsid w:val="005B7610"/>
    <w:rsid w:val="005D4B24"/>
    <w:rsid w:val="005D6D0E"/>
    <w:rsid w:val="005E2E90"/>
    <w:rsid w:val="005E3659"/>
    <w:rsid w:val="005E67D4"/>
    <w:rsid w:val="005F29B3"/>
    <w:rsid w:val="005F5284"/>
    <w:rsid w:val="00607D31"/>
    <w:rsid w:val="00610E68"/>
    <w:rsid w:val="00633A9B"/>
    <w:rsid w:val="0064543A"/>
    <w:rsid w:val="0064744F"/>
    <w:rsid w:val="0065473B"/>
    <w:rsid w:val="00667CD2"/>
    <w:rsid w:val="00677F61"/>
    <w:rsid w:val="00685866"/>
    <w:rsid w:val="00694F11"/>
    <w:rsid w:val="00696778"/>
    <w:rsid w:val="00696C43"/>
    <w:rsid w:val="006C5E60"/>
    <w:rsid w:val="006D2806"/>
    <w:rsid w:val="006E03FC"/>
    <w:rsid w:val="006F130B"/>
    <w:rsid w:val="006F5C13"/>
    <w:rsid w:val="00715808"/>
    <w:rsid w:val="007451EC"/>
    <w:rsid w:val="00750BB7"/>
    <w:rsid w:val="00751567"/>
    <w:rsid w:val="00763BA9"/>
    <w:rsid w:val="0076644D"/>
    <w:rsid w:val="00766523"/>
    <w:rsid w:val="00766FA9"/>
    <w:rsid w:val="0077074B"/>
    <w:rsid w:val="00792E67"/>
    <w:rsid w:val="007C31F1"/>
    <w:rsid w:val="007D3B5F"/>
    <w:rsid w:val="007D75FC"/>
    <w:rsid w:val="007E0A4C"/>
    <w:rsid w:val="007E6D8D"/>
    <w:rsid w:val="007F1A30"/>
    <w:rsid w:val="007F7C3C"/>
    <w:rsid w:val="00800065"/>
    <w:rsid w:val="0080551C"/>
    <w:rsid w:val="00806864"/>
    <w:rsid w:val="00824E99"/>
    <w:rsid w:val="00835797"/>
    <w:rsid w:val="00866832"/>
    <w:rsid w:val="0088215F"/>
    <w:rsid w:val="00890D74"/>
    <w:rsid w:val="008A279A"/>
    <w:rsid w:val="008A2B09"/>
    <w:rsid w:val="008A3DEB"/>
    <w:rsid w:val="008B5EDB"/>
    <w:rsid w:val="008C74CF"/>
    <w:rsid w:val="008E0344"/>
    <w:rsid w:val="00903255"/>
    <w:rsid w:val="009047DA"/>
    <w:rsid w:val="0091271E"/>
    <w:rsid w:val="00914A63"/>
    <w:rsid w:val="00917665"/>
    <w:rsid w:val="00922FB2"/>
    <w:rsid w:val="0092339B"/>
    <w:rsid w:val="00924455"/>
    <w:rsid w:val="009411F9"/>
    <w:rsid w:val="00942984"/>
    <w:rsid w:val="00953E24"/>
    <w:rsid w:val="00962633"/>
    <w:rsid w:val="009703BA"/>
    <w:rsid w:val="009839FC"/>
    <w:rsid w:val="009A4164"/>
    <w:rsid w:val="009A5643"/>
    <w:rsid w:val="009C04CA"/>
    <w:rsid w:val="009C2943"/>
    <w:rsid w:val="009C4095"/>
    <w:rsid w:val="009C452E"/>
    <w:rsid w:val="009D3CE4"/>
    <w:rsid w:val="009E7D81"/>
    <w:rsid w:val="00A119CD"/>
    <w:rsid w:val="00A207F4"/>
    <w:rsid w:val="00A27B6F"/>
    <w:rsid w:val="00A4057A"/>
    <w:rsid w:val="00A510BD"/>
    <w:rsid w:val="00A65C34"/>
    <w:rsid w:val="00A73C76"/>
    <w:rsid w:val="00A74BF4"/>
    <w:rsid w:val="00A87458"/>
    <w:rsid w:val="00A87DB7"/>
    <w:rsid w:val="00A93509"/>
    <w:rsid w:val="00A9551C"/>
    <w:rsid w:val="00AB4801"/>
    <w:rsid w:val="00AC1A71"/>
    <w:rsid w:val="00AE0082"/>
    <w:rsid w:val="00AE66D0"/>
    <w:rsid w:val="00B02C72"/>
    <w:rsid w:val="00B13C69"/>
    <w:rsid w:val="00B256A3"/>
    <w:rsid w:val="00B30D9F"/>
    <w:rsid w:val="00B421E5"/>
    <w:rsid w:val="00B450F2"/>
    <w:rsid w:val="00B50443"/>
    <w:rsid w:val="00B70E42"/>
    <w:rsid w:val="00B71074"/>
    <w:rsid w:val="00B716D4"/>
    <w:rsid w:val="00B809AE"/>
    <w:rsid w:val="00B83B00"/>
    <w:rsid w:val="00B92BDA"/>
    <w:rsid w:val="00BA5CB4"/>
    <w:rsid w:val="00BC2D76"/>
    <w:rsid w:val="00BD620D"/>
    <w:rsid w:val="00BE0674"/>
    <w:rsid w:val="00BE56AE"/>
    <w:rsid w:val="00C0086F"/>
    <w:rsid w:val="00C03C58"/>
    <w:rsid w:val="00C10477"/>
    <w:rsid w:val="00C35FB6"/>
    <w:rsid w:val="00C533C2"/>
    <w:rsid w:val="00C53959"/>
    <w:rsid w:val="00C5605B"/>
    <w:rsid w:val="00C90A1A"/>
    <w:rsid w:val="00C923A9"/>
    <w:rsid w:val="00C93667"/>
    <w:rsid w:val="00CC7380"/>
    <w:rsid w:val="00CD48EE"/>
    <w:rsid w:val="00CE1C28"/>
    <w:rsid w:val="00CF53A7"/>
    <w:rsid w:val="00D02410"/>
    <w:rsid w:val="00D22EE1"/>
    <w:rsid w:val="00D31FD9"/>
    <w:rsid w:val="00D37602"/>
    <w:rsid w:val="00D420ED"/>
    <w:rsid w:val="00D517ED"/>
    <w:rsid w:val="00D65F8D"/>
    <w:rsid w:val="00D7795C"/>
    <w:rsid w:val="00D84B92"/>
    <w:rsid w:val="00D96E91"/>
    <w:rsid w:val="00DA7938"/>
    <w:rsid w:val="00DB31AA"/>
    <w:rsid w:val="00DC22D7"/>
    <w:rsid w:val="00DF328F"/>
    <w:rsid w:val="00E000F9"/>
    <w:rsid w:val="00E07A90"/>
    <w:rsid w:val="00E1030B"/>
    <w:rsid w:val="00E127C2"/>
    <w:rsid w:val="00E15078"/>
    <w:rsid w:val="00E17672"/>
    <w:rsid w:val="00E17FBC"/>
    <w:rsid w:val="00E20003"/>
    <w:rsid w:val="00E2703E"/>
    <w:rsid w:val="00E338AF"/>
    <w:rsid w:val="00E36445"/>
    <w:rsid w:val="00E41746"/>
    <w:rsid w:val="00E462D7"/>
    <w:rsid w:val="00E46E3F"/>
    <w:rsid w:val="00E47181"/>
    <w:rsid w:val="00E4737E"/>
    <w:rsid w:val="00E50A96"/>
    <w:rsid w:val="00E50D1F"/>
    <w:rsid w:val="00E53AFF"/>
    <w:rsid w:val="00E54D4C"/>
    <w:rsid w:val="00E57B3F"/>
    <w:rsid w:val="00E665D0"/>
    <w:rsid w:val="00E71293"/>
    <w:rsid w:val="00EB3927"/>
    <w:rsid w:val="00ED0F71"/>
    <w:rsid w:val="00ED59AB"/>
    <w:rsid w:val="00EF01FB"/>
    <w:rsid w:val="00EF3551"/>
    <w:rsid w:val="00F07EC8"/>
    <w:rsid w:val="00F15A23"/>
    <w:rsid w:val="00F23E12"/>
    <w:rsid w:val="00F27767"/>
    <w:rsid w:val="00F3258F"/>
    <w:rsid w:val="00F45A53"/>
    <w:rsid w:val="00F518DD"/>
    <w:rsid w:val="00F75136"/>
    <w:rsid w:val="00F827A8"/>
    <w:rsid w:val="00F9576F"/>
    <w:rsid w:val="00F964E8"/>
    <w:rsid w:val="00FB6FDC"/>
    <w:rsid w:val="00FC4D70"/>
    <w:rsid w:val="00FC5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73BEC"/>
  <w15:chartTrackingRefBased/>
  <w15:docId w15:val="{E356EEAB-24F6-45E6-8CFD-90E0B25F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41B"/>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8A279A"/>
    <w:pPr>
      <w:spacing w:before="160"/>
      <w:jc w:val="center"/>
    </w:pPr>
    <w:rPr>
      <w:i/>
      <w:iCs/>
      <w:color w:val="404040" w:themeColor="text1" w:themeTint="BF"/>
    </w:rPr>
  </w:style>
  <w:style w:type="character" w:customStyle="1" w:styleId="QuoteChar">
    <w:name w:val="Quote Char"/>
    <w:basedOn w:val="DefaultParagraphFont"/>
    <w:link w:val="Quote"/>
    <w:uiPriority w:val="29"/>
    <w:rsid w:val="008A279A"/>
    <w:rPr>
      <w:rFonts w:ascii="Arial" w:hAnsi="Arial"/>
      <w:i/>
      <w:iCs/>
      <w:color w:val="404040" w:themeColor="text1" w:themeTint="BF"/>
    </w:rPr>
  </w:style>
  <w:style w:type="paragraph" w:styleId="Footer">
    <w:name w:val="footer"/>
    <w:basedOn w:val="Normal"/>
    <w:link w:val="FooterChar"/>
    <w:uiPriority w:val="99"/>
    <w:unhideWhenUsed/>
    <w:rsid w:val="008A2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79A"/>
    <w:rPr>
      <w:rFonts w:ascii="Arial" w:hAnsi="Arial"/>
    </w:rPr>
  </w:style>
  <w:style w:type="paragraph" w:customStyle="1" w:styleId="paragraph">
    <w:name w:val="paragraph"/>
    <w:basedOn w:val="Normal"/>
    <w:rsid w:val="002814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8141B"/>
  </w:style>
  <w:style w:type="character" w:styleId="Hyperlink">
    <w:name w:val="Hyperlink"/>
    <w:basedOn w:val="DefaultParagraphFont"/>
    <w:uiPriority w:val="99"/>
    <w:unhideWhenUsed/>
    <w:rsid w:val="00E127C2"/>
    <w:rPr>
      <w:color w:val="467886" w:themeColor="hyperlink"/>
      <w:u w:val="single"/>
    </w:rPr>
  </w:style>
  <w:style w:type="character" w:styleId="UnresolvedMention">
    <w:name w:val="Unresolved Mention"/>
    <w:basedOn w:val="DefaultParagraphFont"/>
    <w:uiPriority w:val="99"/>
    <w:semiHidden/>
    <w:unhideWhenUsed/>
    <w:rsid w:val="00E127C2"/>
    <w:rPr>
      <w:color w:val="605E5C"/>
      <w:shd w:val="clear" w:color="auto" w:fill="E1DFDD"/>
    </w:rPr>
  </w:style>
  <w:style w:type="paragraph" w:styleId="Header">
    <w:name w:val="header"/>
    <w:basedOn w:val="Normal"/>
    <w:link w:val="HeaderChar"/>
    <w:uiPriority w:val="99"/>
    <w:unhideWhenUsed/>
    <w:rsid w:val="008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DEB"/>
  </w:style>
  <w:style w:type="paragraph" w:styleId="NormalWeb">
    <w:name w:val="Normal (Web)"/>
    <w:basedOn w:val="Normal"/>
    <w:uiPriority w:val="99"/>
    <w:semiHidden/>
    <w:unhideWhenUsed/>
    <w:rsid w:val="005B761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30700">
      <w:bodyDiv w:val="1"/>
      <w:marLeft w:val="0"/>
      <w:marRight w:val="0"/>
      <w:marTop w:val="0"/>
      <w:marBottom w:val="0"/>
      <w:divBdr>
        <w:top w:val="none" w:sz="0" w:space="0" w:color="auto"/>
        <w:left w:val="none" w:sz="0" w:space="0" w:color="auto"/>
        <w:bottom w:val="none" w:sz="0" w:space="0" w:color="auto"/>
        <w:right w:val="none" w:sz="0" w:space="0" w:color="auto"/>
      </w:divBdr>
    </w:div>
    <w:div w:id="80494723">
      <w:bodyDiv w:val="1"/>
      <w:marLeft w:val="0"/>
      <w:marRight w:val="0"/>
      <w:marTop w:val="0"/>
      <w:marBottom w:val="0"/>
      <w:divBdr>
        <w:top w:val="none" w:sz="0" w:space="0" w:color="auto"/>
        <w:left w:val="none" w:sz="0" w:space="0" w:color="auto"/>
        <w:bottom w:val="none" w:sz="0" w:space="0" w:color="auto"/>
        <w:right w:val="none" w:sz="0" w:space="0" w:color="auto"/>
      </w:divBdr>
    </w:div>
    <w:div w:id="165749859">
      <w:bodyDiv w:val="1"/>
      <w:marLeft w:val="0"/>
      <w:marRight w:val="0"/>
      <w:marTop w:val="0"/>
      <w:marBottom w:val="0"/>
      <w:divBdr>
        <w:top w:val="none" w:sz="0" w:space="0" w:color="auto"/>
        <w:left w:val="none" w:sz="0" w:space="0" w:color="auto"/>
        <w:bottom w:val="none" w:sz="0" w:space="0" w:color="auto"/>
        <w:right w:val="none" w:sz="0" w:space="0" w:color="auto"/>
      </w:divBdr>
    </w:div>
    <w:div w:id="187110600">
      <w:bodyDiv w:val="1"/>
      <w:marLeft w:val="0"/>
      <w:marRight w:val="0"/>
      <w:marTop w:val="0"/>
      <w:marBottom w:val="0"/>
      <w:divBdr>
        <w:top w:val="none" w:sz="0" w:space="0" w:color="auto"/>
        <w:left w:val="none" w:sz="0" w:space="0" w:color="auto"/>
        <w:bottom w:val="none" w:sz="0" w:space="0" w:color="auto"/>
        <w:right w:val="none" w:sz="0" w:space="0" w:color="auto"/>
      </w:divBdr>
    </w:div>
    <w:div w:id="187717740">
      <w:bodyDiv w:val="1"/>
      <w:marLeft w:val="0"/>
      <w:marRight w:val="0"/>
      <w:marTop w:val="0"/>
      <w:marBottom w:val="0"/>
      <w:divBdr>
        <w:top w:val="none" w:sz="0" w:space="0" w:color="auto"/>
        <w:left w:val="none" w:sz="0" w:space="0" w:color="auto"/>
        <w:bottom w:val="none" w:sz="0" w:space="0" w:color="auto"/>
        <w:right w:val="none" w:sz="0" w:space="0" w:color="auto"/>
      </w:divBdr>
    </w:div>
    <w:div w:id="360787980">
      <w:bodyDiv w:val="1"/>
      <w:marLeft w:val="0"/>
      <w:marRight w:val="0"/>
      <w:marTop w:val="0"/>
      <w:marBottom w:val="0"/>
      <w:divBdr>
        <w:top w:val="none" w:sz="0" w:space="0" w:color="auto"/>
        <w:left w:val="none" w:sz="0" w:space="0" w:color="auto"/>
        <w:bottom w:val="none" w:sz="0" w:space="0" w:color="auto"/>
        <w:right w:val="none" w:sz="0" w:space="0" w:color="auto"/>
      </w:divBdr>
    </w:div>
    <w:div w:id="505828061">
      <w:bodyDiv w:val="1"/>
      <w:marLeft w:val="0"/>
      <w:marRight w:val="0"/>
      <w:marTop w:val="0"/>
      <w:marBottom w:val="0"/>
      <w:divBdr>
        <w:top w:val="none" w:sz="0" w:space="0" w:color="auto"/>
        <w:left w:val="none" w:sz="0" w:space="0" w:color="auto"/>
        <w:bottom w:val="none" w:sz="0" w:space="0" w:color="auto"/>
        <w:right w:val="none" w:sz="0" w:space="0" w:color="auto"/>
      </w:divBdr>
    </w:div>
    <w:div w:id="640885831">
      <w:bodyDiv w:val="1"/>
      <w:marLeft w:val="0"/>
      <w:marRight w:val="0"/>
      <w:marTop w:val="0"/>
      <w:marBottom w:val="0"/>
      <w:divBdr>
        <w:top w:val="none" w:sz="0" w:space="0" w:color="auto"/>
        <w:left w:val="none" w:sz="0" w:space="0" w:color="auto"/>
        <w:bottom w:val="none" w:sz="0" w:space="0" w:color="auto"/>
        <w:right w:val="none" w:sz="0" w:space="0" w:color="auto"/>
      </w:divBdr>
    </w:div>
    <w:div w:id="735249763">
      <w:bodyDiv w:val="1"/>
      <w:marLeft w:val="0"/>
      <w:marRight w:val="0"/>
      <w:marTop w:val="0"/>
      <w:marBottom w:val="0"/>
      <w:divBdr>
        <w:top w:val="none" w:sz="0" w:space="0" w:color="auto"/>
        <w:left w:val="none" w:sz="0" w:space="0" w:color="auto"/>
        <w:bottom w:val="none" w:sz="0" w:space="0" w:color="auto"/>
        <w:right w:val="none" w:sz="0" w:space="0" w:color="auto"/>
      </w:divBdr>
    </w:div>
    <w:div w:id="1004626649">
      <w:bodyDiv w:val="1"/>
      <w:marLeft w:val="0"/>
      <w:marRight w:val="0"/>
      <w:marTop w:val="0"/>
      <w:marBottom w:val="0"/>
      <w:divBdr>
        <w:top w:val="none" w:sz="0" w:space="0" w:color="auto"/>
        <w:left w:val="none" w:sz="0" w:space="0" w:color="auto"/>
        <w:bottom w:val="none" w:sz="0" w:space="0" w:color="auto"/>
        <w:right w:val="none" w:sz="0" w:space="0" w:color="auto"/>
      </w:divBdr>
    </w:div>
    <w:div w:id="1712344707">
      <w:bodyDiv w:val="1"/>
      <w:marLeft w:val="0"/>
      <w:marRight w:val="0"/>
      <w:marTop w:val="0"/>
      <w:marBottom w:val="0"/>
      <w:divBdr>
        <w:top w:val="none" w:sz="0" w:space="0" w:color="auto"/>
        <w:left w:val="none" w:sz="0" w:space="0" w:color="auto"/>
        <w:bottom w:val="none" w:sz="0" w:space="0" w:color="auto"/>
        <w:right w:val="none" w:sz="0" w:space="0" w:color="auto"/>
      </w:divBdr>
    </w:div>
    <w:div w:id="178391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plus-lexis-com.ezproxy.uwtsd.ac.uk/uk/cases-uk/roscorla-v-thomas/?crid=78f4280e-4b3d-4c01-b192-d2c9487ec272&amp;pdiskwicview=false" TargetMode="External"/><Relationship Id="rId18" Type="http://schemas.openxmlformats.org/officeDocument/2006/relationships/hyperlink" Target="https://www.lawteacher.net/cases/brogden-v-metropolitan.php" TargetMode="External"/><Relationship Id="rId3" Type="http://schemas.openxmlformats.org/officeDocument/2006/relationships/settings" Target="settings.xml"/><Relationship Id="rId21" Type="http://schemas.openxmlformats.org/officeDocument/2006/relationships/hyperlink" Target="https://www.legislation.gov.uk/uksi/2005/1803/contents" TargetMode="External"/><Relationship Id="rId7" Type="http://schemas.openxmlformats.org/officeDocument/2006/relationships/image" Target="media/image1.jpeg"/><Relationship Id="rId12" Type="http://schemas.openxmlformats.org/officeDocument/2006/relationships/hyperlink" Target="https://www.gov.uk/government/publications/general-product-safety-regulations-2005/general-product-safety-regulations-2005-great-britain" TargetMode="External"/><Relationship Id="rId17" Type="http://schemas.openxmlformats.org/officeDocument/2006/relationships/hyperlink" Target="https://plus-lexis-com.ezproxy.uwtsd.ac.uk/uk/document/?pddocfullpath=%2Fshared%2Fdocument%2Fanalytical-materials-uk%2Furn:contentItem:6D39-2FV3-RSSR-G3P6-00000-00&amp;tocnodeid=TAAWADT&amp;isviewwholeof=true&amp;fontType=verdana&amp;fontSize=Small&amp;doccollection=analytical-materials-uk&amp;tocid=urn:contentItem:5M7G-92H1-FCM4-V000-00000-00&amp;docProviderId=dg4k&amp;pct=urn:pct:237&amp;hlct=urn:hlct:50&amp;pageNumber=0&amp;new-toc=1&amp;docLni=6D39-2FV3-RSSR-G3P6-00000-00&amp;crid=dab259f4-ad97-42c1-827a-abbb3f27c5d8" TargetMode="External"/><Relationship Id="rId2" Type="http://schemas.openxmlformats.org/officeDocument/2006/relationships/styles" Target="styles.xml"/><Relationship Id="rId16" Type="http://schemas.openxmlformats.org/officeDocument/2006/relationships/hyperlink" Target="https://plus-lexis-com.ezproxy.uwtsd.ac.uk/uk/cases-uk/blue-v-ashley/?crid=4fbba3a7-41e6-4ee3-8273-306904a95b14&amp;pddocumentnumber=1" TargetMode="External"/><Relationship Id="rId20" Type="http://schemas.openxmlformats.org/officeDocument/2006/relationships/hyperlink" Target="https://www.legislation.gov.uk/asc/2023/2/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environmental-protection-single-use-plastic-products-wales-ac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lus-lexis-com.ezproxy.uwtsd.ac.uk/uk/cases-uk/balfour-v-balfour_2/?crid=383cb12c-fcbe-422b-a3d0-a50d1bd9bc9f&amp;pddocumentnumber=1" TargetMode="External"/><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hyperlink" Target="https://www.legislation.gov.uk/ukpga/2015/15/contents"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plus-lexis-com.ezproxy.uwtsd.ac.uk/uk/cases-uk/carlill-v-carbolic-smoke-ball-co-1891-94-al/?crid=5c083ffa-6cd1-4f67-9e92-fa3454f27a69&amp;pdproductcontenttypeid=urn:pct:285&amp;pdiskwicview=false&amp;pdpinpoint=" TargetMode="External"/><Relationship Id="rId22" Type="http://schemas.openxmlformats.org/officeDocument/2006/relationships/hyperlink" Target="https://littletonchambers.com/articles-webinars/new-appeal-decision-on-consumer-rights-act-2015-david-lascel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3164</Words>
  <Characters>18038</Characters>
  <Application>Microsoft Office Word</Application>
  <DocSecurity>0</DocSecurity>
  <Lines>150</Lines>
  <Paragraphs>42</Paragraphs>
  <ScaleCrop>false</ScaleCrop>
  <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Graham P</dc:creator>
  <cp:keywords/>
  <dc:description/>
  <cp:lastModifiedBy>Jones, Graham P</cp:lastModifiedBy>
  <cp:revision>277</cp:revision>
  <dcterms:created xsi:type="dcterms:W3CDTF">2025-05-12T11:29:00Z</dcterms:created>
  <dcterms:modified xsi:type="dcterms:W3CDTF">2025-06-05T09:35:00Z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62b6f6f1,42577463,222a3ae1</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