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209A058" w14:textId="4F424751" w:rsidR="0047038E" w:rsidRPr="00CF5136" w:rsidRDefault="0047038E" w:rsidP="0047038E">
      <w:pPr>
        <w:spacing w:line="360" w:lineRule="auto"/>
        <w:jc w:val="center"/>
        <w:rPr>
          <w:b/>
          <w:sz w:val="24"/>
          <w:szCs w:val="24"/>
        </w:rPr>
      </w:pPr>
      <w:r w:rsidRPr="00CF5136">
        <w:rPr>
          <w:b/>
          <w:sz w:val="24"/>
          <w:szCs w:val="24"/>
        </w:rPr>
        <w:t>The law code of Hammurabi</w:t>
      </w:r>
    </w:p>
    <w:p w14:paraId="31072F67" w14:textId="3D76A344" w:rsidR="00B968E2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The law code of Hammurabi is one of the most importa</w:t>
      </w:r>
      <w:r w:rsidR="005B143A">
        <w:rPr>
          <w:rFonts w:cs="Times New Roman"/>
          <w:sz w:val="24"/>
          <w:szCs w:val="24"/>
        </w:rPr>
        <w:t>nt sources when studying</w:t>
      </w:r>
      <w:r w:rsidRPr="00CF5136">
        <w:rPr>
          <w:rFonts w:cs="Times New Roman"/>
          <w:sz w:val="24"/>
          <w:szCs w:val="24"/>
        </w:rPr>
        <w:t xml:space="preserve"> ancient Near Eastern law</w:t>
      </w:r>
      <w:r w:rsidRPr="00CF5136">
        <w:rPr>
          <w:rStyle w:val="Funotenzeichen"/>
          <w:rFonts w:cs="Times New Roman"/>
          <w:sz w:val="24"/>
          <w:szCs w:val="24"/>
        </w:rPr>
        <w:footnoteReference w:id="1"/>
      </w:r>
      <w:r w:rsidRPr="00CF5136">
        <w:rPr>
          <w:rFonts w:cs="Times New Roman"/>
          <w:sz w:val="24"/>
          <w:szCs w:val="24"/>
        </w:rPr>
        <w:t>, and has been named “the most informative single source for legal hist</w:t>
      </w:r>
      <w:r w:rsidR="00451511" w:rsidRPr="00CF5136">
        <w:rPr>
          <w:rFonts w:cs="Times New Roman"/>
          <w:sz w:val="24"/>
          <w:szCs w:val="24"/>
        </w:rPr>
        <w:t>ory before the classical world”</w:t>
      </w:r>
      <w:r w:rsidRPr="00CF5136">
        <w:rPr>
          <w:rStyle w:val="Funotenzeichen"/>
          <w:rFonts w:cs="Times New Roman"/>
          <w:sz w:val="24"/>
          <w:szCs w:val="24"/>
        </w:rPr>
        <w:footnoteReference w:id="2"/>
      </w:r>
      <w:r w:rsidR="00451511" w:rsidRPr="00CF5136">
        <w:rPr>
          <w:rFonts w:cs="Times New Roman"/>
          <w:sz w:val="24"/>
          <w:szCs w:val="24"/>
        </w:rPr>
        <w:t>.</w:t>
      </w:r>
      <w:r w:rsidRPr="00CF5136">
        <w:rPr>
          <w:rFonts w:cs="Times New Roman"/>
          <w:sz w:val="24"/>
          <w:szCs w:val="24"/>
        </w:rPr>
        <w:t xml:space="preserve"> It is called a civil code</w:t>
      </w:r>
      <w:r w:rsidRPr="00CF5136">
        <w:rPr>
          <w:rStyle w:val="Funotenzeichen"/>
          <w:rFonts w:cs="Times New Roman"/>
          <w:sz w:val="24"/>
          <w:szCs w:val="24"/>
        </w:rPr>
        <w:footnoteReference w:id="3"/>
      </w:r>
      <w:r w:rsidRPr="00CF5136">
        <w:rPr>
          <w:rFonts w:cs="Times New Roman"/>
          <w:sz w:val="24"/>
          <w:szCs w:val="24"/>
        </w:rPr>
        <w:t xml:space="preserve"> in the sense that it prescribes decisions, referred to as laws representing legal rules</w:t>
      </w:r>
      <w:r w:rsidRPr="00CF5136">
        <w:rPr>
          <w:rStyle w:val="Funotenzeichen"/>
          <w:rFonts w:cs="Times New Roman"/>
          <w:sz w:val="24"/>
          <w:szCs w:val="24"/>
        </w:rPr>
        <w:footnoteReference w:id="4"/>
      </w:r>
      <w:r w:rsidRPr="00CF5136">
        <w:rPr>
          <w:rFonts w:cs="Times New Roman"/>
          <w:sz w:val="24"/>
          <w:szCs w:val="24"/>
        </w:rPr>
        <w:t xml:space="preserve">. </w:t>
      </w:r>
      <w:r w:rsidR="00221705" w:rsidRPr="00CF5136">
        <w:rPr>
          <w:rFonts w:cs="Times New Roman"/>
          <w:sz w:val="24"/>
          <w:szCs w:val="24"/>
        </w:rPr>
        <w:t>It was m</w:t>
      </w:r>
      <w:r w:rsidRPr="00CF5136">
        <w:rPr>
          <w:rFonts w:cs="Times New Roman"/>
          <w:sz w:val="24"/>
          <w:szCs w:val="24"/>
        </w:rPr>
        <w:t>ade by the Amorite king Hammurabi, sixth king of the first Dynasty of Babylon</w:t>
      </w:r>
      <w:r w:rsidRPr="00CF5136">
        <w:rPr>
          <w:rStyle w:val="Funotenzeichen"/>
          <w:rFonts w:cs="Times New Roman"/>
          <w:sz w:val="24"/>
          <w:szCs w:val="24"/>
        </w:rPr>
        <w:footnoteReference w:id="5"/>
      </w:r>
      <w:r w:rsidRPr="00CF5136">
        <w:rPr>
          <w:rFonts w:cs="Times New Roman"/>
          <w:sz w:val="24"/>
          <w:szCs w:val="24"/>
        </w:rPr>
        <w:t>, ruling from 1792-1750 B.C.</w:t>
      </w:r>
      <w:r w:rsidRPr="00CF5136">
        <w:rPr>
          <w:rStyle w:val="Funotenzeichen"/>
          <w:rFonts w:cs="Times New Roman"/>
          <w:sz w:val="24"/>
          <w:szCs w:val="24"/>
        </w:rPr>
        <w:footnoteReference w:id="6"/>
      </w:r>
      <w:r w:rsidRPr="00CF5136">
        <w:rPr>
          <w:rFonts w:cs="Times New Roman"/>
          <w:sz w:val="24"/>
          <w:szCs w:val="24"/>
        </w:rPr>
        <w:t xml:space="preserve">, </w:t>
      </w:r>
      <w:r w:rsidR="00221705" w:rsidRPr="00CF5136">
        <w:rPr>
          <w:rFonts w:cs="Times New Roman"/>
          <w:sz w:val="24"/>
          <w:szCs w:val="24"/>
        </w:rPr>
        <w:t>who was</w:t>
      </w:r>
      <w:r w:rsidRPr="00CF5136">
        <w:rPr>
          <w:rFonts w:cs="Times New Roman"/>
          <w:sz w:val="24"/>
          <w:szCs w:val="24"/>
        </w:rPr>
        <w:t xml:space="preserve"> called “consolidator of the Old Babylonian Empire”</w:t>
      </w:r>
      <w:r w:rsidRPr="00CF5136">
        <w:rPr>
          <w:rStyle w:val="Funotenzeichen"/>
          <w:rFonts w:cs="Times New Roman"/>
          <w:sz w:val="24"/>
          <w:szCs w:val="24"/>
        </w:rPr>
        <w:footnoteReference w:id="7"/>
      </w:r>
      <w:r w:rsidRPr="00CF5136">
        <w:rPr>
          <w:rFonts w:cs="Times New Roman"/>
          <w:sz w:val="24"/>
          <w:szCs w:val="24"/>
        </w:rPr>
        <w:t>. The code is carved onto a two-meter high</w:t>
      </w:r>
      <w:r w:rsidRPr="00CF5136">
        <w:rPr>
          <w:rStyle w:val="Funotenzeichen"/>
          <w:rFonts w:cs="Times New Roman"/>
          <w:sz w:val="24"/>
          <w:szCs w:val="24"/>
        </w:rPr>
        <w:footnoteReference w:id="8"/>
      </w:r>
      <w:r w:rsidRPr="00CF5136">
        <w:rPr>
          <w:rFonts w:cs="Times New Roman"/>
          <w:sz w:val="24"/>
          <w:szCs w:val="24"/>
        </w:rPr>
        <w:t xml:space="preserve"> stone monolith</w:t>
      </w:r>
      <w:r w:rsidRPr="00CF5136">
        <w:rPr>
          <w:rStyle w:val="Funotenzeichen"/>
          <w:rFonts w:cs="Times New Roman"/>
          <w:sz w:val="24"/>
          <w:szCs w:val="24"/>
        </w:rPr>
        <w:footnoteReference w:id="9"/>
      </w:r>
      <w:r w:rsidRPr="00CF5136">
        <w:rPr>
          <w:rFonts w:cs="Times New Roman"/>
          <w:sz w:val="24"/>
          <w:szCs w:val="24"/>
        </w:rPr>
        <w:t xml:space="preserve"> of black diorite</w:t>
      </w:r>
      <w:r w:rsidRPr="00CF5136">
        <w:rPr>
          <w:rStyle w:val="Funotenzeichen"/>
          <w:rFonts w:cs="Times New Roman"/>
          <w:sz w:val="24"/>
          <w:szCs w:val="24"/>
        </w:rPr>
        <w:footnoteReference w:id="10"/>
      </w:r>
      <w:r w:rsidRPr="00CF5136">
        <w:rPr>
          <w:rFonts w:cs="Times New Roman"/>
          <w:sz w:val="24"/>
          <w:szCs w:val="24"/>
        </w:rPr>
        <w:t>. The almost complete document</w:t>
      </w:r>
      <w:r w:rsidRPr="00CF5136">
        <w:rPr>
          <w:rStyle w:val="Funotenzeichen"/>
          <w:rFonts w:cs="Times New Roman"/>
          <w:sz w:val="24"/>
          <w:szCs w:val="24"/>
        </w:rPr>
        <w:footnoteReference w:id="11"/>
      </w:r>
      <w:r w:rsidRPr="00CF5136">
        <w:rPr>
          <w:rFonts w:cs="Times New Roman"/>
          <w:sz w:val="24"/>
          <w:szCs w:val="24"/>
        </w:rPr>
        <w:t>, with sections 66-99 missing</w:t>
      </w:r>
      <w:r w:rsidR="00221705" w:rsidRPr="00CF5136">
        <w:rPr>
          <w:rFonts w:cs="Times New Roman"/>
          <w:sz w:val="24"/>
          <w:szCs w:val="24"/>
        </w:rPr>
        <w:t>,</w:t>
      </w:r>
      <w:r w:rsidRPr="00CF5136">
        <w:rPr>
          <w:rStyle w:val="Funotenzeichen"/>
          <w:rFonts w:cs="Times New Roman"/>
          <w:sz w:val="24"/>
          <w:szCs w:val="24"/>
        </w:rPr>
        <w:footnoteReference w:id="12"/>
      </w:r>
      <w:r w:rsidRPr="00CF5136">
        <w:rPr>
          <w:rFonts w:cs="Times New Roman"/>
          <w:sz w:val="24"/>
          <w:szCs w:val="24"/>
        </w:rPr>
        <w:t xml:space="preserve"> was written in cuneiform letters</w:t>
      </w:r>
      <w:r w:rsidR="00221705" w:rsidRPr="00CF5136">
        <w:rPr>
          <w:rFonts w:cs="Times New Roman"/>
          <w:sz w:val="24"/>
          <w:szCs w:val="24"/>
        </w:rPr>
        <w:t>,</w:t>
      </w:r>
      <w:r w:rsidRPr="00CF5136">
        <w:rPr>
          <w:rStyle w:val="Funotenzeichen"/>
          <w:rFonts w:cs="Times New Roman"/>
          <w:sz w:val="24"/>
          <w:szCs w:val="24"/>
        </w:rPr>
        <w:footnoteReference w:id="13"/>
      </w:r>
      <w:r w:rsidR="00221705" w:rsidRPr="00CF5136">
        <w:rPr>
          <w:rFonts w:cs="Times New Roman"/>
          <w:sz w:val="24"/>
          <w:szCs w:val="24"/>
        </w:rPr>
        <w:t xml:space="preserve"> </w:t>
      </w:r>
      <w:r w:rsidRPr="00CF5136">
        <w:rPr>
          <w:rFonts w:cs="Times New Roman"/>
          <w:sz w:val="24"/>
          <w:szCs w:val="24"/>
        </w:rPr>
        <w:t>and is accompanied by a sculpture in low-relief, right on the top of the monument</w:t>
      </w:r>
      <w:r w:rsidRPr="00CF5136">
        <w:rPr>
          <w:rStyle w:val="Funotenzeichen"/>
          <w:rFonts w:cs="Times New Roman"/>
          <w:sz w:val="24"/>
          <w:szCs w:val="24"/>
        </w:rPr>
        <w:footnoteReference w:id="14"/>
      </w:r>
      <w:r w:rsidR="008267F3">
        <w:rPr>
          <w:rFonts w:cs="Times New Roman"/>
          <w:sz w:val="24"/>
          <w:szCs w:val="24"/>
        </w:rPr>
        <w:t>. The Stele</w:t>
      </w:r>
      <w:r w:rsidRPr="00CF5136">
        <w:rPr>
          <w:rFonts w:cs="Times New Roman"/>
          <w:sz w:val="24"/>
          <w:szCs w:val="24"/>
        </w:rPr>
        <w:t xml:space="preserve"> was found in three fragments at Susa, Iran</w:t>
      </w:r>
      <w:r w:rsidRPr="00CF5136">
        <w:rPr>
          <w:rStyle w:val="Funotenzeichen"/>
          <w:rFonts w:cs="Times New Roman"/>
          <w:sz w:val="24"/>
          <w:szCs w:val="24"/>
        </w:rPr>
        <w:footnoteReference w:id="15"/>
      </w:r>
      <w:r w:rsidRPr="00CF5136">
        <w:rPr>
          <w:rFonts w:cs="Times New Roman"/>
          <w:sz w:val="24"/>
          <w:szCs w:val="24"/>
        </w:rPr>
        <w:t xml:space="preserve"> the ancient capital city of Elam</w:t>
      </w:r>
      <w:r w:rsidRPr="00CF5136">
        <w:rPr>
          <w:rStyle w:val="Funotenzeichen"/>
          <w:rFonts w:cs="Times New Roman"/>
          <w:sz w:val="24"/>
          <w:szCs w:val="24"/>
        </w:rPr>
        <w:footnoteReference w:id="16"/>
      </w:r>
      <w:r w:rsidRPr="00CF5136">
        <w:rPr>
          <w:rFonts w:cs="Times New Roman"/>
          <w:sz w:val="24"/>
          <w:szCs w:val="24"/>
        </w:rPr>
        <w:t xml:space="preserve"> by M. de Morgan in the years 1901 and 1902</w:t>
      </w:r>
      <w:r w:rsidRPr="00CF5136">
        <w:rPr>
          <w:rStyle w:val="Funotenzeichen"/>
          <w:rFonts w:cs="Times New Roman"/>
          <w:sz w:val="24"/>
          <w:szCs w:val="24"/>
        </w:rPr>
        <w:footnoteReference w:id="17"/>
      </w:r>
      <w:r w:rsidR="008267F3">
        <w:rPr>
          <w:rFonts w:cs="Times New Roman"/>
          <w:sz w:val="24"/>
          <w:szCs w:val="24"/>
        </w:rPr>
        <w:t>, as</w:t>
      </w:r>
      <w:r w:rsidRPr="00CF5136">
        <w:rPr>
          <w:rFonts w:cs="Times New Roman"/>
          <w:sz w:val="24"/>
          <w:szCs w:val="24"/>
        </w:rPr>
        <w:t xml:space="preserve"> member of a French expedition</w:t>
      </w:r>
      <w:r w:rsidRPr="00CF5136">
        <w:rPr>
          <w:rStyle w:val="Funotenzeichen"/>
          <w:rFonts w:cs="Times New Roman"/>
          <w:sz w:val="24"/>
          <w:szCs w:val="24"/>
        </w:rPr>
        <w:footnoteReference w:id="18"/>
      </w:r>
      <w:r w:rsidRPr="00CF5136">
        <w:rPr>
          <w:rFonts w:cs="Times New Roman"/>
          <w:sz w:val="24"/>
          <w:szCs w:val="24"/>
        </w:rPr>
        <w:t xml:space="preserve"> and there</w:t>
      </w:r>
      <w:r w:rsidR="008267F3">
        <w:rPr>
          <w:rFonts w:cs="Times New Roman"/>
          <w:sz w:val="24"/>
          <w:szCs w:val="24"/>
        </w:rPr>
        <w:t xml:space="preserve">fore </w:t>
      </w:r>
      <w:r w:rsidRPr="00CF5136">
        <w:rPr>
          <w:rFonts w:cs="Times New Roman"/>
          <w:sz w:val="24"/>
          <w:szCs w:val="24"/>
        </w:rPr>
        <w:t>can be seen today at the louvre in Paris</w:t>
      </w:r>
      <w:r w:rsidRPr="00CF5136">
        <w:rPr>
          <w:rStyle w:val="Funotenzeichen"/>
          <w:rFonts w:cs="Times New Roman"/>
          <w:sz w:val="24"/>
          <w:szCs w:val="24"/>
        </w:rPr>
        <w:footnoteReference w:id="19"/>
      </w:r>
      <w:r w:rsidRPr="00CF5136">
        <w:rPr>
          <w:rFonts w:cs="Times New Roman"/>
          <w:sz w:val="24"/>
          <w:szCs w:val="24"/>
        </w:rPr>
        <w:t>. The code might have impacted generations of Babylonians</w:t>
      </w:r>
      <w:r w:rsidR="008267F3">
        <w:rPr>
          <w:rFonts w:cs="Times New Roman"/>
          <w:sz w:val="24"/>
          <w:szCs w:val="24"/>
        </w:rPr>
        <w:t>, as for centuries, students learned</w:t>
      </w:r>
      <w:r w:rsidRPr="00CF5136">
        <w:rPr>
          <w:rFonts w:cs="Times New Roman"/>
          <w:sz w:val="24"/>
          <w:szCs w:val="24"/>
        </w:rPr>
        <w:t xml:space="preserve"> to read and write</w:t>
      </w:r>
      <w:r w:rsidR="008267F3">
        <w:rPr>
          <w:rFonts w:cs="Times New Roman"/>
          <w:sz w:val="24"/>
          <w:szCs w:val="24"/>
        </w:rPr>
        <w:t xml:space="preserve"> through it, and possibly became</w:t>
      </w:r>
      <w:r w:rsidRPr="00CF5136">
        <w:rPr>
          <w:rFonts w:cs="Times New Roman"/>
          <w:sz w:val="24"/>
          <w:szCs w:val="24"/>
        </w:rPr>
        <w:t xml:space="preserve"> judges and magistrates</w:t>
      </w:r>
      <w:r w:rsidRPr="00CF5136">
        <w:rPr>
          <w:rStyle w:val="Funotenzeichen"/>
          <w:rFonts w:cs="Times New Roman"/>
          <w:sz w:val="24"/>
          <w:szCs w:val="24"/>
        </w:rPr>
        <w:footnoteReference w:id="20"/>
      </w:r>
      <w:r w:rsidRPr="00CF5136">
        <w:rPr>
          <w:rFonts w:cs="Times New Roman"/>
          <w:sz w:val="24"/>
          <w:szCs w:val="24"/>
        </w:rPr>
        <w:t>.</w:t>
      </w:r>
    </w:p>
    <w:p w14:paraId="1ABA8849" w14:textId="0F8E46C3" w:rsidR="00B968E2" w:rsidRPr="00CF5136" w:rsidRDefault="00725300" w:rsidP="00704ACC">
      <w:pPr>
        <w:spacing w:line="276" w:lineRule="auto"/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Following important</w:t>
      </w:r>
      <w:r w:rsidR="00F33BEC" w:rsidRPr="00CF5136">
        <w:rPr>
          <w:rFonts w:cs="Times New Roman"/>
          <w:sz w:val="24"/>
          <w:szCs w:val="24"/>
        </w:rPr>
        <w:t xml:space="preserve"> background knowledge, t</w:t>
      </w:r>
      <w:r w:rsidR="00B968E2" w:rsidRPr="00CF5136">
        <w:rPr>
          <w:rFonts w:cs="Times New Roman"/>
          <w:sz w:val="24"/>
          <w:szCs w:val="24"/>
        </w:rPr>
        <w:t>he focus of this</w:t>
      </w:r>
      <w:r>
        <w:rPr>
          <w:rFonts w:cs="Times New Roman"/>
          <w:sz w:val="24"/>
          <w:szCs w:val="24"/>
        </w:rPr>
        <w:t xml:space="preserve"> document report quickly focusses on </w:t>
      </w:r>
      <w:r w:rsidR="003E60DA" w:rsidRPr="00CF5136">
        <w:rPr>
          <w:rFonts w:cs="Times New Roman"/>
          <w:sz w:val="24"/>
          <w:szCs w:val="24"/>
        </w:rPr>
        <w:t>the laws 137-152</w:t>
      </w:r>
      <w:r w:rsidR="00F33BEC" w:rsidRPr="00CF5136">
        <w:rPr>
          <w:rStyle w:val="Funotenzeichen"/>
          <w:rFonts w:cs="Times New Roman"/>
          <w:sz w:val="24"/>
          <w:szCs w:val="24"/>
        </w:rPr>
        <w:footnoteReference w:id="21"/>
      </w:r>
      <w:r w:rsidR="00F33BEC" w:rsidRPr="00CF5136">
        <w:rPr>
          <w:rFonts w:cs="Times New Roman"/>
          <w:sz w:val="24"/>
          <w:szCs w:val="24"/>
        </w:rPr>
        <w:t xml:space="preserve"> </w:t>
      </w:r>
      <w:r>
        <w:rPr>
          <w:rFonts w:cs="Times New Roman"/>
          <w:sz w:val="24"/>
          <w:szCs w:val="24"/>
        </w:rPr>
        <w:t xml:space="preserve">, which </w:t>
      </w:r>
      <w:r w:rsidR="00F33BEC" w:rsidRPr="00CF5136">
        <w:rPr>
          <w:rFonts w:cs="Times New Roman"/>
          <w:sz w:val="24"/>
          <w:szCs w:val="24"/>
        </w:rPr>
        <w:t>will</w:t>
      </w:r>
      <w:r>
        <w:rPr>
          <w:rFonts w:cs="Times New Roman"/>
          <w:sz w:val="24"/>
          <w:szCs w:val="24"/>
        </w:rPr>
        <w:t xml:space="preserve"> then</w:t>
      </w:r>
      <w:r w:rsidR="00F33BEC" w:rsidRPr="00CF5136">
        <w:rPr>
          <w:rFonts w:cs="Times New Roman"/>
          <w:sz w:val="24"/>
          <w:szCs w:val="24"/>
        </w:rPr>
        <w:t xml:space="preserve"> be summarized </w:t>
      </w:r>
      <w:r>
        <w:rPr>
          <w:rFonts w:cs="Times New Roman"/>
          <w:sz w:val="24"/>
          <w:szCs w:val="24"/>
        </w:rPr>
        <w:t>into groups</w:t>
      </w:r>
      <w:r w:rsidR="00502EAD" w:rsidRPr="00CF5136">
        <w:rPr>
          <w:rFonts w:cs="Times New Roman"/>
          <w:sz w:val="24"/>
          <w:szCs w:val="24"/>
        </w:rPr>
        <w:t>. Next, these laws will</w:t>
      </w:r>
      <w:r>
        <w:rPr>
          <w:rFonts w:cs="Times New Roman"/>
          <w:sz w:val="24"/>
          <w:szCs w:val="24"/>
        </w:rPr>
        <w:t xml:space="preserve"> be analysed with</w:t>
      </w:r>
      <w:r w:rsidR="00502EAD" w:rsidRPr="00CF5136">
        <w:rPr>
          <w:rFonts w:cs="Times New Roman"/>
          <w:sz w:val="24"/>
          <w:szCs w:val="24"/>
        </w:rPr>
        <w:t xml:space="preserve"> comparison</w:t>
      </w:r>
      <w:r>
        <w:rPr>
          <w:rFonts w:cs="Times New Roman"/>
          <w:sz w:val="24"/>
          <w:szCs w:val="24"/>
        </w:rPr>
        <w:t xml:space="preserve"> to</w:t>
      </w:r>
      <w:r w:rsidR="00502EAD" w:rsidRPr="00CF5136">
        <w:rPr>
          <w:rFonts w:cs="Times New Roman"/>
          <w:sz w:val="24"/>
          <w:szCs w:val="24"/>
        </w:rPr>
        <w:t xml:space="preserve"> different ancient Near Eastern regulations. Subsequently, existing source material </w:t>
      </w:r>
      <w:r w:rsidR="00E71A00">
        <w:rPr>
          <w:rFonts w:cs="Times New Roman"/>
          <w:sz w:val="24"/>
          <w:szCs w:val="24"/>
        </w:rPr>
        <w:t>will be evaluated, extracting</w:t>
      </w:r>
      <w:r w:rsidR="00502EAD" w:rsidRPr="00CF5136">
        <w:rPr>
          <w:rFonts w:cs="Times New Roman"/>
          <w:sz w:val="24"/>
          <w:szCs w:val="24"/>
        </w:rPr>
        <w:t xml:space="preserve"> the value of women in ancient Mesopotamia, </w:t>
      </w:r>
      <w:r w:rsidR="00D001E9" w:rsidRPr="00CF5136">
        <w:rPr>
          <w:rFonts w:cs="Times New Roman"/>
          <w:sz w:val="24"/>
          <w:szCs w:val="24"/>
        </w:rPr>
        <w:t xml:space="preserve">how status influenced women’s rights, </w:t>
      </w:r>
      <w:r w:rsidR="00E71A00">
        <w:rPr>
          <w:rFonts w:cs="Times New Roman"/>
          <w:sz w:val="24"/>
          <w:szCs w:val="24"/>
        </w:rPr>
        <w:t xml:space="preserve">presenting </w:t>
      </w:r>
      <w:r w:rsidR="00502EAD" w:rsidRPr="00CF5136">
        <w:rPr>
          <w:rFonts w:cs="Times New Roman"/>
          <w:sz w:val="24"/>
          <w:szCs w:val="24"/>
        </w:rPr>
        <w:t xml:space="preserve">different scholarly views and </w:t>
      </w:r>
      <w:r w:rsidR="00D001E9" w:rsidRPr="00CF5136">
        <w:rPr>
          <w:rFonts w:cs="Times New Roman"/>
          <w:sz w:val="24"/>
          <w:szCs w:val="24"/>
        </w:rPr>
        <w:t xml:space="preserve">debating the problems of modern </w:t>
      </w:r>
      <w:r w:rsidR="005E50E7" w:rsidRPr="00CF5136">
        <w:rPr>
          <w:rFonts w:cs="Times New Roman"/>
          <w:sz w:val="24"/>
          <w:szCs w:val="24"/>
        </w:rPr>
        <w:t>scholarship in approaching the study of w</w:t>
      </w:r>
      <w:r w:rsidR="00E71A00">
        <w:rPr>
          <w:rFonts w:cs="Times New Roman"/>
          <w:sz w:val="24"/>
          <w:szCs w:val="24"/>
        </w:rPr>
        <w:t>omen in ancient Mesopotamia, then finishing off with</w:t>
      </w:r>
      <w:r w:rsidR="005E50E7" w:rsidRPr="00CF5136">
        <w:rPr>
          <w:rFonts w:cs="Times New Roman"/>
          <w:sz w:val="24"/>
          <w:szCs w:val="24"/>
        </w:rPr>
        <w:t xml:space="preserve"> aspects about gender.</w:t>
      </w:r>
    </w:p>
    <w:p w14:paraId="010B24CD" w14:textId="49D6BD51" w:rsidR="00B968E2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The image depicted on the code shows Shamash, a sun deity, seated</w:t>
      </w:r>
      <w:r w:rsidRPr="00CF5136">
        <w:rPr>
          <w:rStyle w:val="Funotenzeichen"/>
          <w:rFonts w:cs="Times New Roman"/>
          <w:sz w:val="24"/>
          <w:szCs w:val="24"/>
        </w:rPr>
        <w:footnoteReference w:id="22"/>
      </w:r>
      <w:r w:rsidRPr="00CF5136">
        <w:rPr>
          <w:rFonts w:cs="Times New Roman"/>
          <w:sz w:val="24"/>
          <w:szCs w:val="24"/>
        </w:rPr>
        <w:t xml:space="preserve"> facing left, looking at king Hammurabi who is standing as a sign of respect in front of the taller depicted god</w:t>
      </w:r>
      <w:r w:rsidRPr="00CF5136">
        <w:rPr>
          <w:rStyle w:val="Funotenzeichen"/>
          <w:rFonts w:cs="Times New Roman"/>
          <w:sz w:val="24"/>
          <w:szCs w:val="24"/>
        </w:rPr>
        <w:footnoteReference w:id="23"/>
      </w:r>
      <w:r w:rsidRPr="00CF5136">
        <w:rPr>
          <w:rFonts w:cs="Times New Roman"/>
          <w:sz w:val="24"/>
          <w:szCs w:val="24"/>
        </w:rPr>
        <w:t xml:space="preserve">. </w:t>
      </w:r>
      <w:r w:rsidRPr="00CF5136">
        <w:rPr>
          <w:rFonts w:cs="Times New Roman"/>
          <w:sz w:val="24"/>
          <w:szCs w:val="24"/>
        </w:rPr>
        <w:lastRenderedPageBreak/>
        <w:t>Hammu</w:t>
      </w:r>
      <w:r w:rsidR="00664BDE">
        <w:rPr>
          <w:rFonts w:cs="Times New Roman"/>
          <w:sz w:val="24"/>
          <w:szCs w:val="24"/>
        </w:rPr>
        <w:t>rabi</w:t>
      </w:r>
      <w:r w:rsidRPr="00CF5136">
        <w:rPr>
          <w:rFonts w:cs="Times New Roman"/>
          <w:sz w:val="24"/>
          <w:szCs w:val="24"/>
        </w:rPr>
        <w:t>, receives the `Rod and Ring`</w:t>
      </w:r>
      <w:r w:rsidRPr="00CF5136">
        <w:rPr>
          <w:rStyle w:val="Funotenzeichen"/>
          <w:rFonts w:cs="Times New Roman"/>
          <w:sz w:val="24"/>
          <w:szCs w:val="24"/>
        </w:rPr>
        <w:footnoteReference w:id="24"/>
      </w:r>
      <w:r w:rsidRPr="00CF5136">
        <w:rPr>
          <w:rFonts w:cs="Times New Roman"/>
          <w:sz w:val="24"/>
          <w:szCs w:val="24"/>
        </w:rPr>
        <w:t xml:space="preserve"> from Shamash, symbols of justice in Babylonia</w:t>
      </w:r>
      <w:r w:rsidRPr="00CF5136">
        <w:rPr>
          <w:rStyle w:val="Funotenzeichen"/>
          <w:rFonts w:cs="Times New Roman"/>
          <w:sz w:val="24"/>
          <w:szCs w:val="24"/>
        </w:rPr>
        <w:footnoteReference w:id="25"/>
      </w:r>
      <w:r w:rsidRPr="00CF5136">
        <w:rPr>
          <w:rFonts w:cs="Times New Roman"/>
          <w:sz w:val="24"/>
          <w:szCs w:val="24"/>
        </w:rPr>
        <w:t>. This image would have spoken to illiterate people, as it would have created a sense of the scene being performed for an eternity</w:t>
      </w:r>
      <w:r w:rsidRPr="00CF5136">
        <w:rPr>
          <w:rStyle w:val="Funotenzeichen"/>
          <w:rFonts w:cs="Times New Roman"/>
          <w:sz w:val="24"/>
          <w:szCs w:val="24"/>
        </w:rPr>
        <w:footnoteReference w:id="26"/>
      </w:r>
      <w:r w:rsidR="00947A2B">
        <w:rPr>
          <w:rFonts w:cs="Times New Roman"/>
          <w:sz w:val="24"/>
          <w:szCs w:val="24"/>
        </w:rPr>
        <w:t>.  There have been arguments, of where</w:t>
      </w:r>
      <w:r w:rsidRPr="00CF5136">
        <w:rPr>
          <w:rFonts w:cs="Times New Roman"/>
          <w:sz w:val="24"/>
          <w:szCs w:val="24"/>
        </w:rPr>
        <w:t xml:space="preserve"> the stele would have been positioned</w:t>
      </w:r>
      <w:r w:rsidR="00947A2B">
        <w:rPr>
          <w:rFonts w:cs="Times New Roman"/>
          <w:sz w:val="24"/>
          <w:szCs w:val="24"/>
        </w:rPr>
        <w:t xml:space="preserve">, inside a temple, only </w:t>
      </w:r>
      <w:r w:rsidRPr="00CF5136">
        <w:rPr>
          <w:rFonts w:cs="Times New Roman"/>
          <w:sz w:val="24"/>
          <w:szCs w:val="24"/>
        </w:rPr>
        <w:t>accessible for the public on special occasions</w:t>
      </w:r>
      <w:r w:rsidRPr="00CF5136">
        <w:rPr>
          <w:rStyle w:val="Funotenzeichen"/>
          <w:rFonts w:cs="Times New Roman"/>
          <w:sz w:val="24"/>
          <w:szCs w:val="24"/>
        </w:rPr>
        <w:footnoteReference w:id="27"/>
      </w:r>
      <w:r w:rsidRPr="00CF5136">
        <w:rPr>
          <w:rFonts w:cs="Times New Roman"/>
          <w:sz w:val="24"/>
          <w:szCs w:val="24"/>
        </w:rPr>
        <w:t>, or situated in a public courtyard of a temple, such as in Sippur, which was more easily accessible</w:t>
      </w:r>
      <w:r w:rsidRPr="00CF5136">
        <w:rPr>
          <w:rStyle w:val="Funotenzeichen"/>
          <w:rFonts w:cs="Times New Roman"/>
          <w:sz w:val="24"/>
          <w:szCs w:val="24"/>
        </w:rPr>
        <w:footnoteReference w:id="28"/>
      </w:r>
      <w:r w:rsidR="009F133D">
        <w:rPr>
          <w:rFonts w:cs="Times New Roman"/>
          <w:sz w:val="24"/>
          <w:szCs w:val="24"/>
        </w:rPr>
        <w:t xml:space="preserve">. Another possible original location would have been </w:t>
      </w:r>
      <w:r w:rsidRPr="00CF5136">
        <w:rPr>
          <w:rFonts w:cs="Times New Roman"/>
          <w:sz w:val="24"/>
          <w:szCs w:val="24"/>
        </w:rPr>
        <w:t xml:space="preserve">the temple of </w:t>
      </w:r>
      <w:r w:rsidR="009F133D">
        <w:rPr>
          <w:rFonts w:cs="Times New Roman"/>
          <w:sz w:val="24"/>
          <w:szCs w:val="24"/>
        </w:rPr>
        <w:t>Marduk in Babylonia</w:t>
      </w:r>
      <w:r w:rsidRPr="00CF5136">
        <w:rPr>
          <w:rStyle w:val="Funotenzeichen"/>
          <w:rFonts w:cs="Times New Roman"/>
          <w:sz w:val="24"/>
          <w:szCs w:val="24"/>
        </w:rPr>
        <w:footnoteReference w:id="29"/>
      </w:r>
      <w:r w:rsidRPr="00CF5136">
        <w:rPr>
          <w:rFonts w:cs="Times New Roman"/>
          <w:sz w:val="24"/>
          <w:szCs w:val="24"/>
        </w:rPr>
        <w:t>.  Other copies of the same code were found within Hammurabi’s reach of influence</w:t>
      </w:r>
      <w:r w:rsidRPr="00CF5136">
        <w:rPr>
          <w:rStyle w:val="Funotenzeichen"/>
          <w:rFonts w:cs="Times New Roman"/>
          <w:sz w:val="24"/>
          <w:szCs w:val="24"/>
        </w:rPr>
        <w:footnoteReference w:id="30"/>
      </w:r>
      <w:r w:rsidRPr="00CF5136">
        <w:rPr>
          <w:rFonts w:cs="Times New Roman"/>
          <w:sz w:val="24"/>
          <w:szCs w:val="24"/>
        </w:rPr>
        <w:t>, signalling that the code might have been in use extensively, even beyond Hammurabi</w:t>
      </w:r>
      <w:r w:rsidR="008A4255" w:rsidRPr="00CF5136">
        <w:rPr>
          <w:rFonts w:cs="Times New Roman"/>
          <w:sz w:val="24"/>
          <w:szCs w:val="24"/>
        </w:rPr>
        <w:t>’</w:t>
      </w:r>
      <w:r w:rsidRPr="00CF5136">
        <w:rPr>
          <w:rFonts w:cs="Times New Roman"/>
          <w:sz w:val="24"/>
          <w:szCs w:val="24"/>
        </w:rPr>
        <w:t>s borders</w:t>
      </w:r>
      <w:r w:rsidRPr="00CF5136">
        <w:rPr>
          <w:rStyle w:val="Funotenzeichen"/>
          <w:rFonts w:cs="Times New Roman"/>
          <w:sz w:val="24"/>
          <w:szCs w:val="24"/>
        </w:rPr>
        <w:footnoteReference w:id="31"/>
      </w:r>
      <w:r w:rsidRPr="00CF5136">
        <w:rPr>
          <w:rFonts w:cs="Times New Roman"/>
          <w:sz w:val="24"/>
          <w:szCs w:val="24"/>
        </w:rPr>
        <w:t xml:space="preserve"> </w:t>
      </w:r>
      <w:r w:rsidRPr="004D03F6">
        <w:rPr>
          <w:rFonts w:cs="Times New Roman"/>
          <w:sz w:val="24"/>
          <w:szCs w:val="24"/>
        </w:rPr>
        <w:t>as can be seen by</w:t>
      </w:r>
      <w:r w:rsidR="003E60DA" w:rsidRPr="004D03F6">
        <w:rPr>
          <w:rFonts w:cs="Times New Roman"/>
          <w:sz w:val="24"/>
          <w:szCs w:val="24"/>
        </w:rPr>
        <w:t xml:space="preserve"> the example of Syrian Allalah, </w:t>
      </w:r>
      <w:r w:rsidRPr="004D03F6">
        <w:rPr>
          <w:rFonts w:cs="Times New Roman"/>
          <w:sz w:val="24"/>
          <w:szCs w:val="24"/>
        </w:rPr>
        <w:t>which used Babylonian law, although it was not under Babylonian rule</w:t>
      </w:r>
      <w:r w:rsidRPr="004D03F6">
        <w:rPr>
          <w:rStyle w:val="Funotenzeichen"/>
          <w:rFonts w:cs="Times New Roman"/>
          <w:sz w:val="24"/>
          <w:szCs w:val="24"/>
        </w:rPr>
        <w:footnoteReference w:id="32"/>
      </w:r>
      <w:r w:rsidRPr="004D03F6">
        <w:rPr>
          <w:rFonts w:cs="Times New Roman"/>
          <w:sz w:val="24"/>
          <w:szCs w:val="24"/>
        </w:rPr>
        <w:t xml:space="preserve"> . </w:t>
      </w:r>
    </w:p>
    <w:p w14:paraId="31F91433" w14:textId="3288E297" w:rsidR="00AB482A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According to Vincent, Hammurabi intended to merge conflicting customs, usages and judicial decisions into a single law system, rather than promoting a completely new legislation</w:t>
      </w:r>
      <w:r w:rsidRPr="00CF5136">
        <w:rPr>
          <w:rStyle w:val="Funotenzeichen"/>
          <w:rFonts w:cs="Times New Roman"/>
          <w:sz w:val="24"/>
          <w:szCs w:val="24"/>
        </w:rPr>
        <w:footnoteReference w:id="33"/>
      </w:r>
      <w:r w:rsidRPr="00CF5136">
        <w:rPr>
          <w:rFonts w:cs="Times New Roman"/>
          <w:sz w:val="24"/>
          <w:szCs w:val="24"/>
        </w:rPr>
        <w:t>.</w:t>
      </w:r>
    </w:p>
    <w:p w14:paraId="082EBF6A" w14:textId="21410341" w:rsidR="00CF5136" w:rsidRPr="00CF5136" w:rsidRDefault="00BB59AB" w:rsidP="00704ACC">
      <w:pPr>
        <w:spacing w:line="276" w:lineRule="auto"/>
        <w:jc w:val="both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Hammurabi would have</w:t>
      </w:r>
      <w:r w:rsidR="00AB482A" w:rsidRPr="00CF5136">
        <w:rPr>
          <w:rFonts w:cs="Times New Roman"/>
          <w:sz w:val="24"/>
          <w:szCs w:val="24"/>
        </w:rPr>
        <w:t xml:space="preserve"> been influenced by his own experiences with law cases</w:t>
      </w:r>
      <w:r w:rsidR="00AB482A" w:rsidRPr="00CF5136">
        <w:rPr>
          <w:rStyle w:val="Funotenzeichen"/>
          <w:rFonts w:cs="Times New Roman"/>
          <w:sz w:val="24"/>
          <w:szCs w:val="24"/>
        </w:rPr>
        <w:footnoteReference w:id="34"/>
      </w:r>
      <w:r w:rsidRPr="00CF5136">
        <w:rPr>
          <w:rFonts w:cs="Times New Roman"/>
          <w:sz w:val="24"/>
          <w:szCs w:val="24"/>
        </w:rPr>
        <w:t xml:space="preserve">, and might </w:t>
      </w:r>
      <w:r w:rsidR="00AB482A" w:rsidRPr="00CF5136">
        <w:rPr>
          <w:rFonts w:cs="Times New Roman"/>
          <w:sz w:val="24"/>
          <w:szCs w:val="24"/>
        </w:rPr>
        <w:t xml:space="preserve">have </w:t>
      </w:r>
      <w:r w:rsidRPr="00CF5136">
        <w:rPr>
          <w:rFonts w:cs="Times New Roman"/>
          <w:sz w:val="24"/>
          <w:szCs w:val="24"/>
        </w:rPr>
        <w:t xml:space="preserve">overseen legal cases </w:t>
      </w:r>
      <w:r w:rsidR="00AB482A" w:rsidRPr="00CF5136">
        <w:rPr>
          <w:rFonts w:cs="Times New Roman"/>
          <w:sz w:val="24"/>
          <w:szCs w:val="24"/>
        </w:rPr>
        <w:t>in the palace</w:t>
      </w:r>
      <w:r w:rsidR="00AB482A" w:rsidRPr="00CF5136">
        <w:rPr>
          <w:rStyle w:val="Funotenzeichen"/>
          <w:rFonts w:cs="Times New Roman"/>
          <w:sz w:val="24"/>
          <w:szCs w:val="24"/>
        </w:rPr>
        <w:footnoteReference w:id="35"/>
      </w:r>
      <w:r w:rsidR="00AB482A" w:rsidRPr="00CF5136">
        <w:rPr>
          <w:rFonts w:cs="Times New Roman"/>
          <w:sz w:val="24"/>
          <w:szCs w:val="24"/>
        </w:rPr>
        <w:t>. In an historical</w:t>
      </w:r>
      <w:r w:rsidR="00B21185">
        <w:rPr>
          <w:rFonts w:cs="Times New Roman"/>
          <w:sz w:val="24"/>
          <w:szCs w:val="24"/>
        </w:rPr>
        <w:t xml:space="preserve"> </w:t>
      </w:r>
      <w:r w:rsidR="00AB482A" w:rsidRPr="00CF5136">
        <w:rPr>
          <w:rFonts w:cs="Times New Roman"/>
          <w:sz w:val="24"/>
          <w:szCs w:val="24"/>
        </w:rPr>
        <w:t>context, Hammurabi was probably biased towards his own peoples, the A</w:t>
      </w:r>
      <w:r w:rsidRPr="00CF5136">
        <w:rPr>
          <w:rFonts w:cs="Times New Roman"/>
          <w:sz w:val="24"/>
          <w:szCs w:val="24"/>
        </w:rPr>
        <w:t>morites, as it is debated if he called</w:t>
      </w:r>
      <w:r w:rsidR="00AB482A" w:rsidRPr="00CF5136">
        <w:rPr>
          <w:rFonts w:cs="Times New Roman"/>
          <w:sz w:val="24"/>
          <w:szCs w:val="24"/>
        </w:rPr>
        <w:t xml:space="preserve"> them </w:t>
      </w:r>
      <w:r w:rsidR="00AB482A" w:rsidRPr="00CF5136">
        <w:rPr>
          <w:rFonts w:cs="Times New Roman"/>
          <w:i/>
          <w:sz w:val="24"/>
          <w:szCs w:val="24"/>
        </w:rPr>
        <w:t xml:space="preserve">awilum, </w:t>
      </w:r>
      <w:r w:rsidR="00AB482A" w:rsidRPr="00CF5136">
        <w:rPr>
          <w:rFonts w:cs="Times New Roman"/>
          <w:sz w:val="24"/>
          <w:szCs w:val="24"/>
        </w:rPr>
        <w:t>gentleme</w:t>
      </w:r>
      <w:r w:rsidRPr="00CF5136">
        <w:rPr>
          <w:rFonts w:cs="Times New Roman"/>
          <w:sz w:val="24"/>
          <w:szCs w:val="24"/>
        </w:rPr>
        <w:t>n, while</w:t>
      </w:r>
      <w:r w:rsidR="00AB482A" w:rsidRPr="00CF5136">
        <w:rPr>
          <w:rFonts w:cs="Times New Roman"/>
          <w:sz w:val="24"/>
          <w:szCs w:val="24"/>
        </w:rPr>
        <w:t xml:space="preserve"> describing</w:t>
      </w:r>
      <w:r w:rsidRPr="00CF5136">
        <w:rPr>
          <w:rFonts w:cs="Times New Roman"/>
          <w:sz w:val="24"/>
          <w:szCs w:val="24"/>
        </w:rPr>
        <w:t xml:space="preserve"> the natives as</w:t>
      </w:r>
      <w:r w:rsidR="00AB482A" w:rsidRPr="00CF5136">
        <w:rPr>
          <w:rFonts w:cs="Times New Roman"/>
          <w:sz w:val="24"/>
          <w:szCs w:val="24"/>
        </w:rPr>
        <w:t xml:space="preserve"> mushkenum, meaning </w:t>
      </w:r>
      <w:proofErr w:type="gramStart"/>
      <w:r w:rsidR="00AB482A" w:rsidRPr="00CF5136">
        <w:rPr>
          <w:rFonts w:cs="Times New Roman"/>
          <w:sz w:val="24"/>
          <w:szCs w:val="24"/>
        </w:rPr>
        <w:t>‘ those</w:t>
      </w:r>
      <w:proofErr w:type="gramEnd"/>
      <w:r w:rsidR="00AB482A" w:rsidRPr="00CF5136">
        <w:rPr>
          <w:rFonts w:cs="Times New Roman"/>
          <w:sz w:val="24"/>
          <w:szCs w:val="24"/>
        </w:rPr>
        <w:t xml:space="preserve"> who were put in their place’</w:t>
      </w:r>
      <w:r w:rsidR="00CF5136">
        <w:rPr>
          <w:rStyle w:val="Funotenzeichen"/>
          <w:rFonts w:cs="Times New Roman"/>
          <w:sz w:val="24"/>
          <w:szCs w:val="24"/>
        </w:rPr>
        <w:footnoteReference w:id="36"/>
      </w:r>
      <w:r w:rsidR="007A61AA" w:rsidRPr="00CF5136">
        <w:rPr>
          <w:rFonts w:cs="Times New Roman"/>
          <w:sz w:val="24"/>
          <w:szCs w:val="24"/>
        </w:rPr>
        <w:t xml:space="preserve"> perhaps referring to his conquests of </w:t>
      </w:r>
      <w:r w:rsidR="00AB482A" w:rsidRPr="00CF5136">
        <w:rPr>
          <w:rFonts w:cs="Times New Roman"/>
          <w:sz w:val="24"/>
          <w:szCs w:val="24"/>
        </w:rPr>
        <w:t>Sumer, Akkad, Assyria and Mari</w:t>
      </w:r>
      <w:r w:rsidR="00CF5136">
        <w:rPr>
          <w:rStyle w:val="Funotenzeichen"/>
          <w:rFonts w:cs="Times New Roman"/>
          <w:sz w:val="24"/>
          <w:szCs w:val="24"/>
        </w:rPr>
        <w:footnoteReference w:id="37"/>
      </w:r>
      <w:r w:rsidR="00AB482A" w:rsidRPr="00CF5136">
        <w:rPr>
          <w:rFonts w:cs="Times New Roman"/>
          <w:sz w:val="24"/>
          <w:szCs w:val="24"/>
        </w:rPr>
        <w:t>.</w:t>
      </w:r>
      <w:r w:rsidR="00CF5136" w:rsidRPr="00CF5136">
        <w:rPr>
          <w:rFonts w:cs="Times New Roman"/>
          <w:sz w:val="24"/>
          <w:szCs w:val="24"/>
        </w:rPr>
        <w:t>According to Hammurabi, the audience</w:t>
      </w:r>
      <w:r w:rsidR="009F133D">
        <w:rPr>
          <w:rFonts w:cs="Times New Roman"/>
          <w:sz w:val="24"/>
          <w:szCs w:val="24"/>
        </w:rPr>
        <w:t xml:space="preserve"> of the code</w:t>
      </w:r>
      <w:r w:rsidR="00CF5136" w:rsidRPr="00CF5136">
        <w:rPr>
          <w:rFonts w:cs="Times New Roman"/>
          <w:sz w:val="24"/>
          <w:szCs w:val="24"/>
        </w:rPr>
        <w:t xml:space="preserve"> would have been any “man who has a </w:t>
      </w:r>
      <w:r w:rsidR="00CF5136">
        <w:rPr>
          <w:rFonts w:cs="Times New Roman"/>
          <w:sz w:val="24"/>
          <w:szCs w:val="24"/>
        </w:rPr>
        <w:t>lawsuit</w:t>
      </w:r>
      <w:r w:rsidR="00CF5136" w:rsidRPr="00CF5136">
        <w:rPr>
          <w:rFonts w:cs="Times New Roman"/>
          <w:sz w:val="24"/>
          <w:szCs w:val="24"/>
        </w:rPr>
        <w:t>”</w:t>
      </w:r>
      <w:r w:rsidR="00CF5136" w:rsidRPr="00CF5136">
        <w:rPr>
          <w:rStyle w:val="Funotenzeichen"/>
          <w:rFonts w:cs="Times New Roman"/>
          <w:sz w:val="24"/>
          <w:szCs w:val="24"/>
        </w:rPr>
        <w:footnoteReference w:id="38"/>
      </w:r>
      <w:r w:rsidR="00CF5136">
        <w:rPr>
          <w:rFonts w:cs="Times New Roman"/>
          <w:sz w:val="24"/>
          <w:szCs w:val="24"/>
        </w:rPr>
        <w:t>.</w:t>
      </w:r>
    </w:p>
    <w:p w14:paraId="02E7D4DA" w14:textId="658CC1CC" w:rsidR="00AB482A" w:rsidRPr="00CF5136" w:rsidRDefault="00AB482A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Law codes closest in time to Hammurabi’s include the laws of the city of Eshnunna of the 19</w:t>
      </w:r>
      <w:r w:rsidRPr="00CF5136">
        <w:rPr>
          <w:rFonts w:cs="Times New Roman"/>
          <w:sz w:val="24"/>
          <w:szCs w:val="24"/>
          <w:vertAlign w:val="superscript"/>
        </w:rPr>
        <w:t>th</w:t>
      </w:r>
      <w:r w:rsidR="003C480B">
        <w:rPr>
          <w:rFonts w:cs="Times New Roman"/>
          <w:sz w:val="24"/>
          <w:szCs w:val="24"/>
        </w:rPr>
        <w:t xml:space="preserve"> century </w:t>
      </w:r>
      <w:r w:rsidRPr="00CF5136">
        <w:rPr>
          <w:rFonts w:cs="Times New Roman"/>
          <w:sz w:val="24"/>
          <w:szCs w:val="24"/>
        </w:rPr>
        <w:t>and th</w:t>
      </w:r>
      <w:r w:rsidR="00191736" w:rsidRPr="00CF5136">
        <w:rPr>
          <w:rFonts w:cs="Times New Roman"/>
          <w:sz w:val="24"/>
          <w:szCs w:val="24"/>
        </w:rPr>
        <w:t>e codes of Lipid-Ishtar</w:t>
      </w:r>
      <w:r w:rsidRPr="00CF5136">
        <w:rPr>
          <w:rStyle w:val="Funotenzeichen"/>
          <w:rFonts w:cs="Times New Roman"/>
          <w:sz w:val="24"/>
          <w:szCs w:val="24"/>
        </w:rPr>
        <w:footnoteReference w:id="39"/>
      </w:r>
      <w:r w:rsidRPr="00CF5136">
        <w:rPr>
          <w:rFonts w:cs="Times New Roman"/>
          <w:sz w:val="24"/>
          <w:szCs w:val="24"/>
        </w:rPr>
        <w:t>.</w:t>
      </w:r>
    </w:p>
    <w:p w14:paraId="238F7C81" w14:textId="597A047E" w:rsidR="00B968E2" w:rsidRPr="00CF5136" w:rsidRDefault="00B07753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The code starts with</w:t>
      </w:r>
      <w:r w:rsidR="00B968E2" w:rsidRPr="00CF5136">
        <w:rPr>
          <w:rFonts w:cs="Times New Roman"/>
          <w:sz w:val="24"/>
          <w:szCs w:val="24"/>
        </w:rPr>
        <w:t xml:space="preserve"> a prologue, followed by laws addressing false testimony, theft, labour on state owned land, family</w:t>
      </w:r>
      <w:r w:rsidR="003C480B">
        <w:rPr>
          <w:rFonts w:cs="Times New Roman"/>
          <w:sz w:val="24"/>
          <w:szCs w:val="24"/>
        </w:rPr>
        <w:t xml:space="preserve"> law and violence, finishing</w:t>
      </w:r>
      <w:r w:rsidR="00B968E2" w:rsidRPr="00CF5136">
        <w:rPr>
          <w:rFonts w:cs="Times New Roman"/>
          <w:sz w:val="24"/>
          <w:szCs w:val="24"/>
        </w:rPr>
        <w:t xml:space="preserve"> with an epilogue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0"/>
      </w:r>
      <w:r w:rsidR="004D03F6">
        <w:rPr>
          <w:rFonts w:cs="Times New Roman"/>
          <w:sz w:val="24"/>
          <w:szCs w:val="24"/>
        </w:rPr>
        <w:t>.</w:t>
      </w:r>
    </w:p>
    <w:p w14:paraId="07CCE9B7" w14:textId="2B79BF6B" w:rsidR="001703A4" w:rsidRPr="00CF5136" w:rsidRDefault="004A2F10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lastRenderedPageBreak/>
        <w:t>The extract to</w:t>
      </w:r>
      <w:r w:rsidR="00B968E2" w:rsidRPr="00CF5136">
        <w:rPr>
          <w:rFonts w:cs="Times New Roman"/>
          <w:color w:val="5B9BD5" w:themeColor="accent1"/>
          <w:sz w:val="24"/>
          <w:szCs w:val="24"/>
        </w:rPr>
        <w:t xml:space="preserve"> </w:t>
      </w:r>
      <w:r w:rsidR="00B968E2" w:rsidRPr="00CF5136">
        <w:rPr>
          <w:rFonts w:cs="Times New Roman"/>
          <w:sz w:val="24"/>
          <w:szCs w:val="24"/>
        </w:rPr>
        <w:t xml:space="preserve">be </w:t>
      </w:r>
      <w:r w:rsidR="00732CD7" w:rsidRPr="00CF5136">
        <w:rPr>
          <w:rFonts w:cs="Times New Roman"/>
          <w:sz w:val="24"/>
          <w:szCs w:val="24"/>
        </w:rPr>
        <w:t>investigated</w:t>
      </w:r>
      <w:r w:rsidR="00B968E2" w:rsidRPr="00CF5136">
        <w:rPr>
          <w:rFonts w:cs="Times New Roman"/>
          <w:sz w:val="24"/>
          <w:szCs w:val="24"/>
        </w:rPr>
        <w:t xml:space="preserve"> contains the laws 137-152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1"/>
      </w:r>
      <w:r w:rsidR="00A94556" w:rsidRPr="00CF5136">
        <w:rPr>
          <w:rFonts w:cs="Times New Roman"/>
          <w:sz w:val="24"/>
          <w:szCs w:val="24"/>
        </w:rPr>
        <w:t>, falling into the section of family law</w:t>
      </w:r>
      <w:r w:rsidR="00A94556" w:rsidRPr="00CF5136">
        <w:rPr>
          <w:rStyle w:val="Funotenzeichen"/>
          <w:rFonts w:cs="Times New Roman"/>
          <w:sz w:val="24"/>
          <w:szCs w:val="24"/>
        </w:rPr>
        <w:footnoteReference w:id="42"/>
      </w:r>
      <w:r w:rsidR="00A94556" w:rsidRPr="00CF5136">
        <w:rPr>
          <w:rFonts w:cs="Times New Roman"/>
          <w:sz w:val="24"/>
          <w:szCs w:val="24"/>
        </w:rPr>
        <w:t xml:space="preserve">, which </w:t>
      </w:r>
      <w:r w:rsidR="00B968E2" w:rsidRPr="00CF5136">
        <w:rPr>
          <w:rFonts w:cs="Times New Roman"/>
          <w:sz w:val="24"/>
          <w:szCs w:val="24"/>
        </w:rPr>
        <w:t xml:space="preserve">can be divided into </w:t>
      </w:r>
      <w:r w:rsidR="00F6025E" w:rsidRPr="00CF5136">
        <w:rPr>
          <w:rFonts w:cs="Times New Roman"/>
          <w:sz w:val="24"/>
          <w:szCs w:val="24"/>
        </w:rPr>
        <w:t xml:space="preserve">five </w:t>
      </w:r>
      <w:r w:rsidR="00E11F5E" w:rsidRPr="00CF5136">
        <w:rPr>
          <w:rFonts w:cs="Times New Roman"/>
          <w:sz w:val="24"/>
          <w:szCs w:val="24"/>
        </w:rPr>
        <w:t>groups, with</w:t>
      </w:r>
      <w:r w:rsidR="003608CE" w:rsidRPr="00CF5136">
        <w:rPr>
          <w:rFonts w:cs="Times New Roman"/>
          <w:sz w:val="24"/>
          <w:szCs w:val="24"/>
        </w:rPr>
        <w:t xml:space="preserve"> some laws fitting into two</w:t>
      </w:r>
      <w:r w:rsidR="0082062C" w:rsidRPr="00CF5136">
        <w:rPr>
          <w:rFonts w:cs="Times New Roman"/>
          <w:sz w:val="24"/>
          <w:szCs w:val="24"/>
        </w:rPr>
        <w:t xml:space="preserve"> categories</w:t>
      </w:r>
      <w:r w:rsidR="003C480B">
        <w:rPr>
          <w:rFonts w:cs="Times New Roman"/>
          <w:sz w:val="24"/>
          <w:szCs w:val="24"/>
        </w:rPr>
        <w:t xml:space="preserve"> as those</w:t>
      </w:r>
      <w:r w:rsidR="00B968E2" w:rsidRPr="00CF5136">
        <w:rPr>
          <w:rFonts w:cs="Times New Roman"/>
          <w:sz w:val="24"/>
          <w:szCs w:val="24"/>
        </w:rPr>
        <w:t xml:space="preserve"> deal w</w:t>
      </w:r>
      <w:r w:rsidRPr="00CF5136">
        <w:rPr>
          <w:rFonts w:cs="Times New Roman"/>
          <w:sz w:val="24"/>
          <w:szCs w:val="24"/>
        </w:rPr>
        <w:t>ith more than one</w:t>
      </w:r>
      <w:r w:rsidR="00B968E2" w:rsidRPr="00CF5136">
        <w:rPr>
          <w:rFonts w:cs="Times New Roman"/>
          <w:sz w:val="24"/>
          <w:szCs w:val="24"/>
        </w:rPr>
        <w:t xml:space="preserve"> topic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3"/>
      </w:r>
      <w:r w:rsidR="00B968E2" w:rsidRPr="00CF5136">
        <w:rPr>
          <w:rFonts w:cs="Times New Roman"/>
          <w:sz w:val="24"/>
          <w:szCs w:val="24"/>
        </w:rPr>
        <w:t>.</w:t>
      </w:r>
      <w:r w:rsidR="00F6025E" w:rsidRPr="00CF5136">
        <w:rPr>
          <w:rFonts w:cs="Times New Roman"/>
          <w:sz w:val="24"/>
          <w:szCs w:val="24"/>
        </w:rPr>
        <w:t xml:space="preserve"> </w:t>
      </w:r>
    </w:p>
    <w:p w14:paraId="531D72AD" w14:textId="08417119" w:rsidR="00E16003" w:rsidRPr="00CF5136" w:rsidRDefault="001703A4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L</w:t>
      </w:r>
      <w:r w:rsidR="00B968E2" w:rsidRPr="00CF5136">
        <w:rPr>
          <w:rFonts w:cs="Times New Roman"/>
          <w:sz w:val="24"/>
          <w:szCs w:val="24"/>
        </w:rPr>
        <w:t xml:space="preserve">aws 137- 143 </w:t>
      </w:r>
      <w:r w:rsidR="002C41CA" w:rsidRPr="00CF5136">
        <w:rPr>
          <w:rFonts w:cs="Times New Roman"/>
          <w:sz w:val="24"/>
          <w:szCs w:val="24"/>
        </w:rPr>
        <w:t xml:space="preserve">of Hammurabi </w:t>
      </w:r>
      <w:r w:rsidR="00B968E2" w:rsidRPr="00CF5136">
        <w:rPr>
          <w:rFonts w:cs="Times New Roman"/>
          <w:sz w:val="24"/>
          <w:szCs w:val="24"/>
        </w:rPr>
        <w:t>general</w:t>
      </w:r>
      <w:r w:rsidR="00732CD7" w:rsidRPr="00CF5136">
        <w:rPr>
          <w:rFonts w:cs="Times New Roman"/>
          <w:sz w:val="24"/>
          <w:szCs w:val="24"/>
        </w:rPr>
        <w:t xml:space="preserve">ly deal with issues </w:t>
      </w:r>
      <w:r w:rsidR="002C41CA" w:rsidRPr="00CF5136">
        <w:rPr>
          <w:rFonts w:cs="Times New Roman"/>
          <w:sz w:val="24"/>
          <w:szCs w:val="24"/>
        </w:rPr>
        <w:t>of</w:t>
      </w:r>
      <w:r w:rsidR="00DC0292" w:rsidRPr="00CF5136">
        <w:rPr>
          <w:rFonts w:cs="Times New Roman"/>
          <w:sz w:val="24"/>
          <w:szCs w:val="24"/>
        </w:rPr>
        <w:t xml:space="preserve"> separation, concerning a husband</w:t>
      </w:r>
      <w:r w:rsidR="003C480B">
        <w:rPr>
          <w:rFonts w:cs="Times New Roman"/>
          <w:sz w:val="24"/>
          <w:szCs w:val="24"/>
        </w:rPr>
        <w:t>,</w:t>
      </w:r>
      <w:r w:rsidR="00DC0292" w:rsidRPr="00CF5136">
        <w:rPr>
          <w:rFonts w:cs="Times New Roman"/>
          <w:sz w:val="24"/>
          <w:szCs w:val="24"/>
        </w:rPr>
        <w:t xml:space="preserve"> </w:t>
      </w:r>
      <w:r w:rsidR="002C41CA" w:rsidRPr="00CF5136">
        <w:rPr>
          <w:rFonts w:cs="Times New Roman"/>
          <w:sz w:val="24"/>
          <w:szCs w:val="24"/>
        </w:rPr>
        <w:t>wife</w:t>
      </w:r>
      <w:r w:rsidR="00DC0292" w:rsidRPr="00CF5136">
        <w:rPr>
          <w:rFonts w:cs="Times New Roman"/>
          <w:sz w:val="24"/>
          <w:szCs w:val="24"/>
        </w:rPr>
        <w:t xml:space="preserve"> or concubine, with the possible result of a </w:t>
      </w:r>
      <w:r w:rsidR="00B968E2" w:rsidRPr="00CF5136">
        <w:rPr>
          <w:rFonts w:cs="Times New Roman"/>
          <w:sz w:val="24"/>
          <w:szCs w:val="24"/>
        </w:rPr>
        <w:t xml:space="preserve">dowry </w:t>
      </w:r>
      <w:r w:rsidR="00DC0292" w:rsidRPr="00CF5136">
        <w:rPr>
          <w:rFonts w:cs="Times New Roman"/>
          <w:sz w:val="24"/>
          <w:szCs w:val="24"/>
        </w:rPr>
        <w:t>pay-back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4"/>
      </w:r>
      <w:r w:rsidR="00DC0292" w:rsidRPr="00CF5136">
        <w:rPr>
          <w:rFonts w:cs="Times New Roman"/>
          <w:sz w:val="24"/>
          <w:szCs w:val="24"/>
        </w:rPr>
        <w:t>, diffe</w:t>
      </w:r>
      <w:r w:rsidR="003C480B">
        <w:rPr>
          <w:rFonts w:cs="Times New Roman"/>
          <w:sz w:val="24"/>
          <w:szCs w:val="24"/>
        </w:rPr>
        <w:t xml:space="preserve">rentiating in relationships that </w:t>
      </w:r>
      <w:r w:rsidR="00DC0292" w:rsidRPr="00CF5136">
        <w:rPr>
          <w:rFonts w:cs="Times New Roman"/>
          <w:sz w:val="24"/>
          <w:szCs w:val="24"/>
        </w:rPr>
        <w:t xml:space="preserve">did or did not result in children </w:t>
      </w:r>
      <w:r w:rsidR="00DC0292" w:rsidRPr="00CF5136">
        <w:rPr>
          <w:rStyle w:val="Funotenzeichen"/>
          <w:rFonts w:cs="Times New Roman"/>
          <w:sz w:val="24"/>
          <w:szCs w:val="24"/>
        </w:rPr>
        <w:footnoteReference w:id="45"/>
      </w:r>
      <w:r w:rsidR="00B968E2" w:rsidRPr="00CF5136">
        <w:rPr>
          <w:rFonts w:cs="Times New Roman"/>
          <w:sz w:val="24"/>
          <w:szCs w:val="24"/>
        </w:rPr>
        <w:t xml:space="preserve">, </w:t>
      </w:r>
      <w:r w:rsidR="00DC0292" w:rsidRPr="00CF5136">
        <w:rPr>
          <w:rFonts w:cs="Times New Roman"/>
          <w:sz w:val="24"/>
          <w:szCs w:val="24"/>
        </w:rPr>
        <w:t xml:space="preserve">not forgetting to address </w:t>
      </w:r>
      <w:r w:rsidR="0082062C" w:rsidRPr="00CF5136">
        <w:rPr>
          <w:rFonts w:cs="Times New Roman"/>
          <w:sz w:val="24"/>
          <w:szCs w:val="24"/>
        </w:rPr>
        <w:t>what followed in case there was no marriage</w:t>
      </w:r>
      <w:r w:rsidR="00B968E2" w:rsidRPr="00CF5136">
        <w:rPr>
          <w:rFonts w:cs="Times New Roman"/>
          <w:sz w:val="24"/>
          <w:szCs w:val="24"/>
        </w:rPr>
        <w:t xml:space="preserve"> </w:t>
      </w:r>
      <w:r w:rsidR="003C480B">
        <w:rPr>
          <w:rFonts w:cs="Times New Roman"/>
          <w:sz w:val="24"/>
          <w:szCs w:val="24"/>
        </w:rPr>
        <w:t xml:space="preserve">settlement, with another law addressing especially free </w:t>
      </w:r>
      <w:r w:rsidR="00B968E2" w:rsidRPr="00CF5136">
        <w:rPr>
          <w:rFonts w:cs="Times New Roman"/>
          <w:sz w:val="24"/>
          <w:szCs w:val="24"/>
        </w:rPr>
        <w:t xml:space="preserve"> men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6"/>
      </w:r>
      <w:r w:rsidR="00B968E2" w:rsidRPr="00CF5136">
        <w:rPr>
          <w:rFonts w:cs="Times New Roman"/>
          <w:sz w:val="24"/>
          <w:szCs w:val="24"/>
        </w:rPr>
        <w:t xml:space="preserve"> .</w:t>
      </w:r>
      <w:r w:rsidR="00F6025E" w:rsidRPr="00CF5136">
        <w:rPr>
          <w:rFonts w:cs="Times New Roman"/>
          <w:sz w:val="24"/>
          <w:szCs w:val="24"/>
        </w:rPr>
        <w:t xml:space="preserve"> </w:t>
      </w:r>
      <w:r w:rsidR="00724375" w:rsidRPr="00CF5136">
        <w:rPr>
          <w:rFonts w:cs="Times New Roman"/>
          <w:sz w:val="24"/>
          <w:szCs w:val="24"/>
        </w:rPr>
        <w:t>Next, the l</w:t>
      </w:r>
      <w:r w:rsidR="00B25CE4" w:rsidRPr="00CF5136">
        <w:rPr>
          <w:rFonts w:cs="Times New Roman"/>
          <w:sz w:val="24"/>
          <w:szCs w:val="24"/>
        </w:rPr>
        <w:t xml:space="preserve">aws 141-143 deal </w:t>
      </w:r>
      <w:r w:rsidR="00B968E2" w:rsidRPr="00CF5136">
        <w:rPr>
          <w:rFonts w:cs="Times New Roman"/>
          <w:sz w:val="24"/>
          <w:szCs w:val="24"/>
        </w:rPr>
        <w:t>with separations</w:t>
      </w:r>
      <w:r w:rsidR="00B25CE4" w:rsidRPr="00CF5136">
        <w:rPr>
          <w:rFonts w:cs="Times New Roman"/>
          <w:sz w:val="24"/>
          <w:szCs w:val="24"/>
        </w:rPr>
        <w:t xml:space="preserve"> </w:t>
      </w:r>
      <w:r w:rsidR="0045123D" w:rsidRPr="00CF5136">
        <w:rPr>
          <w:rFonts w:cs="Times New Roman"/>
          <w:sz w:val="24"/>
          <w:szCs w:val="24"/>
        </w:rPr>
        <w:t>rooted in undutiful behaviour</w:t>
      </w:r>
      <w:r w:rsidR="003932AC" w:rsidRPr="00CF5136">
        <w:rPr>
          <w:rFonts w:cs="Times New Roman"/>
          <w:sz w:val="24"/>
          <w:szCs w:val="24"/>
        </w:rPr>
        <w:t xml:space="preserve"> of either partner, stating the compensations and punishments for the one found guilty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47"/>
      </w:r>
      <w:r w:rsidR="004237DF" w:rsidRPr="00CF5136">
        <w:rPr>
          <w:rFonts w:cs="Times New Roman"/>
          <w:sz w:val="24"/>
          <w:szCs w:val="24"/>
        </w:rPr>
        <w:t xml:space="preserve"> </w:t>
      </w:r>
      <w:r w:rsidR="00442716" w:rsidRPr="00CF5136">
        <w:rPr>
          <w:rFonts w:cs="Times New Roman"/>
          <w:sz w:val="24"/>
          <w:szCs w:val="24"/>
        </w:rPr>
        <w:t xml:space="preserve">. </w:t>
      </w:r>
      <w:r w:rsidR="00724375" w:rsidRPr="00CF5136">
        <w:rPr>
          <w:rFonts w:cs="Times New Roman"/>
          <w:sz w:val="24"/>
          <w:szCs w:val="24"/>
        </w:rPr>
        <w:t>Further,</w:t>
      </w:r>
      <w:r w:rsidR="00E16003" w:rsidRPr="00CF5136">
        <w:rPr>
          <w:rFonts w:cs="Times New Roman"/>
          <w:sz w:val="24"/>
          <w:szCs w:val="24"/>
        </w:rPr>
        <w:t xml:space="preserve"> </w:t>
      </w:r>
      <w:r w:rsidR="00724375" w:rsidRPr="00CF5136">
        <w:rPr>
          <w:rFonts w:cs="Times New Roman"/>
          <w:sz w:val="24"/>
          <w:szCs w:val="24"/>
        </w:rPr>
        <w:t>laws 144-14</w:t>
      </w:r>
      <w:r w:rsidR="00AD68D7" w:rsidRPr="00CF5136">
        <w:rPr>
          <w:rFonts w:cs="Times New Roman"/>
          <w:sz w:val="24"/>
          <w:szCs w:val="24"/>
        </w:rPr>
        <w:t xml:space="preserve">7 </w:t>
      </w:r>
      <w:r w:rsidR="00724375" w:rsidRPr="00CF5136">
        <w:rPr>
          <w:rFonts w:cs="Times New Roman"/>
          <w:sz w:val="24"/>
          <w:szCs w:val="24"/>
        </w:rPr>
        <w:t>define the circumstances in which a man would have been allowed to take a concubine</w:t>
      </w:r>
      <w:r w:rsidR="00724375" w:rsidRPr="00CF5136">
        <w:rPr>
          <w:rStyle w:val="Funotenzeichen"/>
          <w:rFonts w:cs="Times New Roman"/>
          <w:sz w:val="24"/>
          <w:szCs w:val="24"/>
        </w:rPr>
        <w:footnoteReference w:id="48"/>
      </w:r>
      <w:r w:rsidR="00724375" w:rsidRPr="00CF5136">
        <w:rPr>
          <w:rFonts w:cs="Times New Roman"/>
          <w:sz w:val="24"/>
          <w:szCs w:val="24"/>
        </w:rPr>
        <w:t>, defining the rank of the women involved</w:t>
      </w:r>
      <w:r w:rsidR="00724375" w:rsidRPr="00CF5136">
        <w:rPr>
          <w:rStyle w:val="Funotenzeichen"/>
          <w:rFonts w:cs="Times New Roman"/>
          <w:sz w:val="24"/>
          <w:szCs w:val="24"/>
        </w:rPr>
        <w:footnoteReference w:id="49"/>
      </w:r>
      <w:r w:rsidR="00724375" w:rsidRPr="00CF5136">
        <w:rPr>
          <w:rFonts w:cs="Times New Roman"/>
          <w:sz w:val="24"/>
          <w:szCs w:val="24"/>
        </w:rPr>
        <w:t>, while tying the newcomer to certain conditions</w:t>
      </w:r>
      <w:r w:rsidR="00724375" w:rsidRPr="00CF5136">
        <w:rPr>
          <w:rStyle w:val="Funotenzeichen"/>
          <w:rFonts w:cs="Times New Roman"/>
          <w:sz w:val="24"/>
          <w:szCs w:val="24"/>
        </w:rPr>
        <w:footnoteReference w:id="50"/>
      </w:r>
      <w:r w:rsidR="00724375" w:rsidRPr="00CF5136">
        <w:rPr>
          <w:rFonts w:cs="Times New Roman"/>
          <w:sz w:val="24"/>
          <w:szCs w:val="24"/>
        </w:rPr>
        <w:t xml:space="preserve"> .</w:t>
      </w:r>
      <w:r w:rsidR="00E16003" w:rsidRPr="00CF5136">
        <w:rPr>
          <w:rFonts w:cs="Times New Roman"/>
          <w:sz w:val="24"/>
          <w:szCs w:val="24"/>
        </w:rPr>
        <w:t>Laws 148-149 deal with the scenario of the wife falling ill</w:t>
      </w:r>
      <w:r w:rsidR="00E16003" w:rsidRPr="00257F7D">
        <w:rPr>
          <w:rFonts w:cs="Times New Roman"/>
          <w:sz w:val="24"/>
          <w:szCs w:val="24"/>
        </w:rPr>
        <w:t>,</w:t>
      </w:r>
      <w:r w:rsidR="00E16003" w:rsidRPr="00CF5136">
        <w:rPr>
          <w:rFonts w:cs="Times New Roman"/>
          <w:color w:val="5B9BD5" w:themeColor="accent1"/>
          <w:sz w:val="24"/>
          <w:szCs w:val="24"/>
        </w:rPr>
        <w:t xml:space="preserve"> </w:t>
      </w:r>
      <w:r w:rsidR="00E16003" w:rsidRPr="00CF5136">
        <w:rPr>
          <w:rFonts w:cs="Times New Roman"/>
          <w:sz w:val="24"/>
          <w:szCs w:val="24"/>
        </w:rPr>
        <w:t>naming the husbands duties possibilities in such a case, and the decision the ill wife was allowed to make and their consequence</w:t>
      </w:r>
      <w:r w:rsidR="00E16003" w:rsidRPr="00CF5136">
        <w:rPr>
          <w:rStyle w:val="Funotenzeichen"/>
          <w:rFonts w:cs="Times New Roman"/>
          <w:sz w:val="24"/>
          <w:szCs w:val="24"/>
        </w:rPr>
        <w:footnoteReference w:id="51"/>
      </w:r>
      <w:r w:rsidR="00E16003" w:rsidRPr="00CF5136">
        <w:rPr>
          <w:rFonts w:cs="Times New Roman"/>
          <w:sz w:val="24"/>
          <w:szCs w:val="24"/>
        </w:rPr>
        <w:t xml:space="preserve">. </w:t>
      </w:r>
      <w:r w:rsidR="00AD68D7" w:rsidRPr="00CF5136">
        <w:rPr>
          <w:rFonts w:cs="Times New Roman"/>
          <w:sz w:val="24"/>
          <w:szCs w:val="24"/>
        </w:rPr>
        <w:t>Law 150 concerns the ability of the deceased husband to inherit to his wife, followed by stating what his wife’s legal protection and restrictions would be regarding the latter</w:t>
      </w:r>
      <w:r w:rsidR="00AD68D7" w:rsidRPr="00CF5136">
        <w:rPr>
          <w:rStyle w:val="Funotenzeichen"/>
          <w:rFonts w:cs="Times New Roman"/>
          <w:sz w:val="24"/>
          <w:szCs w:val="24"/>
        </w:rPr>
        <w:footnoteReference w:id="52"/>
      </w:r>
      <w:r w:rsidR="00AD68D7" w:rsidRPr="00CF5136">
        <w:rPr>
          <w:rFonts w:cs="Times New Roman"/>
          <w:sz w:val="24"/>
          <w:szCs w:val="24"/>
        </w:rPr>
        <w:t>.</w:t>
      </w:r>
      <w:r w:rsidR="00D431A1" w:rsidRPr="00CF5136">
        <w:rPr>
          <w:rFonts w:cs="Times New Roman"/>
          <w:sz w:val="24"/>
          <w:szCs w:val="24"/>
        </w:rPr>
        <w:t xml:space="preserve"> The last two laws, 151-152 deal with debts, pinning down under what circumstances which partner was co-responsible when accumulating debt, specifying what responsibilities and protection applied before and after marriage</w:t>
      </w:r>
      <w:r w:rsidR="00D431A1" w:rsidRPr="00CF5136">
        <w:rPr>
          <w:rStyle w:val="Funotenzeichen"/>
          <w:rFonts w:cs="Times New Roman"/>
          <w:sz w:val="24"/>
          <w:szCs w:val="24"/>
        </w:rPr>
        <w:footnoteReference w:id="53"/>
      </w:r>
      <w:r w:rsidR="00D431A1" w:rsidRPr="00CF5136">
        <w:rPr>
          <w:rFonts w:cs="Times New Roman"/>
          <w:sz w:val="24"/>
          <w:szCs w:val="24"/>
        </w:rPr>
        <w:t>.</w:t>
      </w:r>
    </w:p>
    <w:p w14:paraId="307DCAF9" w14:textId="58230F8B" w:rsidR="003608CE" w:rsidRPr="00CF5136" w:rsidRDefault="00C51839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By now it has become evident that all these laws include women, regulating their rights, punishments and restrictions concerning the topics stated above</w:t>
      </w:r>
      <w:r w:rsidRPr="00CF5136">
        <w:rPr>
          <w:rStyle w:val="Funotenzeichen"/>
          <w:rFonts w:cs="Times New Roman"/>
          <w:sz w:val="24"/>
          <w:szCs w:val="24"/>
        </w:rPr>
        <w:footnoteReference w:id="54"/>
      </w:r>
      <w:r w:rsidRPr="00CF5136">
        <w:rPr>
          <w:rFonts w:cs="Times New Roman"/>
          <w:sz w:val="24"/>
          <w:szCs w:val="24"/>
        </w:rPr>
        <w:t xml:space="preserve">, therefore when analysing these laws, one cannot avoid looking at what the legal implications for women would have been. With the help of additional textual evidence, modern scholarship and </w:t>
      </w:r>
      <w:r w:rsidR="002F77A6" w:rsidRPr="00CF5136">
        <w:rPr>
          <w:rFonts w:cs="Times New Roman"/>
          <w:sz w:val="24"/>
          <w:szCs w:val="24"/>
        </w:rPr>
        <w:t>p</w:t>
      </w:r>
      <w:r w:rsidR="003608CE" w:rsidRPr="00CF5136">
        <w:rPr>
          <w:rFonts w:cs="Times New Roman"/>
          <w:sz w:val="24"/>
          <w:szCs w:val="24"/>
        </w:rPr>
        <w:t xml:space="preserve">arallel </w:t>
      </w:r>
      <w:r w:rsidRPr="00CF5136">
        <w:rPr>
          <w:rFonts w:cs="Times New Roman"/>
          <w:sz w:val="24"/>
          <w:szCs w:val="24"/>
        </w:rPr>
        <w:t>civilizations of the ancient Middle East,</w:t>
      </w:r>
      <w:r w:rsidR="003608CE" w:rsidRPr="00CF5136">
        <w:rPr>
          <w:rFonts w:cs="Times New Roman"/>
          <w:sz w:val="24"/>
          <w:szCs w:val="24"/>
        </w:rPr>
        <w:t xml:space="preserve"> used for comparison, such as Nuzi of ancient Assyria</w:t>
      </w:r>
      <w:r w:rsidR="003608CE" w:rsidRPr="00CF5136">
        <w:rPr>
          <w:rStyle w:val="Funotenzeichen"/>
          <w:rFonts w:cs="Times New Roman"/>
          <w:sz w:val="24"/>
          <w:szCs w:val="24"/>
        </w:rPr>
        <w:footnoteReference w:id="55"/>
      </w:r>
      <w:r w:rsidRPr="00CF5136">
        <w:rPr>
          <w:rFonts w:cs="Times New Roman"/>
          <w:sz w:val="24"/>
          <w:szCs w:val="24"/>
        </w:rPr>
        <w:t>, the position of women of ancient Babylonia will be made clearer.</w:t>
      </w:r>
    </w:p>
    <w:p w14:paraId="0F6E7DBD" w14:textId="77777777" w:rsidR="00067118" w:rsidRPr="00CF5136" w:rsidRDefault="00A55383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Firstly, the future of the women concerned were set into legal law, protecting them from</w:t>
      </w:r>
      <w:r w:rsidR="00B968E2" w:rsidRPr="00CF5136">
        <w:rPr>
          <w:rFonts w:cs="Times New Roman"/>
          <w:sz w:val="24"/>
          <w:szCs w:val="24"/>
        </w:rPr>
        <w:t xml:space="preserve"> arbitrary </w:t>
      </w:r>
      <w:r w:rsidRPr="00CF5136">
        <w:rPr>
          <w:rFonts w:cs="Times New Roman"/>
          <w:sz w:val="24"/>
          <w:szCs w:val="24"/>
        </w:rPr>
        <w:t>actions by their</w:t>
      </w:r>
      <w:r w:rsidR="00442716" w:rsidRPr="00CF5136">
        <w:rPr>
          <w:rFonts w:cs="Times New Roman"/>
          <w:sz w:val="24"/>
          <w:szCs w:val="24"/>
        </w:rPr>
        <w:t xml:space="preserve"> husband</w:t>
      </w:r>
      <w:r w:rsidRPr="00CF5136">
        <w:rPr>
          <w:rFonts w:cs="Times New Roman"/>
          <w:sz w:val="24"/>
          <w:szCs w:val="24"/>
        </w:rPr>
        <w:t xml:space="preserve">s by giving them a defined place in the household, as can </w:t>
      </w:r>
      <w:r w:rsidRPr="00CF5136">
        <w:rPr>
          <w:rFonts w:cs="Times New Roman"/>
          <w:sz w:val="24"/>
          <w:szCs w:val="24"/>
        </w:rPr>
        <w:lastRenderedPageBreak/>
        <w:t>be seen by</w:t>
      </w:r>
      <w:r w:rsidR="00B968E2" w:rsidRPr="00CF5136">
        <w:rPr>
          <w:rFonts w:cs="Times New Roman"/>
          <w:sz w:val="24"/>
          <w:szCs w:val="24"/>
        </w:rPr>
        <w:t xml:space="preserve"> law 141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56"/>
      </w:r>
      <w:r w:rsidR="00B968E2" w:rsidRPr="00CF5136">
        <w:rPr>
          <w:rFonts w:cs="Times New Roman"/>
          <w:sz w:val="24"/>
          <w:szCs w:val="24"/>
        </w:rPr>
        <w:t>.</w:t>
      </w:r>
      <w:r w:rsidR="00F548F0" w:rsidRPr="00CF5136">
        <w:rPr>
          <w:rFonts w:cs="Times New Roman"/>
          <w:sz w:val="24"/>
          <w:szCs w:val="24"/>
        </w:rPr>
        <w:t xml:space="preserve"> Women that were abused by their husbands to a degree that she could prove it, were protected by the law</w:t>
      </w:r>
      <w:r w:rsidR="00A85990" w:rsidRPr="00CF5136">
        <w:rPr>
          <w:rStyle w:val="Funotenzeichen"/>
          <w:rFonts w:cs="Times New Roman"/>
          <w:sz w:val="24"/>
          <w:szCs w:val="24"/>
        </w:rPr>
        <w:footnoteReference w:id="57"/>
      </w:r>
      <w:r w:rsidR="00B968E2" w:rsidRPr="00CF5136">
        <w:rPr>
          <w:rFonts w:cs="Times New Roman"/>
          <w:sz w:val="24"/>
          <w:szCs w:val="24"/>
        </w:rPr>
        <w:t>.</w:t>
      </w:r>
      <w:r w:rsidR="00A713BC" w:rsidRPr="00CF5136">
        <w:rPr>
          <w:rFonts w:cs="Times New Roman"/>
          <w:sz w:val="24"/>
          <w:szCs w:val="24"/>
        </w:rPr>
        <w:t xml:space="preserve"> </w:t>
      </w:r>
    </w:p>
    <w:p w14:paraId="10E8094C" w14:textId="461F3D29" w:rsidR="00E1723B" w:rsidRPr="00CF5136" w:rsidRDefault="00701E10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</w:t>
      </w:r>
      <w:r w:rsidR="00B968E2" w:rsidRPr="00CF5136">
        <w:rPr>
          <w:rFonts w:cs="Times New Roman"/>
          <w:sz w:val="24"/>
          <w:szCs w:val="24"/>
        </w:rPr>
        <w:t>he future of the legitimate children was cared for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58"/>
      </w:r>
      <w:r w:rsidRPr="00CF5136">
        <w:rPr>
          <w:rFonts w:cs="Times New Roman"/>
          <w:sz w:val="24"/>
          <w:szCs w:val="24"/>
        </w:rPr>
        <w:t>, and w</w:t>
      </w:r>
      <w:r w:rsidR="001C6343">
        <w:rPr>
          <w:rFonts w:cs="Times New Roman"/>
          <w:sz w:val="24"/>
          <w:szCs w:val="24"/>
        </w:rPr>
        <w:t>omen of</w:t>
      </w:r>
      <w:r w:rsidRPr="00CF5136">
        <w:rPr>
          <w:rFonts w:cs="Times New Roman"/>
          <w:sz w:val="24"/>
          <w:szCs w:val="24"/>
        </w:rPr>
        <w:t xml:space="preserve"> free</w:t>
      </w:r>
      <w:r w:rsidR="00A85990" w:rsidRPr="00CF5136">
        <w:rPr>
          <w:rFonts w:cs="Times New Roman"/>
          <w:sz w:val="24"/>
          <w:szCs w:val="24"/>
        </w:rPr>
        <w:t xml:space="preserve"> men were given</w:t>
      </w:r>
      <w:r w:rsidRPr="00CF5136">
        <w:rPr>
          <w:rFonts w:cs="Times New Roman"/>
          <w:sz w:val="24"/>
          <w:szCs w:val="24"/>
        </w:rPr>
        <w:t xml:space="preserve"> a set</w:t>
      </w:r>
      <w:r w:rsidR="00A85990" w:rsidRPr="00CF5136">
        <w:rPr>
          <w:rFonts w:cs="Times New Roman"/>
          <w:sz w:val="24"/>
          <w:szCs w:val="24"/>
        </w:rPr>
        <w:t xml:space="preserve"> compensation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59"/>
      </w:r>
      <w:r w:rsidR="00DE6146">
        <w:rPr>
          <w:rFonts w:cs="Times New Roman"/>
          <w:sz w:val="24"/>
          <w:szCs w:val="24"/>
        </w:rPr>
        <w:t>.</w:t>
      </w:r>
      <w:r w:rsidR="007672E5" w:rsidRPr="00CF5136">
        <w:rPr>
          <w:rFonts w:cs="Times New Roman"/>
          <w:color w:val="C00000"/>
          <w:sz w:val="24"/>
          <w:szCs w:val="24"/>
        </w:rPr>
        <w:t xml:space="preserve"> </w:t>
      </w:r>
      <w:proofErr w:type="gramStart"/>
      <w:r w:rsidR="00B968E2" w:rsidRPr="00CF5136">
        <w:rPr>
          <w:rFonts w:cs="Times New Roman"/>
          <w:sz w:val="24"/>
          <w:szCs w:val="24"/>
        </w:rPr>
        <w:t>Stol</w:t>
      </w:r>
      <w:proofErr w:type="gramEnd"/>
      <w:r w:rsidR="007672E5" w:rsidRPr="00CF5136">
        <w:rPr>
          <w:rFonts w:cs="Times New Roman"/>
          <w:sz w:val="24"/>
          <w:szCs w:val="24"/>
        </w:rPr>
        <w:t xml:space="preserve"> perceived the code as strongly punishing women </w:t>
      </w:r>
      <w:r w:rsidR="00422603" w:rsidRPr="00CF5136">
        <w:rPr>
          <w:rFonts w:cs="Times New Roman"/>
          <w:sz w:val="24"/>
          <w:szCs w:val="24"/>
        </w:rPr>
        <w:t>initiating</w:t>
      </w:r>
      <w:r w:rsidR="00B968E2" w:rsidRPr="00CF5136">
        <w:rPr>
          <w:rFonts w:cs="Times New Roman"/>
          <w:sz w:val="24"/>
          <w:szCs w:val="24"/>
        </w:rPr>
        <w:t xml:space="preserve"> divor</w:t>
      </w:r>
      <w:r w:rsidR="007672E5" w:rsidRPr="00CF5136">
        <w:rPr>
          <w:rFonts w:cs="Times New Roman"/>
          <w:sz w:val="24"/>
          <w:szCs w:val="24"/>
        </w:rPr>
        <w:t>ce, stating the lawgiver as only granting it under special circumstances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60"/>
      </w:r>
      <w:r w:rsidR="00B968E2" w:rsidRPr="00CF5136">
        <w:rPr>
          <w:rFonts w:cs="Times New Roman"/>
          <w:sz w:val="24"/>
          <w:szCs w:val="24"/>
        </w:rPr>
        <w:t>.</w:t>
      </w:r>
      <w:r w:rsidR="007672E5" w:rsidRPr="00CF5136">
        <w:rPr>
          <w:rFonts w:cs="Times New Roman"/>
          <w:sz w:val="24"/>
          <w:szCs w:val="24"/>
        </w:rPr>
        <w:t xml:space="preserve"> </w:t>
      </w:r>
      <w:r w:rsidR="00B968E2" w:rsidRPr="00CF5136">
        <w:rPr>
          <w:rFonts w:cs="Times New Roman"/>
          <w:sz w:val="24"/>
          <w:szCs w:val="24"/>
        </w:rPr>
        <w:t xml:space="preserve"> Contraril</w:t>
      </w:r>
      <w:r w:rsidR="00422603" w:rsidRPr="00CF5136">
        <w:rPr>
          <w:rFonts w:cs="Times New Roman"/>
          <w:sz w:val="24"/>
          <w:szCs w:val="24"/>
        </w:rPr>
        <w:t>y, Vincent views</w:t>
      </w:r>
      <w:r w:rsidR="00B968E2" w:rsidRPr="00CF5136">
        <w:rPr>
          <w:rFonts w:cs="Times New Roman"/>
          <w:sz w:val="24"/>
          <w:szCs w:val="24"/>
        </w:rPr>
        <w:t xml:space="preserve"> that the code would have protected the rights of women</w:t>
      </w:r>
      <w:r w:rsidR="00792BB1" w:rsidRPr="00CF5136">
        <w:rPr>
          <w:rFonts w:cs="Times New Roman"/>
          <w:sz w:val="24"/>
          <w:szCs w:val="24"/>
        </w:rPr>
        <w:t>.</w:t>
      </w:r>
      <w:r w:rsidR="007741E6" w:rsidRPr="00CF5136">
        <w:rPr>
          <w:rFonts w:cs="Times New Roman"/>
          <w:sz w:val="24"/>
          <w:szCs w:val="24"/>
        </w:rPr>
        <w:t xml:space="preserve"> C</w:t>
      </w:r>
      <w:r w:rsidR="00060151" w:rsidRPr="00CF5136">
        <w:rPr>
          <w:rFonts w:cs="Times New Roman"/>
          <w:sz w:val="24"/>
          <w:szCs w:val="24"/>
        </w:rPr>
        <w:t>ontracts</w:t>
      </w:r>
      <w:r w:rsidR="00B968E2" w:rsidRPr="00CF5136">
        <w:rPr>
          <w:rFonts w:cs="Times New Roman"/>
          <w:sz w:val="24"/>
          <w:szCs w:val="24"/>
        </w:rPr>
        <w:t xml:space="preserve"> </w:t>
      </w:r>
      <w:r w:rsidR="007741E6" w:rsidRPr="00CF5136">
        <w:rPr>
          <w:rFonts w:cs="Times New Roman"/>
          <w:sz w:val="24"/>
          <w:szCs w:val="24"/>
        </w:rPr>
        <w:t xml:space="preserve">found </w:t>
      </w:r>
      <w:r w:rsidR="00B968E2" w:rsidRPr="00CF5136">
        <w:rPr>
          <w:rFonts w:cs="Times New Roman"/>
          <w:sz w:val="24"/>
          <w:szCs w:val="24"/>
        </w:rPr>
        <w:t>from the Old-Babylonian period</w:t>
      </w:r>
      <w:r w:rsidR="007741E6" w:rsidRPr="00CF5136">
        <w:rPr>
          <w:rFonts w:cs="Times New Roman"/>
          <w:sz w:val="24"/>
          <w:szCs w:val="24"/>
        </w:rPr>
        <w:t>,</w:t>
      </w:r>
      <w:r w:rsidR="00060151" w:rsidRPr="00CF5136">
        <w:rPr>
          <w:rFonts w:cs="Times New Roman"/>
          <w:sz w:val="24"/>
          <w:szCs w:val="24"/>
        </w:rPr>
        <w:t xml:space="preserve"> showed</w:t>
      </w:r>
      <w:r w:rsidR="00B968E2" w:rsidRPr="00CF5136">
        <w:rPr>
          <w:rFonts w:cs="Times New Roman"/>
          <w:sz w:val="24"/>
          <w:szCs w:val="24"/>
        </w:rPr>
        <w:t xml:space="preserve"> that the financial punishment for a </w:t>
      </w:r>
      <w:r w:rsidR="00060151" w:rsidRPr="00CF5136">
        <w:rPr>
          <w:rFonts w:cs="Times New Roman"/>
          <w:sz w:val="24"/>
          <w:szCs w:val="24"/>
        </w:rPr>
        <w:t xml:space="preserve">divorce could be equal for </w:t>
      </w:r>
      <w:r w:rsidR="00B968E2" w:rsidRPr="00CF5136">
        <w:rPr>
          <w:rFonts w:cs="Times New Roman"/>
          <w:sz w:val="24"/>
          <w:szCs w:val="24"/>
        </w:rPr>
        <w:t>men and women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61"/>
      </w:r>
      <w:r w:rsidR="00B968E2" w:rsidRPr="00CF5136">
        <w:rPr>
          <w:rFonts w:cs="Times New Roman"/>
          <w:sz w:val="24"/>
          <w:szCs w:val="24"/>
        </w:rPr>
        <w:t xml:space="preserve">. Leaving her husband was an overall difficult process for a </w:t>
      </w:r>
      <w:r w:rsidR="001F316F" w:rsidRPr="00CF5136">
        <w:rPr>
          <w:rFonts w:cs="Times New Roman"/>
          <w:sz w:val="24"/>
          <w:szCs w:val="24"/>
        </w:rPr>
        <w:t xml:space="preserve">woman, but could have been </w:t>
      </w:r>
      <w:r w:rsidR="007741E6" w:rsidRPr="00CF5136">
        <w:rPr>
          <w:rFonts w:cs="Times New Roman"/>
          <w:sz w:val="24"/>
          <w:szCs w:val="24"/>
        </w:rPr>
        <w:t xml:space="preserve">made </w:t>
      </w:r>
      <w:r w:rsidR="00B968E2" w:rsidRPr="00CF5136">
        <w:rPr>
          <w:rFonts w:cs="Times New Roman"/>
          <w:sz w:val="24"/>
          <w:szCs w:val="24"/>
        </w:rPr>
        <w:t>simpler, if the women’</w:t>
      </w:r>
      <w:r w:rsidR="001F316F" w:rsidRPr="00CF5136">
        <w:rPr>
          <w:rFonts w:cs="Times New Roman"/>
          <w:sz w:val="24"/>
          <w:szCs w:val="24"/>
        </w:rPr>
        <w:t>s parents were</w:t>
      </w:r>
      <w:r w:rsidR="00B968E2" w:rsidRPr="00CF5136">
        <w:rPr>
          <w:rFonts w:cs="Times New Roman"/>
          <w:sz w:val="24"/>
          <w:szCs w:val="24"/>
        </w:rPr>
        <w:t xml:space="preserve"> powerful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62"/>
      </w:r>
      <w:r w:rsidR="002C0B59" w:rsidRPr="00CF5136">
        <w:rPr>
          <w:rFonts w:cs="Times New Roman"/>
          <w:sz w:val="24"/>
          <w:szCs w:val="24"/>
        </w:rPr>
        <w:t>.On the contrary, poor families would have had to sell their daughters</w:t>
      </w:r>
      <w:r w:rsidR="002C0B59" w:rsidRPr="00CF5136">
        <w:rPr>
          <w:rStyle w:val="Funotenzeichen"/>
          <w:rFonts w:cs="Times New Roman"/>
          <w:sz w:val="24"/>
          <w:szCs w:val="24"/>
        </w:rPr>
        <w:footnoteReference w:id="63"/>
      </w:r>
      <w:r w:rsidR="001C6343">
        <w:rPr>
          <w:rFonts w:cs="Times New Roman"/>
          <w:sz w:val="24"/>
          <w:szCs w:val="24"/>
        </w:rPr>
        <w:t xml:space="preserve">, </w:t>
      </w:r>
      <w:r w:rsidR="00B73036">
        <w:rPr>
          <w:rFonts w:cs="Times New Roman"/>
          <w:sz w:val="24"/>
          <w:szCs w:val="24"/>
        </w:rPr>
        <w:t xml:space="preserve">a practice </w:t>
      </w:r>
      <w:r w:rsidR="001C6343">
        <w:rPr>
          <w:rFonts w:cs="Times New Roman"/>
          <w:sz w:val="24"/>
          <w:szCs w:val="24"/>
        </w:rPr>
        <w:t>living up to</w:t>
      </w:r>
      <w:r w:rsidR="002C0B59" w:rsidRPr="00CF5136">
        <w:rPr>
          <w:rFonts w:cs="Times New Roman"/>
          <w:sz w:val="24"/>
          <w:szCs w:val="24"/>
        </w:rPr>
        <w:t xml:space="preserve"> the word</w:t>
      </w:r>
      <w:r w:rsidR="00067118" w:rsidRPr="00CF5136">
        <w:rPr>
          <w:rFonts w:cs="Times New Roman"/>
          <w:sz w:val="24"/>
          <w:szCs w:val="24"/>
        </w:rPr>
        <w:t xml:space="preserve"> </w:t>
      </w:r>
      <w:r w:rsidR="002C0B59" w:rsidRPr="00CF5136">
        <w:rPr>
          <w:rFonts w:cs="Times New Roman"/>
          <w:sz w:val="24"/>
          <w:szCs w:val="24"/>
        </w:rPr>
        <w:t xml:space="preserve">brideprice, </w:t>
      </w:r>
      <w:r w:rsidR="002C0B59" w:rsidRPr="00CF5136">
        <w:rPr>
          <w:rFonts w:cs="Times New Roman"/>
          <w:i/>
          <w:sz w:val="24"/>
          <w:szCs w:val="24"/>
        </w:rPr>
        <w:t>terhatum</w:t>
      </w:r>
      <w:r w:rsidR="001C6343">
        <w:rPr>
          <w:rFonts w:cs="Times New Roman"/>
          <w:sz w:val="24"/>
          <w:szCs w:val="24"/>
        </w:rPr>
        <w:t xml:space="preserve">, literally meaning </w:t>
      </w:r>
      <w:r w:rsidR="002C0B59" w:rsidRPr="00CF5136">
        <w:rPr>
          <w:rFonts w:cs="Times New Roman"/>
          <w:sz w:val="24"/>
          <w:szCs w:val="24"/>
        </w:rPr>
        <w:t>the</w:t>
      </w:r>
      <w:r w:rsidR="00F12745">
        <w:rPr>
          <w:rFonts w:cs="Times New Roman"/>
          <w:sz w:val="24"/>
          <w:szCs w:val="24"/>
        </w:rPr>
        <w:t xml:space="preserve"> </w:t>
      </w:r>
      <w:r w:rsidR="002C0B59" w:rsidRPr="00CF5136">
        <w:rPr>
          <w:rFonts w:cs="Times New Roman"/>
          <w:sz w:val="24"/>
          <w:szCs w:val="24"/>
        </w:rPr>
        <w:t>‘price for a woman’</w:t>
      </w:r>
      <w:r w:rsidR="002C0B59" w:rsidRPr="00CF5136">
        <w:rPr>
          <w:rStyle w:val="Funotenzeichen"/>
          <w:rFonts w:cs="Times New Roman"/>
          <w:sz w:val="24"/>
          <w:szCs w:val="24"/>
        </w:rPr>
        <w:footnoteReference w:id="64"/>
      </w:r>
      <w:r w:rsidR="00074222">
        <w:rPr>
          <w:rFonts w:cs="Times New Roman"/>
          <w:sz w:val="24"/>
          <w:szCs w:val="24"/>
        </w:rPr>
        <w:t>.</w:t>
      </w:r>
    </w:p>
    <w:p w14:paraId="4CF92698" w14:textId="099DCE94" w:rsidR="009D5750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 xml:space="preserve"> </w:t>
      </w:r>
      <w:r w:rsidR="001F316F" w:rsidRPr="00CF5136">
        <w:rPr>
          <w:rFonts w:cs="Times New Roman"/>
          <w:sz w:val="24"/>
          <w:szCs w:val="24"/>
        </w:rPr>
        <w:t>Being a</w:t>
      </w:r>
      <w:r w:rsidRPr="00CF5136">
        <w:rPr>
          <w:rFonts w:cs="Times New Roman"/>
          <w:sz w:val="24"/>
          <w:szCs w:val="24"/>
        </w:rPr>
        <w:t xml:space="preserve"> wife would </w:t>
      </w:r>
      <w:r w:rsidR="001F316F" w:rsidRPr="00CF5136">
        <w:rPr>
          <w:rFonts w:cs="Times New Roman"/>
          <w:sz w:val="24"/>
          <w:szCs w:val="24"/>
        </w:rPr>
        <w:t xml:space="preserve">have been </w:t>
      </w:r>
      <w:r w:rsidRPr="00CF5136">
        <w:rPr>
          <w:rFonts w:cs="Times New Roman"/>
          <w:sz w:val="24"/>
          <w:szCs w:val="24"/>
        </w:rPr>
        <w:t xml:space="preserve">important in Babylonian society, </w:t>
      </w:r>
      <w:r w:rsidR="001F316F" w:rsidRPr="00CF5136">
        <w:rPr>
          <w:rFonts w:cs="Times New Roman"/>
          <w:sz w:val="24"/>
          <w:szCs w:val="24"/>
        </w:rPr>
        <w:t>with no newcomer to</w:t>
      </w:r>
      <w:r w:rsidRPr="00CF5136">
        <w:rPr>
          <w:rFonts w:cs="Times New Roman"/>
          <w:sz w:val="24"/>
          <w:szCs w:val="24"/>
        </w:rPr>
        <w:t xml:space="preserve"> challenge</w:t>
      </w:r>
      <w:r w:rsidR="001F316F" w:rsidRPr="00CF5136">
        <w:rPr>
          <w:rFonts w:cs="Times New Roman"/>
          <w:sz w:val="24"/>
          <w:szCs w:val="24"/>
        </w:rPr>
        <w:t xml:space="preserve"> her position</w:t>
      </w:r>
      <w:r w:rsidR="00215FFF" w:rsidRPr="00CF5136">
        <w:rPr>
          <w:rFonts w:cs="Times New Roman"/>
          <w:sz w:val="24"/>
          <w:szCs w:val="24"/>
        </w:rPr>
        <w:t xml:space="preserve"> if she was a dutiful</w:t>
      </w:r>
      <w:r w:rsidRPr="00CF5136">
        <w:rPr>
          <w:rStyle w:val="Funotenzeichen"/>
          <w:rFonts w:cs="Times New Roman"/>
          <w:sz w:val="24"/>
          <w:szCs w:val="24"/>
        </w:rPr>
        <w:footnoteReference w:id="65"/>
      </w:r>
      <w:r w:rsidR="00215FFF" w:rsidRPr="00CF5136">
        <w:rPr>
          <w:rFonts w:cs="Times New Roman"/>
          <w:sz w:val="24"/>
          <w:szCs w:val="24"/>
        </w:rPr>
        <w:t xml:space="preserve">, showing that wives were valued for </w:t>
      </w:r>
      <w:r w:rsidRPr="00CF5136">
        <w:rPr>
          <w:rFonts w:cs="Times New Roman"/>
          <w:sz w:val="24"/>
          <w:szCs w:val="24"/>
        </w:rPr>
        <w:t>more than just</w:t>
      </w:r>
      <w:r w:rsidR="00215FFF" w:rsidRPr="00CF5136">
        <w:rPr>
          <w:rFonts w:cs="Times New Roman"/>
          <w:sz w:val="24"/>
          <w:szCs w:val="24"/>
        </w:rPr>
        <w:t xml:space="preserve"> their production of</w:t>
      </w:r>
      <w:r w:rsidRPr="00CF5136">
        <w:rPr>
          <w:rFonts w:cs="Times New Roman"/>
          <w:sz w:val="24"/>
          <w:szCs w:val="24"/>
        </w:rPr>
        <w:t xml:space="preserve"> children</w:t>
      </w:r>
      <w:r w:rsidRPr="00CF5136">
        <w:rPr>
          <w:rStyle w:val="Funotenzeichen"/>
          <w:rFonts w:cs="Times New Roman"/>
          <w:sz w:val="24"/>
          <w:szCs w:val="24"/>
        </w:rPr>
        <w:footnoteReference w:id="66"/>
      </w:r>
      <w:r w:rsidRPr="00CF5136">
        <w:rPr>
          <w:rFonts w:cs="Times New Roman"/>
          <w:sz w:val="24"/>
          <w:szCs w:val="24"/>
        </w:rPr>
        <w:t>. On the other hand, any woman who was not a wife, was valued a</w:t>
      </w:r>
      <w:r w:rsidR="00731F02" w:rsidRPr="00CF5136">
        <w:rPr>
          <w:rFonts w:cs="Times New Roman"/>
          <w:sz w:val="24"/>
          <w:szCs w:val="24"/>
        </w:rPr>
        <w:t>ccording to her ability to bare children</w:t>
      </w:r>
      <w:r w:rsidRPr="00CF5136">
        <w:rPr>
          <w:rStyle w:val="Funotenzeichen"/>
          <w:rFonts w:cs="Times New Roman"/>
          <w:sz w:val="24"/>
          <w:szCs w:val="24"/>
        </w:rPr>
        <w:footnoteReference w:id="67"/>
      </w:r>
      <w:r w:rsidRPr="00CF5136">
        <w:rPr>
          <w:rFonts w:cs="Times New Roman"/>
          <w:sz w:val="24"/>
          <w:szCs w:val="24"/>
        </w:rPr>
        <w:t xml:space="preserve">. </w:t>
      </w:r>
      <w:r w:rsidR="00731F02" w:rsidRPr="00CF5136">
        <w:rPr>
          <w:rFonts w:cs="Times New Roman"/>
          <w:sz w:val="24"/>
          <w:szCs w:val="24"/>
        </w:rPr>
        <w:t>M</w:t>
      </w:r>
      <w:r w:rsidRPr="00CF5136">
        <w:rPr>
          <w:rFonts w:cs="Times New Roman"/>
          <w:sz w:val="24"/>
          <w:szCs w:val="24"/>
        </w:rPr>
        <w:t>arriage in Babylonia was generally monogamous</w:t>
      </w:r>
      <w:r w:rsidRPr="00CF5136">
        <w:rPr>
          <w:rStyle w:val="Funotenzeichen"/>
          <w:rFonts w:cs="Times New Roman"/>
          <w:sz w:val="24"/>
          <w:szCs w:val="24"/>
        </w:rPr>
        <w:footnoteReference w:id="68"/>
      </w:r>
      <w:r w:rsidR="00731F02" w:rsidRPr="00CF5136">
        <w:rPr>
          <w:rFonts w:cs="Times New Roman"/>
          <w:sz w:val="24"/>
          <w:szCs w:val="24"/>
        </w:rPr>
        <w:t xml:space="preserve"> with circumstances leading to another woman in the household, clearly defined</w:t>
      </w:r>
      <w:r w:rsidR="00731F02" w:rsidRPr="00CF5136">
        <w:rPr>
          <w:rStyle w:val="Funotenzeichen"/>
          <w:rFonts w:cs="Times New Roman"/>
          <w:sz w:val="24"/>
          <w:szCs w:val="24"/>
        </w:rPr>
        <w:footnoteReference w:id="69"/>
      </w:r>
      <w:r w:rsidRPr="00CF5136">
        <w:rPr>
          <w:rFonts w:cs="Times New Roman"/>
          <w:sz w:val="24"/>
          <w:szCs w:val="24"/>
        </w:rPr>
        <w:t>. In contrast, Paradise d</w:t>
      </w:r>
      <w:r w:rsidR="00F05B5A" w:rsidRPr="00CF5136">
        <w:rPr>
          <w:rFonts w:cs="Times New Roman"/>
          <w:sz w:val="24"/>
          <w:szCs w:val="24"/>
        </w:rPr>
        <w:t>oes not specify when</w:t>
      </w:r>
      <w:r w:rsidRPr="00CF5136">
        <w:rPr>
          <w:rFonts w:cs="Times New Roman"/>
          <w:sz w:val="24"/>
          <w:szCs w:val="24"/>
        </w:rPr>
        <w:t xml:space="preserve"> a man was allowed to take a concubine in ancient Nuzi, </w:t>
      </w:r>
      <w:r w:rsidR="00731F02" w:rsidRPr="00CF5136">
        <w:rPr>
          <w:rFonts w:cs="Times New Roman"/>
          <w:sz w:val="24"/>
          <w:szCs w:val="24"/>
        </w:rPr>
        <w:t xml:space="preserve">but simply stating that a </w:t>
      </w:r>
      <w:r w:rsidR="00F05B5A" w:rsidRPr="00CF5136">
        <w:rPr>
          <w:rFonts w:cs="Times New Roman"/>
          <w:sz w:val="24"/>
          <w:szCs w:val="24"/>
        </w:rPr>
        <w:t>man</w:t>
      </w:r>
      <w:r w:rsidR="00731F02" w:rsidRPr="00CF5136">
        <w:rPr>
          <w:rFonts w:cs="Times New Roman"/>
          <w:sz w:val="24"/>
          <w:szCs w:val="24"/>
        </w:rPr>
        <w:t xml:space="preserve"> could always</w:t>
      </w:r>
      <w:r w:rsidR="00F05B5A" w:rsidRPr="00CF5136">
        <w:rPr>
          <w:rFonts w:cs="Times New Roman"/>
          <w:sz w:val="24"/>
          <w:szCs w:val="24"/>
        </w:rPr>
        <w:t xml:space="preserve"> </w:t>
      </w:r>
      <w:r w:rsidRPr="00CF5136">
        <w:rPr>
          <w:rFonts w:cs="Times New Roman"/>
          <w:sz w:val="24"/>
          <w:szCs w:val="24"/>
        </w:rPr>
        <w:t>do so</w:t>
      </w:r>
      <w:r w:rsidRPr="00CF5136">
        <w:rPr>
          <w:rStyle w:val="Funotenzeichen"/>
          <w:rFonts w:cs="Times New Roman"/>
          <w:sz w:val="24"/>
          <w:szCs w:val="24"/>
        </w:rPr>
        <w:footnoteReference w:id="70"/>
      </w:r>
      <w:r w:rsidRPr="00CF5136">
        <w:rPr>
          <w:rFonts w:cs="Times New Roman"/>
          <w:sz w:val="24"/>
          <w:szCs w:val="24"/>
        </w:rPr>
        <w:t>, further, the men of Nuzi could promote their concubine</w:t>
      </w:r>
      <w:r w:rsidR="00731F02" w:rsidRPr="00CF5136">
        <w:rPr>
          <w:rFonts w:cs="Times New Roman"/>
          <w:sz w:val="24"/>
          <w:szCs w:val="24"/>
        </w:rPr>
        <w:t>’</w:t>
      </w:r>
      <w:r w:rsidRPr="00CF5136">
        <w:rPr>
          <w:rFonts w:cs="Times New Roman"/>
          <w:sz w:val="24"/>
          <w:szCs w:val="24"/>
        </w:rPr>
        <w:t>s status above that of their wives, giving women less security i</w:t>
      </w:r>
      <w:r w:rsidR="00731F02" w:rsidRPr="00CF5136">
        <w:rPr>
          <w:rFonts w:cs="Times New Roman"/>
          <w:sz w:val="24"/>
          <w:szCs w:val="24"/>
        </w:rPr>
        <w:t>n that</w:t>
      </w:r>
      <w:r w:rsidRPr="00CF5136">
        <w:rPr>
          <w:rFonts w:cs="Times New Roman"/>
          <w:sz w:val="24"/>
          <w:szCs w:val="24"/>
        </w:rPr>
        <w:t xml:space="preserve"> position</w:t>
      </w:r>
      <w:r w:rsidRPr="00CF5136">
        <w:rPr>
          <w:rStyle w:val="Funotenzeichen"/>
          <w:rFonts w:cs="Times New Roman"/>
          <w:sz w:val="24"/>
          <w:szCs w:val="24"/>
        </w:rPr>
        <w:footnoteReference w:id="71"/>
      </w:r>
      <w:r w:rsidR="00731F02" w:rsidRPr="00CF5136">
        <w:rPr>
          <w:rFonts w:cs="Times New Roman"/>
          <w:sz w:val="24"/>
          <w:szCs w:val="24"/>
        </w:rPr>
        <w:t>.</w:t>
      </w:r>
      <w:r w:rsidRPr="00CF5136">
        <w:rPr>
          <w:rFonts w:cs="Times New Roman"/>
          <w:sz w:val="24"/>
          <w:szCs w:val="24"/>
        </w:rPr>
        <w:t>The w</w:t>
      </w:r>
      <w:r w:rsidR="00EA4773" w:rsidRPr="00CF5136">
        <w:rPr>
          <w:rFonts w:cs="Times New Roman"/>
          <w:sz w:val="24"/>
          <w:szCs w:val="24"/>
        </w:rPr>
        <w:t xml:space="preserve">ives of Nuzi were </w:t>
      </w:r>
      <w:r w:rsidR="009D5750" w:rsidRPr="00CF5136">
        <w:rPr>
          <w:rFonts w:cs="Times New Roman"/>
          <w:sz w:val="24"/>
          <w:szCs w:val="24"/>
        </w:rPr>
        <w:t>much reduced to</w:t>
      </w:r>
      <w:r w:rsidRPr="00CF5136">
        <w:rPr>
          <w:rFonts w:cs="Times New Roman"/>
          <w:sz w:val="24"/>
          <w:szCs w:val="24"/>
        </w:rPr>
        <w:t xml:space="preserve"> their ability to produce children, as the second part of the bride price was only paid, when the woman ha</w:t>
      </w:r>
      <w:r w:rsidR="00EA4773" w:rsidRPr="00CF5136">
        <w:rPr>
          <w:rFonts w:cs="Times New Roman"/>
          <w:sz w:val="24"/>
          <w:szCs w:val="24"/>
        </w:rPr>
        <w:t>d given birth</w:t>
      </w:r>
      <w:r w:rsidRPr="00CF5136">
        <w:rPr>
          <w:rStyle w:val="Funotenzeichen"/>
          <w:rFonts w:cs="Times New Roman"/>
          <w:sz w:val="24"/>
          <w:szCs w:val="24"/>
        </w:rPr>
        <w:footnoteReference w:id="72"/>
      </w:r>
      <w:r w:rsidRPr="00CF5136">
        <w:rPr>
          <w:rFonts w:cs="Times New Roman"/>
          <w:sz w:val="24"/>
          <w:szCs w:val="24"/>
        </w:rPr>
        <w:t xml:space="preserve">. </w:t>
      </w:r>
    </w:p>
    <w:p w14:paraId="6A167411" w14:textId="433F02B1" w:rsidR="00BF6668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 xml:space="preserve">According to </w:t>
      </w:r>
      <w:proofErr w:type="gramStart"/>
      <w:r w:rsidRPr="00CF5136">
        <w:rPr>
          <w:rFonts w:cs="Times New Roman"/>
          <w:sz w:val="24"/>
          <w:szCs w:val="24"/>
        </w:rPr>
        <w:t>Stol</w:t>
      </w:r>
      <w:proofErr w:type="gramEnd"/>
      <w:r w:rsidRPr="00CF5136">
        <w:rPr>
          <w:rFonts w:cs="Times New Roman"/>
          <w:sz w:val="24"/>
          <w:szCs w:val="24"/>
        </w:rPr>
        <w:t>, any second wife coming into a household would have been pre</w:t>
      </w:r>
      <w:r w:rsidR="00EA4773" w:rsidRPr="00CF5136">
        <w:rPr>
          <w:rFonts w:cs="Times New Roman"/>
          <w:sz w:val="24"/>
          <w:szCs w:val="24"/>
        </w:rPr>
        <w:t xml:space="preserve">sented by the first wife, as </w:t>
      </w:r>
      <w:r w:rsidRPr="00CF5136">
        <w:rPr>
          <w:rFonts w:cs="Times New Roman"/>
          <w:sz w:val="24"/>
          <w:szCs w:val="24"/>
        </w:rPr>
        <w:t xml:space="preserve">maid </w:t>
      </w:r>
      <w:r w:rsidR="00EA4773" w:rsidRPr="00CF5136">
        <w:rPr>
          <w:rFonts w:cs="Times New Roman"/>
          <w:sz w:val="24"/>
          <w:szCs w:val="24"/>
        </w:rPr>
        <w:t>or even adopted</w:t>
      </w:r>
      <w:r w:rsidR="00F6025E" w:rsidRPr="00CF5136">
        <w:rPr>
          <w:rFonts w:cs="Times New Roman"/>
          <w:sz w:val="24"/>
          <w:szCs w:val="24"/>
        </w:rPr>
        <w:t xml:space="preserve"> sister.</w:t>
      </w:r>
      <w:r w:rsidR="00EA4773" w:rsidRPr="00CF5136">
        <w:rPr>
          <w:rFonts w:cs="Times New Roman"/>
          <w:sz w:val="24"/>
          <w:szCs w:val="24"/>
        </w:rPr>
        <w:t xml:space="preserve"> </w:t>
      </w:r>
      <w:r w:rsidR="00F6025E" w:rsidRPr="00CF5136">
        <w:rPr>
          <w:rFonts w:cs="Times New Roman"/>
          <w:sz w:val="24"/>
          <w:szCs w:val="24"/>
        </w:rPr>
        <w:t>However,</w:t>
      </w:r>
      <w:r w:rsidR="009D5750" w:rsidRPr="00CF5136">
        <w:rPr>
          <w:rFonts w:cs="Times New Roman"/>
          <w:sz w:val="24"/>
          <w:szCs w:val="24"/>
        </w:rPr>
        <w:t xml:space="preserve"> </w:t>
      </w:r>
      <w:proofErr w:type="gramStart"/>
      <w:r w:rsidR="009D5750" w:rsidRPr="00CF5136">
        <w:rPr>
          <w:rFonts w:cs="Times New Roman"/>
          <w:sz w:val="24"/>
          <w:szCs w:val="24"/>
        </w:rPr>
        <w:t>Stol</w:t>
      </w:r>
      <w:proofErr w:type="gramEnd"/>
      <w:r w:rsidR="009D5750" w:rsidRPr="00CF5136">
        <w:rPr>
          <w:rFonts w:cs="Times New Roman"/>
          <w:sz w:val="24"/>
          <w:szCs w:val="24"/>
        </w:rPr>
        <w:t xml:space="preserve"> does not </w:t>
      </w:r>
      <w:r w:rsidRPr="00CF5136">
        <w:rPr>
          <w:rFonts w:cs="Times New Roman"/>
          <w:sz w:val="24"/>
          <w:szCs w:val="24"/>
        </w:rPr>
        <w:t>specify where in Mesopotamia and when this tradition was carried out</w:t>
      </w:r>
      <w:r w:rsidRPr="00CF5136">
        <w:rPr>
          <w:rStyle w:val="Funotenzeichen"/>
          <w:rFonts w:cs="Times New Roman"/>
          <w:sz w:val="24"/>
          <w:szCs w:val="24"/>
        </w:rPr>
        <w:footnoteReference w:id="73"/>
      </w:r>
      <w:r w:rsidRPr="00CF5136">
        <w:rPr>
          <w:rFonts w:cs="Times New Roman"/>
          <w:sz w:val="24"/>
          <w:szCs w:val="24"/>
        </w:rPr>
        <w:t>.</w:t>
      </w:r>
    </w:p>
    <w:p w14:paraId="314DF76C" w14:textId="2F6FDBD7" w:rsidR="00D431A1" w:rsidRPr="00CF5136" w:rsidRDefault="009D5750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lastRenderedPageBreak/>
        <w:t>Tying the marriage dowry to the</w:t>
      </w:r>
      <w:r w:rsidR="00B968E2" w:rsidRPr="00CF5136">
        <w:rPr>
          <w:rFonts w:cs="Times New Roman"/>
          <w:sz w:val="24"/>
          <w:szCs w:val="24"/>
        </w:rPr>
        <w:t xml:space="preserve"> presence </w:t>
      </w:r>
      <w:r w:rsidRPr="00CF5136">
        <w:rPr>
          <w:rFonts w:cs="Times New Roman"/>
          <w:sz w:val="24"/>
          <w:szCs w:val="24"/>
        </w:rPr>
        <w:t>of the ill wife, by giving her the choice of moving back into her father</w:t>
      </w:r>
      <w:r w:rsidR="009132CE" w:rsidRPr="00CF5136">
        <w:rPr>
          <w:rFonts w:cs="Times New Roman"/>
          <w:sz w:val="24"/>
          <w:szCs w:val="24"/>
        </w:rPr>
        <w:t>’</w:t>
      </w:r>
      <w:r w:rsidRPr="00CF5136">
        <w:rPr>
          <w:rFonts w:cs="Times New Roman"/>
          <w:sz w:val="24"/>
          <w:szCs w:val="24"/>
        </w:rPr>
        <w:t>s home, the husband would have more likely been caring for her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74"/>
      </w:r>
      <w:r w:rsidR="00B21185">
        <w:rPr>
          <w:rFonts w:cs="Times New Roman"/>
          <w:sz w:val="24"/>
          <w:szCs w:val="24"/>
        </w:rPr>
        <w:t xml:space="preserve">. </w:t>
      </w:r>
      <w:r w:rsidR="009132CE" w:rsidRPr="00CF5136">
        <w:rPr>
          <w:rFonts w:cs="Times New Roman"/>
          <w:sz w:val="24"/>
          <w:szCs w:val="24"/>
        </w:rPr>
        <w:t>Hammurabi also insures wive</w:t>
      </w:r>
      <w:r w:rsidR="008458CD" w:rsidRPr="00CF5136">
        <w:rPr>
          <w:rFonts w:cs="Times New Roman"/>
          <w:sz w:val="24"/>
          <w:szCs w:val="24"/>
        </w:rPr>
        <w:t>s</w:t>
      </w:r>
      <w:r w:rsidR="009132CE" w:rsidRPr="00CF5136">
        <w:rPr>
          <w:rFonts w:cs="Times New Roman"/>
          <w:sz w:val="24"/>
          <w:szCs w:val="24"/>
        </w:rPr>
        <w:t xml:space="preserve"> who inherited</w:t>
      </w:r>
      <w:r w:rsidR="00C242D8" w:rsidRPr="00CF5136">
        <w:rPr>
          <w:rFonts w:cs="Times New Roman"/>
          <w:sz w:val="24"/>
          <w:szCs w:val="24"/>
        </w:rPr>
        <w:t xml:space="preserve"> property</w:t>
      </w:r>
      <w:r w:rsidR="009132CE" w:rsidRPr="00CF5136">
        <w:rPr>
          <w:rFonts w:cs="Times New Roman"/>
          <w:sz w:val="24"/>
          <w:szCs w:val="24"/>
        </w:rPr>
        <w:t>, protection</w:t>
      </w:r>
      <w:r w:rsidR="00C242D8" w:rsidRPr="00CF5136">
        <w:rPr>
          <w:rFonts w:cs="Times New Roman"/>
          <w:sz w:val="24"/>
          <w:szCs w:val="24"/>
        </w:rPr>
        <w:t xml:space="preserve"> from their</w:t>
      </w:r>
      <w:r w:rsidR="00EC14C3" w:rsidRPr="00CF5136">
        <w:rPr>
          <w:rFonts w:cs="Times New Roman"/>
          <w:sz w:val="24"/>
          <w:szCs w:val="24"/>
        </w:rPr>
        <w:t xml:space="preserve"> own children</w:t>
      </w:r>
      <w:r w:rsidR="00B968E2" w:rsidRPr="00CF5136">
        <w:rPr>
          <w:rFonts w:cs="Times New Roman"/>
          <w:sz w:val="24"/>
          <w:szCs w:val="24"/>
        </w:rPr>
        <w:t xml:space="preserve"> making claim</w:t>
      </w:r>
      <w:r w:rsidR="00C242D8" w:rsidRPr="00CF5136">
        <w:rPr>
          <w:rFonts w:cs="Times New Roman"/>
          <w:sz w:val="24"/>
          <w:szCs w:val="24"/>
        </w:rPr>
        <w:t>s against them</w:t>
      </w:r>
      <w:r w:rsidR="009132CE" w:rsidRPr="00CF5136">
        <w:rPr>
          <w:rFonts w:cs="Times New Roman"/>
          <w:sz w:val="24"/>
          <w:szCs w:val="24"/>
        </w:rPr>
        <w:t>, further giving her the power to appoint any of her children as heir</w:t>
      </w:r>
      <w:r w:rsidR="009132CE" w:rsidRPr="00CF5136">
        <w:rPr>
          <w:rStyle w:val="Funotenzeichen"/>
          <w:rFonts w:cs="Times New Roman"/>
          <w:sz w:val="24"/>
          <w:szCs w:val="24"/>
        </w:rPr>
        <w:footnoteReference w:id="75"/>
      </w:r>
      <w:r w:rsidR="008458CD" w:rsidRPr="00CF5136">
        <w:rPr>
          <w:rFonts w:cs="Times New Roman"/>
          <w:sz w:val="24"/>
          <w:szCs w:val="24"/>
        </w:rPr>
        <w:t xml:space="preserve">. </w:t>
      </w:r>
      <w:r w:rsidR="00C242D8" w:rsidRPr="00CF5136">
        <w:rPr>
          <w:rFonts w:cs="Times New Roman"/>
          <w:sz w:val="24"/>
          <w:szCs w:val="24"/>
        </w:rPr>
        <w:t xml:space="preserve">On the contrary, </w:t>
      </w:r>
      <w:r w:rsidR="00B968E2" w:rsidRPr="00CF5136">
        <w:rPr>
          <w:rFonts w:cs="Times New Roman"/>
          <w:sz w:val="24"/>
          <w:szCs w:val="24"/>
        </w:rPr>
        <w:t xml:space="preserve">Nuzi law state that </w:t>
      </w:r>
      <w:r w:rsidR="00232351" w:rsidRPr="00CF5136">
        <w:rPr>
          <w:rFonts w:cs="Times New Roman"/>
          <w:sz w:val="24"/>
          <w:szCs w:val="24"/>
        </w:rPr>
        <w:t xml:space="preserve">the </w:t>
      </w:r>
      <w:r w:rsidR="00B968E2" w:rsidRPr="00CF5136">
        <w:rPr>
          <w:rFonts w:cs="Times New Roman"/>
          <w:sz w:val="24"/>
          <w:szCs w:val="24"/>
        </w:rPr>
        <w:t>eldest son wo</w:t>
      </w:r>
      <w:r w:rsidR="00C242D8" w:rsidRPr="00CF5136">
        <w:rPr>
          <w:rFonts w:cs="Times New Roman"/>
          <w:sz w:val="24"/>
          <w:szCs w:val="24"/>
        </w:rPr>
        <w:t>uld inherit double the amount of</w:t>
      </w:r>
      <w:r w:rsidR="00B968E2" w:rsidRPr="00CF5136">
        <w:rPr>
          <w:rFonts w:cs="Times New Roman"/>
          <w:sz w:val="24"/>
          <w:szCs w:val="24"/>
        </w:rPr>
        <w:t xml:space="preserve"> his mother from his father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76"/>
      </w:r>
      <w:r w:rsidR="00C242D8" w:rsidRPr="00CF5136">
        <w:rPr>
          <w:rFonts w:cs="Times New Roman"/>
          <w:sz w:val="24"/>
          <w:szCs w:val="24"/>
        </w:rPr>
        <w:t xml:space="preserve">. </w:t>
      </w:r>
    </w:p>
    <w:p w14:paraId="1329C444" w14:textId="4BD398A2" w:rsidR="00B968E2" w:rsidRPr="00CF5136" w:rsidRDefault="00C242D8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Women of Old Babylonia were not protected from the debt their husbands accumulated during their marriage, just of any accumulated prior to the marriage</w:t>
      </w:r>
      <w:r w:rsidRPr="00CF5136">
        <w:rPr>
          <w:rStyle w:val="Funotenzeichen"/>
          <w:rFonts w:cs="Times New Roman"/>
          <w:sz w:val="24"/>
          <w:szCs w:val="24"/>
        </w:rPr>
        <w:footnoteReference w:id="77"/>
      </w:r>
      <w:r w:rsidRPr="00CF5136">
        <w:rPr>
          <w:rFonts w:cs="Times New Roman"/>
          <w:sz w:val="24"/>
          <w:szCs w:val="24"/>
        </w:rPr>
        <w:t xml:space="preserve"> , while that differed in the </w:t>
      </w:r>
      <w:r w:rsidR="00B968E2" w:rsidRPr="00CF5136">
        <w:rPr>
          <w:rFonts w:cs="Times New Roman"/>
          <w:sz w:val="24"/>
          <w:szCs w:val="24"/>
        </w:rPr>
        <w:t xml:space="preserve"> Neo-Assyrian period</w:t>
      </w:r>
      <w:r w:rsidRPr="00CF5136">
        <w:rPr>
          <w:rFonts w:cs="Times New Roman"/>
          <w:sz w:val="24"/>
          <w:szCs w:val="24"/>
        </w:rPr>
        <w:t xml:space="preserve">, where </w:t>
      </w:r>
      <w:r w:rsidR="007A755B" w:rsidRPr="00CF5136">
        <w:rPr>
          <w:rFonts w:cs="Times New Roman"/>
          <w:sz w:val="24"/>
          <w:szCs w:val="24"/>
        </w:rPr>
        <w:t xml:space="preserve"> even during marriage, women were</w:t>
      </w:r>
      <w:r w:rsidR="00B968E2" w:rsidRPr="00CF5136">
        <w:rPr>
          <w:rFonts w:cs="Times New Roman"/>
          <w:sz w:val="24"/>
          <w:szCs w:val="24"/>
        </w:rPr>
        <w:t xml:space="preserve"> no longer </w:t>
      </w:r>
      <w:r w:rsidR="007A755B" w:rsidRPr="00CF5136">
        <w:rPr>
          <w:rFonts w:cs="Times New Roman"/>
          <w:sz w:val="24"/>
          <w:szCs w:val="24"/>
        </w:rPr>
        <w:t>co-</w:t>
      </w:r>
      <w:r w:rsidR="00B968E2" w:rsidRPr="00CF5136">
        <w:rPr>
          <w:rFonts w:cs="Times New Roman"/>
          <w:sz w:val="24"/>
          <w:szCs w:val="24"/>
        </w:rPr>
        <w:t>r</w:t>
      </w:r>
      <w:r w:rsidR="007A755B" w:rsidRPr="00CF5136">
        <w:rPr>
          <w:rFonts w:cs="Times New Roman"/>
          <w:sz w:val="24"/>
          <w:szCs w:val="24"/>
        </w:rPr>
        <w:t>esponsib</w:t>
      </w:r>
      <w:r w:rsidR="00EB5299" w:rsidRPr="00CF5136">
        <w:rPr>
          <w:rFonts w:cs="Times New Roman"/>
          <w:sz w:val="24"/>
          <w:szCs w:val="24"/>
        </w:rPr>
        <w:t>le,</w:t>
      </w:r>
      <w:r w:rsidRPr="00CF5136">
        <w:rPr>
          <w:rFonts w:cs="Times New Roman"/>
          <w:sz w:val="24"/>
          <w:szCs w:val="24"/>
        </w:rPr>
        <w:t xml:space="preserve"> </w:t>
      </w:r>
      <w:r w:rsidR="007A755B" w:rsidRPr="00CF5136">
        <w:rPr>
          <w:rFonts w:cs="Times New Roman"/>
          <w:sz w:val="24"/>
          <w:szCs w:val="24"/>
        </w:rPr>
        <w:t>if their</w:t>
      </w:r>
      <w:r w:rsidR="00B968E2" w:rsidRPr="00CF5136">
        <w:rPr>
          <w:rFonts w:cs="Times New Roman"/>
          <w:sz w:val="24"/>
          <w:szCs w:val="24"/>
        </w:rPr>
        <w:t xml:space="preserve"> husband</w:t>
      </w:r>
      <w:r w:rsidR="007A755B" w:rsidRPr="00CF5136">
        <w:rPr>
          <w:rFonts w:cs="Times New Roman"/>
          <w:sz w:val="24"/>
          <w:szCs w:val="24"/>
        </w:rPr>
        <w:t>s</w:t>
      </w:r>
      <w:r w:rsidR="00B968E2" w:rsidRPr="00CF5136">
        <w:rPr>
          <w:rFonts w:cs="Times New Roman"/>
          <w:sz w:val="24"/>
          <w:szCs w:val="24"/>
        </w:rPr>
        <w:t xml:space="preserve"> accumulated debt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78"/>
      </w:r>
      <w:r w:rsidR="00B968E2" w:rsidRPr="00CF5136">
        <w:rPr>
          <w:rFonts w:cs="Times New Roman"/>
          <w:sz w:val="24"/>
          <w:szCs w:val="24"/>
        </w:rPr>
        <w:t>.</w:t>
      </w:r>
    </w:p>
    <w:p w14:paraId="5CD2E1F4" w14:textId="380FAB05" w:rsidR="009D5750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W</w:t>
      </w:r>
      <w:r w:rsidR="00EA0023" w:rsidRPr="00CF5136">
        <w:rPr>
          <w:rFonts w:cs="Times New Roman"/>
          <w:sz w:val="24"/>
          <w:szCs w:val="24"/>
        </w:rPr>
        <w:t>hen it comes to source material in order to see how the code applied to everyday life,</w:t>
      </w:r>
      <w:r w:rsidRPr="00CF5136">
        <w:rPr>
          <w:rFonts w:cs="Times New Roman"/>
          <w:sz w:val="24"/>
          <w:szCs w:val="24"/>
        </w:rPr>
        <w:t xml:space="preserve"> </w:t>
      </w:r>
      <w:r w:rsidR="00EA0023" w:rsidRPr="00CF5136">
        <w:rPr>
          <w:rFonts w:cs="Times New Roman"/>
          <w:sz w:val="24"/>
          <w:szCs w:val="24"/>
        </w:rPr>
        <w:t xml:space="preserve">it must be indicated </w:t>
      </w:r>
      <w:r w:rsidRPr="00CF5136">
        <w:rPr>
          <w:rFonts w:cs="Times New Roman"/>
          <w:sz w:val="24"/>
          <w:szCs w:val="24"/>
        </w:rPr>
        <w:t>that the majority of people could not write</w:t>
      </w:r>
      <w:r w:rsidRPr="00CF5136">
        <w:rPr>
          <w:rStyle w:val="Funotenzeichen"/>
          <w:rFonts w:cs="Times New Roman"/>
          <w:sz w:val="24"/>
          <w:szCs w:val="24"/>
        </w:rPr>
        <w:footnoteReference w:id="79"/>
      </w:r>
      <w:r w:rsidRPr="00CF5136">
        <w:rPr>
          <w:rFonts w:cs="Times New Roman"/>
          <w:sz w:val="24"/>
          <w:szCs w:val="24"/>
        </w:rPr>
        <w:t>, with the additional problem that few trials recorded refer to the laws of Hammurabi</w:t>
      </w:r>
      <w:r w:rsidRPr="00CF5136">
        <w:rPr>
          <w:rStyle w:val="Funotenzeichen"/>
          <w:rFonts w:cs="Times New Roman"/>
          <w:sz w:val="24"/>
          <w:szCs w:val="24"/>
        </w:rPr>
        <w:footnoteReference w:id="80"/>
      </w:r>
      <w:r w:rsidRPr="00CF5136">
        <w:rPr>
          <w:rFonts w:cs="Times New Roman"/>
          <w:sz w:val="24"/>
          <w:szCs w:val="24"/>
        </w:rPr>
        <w:t>. Written out marriage contracts wer</w:t>
      </w:r>
      <w:r w:rsidR="00EA0023" w:rsidRPr="00CF5136">
        <w:rPr>
          <w:rFonts w:cs="Times New Roman"/>
          <w:sz w:val="24"/>
          <w:szCs w:val="24"/>
        </w:rPr>
        <w:t>e rare, with most marriage</w:t>
      </w:r>
      <w:r w:rsidRPr="00CF5136">
        <w:rPr>
          <w:rFonts w:cs="Times New Roman"/>
          <w:sz w:val="24"/>
          <w:szCs w:val="24"/>
        </w:rPr>
        <w:t xml:space="preserve"> cont</w:t>
      </w:r>
      <w:r w:rsidR="00EA0023" w:rsidRPr="00CF5136">
        <w:rPr>
          <w:rFonts w:cs="Times New Roman"/>
          <w:sz w:val="24"/>
          <w:szCs w:val="24"/>
        </w:rPr>
        <w:t xml:space="preserve">racts having been </w:t>
      </w:r>
      <w:r w:rsidR="000B616C" w:rsidRPr="00CF5136">
        <w:rPr>
          <w:rFonts w:cs="Times New Roman"/>
          <w:sz w:val="24"/>
          <w:szCs w:val="24"/>
        </w:rPr>
        <w:t xml:space="preserve">oral, resulting in serious lack of </w:t>
      </w:r>
      <w:r w:rsidRPr="00CF5136">
        <w:rPr>
          <w:rFonts w:cs="Times New Roman"/>
          <w:sz w:val="24"/>
          <w:szCs w:val="24"/>
        </w:rPr>
        <w:t>case evidence</w:t>
      </w:r>
      <w:r w:rsidRPr="00CF5136">
        <w:rPr>
          <w:rStyle w:val="Funotenzeichen"/>
          <w:rFonts w:cs="Times New Roman"/>
          <w:sz w:val="24"/>
          <w:szCs w:val="24"/>
        </w:rPr>
        <w:footnoteReference w:id="81"/>
      </w:r>
      <w:r w:rsidRPr="00CF5136">
        <w:rPr>
          <w:rFonts w:cs="Times New Roman"/>
          <w:sz w:val="24"/>
          <w:szCs w:val="24"/>
        </w:rPr>
        <w:t xml:space="preserve">. </w:t>
      </w:r>
    </w:p>
    <w:p w14:paraId="14D211B0" w14:textId="77777777" w:rsidR="00D57C1D" w:rsidRPr="00CF5136" w:rsidRDefault="00B968E2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Non-ruling class women</w:t>
      </w:r>
      <w:r w:rsidR="00AF655C" w:rsidRPr="00CF5136">
        <w:rPr>
          <w:rFonts w:cs="Times New Roman"/>
          <w:sz w:val="24"/>
          <w:szCs w:val="24"/>
        </w:rPr>
        <w:t xml:space="preserve"> </w:t>
      </w:r>
      <w:r w:rsidRPr="00CF5136">
        <w:rPr>
          <w:rFonts w:cs="Times New Roman"/>
          <w:sz w:val="24"/>
          <w:szCs w:val="24"/>
        </w:rPr>
        <w:t>of the Old Babylonian period,  are especially known from private contracts, concerning divorce, marriage and widowhood</w:t>
      </w:r>
      <w:r w:rsidRPr="00CF5136">
        <w:rPr>
          <w:rStyle w:val="Funotenzeichen"/>
          <w:rFonts w:cs="Times New Roman"/>
          <w:sz w:val="24"/>
          <w:szCs w:val="24"/>
        </w:rPr>
        <w:footnoteReference w:id="82"/>
      </w:r>
      <w:r w:rsidR="00D57C1D" w:rsidRPr="00CF5136">
        <w:rPr>
          <w:rFonts w:cs="Times New Roman"/>
          <w:sz w:val="24"/>
          <w:szCs w:val="24"/>
        </w:rPr>
        <w:t xml:space="preserve">, with textual evidence often </w:t>
      </w:r>
      <w:r w:rsidRPr="00CF5136">
        <w:rPr>
          <w:rFonts w:cs="Times New Roman"/>
          <w:sz w:val="24"/>
          <w:szCs w:val="24"/>
        </w:rPr>
        <w:t>found in archives of temples, or larger archives called `cloisters` such as the one found in ancient Sippar</w:t>
      </w:r>
      <w:r w:rsidRPr="00CF5136">
        <w:rPr>
          <w:rStyle w:val="Funotenzeichen"/>
          <w:rFonts w:cs="Times New Roman"/>
          <w:sz w:val="24"/>
          <w:szCs w:val="24"/>
        </w:rPr>
        <w:footnoteReference w:id="83"/>
      </w:r>
      <w:r w:rsidRPr="00CF5136">
        <w:rPr>
          <w:rFonts w:cs="Times New Roman"/>
          <w:sz w:val="24"/>
          <w:szCs w:val="24"/>
        </w:rPr>
        <w:t>. On the contrary, non-ruling class women living slightly earlier in the Old Assyrian period</w:t>
      </w:r>
      <w:r w:rsidRPr="00CF5136">
        <w:rPr>
          <w:rStyle w:val="Funotenzeichen"/>
          <w:rFonts w:cs="Times New Roman"/>
          <w:sz w:val="24"/>
          <w:szCs w:val="24"/>
        </w:rPr>
        <w:footnoteReference w:id="84"/>
      </w:r>
      <w:r w:rsidRPr="00CF5136">
        <w:rPr>
          <w:rFonts w:cs="Times New Roman"/>
          <w:sz w:val="24"/>
          <w:szCs w:val="24"/>
        </w:rPr>
        <w:t xml:space="preserve"> can be identified especially through letters found in archives of private homes</w:t>
      </w:r>
      <w:r w:rsidRPr="00CF5136">
        <w:rPr>
          <w:rStyle w:val="Funotenzeichen"/>
          <w:rFonts w:cs="Times New Roman"/>
          <w:sz w:val="24"/>
          <w:szCs w:val="24"/>
        </w:rPr>
        <w:footnoteReference w:id="85"/>
      </w:r>
      <w:r w:rsidRPr="00CF5136">
        <w:rPr>
          <w:rFonts w:cs="Times New Roman"/>
          <w:sz w:val="24"/>
          <w:szCs w:val="24"/>
        </w:rPr>
        <w:t>. From the early Dynastic period of Babylon some 1,600 tablets have been identified from the Bau-temple archive from Girsu</w:t>
      </w:r>
      <w:r w:rsidRPr="00CF5136">
        <w:rPr>
          <w:rStyle w:val="Funotenzeichen"/>
          <w:rFonts w:cs="Times New Roman"/>
          <w:sz w:val="24"/>
          <w:szCs w:val="24"/>
        </w:rPr>
        <w:footnoteReference w:id="86"/>
      </w:r>
      <w:r w:rsidRPr="00CF5136">
        <w:rPr>
          <w:rFonts w:cs="Times New Roman"/>
          <w:sz w:val="24"/>
          <w:szCs w:val="24"/>
        </w:rPr>
        <w:t>, revealing so called ´women´s households´ which were essentially self-sufficient and led by the wives of rulers, showing those elite-women participating in economic matters, separately from their husbands economic sphere, although on a smaller scale, interestingly on the same terms</w:t>
      </w:r>
      <w:r w:rsidR="00D57C1D" w:rsidRPr="00CF5136">
        <w:rPr>
          <w:rFonts w:cs="Times New Roman"/>
          <w:sz w:val="24"/>
          <w:szCs w:val="24"/>
        </w:rPr>
        <w:t xml:space="preserve"> as their husbands</w:t>
      </w:r>
      <w:r w:rsidRPr="00CF5136">
        <w:rPr>
          <w:rStyle w:val="Funotenzeichen"/>
          <w:rFonts w:cs="Times New Roman"/>
          <w:sz w:val="24"/>
          <w:szCs w:val="24"/>
        </w:rPr>
        <w:footnoteReference w:id="87"/>
      </w:r>
      <w:r w:rsidRPr="00CF5136">
        <w:rPr>
          <w:rFonts w:cs="Times New Roman"/>
          <w:sz w:val="24"/>
          <w:szCs w:val="24"/>
        </w:rPr>
        <w:t xml:space="preserve">. </w:t>
      </w:r>
    </w:p>
    <w:p w14:paraId="6746F335" w14:textId="59FD5BD6" w:rsidR="00D57C1D" w:rsidRPr="00CF5136" w:rsidRDefault="00D57C1D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These women’s households were concerned with the production of beer and bread and took care of such necessities as sowing, milling of grain and weaving</w:t>
      </w:r>
      <w:r w:rsidRPr="00CF5136">
        <w:rPr>
          <w:rStyle w:val="Funotenzeichen"/>
          <w:rFonts w:cs="Times New Roman"/>
          <w:sz w:val="24"/>
          <w:szCs w:val="24"/>
        </w:rPr>
        <w:footnoteReference w:id="88"/>
      </w:r>
      <w:r w:rsidRPr="00CF5136">
        <w:rPr>
          <w:rFonts w:cs="Times New Roman"/>
          <w:sz w:val="24"/>
          <w:szCs w:val="24"/>
        </w:rPr>
        <w:t>.</w:t>
      </w:r>
    </w:p>
    <w:p w14:paraId="7767BB1C" w14:textId="655E23AA" w:rsidR="00FD6A21" w:rsidRPr="00CF5136" w:rsidRDefault="000666BF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lastRenderedPageBreak/>
        <w:t>The</w:t>
      </w:r>
      <w:r w:rsidR="00D57C1D" w:rsidRPr="00CF5136">
        <w:rPr>
          <w:rFonts w:cs="Times New Roman"/>
          <w:sz w:val="24"/>
          <w:szCs w:val="24"/>
        </w:rPr>
        <w:t xml:space="preserve"> woman being the</w:t>
      </w:r>
      <w:r w:rsidRPr="00CF5136">
        <w:rPr>
          <w:rFonts w:cs="Times New Roman"/>
          <w:sz w:val="24"/>
          <w:szCs w:val="24"/>
        </w:rPr>
        <w:t xml:space="preserve"> head of the women’s household would not ch</w:t>
      </w:r>
      <w:r w:rsidR="00D57C1D" w:rsidRPr="00CF5136">
        <w:rPr>
          <w:rFonts w:cs="Times New Roman"/>
          <w:sz w:val="24"/>
          <w:szCs w:val="24"/>
        </w:rPr>
        <w:t>ange when a ruler died, but would</w:t>
      </w:r>
      <w:r w:rsidRPr="00CF5136">
        <w:rPr>
          <w:rFonts w:cs="Times New Roman"/>
          <w:sz w:val="24"/>
          <w:szCs w:val="24"/>
        </w:rPr>
        <w:t xml:space="preserve"> </w:t>
      </w:r>
      <w:r w:rsidR="00D57C1D" w:rsidRPr="00CF5136">
        <w:rPr>
          <w:rFonts w:cs="Times New Roman"/>
          <w:sz w:val="24"/>
          <w:szCs w:val="24"/>
        </w:rPr>
        <w:t xml:space="preserve">stay in control </w:t>
      </w:r>
      <w:r w:rsidRPr="00CF5136">
        <w:rPr>
          <w:rFonts w:cs="Times New Roman"/>
          <w:sz w:val="24"/>
          <w:szCs w:val="24"/>
        </w:rPr>
        <w:t>until she presumably died</w:t>
      </w:r>
      <w:r w:rsidRPr="00CF5136">
        <w:rPr>
          <w:rStyle w:val="Funotenzeichen"/>
          <w:rFonts w:cs="Times New Roman"/>
          <w:sz w:val="24"/>
          <w:szCs w:val="24"/>
        </w:rPr>
        <w:footnoteReference w:id="89"/>
      </w:r>
      <w:r w:rsidR="00AF655C" w:rsidRPr="00CF5136">
        <w:rPr>
          <w:rFonts w:cs="Times New Roman"/>
          <w:sz w:val="24"/>
          <w:szCs w:val="24"/>
        </w:rPr>
        <w:t>.</w:t>
      </w:r>
      <w:r w:rsidR="00FD6A21" w:rsidRPr="00CF5136">
        <w:rPr>
          <w:rFonts w:cs="Times New Roman"/>
          <w:sz w:val="24"/>
          <w:szCs w:val="24"/>
        </w:rPr>
        <w:t xml:space="preserve"> </w:t>
      </w:r>
      <w:r w:rsidR="00B968E2" w:rsidRPr="00CF5136">
        <w:rPr>
          <w:rFonts w:cs="Times New Roman"/>
          <w:sz w:val="24"/>
          <w:szCs w:val="24"/>
        </w:rPr>
        <w:t xml:space="preserve"> From ration lists and texts concerned with income, the ultimate authority mentioned</w:t>
      </w:r>
      <w:r w:rsidR="00FD6A21" w:rsidRPr="00CF5136">
        <w:rPr>
          <w:rFonts w:cs="Times New Roman"/>
          <w:sz w:val="24"/>
          <w:szCs w:val="24"/>
        </w:rPr>
        <w:t xml:space="preserve"> of that household</w:t>
      </w:r>
      <w:r w:rsidR="00B968E2" w:rsidRPr="00CF5136">
        <w:rPr>
          <w:rFonts w:cs="Times New Roman"/>
          <w:sz w:val="24"/>
          <w:szCs w:val="24"/>
        </w:rPr>
        <w:t xml:space="preserve"> has always been the wife of the city-ruler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90"/>
      </w:r>
      <w:r w:rsidR="00B9786C" w:rsidRPr="00CF5136">
        <w:rPr>
          <w:rFonts w:cs="Times New Roman"/>
          <w:sz w:val="24"/>
          <w:szCs w:val="24"/>
        </w:rPr>
        <w:t>. Royal women</w:t>
      </w:r>
      <w:r w:rsidR="00FD6A21" w:rsidRPr="00CF5136">
        <w:rPr>
          <w:rFonts w:cs="Times New Roman"/>
          <w:sz w:val="24"/>
          <w:szCs w:val="24"/>
        </w:rPr>
        <w:t xml:space="preserve"> were</w:t>
      </w:r>
      <w:r w:rsidR="00B9786C" w:rsidRPr="00CF5136">
        <w:rPr>
          <w:rFonts w:cs="Times New Roman"/>
          <w:sz w:val="24"/>
          <w:szCs w:val="24"/>
        </w:rPr>
        <w:t xml:space="preserve"> therefore</w:t>
      </w:r>
      <w:r w:rsidR="00FD6A21" w:rsidRPr="00CF5136">
        <w:rPr>
          <w:rFonts w:cs="Times New Roman"/>
          <w:sz w:val="24"/>
          <w:szCs w:val="24"/>
        </w:rPr>
        <w:t xml:space="preserve"> involved in economic public life, often</w:t>
      </w:r>
      <w:r w:rsidR="00B9786C" w:rsidRPr="00CF5136">
        <w:rPr>
          <w:rFonts w:cs="Times New Roman"/>
          <w:sz w:val="24"/>
          <w:szCs w:val="24"/>
        </w:rPr>
        <w:t xml:space="preserve"> in contact</w:t>
      </w:r>
      <w:r w:rsidR="00FD6A21" w:rsidRPr="00CF5136">
        <w:rPr>
          <w:rFonts w:cs="Times New Roman"/>
          <w:sz w:val="24"/>
          <w:szCs w:val="24"/>
        </w:rPr>
        <w:t xml:space="preserve"> with other women</w:t>
      </w:r>
      <w:r w:rsidR="00FD6A21" w:rsidRPr="00CF5136">
        <w:rPr>
          <w:rStyle w:val="Funotenzeichen"/>
          <w:rFonts w:cs="Times New Roman"/>
          <w:sz w:val="24"/>
          <w:szCs w:val="24"/>
        </w:rPr>
        <w:footnoteReference w:id="91"/>
      </w:r>
      <w:r w:rsidR="00FD6A21" w:rsidRPr="00CF5136">
        <w:rPr>
          <w:rFonts w:cs="Times New Roman"/>
          <w:sz w:val="24"/>
          <w:szCs w:val="24"/>
        </w:rPr>
        <w:t>, as opposed to the Classical Greek concept in which the public sphere used to be male dominated and the domestic sphere belonged to the women</w:t>
      </w:r>
      <w:r w:rsidR="00FD6A21" w:rsidRPr="00CF5136">
        <w:rPr>
          <w:rStyle w:val="Funotenzeichen"/>
          <w:rFonts w:cs="Times New Roman"/>
          <w:sz w:val="24"/>
          <w:szCs w:val="24"/>
        </w:rPr>
        <w:footnoteReference w:id="92"/>
      </w:r>
      <w:r w:rsidR="00FD6A21" w:rsidRPr="00CF5136">
        <w:rPr>
          <w:rFonts w:cs="Times New Roman"/>
          <w:sz w:val="24"/>
          <w:szCs w:val="24"/>
        </w:rPr>
        <w:t>.</w:t>
      </w:r>
      <w:r w:rsidR="00FC473E" w:rsidRPr="00CF5136">
        <w:rPr>
          <w:rFonts w:cs="Times New Roman"/>
          <w:sz w:val="24"/>
          <w:szCs w:val="24"/>
        </w:rPr>
        <w:t xml:space="preserve"> </w:t>
      </w:r>
    </w:p>
    <w:p w14:paraId="3322ABBE" w14:textId="4206CD8B" w:rsidR="00B43705" w:rsidRPr="00CF5136" w:rsidRDefault="002C1F5D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Additionally</w:t>
      </w:r>
      <w:r w:rsidR="00B968E2" w:rsidRPr="00CF5136">
        <w:rPr>
          <w:rFonts w:cs="Times New Roman"/>
          <w:sz w:val="24"/>
          <w:szCs w:val="24"/>
        </w:rPr>
        <w:t xml:space="preserve"> diplomatic exchange between elite-wom</w:t>
      </w:r>
      <w:r w:rsidR="00B43705" w:rsidRPr="00CF5136">
        <w:rPr>
          <w:rFonts w:cs="Times New Roman"/>
          <w:sz w:val="24"/>
          <w:szCs w:val="24"/>
        </w:rPr>
        <w:t>en was common, seen by the</w:t>
      </w:r>
      <w:r w:rsidR="00B968E2" w:rsidRPr="00CF5136">
        <w:rPr>
          <w:rFonts w:cs="Times New Roman"/>
          <w:sz w:val="24"/>
          <w:szCs w:val="24"/>
        </w:rPr>
        <w:t xml:space="preserve"> gift exchange between Baranamtara, wife of the city-ruler of Lagash</w:t>
      </w:r>
      <w:r w:rsidR="00B43705" w:rsidRPr="00CF5136">
        <w:rPr>
          <w:rFonts w:cs="Times New Roman"/>
          <w:sz w:val="24"/>
          <w:szCs w:val="24"/>
        </w:rPr>
        <w:t>,</w:t>
      </w:r>
      <w:r w:rsidR="00B968E2" w:rsidRPr="00CF5136">
        <w:rPr>
          <w:rFonts w:cs="Times New Roman"/>
          <w:sz w:val="24"/>
          <w:szCs w:val="24"/>
        </w:rPr>
        <w:t xml:space="preserve"> and the wife of the city-ruler of Adab</w:t>
      </w:r>
      <w:r w:rsidR="00B968E2" w:rsidRPr="00CF5136">
        <w:rPr>
          <w:rStyle w:val="Funotenzeichen"/>
          <w:rFonts w:cs="Times New Roman"/>
          <w:sz w:val="24"/>
          <w:szCs w:val="24"/>
        </w:rPr>
        <w:footnoteReference w:id="93"/>
      </w:r>
      <w:r w:rsidR="00772FD0" w:rsidRPr="00CF5136">
        <w:rPr>
          <w:rFonts w:cs="Times New Roman"/>
          <w:sz w:val="24"/>
          <w:szCs w:val="24"/>
        </w:rPr>
        <w:t>.T</w:t>
      </w:r>
      <w:r w:rsidRPr="00CF5136">
        <w:rPr>
          <w:rFonts w:cs="Times New Roman"/>
          <w:sz w:val="24"/>
          <w:szCs w:val="24"/>
        </w:rPr>
        <w:t>he Hittite Queen Puduhepa</w:t>
      </w:r>
      <w:r w:rsidR="00B43705" w:rsidRPr="00CF5136">
        <w:rPr>
          <w:rFonts w:cs="Times New Roman"/>
          <w:sz w:val="24"/>
          <w:szCs w:val="24"/>
        </w:rPr>
        <w:t xml:space="preserve"> possessed so much influence, that she </w:t>
      </w:r>
      <w:r w:rsidR="00D72AAA" w:rsidRPr="00CF5136">
        <w:rPr>
          <w:rFonts w:cs="Times New Roman"/>
          <w:sz w:val="24"/>
          <w:szCs w:val="24"/>
        </w:rPr>
        <w:t>would receive</w:t>
      </w:r>
      <w:r w:rsidR="00B43705" w:rsidRPr="00CF5136">
        <w:rPr>
          <w:rFonts w:cs="Times New Roman"/>
          <w:sz w:val="24"/>
          <w:szCs w:val="24"/>
        </w:rPr>
        <w:t xml:space="preserve"> the correspondence of</w:t>
      </w:r>
      <w:r w:rsidRPr="00CF5136">
        <w:rPr>
          <w:rFonts w:cs="Times New Roman"/>
          <w:sz w:val="24"/>
          <w:szCs w:val="24"/>
        </w:rPr>
        <w:t xml:space="preserve"> Rameses II</w:t>
      </w:r>
      <w:r w:rsidRPr="00CF5136">
        <w:rPr>
          <w:rStyle w:val="Funotenzeichen"/>
          <w:rFonts w:cs="Times New Roman"/>
          <w:sz w:val="24"/>
          <w:szCs w:val="24"/>
        </w:rPr>
        <w:footnoteReference w:id="94"/>
      </w:r>
      <w:r w:rsidR="00B43705" w:rsidRPr="00CF5136">
        <w:rPr>
          <w:rFonts w:cs="Times New Roman"/>
          <w:sz w:val="24"/>
          <w:szCs w:val="24"/>
        </w:rPr>
        <w:t xml:space="preserve">, and </w:t>
      </w:r>
      <w:r w:rsidR="00E566C5" w:rsidRPr="00CF5136">
        <w:rPr>
          <w:rFonts w:cs="Times New Roman"/>
          <w:sz w:val="24"/>
          <w:szCs w:val="24"/>
        </w:rPr>
        <w:t>Assyrian queens Sammuramat and Zakutuerect</w:t>
      </w:r>
      <w:r w:rsidR="00B43705" w:rsidRPr="00CF5136">
        <w:rPr>
          <w:rFonts w:cs="Times New Roman"/>
          <w:sz w:val="24"/>
          <w:szCs w:val="24"/>
        </w:rPr>
        <w:t>ed distinguished themselves as influential personalities by erecting their own inscriptions</w:t>
      </w:r>
      <w:r w:rsidR="00E566C5" w:rsidRPr="00CF5136">
        <w:rPr>
          <w:rStyle w:val="Funotenzeichen"/>
          <w:rFonts w:cs="Times New Roman"/>
          <w:sz w:val="24"/>
          <w:szCs w:val="24"/>
        </w:rPr>
        <w:footnoteReference w:id="95"/>
      </w:r>
      <w:r w:rsidR="00B43705" w:rsidRPr="00CF5136">
        <w:rPr>
          <w:rFonts w:cs="Times New Roman"/>
          <w:sz w:val="24"/>
          <w:szCs w:val="24"/>
        </w:rPr>
        <w:t xml:space="preserve">. This evidence makes it </w:t>
      </w:r>
      <w:r w:rsidR="00D72AAA" w:rsidRPr="00CF5136">
        <w:rPr>
          <w:rFonts w:cs="Times New Roman"/>
          <w:sz w:val="24"/>
          <w:szCs w:val="24"/>
        </w:rPr>
        <w:t>increasingly</w:t>
      </w:r>
      <w:r w:rsidR="00B43705" w:rsidRPr="00CF5136">
        <w:rPr>
          <w:rFonts w:cs="Times New Roman"/>
          <w:sz w:val="24"/>
          <w:szCs w:val="24"/>
        </w:rPr>
        <w:t xml:space="preserve"> clear</w:t>
      </w:r>
      <w:r w:rsidR="00E566C5" w:rsidRPr="00CF5136">
        <w:rPr>
          <w:rFonts w:cs="Times New Roman"/>
          <w:sz w:val="24"/>
          <w:szCs w:val="24"/>
        </w:rPr>
        <w:t>, that gender did not determine the influence of a person</w:t>
      </w:r>
      <w:r w:rsidR="00EE72FB" w:rsidRPr="00CF5136">
        <w:rPr>
          <w:rFonts w:cs="Times New Roman"/>
          <w:sz w:val="24"/>
          <w:szCs w:val="24"/>
        </w:rPr>
        <w:t xml:space="preserve"> in ancient Mesopotamia</w:t>
      </w:r>
      <w:r w:rsidR="00E566C5" w:rsidRPr="00CF5136">
        <w:rPr>
          <w:rFonts w:cs="Times New Roman"/>
          <w:sz w:val="24"/>
          <w:szCs w:val="24"/>
        </w:rPr>
        <w:t>, but status did</w:t>
      </w:r>
      <w:r w:rsidR="00E566C5" w:rsidRPr="00CF5136">
        <w:rPr>
          <w:rStyle w:val="Funotenzeichen"/>
          <w:rFonts w:cs="Times New Roman"/>
          <w:sz w:val="24"/>
          <w:szCs w:val="24"/>
        </w:rPr>
        <w:footnoteReference w:id="96"/>
      </w:r>
      <w:r w:rsidR="00B43705" w:rsidRPr="00CF5136">
        <w:rPr>
          <w:rFonts w:cs="Times New Roman"/>
          <w:sz w:val="24"/>
          <w:szCs w:val="24"/>
        </w:rPr>
        <w:t>.</w:t>
      </w:r>
    </w:p>
    <w:p w14:paraId="618220B3" w14:textId="2C8CF3DB" w:rsidR="00E566C5" w:rsidRPr="00CF5136" w:rsidRDefault="00B43705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 xml:space="preserve"> Many scholars looking at the status of ancient Mesopotamian women by applying their views of women’s status in classical Greece and Rome  should become aware</w:t>
      </w:r>
      <w:r w:rsidR="00EE72FB" w:rsidRPr="00CF5136">
        <w:rPr>
          <w:rFonts w:cs="Times New Roman"/>
          <w:sz w:val="24"/>
          <w:szCs w:val="24"/>
        </w:rPr>
        <w:t xml:space="preserve"> </w:t>
      </w:r>
      <w:r w:rsidRPr="00CF5136">
        <w:rPr>
          <w:rFonts w:cs="Times New Roman"/>
          <w:sz w:val="24"/>
          <w:szCs w:val="24"/>
        </w:rPr>
        <w:t>that this approach is completely unsuitable</w:t>
      </w:r>
      <w:r w:rsidR="00EE72FB" w:rsidRPr="00CF5136">
        <w:rPr>
          <w:rStyle w:val="Funotenzeichen"/>
          <w:rFonts w:cs="Times New Roman"/>
          <w:sz w:val="24"/>
          <w:szCs w:val="24"/>
        </w:rPr>
        <w:footnoteReference w:id="97"/>
      </w:r>
      <w:r w:rsidR="00477381" w:rsidRPr="00CF5136">
        <w:rPr>
          <w:rFonts w:cs="Times New Roman"/>
          <w:sz w:val="24"/>
          <w:szCs w:val="24"/>
        </w:rPr>
        <w:t>, making the positions of the scholars a fundamental factor when interpreting their works</w:t>
      </w:r>
      <w:r w:rsidR="00477381" w:rsidRPr="00CF5136">
        <w:rPr>
          <w:rStyle w:val="Funotenzeichen"/>
          <w:rFonts w:cs="Times New Roman"/>
          <w:sz w:val="24"/>
          <w:szCs w:val="24"/>
        </w:rPr>
        <w:footnoteReference w:id="98"/>
      </w:r>
      <w:r w:rsidR="00477381" w:rsidRPr="00CF5136">
        <w:rPr>
          <w:rFonts w:cs="Times New Roman"/>
          <w:sz w:val="24"/>
          <w:szCs w:val="24"/>
        </w:rPr>
        <w:t>.</w:t>
      </w:r>
    </w:p>
    <w:p w14:paraId="651D32B7" w14:textId="4A83B574" w:rsidR="00D37F03" w:rsidRPr="00CF5136" w:rsidRDefault="00BC5DFA" w:rsidP="00704ACC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t>The study of gender on ancient Mesopotamia is often influ</w:t>
      </w:r>
      <w:r w:rsidR="00477381" w:rsidRPr="00CF5136">
        <w:rPr>
          <w:rFonts w:cs="Times New Roman"/>
          <w:sz w:val="24"/>
          <w:szCs w:val="24"/>
        </w:rPr>
        <w:t xml:space="preserve">enced by views of classical antiquity, the </w:t>
      </w:r>
      <w:r w:rsidRPr="00CF5136">
        <w:rPr>
          <w:rFonts w:cs="Times New Roman"/>
          <w:sz w:val="24"/>
          <w:szCs w:val="24"/>
        </w:rPr>
        <w:t>Islamic Middle East</w:t>
      </w:r>
      <w:r w:rsidR="00477381" w:rsidRPr="00CF5136">
        <w:rPr>
          <w:rStyle w:val="Funotenzeichen"/>
          <w:rFonts w:cs="Times New Roman"/>
          <w:sz w:val="24"/>
          <w:szCs w:val="24"/>
        </w:rPr>
        <w:footnoteReference w:id="99"/>
      </w:r>
      <w:r w:rsidRPr="00CF5136">
        <w:rPr>
          <w:rFonts w:cs="Times New Roman"/>
          <w:sz w:val="24"/>
          <w:szCs w:val="24"/>
        </w:rPr>
        <w:t xml:space="preserve">, </w:t>
      </w:r>
      <w:r w:rsidR="00477381" w:rsidRPr="00CF5136">
        <w:rPr>
          <w:rFonts w:cs="Times New Roman"/>
          <w:sz w:val="24"/>
          <w:szCs w:val="24"/>
        </w:rPr>
        <w:t>and orientalism</w:t>
      </w:r>
      <w:r w:rsidR="005900DE" w:rsidRPr="00CF5136">
        <w:rPr>
          <w:rFonts w:cs="Times New Roman"/>
          <w:sz w:val="24"/>
          <w:szCs w:val="24"/>
        </w:rPr>
        <w:t xml:space="preserve"> which in early Mesopotamian scholarship often led to the stigma of loose morals and prostitution regarding women</w:t>
      </w:r>
      <w:r w:rsidR="005900DE" w:rsidRPr="00CF5136">
        <w:rPr>
          <w:rStyle w:val="Funotenzeichen"/>
          <w:rFonts w:cs="Times New Roman"/>
          <w:sz w:val="24"/>
          <w:szCs w:val="24"/>
        </w:rPr>
        <w:footnoteReference w:id="100"/>
      </w:r>
      <w:r w:rsidR="005900DE" w:rsidRPr="00CF5136">
        <w:rPr>
          <w:rFonts w:cs="Times New Roman"/>
          <w:sz w:val="24"/>
          <w:szCs w:val="24"/>
        </w:rPr>
        <w:t>, following an account of Herodotus</w:t>
      </w:r>
      <w:r w:rsidR="005900DE" w:rsidRPr="00CF5136">
        <w:rPr>
          <w:rStyle w:val="Funotenzeichen"/>
          <w:rFonts w:cs="Times New Roman"/>
          <w:sz w:val="24"/>
          <w:szCs w:val="24"/>
        </w:rPr>
        <w:footnoteReference w:id="101"/>
      </w:r>
      <w:r w:rsidR="005900DE" w:rsidRPr="00CF5136">
        <w:rPr>
          <w:rFonts w:cs="Times New Roman"/>
          <w:sz w:val="24"/>
          <w:szCs w:val="24"/>
        </w:rPr>
        <w:t>. Herodotus in his Greek view,</w:t>
      </w:r>
      <w:r w:rsidR="00CF5136">
        <w:rPr>
          <w:rFonts w:cs="Times New Roman"/>
          <w:sz w:val="24"/>
          <w:szCs w:val="24"/>
        </w:rPr>
        <w:t xml:space="preserve"> observed that each woman</w:t>
      </w:r>
      <w:r w:rsidR="005900DE" w:rsidRPr="00CF5136">
        <w:rPr>
          <w:rFonts w:cs="Times New Roman"/>
          <w:sz w:val="24"/>
          <w:szCs w:val="24"/>
        </w:rPr>
        <w:t xml:space="preserve"> once in their lifetime they had to lie with a stranger outside a temple</w:t>
      </w:r>
      <w:r w:rsidR="005900DE" w:rsidRPr="00CF5136">
        <w:rPr>
          <w:rStyle w:val="Funotenzeichen"/>
          <w:rFonts w:cs="Times New Roman"/>
          <w:sz w:val="24"/>
          <w:szCs w:val="24"/>
        </w:rPr>
        <w:footnoteReference w:id="102"/>
      </w:r>
      <w:r w:rsidR="005900DE" w:rsidRPr="00CF5136">
        <w:rPr>
          <w:rFonts w:cs="Times New Roman"/>
          <w:sz w:val="24"/>
          <w:szCs w:val="24"/>
        </w:rPr>
        <w:t>. Many scholars interpret these accounts as misinterpretations</w:t>
      </w:r>
      <w:r w:rsidR="005900DE" w:rsidRPr="00CF5136">
        <w:rPr>
          <w:rStyle w:val="Funotenzeichen"/>
          <w:rFonts w:cs="Times New Roman"/>
          <w:sz w:val="24"/>
          <w:szCs w:val="24"/>
        </w:rPr>
        <w:footnoteReference w:id="103"/>
      </w:r>
      <w:r w:rsidR="005900DE" w:rsidRPr="00CF5136">
        <w:rPr>
          <w:rFonts w:cs="Times New Roman"/>
          <w:sz w:val="24"/>
          <w:szCs w:val="24"/>
        </w:rPr>
        <w:t>.</w:t>
      </w:r>
      <w:r w:rsidR="00D37F03" w:rsidRPr="00CF5136">
        <w:rPr>
          <w:rFonts w:cs="Times New Roman"/>
          <w:sz w:val="24"/>
          <w:szCs w:val="24"/>
        </w:rPr>
        <w:t xml:space="preserve"> </w:t>
      </w:r>
      <w:r w:rsidR="00F9038F" w:rsidRPr="00CF5136">
        <w:rPr>
          <w:rFonts w:cs="Times New Roman"/>
          <w:sz w:val="24"/>
          <w:szCs w:val="24"/>
        </w:rPr>
        <w:t>Names accompanying activities assumed to have been mostly carried out by females, are presumed by many scholars to be those of women, as they assume it biologically suits those occupations</w:t>
      </w:r>
      <w:r w:rsidR="00F9038F" w:rsidRPr="00CF5136">
        <w:rPr>
          <w:rStyle w:val="Funotenzeichen"/>
          <w:rFonts w:cs="Times New Roman"/>
          <w:sz w:val="24"/>
          <w:szCs w:val="24"/>
        </w:rPr>
        <w:footnoteReference w:id="104"/>
      </w:r>
      <w:r w:rsidR="00F33BEC" w:rsidRPr="00CF5136">
        <w:rPr>
          <w:rFonts w:cs="Times New Roman"/>
          <w:sz w:val="24"/>
          <w:szCs w:val="24"/>
        </w:rPr>
        <w:t xml:space="preserve">. </w:t>
      </w:r>
      <w:r w:rsidR="00D37F03" w:rsidRPr="00CF5136">
        <w:rPr>
          <w:rFonts w:cs="Times New Roman"/>
          <w:sz w:val="24"/>
          <w:szCs w:val="24"/>
        </w:rPr>
        <w:t xml:space="preserve">Another problem of this discipline being </w:t>
      </w:r>
      <w:r w:rsidRPr="00CF5136">
        <w:rPr>
          <w:rFonts w:cs="Times New Roman"/>
          <w:sz w:val="24"/>
          <w:szCs w:val="24"/>
        </w:rPr>
        <w:t>that many scholar</w:t>
      </w:r>
      <w:r w:rsidR="00D37F03" w:rsidRPr="00CF5136">
        <w:rPr>
          <w:rFonts w:cs="Times New Roman"/>
          <w:sz w:val="24"/>
          <w:szCs w:val="24"/>
        </w:rPr>
        <w:t>s</w:t>
      </w:r>
      <w:r w:rsidRPr="00CF5136">
        <w:rPr>
          <w:rFonts w:cs="Times New Roman"/>
          <w:sz w:val="24"/>
          <w:szCs w:val="24"/>
        </w:rPr>
        <w:t xml:space="preserve"> are </w:t>
      </w:r>
      <w:r w:rsidR="00D37F03" w:rsidRPr="00CF5136">
        <w:rPr>
          <w:rFonts w:cs="Times New Roman"/>
          <w:sz w:val="24"/>
          <w:szCs w:val="24"/>
        </w:rPr>
        <w:t xml:space="preserve">presumably </w:t>
      </w:r>
      <w:r w:rsidRPr="00CF5136">
        <w:rPr>
          <w:rFonts w:cs="Times New Roman"/>
          <w:sz w:val="24"/>
          <w:szCs w:val="24"/>
        </w:rPr>
        <w:t xml:space="preserve">too conservative to </w:t>
      </w:r>
      <w:r w:rsidR="00D37F03" w:rsidRPr="00CF5136">
        <w:rPr>
          <w:rFonts w:cs="Times New Roman"/>
          <w:sz w:val="24"/>
          <w:szCs w:val="24"/>
        </w:rPr>
        <w:t xml:space="preserve">examine </w:t>
      </w:r>
      <w:r w:rsidRPr="00CF5136">
        <w:rPr>
          <w:rFonts w:cs="Times New Roman"/>
          <w:sz w:val="24"/>
          <w:szCs w:val="24"/>
        </w:rPr>
        <w:t>other areas of the humanities, depriving themselves of many textual sources</w:t>
      </w:r>
      <w:r w:rsidRPr="00CF5136">
        <w:rPr>
          <w:rStyle w:val="Funotenzeichen"/>
          <w:rFonts w:cs="Times New Roman"/>
          <w:sz w:val="24"/>
          <w:szCs w:val="24"/>
        </w:rPr>
        <w:footnoteReference w:id="105"/>
      </w:r>
      <w:r w:rsidRPr="00CF5136">
        <w:rPr>
          <w:rFonts w:cs="Times New Roman"/>
          <w:sz w:val="24"/>
          <w:szCs w:val="24"/>
        </w:rPr>
        <w:t xml:space="preserve">. </w:t>
      </w:r>
    </w:p>
    <w:p w14:paraId="582D52DC" w14:textId="7FCA086B" w:rsidR="00BC5DFA" w:rsidRPr="00CF5136" w:rsidRDefault="00D37F03" w:rsidP="000C247B">
      <w:pPr>
        <w:spacing w:line="276" w:lineRule="auto"/>
        <w:rPr>
          <w:rFonts w:cs="Times New Roman"/>
          <w:sz w:val="24"/>
          <w:szCs w:val="24"/>
        </w:rPr>
      </w:pPr>
      <w:r w:rsidRPr="00CF5136">
        <w:rPr>
          <w:rFonts w:cs="Times New Roman"/>
          <w:sz w:val="24"/>
          <w:szCs w:val="24"/>
        </w:rPr>
        <w:lastRenderedPageBreak/>
        <w:t xml:space="preserve">Gender seems </w:t>
      </w:r>
      <w:r w:rsidR="00BC5DFA" w:rsidRPr="00CF5136">
        <w:rPr>
          <w:rFonts w:cs="Times New Roman"/>
          <w:sz w:val="24"/>
          <w:szCs w:val="24"/>
        </w:rPr>
        <w:t>not always</w:t>
      </w:r>
      <w:r w:rsidRPr="00CF5136">
        <w:rPr>
          <w:rFonts w:cs="Times New Roman"/>
          <w:sz w:val="24"/>
          <w:szCs w:val="24"/>
        </w:rPr>
        <w:t xml:space="preserve"> to</w:t>
      </w:r>
      <w:r w:rsidR="00BC5DFA" w:rsidRPr="00CF5136">
        <w:rPr>
          <w:rFonts w:cs="Times New Roman"/>
          <w:sz w:val="24"/>
          <w:szCs w:val="24"/>
        </w:rPr>
        <w:t xml:space="preserve"> have been im</w:t>
      </w:r>
      <w:r w:rsidRPr="00CF5136">
        <w:rPr>
          <w:rFonts w:cs="Times New Roman"/>
          <w:sz w:val="24"/>
          <w:szCs w:val="24"/>
        </w:rPr>
        <w:t xml:space="preserve">portant </w:t>
      </w:r>
      <w:r w:rsidR="00BC5DFA" w:rsidRPr="00CF5136">
        <w:rPr>
          <w:rFonts w:cs="Times New Roman"/>
          <w:sz w:val="24"/>
          <w:szCs w:val="24"/>
        </w:rPr>
        <w:t>in ancient Mesopotamia, as the temple-singer statuette of Ur-Nanshe cannot clearly be distinguished as male, female or castrato</w:t>
      </w:r>
      <w:r w:rsidR="00BC5DFA" w:rsidRPr="00CF5136">
        <w:rPr>
          <w:rStyle w:val="Funotenzeichen"/>
          <w:rFonts w:cs="Times New Roman"/>
          <w:sz w:val="24"/>
          <w:szCs w:val="24"/>
        </w:rPr>
        <w:footnoteReference w:id="106"/>
      </w:r>
      <w:r w:rsidRPr="00CF5136">
        <w:rPr>
          <w:rFonts w:cs="Times New Roman"/>
          <w:sz w:val="24"/>
          <w:szCs w:val="24"/>
        </w:rPr>
        <w:t>, with other cases being</w:t>
      </w:r>
      <w:r w:rsidR="00BC5DFA" w:rsidRPr="00CF5136">
        <w:rPr>
          <w:rFonts w:cs="Times New Roman"/>
          <w:sz w:val="24"/>
          <w:szCs w:val="24"/>
        </w:rPr>
        <w:t xml:space="preserve"> non- gender-specific names in literary texts</w:t>
      </w:r>
      <w:r w:rsidR="00BC5DFA" w:rsidRPr="00CF5136">
        <w:rPr>
          <w:rStyle w:val="Funotenzeichen"/>
          <w:rFonts w:cs="Times New Roman"/>
          <w:sz w:val="24"/>
          <w:szCs w:val="24"/>
        </w:rPr>
        <w:footnoteReference w:id="107"/>
      </w:r>
      <w:r w:rsidR="00BC5DFA" w:rsidRPr="00CF5136">
        <w:rPr>
          <w:rFonts w:cs="Times New Roman"/>
          <w:sz w:val="24"/>
          <w:szCs w:val="24"/>
        </w:rPr>
        <w:t xml:space="preserve"> and similar grav</w:t>
      </w:r>
      <w:r w:rsidR="00DE6146">
        <w:rPr>
          <w:rFonts w:cs="Times New Roman"/>
          <w:sz w:val="24"/>
          <w:szCs w:val="24"/>
        </w:rPr>
        <w:t>e goods in lower-class burials</w:t>
      </w:r>
      <w:r w:rsidR="00BC5DFA" w:rsidRPr="00CF5136">
        <w:rPr>
          <w:rStyle w:val="Funotenzeichen"/>
          <w:rFonts w:cs="Times New Roman"/>
          <w:sz w:val="24"/>
          <w:szCs w:val="24"/>
        </w:rPr>
        <w:footnoteReference w:id="108"/>
      </w:r>
      <w:r w:rsidR="00BC5DFA" w:rsidRPr="00CF5136">
        <w:rPr>
          <w:rFonts w:cs="Times New Roman"/>
          <w:sz w:val="24"/>
          <w:szCs w:val="24"/>
        </w:rPr>
        <w:t xml:space="preserve">. </w:t>
      </w:r>
      <w:r w:rsidR="007A3915" w:rsidRPr="00CF5136">
        <w:rPr>
          <w:rFonts w:cs="Times New Roman"/>
          <w:sz w:val="24"/>
          <w:szCs w:val="24"/>
        </w:rPr>
        <w:t>According to Foucault, gender cannot exist prior to the laws of a culture</w:t>
      </w:r>
      <w:r w:rsidR="007A3915" w:rsidRPr="00CF5136">
        <w:rPr>
          <w:rStyle w:val="Funotenzeichen"/>
          <w:rFonts w:cs="Times New Roman"/>
          <w:sz w:val="24"/>
          <w:szCs w:val="24"/>
        </w:rPr>
        <w:footnoteReference w:id="109"/>
      </w:r>
      <w:r w:rsidR="000A0661" w:rsidRPr="00CF5136">
        <w:rPr>
          <w:rFonts w:cs="Times New Roman"/>
          <w:sz w:val="24"/>
          <w:szCs w:val="24"/>
        </w:rPr>
        <w:t xml:space="preserve"> and are </w:t>
      </w:r>
      <w:r w:rsidR="007A3915" w:rsidRPr="00CF5136">
        <w:rPr>
          <w:rFonts w:cs="Times New Roman"/>
          <w:sz w:val="24"/>
          <w:szCs w:val="24"/>
        </w:rPr>
        <w:t>determined by history, linked to the process of power</w:t>
      </w:r>
      <w:r w:rsidR="007A3915" w:rsidRPr="00CF5136">
        <w:rPr>
          <w:rStyle w:val="Funotenzeichen"/>
          <w:rFonts w:cs="Times New Roman"/>
          <w:sz w:val="24"/>
          <w:szCs w:val="24"/>
        </w:rPr>
        <w:footnoteReference w:id="110"/>
      </w:r>
      <w:r w:rsidR="000A0661" w:rsidRPr="00CF5136">
        <w:rPr>
          <w:rFonts w:cs="Times New Roman"/>
          <w:sz w:val="24"/>
          <w:szCs w:val="24"/>
        </w:rPr>
        <w:t>.</w:t>
      </w:r>
      <w:r w:rsidR="007A3915" w:rsidRPr="00CF5136">
        <w:rPr>
          <w:rFonts w:cs="Times New Roman"/>
          <w:sz w:val="24"/>
          <w:szCs w:val="24"/>
        </w:rPr>
        <w:t xml:space="preserve"> Butler</w:t>
      </w:r>
      <w:r w:rsidR="000A0661" w:rsidRPr="00CF5136">
        <w:rPr>
          <w:rFonts w:cs="Times New Roman"/>
          <w:sz w:val="24"/>
          <w:szCs w:val="24"/>
        </w:rPr>
        <w:t xml:space="preserve"> contrarily</w:t>
      </w:r>
      <w:r w:rsidR="007A3915" w:rsidRPr="00CF5136">
        <w:rPr>
          <w:rFonts w:cs="Times New Roman"/>
          <w:sz w:val="24"/>
          <w:szCs w:val="24"/>
        </w:rPr>
        <w:t xml:space="preserve"> argues that gender is performative, being a process which is recalled in day to day life</w:t>
      </w:r>
      <w:r w:rsidR="007A3915" w:rsidRPr="00CF5136">
        <w:rPr>
          <w:rStyle w:val="Funotenzeichen"/>
          <w:rFonts w:cs="Times New Roman"/>
          <w:sz w:val="24"/>
          <w:szCs w:val="24"/>
        </w:rPr>
        <w:footnoteReference w:id="111"/>
      </w:r>
      <w:r w:rsidR="007A3915" w:rsidRPr="00CF5136">
        <w:rPr>
          <w:rFonts w:cs="Times New Roman"/>
          <w:sz w:val="24"/>
          <w:szCs w:val="24"/>
        </w:rPr>
        <w:t>.</w:t>
      </w:r>
    </w:p>
    <w:p w14:paraId="5DD0A7F9" w14:textId="04777749" w:rsidR="00144DAE" w:rsidRDefault="00966805" w:rsidP="000C247B">
      <w:pPr>
        <w:spacing w:line="276" w:lineRule="auto"/>
        <w:rPr>
          <w:rFonts w:cs="Times New Roman"/>
          <w:sz w:val="24"/>
          <w:szCs w:val="24"/>
        </w:rPr>
      </w:pPr>
      <w:r>
        <w:rPr>
          <w:rFonts w:cs="Times New Roman"/>
          <w:sz w:val="24"/>
          <w:szCs w:val="24"/>
        </w:rPr>
        <w:t>In conclusion, a woman’s life in ancient Mesopotamia, depended heavily on her social status</w:t>
      </w:r>
      <w:r>
        <w:rPr>
          <w:rStyle w:val="Funotenzeichen"/>
          <w:rFonts w:cs="Times New Roman"/>
          <w:sz w:val="24"/>
          <w:szCs w:val="24"/>
        </w:rPr>
        <w:footnoteReference w:id="112"/>
      </w:r>
      <w:r>
        <w:rPr>
          <w:rFonts w:cs="Times New Roman"/>
          <w:sz w:val="24"/>
          <w:szCs w:val="24"/>
        </w:rPr>
        <w:t>, rather than her gender, as influential women could act in the public sphere being more independent from their husbands</w:t>
      </w:r>
      <w:r>
        <w:rPr>
          <w:rStyle w:val="Funotenzeichen"/>
          <w:rFonts w:cs="Times New Roman"/>
          <w:sz w:val="24"/>
          <w:szCs w:val="24"/>
        </w:rPr>
        <w:footnoteReference w:id="113"/>
      </w:r>
      <w:r>
        <w:rPr>
          <w:rFonts w:cs="Times New Roman"/>
          <w:sz w:val="24"/>
          <w:szCs w:val="24"/>
        </w:rPr>
        <w:t>, could get a better marriage settlement and were less tied to the law</w:t>
      </w:r>
      <w:r>
        <w:rPr>
          <w:rStyle w:val="Funotenzeichen"/>
          <w:rFonts w:cs="Times New Roman"/>
          <w:sz w:val="24"/>
          <w:szCs w:val="24"/>
        </w:rPr>
        <w:footnoteReference w:id="114"/>
      </w:r>
      <w:r>
        <w:rPr>
          <w:rFonts w:cs="Times New Roman"/>
          <w:sz w:val="24"/>
          <w:szCs w:val="24"/>
        </w:rPr>
        <w:t>. Women of lower status on the other hand, had to rely on the protection of the law, such as Hammurabi</w:t>
      </w:r>
      <w:r w:rsidR="00D8019E">
        <w:rPr>
          <w:rFonts w:cs="Times New Roman"/>
          <w:sz w:val="24"/>
          <w:szCs w:val="24"/>
        </w:rPr>
        <w:t>’</w:t>
      </w:r>
      <w:r>
        <w:rPr>
          <w:rFonts w:cs="Times New Roman"/>
          <w:sz w:val="24"/>
          <w:szCs w:val="24"/>
        </w:rPr>
        <w:t>s law code, which ensured married women certain rights but also listed their duties and punishments</w:t>
      </w:r>
      <w:r>
        <w:rPr>
          <w:rStyle w:val="Funotenzeichen"/>
          <w:rFonts w:cs="Times New Roman"/>
          <w:sz w:val="24"/>
          <w:szCs w:val="24"/>
        </w:rPr>
        <w:footnoteReference w:id="115"/>
      </w:r>
      <w:r>
        <w:rPr>
          <w:rFonts w:cs="Times New Roman"/>
          <w:sz w:val="24"/>
          <w:szCs w:val="24"/>
        </w:rPr>
        <w:t>. Unmarried women were even less protected by the law, and reduced to their ability to bear children</w:t>
      </w:r>
      <w:r>
        <w:rPr>
          <w:rStyle w:val="Funotenzeichen"/>
          <w:rFonts w:cs="Times New Roman"/>
          <w:sz w:val="24"/>
          <w:szCs w:val="24"/>
        </w:rPr>
        <w:footnoteReference w:id="116"/>
      </w:r>
      <w:r w:rsidR="000C247B">
        <w:rPr>
          <w:rFonts w:cs="Times New Roman"/>
          <w:sz w:val="24"/>
          <w:szCs w:val="24"/>
        </w:rPr>
        <w:t xml:space="preserve">. </w:t>
      </w:r>
      <w:r w:rsidR="00D8019E">
        <w:rPr>
          <w:rFonts w:cs="Times New Roman"/>
          <w:sz w:val="24"/>
          <w:szCs w:val="24"/>
        </w:rPr>
        <w:t>Other ancient Near Eastern civilisations such as in Nuzi, Assyria, often held fewer inheritance rights and protection for married women, than women under Hammurabi</w:t>
      </w:r>
      <w:r w:rsidR="00D8019E">
        <w:rPr>
          <w:rStyle w:val="Funotenzeichen"/>
          <w:rFonts w:cs="Times New Roman"/>
          <w:sz w:val="24"/>
          <w:szCs w:val="24"/>
        </w:rPr>
        <w:footnoteReference w:id="117"/>
      </w:r>
      <w:r w:rsidR="00D8019E">
        <w:rPr>
          <w:rFonts w:cs="Times New Roman"/>
          <w:sz w:val="24"/>
          <w:szCs w:val="24"/>
        </w:rPr>
        <w:t xml:space="preserve">. </w:t>
      </w:r>
      <w:r w:rsidR="00E35A9B">
        <w:rPr>
          <w:rFonts w:cs="Times New Roman"/>
          <w:sz w:val="24"/>
          <w:szCs w:val="24"/>
        </w:rPr>
        <w:t>Some modern scholarship failed to approach gender studies in ancient Mesopotamia objectively</w:t>
      </w:r>
      <w:r w:rsidR="00E35A9B">
        <w:rPr>
          <w:rStyle w:val="Funotenzeichen"/>
          <w:rFonts w:cs="Times New Roman"/>
          <w:sz w:val="24"/>
          <w:szCs w:val="24"/>
        </w:rPr>
        <w:footnoteReference w:id="118"/>
      </w:r>
      <w:r w:rsidR="00E35A9B">
        <w:rPr>
          <w:rFonts w:cs="Times New Roman"/>
          <w:sz w:val="24"/>
          <w:szCs w:val="24"/>
        </w:rPr>
        <w:t xml:space="preserve">, therefore this discipline still holds a lot of secrets and should be seen from a whole new angle. </w:t>
      </w:r>
    </w:p>
    <w:p w14:paraId="3FC60EB4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4ADFFAF7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0DABA0BD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0C421F52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5FB84A27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3C01B14E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27FBCFD5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0260F7B3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5D0B2EEB" w14:textId="77777777" w:rsidR="00A46B89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39222881" w14:textId="77777777" w:rsidR="00A46B89" w:rsidRPr="00447CB2" w:rsidRDefault="00A46B89" w:rsidP="00A46B89">
      <w:pPr>
        <w:jc w:val="center"/>
        <w:rPr>
          <w:sz w:val="28"/>
          <w:szCs w:val="28"/>
          <w:u w:val="single"/>
        </w:rPr>
      </w:pPr>
      <w:r w:rsidRPr="00447CB2">
        <w:rPr>
          <w:sz w:val="28"/>
          <w:szCs w:val="28"/>
          <w:u w:val="single"/>
        </w:rPr>
        <w:lastRenderedPageBreak/>
        <w:t>Reference list</w:t>
      </w:r>
    </w:p>
    <w:p w14:paraId="6E78B9C6" w14:textId="77777777" w:rsidR="00A46B89" w:rsidRDefault="00A46B89" w:rsidP="00A46B89">
      <w:pPr>
        <w:rPr>
          <w:sz w:val="23"/>
          <w:szCs w:val="23"/>
        </w:rPr>
      </w:pPr>
    </w:p>
    <w:p w14:paraId="2F11D9CC" w14:textId="77777777" w:rsidR="00A46B89" w:rsidRDefault="00A46B89" w:rsidP="00A46B89">
      <w:pPr>
        <w:rPr>
          <w:sz w:val="23"/>
          <w:szCs w:val="23"/>
        </w:rPr>
      </w:pPr>
    </w:p>
    <w:p w14:paraId="5ADD254C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Bahrani, Z. 2001. </w:t>
      </w:r>
      <w:r>
        <w:rPr>
          <w:i/>
          <w:sz w:val="23"/>
          <w:szCs w:val="23"/>
        </w:rPr>
        <w:t xml:space="preserve">Women of Babylon: Gender and representation in Mesopotamia. </w:t>
      </w:r>
      <w:r>
        <w:rPr>
          <w:sz w:val="23"/>
          <w:szCs w:val="23"/>
        </w:rPr>
        <w:t>Oxon: Routledge.</w:t>
      </w:r>
    </w:p>
    <w:p w14:paraId="70ECCBAB" w14:textId="77777777" w:rsidR="00A46B89" w:rsidRDefault="00A46B89" w:rsidP="00A46B89">
      <w:pPr>
        <w:jc w:val="both"/>
      </w:pPr>
    </w:p>
    <w:p w14:paraId="474E5103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Bertman, S. 2003. </w:t>
      </w:r>
      <w:r>
        <w:rPr>
          <w:i/>
          <w:sz w:val="23"/>
          <w:szCs w:val="23"/>
        </w:rPr>
        <w:t xml:space="preserve">Handbook to Life in Ancient Mesopotamia. </w:t>
      </w:r>
      <w:r>
        <w:rPr>
          <w:sz w:val="23"/>
          <w:szCs w:val="23"/>
        </w:rPr>
        <w:t xml:space="preserve">New York: Facts </w:t>
      </w:r>
      <w:proofErr w:type="gramStart"/>
      <w:r>
        <w:rPr>
          <w:sz w:val="23"/>
          <w:szCs w:val="23"/>
        </w:rPr>
        <w:t>On</w:t>
      </w:r>
      <w:proofErr w:type="gramEnd"/>
      <w:r>
        <w:rPr>
          <w:sz w:val="23"/>
          <w:szCs w:val="23"/>
        </w:rPr>
        <w:t xml:space="preserve"> File, Inc.</w:t>
      </w:r>
    </w:p>
    <w:p w14:paraId="48093DB7" w14:textId="77777777" w:rsidR="00A46B89" w:rsidRDefault="00A46B89" w:rsidP="00A46B89">
      <w:pPr>
        <w:jc w:val="both"/>
      </w:pPr>
      <w:bookmarkStart w:id="0" w:name="_GoBack"/>
      <w:bookmarkEnd w:id="0"/>
    </w:p>
    <w:p w14:paraId="259169DA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Kriwaczek, P. 2010. </w:t>
      </w:r>
      <w:r>
        <w:rPr>
          <w:i/>
          <w:sz w:val="23"/>
          <w:szCs w:val="23"/>
        </w:rPr>
        <w:t xml:space="preserve">Babylon: Mesopotamia and the Birth of Civilization. </w:t>
      </w:r>
      <w:r>
        <w:rPr>
          <w:sz w:val="23"/>
          <w:szCs w:val="23"/>
        </w:rPr>
        <w:t>New York: St. Martin`s Press.</w:t>
      </w:r>
    </w:p>
    <w:p w14:paraId="569697E7" w14:textId="77777777" w:rsidR="00A46B89" w:rsidRDefault="00A46B89" w:rsidP="00A46B89">
      <w:pPr>
        <w:jc w:val="both"/>
      </w:pPr>
    </w:p>
    <w:p w14:paraId="6A4E4C3C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Larsen, M.T. 2015. </w:t>
      </w:r>
      <w:r>
        <w:rPr>
          <w:i/>
          <w:sz w:val="23"/>
          <w:szCs w:val="23"/>
        </w:rPr>
        <w:t xml:space="preserve">Ancient Kanesh: a Merchant Colony in Bronze Age Anatolia. </w:t>
      </w:r>
      <w:r>
        <w:rPr>
          <w:sz w:val="23"/>
          <w:szCs w:val="23"/>
        </w:rPr>
        <w:t>New York: Cambridge University Press.</w:t>
      </w:r>
    </w:p>
    <w:p w14:paraId="58CF9966" w14:textId="77777777" w:rsidR="00A46B89" w:rsidRDefault="00A46B89" w:rsidP="00A46B89">
      <w:pPr>
        <w:jc w:val="both"/>
      </w:pPr>
    </w:p>
    <w:p w14:paraId="2F3CC4B5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Slanski, K.E. 2013. The Law of Hammurabi and Its Audience. </w:t>
      </w:r>
      <w:r>
        <w:rPr>
          <w:i/>
          <w:sz w:val="23"/>
          <w:szCs w:val="23"/>
        </w:rPr>
        <w:t xml:space="preserve">Yale Journal of Law &amp; the Humanities </w:t>
      </w:r>
      <w:r>
        <w:rPr>
          <w:sz w:val="23"/>
          <w:szCs w:val="23"/>
        </w:rPr>
        <w:t>24 (1): 97- 110.</w:t>
      </w:r>
    </w:p>
    <w:p w14:paraId="495327C0" w14:textId="77777777" w:rsidR="00A46B89" w:rsidRDefault="00A46B89" w:rsidP="00A46B89">
      <w:pPr>
        <w:jc w:val="both"/>
      </w:pPr>
    </w:p>
    <w:p w14:paraId="1628BBFB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Speiser, E. A. 1963. Cuneiform Law and the History of Civilization. </w:t>
      </w:r>
      <w:r>
        <w:rPr>
          <w:i/>
          <w:sz w:val="23"/>
          <w:szCs w:val="23"/>
        </w:rPr>
        <w:t>Proceedings of the</w:t>
      </w:r>
      <w:r>
        <w:rPr>
          <w:sz w:val="23"/>
          <w:szCs w:val="23"/>
        </w:rPr>
        <w:t xml:space="preserve"> </w:t>
      </w:r>
      <w:r>
        <w:rPr>
          <w:i/>
          <w:sz w:val="23"/>
          <w:szCs w:val="23"/>
        </w:rPr>
        <w:t xml:space="preserve">American Philosophical Society </w:t>
      </w:r>
      <w:r>
        <w:rPr>
          <w:sz w:val="23"/>
          <w:szCs w:val="23"/>
        </w:rPr>
        <w:t>107 (6): 536-541.</w:t>
      </w:r>
    </w:p>
    <w:p w14:paraId="33C04DBF" w14:textId="77777777" w:rsidR="00A46B89" w:rsidRDefault="00A46B89" w:rsidP="00A46B89">
      <w:pPr>
        <w:jc w:val="both"/>
      </w:pPr>
    </w:p>
    <w:p w14:paraId="73736FC0" w14:textId="77777777" w:rsidR="00A46B89" w:rsidRDefault="00A46B89" w:rsidP="00A46B89">
      <w:pPr>
        <w:jc w:val="both"/>
        <w:rPr>
          <w:sz w:val="23"/>
          <w:szCs w:val="23"/>
        </w:rPr>
      </w:pPr>
      <w:proofErr w:type="gramStart"/>
      <w:r>
        <w:rPr>
          <w:sz w:val="23"/>
          <w:szCs w:val="23"/>
        </w:rPr>
        <w:t>Stol</w:t>
      </w:r>
      <w:proofErr w:type="gramEnd"/>
      <w:r>
        <w:rPr>
          <w:sz w:val="23"/>
          <w:szCs w:val="23"/>
        </w:rPr>
        <w:t xml:space="preserve">, M. 1995. Women in Mesopotamia. </w:t>
      </w:r>
      <w:r>
        <w:rPr>
          <w:i/>
          <w:sz w:val="23"/>
          <w:szCs w:val="23"/>
        </w:rPr>
        <w:t xml:space="preserve">Journal of the Economic and Social History of the Orient </w:t>
      </w:r>
      <w:r>
        <w:rPr>
          <w:sz w:val="23"/>
          <w:szCs w:val="23"/>
        </w:rPr>
        <w:t>38 (2): 123-144.</w:t>
      </w:r>
    </w:p>
    <w:p w14:paraId="2E931103" w14:textId="77777777" w:rsidR="00A46B89" w:rsidRDefault="00A46B89" w:rsidP="00A46B89">
      <w:pPr>
        <w:jc w:val="both"/>
      </w:pPr>
    </w:p>
    <w:p w14:paraId="5B006818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Van De Mieroop, M. 1999. </w:t>
      </w:r>
      <w:r>
        <w:rPr>
          <w:i/>
          <w:sz w:val="23"/>
          <w:szCs w:val="23"/>
        </w:rPr>
        <w:t xml:space="preserve"> Approaching the Ancient World: Cuneiform Texts and the Writing of History. </w:t>
      </w:r>
      <w:r>
        <w:rPr>
          <w:sz w:val="23"/>
          <w:szCs w:val="23"/>
        </w:rPr>
        <w:t>Oxon: Routledge.</w:t>
      </w:r>
    </w:p>
    <w:p w14:paraId="39A64FEA" w14:textId="77777777" w:rsidR="00A46B89" w:rsidRDefault="00A46B89" w:rsidP="00A46B89">
      <w:pPr>
        <w:jc w:val="both"/>
      </w:pPr>
    </w:p>
    <w:p w14:paraId="3C548CC4" w14:textId="77777777" w:rsidR="00A46B89" w:rsidRDefault="00A46B89" w:rsidP="00A46B89">
      <w:pPr>
        <w:jc w:val="both"/>
        <w:rPr>
          <w:sz w:val="23"/>
          <w:szCs w:val="23"/>
        </w:rPr>
      </w:pPr>
      <w:r>
        <w:rPr>
          <w:sz w:val="23"/>
          <w:szCs w:val="23"/>
        </w:rPr>
        <w:t xml:space="preserve">Vincent, G.E. 1904. The Laws of Hammurabi. </w:t>
      </w:r>
      <w:r>
        <w:rPr>
          <w:i/>
          <w:sz w:val="23"/>
          <w:szCs w:val="23"/>
        </w:rPr>
        <w:t xml:space="preserve">American Journal of </w:t>
      </w:r>
      <w:proofErr w:type="gramStart"/>
      <w:r>
        <w:rPr>
          <w:i/>
          <w:sz w:val="23"/>
          <w:szCs w:val="23"/>
        </w:rPr>
        <w:t xml:space="preserve">Sociology  </w:t>
      </w:r>
      <w:r>
        <w:rPr>
          <w:sz w:val="23"/>
          <w:szCs w:val="23"/>
        </w:rPr>
        <w:t>9</w:t>
      </w:r>
      <w:proofErr w:type="gramEnd"/>
      <w:r>
        <w:rPr>
          <w:sz w:val="23"/>
          <w:szCs w:val="23"/>
        </w:rPr>
        <w:t xml:space="preserve"> (6): 737-754.</w:t>
      </w:r>
    </w:p>
    <w:p w14:paraId="792008EF" w14:textId="77777777" w:rsidR="00A46B89" w:rsidRPr="00CF5136" w:rsidRDefault="00A46B89" w:rsidP="000C247B">
      <w:pPr>
        <w:spacing w:line="276" w:lineRule="auto"/>
        <w:rPr>
          <w:rFonts w:cs="Times New Roman"/>
          <w:sz w:val="24"/>
          <w:szCs w:val="24"/>
        </w:rPr>
      </w:pPr>
    </w:p>
    <w:p w14:paraId="28C8E46F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3DF03C28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4440AF76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00980F0C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6485F648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02460778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53994755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3A525F53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051FBCA9" w14:textId="77777777" w:rsidR="00E76726" w:rsidRPr="00CF5136" w:rsidRDefault="00E76726" w:rsidP="00221705">
      <w:pPr>
        <w:spacing w:line="360" w:lineRule="auto"/>
        <w:rPr>
          <w:rFonts w:cs="Times New Roman"/>
          <w:sz w:val="24"/>
          <w:szCs w:val="24"/>
        </w:rPr>
      </w:pPr>
    </w:p>
    <w:p w14:paraId="2D955A24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5AFDA23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650605B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8D759F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E64A8D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C6CB62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7751F01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33503D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29A1D10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D59ADAE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68AEE6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F0A7A5A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04D5DE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8D7333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89454B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A3418F4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ADFFCA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D3AB63C" w14:textId="77777777" w:rsidR="00E76726" w:rsidRPr="00CF5136" w:rsidRDefault="00E76726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6DEB12" w14:textId="77777777" w:rsidR="00B968E2" w:rsidRPr="00CF5136" w:rsidRDefault="00B968E2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CF513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DFF21E" w14:textId="77777777" w:rsidR="00B968E2" w:rsidRPr="00CF5136" w:rsidRDefault="00B968E2" w:rsidP="00221705">
      <w:pPr>
        <w:spacing w:line="360" w:lineRule="auto"/>
        <w:rPr>
          <w:rFonts w:ascii="Times New Roman" w:hAnsi="Times New Roman" w:cs="Times New Roman"/>
          <w:color w:val="C00000"/>
          <w:sz w:val="24"/>
          <w:szCs w:val="24"/>
        </w:rPr>
      </w:pPr>
    </w:p>
    <w:p w14:paraId="71586E45" w14:textId="77777777" w:rsidR="009846A3" w:rsidRPr="00CF5136" w:rsidRDefault="009846A3" w:rsidP="00221705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9846A3" w:rsidRPr="00CF5136">
      <w:headerReference w:type="default" r:id="rId8"/>
      <w:pgSz w:w="11906" w:h="16838"/>
      <w:pgMar w:top="1417" w:right="1417" w:bottom="1134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CBF042B" w14:textId="77777777" w:rsidR="00912BEE" w:rsidRDefault="00912BEE" w:rsidP="00B968E2">
      <w:pPr>
        <w:spacing w:after="0" w:line="240" w:lineRule="auto"/>
      </w:pPr>
      <w:r>
        <w:separator/>
      </w:r>
    </w:p>
  </w:endnote>
  <w:endnote w:type="continuationSeparator" w:id="0">
    <w:p w14:paraId="708A568C" w14:textId="77777777" w:rsidR="00912BEE" w:rsidRDefault="00912BEE" w:rsidP="00B968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1615FC6" w14:textId="77777777" w:rsidR="00912BEE" w:rsidRDefault="00912BEE" w:rsidP="00B968E2">
      <w:pPr>
        <w:spacing w:after="0" w:line="240" w:lineRule="auto"/>
      </w:pPr>
      <w:r>
        <w:separator/>
      </w:r>
    </w:p>
  </w:footnote>
  <w:footnote w:type="continuationSeparator" w:id="0">
    <w:p w14:paraId="1C542B6A" w14:textId="77777777" w:rsidR="00912BEE" w:rsidRDefault="00912BEE" w:rsidP="00B968E2">
      <w:pPr>
        <w:spacing w:after="0" w:line="240" w:lineRule="auto"/>
      </w:pPr>
      <w:r>
        <w:continuationSeparator/>
      </w:r>
    </w:p>
  </w:footnote>
  <w:footnote w:id="1">
    <w:p w14:paraId="311E508D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Slanski 2013: 97</w:t>
      </w:r>
    </w:p>
  </w:footnote>
  <w:footnote w:id="2">
    <w:p w14:paraId="730504FD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Bertman 2003: 68</w:t>
      </w:r>
    </w:p>
  </w:footnote>
  <w:footnote w:id="3">
    <w:p w14:paraId="229D60F6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Vincent 1904: 739</w:t>
      </w:r>
    </w:p>
  </w:footnote>
  <w:footnote w:id="4">
    <w:p w14:paraId="0A9D8B5F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Slanski 2013: 103</w:t>
      </w:r>
    </w:p>
  </w:footnote>
  <w:footnote w:id="5">
    <w:p w14:paraId="58F8725C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Bertman 2003: 57</w:t>
      </w:r>
    </w:p>
  </w:footnote>
  <w:footnote w:id="6">
    <w:p w14:paraId="4E480BC3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B968E2">
        <w:t>Van de Mieroop 1999: 7</w:t>
      </w:r>
    </w:p>
  </w:footnote>
  <w:footnote w:id="7">
    <w:p w14:paraId="3CF81799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 w:rsidRPr="00706730">
        <w:t xml:space="preserve"> Kriwaczek 2010: 178</w:t>
      </w:r>
    </w:p>
  </w:footnote>
  <w:footnote w:id="8">
    <w:p w14:paraId="14AE27AB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Slanski 2013: 101</w:t>
      </w:r>
    </w:p>
  </w:footnote>
  <w:footnote w:id="9">
    <w:p w14:paraId="13CC4405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Vincent 1904: 737</w:t>
      </w:r>
    </w:p>
  </w:footnote>
  <w:footnote w:id="10">
    <w:p w14:paraId="1E5A35FB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Bertman 2003: 69</w:t>
      </w:r>
    </w:p>
  </w:footnote>
  <w:footnote w:id="11">
    <w:p w14:paraId="05D5A093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Slanski 2013: 102</w:t>
      </w:r>
    </w:p>
  </w:footnote>
  <w:footnote w:id="12">
    <w:p w14:paraId="6F7DD854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B968E2">
        <w:t>Vincent 1904: 740</w:t>
      </w:r>
    </w:p>
  </w:footnote>
  <w:footnote w:id="13">
    <w:p w14:paraId="49E0FFCF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Slanski 2013: 102</w:t>
      </w:r>
    </w:p>
  </w:footnote>
  <w:footnote w:id="14">
    <w:p w14:paraId="57C27440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Slanski 2013: 101</w:t>
      </w:r>
    </w:p>
  </w:footnote>
  <w:footnote w:id="15">
    <w:p w14:paraId="4C67ECD8" w14:textId="77777777" w:rsidR="00BF6668" w:rsidRPr="00706730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706730">
        <w:t>Vincent 1904: 737</w:t>
      </w:r>
    </w:p>
  </w:footnote>
  <w:footnote w:id="16">
    <w:p w14:paraId="49F5F07C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102</w:t>
      </w:r>
    </w:p>
  </w:footnote>
  <w:footnote w:id="17">
    <w:p w14:paraId="7B17B2F7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Vincent 1904: 737</w:t>
      </w:r>
    </w:p>
  </w:footnote>
  <w:footnote w:id="18">
    <w:p w14:paraId="5739997A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102</w:t>
      </w:r>
    </w:p>
  </w:footnote>
  <w:footnote w:id="19">
    <w:p w14:paraId="57C1BEF3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Bertman 2003: 69</w:t>
      </w:r>
    </w:p>
  </w:footnote>
  <w:footnote w:id="20">
    <w:p w14:paraId="3EC7641E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B968E2">
        <w:t>Slanski 2013: 104</w:t>
      </w:r>
    </w:p>
  </w:footnote>
  <w:footnote w:id="21">
    <w:p w14:paraId="51BE3447" w14:textId="0F93CA83" w:rsidR="00F33BEC" w:rsidRPr="002B161C" w:rsidRDefault="00F33BEC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704ACC" w:rsidRPr="002B161C">
        <w:t>Hammurabi, laws 137-152</w:t>
      </w:r>
    </w:p>
  </w:footnote>
  <w:footnote w:id="22">
    <w:p w14:paraId="0258A5B3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105</w:t>
      </w:r>
    </w:p>
  </w:footnote>
  <w:footnote w:id="23">
    <w:p w14:paraId="1DD96C7E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106</w:t>
      </w:r>
    </w:p>
  </w:footnote>
  <w:footnote w:id="24">
    <w:p w14:paraId="3923D48D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106</w:t>
      </w:r>
    </w:p>
  </w:footnote>
  <w:footnote w:id="25">
    <w:p w14:paraId="2E9DE73C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Slanksi 2013: 106</w:t>
      </w:r>
    </w:p>
  </w:footnote>
  <w:footnote w:id="26">
    <w:p w14:paraId="7ABCC39B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Slanksi 2013: 107</w:t>
      </w:r>
    </w:p>
  </w:footnote>
  <w:footnote w:id="27">
    <w:p w14:paraId="36A91735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Slanski 2013: 102</w:t>
      </w:r>
    </w:p>
  </w:footnote>
  <w:footnote w:id="28">
    <w:p w14:paraId="0FEC1683" w14:textId="77777777" w:rsidR="00BF6668" w:rsidRPr="006B3183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B3183">
        <w:t>Kriwaczek 2010: 178</w:t>
      </w:r>
    </w:p>
  </w:footnote>
  <w:footnote w:id="29">
    <w:p w14:paraId="6F28534A" w14:textId="3CF68723" w:rsidR="00BF6668" w:rsidRPr="002B161C" w:rsidRDefault="00BF6668" w:rsidP="00B968E2">
      <w:pPr>
        <w:pStyle w:val="Funotentext"/>
        <w:rPr>
          <w:color w:val="FF0000"/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</w:t>
      </w:r>
      <w:r w:rsidR="007F3659" w:rsidRPr="002B161C">
        <w:rPr>
          <w:lang w:val="de-DE"/>
        </w:rPr>
        <w:t>Slanski 2013: 102</w:t>
      </w:r>
    </w:p>
  </w:footnote>
  <w:footnote w:id="30">
    <w:p w14:paraId="79102475" w14:textId="77777777" w:rsidR="00BF6668" w:rsidRPr="002B161C" w:rsidRDefault="00BF6668" w:rsidP="00B968E2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Kriwaczek 2010: 178</w:t>
      </w:r>
    </w:p>
  </w:footnote>
  <w:footnote w:id="31">
    <w:p w14:paraId="7B538FF7" w14:textId="77777777" w:rsidR="00BF6668" w:rsidRPr="002B161C" w:rsidRDefault="00BF6668" w:rsidP="00B968E2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Speiser 1963: 538-539</w:t>
      </w:r>
    </w:p>
  </w:footnote>
  <w:footnote w:id="32">
    <w:p w14:paraId="4FC6F37C" w14:textId="77777777" w:rsidR="00BF6668" w:rsidRPr="002B161C" w:rsidRDefault="00BF6668" w:rsidP="00B968E2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Speiser 1963: 538-539</w:t>
      </w:r>
    </w:p>
  </w:footnote>
  <w:footnote w:id="33">
    <w:p w14:paraId="7407BA6C" w14:textId="77777777" w:rsidR="00BF6668" w:rsidRPr="002B161C" w:rsidRDefault="00BF6668" w:rsidP="00B968E2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Vincent 1904: 739</w:t>
      </w:r>
    </w:p>
  </w:footnote>
  <w:footnote w:id="34">
    <w:p w14:paraId="521C5249" w14:textId="77777777" w:rsidR="00BF6668" w:rsidRPr="00892920" w:rsidRDefault="00BF6668" w:rsidP="00AB482A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892920">
        <w:t>Slanski 2013: 103</w:t>
      </w:r>
    </w:p>
  </w:footnote>
  <w:footnote w:id="35">
    <w:p w14:paraId="238DAF09" w14:textId="77777777" w:rsidR="00BF6668" w:rsidRPr="00892920" w:rsidRDefault="00BF6668" w:rsidP="00AB482A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892920">
        <w:t>Slanksi 2013: 100</w:t>
      </w:r>
    </w:p>
  </w:footnote>
  <w:footnote w:id="36">
    <w:p w14:paraId="137EA4E3" w14:textId="3C637F6F" w:rsidR="00CF5136" w:rsidRPr="004D03F6" w:rsidRDefault="00CF5136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D03F6">
        <w:t>Kriwaczek 2010:181</w:t>
      </w:r>
    </w:p>
  </w:footnote>
  <w:footnote w:id="37">
    <w:p w14:paraId="035609D8" w14:textId="38FACC59" w:rsidR="00CF5136" w:rsidRPr="004D03F6" w:rsidRDefault="00CF5136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D03F6">
        <w:t>Bertman 2003: 57</w:t>
      </w:r>
    </w:p>
  </w:footnote>
  <w:footnote w:id="38">
    <w:p w14:paraId="7E88DD0E" w14:textId="5DF09042" w:rsidR="00CF5136" w:rsidRPr="004D03F6" w:rsidRDefault="00CF5136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D03F6">
        <w:t>Hammurabi, Prologue</w:t>
      </w:r>
    </w:p>
  </w:footnote>
  <w:footnote w:id="39">
    <w:p w14:paraId="2EC6F12C" w14:textId="77777777" w:rsidR="00BF6668" w:rsidRPr="004D03F6" w:rsidRDefault="00BF6668" w:rsidP="00AB482A">
      <w:pPr>
        <w:pStyle w:val="Funotentext"/>
      </w:pPr>
      <w:r>
        <w:rPr>
          <w:rStyle w:val="Funotenzeichen"/>
        </w:rPr>
        <w:footnoteRef/>
      </w:r>
      <w:r w:rsidRPr="004D03F6">
        <w:t xml:space="preserve"> Bertman 2003: 68</w:t>
      </w:r>
    </w:p>
  </w:footnote>
  <w:footnote w:id="40">
    <w:p w14:paraId="08E9C4C9" w14:textId="77777777" w:rsidR="00BF6668" w:rsidRPr="002B161C" w:rsidRDefault="00BF6668" w:rsidP="00B968E2">
      <w:pPr>
        <w:pStyle w:val="Funotentext"/>
      </w:pPr>
      <w:r>
        <w:rPr>
          <w:rStyle w:val="Funotenzeichen"/>
        </w:rPr>
        <w:footnoteRef/>
      </w:r>
      <w:r w:rsidRPr="002B161C">
        <w:t xml:space="preserve"> Slanski 2013: 105</w:t>
      </w:r>
    </w:p>
  </w:footnote>
  <w:footnote w:id="41">
    <w:p w14:paraId="3AAC3A36" w14:textId="51601580" w:rsidR="00BF6668" w:rsidRPr="003A2019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 w:rsidRPr="003A2019">
        <w:t xml:space="preserve"> </w:t>
      </w:r>
      <w:r w:rsidR="003A2019" w:rsidRPr="003A2019">
        <w:t>Hammurabi, laws 137-152</w:t>
      </w:r>
    </w:p>
  </w:footnote>
  <w:footnote w:id="42">
    <w:p w14:paraId="4AEF474C" w14:textId="4EA1FC84" w:rsidR="00A94556" w:rsidRPr="003A2019" w:rsidRDefault="00A94556">
      <w:pPr>
        <w:pStyle w:val="Funotentext"/>
      </w:pPr>
      <w:r>
        <w:rPr>
          <w:rStyle w:val="Funotenzeichen"/>
        </w:rPr>
        <w:footnoteRef/>
      </w:r>
      <w:r w:rsidRPr="003A2019">
        <w:t xml:space="preserve"> Slanksi 2013: 105</w:t>
      </w:r>
    </w:p>
  </w:footnote>
  <w:footnote w:id="43">
    <w:p w14:paraId="0AC23A3B" w14:textId="3EB9FCEB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3A2019" w:rsidRPr="003A2019">
        <w:t>Hammurabi, laws 141-143</w:t>
      </w:r>
    </w:p>
  </w:footnote>
  <w:footnote w:id="44">
    <w:p w14:paraId="44BBC6B1" w14:textId="2F358889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3A2019" w:rsidRPr="003A2019">
        <w:t>Hammurabi, laws 137-143</w:t>
      </w:r>
    </w:p>
  </w:footnote>
  <w:footnote w:id="45">
    <w:p w14:paraId="37E44824" w14:textId="7606A92A" w:rsidR="00BF6668" w:rsidRPr="003A2019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A2019">
        <w:t>Hammurabi, law</w:t>
      </w:r>
      <w:r w:rsidR="003A2019" w:rsidRPr="003A2019">
        <w:t>s</w:t>
      </w:r>
      <w:r w:rsidRPr="003A2019">
        <w:t xml:space="preserve"> 137</w:t>
      </w:r>
      <w:r w:rsidR="003A2019" w:rsidRPr="003A2019">
        <w:t>-138</w:t>
      </w:r>
    </w:p>
  </w:footnote>
  <w:footnote w:id="46">
    <w:p w14:paraId="2392C8DF" w14:textId="77379F2B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3A2019" w:rsidRPr="003A2019">
        <w:t>Hammurabi, law 140</w:t>
      </w:r>
    </w:p>
  </w:footnote>
  <w:footnote w:id="47">
    <w:p w14:paraId="5130E3DC" w14:textId="1F2B5EBF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3A2019" w:rsidRPr="003A2019">
        <w:t>Hammurabi, laws 141-143</w:t>
      </w:r>
    </w:p>
  </w:footnote>
  <w:footnote w:id="48">
    <w:p w14:paraId="12F7228A" w14:textId="3F337564" w:rsidR="00BF6668" w:rsidRPr="00321EB1" w:rsidRDefault="00BF6668" w:rsidP="00724375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3A2019" w:rsidRPr="003A2019">
        <w:t>Hammurabi, laws 144-147</w:t>
      </w:r>
    </w:p>
  </w:footnote>
  <w:footnote w:id="49">
    <w:p w14:paraId="2DF4BD1C" w14:textId="31F440E7" w:rsidR="00BF6668" w:rsidRPr="00321EB1" w:rsidRDefault="00BF6668" w:rsidP="00724375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257F7D" w:rsidRPr="00257F7D">
        <w:t>Hammurabi, laws 145-146</w:t>
      </w:r>
      <w:r w:rsidRPr="00257F7D">
        <w:t xml:space="preserve"> and Stol 1995: 129</w:t>
      </w:r>
    </w:p>
  </w:footnote>
  <w:footnote w:id="50">
    <w:p w14:paraId="21079EC2" w14:textId="508BDC81" w:rsidR="00BF6668" w:rsidRPr="00724375" w:rsidRDefault="00BF6668" w:rsidP="00724375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257F7D">
        <w:t>Hammurabi, law 147</w:t>
      </w:r>
    </w:p>
  </w:footnote>
  <w:footnote w:id="51">
    <w:p w14:paraId="2BC5399B" w14:textId="620D5B5D" w:rsidR="00E16003" w:rsidRPr="004D70F7" w:rsidRDefault="00E16003" w:rsidP="00E16003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257F7D" w:rsidRPr="00257F7D">
        <w:t>Hammurabi, laws 148-149</w:t>
      </w:r>
    </w:p>
  </w:footnote>
  <w:footnote w:id="52">
    <w:p w14:paraId="76EA93FB" w14:textId="7E746560" w:rsidR="00AD68D7" w:rsidRPr="003608CE" w:rsidRDefault="00AD68D7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257F7D">
        <w:t>Hammurabi, law 150</w:t>
      </w:r>
    </w:p>
  </w:footnote>
  <w:footnote w:id="53">
    <w:p w14:paraId="45886A53" w14:textId="70275DE6" w:rsidR="00D431A1" w:rsidRPr="001C6343" w:rsidRDefault="00D431A1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257F7D" w:rsidRPr="001C6343">
        <w:t>Hammurabi, laws 151-152</w:t>
      </w:r>
    </w:p>
  </w:footnote>
  <w:footnote w:id="54">
    <w:p w14:paraId="00ACAE09" w14:textId="08E26162" w:rsidR="00C51839" w:rsidRPr="001C6343" w:rsidRDefault="00C51839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257F7D" w:rsidRPr="001C6343">
        <w:t>Hammurabi, laws 137-152</w:t>
      </w:r>
    </w:p>
  </w:footnote>
  <w:footnote w:id="55">
    <w:p w14:paraId="582B89D4" w14:textId="77777777" w:rsidR="003608CE" w:rsidRPr="00321EB1" w:rsidRDefault="003608CE" w:rsidP="003608CE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21EB1">
        <w:t>Stol 1995: 125</w:t>
      </w:r>
    </w:p>
  </w:footnote>
  <w:footnote w:id="56">
    <w:p w14:paraId="5BA24863" w14:textId="7F9A776A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1C6343" w:rsidRPr="001C6343">
        <w:t>Hammurabi, law 141</w:t>
      </w:r>
    </w:p>
  </w:footnote>
  <w:footnote w:id="57">
    <w:p w14:paraId="7BBFD328" w14:textId="5E9419F5" w:rsidR="00BF6668" w:rsidRPr="003608CE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1C6343">
        <w:t>Hammurabi, law 142</w:t>
      </w:r>
    </w:p>
  </w:footnote>
  <w:footnote w:id="58">
    <w:p w14:paraId="09149388" w14:textId="1B72B14B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1C6343" w:rsidRPr="001C6343">
        <w:t>Hammurabi, laws 137 and 150</w:t>
      </w:r>
    </w:p>
  </w:footnote>
  <w:footnote w:id="59">
    <w:p w14:paraId="756C6E64" w14:textId="03F45257" w:rsidR="00BF6668" w:rsidRPr="00321EB1" w:rsidRDefault="00BF6668" w:rsidP="00B968E2">
      <w:pPr>
        <w:pStyle w:val="Funotentext"/>
        <w:rPr>
          <w:color w:val="FF0000"/>
        </w:rPr>
      </w:pPr>
      <w:r>
        <w:rPr>
          <w:rStyle w:val="Funotenzeichen"/>
        </w:rPr>
        <w:footnoteRef/>
      </w:r>
      <w:r>
        <w:t xml:space="preserve"> </w:t>
      </w:r>
      <w:r w:rsidR="001C6343" w:rsidRPr="001C6343">
        <w:t>Hammurabi, law 140</w:t>
      </w:r>
    </w:p>
  </w:footnote>
  <w:footnote w:id="60">
    <w:p w14:paraId="5BD3F60D" w14:textId="77777777" w:rsidR="00BF6668" w:rsidRPr="00130E3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130E38">
        <w:t>Stol 1995: 130</w:t>
      </w:r>
    </w:p>
  </w:footnote>
  <w:footnote w:id="61">
    <w:p w14:paraId="1BB4282F" w14:textId="77777777" w:rsidR="00BF6668" w:rsidRPr="00130E3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130E38">
        <w:t>Stol 1995: 131</w:t>
      </w:r>
    </w:p>
  </w:footnote>
  <w:footnote w:id="62">
    <w:p w14:paraId="697664D2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B968E2">
        <w:t>Stol 1995: 131</w:t>
      </w:r>
    </w:p>
  </w:footnote>
  <w:footnote w:id="63">
    <w:p w14:paraId="1622064C" w14:textId="77777777" w:rsidR="002C0B59" w:rsidRPr="002C0B59" w:rsidRDefault="002C0B59" w:rsidP="002C0B59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2C0B59">
        <w:t>Stol 1995: 127</w:t>
      </w:r>
    </w:p>
  </w:footnote>
  <w:footnote w:id="64">
    <w:p w14:paraId="325845D6" w14:textId="77777777" w:rsidR="002C0B59" w:rsidRPr="00130E38" w:rsidRDefault="002C0B59" w:rsidP="002C0B59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130E38">
        <w:t>Stol 1995: 127</w:t>
      </w:r>
    </w:p>
  </w:footnote>
  <w:footnote w:id="65">
    <w:p w14:paraId="163D63C2" w14:textId="132B9CDA" w:rsidR="00BF6668" w:rsidRPr="00321EB1" w:rsidRDefault="00BF6668" w:rsidP="00B968E2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5F658E">
        <w:t xml:space="preserve">Hammurabi, law </w:t>
      </w:r>
      <w:r w:rsidR="005F658E" w:rsidRPr="005F658E">
        <w:t>142</w:t>
      </w:r>
    </w:p>
  </w:footnote>
  <w:footnote w:id="66">
    <w:p w14:paraId="4C28D1A2" w14:textId="410162EC" w:rsidR="00BF6668" w:rsidRPr="00321EB1" w:rsidRDefault="00BF6668" w:rsidP="00B968E2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5F658E">
        <w:t xml:space="preserve">Hammurabi, law </w:t>
      </w:r>
      <w:r w:rsidR="005F658E" w:rsidRPr="005F658E">
        <w:t>145</w:t>
      </w:r>
    </w:p>
  </w:footnote>
  <w:footnote w:id="67">
    <w:p w14:paraId="54FF0A9E" w14:textId="2AB2BBC3" w:rsidR="00BF6668" w:rsidRPr="00321EB1" w:rsidRDefault="00BF6668" w:rsidP="00B968E2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561A92">
        <w:t xml:space="preserve">Hammurabi, law </w:t>
      </w:r>
      <w:r w:rsidR="00561A92" w:rsidRPr="00561A92">
        <w:t>147</w:t>
      </w:r>
    </w:p>
  </w:footnote>
  <w:footnote w:id="68">
    <w:p w14:paraId="57473646" w14:textId="77777777" w:rsidR="00BF6668" w:rsidRPr="00657F6C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57F6C">
        <w:t>Stol 1995: 129</w:t>
      </w:r>
    </w:p>
  </w:footnote>
  <w:footnote w:id="69">
    <w:p w14:paraId="1A498846" w14:textId="7B962861" w:rsidR="00731F02" w:rsidRPr="002B161C" w:rsidRDefault="00731F0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561A92">
        <w:t xml:space="preserve">Hammurabi, law </w:t>
      </w:r>
      <w:r w:rsidR="00561A92" w:rsidRPr="002B161C">
        <w:t>145</w:t>
      </w:r>
    </w:p>
  </w:footnote>
  <w:footnote w:id="70">
    <w:p w14:paraId="61FA0454" w14:textId="77777777" w:rsidR="00BF6668" w:rsidRPr="00321EB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21EB1">
        <w:t>Stol 1995: 125</w:t>
      </w:r>
    </w:p>
  </w:footnote>
  <w:footnote w:id="71">
    <w:p w14:paraId="4F84EFBE" w14:textId="77777777" w:rsidR="00BF6668" w:rsidRPr="00321EB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21EB1">
        <w:t>Stol 1995: 125</w:t>
      </w:r>
    </w:p>
  </w:footnote>
  <w:footnote w:id="72">
    <w:p w14:paraId="39EE3513" w14:textId="77777777" w:rsidR="00BF6668" w:rsidRPr="00321EB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21EB1">
        <w:t>Stol 1995: 126</w:t>
      </w:r>
    </w:p>
  </w:footnote>
  <w:footnote w:id="73">
    <w:p w14:paraId="0276E6B5" w14:textId="77777777" w:rsidR="00BF6668" w:rsidRPr="00657F6C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657F6C">
        <w:t>Stol 1995: 129</w:t>
      </w:r>
    </w:p>
  </w:footnote>
  <w:footnote w:id="74">
    <w:p w14:paraId="34133A15" w14:textId="5F0A08A0" w:rsidR="00BF6668" w:rsidRPr="004D70F7" w:rsidRDefault="00BF6668" w:rsidP="00B968E2">
      <w:pPr>
        <w:pStyle w:val="Funotentext"/>
        <w:rPr>
          <w:color w:val="C00000"/>
        </w:rPr>
      </w:pPr>
      <w:r>
        <w:rPr>
          <w:rStyle w:val="Funotenzeichen"/>
        </w:rPr>
        <w:footnoteRef/>
      </w:r>
      <w:r>
        <w:t xml:space="preserve"> </w:t>
      </w:r>
      <w:r w:rsidR="006152B6">
        <w:t xml:space="preserve">Hammurabi, law </w:t>
      </w:r>
      <w:r w:rsidR="006152B6" w:rsidRPr="006152B6">
        <w:t>149</w:t>
      </w:r>
    </w:p>
  </w:footnote>
  <w:footnote w:id="75">
    <w:p w14:paraId="724EA64C" w14:textId="6E64BC1F" w:rsidR="009132CE" w:rsidRPr="009132CE" w:rsidRDefault="009132CE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6152B6">
        <w:t>Hammurabi, law 150</w:t>
      </w:r>
    </w:p>
  </w:footnote>
  <w:footnote w:id="76">
    <w:p w14:paraId="5B142A1D" w14:textId="77777777" w:rsidR="00BF6668" w:rsidRPr="00321EB1" w:rsidRDefault="00BF6668" w:rsidP="00B968E2">
      <w:pPr>
        <w:pStyle w:val="Funotentext"/>
      </w:pPr>
      <w:r>
        <w:rPr>
          <w:rStyle w:val="Funotenzeichen"/>
        </w:rPr>
        <w:footnoteRef/>
      </w:r>
      <w:r w:rsidRPr="00321EB1">
        <w:t xml:space="preserve"> Stol 1995: 125</w:t>
      </w:r>
    </w:p>
  </w:footnote>
  <w:footnote w:id="77">
    <w:p w14:paraId="09CBF06D" w14:textId="5EBE6D74" w:rsidR="00C242D8" w:rsidRPr="006152B6" w:rsidRDefault="00C242D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6152B6">
        <w:t>Hammurabi, laws 151-152</w:t>
      </w:r>
    </w:p>
  </w:footnote>
  <w:footnote w:id="78">
    <w:p w14:paraId="793CB88D" w14:textId="77777777" w:rsidR="00BF6668" w:rsidRPr="0039246B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39246B">
        <w:t>Stol 1995: 133</w:t>
      </w:r>
    </w:p>
  </w:footnote>
  <w:footnote w:id="79">
    <w:p w14:paraId="2980ECD7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 w:rsidRPr="00B968E2">
        <w:t xml:space="preserve"> Van De Mieroop 1999: 87</w:t>
      </w:r>
    </w:p>
  </w:footnote>
  <w:footnote w:id="80">
    <w:p w14:paraId="520AB212" w14:textId="77777777" w:rsidR="00BF6668" w:rsidRPr="00B968E2" w:rsidRDefault="00BF6668" w:rsidP="00B968E2">
      <w:pPr>
        <w:pStyle w:val="Funotentext"/>
      </w:pPr>
      <w:r>
        <w:rPr>
          <w:rStyle w:val="Funotenzeichen"/>
        </w:rPr>
        <w:footnoteRef/>
      </w:r>
      <w:r w:rsidRPr="00B968E2">
        <w:t xml:space="preserve"> Slanski 2013: 103 </w:t>
      </w:r>
    </w:p>
  </w:footnote>
  <w:footnote w:id="81">
    <w:p w14:paraId="7F5E3EB1" w14:textId="77777777" w:rsidR="00BF6668" w:rsidRPr="0055775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Stol 1995: 125</w:t>
      </w:r>
    </w:p>
  </w:footnote>
  <w:footnote w:id="82">
    <w:p w14:paraId="5D980A8E" w14:textId="77777777" w:rsidR="00BF6668" w:rsidRPr="00F40C9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40C91">
        <w:t>Van De Mieroop 1999: 140</w:t>
      </w:r>
    </w:p>
  </w:footnote>
  <w:footnote w:id="83">
    <w:p w14:paraId="2CD9C5F9" w14:textId="77777777" w:rsidR="00BF6668" w:rsidRPr="00F40C9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40C91">
        <w:t>Van De Mieroop 1999: 140</w:t>
      </w:r>
    </w:p>
  </w:footnote>
  <w:footnote w:id="84">
    <w:p w14:paraId="398CB9E0" w14:textId="77777777" w:rsidR="00BF6668" w:rsidRPr="00F40C9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Larsen 2015: xi</w:t>
      </w:r>
    </w:p>
  </w:footnote>
  <w:footnote w:id="85">
    <w:p w14:paraId="66C386BD" w14:textId="77777777" w:rsidR="00BF6668" w:rsidRPr="00F40C91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40C91">
        <w:t>Larsen 2015: 202 and 208</w:t>
      </w:r>
    </w:p>
  </w:footnote>
  <w:footnote w:id="86">
    <w:p w14:paraId="7614DB9F" w14:textId="77777777" w:rsidR="00BF6668" w:rsidRPr="0055775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Van De Mieroop 1999: 155</w:t>
      </w:r>
    </w:p>
  </w:footnote>
  <w:footnote w:id="87">
    <w:p w14:paraId="193A503C" w14:textId="77777777" w:rsidR="00BF6668" w:rsidRPr="0055775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Van De Mieroop 1999: 155</w:t>
      </w:r>
    </w:p>
  </w:footnote>
  <w:footnote w:id="88">
    <w:p w14:paraId="644F201C" w14:textId="77777777" w:rsidR="00D57C1D" w:rsidRPr="00557758" w:rsidRDefault="00D57C1D" w:rsidP="00D57C1D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Van De mieroop 1999: 156</w:t>
      </w:r>
    </w:p>
  </w:footnote>
  <w:footnote w:id="89">
    <w:p w14:paraId="6D24CFCE" w14:textId="77777777" w:rsidR="00BF6668" w:rsidRPr="00FC473E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C473E">
        <w:t>Van De Mieroop 1999: 156</w:t>
      </w:r>
    </w:p>
  </w:footnote>
  <w:footnote w:id="90">
    <w:p w14:paraId="4CF7399F" w14:textId="77777777" w:rsidR="00BF6668" w:rsidRPr="0055775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Van De Mieroop 1999: 156</w:t>
      </w:r>
    </w:p>
  </w:footnote>
  <w:footnote w:id="91">
    <w:p w14:paraId="436A794E" w14:textId="77777777" w:rsidR="00BF6668" w:rsidRPr="00FC473E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C473E">
        <w:t>Van De Mieroop 1999: 159</w:t>
      </w:r>
    </w:p>
  </w:footnote>
  <w:footnote w:id="92">
    <w:p w14:paraId="66BC786E" w14:textId="77777777" w:rsidR="00BF6668" w:rsidRPr="00FC473E" w:rsidRDefault="00BF6668" w:rsidP="00FD6A21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FC473E">
        <w:t>Van De Mieroop 1999: 154</w:t>
      </w:r>
    </w:p>
  </w:footnote>
  <w:footnote w:id="93">
    <w:p w14:paraId="6764FEA8" w14:textId="77777777" w:rsidR="00BF6668" w:rsidRPr="00557758" w:rsidRDefault="00BF6668" w:rsidP="00B968E2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557758">
        <w:t>Van De Mieroop 1999: 156</w:t>
      </w:r>
    </w:p>
  </w:footnote>
  <w:footnote w:id="94">
    <w:p w14:paraId="288A660C" w14:textId="77777777" w:rsidR="00BF6668" w:rsidRPr="00477381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77381">
        <w:t>Van De Mieroop 1999: 159</w:t>
      </w:r>
    </w:p>
  </w:footnote>
  <w:footnote w:id="95">
    <w:p w14:paraId="6079AD3A" w14:textId="77777777" w:rsidR="00BF6668" w:rsidRPr="00477381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77381">
        <w:t>Van De Mieroop 1999: 159</w:t>
      </w:r>
    </w:p>
  </w:footnote>
  <w:footnote w:id="96">
    <w:p w14:paraId="36F7863A" w14:textId="77777777" w:rsidR="00BF6668" w:rsidRPr="00FC473E" w:rsidRDefault="00BF6668" w:rsidP="00E566C5">
      <w:pPr>
        <w:pStyle w:val="Funotentext"/>
      </w:pPr>
      <w:r>
        <w:rPr>
          <w:rStyle w:val="Funotenzeichen"/>
        </w:rPr>
        <w:footnoteRef/>
      </w:r>
      <w:r>
        <w:t xml:space="preserve"> Van De Mieroop 1999: 159</w:t>
      </w:r>
    </w:p>
  </w:footnote>
  <w:footnote w:id="97">
    <w:p w14:paraId="50E53816" w14:textId="77777777" w:rsidR="00BF6668" w:rsidRPr="00477381" w:rsidRDefault="00BF6668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77381">
        <w:t>Van De Mieroop 1999: 160</w:t>
      </w:r>
    </w:p>
  </w:footnote>
  <w:footnote w:id="98">
    <w:p w14:paraId="06A88D0F" w14:textId="4D5A96C7" w:rsidR="00477381" w:rsidRPr="00477381" w:rsidRDefault="00477381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477381">
        <w:t>Bahrani 2001: 26</w:t>
      </w:r>
    </w:p>
  </w:footnote>
  <w:footnote w:id="99">
    <w:p w14:paraId="2DA9D7B7" w14:textId="15EBE210" w:rsidR="00477381" w:rsidRPr="002B161C" w:rsidRDefault="00477381">
      <w:pPr>
        <w:pStyle w:val="Funotentext"/>
      </w:pPr>
      <w:r>
        <w:rPr>
          <w:rStyle w:val="Funotenzeichen"/>
        </w:rPr>
        <w:footnoteRef/>
      </w:r>
      <w:r w:rsidRPr="002B161C">
        <w:t xml:space="preserve"> Van De Mieroop 1999: 138</w:t>
      </w:r>
    </w:p>
  </w:footnote>
  <w:footnote w:id="100">
    <w:p w14:paraId="06CF90A1" w14:textId="2FDD1B8D" w:rsidR="005900DE" w:rsidRPr="002B161C" w:rsidRDefault="005900DE">
      <w:pPr>
        <w:pStyle w:val="Funotentext"/>
      </w:pPr>
      <w:r>
        <w:rPr>
          <w:rStyle w:val="Funotenzeichen"/>
        </w:rPr>
        <w:footnoteRef/>
      </w:r>
      <w:r w:rsidRPr="002B161C">
        <w:t xml:space="preserve"> Bahrani 2011: 179</w:t>
      </w:r>
    </w:p>
  </w:footnote>
  <w:footnote w:id="101">
    <w:p w14:paraId="50DE6B84" w14:textId="0D6E79D5" w:rsidR="005900DE" w:rsidRPr="005900DE" w:rsidRDefault="005900DE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F9038F">
        <w:rPr>
          <w:lang w:val="de-DE"/>
        </w:rPr>
        <w:t xml:space="preserve"> </w:t>
      </w:r>
      <w:r>
        <w:rPr>
          <w:lang w:val="de-DE"/>
        </w:rPr>
        <w:t>Van De Mieroop 1999: 152</w:t>
      </w:r>
    </w:p>
  </w:footnote>
  <w:footnote w:id="102">
    <w:p w14:paraId="7604EDDA" w14:textId="77777777" w:rsidR="005900DE" w:rsidRPr="006433A4" w:rsidRDefault="005900DE" w:rsidP="005900DE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6433A4">
        <w:rPr>
          <w:lang w:val="de-DE"/>
        </w:rPr>
        <w:t xml:space="preserve"> </w:t>
      </w:r>
      <w:r>
        <w:rPr>
          <w:lang w:val="de-DE"/>
        </w:rPr>
        <w:t>Van De Mieroop 1999: 152</w:t>
      </w:r>
    </w:p>
  </w:footnote>
  <w:footnote w:id="103">
    <w:p w14:paraId="0CEA6717" w14:textId="7D148D40" w:rsidR="005900DE" w:rsidRPr="005900DE" w:rsidRDefault="005900DE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F9038F">
        <w:rPr>
          <w:lang w:val="de-DE"/>
        </w:rPr>
        <w:t xml:space="preserve"> </w:t>
      </w:r>
      <w:r>
        <w:rPr>
          <w:lang w:val="de-DE"/>
        </w:rPr>
        <w:t>Van De Mieroop 1999: 152</w:t>
      </w:r>
    </w:p>
  </w:footnote>
  <w:footnote w:id="104">
    <w:p w14:paraId="2F998919" w14:textId="77777777" w:rsidR="00F9038F" w:rsidRPr="00F9038F" w:rsidRDefault="00F9038F" w:rsidP="00F9038F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F9038F">
        <w:rPr>
          <w:lang w:val="de-DE"/>
        </w:rPr>
        <w:t xml:space="preserve"> Bahrani 2001:8</w:t>
      </w:r>
    </w:p>
  </w:footnote>
  <w:footnote w:id="105">
    <w:p w14:paraId="2EE0EDEC" w14:textId="77777777" w:rsidR="00BF6668" w:rsidRPr="00F9038F" w:rsidRDefault="00BF6668" w:rsidP="00BC5DFA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F9038F">
        <w:rPr>
          <w:lang w:val="de-DE"/>
        </w:rPr>
        <w:t xml:space="preserve"> Bahrani 2001: 9</w:t>
      </w:r>
    </w:p>
  </w:footnote>
  <w:footnote w:id="106">
    <w:p w14:paraId="061442DE" w14:textId="77777777" w:rsidR="00BF6668" w:rsidRPr="002B161C" w:rsidRDefault="00BF6668" w:rsidP="00BC5DFA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Van De Mieroop 1999: 145</w:t>
      </w:r>
    </w:p>
  </w:footnote>
  <w:footnote w:id="107">
    <w:p w14:paraId="5255E0BD" w14:textId="77777777" w:rsidR="00BF6668" w:rsidRPr="002B161C" w:rsidRDefault="00BF6668" w:rsidP="00BC5DFA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Van De Mieroop 1999: 144</w:t>
      </w:r>
    </w:p>
  </w:footnote>
  <w:footnote w:id="108">
    <w:p w14:paraId="439BA54D" w14:textId="77777777" w:rsidR="00BF6668" w:rsidRPr="002B161C" w:rsidRDefault="00BF6668" w:rsidP="00BC5DFA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Van De Mieroop 1999: 145 </w:t>
      </w:r>
    </w:p>
  </w:footnote>
  <w:footnote w:id="109">
    <w:p w14:paraId="3F26AD37" w14:textId="77777777" w:rsidR="00BF6668" w:rsidRPr="007A3915" w:rsidRDefault="00BF6668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</w:t>
      </w:r>
      <w:r>
        <w:rPr>
          <w:lang w:val="de-DE"/>
        </w:rPr>
        <w:t>Bahrani 2001: 20</w:t>
      </w:r>
    </w:p>
  </w:footnote>
  <w:footnote w:id="110">
    <w:p w14:paraId="49CFFA56" w14:textId="77777777" w:rsidR="00BF6668" w:rsidRPr="007A3915" w:rsidRDefault="00BF6668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</w:t>
      </w:r>
      <w:r>
        <w:rPr>
          <w:lang w:val="de-DE"/>
        </w:rPr>
        <w:t>Bahrani 2001: 22</w:t>
      </w:r>
    </w:p>
  </w:footnote>
  <w:footnote w:id="111">
    <w:p w14:paraId="4AC38989" w14:textId="77777777" w:rsidR="00BF6668" w:rsidRPr="007A3915" w:rsidRDefault="00BF6668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</w:t>
      </w:r>
      <w:r>
        <w:rPr>
          <w:lang w:val="de-DE"/>
        </w:rPr>
        <w:t>Bahrani 2001: 21</w:t>
      </w:r>
    </w:p>
  </w:footnote>
  <w:footnote w:id="112">
    <w:p w14:paraId="58EE3DCF" w14:textId="6E4286E1" w:rsidR="00966805" w:rsidRPr="00966805" w:rsidRDefault="00966805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Van De Mieroop 1999: 155</w:t>
      </w:r>
    </w:p>
  </w:footnote>
  <w:footnote w:id="113">
    <w:p w14:paraId="123C8F90" w14:textId="6DF85F29" w:rsidR="00966805" w:rsidRPr="00966805" w:rsidRDefault="00966805">
      <w:pPr>
        <w:pStyle w:val="Funotentext"/>
        <w:rPr>
          <w:lang w:val="de-DE"/>
        </w:rPr>
      </w:pPr>
      <w:r>
        <w:rPr>
          <w:rStyle w:val="Funotenzeichen"/>
        </w:rPr>
        <w:footnoteRef/>
      </w:r>
      <w:r w:rsidRPr="002B161C">
        <w:rPr>
          <w:lang w:val="de-DE"/>
        </w:rPr>
        <w:t xml:space="preserve"> Van De Mieroop 1999: 155</w:t>
      </w:r>
    </w:p>
  </w:footnote>
  <w:footnote w:id="114">
    <w:p w14:paraId="36D0E3BD" w14:textId="3C8ECF4B" w:rsidR="00966805" w:rsidRPr="002B161C" w:rsidRDefault="00966805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2B161C">
        <w:t>Stol 1995: 131</w:t>
      </w:r>
    </w:p>
  </w:footnote>
  <w:footnote w:id="115">
    <w:p w14:paraId="6DF4890F" w14:textId="33D4D046" w:rsidR="00966805" w:rsidRPr="002B161C" w:rsidRDefault="00966805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2B161C">
        <w:t>Hammurabi, laws 137-152</w:t>
      </w:r>
    </w:p>
  </w:footnote>
  <w:footnote w:id="116">
    <w:p w14:paraId="57543701" w14:textId="5C4C17A0" w:rsidR="00966805" w:rsidRPr="002B161C" w:rsidRDefault="00966805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="000C247B">
        <w:t xml:space="preserve">Hammurabi, law </w:t>
      </w:r>
      <w:r w:rsidR="000C247B" w:rsidRPr="00561A92">
        <w:t>147</w:t>
      </w:r>
    </w:p>
  </w:footnote>
  <w:footnote w:id="117">
    <w:p w14:paraId="1F3E4BB9" w14:textId="5510FACB" w:rsidR="00D8019E" w:rsidRPr="002B161C" w:rsidRDefault="00D8019E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2B161C">
        <w:t>Stol 1995: 133 and 125</w:t>
      </w:r>
    </w:p>
  </w:footnote>
  <w:footnote w:id="118">
    <w:p w14:paraId="49586900" w14:textId="07F2B0DB" w:rsidR="00E35A9B" w:rsidRPr="002B161C" w:rsidRDefault="00E35A9B">
      <w:pPr>
        <w:pStyle w:val="Funotentext"/>
      </w:pPr>
      <w:r>
        <w:rPr>
          <w:rStyle w:val="Funotenzeichen"/>
        </w:rPr>
        <w:footnoteRef/>
      </w:r>
      <w:r>
        <w:t xml:space="preserve"> </w:t>
      </w:r>
      <w:r w:rsidRPr="002B161C">
        <w:t>Van De Mieroop 1999: 138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1085499352"/>
      <w:docPartObj>
        <w:docPartGallery w:val="Page Numbers (Top of Page)"/>
        <w:docPartUnique/>
      </w:docPartObj>
    </w:sdtPr>
    <w:sdtEndPr/>
    <w:sdtContent>
      <w:p w14:paraId="7AA77311" w14:textId="766E3EA3" w:rsidR="00D14407" w:rsidRDefault="00D14407">
        <w:pPr>
          <w:pStyle w:val="Kopfzeile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F95067" w:rsidRPr="00F95067">
          <w:rPr>
            <w:noProof/>
            <w:lang w:val="de-DE"/>
          </w:rPr>
          <w:t>8</w:t>
        </w:r>
        <w:r>
          <w:fldChar w:fldCharType="end"/>
        </w:r>
      </w:p>
    </w:sdtContent>
  </w:sdt>
  <w:p w14:paraId="263867A9" w14:textId="77777777" w:rsidR="00D14407" w:rsidRDefault="00D14407">
    <w:pPr>
      <w:pStyle w:val="Kopfzeile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56070AFD"/>
    <w:multiLevelType w:val="hybridMultilevel"/>
    <w:tmpl w:val="75A22F28"/>
    <w:lvl w:ilvl="0" w:tplc="0407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7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7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7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7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7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7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7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7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68E2"/>
    <w:rsid w:val="00003F5E"/>
    <w:rsid w:val="00060151"/>
    <w:rsid w:val="0006587F"/>
    <w:rsid w:val="000666BF"/>
    <w:rsid w:val="00067118"/>
    <w:rsid w:val="00074222"/>
    <w:rsid w:val="0008006E"/>
    <w:rsid w:val="000A0661"/>
    <w:rsid w:val="000A28E8"/>
    <w:rsid w:val="000B616C"/>
    <w:rsid w:val="000C247B"/>
    <w:rsid w:val="0013240B"/>
    <w:rsid w:val="00144DAE"/>
    <w:rsid w:val="001703A4"/>
    <w:rsid w:val="0017719B"/>
    <w:rsid w:val="00191736"/>
    <w:rsid w:val="001C6343"/>
    <w:rsid w:val="001F316F"/>
    <w:rsid w:val="00215FFF"/>
    <w:rsid w:val="00221705"/>
    <w:rsid w:val="00232351"/>
    <w:rsid w:val="00257F7D"/>
    <w:rsid w:val="002A7E0C"/>
    <w:rsid w:val="002B161C"/>
    <w:rsid w:val="002C0B59"/>
    <w:rsid w:val="002C1F5D"/>
    <w:rsid w:val="002C41CA"/>
    <w:rsid w:val="002F77A6"/>
    <w:rsid w:val="00322D89"/>
    <w:rsid w:val="0033446D"/>
    <w:rsid w:val="003608CE"/>
    <w:rsid w:val="003809CA"/>
    <w:rsid w:val="003932AC"/>
    <w:rsid w:val="003A2019"/>
    <w:rsid w:val="003C480B"/>
    <w:rsid w:val="003E60DA"/>
    <w:rsid w:val="00422603"/>
    <w:rsid w:val="004237DF"/>
    <w:rsid w:val="00424524"/>
    <w:rsid w:val="00435131"/>
    <w:rsid w:val="00442716"/>
    <w:rsid w:val="0045123D"/>
    <w:rsid w:val="00451511"/>
    <w:rsid w:val="0047038E"/>
    <w:rsid w:val="00477381"/>
    <w:rsid w:val="004A2F10"/>
    <w:rsid w:val="004D03F6"/>
    <w:rsid w:val="004D785C"/>
    <w:rsid w:val="00502EAD"/>
    <w:rsid w:val="00561A92"/>
    <w:rsid w:val="005900DE"/>
    <w:rsid w:val="005B143A"/>
    <w:rsid w:val="005E50E7"/>
    <w:rsid w:val="005F658E"/>
    <w:rsid w:val="006152B6"/>
    <w:rsid w:val="00656215"/>
    <w:rsid w:val="00664BDE"/>
    <w:rsid w:val="006A6D23"/>
    <w:rsid w:val="006B6A9D"/>
    <w:rsid w:val="006D450A"/>
    <w:rsid w:val="00701E10"/>
    <w:rsid w:val="00704ACC"/>
    <w:rsid w:val="00724375"/>
    <w:rsid w:val="00725300"/>
    <w:rsid w:val="00731F02"/>
    <w:rsid w:val="00732CD7"/>
    <w:rsid w:val="007672E5"/>
    <w:rsid w:val="00772FD0"/>
    <w:rsid w:val="007741E6"/>
    <w:rsid w:val="00792BB1"/>
    <w:rsid w:val="007A3915"/>
    <w:rsid w:val="007A61AA"/>
    <w:rsid w:val="007A755B"/>
    <w:rsid w:val="007F3659"/>
    <w:rsid w:val="0082062C"/>
    <w:rsid w:val="00824A6B"/>
    <w:rsid w:val="008267F3"/>
    <w:rsid w:val="0084399F"/>
    <w:rsid w:val="008458CD"/>
    <w:rsid w:val="00862624"/>
    <w:rsid w:val="00892920"/>
    <w:rsid w:val="008A4255"/>
    <w:rsid w:val="00912861"/>
    <w:rsid w:val="00912BEE"/>
    <w:rsid w:val="009132CE"/>
    <w:rsid w:val="00921507"/>
    <w:rsid w:val="00947A2B"/>
    <w:rsid w:val="00966805"/>
    <w:rsid w:val="009846A3"/>
    <w:rsid w:val="009A27ED"/>
    <w:rsid w:val="009D5750"/>
    <w:rsid w:val="009F133D"/>
    <w:rsid w:val="00A46B89"/>
    <w:rsid w:val="00A55383"/>
    <w:rsid w:val="00A713BC"/>
    <w:rsid w:val="00A85990"/>
    <w:rsid w:val="00A94556"/>
    <w:rsid w:val="00AB482A"/>
    <w:rsid w:val="00AD68D7"/>
    <w:rsid w:val="00AF655C"/>
    <w:rsid w:val="00B07753"/>
    <w:rsid w:val="00B21185"/>
    <w:rsid w:val="00B25CE4"/>
    <w:rsid w:val="00B4118E"/>
    <w:rsid w:val="00B43705"/>
    <w:rsid w:val="00B73036"/>
    <w:rsid w:val="00B8138C"/>
    <w:rsid w:val="00B85101"/>
    <w:rsid w:val="00B968E2"/>
    <w:rsid w:val="00B9786C"/>
    <w:rsid w:val="00BB59AB"/>
    <w:rsid w:val="00BC5DFA"/>
    <w:rsid w:val="00BF6668"/>
    <w:rsid w:val="00C1106B"/>
    <w:rsid w:val="00C2407E"/>
    <w:rsid w:val="00C242D8"/>
    <w:rsid w:val="00C51839"/>
    <w:rsid w:val="00CF5136"/>
    <w:rsid w:val="00D001E9"/>
    <w:rsid w:val="00D14407"/>
    <w:rsid w:val="00D37F03"/>
    <w:rsid w:val="00D431A1"/>
    <w:rsid w:val="00D4568F"/>
    <w:rsid w:val="00D57C1D"/>
    <w:rsid w:val="00D72AAA"/>
    <w:rsid w:val="00D8019E"/>
    <w:rsid w:val="00DC0292"/>
    <w:rsid w:val="00DE6146"/>
    <w:rsid w:val="00E11F5E"/>
    <w:rsid w:val="00E16003"/>
    <w:rsid w:val="00E1723B"/>
    <w:rsid w:val="00E35A9B"/>
    <w:rsid w:val="00E566C5"/>
    <w:rsid w:val="00E71A00"/>
    <w:rsid w:val="00E76726"/>
    <w:rsid w:val="00EA0023"/>
    <w:rsid w:val="00EA0AA1"/>
    <w:rsid w:val="00EA4773"/>
    <w:rsid w:val="00EA5207"/>
    <w:rsid w:val="00EB5299"/>
    <w:rsid w:val="00EC14C3"/>
    <w:rsid w:val="00ED1219"/>
    <w:rsid w:val="00EE72FB"/>
    <w:rsid w:val="00F0256C"/>
    <w:rsid w:val="00F05B5A"/>
    <w:rsid w:val="00F12745"/>
    <w:rsid w:val="00F33BEC"/>
    <w:rsid w:val="00F548F0"/>
    <w:rsid w:val="00F6025E"/>
    <w:rsid w:val="00F8437C"/>
    <w:rsid w:val="00F9038F"/>
    <w:rsid w:val="00F95067"/>
    <w:rsid w:val="00FC473E"/>
    <w:rsid w:val="00FD6A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e-DE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  <w14:docId w14:val="74CA4470"/>
  <w15:chartTrackingRefBased/>
  <w15:docId w15:val="{B9A10620-D50A-4CEF-9076-2637CD8A1F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de-DE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Standard">
    <w:name w:val="Normal"/>
    <w:qFormat/>
    <w:rsid w:val="00B968E2"/>
    <w:rPr>
      <w:lang w:val="en-GB"/>
    </w:rPr>
  </w:style>
  <w:style w:type="character" w:default="1" w:styleId="Absatz-Standardschriftart">
    <w:name w:val="Default Paragraph Font"/>
    <w:uiPriority w:val="1"/>
    <w:semiHidden/>
    <w:unhideWhenUsed/>
  </w:style>
  <w:style w:type="table" w:default="1" w:styleId="NormaleTabel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KeineListe">
    <w:name w:val="No List"/>
    <w:uiPriority w:val="99"/>
    <w:semiHidden/>
    <w:unhideWhenUsed/>
  </w:style>
  <w:style w:type="paragraph" w:styleId="Funotentext">
    <w:name w:val="footnote text"/>
    <w:basedOn w:val="Standard"/>
    <w:link w:val="FunotentextZchn"/>
    <w:uiPriority w:val="99"/>
    <w:semiHidden/>
    <w:unhideWhenUsed/>
    <w:rsid w:val="00B968E2"/>
    <w:pPr>
      <w:spacing w:after="0" w:line="240" w:lineRule="auto"/>
    </w:pPr>
    <w:rPr>
      <w:sz w:val="20"/>
      <w:szCs w:val="20"/>
    </w:rPr>
  </w:style>
  <w:style w:type="character" w:customStyle="1" w:styleId="FunotentextZchn">
    <w:name w:val="Fußnotentext Zchn"/>
    <w:basedOn w:val="Absatz-Standardschriftart"/>
    <w:link w:val="Funotentext"/>
    <w:uiPriority w:val="99"/>
    <w:semiHidden/>
    <w:rsid w:val="00B968E2"/>
    <w:rPr>
      <w:sz w:val="20"/>
      <w:szCs w:val="20"/>
      <w:lang w:val="en-GB"/>
    </w:rPr>
  </w:style>
  <w:style w:type="character" w:styleId="Funotenzeichen">
    <w:name w:val="footnote reference"/>
    <w:basedOn w:val="Absatz-Standardschriftart"/>
    <w:uiPriority w:val="99"/>
    <w:semiHidden/>
    <w:unhideWhenUsed/>
    <w:rsid w:val="00B968E2"/>
    <w:rPr>
      <w:vertAlign w:val="superscript"/>
    </w:rPr>
  </w:style>
  <w:style w:type="paragraph" w:styleId="Listenabsatz">
    <w:name w:val="List Paragraph"/>
    <w:basedOn w:val="Standard"/>
    <w:uiPriority w:val="34"/>
    <w:qFormat/>
    <w:rsid w:val="00FD6A21"/>
    <w:pPr>
      <w:ind w:left="720"/>
      <w:contextualSpacing/>
    </w:pPr>
  </w:style>
  <w:style w:type="character" w:styleId="Kommentarzeichen">
    <w:name w:val="annotation reference"/>
    <w:basedOn w:val="Absatz-Standardschriftart"/>
    <w:uiPriority w:val="99"/>
    <w:semiHidden/>
    <w:unhideWhenUsed/>
    <w:rsid w:val="00F6025E"/>
    <w:rPr>
      <w:sz w:val="16"/>
      <w:szCs w:val="16"/>
    </w:rPr>
  </w:style>
  <w:style w:type="paragraph" w:styleId="Kommentartext">
    <w:name w:val="annotation text"/>
    <w:basedOn w:val="Standard"/>
    <w:link w:val="KommentartextZchn"/>
    <w:uiPriority w:val="99"/>
    <w:semiHidden/>
    <w:unhideWhenUsed/>
    <w:rsid w:val="00F6025E"/>
    <w:pPr>
      <w:spacing w:line="240" w:lineRule="auto"/>
    </w:pPr>
    <w:rPr>
      <w:sz w:val="20"/>
      <w:szCs w:val="20"/>
    </w:rPr>
  </w:style>
  <w:style w:type="character" w:customStyle="1" w:styleId="KommentartextZchn">
    <w:name w:val="Kommentartext Zchn"/>
    <w:basedOn w:val="Absatz-Standardschriftart"/>
    <w:link w:val="Kommentartext"/>
    <w:uiPriority w:val="99"/>
    <w:semiHidden/>
    <w:rsid w:val="00F6025E"/>
    <w:rPr>
      <w:sz w:val="20"/>
      <w:szCs w:val="20"/>
      <w:lang w:val="en-GB"/>
    </w:rPr>
  </w:style>
  <w:style w:type="paragraph" w:styleId="Kommentarthema">
    <w:name w:val="annotation subject"/>
    <w:basedOn w:val="Kommentartext"/>
    <w:next w:val="Kommentartext"/>
    <w:link w:val="KommentarthemaZchn"/>
    <w:uiPriority w:val="99"/>
    <w:semiHidden/>
    <w:unhideWhenUsed/>
    <w:rsid w:val="00F6025E"/>
    <w:rPr>
      <w:b/>
      <w:bCs/>
    </w:rPr>
  </w:style>
  <w:style w:type="character" w:customStyle="1" w:styleId="KommentarthemaZchn">
    <w:name w:val="Kommentarthema Zchn"/>
    <w:basedOn w:val="KommentartextZchn"/>
    <w:link w:val="Kommentarthema"/>
    <w:uiPriority w:val="99"/>
    <w:semiHidden/>
    <w:rsid w:val="00F6025E"/>
    <w:rPr>
      <w:b/>
      <w:bCs/>
      <w:sz w:val="20"/>
      <w:szCs w:val="20"/>
      <w:lang w:val="en-GB"/>
    </w:rPr>
  </w:style>
  <w:style w:type="paragraph" w:styleId="Sprechblasentext">
    <w:name w:val="Balloon Text"/>
    <w:basedOn w:val="Standard"/>
    <w:link w:val="SprechblasentextZchn"/>
    <w:uiPriority w:val="99"/>
    <w:semiHidden/>
    <w:unhideWhenUsed/>
    <w:rsid w:val="00F6025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SprechblasentextZchn">
    <w:name w:val="Sprechblasentext Zchn"/>
    <w:basedOn w:val="Absatz-Standardschriftart"/>
    <w:link w:val="Sprechblasentext"/>
    <w:uiPriority w:val="99"/>
    <w:semiHidden/>
    <w:rsid w:val="00F6025E"/>
    <w:rPr>
      <w:rFonts w:ascii="Segoe UI" w:hAnsi="Segoe UI" w:cs="Segoe UI"/>
      <w:sz w:val="18"/>
      <w:szCs w:val="18"/>
      <w:lang w:val="en-GB"/>
    </w:rPr>
  </w:style>
  <w:style w:type="paragraph" w:styleId="Kopfzeile">
    <w:name w:val="header"/>
    <w:basedOn w:val="Standard"/>
    <w:link w:val="KopfzeileZchn"/>
    <w:uiPriority w:val="99"/>
    <w:unhideWhenUsed/>
    <w:rsid w:val="00D1440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KopfzeileZchn">
    <w:name w:val="Kopfzeile Zchn"/>
    <w:basedOn w:val="Absatz-Standardschriftart"/>
    <w:link w:val="Kopfzeile"/>
    <w:uiPriority w:val="99"/>
    <w:rsid w:val="00D14407"/>
    <w:rPr>
      <w:lang w:val="en-GB"/>
    </w:rPr>
  </w:style>
  <w:style w:type="paragraph" w:styleId="Fuzeile">
    <w:name w:val="footer"/>
    <w:basedOn w:val="Standard"/>
    <w:link w:val="FuzeileZchn"/>
    <w:uiPriority w:val="99"/>
    <w:unhideWhenUsed/>
    <w:rsid w:val="00D14407"/>
    <w:pPr>
      <w:tabs>
        <w:tab w:val="center" w:pos="4536"/>
        <w:tab w:val="right" w:pos="9072"/>
      </w:tabs>
      <w:spacing w:after="0" w:line="240" w:lineRule="auto"/>
    </w:pPr>
  </w:style>
  <w:style w:type="character" w:customStyle="1" w:styleId="FuzeileZchn">
    <w:name w:val="Fußzeile Zchn"/>
    <w:basedOn w:val="Absatz-Standardschriftart"/>
    <w:link w:val="Fuzeile"/>
    <w:uiPriority w:val="99"/>
    <w:rsid w:val="00D14407"/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CHICAGO.XSL" StyleName="Chicago" Version="15"/>
</file>

<file path=customXml/itemProps1.xml><?xml version="1.0" encoding="utf-8"?>
<ds:datastoreItem xmlns:ds="http://schemas.openxmlformats.org/officeDocument/2006/customXml" ds:itemID="{C9AD679A-4A72-4D5E-9AE1-B6506B0C44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2064</Words>
  <Characters>13005</Characters>
  <Application>Microsoft Office Word</Application>
  <DocSecurity>0</DocSecurity>
  <Lines>108</Lines>
  <Paragraphs>30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15039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Schokoladeneis Marzipan</dc:creator>
  <cp:keywords/>
  <dc:description/>
  <cp:lastModifiedBy>Schokoladeneis Marzipan</cp:lastModifiedBy>
  <cp:revision>113</cp:revision>
  <dcterms:created xsi:type="dcterms:W3CDTF">2017-11-14T10:33:00Z</dcterms:created>
  <dcterms:modified xsi:type="dcterms:W3CDTF">2017-11-14T23:38:00Z</dcterms:modified>
</cp:coreProperties>
</file>