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2155360" cy="1197422"/>
            <wp:effectExtent b="0" l="0" r="0" t="0"/>
            <wp:docPr descr="University of Wales Trinity Saint David Logo Vector - (.SVG ..." id="2" name="image1.png"/>
            <a:graphic>
              <a:graphicData uri="http://schemas.openxmlformats.org/drawingml/2006/picture">
                <pic:pic>
                  <pic:nvPicPr>
                    <pic:cNvPr descr="University of Wales Trinity Saint David Logo Vector - (.SVG ..." id="0" name="image1.png"/>
                    <pic:cNvPicPr preferRelativeResize="0"/>
                  </pic:nvPicPr>
                  <pic:blipFill>
                    <a:blip r:embed="rId7"/>
                    <a:srcRect b="0" l="0" r="0" t="0"/>
                    <a:stretch>
                      <a:fillRect/>
                    </a:stretch>
                  </pic:blipFill>
                  <pic:spPr>
                    <a:xfrm>
                      <a:off x="0" y="0"/>
                      <a:ext cx="2155360" cy="119742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sz w:val="32"/>
          <w:szCs w:val="32"/>
        </w:rPr>
      </w:pPr>
      <w:r w:rsidDel="00000000" w:rsidR="00000000" w:rsidRPr="00000000">
        <w:rPr>
          <w:rtl w:val="0"/>
        </w:rPr>
      </w:r>
    </w:p>
    <w:p w:rsidR="00000000" w:rsidDel="00000000" w:rsidP="00000000" w:rsidRDefault="00000000" w:rsidRPr="00000000" w14:paraId="00000004">
      <w:pPr>
        <w:jc w:val="center"/>
        <w:rPr>
          <w:sz w:val="32"/>
          <w:szCs w:val="32"/>
        </w:rPr>
      </w:pPr>
      <w:r w:rsidDel="00000000" w:rsidR="00000000" w:rsidRPr="00000000">
        <w:rPr>
          <w:rtl w:val="0"/>
        </w:rPr>
      </w:r>
    </w:p>
    <w:p w:rsidR="00000000" w:rsidDel="00000000" w:rsidP="00000000" w:rsidRDefault="00000000" w:rsidRPr="00000000" w14:paraId="00000005">
      <w:pPr>
        <w:jc w:val="center"/>
        <w:rPr>
          <w:sz w:val="32"/>
          <w:szCs w:val="32"/>
        </w:rPr>
      </w:pP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sz w:val="32"/>
          <w:szCs w:val="32"/>
          <w:rtl w:val="0"/>
        </w:rPr>
        <w:t xml:space="preserve">How to Engage Employees throughout the Employee Life-cycle</w:t>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rPr>
          <w:sz w:val="36"/>
          <w:szCs w:val="36"/>
          <w:rtl w:val="0"/>
        </w:rPr>
        <w:t xml:space="preserve">Module Title: Personnel Resourcing and Development</w:t>
      </w:r>
    </w:p>
    <w:p w:rsidR="00000000" w:rsidDel="00000000" w:rsidP="00000000" w:rsidRDefault="00000000" w:rsidRPr="00000000" w14:paraId="00000009">
      <w:pPr>
        <w:jc w:val="center"/>
        <w:rPr>
          <w:sz w:val="36"/>
          <w:szCs w:val="36"/>
        </w:rPr>
      </w:pPr>
      <w:r w:rsidDel="00000000" w:rsidR="00000000" w:rsidRPr="00000000">
        <w:rPr>
          <w:sz w:val="36"/>
          <w:szCs w:val="36"/>
          <w:rtl w:val="0"/>
        </w:rPr>
        <w:t xml:space="preserve">Module Code: BMIH5005</w:t>
      </w:r>
    </w:p>
    <w:p w:rsidR="00000000" w:rsidDel="00000000" w:rsidP="00000000" w:rsidRDefault="00000000" w:rsidRPr="00000000" w14:paraId="0000000A">
      <w:pPr>
        <w:jc w:val="center"/>
        <w:rPr>
          <w:sz w:val="28"/>
          <w:szCs w:val="28"/>
        </w:rPr>
      </w:pPr>
      <w:r w:rsidDel="00000000" w:rsidR="00000000" w:rsidRPr="00000000">
        <w:rPr>
          <w:rtl w:val="0"/>
        </w:rPr>
      </w:r>
    </w:p>
    <w:p w:rsidR="00000000" w:rsidDel="00000000" w:rsidP="00000000" w:rsidRDefault="00000000" w:rsidRPr="00000000" w14:paraId="0000000B">
      <w:pPr>
        <w:jc w:val="center"/>
        <w:rPr>
          <w:sz w:val="32"/>
          <w:szCs w:val="32"/>
        </w:rPr>
      </w:pPr>
      <w:r w:rsidDel="00000000" w:rsidR="00000000" w:rsidRPr="00000000">
        <w:rPr>
          <w:sz w:val="32"/>
          <w:szCs w:val="32"/>
          <w:rtl w:val="0"/>
        </w:rPr>
        <w:t xml:space="preserve">Student Name: Salman Ali</w:t>
      </w:r>
    </w:p>
    <w:p w:rsidR="00000000" w:rsidDel="00000000" w:rsidP="00000000" w:rsidRDefault="00000000" w:rsidRPr="00000000" w14:paraId="0000000C">
      <w:pPr>
        <w:jc w:val="center"/>
        <w:rPr>
          <w:sz w:val="32"/>
          <w:szCs w:val="32"/>
        </w:rPr>
      </w:pPr>
      <w:r w:rsidDel="00000000" w:rsidR="00000000" w:rsidRPr="00000000">
        <w:rPr>
          <w:sz w:val="32"/>
          <w:szCs w:val="32"/>
          <w:rtl w:val="0"/>
        </w:rPr>
        <w:t xml:space="preserve">Student ID: 2119165</w:t>
      </w:r>
    </w:p>
    <w:p w:rsidR="00000000" w:rsidDel="00000000" w:rsidP="00000000" w:rsidRDefault="00000000" w:rsidRPr="00000000" w14:paraId="0000000D">
      <w:pPr>
        <w:jc w:val="center"/>
        <w:rPr>
          <w:sz w:val="32"/>
          <w:szCs w:val="32"/>
        </w:rPr>
      </w:pPr>
      <w:r w:rsidDel="00000000" w:rsidR="00000000" w:rsidRPr="00000000">
        <w:rPr>
          <w:sz w:val="32"/>
          <w:szCs w:val="32"/>
          <w:rtl w:val="0"/>
        </w:rPr>
        <w:t xml:space="preserve">Lecturer Name: Dr Emma Roberts</w:t>
      </w:r>
    </w:p>
    <w:p w:rsidR="00000000" w:rsidDel="00000000" w:rsidP="00000000" w:rsidRDefault="00000000" w:rsidRPr="00000000" w14:paraId="0000000E">
      <w:pPr>
        <w:jc w:val="left"/>
        <w:rPr>
          <w:sz w:val="28"/>
          <w:szCs w:val="28"/>
        </w:rPr>
      </w:pPr>
      <w:r w:rsidDel="00000000" w:rsidR="00000000" w:rsidRPr="00000000">
        <w:rPr>
          <w:rtl w:val="0"/>
        </w:rPr>
      </w:r>
    </w:p>
    <w:p w:rsidR="00000000" w:rsidDel="00000000" w:rsidP="00000000" w:rsidRDefault="00000000" w:rsidRPr="00000000" w14:paraId="0000000F">
      <w:pPr>
        <w:jc w:val="left"/>
        <w:rPr>
          <w:sz w:val="28"/>
          <w:szCs w:val="28"/>
        </w:rPr>
      </w:pPr>
      <w:r w:rsidDel="00000000" w:rsidR="00000000" w:rsidRPr="00000000">
        <w:rPr>
          <w:rtl w:val="0"/>
        </w:rPr>
      </w:r>
    </w:p>
    <w:p w:rsidR="00000000" w:rsidDel="00000000" w:rsidP="00000000" w:rsidRDefault="00000000" w:rsidRPr="00000000" w14:paraId="00000010">
      <w:pPr>
        <w:spacing w:after="160" w:line="259" w:lineRule="auto"/>
        <w:jc w:val="left"/>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jc w:val="center"/>
        <w:rPr/>
      </w:pPr>
      <w:r w:rsidDel="00000000" w:rsidR="00000000" w:rsidRPr="00000000">
        <w:rPr>
          <w:sz w:val="28"/>
          <w:szCs w:val="28"/>
          <w:rtl w:val="0"/>
        </w:rPr>
        <w:t xml:space="preserve">“How to Engage Employees throughout the Employee Life-cycle”</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 hotel’s employees are the face of the business, and their engagement level can significantly impact customer satisfaction, employee retention, and overall business performance. The hotel industry is known for demanding working conditions, long hours, and high-stress levels, making employee engagement even more critical. Hotels must understand their employees' needs and motivations to create a positive and engaged workplace culture and develop and implement effective engagement strategies (Ahammad, 2017). The role of human resources in employee engagement is crucial, as they are responsible for creating and implementing programs and initiatives that promote employee satisfaction and engagement. This may include training and development programs, recognition and rewards programs, and opportunities for growth and advancement. Additionally, hotels need to foster a supportive work environment that values diversity and inclusion and promotes work-life balance. By focusing on employee engagement, hotels can create a positive and motivated workplace culture, leading to increased customer satisfaction, employee retention, and overall business performance (Kemboi and Onyango, 2015). In this paper, we will discuss the role of human resources, and practical strategies for engaging employees throughout the employee lifecycle.</w:t>
      </w:r>
    </w:p>
    <w:p w:rsidR="00000000" w:rsidDel="00000000" w:rsidP="00000000" w:rsidRDefault="00000000" w:rsidRPr="00000000" w14:paraId="00000013">
      <w:pPr>
        <w:rPr/>
      </w:pPr>
      <w:r w:rsidDel="00000000" w:rsidR="00000000" w:rsidRPr="00000000">
        <w:rPr>
          <w:rtl w:val="0"/>
        </w:rPr>
        <w:t xml:space="preserve">The role of human resources (HR) in engaging employees in the large hotel business is critical. HR is crucial in attracting, retaining, and developing talent to support the business’s overall success. A well-structured onboarding program can help new employees feel welcomed and integrated into the hotel culture. This can include an orientation program that provides an overview of the hotel's mission, values, and goals and information on company policies, procedures, and benefits. HR is responsible for fostering positive employee relations, which can help to create a supportive and inclusive work environment. This can include addressing employee concerns and conflicts, providing support and resources, and encouraging open communication between employees and management (Sun et al., 2019). HR can support employee development by offering opportunities to help employees to acquire new skills and advance their careers. This can include in-house training, workshops, mentorship programs, and opportunities for employees to attend conferences or pursue additional education. HR can play a role in helping employees to understand their performance expectations and provide feedback on their performance. Regular performance evaluations, improvement plans, and coaching can help employees understand their strengths and areas for improvement and provide them with clear expectations and goals (Eldor and Vigoda-Gadot, 2017). HR can support a recognition and rewards program that acknowledges and celebrates employee achievements. This can include employee of the month awards, bonuses, promotions, and other forms of recognition. HR can help create a comprehensive benefits package that includes health insurance, paid time off, retirement savings plans, and other forms of compensation (App et al., 2012). A competitive benefits package can help attract and retain employees. HR can support employees' work-life balance by offering flexible schedules, remote work options, and paid time off. This can help employees to manage their work and personal lives more effectively, increasing job satisfaction and engagement (Dirani et al., 2020). By working closely with management and employees, HR can help to create a supportive, engaging, and fulfilling work environment that encourages employee engagement, motivation, and satisfaction.</w:t>
      </w:r>
    </w:p>
    <w:p w:rsidR="00000000" w:rsidDel="00000000" w:rsidP="00000000" w:rsidRDefault="00000000" w:rsidRPr="00000000" w14:paraId="00000014">
      <w:pPr>
        <w:rPr/>
      </w:pPr>
      <w:r w:rsidDel="00000000" w:rsidR="00000000" w:rsidRPr="00000000">
        <w:rPr>
          <w:rtl w:val="0"/>
        </w:rPr>
        <w:t xml:space="preserve">Engaging a team in a large hotel is crucial for improving employee satisfaction, motivation, and performance. Here are some ways to engage a team and the advantages of doing so. Open communication between management and employees can help to build trust and foster a positive work environment (Chandani et al., 2016). This can include regular meetings, feedback mechanisms, and surveys to gather employee feedback and provide updates on company initiatives and goals. Providing opportunities for employees to learn new skills, acquire new knowledge, and develop professionally can help to keep them engaged and motivated (Eldor and Vigoda-Gadot, 2017). This can include in-house training, workshops, mentorship programs, and opportunities for employees to attend conferences or pursue additional education. A recognition and rewards program that acknowledges and celebrates employee achievements can help to increase employee engagement. This can include employee of the month awards, bonuses, promotions, and other forms of recognition. Creating a supportive environment that values and respects employees can help to increase job satisfaction and engagement. This can include providing a comprehensive benefits package, addressing employee concerns and conflicts, and encouraging a positive and inclusive workplace culture (Saks and Gruman, 2014). Providing flexible work arrangements, such as flexible schedules, remote work options, and paid time off, can help employees to manage their work and personal lives more effectively. This can increase job satisfaction and engagement. The advantages of engaging a team in a large hotel include engaged employees being more satisfied with their jobs and more motivated to perform well, which can improve overall job performance and productivity (Anitha, 2014). Employees who are engaged are more likely to provide high-quality customer service, enhancing the overall guest experience and increasing customer loyalty and repeat business. Employees are engaged to stay with the company, reduce turnover costs and improve the consistency and stability of the workforce. Companies with engaged employees are often viewed more positively by customers and the general public, enhancing the business’s overall reputation. Companies with engaged employees are often more profitable and have better financial performance than those with low employee engagement (Hoque, 2013). Engaging a team in a large hotel can bring many benefits to both employees and the business and should be a strong focus of the human resource department.</w:t>
      </w:r>
    </w:p>
    <w:p w:rsidR="00000000" w:rsidDel="00000000" w:rsidP="00000000" w:rsidRDefault="00000000" w:rsidRPr="00000000" w14:paraId="00000015">
      <w:pPr>
        <w:rPr/>
      </w:pPr>
      <w:r w:rsidDel="00000000" w:rsidR="00000000" w:rsidRPr="00000000">
        <w:rPr>
          <w:rtl w:val="0"/>
        </w:rPr>
        <w:t xml:space="preserve">The employee lifecycle in a hotel refers to the various stages employees go through, from when they are first attracted to the company to when they leave (Inamdar and Abhi, 2020). Here are the stages of the employee lifecycle in a hotel: Attraction is the stage where the hotel seeks to attract potential employees through various recruitment methods, such as job postings, employee referrals, and career fairs. This stage aims to attract qualified candidates who fit the hotel’s culture and values well (Nagendra, 2014). Recruitment, in this stage, the hotel screens and selects candidates based on their qualifications and fit with the hotel. The recruitment process typically includes reviewing resumes, conducting interviews, and administering skills assessments. Onboarding is where new employees are introduced to the hotel's policies, procedures, culture, and values. The goal of onboarding is to help new employees to feel welcomed and integrated into the workplace as quickly and smoothly as possible (Nagendra, 2014). Onboarding typically includes orientation, training, and mentorship programs. In the development stage, employees are provided with opportunities for growth and development to help them to advance in their careers (Kumar and Pansari, 2015). This can include in-house training, workshops, mentorship programs, and opportunities for employees to attend conferences or pursue additional education. In the retention stage, the hotel focuses on retaining and keeping employees engaged (Cohen, 2017). This can include providing competitive compensation and benefits packages, recognising and rewarding achievement, fostering a supportive and inclusive workplace environment, and promoting work-life balance. In the separation stage, employees leave the hotel for various reasons, including retirement, resignation, or termination. This stage aims to ensure a smooth transition for the employee and minimise any negative impact on the hotel's operations (Inamdar and Abhi, 2020). This can include providing outplacement services, conducting exit interviews, and preserving knowledge and skills through knowledge transfer programs. The employee lifecycle in a hotel is an ongoing process that requires the continuous attention of the human resource department to attract, retain, and develop employees (Nagendra, 2014). By effectively managing each stage of the employee lifecycle, the hotel can build a strong, motivated, and engaged workforce that supports its overall success.</w:t>
      </w:r>
    </w:p>
    <w:p w:rsidR="00000000" w:rsidDel="00000000" w:rsidP="00000000" w:rsidRDefault="00000000" w:rsidRPr="00000000" w14:paraId="00000016">
      <w:pPr>
        <w:rPr/>
      </w:pPr>
      <w:r w:rsidDel="00000000" w:rsidR="00000000" w:rsidRPr="00000000">
        <w:rPr>
          <w:rtl w:val="0"/>
        </w:rPr>
        <w:t xml:space="preserve">There are many ways to engage a team in the workplace. Managers hold regular team meetings where employees can provide feedback and ask questions and set up a suggestion box or an unknown feedback mechanism for employees to provide suggestions and feedback. Employees are encouraged to share their ideas and concerns with management. Organisations offer training and development opportunities relevant to employees' roles and career goals (Carasco-Saul et al., 2015). This can include workshops, conferences, and mentorship programs and provides opportunities for employees to acquire new skills and knowledge and recognise and reward their achievements. They foster a collaborative and inclusive work environment by encouraging team-building activities and teamwork. Businesses should create opportunities for employees to work together on projects, share their skills and knowledge, and support each other in their work; implement a recognition and rewards program that acknowledges and celebrates employee achievements. This can include employee of the month awards, bonuses, promotions, and other forms of recognition, by providing a comprehensive benefits package, addressing employee concerns and conflicts, and encouraging a positive and inclusive workplace culture. Organisations ensure that all employees are treated with respect and fairness and that their contributions to the workplace are valued (Truss et al., 2013). Managers can provide flexible work arrangements, such as flexible schedules, remote work options, and paid time off, to help employees manage their work and personal lives more effectively. This can increase job satisfaction and engagement. They give employees the autonomy and resources they need to do their jobs effectively. Businesses can provide opportunities for employees to take on new challenges and responsibilities and recognise and reward their successes. By implementing these strategies, we can engage our team and create a positive and supportive work environment that benefits both employees and the organisation.</w:t>
      </w:r>
    </w:p>
    <w:p w:rsidR="00000000" w:rsidDel="00000000" w:rsidP="00000000" w:rsidRDefault="00000000" w:rsidRPr="00000000" w14:paraId="00000017">
      <w:pPr>
        <w:rPr/>
      </w:pPr>
      <w:r w:rsidDel="00000000" w:rsidR="00000000" w:rsidRPr="00000000">
        <w:rPr>
          <w:rtl w:val="0"/>
        </w:rPr>
        <w:t xml:space="preserve">An employee engagement model is a framework, or method firms use to analyse and raise employee engagement at work. One such model is the "Engagement Driver Model," which identifies important drivers or elements that affect employee engagement (Kumar and Pansari, 2015). These drivers often consist of the following: leadership, culture, communication, development, recognition and reward, and work-life balance. Employees want to work for organisations with strong, non-disabled leaders who can give guidance and assistance. Engagement depends on a work environment where people feel appreciated and respected (Albrecht et el., 2015). The organisation should build trust and engagement among workers and require open, two-way communication between management and staff. Workers seek chances for education, professional development, and progress. Employees want to be rewarded and acknowledged for their accomplishments and services to the company. Work-life balance is something many employees strive for. Organisations may follow the following steps to implement an employee engagement model: The manager should conduct surveys or focus groups on determining the degree of employee engagement and pinpoint areas for development. They need to identify significant drivers of employee engagement and prioritise them in light of the assessment's findings (Cunningham, 2014). The organisation should create and executes efforts to boost employee engagement based on the drivers that have been identified, for instance, leadership development programmes, communication campaigns, and staff reward schemes. The organisation makes improvements as needed after regularly assessing the effectiveness of the engagement activities and continues to review and raise employee engagement levels while preserving successful programmes and initiatives. By following this procedure, businesses may create and practice a model for successful employee engagement that fosters a happy and productive working environment that benefits both the individual workers and the business.</w:t>
      </w:r>
    </w:p>
    <w:p w:rsidR="00000000" w:rsidDel="00000000" w:rsidP="00000000" w:rsidRDefault="00000000" w:rsidRPr="00000000" w14:paraId="00000018">
      <w:pPr>
        <w:rPr/>
      </w:pPr>
      <w:r w:rsidDel="00000000" w:rsidR="00000000" w:rsidRPr="00000000">
        <w:rPr>
          <w:rtl w:val="0"/>
        </w:rPr>
        <w:t xml:space="preserve">Here are a few examples of hotels in the UK that have implemented successful employee engagement programs. The Ritz London strongly focuses on employee engagement with a comprehensive training and development program that includes mentorship and apprenticeship opportunities (Jones et al., 2014). The hotel also recognises and rewards employees for their achievements and fosters a positive and supportive work environment. Dorchester's comprehensive employee engagement program includes training and development opportunities, recognition and rewards programs, and a supportive work environment (Carasco-Saul et al., 2015). The hotel also encourages open communication, teamwork, and a focus on continuous improvement. The Savoy is strongly committed to employee engagement, providing employees with the resources and support they need to do their jobs effectively. The hotel provides learning and development opportunities and fosters a positive and supportive work environment (Narteh et al., 2013). The Mandarin Oriental has a comprehensive employee engagement program that includes training and development opportunities, recognition and rewards programs, and a supportive work environment. The hotel also encourages open communication, teamwork, and a focus on continuous improvement (Putilov et al., 2019). By focusing on training and development, recognition and rewards, and a supportive work environment, these hotels have created a positive and engaged workplace culture that benefits both employees and the organisation.</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Employee engagement is critical to the hotel industry’s success. By understanding the needs and motivations of employees and developing and implementing effective engagement strategies, hotels can create a positive and motivated workplace culture (Narteh et al., 2013). This can increase customer satisfaction, employee retention, and overall business performance. Hotels need to focus on training and development opportunities, recognition and rewards programs, and a supportive work environment that values diversity and inclusion and promotes work-life balance (Legge, 2014). By investing in their employees, hotels can create a positive workplace culture that benefits both employees and the organisation. Overall, the key to successful employee engagement in the hotel industry is to understand the needs and motivations of employees and to develop and implement programs and initiatives that promote employee satisfaction and engagement. </w:t>
      </w:r>
    </w:p>
    <w:p w:rsidR="00000000" w:rsidDel="00000000" w:rsidP="00000000" w:rsidRDefault="00000000" w:rsidRPr="00000000" w14:paraId="0000001B">
      <w:pPr>
        <w:pStyle w:val="Heading1"/>
        <w:rPr>
          <w:b w:val="0"/>
          <w:sz w:val="28"/>
          <w:szCs w:val="28"/>
        </w:rPr>
      </w:pPr>
      <w:r w:rsidDel="00000000" w:rsidR="00000000" w:rsidRPr="00000000">
        <w:rPr>
          <w:rtl w:val="0"/>
        </w:rPr>
      </w:r>
    </w:p>
    <w:p w:rsidR="00000000" w:rsidDel="00000000" w:rsidP="00000000" w:rsidRDefault="00000000" w:rsidRPr="00000000" w14:paraId="0000001C">
      <w:pPr>
        <w:pStyle w:val="Heading1"/>
        <w:rPr>
          <w:b w:val="0"/>
          <w:sz w:val="28"/>
          <w:szCs w:val="28"/>
        </w:rPr>
      </w:pPr>
      <w:r w:rsidDel="00000000" w:rsidR="00000000" w:rsidRPr="00000000">
        <w:rPr>
          <w:rtl w:val="0"/>
        </w:rPr>
      </w:r>
    </w:p>
    <w:p w:rsidR="00000000" w:rsidDel="00000000" w:rsidP="00000000" w:rsidRDefault="00000000" w:rsidRPr="00000000" w14:paraId="0000001D">
      <w:pPr>
        <w:pStyle w:val="Heading1"/>
        <w:rPr>
          <w:b w:val="0"/>
          <w:sz w:val="28"/>
          <w:szCs w:val="28"/>
        </w:rPr>
      </w:pPr>
      <w:r w:rsidDel="00000000" w:rsidR="00000000" w:rsidRPr="00000000">
        <w:rPr>
          <w:rtl w:val="0"/>
        </w:rPr>
      </w:r>
    </w:p>
    <w:p w:rsidR="00000000" w:rsidDel="00000000" w:rsidP="00000000" w:rsidRDefault="00000000" w:rsidRPr="00000000" w14:paraId="0000001E">
      <w:pPr>
        <w:pStyle w:val="Heading1"/>
        <w:rPr>
          <w:b w:val="0"/>
          <w:sz w:val="28"/>
          <w:szCs w:val="28"/>
        </w:rPr>
      </w:pPr>
      <w:r w:rsidDel="00000000" w:rsidR="00000000" w:rsidRPr="00000000">
        <w:rPr>
          <w:rtl w:val="0"/>
        </w:rPr>
      </w:r>
    </w:p>
    <w:p w:rsidR="00000000" w:rsidDel="00000000" w:rsidP="00000000" w:rsidRDefault="00000000" w:rsidRPr="00000000" w14:paraId="0000001F">
      <w:pPr>
        <w:pStyle w:val="Heading1"/>
        <w:rPr>
          <w:b w:val="0"/>
          <w:sz w:val="28"/>
          <w:szCs w:val="28"/>
        </w:rPr>
      </w:pPr>
      <w:r w:rsidDel="00000000" w:rsidR="00000000" w:rsidRPr="00000000">
        <w:rPr>
          <w:rtl w:val="0"/>
        </w:rPr>
      </w:r>
    </w:p>
    <w:p w:rsidR="00000000" w:rsidDel="00000000" w:rsidP="00000000" w:rsidRDefault="00000000" w:rsidRPr="00000000" w14:paraId="00000020">
      <w:pPr>
        <w:pStyle w:val="Heading1"/>
        <w:rPr>
          <w:b w:val="0"/>
          <w:sz w:val="28"/>
          <w:szCs w:val="28"/>
        </w:rPr>
      </w:pPr>
      <w:r w:rsidDel="00000000" w:rsidR="00000000" w:rsidRPr="00000000">
        <w:rPr>
          <w:rtl w:val="0"/>
        </w:rPr>
      </w:r>
    </w:p>
    <w:p w:rsidR="00000000" w:rsidDel="00000000" w:rsidP="00000000" w:rsidRDefault="00000000" w:rsidRPr="00000000" w14:paraId="00000021">
      <w:pPr>
        <w:pStyle w:val="Heading1"/>
        <w:rPr>
          <w:b w:val="0"/>
          <w:sz w:val="28"/>
          <w:szCs w:val="28"/>
        </w:rPr>
      </w:pPr>
      <w:r w:rsidDel="00000000" w:rsidR="00000000" w:rsidRPr="00000000">
        <w:rPr>
          <w:rtl w:val="0"/>
        </w:rPr>
      </w:r>
    </w:p>
    <w:p w:rsidR="00000000" w:rsidDel="00000000" w:rsidP="00000000" w:rsidRDefault="00000000" w:rsidRPr="00000000" w14:paraId="00000022">
      <w:pPr>
        <w:pStyle w:val="Heading1"/>
        <w:rPr>
          <w:b w:val="0"/>
          <w:sz w:val="28"/>
          <w:szCs w:val="28"/>
        </w:rPr>
      </w:pPr>
      <w:r w:rsidDel="00000000" w:rsidR="00000000" w:rsidRPr="00000000">
        <w:rPr>
          <w:rtl w:val="0"/>
        </w:rPr>
      </w:r>
    </w:p>
    <w:p w:rsidR="00000000" w:rsidDel="00000000" w:rsidP="00000000" w:rsidRDefault="00000000" w:rsidRPr="00000000" w14:paraId="00000023">
      <w:pPr>
        <w:pStyle w:val="Heading1"/>
        <w:rPr>
          <w:b w:val="0"/>
          <w:sz w:val="28"/>
          <w:szCs w:val="28"/>
        </w:rPr>
      </w:pPr>
      <w:r w:rsidDel="00000000" w:rsidR="00000000" w:rsidRPr="00000000">
        <w:rPr>
          <w:rtl w:val="0"/>
        </w:rPr>
      </w:r>
    </w:p>
    <w:p w:rsidR="00000000" w:rsidDel="00000000" w:rsidP="00000000" w:rsidRDefault="00000000" w:rsidRPr="00000000" w14:paraId="00000024">
      <w:pPr>
        <w:pStyle w:val="Heading1"/>
        <w:rPr>
          <w:b w:val="0"/>
          <w:sz w:val="28"/>
          <w:szCs w:val="28"/>
        </w:rPr>
      </w:pPr>
      <w:r w:rsidDel="00000000" w:rsidR="00000000" w:rsidRPr="00000000">
        <w:rPr>
          <w:rtl w:val="0"/>
        </w:rPr>
      </w:r>
    </w:p>
    <w:p w:rsidR="00000000" w:rsidDel="00000000" w:rsidP="00000000" w:rsidRDefault="00000000" w:rsidRPr="00000000" w14:paraId="00000025">
      <w:pPr>
        <w:pStyle w:val="Heading1"/>
        <w:rPr>
          <w:b w:val="0"/>
          <w:sz w:val="28"/>
          <w:szCs w:val="28"/>
        </w:rPr>
      </w:pPr>
      <w:r w:rsidDel="00000000" w:rsidR="00000000" w:rsidRPr="00000000">
        <w:rPr>
          <w:rtl w:val="0"/>
        </w:rPr>
      </w:r>
    </w:p>
    <w:p w:rsidR="00000000" w:rsidDel="00000000" w:rsidP="00000000" w:rsidRDefault="00000000" w:rsidRPr="00000000" w14:paraId="00000026">
      <w:pPr>
        <w:pStyle w:val="Heading1"/>
        <w:rPr>
          <w:b w:val="0"/>
          <w:sz w:val="28"/>
          <w:szCs w:val="28"/>
        </w:rPr>
      </w:pPr>
      <w:r w:rsidDel="00000000" w:rsidR="00000000" w:rsidRPr="00000000">
        <w:rPr>
          <w:rtl w:val="0"/>
        </w:rPr>
      </w:r>
    </w:p>
    <w:p w:rsidR="00000000" w:rsidDel="00000000" w:rsidP="00000000" w:rsidRDefault="00000000" w:rsidRPr="00000000" w14:paraId="00000027">
      <w:pPr>
        <w:pStyle w:val="Heading1"/>
        <w:rPr>
          <w:b w:val="0"/>
          <w:sz w:val="28"/>
          <w:szCs w:val="28"/>
        </w:rPr>
      </w:pPr>
      <w:r w:rsidDel="00000000" w:rsidR="00000000" w:rsidRPr="00000000">
        <w:rPr>
          <w:rtl w:val="0"/>
        </w:rPr>
      </w:r>
    </w:p>
    <w:p w:rsidR="00000000" w:rsidDel="00000000" w:rsidP="00000000" w:rsidRDefault="00000000" w:rsidRPr="00000000" w14:paraId="00000028">
      <w:pPr>
        <w:pStyle w:val="Heading1"/>
        <w:rPr>
          <w:b w:val="0"/>
          <w:sz w:val="28"/>
          <w:szCs w:val="28"/>
        </w:rPr>
      </w:pPr>
      <w:r w:rsidDel="00000000" w:rsidR="00000000" w:rsidRPr="00000000">
        <w:rPr>
          <w:rtl w:val="0"/>
        </w:rPr>
      </w:r>
    </w:p>
    <w:p w:rsidR="00000000" w:rsidDel="00000000" w:rsidP="00000000" w:rsidRDefault="00000000" w:rsidRPr="00000000" w14:paraId="00000029">
      <w:pPr>
        <w:pStyle w:val="Heading1"/>
        <w:rPr>
          <w:b w:val="0"/>
          <w:sz w:val="28"/>
          <w:szCs w:val="28"/>
        </w:rPr>
      </w:pPr>
      <w:r w:rsidDel="00000000" w:rsidR="00000000" w:rsidRPr="00000000">
        <w:rPr>
          <w:rtl w:val="0"/>
        </w:rPr>
      </w:r>
    </w:p>
    <w:p w:rsidR="00000000" w:rsidDel="00000000" w:rsidP="00000000" w:rsidRDefault="00000000" w:rsidRPr="00000000" w14:paraId="0000002A">
      <w:pPr>
        <w:pStyle w:val="Heading1"/>
        <w:rPr>
          <w:b w:val="0"/>
          <w:sz w:val="28"/>
          <w:szCs w:val="28"/>
        </w:rPr>
      </w:pPr>
      <w:r w:rsidDel="00000000" w:rsidR="00000000" w:rsidRPr="00000000">
        <w:rPr>
          <w:rtl w:val="0"/>
        </w:rPr>
      </w:r>
    </w:p>
    <w:p w:rsidR="00000000" w:rsidDel="00000000" w:rsidP="00000000" w:rsidRDefault="00000000" w:rsidRPr="00000000" w14:paraId="0000002B">
      <w:pPr>
        <w:pStyle w:val="Heading1"/>
        <w:rPr>
          <w:b w:val="0"/>
          <w:sz w:val="28"/>
          <w:szCs w:val="28"/>
        </w:rPr>
      </w:pPr>
      <w:r w:rsidDel="00000000" w:rsidR="00000000" w:rsidRPr="00000000">
        <w:rPr>
          <w:rtl w:val="0"/>
        </w:rPr>
      </w:r>
    </w:p>
    <w:p w:rsidR="00000000" w:rsidDel="00000000" w:rsidP="00000000" w:rsidRDefault="00000000" w:rsidRPr="00000000" w14:paraId="0000002C">
      <w:pPr>
        <w:pStyle w:val="Heading1"/>
        <w:rPr>
          <w:b w:val="0"/>
          <w:sz w:val="28"/>
          <w:szCs w:val="28"/>
        </w:rPr>
      </w:pPr>
      <w:r w:rsidDel="00000000" w:rsidR="00000000" w:rsidRPr="00000000">
        <w:rPr>
          <w:rtl w:val="0"/>
        </w:rPr>
      </w:r>
    </w:p>
    <w:p w:rsidR="00000000" w:rsidDel="00000000" w:rsidP="00000000" w:rsidRDefault="00000000" w:rsidRPr="00000000" w14:paraId="0000002D">
      <w:pPr>
        <w:pStyle w:val="Heading1"/>
        <w:rPr>
          <w:b w:val="0"/>
          <w:sz w:val="28"/>
          <w:szCs w:val="28"/>
        </w:rPr>
      </w:pPr>
      <w:r w:rsidDel="00000000" w:rsidR="00000000" w:rsidRPr="00000000">
        <w:rPr>
          <w:b w:val="0"/>
          <w:sz w:val="28"/>
          <w:szCs w:val="28"/>
          <w:rtl w:val="0"/>
        </w:rPr>
        <w:t xml:space="preserve">References</w:t>
      </w:r>
    </w:p>
    <w:p w:rsidR="00000000" w:rsidDel="00000000" w:rsidP="00000000" w:rsidRDefault="00000000" w:rsidRPr="00000000" w14:paraId="0000002E">
      <w:pPr>
        <w:rPr/>
      </w:pPr>
      <w:r w:rsidDel="00000000" w:rsidR="00000000" w:rsidRPr="00000000">
        <w:rPr>
          <w:rtl w:val="0"/>
        </w:rPr>
        <w:t xml:space="preserve">Ahammad, T., (2017). Personnel management to human resource management (HRM): How HRM functions. </w:t>
      </w:r>
      <w:r w:rsidDel="00000000" w:rsidR="00000000" w:rsidRPr="00000000">
        <w:rPr>
          <w:i w:val="1"/>
          <w:rtl w:val="0"/>
        </w:rPr>
        <w:t xml:space="preserve">Journal of Modern Accounting and Auditing</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(9), pp.412-420. </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Albrecht, S.L., Bakker, A.B., Gruman, J.A., Macey, W.H. and Saks, A.M., (2015). Employee engagement, human resource management practices and competitive advantage: An integrated approach. </w:t>
      </w:r>
      <w:r w:rsidDel="00000000" w:rsidR="00000000" w:rsidRPr="00000000">
        <w:rPr>
          <w:i w:val="1"/>
          <w:rtl w:val="0"/>
        </w:rPr>
        <w:t xml:space="preserve">Journal of Organizational Effectiveness: People and Performance</w:t>
      </w:r>
      <w:r w:rsidDel="00000000" w:rsidR="00000000" w:rsidRPr="00000000">
        <w:rPr>
          <w:rtl w:val="0"/>
        </w:rPr>
        <w:t xml:space="preserve">.  </w:t>
      </w:r>
    </w:p>
    <w:p w:rsidR="00000000" w:rsidDel="00000000" w:rsidP="00000000" w:rsidRDefault="00000000" w:rsidRPr="00000000" w14:paraId="00000031">
      <w:pPr>
        <w:spacing w:line="240" w:lineRule="auto"/>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Anitha, J., (2014). Determinants of employee engagement and their impact on employee performance. </w:t>
      </w:r>
      <w:r w:rsidDel="00000000" w:rsidR="00000000" w:rsidRPr="00000000">
        <w:rPr>
          <w:i w:val="1"/>
          <w:rtl w:val="0"/>
        </w:rPr>
        <w:t xml:space="preserve">International journal of productivity and performance management</w:t>
      </w:r>
      <w:r w:rsidDel="00000000" w:rsidR="00000000" w:rsidRPr="00000000">
        <w:rPr>
          <w:rtl w:val="0"/>
        </w:rPr>
        <w:t xml:space="preserve">. </w:t>
      </w:r>
    </w:p>
    <w:p w:rsidR="00000000" w:rsidDel="00000000" w:rsidP="00000000" w:rsidRDefault="00000000" w:rsidRPr="00000000" w14:paraId="00000033">
      <w:pPr>
        <w:spacing w:line="240" w:lineRule="auto"/>
        <w:rPr/>
      </w:pP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App, S., Merk, J. and Büttgen, M., (2012). Employer branding: Sustainable HRM as a competitive advantage in the market for high-quality employees. </w:t>
      </w:r>
      <w:r w:rsidDel="00000000" w:rsidR="00000000" w:rsidRPr="00000000">
        <w:rPr>
          <w:i w:val="1"/>
          <w:rtl w:val="0"/>
        </w:rPr>
        <w:t xml:space="preserve">Management revue</w:t>
      </w:r>
      <w:r w:rsidDel="00000000" w:rsidR="00000000" w:rsidRPr="00000000">
        <w:rPr>
          <w:rtl w:val="0"/>
        </w:rPr>
        <w:t xml:space="preserve">, pp.262-278.  </w:t>
      </w:r>
    </w:p>
    <w:p w:rsidR="00000000" w:rsidDel="00000000" w:rsidP="00000000" w:rsidRDefault="00000000" w:rsidRPr="00000000" w14:paraId="00000035">
      <w:pPr>
        <w:spacing w:line="240" w:lineRule="auto"/>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Carasco-Saul, M., Kim, W. and Kim, T., (2015). Leadership and employee engagement: Proposing research agendas through a review of literature. </w:t>
      </w:r>
      <w:r w:rsidDel="00000000" w:rsidR="00000000" w:rsidRPr="00000000">
        <w:rPr>
          <w:i w:val="1"/>
          <w:rtl w:val="0"/>
        </w:rPr>
        <w:t xml:space="preserve">Human Resource Development Review</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(1), pp.38-63.  </w:t>
      </w:r>
    </w:p>
    <w:p w:rsidR="00000000" w:rsidDel="00000000" w:rsidP="00000000" w:rsidRDefault="00000000" w:rsidRPr="00000000" w14:paraId="00000037">
      <w:pPr>
        <w:spacing w:line="240" w:lineRule="auto"/>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Chandani, A., Mehta, M., Mall, A. and Khokhar, V., (2016). Employee engagement: A review paper on factors affecting employee engagement. </w:t>
      </w:r>
      <w:r w:rsidDel="00000000" w:rsidR="00000000" w:rsidRPr="00000000">
        <w:rPr>
          <w:i w:val="1"/>
          <w:rtl w:val="0"/>
        </w:rPr>
        <w:t xml:space="preserve">Indian Journal of Science and Technology</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(15), pp.1-7.  </w:t>
      </w:r>
    </w:p>
    <w:p w:rsidR="00000000" w:rsidDel="00000000" w:rsidP="00000000" w:rsidRDefault="00000000" w:rsidRPr="00000000" w14:paraId="00000039">
      <w:pPr>
        <w:spacing w:line="240" w:lineRule="auto"/>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Cohen, E., (2017). The employee life-cycle. In </w:t>
      </w:r>
      <w:r w:rsidDel="00000000" w:rsidR="00000000" w:rsidRPr="00000000">
        <w:rPr>
          <w:i w:val="1"/>
          <w:rtl w:val="0"/>
        </w:rPr>
        <w:t xml:space="preserve">CSR for HR</w:t>
      </w:r>
      <w:r w:rsidDel="00000000" w:rsidR="00000000" w:rsidRPr="00000000">
        <w:rPr>
          <w:rtl w:val="0"/>
        </w:rPr>
        <w:t xml:space="preserve"> (pp. 248-257). Routledge.  </w:t>
      </w:r>
    </w:p>
    <w:p w:rsidR="00000000" w:rsidDel="00000000" w:rsidP="00000000" w:rsidRDefault="00000000" w:rsidRPr="00000000" w14:paraId="0000003B">
      <w:pPr>
        <w:spacing w:line="240" w:lineRule="auto"/>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Cunningham, L.X., (2014). Managing human resources in SMEs in a transition economy: evidence from China. In </w:t>
      </w:r>
      <w:r w:rsidDel="00000000" w:rsidR="00000000" w:rsidRPr="00000000">
        <w:rPr>
          <w:i w:val="1"/>
          <w:rtl w:val="0"/>
        </w:rPr>
        <w:t xml:space="preserve">Confucian HRM in Greater China</w:t>
      </w:r>
      <w:r w:rsidDel="00000000" w:rsidR="00000000" w:rsidRPr="00000000">
        <w:rPr>
          <w:rtl w:val="0"/>
        </w:rPr>
        <w:t xml:space="preserve"> (pp. 68-89). Routledge. </w:t>
      </w:r>
    </w:p>
    <w:p w:rsidR="00000000" w:rsidDel="00000000" w:rsidP="00000000" w:rsidRDefault="00000000" w:rsidRPr="00000000" w14:paraId="0000003D">
      <w:pPr>
        <w:spacing w:line="240" w:lineRule="auto"/>
        <w:rPr/>
      </w:pPr>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t xml:space="preserve">Dirani, K.M., Abadi, M., Alizadeh, A., Barhate, B., Garza, R.C., Gunasekara, N., Ibrahim, G. and Majzun, Z., (2020). Leadership competencies and the essential role of human resource development in times of crisis: a response to Covid-19 pandemic. </w:t>
      </w:r>
      <w:r w:rsidDel="00000000" w:rsidR="00000000" w:rsidRPr="00000000">
        <w:rPr>
          <w:i w:val="1"/>
          <w:rtl w:val="0"/>
        </w:rPr>
        <w:t xml:space="preserve">Human Resource Development International</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(4), pp.380-394.  </w:t>
      </w:r>
    </w:p>
    <w:p w:rsidR="00000000" w:rsidDel="00000000" w:rsidP="00000000" w:rsidRDefault="00000000" w:rsidRPr="00000000" w14:paraId="0000003F">
      <w:pPr>
        <w:rPr/>
      </w:pPr>
      <w:r w:rsidDel="00000000" w:rsidR="00000000" w:rsidRPr="00000000">
        <w:rPr>
          <w:rtl w:val="0"/>
        </w:rPr>
        <w:t xml:space="preserve">Eldor, L. and Vigoda-Gadot, E., (2017). The nature of employee engagement: Rethinking the employee–organisation relationship. </w:t>
      </w:r>
      <w:r w:rsidDel="00000000" w:rsidR="00000000" w:rsidRPr="00000000">
        <w:rPr>
          <w:i w:val="1"/>
          <w:rtl w:val="0"/>
        </w:rPr>
        <w:t xml:space="preserve">The International Journal of Human Resource Management</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(3), pp.526-552.  </w:t>
      </w:r>
    </w:p>
    <w:p w:rsidR="00000000" w:rsidDel="00000000" w:rsidP="00000000" w:rsidRDefault="00000000" w:rsidRPr="00000000" w14:paraId="00000040">
      <w:pPr>
        <w:spacing w:line="240" w:lineRule="auto"/>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Hoque, K., (2013). </w:t>
      </w:r>
      <w:r w:rsidDel="00000000" w:rsidR="00000000" w:rsidRPr="00000000">
        <w:rPr>
          <w:i w:val="1"/>
          <w:rtl w:val="0"/>
        </w:rPr>
        <w:t xml:space="preserve">Human resource management in the hotel industry: Strategy, innovation and performance</w:t>
      </w:r>
      <w:r w:rsidDel="00000000" w:rsidR="00000000" w:rsidRPr="00000000">
        <w:rPr>
          <w:rtl w:val="0"/>
        </w:rPr>
        <w:t xml:space="preserve">. Routledge.  </w:t>
      </w:r>
    </w:p>
    <w:p w:rsidR="00000000" w:rsidDel="00000000" w:rsidP="00000000" w:rsidRDefault="00000000" w:rsidRPr="00000000" w14:paraId="00000042">
      <w:pPr>
        <w:spacing w:line="240" w:lineRule="auto"/>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Inamdar, S.P. and Abhi, S., (2020). A Strategic Approach to HR analytics: A framework for employee life cycle model. </w:t>
      </w:r>
      <w:r w:rsidDel="00000000" w:rsidR="00000000" w:rsidRPr="00000000">
        <w:rPr>
          <w:i w:val="1"/>
          <w:rtl w:val="0"/>
        </w:rPr>
        <w:t xml:space="preserve">AIMA Journal of Management &amp; Research</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(1/4), pp.1-9.  </w:t>
      </w:r>
    </w:p>
    <w:p w:rsidR="00000000" w:rsidDel="00000000" w:rsidP="00000000" w:rsidRDefault="00000000" w:rsidRPr="00000000" w14:paraId="00000044">
      <w:pPr>
        <w:spacing w:line="240" w:lineRule="auto"/>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Jones, P., Hillier, D. and Comfort, D., (2014). Sustainability in the global hotel industry. </w:t>
      </w:r>
      <w:r w:rsidDel="00000000" w:rsidR="00000000" w:rsidRPr="00000000">
        <w:rPr>
          <w:i w:val="1"/>
          <w:rtl w:val="0"/>
        </w:rPr>
        <w:t xml:space="preserve">International Journal of Contemporary Hospitality Management</w:t>
      </w:r>
      <w:r w:rsidDel="00000000" w:rsidR="00000000" w:rsidRPr="00000000">
        <w:rPr>
          <w:rtl w:val="0"/>
        </w:rPr>
        <w:t xml:space="preserve">.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Kemboi, A. and Onyango, P., (2015). Effects of employee resourcing and development practices on organisation performance in public secondary schools in Rachuonyo South Sub County. </w:t>
      </w:r>
      <w:r w:rsidDel="00000000" w:rsidR="00000000" w:rsidRPr="00000000">
        <w:rPr>
          <w:i w:val="1"/>
          <w:rtl w:val="0"/>
        </w:rPr>
        <w:t xml:space="preserve">International Journal of Business and Social Research</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(7), pp.51-60.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Kumar, V. and Pansari, A., (2015). Measuring the benefits of employee engagement. </w:t>
      </w:r>
      <w:r w:rsidDel="00000000" w:rsidR="00000000" w:rsidRPr="00000000">
        <w:rPr>
          <w:i w:val="1"/>
          <w:rtl w:val="0"/>
        </w:rPr>
        <w:t xml:space="preserve">MIT Sloan management review</w:t>
      </w:r>
      <w:r w:rsidDel="00000000" w:rsidR="00000000" w:rsidRPr="00000000">
        <w:rPr>
          <w:rtl w:val="0"/>
        </w:rPr>
        <w:t xml:space="preserve">, </w:t>
      </w:r>
      <w:r w:rsidDel="00000000" w:rsidR="00000000" w:rsidRPr="00000000">
        <w:rPr>
          <w:i w:val="1"/>
          <w:rtl w:val="0"/>
        </w:rPr>
        <w:t xml:space="preserve">56</w:t>
      </w:r>
      <w:r w:rsidDel="00000000" w:rsidR="00000000" w:rsidRPr="00000000">
        <w:rPr>
          <w:rtl w:val="0"/>
        </w:rPr>
        <w:t xml:space="preserve">(4), p.67.  </w:t>
      </w:r>
    </w:p>
    <w:p w:rsidR="00000000" w:rsidDel="00000000" w:rsidP="00000000" w:rsidRDefault="00000000" w:rsidRPr="00000000" w14:paraId="0000004A">
      <w:pPr>
        <w:spacing w:line="240" w:lineRule="auto"/>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Legge, K., (2014). Human resource management: a critical analysis. In </w:t>
      </w:r>
      <w:r w:rsidDel="00000000" w:rsidR="00000000" w:rsidRPr="00000000">
        <w:rPr>
          <w:i w:val="1"/>
          <w:rtl w:val="0"/>
        </w:rPr>
        <w:t xml:space="preserve">New perspectives on human resource management</w:t>
      </w:r>
      <w:r w:rsidDel="00000000" w:rsidR="00000000" w:rsidRPr="00000000">
        <w:rPr>
          <w:rtl w:val="0"/>
        </w:rPr>
        <w:t xml:space="preserve"> (pp. 19-40). Routledge.  </w:t>
      </w:r>
    </w:p>
    <w:p w:rsidR="00000000" w:rsidDel="00000000" w:rsidP="00000000" w:rsidRDefault="00000000" w:rsidRPr="00000000" w14:paraId="0000004C">
      <w:pPr>
        <w:spacing w:line="240" w:lineRule="auto"/>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Nagendra, A., (2014). A paradigm shift in HR practices on employee life cycle due to influence of social media. </w:t>
      </w:r>
      <w:r w:rsidDel="00000000" w:rsidR="00000000" w:rsidRPr="00000000">
        <w:rPr>
          <w:i w:val="1"/>
          <w:rtl w:val="0"/>
        </w:rPr>
        <w:t xml:space="preserve">Procedia Economics and Finance</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 pp.197-207.  </w:t>
      </w:r>
    </w:p>
    <w:p w:rsidR="00000000" w:rsidDel="00000000" w:rsidP="00000000" w:rsidRDefault="00000000" w:rsidRPr="00000000" w14:paraId="0000004E">
      <w:pPr>
        <w:spacing w:line="240" w:lineRule="auto"/>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Narteh, B., Agbemabiese, G.C., Kodua, P. and Braimah, M., (2013). Relationship marketing and customer loyalty: Evidence from the Ghanaian luxury hotel industry. </w:t>
      </w:r>
      <w:r w:rsidDel="00000000" w:rsidR="00000000" w:rsidRPr="00000000">
        <w:rPr>
          <w:i w:val="1"/>
          <w:rtl w:val="0"/>
        </w:rPr>
        <w:t xml:space="preserve">Journal of Hospitality Marketing &amp; Management</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(4), pp.407-436.  </w:t>
      </w:r>
    </w:p>
    <w:p w:rsidR="00000000" w:rsidDel="00000000" w:rsidP="00000000" w:rsidRDefault="00000000" w:rsidRPr="00000000" w14:paraId="00000050">
      <w:pPr>
        <w:spacing w:line="240" w:lineRule="auto"/>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Putilov, A.V., Strikhanov, M.N. and Tikhomirov, G.V., (2019). Personnel training for the developing nuclear power industry. </w:t>
      </w:r>
      <w:r w:rsidDel="00000000" w:rsidR="00000000" w:rsidRPr="00000000">
        <w:rPr>
          <w:i w:val="1"/>
          <w:rtl w:val="0"/>
        </w:rPr>
        <w:t xml:space="preserve">Nuclear Energy and Technology</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(3), pp.201-206.  </w:t>
      </w:r>
    </w:p>
    <w:p w:rsidR="00000000" w:rsidDel="00000000" w:rsidP="00000000" w:rsidRDefault="00000000" w:rsidRPr="00000000" w14:paraId="00000052">
      <w:pPr>
        <w:rPr/>
      </w:pPr>
      <w:r w:rsidDel="00000000" w:rsidR="00000000" w:rsidRPr="00000000">
        <w:rPr>
          <w:rtl w:val="0"/>
        </w:rPr>
        <w:t xml:space="preserve">Saks, A.M. and Gruman, J.A., (2014). What do we really know about employee engagement? </w:t>
      </w:r>
      <w:r w:rsidDel="00000000" w:rsidR="00000000" w:rsidRPr="00000000">
        <w:rPr>
          <w:i w:val="1"/>
          <w:rtl w:val="0"/>
        </w:rPr>
        <w:t xml:space="preserve">Human resource development quarterly</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pp.155-182.  </w:t>
      </w:r>
    </w:p>
    <w:p w:rsidR="00000000" w:rsidDel="00000000" w:rsidP="00000000" w:rsidRDefault="00000000" w:rsidRPr="00000000" w14:paraId="00000053">
      <w:pPr>
        <w:spacing w:line="240" w:lineRule="auto"/>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Sun, L. and Bunchapattanasakda, C., (2019). Employee engagement: A literature review. </w:t>
      </w:r>
      <w:r w:rsidDel="00000000" w:rsidR="00000000" w:rsidRPr="00000000">
        <w:rPr>
          <w:i w:val="1"/>
          <w:rtl w:val="0"/>
        </w:rPr>
        <w:t xml:space="preserve">International Journal of Human Resource Studies</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 pp.63-80.  </w:t>
      </w:r>
    </w:p>
    <w:p w:rsidR="00000000" w:rsidDel="00000000" w:rsidP="00000000" w:rsidRDefault="00000000" w:rsidRPr="00000000" w14:paraId="00000055">
      <w:pPr>
        <w:spacing w:line="240" w:lineRule="auto"/>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Truss, C., Delbridge, R., Alfes, K., Shantz, A. and Soane, E. eds., (2013). </w:t>
      </w:r>
      <w:r w:rsidDel="00000000" w:rsidR="00000000" w:rsidRPr="00000000">
        <w:rPr>
          <w:i w:val="1"/>
          <w:rtl w:val="0"/>
        </w:rPr>
        <w:t xml:space="preserve">Employee engagement in theory and practice</w:t>
      </w:r>
      <w:r w:rsidDel="00000000" w:rsidR="00000000" w:rsidRPr="00000000">
        <w:rPr>
          <w:rtl w:val="0"/>
        </w:rPr>
        <w:t xml:space="preserve">. London: Routledge.  </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sz w:val="32"/>
      <w:szCs w:val="32"/>
    </w:rPr>
  </w:style>
  <w:style w:type="paragraph" w:styleId="Heading2">
    <w:name w:val="heading 2"/>
    <w:basedOn w:val="Normal"/>
    <w:next w:val="Normal"/>
    <w:pPr>
      <w:keepNext w:val="1"/>
      <w:keepLines w:val="1"/>
      <w:spacing w:before="4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b w:val="1"/>
      <w:sz w:val="48"/>
      <w:szCs w:val="48"/>
    </w:rPr>
  </w:style>
  <w:style w:type="paragraph" w:styleId="Normal" w:default="1">
    <w:name w:val="Normal"/>
    <w:qFormat w:val="1"/>
    <w:rsid w:val="00656747"/>
    <w:pPr>
      <w:spacing w:after="0" w:line="360" w:lineRule="auto"/>
      <w:jc w:val="both"/>
    </w:pPr>
    <w:rPr>
      <w:rFonts w:ascii="Arial" w:cs="Times New Roman" w:hAnsi="Arial"/>
      <w:sz w:val="24"/>
      <w:szCs w:val="20"/>
      <w:lang w:val="en-GB"/>
    </w:rPr>
  </w:style>
  <w:style w:type="paragraph" w:styleId="Heading1">
    <w:name w:val="heading 1"/>
    <w:basedOn w:val="Normal"/>
    <w:next w:val="Normal"/>
    <w:link w:val="Heading1Char"/>
    <w:uiPriority w:val="9"/>
    <w:qFormat w:val="1"/>
    <w:rsid w:val="0043347E"/>
    <w:pPr>
      <w:keepNext w:val="1"/>
      <w:keepLines w:val="1"/>
      <w:spacing w:before="240"/>
      <w:outlineLvl w:val="0"/>
    </w:pPr>
    <w:rPr>
      <w:rFonts w:cstheme="majorBidi" w:eastAsiaTheme="majorEastAsia"/>
      <w:b w:val="1"/>
      <w:sz w:val="32"/>
      <w:szCs w:val="32"/>
      <w:lang w:val="en-US"/>
    </w:rPr>
  </w:style>
  <w:style w:type="paragraph" w:styleId="Heading2">
    <w:name w:val="heading 2"/>
    <w:basedOn w:val="Normal"/>
    <w:next w:val="Normal"/>
    <w:link w:val="Heading2Char"/>
    <w:uiPriority w:val="9"/>
    <w:unhideWhenUsed w:val="1"/>
    <w:qFormat w:val="1"/>
    <w:rsid w:val="0043347E"/>
    <w:pPr>
      <w:keepNext w:val="1"/>
      <w:keepLines w:val="1"/>
      <w:spacing w:before="40"/>
      <w:outlineLvl w:val="1"/>
    </w:pPr>
    <w:rPr>
      <w:rFonts w:cstheme="majorBidi" w:eastAsiaTheme="majorEastAsia"/>
      <w:b w:val="1"/>
      <w:sz w:val="28"/>
      <w:szCs w:val="26"/>
      <w:lang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3347E"/>
    <w:rPr>
      <w:rFonts w:ascii="Times New Roman" w:hAnsi="Times New Roman" w:cstheme="majorBidi" w:eastAsiaTheme="majorEastAsia"/>
      <w:b w:val="1"/>
      <w:sz w:val="32"/>
      <w:szCs w:val="32"/>
    </w:rPr>
  </w:style>
  <w:style w:type="character" w:styleId="Heading2Char" w:customStyle="1">
    <w:name w:val="Heading 2 Char"/>
    <w:basedOn w:val="DefaultParagraphFont"/>
    <w:link w:val="Heading2"/>
    <w:uiPriority w:val="9"/>
    <w:rsid w:val="0043347E"/>
    <w:rPr>
      <w:rFonts w:ascii="Times New Roman" w:hAnsi="Times New Roman" w:cstheme="majorBidi" w:eastAsiaTheme="majorEastAsia"/>
      <w:b w:val="1"/>
      <w:sz w:val="28"/>
      <w:szCs w:val="26"/>
    </w:rPr>
  </w:style>
  <w:style w:type="paragraph" w:styleId="Title">
    <w:name w:val="Title"/>
    <w:basedOn w:val="Normal"/>
    <w:next w:val="Normal"/>
    <w:link w:val="TitleChar"/>
    <w:uiPriority w:val="10"/>
    <w:qFormat w:val="1"/>
    <w:rsid w:val="001B4C6A"/>
    <w:pPr>
      <w:contextualSpacing w:val="1"/>
      <w:jc w:val="center"/>
    </w:pPr>
    <w:rPr>
      <w:rFonts w:cstheme="majorBidi" w:eastAsiaTheme="majorEastAsia"/>
      <w:b w:val="1"/>
      <w:spacing w:val="-10"/>
      <w:kern w:val="28"/>
      <w:sz w:val="48"/>
      <w:szCs w:val="56"/>
    </w:rPr>
  </w:style>
  <w:style w:type="character" w:styleId="TitleChar" w:customStyle="1">
    <w:name w:val="Title Char"/>
    <w:basedOn w:val="DefaultParagraphFont"/>
    <w:link w:val="Title"/>
    <w:uiPriority w:val="10"/>
    <w:rsid w:val="001B4C6A"/>
    <w:rPr>
      <w:rFonts w:ascii="Times New Roman" w:hAnsi="Times New Roman" w:cstheme="majorBidi" w:eastAsiaTheme="majorEastAsia"/>
      <w:b w:val="1"/>
      <w:spacing w:val="-10"/>
      <w:kern w:val="28"/>
      <w:sz w:val="48"/>
      <w:szCs w:val="56"/>
      <w:lang w:val="en-GB"/>
    </w:rPr>
  </w:style>
  <w:style w:type="paragraph" w:styleId="NoSpacing">
    <w:name w:val="No Spacing"/>
    <w:uiPriority w:val="1"/>
    <w:qFormat w:val="1"/>
    <w:rsid w:val="000B676A"/>
    <w:pPr>
      <w:spacing w:after="0" w:line="240" w:lineRule="auto"/>
      <w:jc w:val="both"/>
    </w:pPr>
    <w:rPr>
      <w:rFonts w:ascii="Arial" w:cs="Times New Roman" w:hAnsi="Arial"/>
      <w:sz w:val="24"/>
      <w:szCs w:val="20"/>
      <w:lang w:val="en-GB"/>
    </w:rPr>
  </w:style>
  <w:style w:type="paragraph" w:styleId="Header">
    <w:name w:val="header"/>
    <w:basedOn w:val="Normal"/>
    <w:link w:val="HeaderChar"/>
    <w:uiPriority w:val="99"/>
    <w:unhideWhenUsed w:val="1"/>
    <w:rsid w:val="00327287"/>
    <w:pPr>
      <w:tabs>
        <w:tab w:val="center" w:pos="4680"/>
        <w:tab w:val="right" w:pos="9360"/>
      </w:tabs>
      <w:spacing w:line="240" w:lineRule="auto"/>
    </w:pPr>
  </w:style>
  <w:style w:type="character" w:styleId="HeaderChar" w:customStyle="1">
    <w:name w:val="Header Char"/>
    <w:basedOn w:val="DefaultParagraphFont"/>
    <w:link w:val="Header"/>
    <w:uiPriority w:val="99"/>
    <w:rsid w:val="00327287"/>
    <w:rPr>
      <w:rFonts w:ascii="Arial" w:cs="Times New Roman" w:hAnsi="Arial"/>
      <w:sz w:val="24"/>
      <w:szCs w:val="20"/>
      <w:lang w:val="en-GB"/>
    </w:rPr>
  </w:style>
  <w:style w:type="paragraph" w:styleId="Footer">
    <w:name w:val="footer"/>
    <w:basedOn w:val="Normal"/>
    <w:link w:val="FooterChar"/>
    <w:uiPriority w:val="99"/>
    <w:unhideWhenUsed w:val="1"/>
    <w:rsid w:val="00327287"/>
    <w:pPr>
      <w:tabs>
        <w:tab w:val="center" w:pos="4680"/>
        <w:tab w:val="right" w:pos="9360"/>
      </w:tabs>
      <w:spacing w:line="240" w:lineRule="auto"/>
    </w:pPr>
  </w:style>
  <w:style w:type="character" w:styleId="FooterChar" w:customStyle="1">
    <w:name w:val="Footer Char"/>
    <w:basedOn w:val="DefaultParagraphFont"/>
    <w:link w:val="Footer"/>
    <w:uiPriority w:val="99"/>
    <w:rsid w:val="00327287"/>
    <w:rPr>
      <w:rFonts w:ascii="Arial" w:cs="Times New Roman" w:hAnsi="Arial"/>
      <w:sz w:val="24"/>
      <w:szCs w:val="20"/>
      <w:lang w:val="en-GB"/>
    </w:rPr>
  </w:style>
  <w:style w:type="paragraph" w:styleId="ListParagraph">
    <w:name w:val="List Paragraph"/>
    <w:basedOn w:val="Normal"/>
    <w:uiPriority w:val="34"/>
    <w:qFormat w:val="1"/>
    <w:rsid w:val="005D19D4"/>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Uko6kD8mp6lZgqS6LDW7/2sXhQ==">AMUW2mUAcCShxLgFD1IWCzoSzMdYLDeSTRJ5ytL0N1D0ygkZFfZuEzVIGqPwsbYg16BSY+Ru66d5/i4P6DTeGZZVL7eVaAUJYtCPDWOLvcKTiHenTa6GJLA=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2023-02-12T11:54:00Z</dcterms:created>
  <dc:creator>Mohammad Arifur Rahman Khan (2022401)</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450c27f6-2e80-4db1-91ad-fff6f1e14d5b</vt:lpwstr>
  </property>
</Properties>
</file>