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43F77" w14:textId="6CAB09B9" w:rsidR="00E33468" w:rsidRDefault="00A22F39" w:rsidP="00A22F39">
      <w:pPr>
        <w:jc w:val="center"/>
        <w:rPr>
          <w:rFonts w:asciiTheme="majorHAnsi" w:hAnsiTheme="majorHAnsi"/>
          <w:sz w:val="28"/>
          <w:szCs w:val="28"/>
          <w:u w:val="single"/>
        </w:rPr>
      </w:pPr>
      <w:r w:rsidRPr="00A22F39">
        <w:rPr>
          <w:rFonts w:asciiTheme="majorHAnsi" w:hAnsiTheme="majorHAnsi"/>
          <w:sz w:val="28"/>
          <w:szCs w:val="28"/>
          <w:u w:val="single"/>
        </w:rPr>
        <w:t> Maat in pharaonic Egypt</w:t>
      </w:r>
    </w:p>
    <w:p w14:paraId="2E40AAB6" w14:textId="52841913" w:rsidR="00A22F39" w:rsidRDefault="00A22F39" w:rsidP="00A22F39">
      <w:pPr>
        <w:jc w:val="center"/>
        <w:rPr>
          <w:rFonts w:asciiTheme="majorHAnsi" w:hAnsiTheme="majorHAnsi"/>
          <w:sz w:val="28"/>
          <w:szCs w:val="28"/>
          <w:u w:val="single"/>
        </w:rPr>
      </w:pPr>
    </w:p>
    <w:p w14:paraId="3AA0D374" w14:textId="30C2C711" w:rsidR="00A22F39" w:rsidRDefault="00A17DAC" w:rsidP="00A22F39">
      <w:pPr>
        <w:rPr>
          <w:rFonts w:asciiTheme="majorHAnsi" w:hAnsiTheme="majorHAnsi"/>
        </w:rPr>
      </w:pPr>
      <w:r>
        <w:rPr>
          <w:noProof/>
        </w:rPr>
        <w:drawing>
          <wp:anchor distT="0" distB="0" distL="114300" distR="114300" simplePos="0" relativeHeight="251658240" behindDoc="1" locked="0" layoutInCell="1" allowOverlap="1" wp14:anchorId="72020950" wp14:editId="720F056D">
            <wp:simplePos x="0" y="0"/>
            <wp:positionH relativeFrom="margin">
              <wp:align>right</wp:align>
            </wp:positionH>
            <wp:positionV relativeFrom="paragraph">
              <wp:posOffset>628015</wp:posOffset>
            </wp:positionV>
            <wp:extent cx="3335020" cy="2486025"/>
            <wp:effectExtent l="0" t="0" r="0" b="9525"/>
            <wp:wrapTight wrapText="bothSides">
              <wp:wrapPolygon edited="0">
                <wp:start x="0" y="0"/>
                <wp:lineTo x="0" y="21517"/>
                <wp:lineTo x="21468" y="21517"/>
                <wp:lineTo x="21468" y="0"/>
                <wp:lineTo x="0" y="0"/>
              </wp:wrapPolygon>
            </wp:wrapTight>
            <wp:docPr id="1550290020" name="Picture 5" descr="Maat - Profile of Goddess Ma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at - Profile of Goddess Maa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335020" cy="2486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2F39" w:rsidRPr="00A22F39">
        <w:rPr>
          <w:rFonts w:asciiTheme="majorHAnsi" w:hAnsiTheme="majorHAnsi"/>
        </w:rPr>
        <w:t>Maat, an essential concept within ancient Egyptian culture, represented the fundamental principles of truth, justice, balance, harmony, and cosmic order. Maat was both a deity and a guiding ethical force, and she was central to Egyptian religious thought. She was present in all facets of existence, from everyday encounters and the natural order to governance and the afterlife. By ensuring that the world operated in harmony in accordance with divine law, Maat preserved stability; any departure from these rules may result in anarchy, or Isfet. Therefore, maintaining Maat was of utmost importance, especially for the Pharaoh, who served as the earthly guardian of cosmic equilibrium. Maat's complex function as a principle and a divinity emphasises how important it was to Pharaonic Egypt's social, political, and spiritual life.</w:t>
      </w:r>
    </w:p>
    <w:p w14:paraId="2A9D2285" w14:textId="77777777" w:rsidR="00FD5F27" w:rsidRDefault="00FD5F27" w:rsidP="00A22F39">
      <w:pPr>
        <w:rPr>
          <w:rFonts w:asciiTheme="majorHAnsi" w:hAnsiTheme="majorHAnsi"/>
        </w:rPr>
      </w:pPr>
    </w:p>
    <w:p w14:paraId="72ED8798" w14:textId="1D77CEE7" w:rsidR="00FD5F27" w:rsidRPr="00892908" w:rsidRDefault="00FD5F27" w:rsidP="00A22F39">
      <w:pPr>
        <w:rPr>
          <w:rFonts w:asciiTheme="majorHAnsi" w:hAnsiTheme="majorHAnsi"/>
          <w:i/>
          <w:iCs/>
          <w:sz w:val="28"/>
          <w:szCs w:val="28"/>
        </w:rPr>
      </w:pPr>
      <w:r w:rsidRPr="00892908">
        <w:rPr>
          <w:rFonts w:asciiTheme="majorHAnsi" w:hAnsiTheme="majorHAnsi"/>
          <w:i/>
          <w:iCs/>
          <w:sz w:val="28"/>
          <w:szCs w:val="28"/>
        </w:rPr>
        <w:t>The Concept of Maat</w:t>
      </w:r>
    </w:p>
    <w:p w14:paraId="69575E4D" w14:textId="02BB52C4" w:rsidR="00FD5F27" w:rsidRDefault="00FD5F27" w:rsidP="00FD5F27">
      <w:pPr>
        <w:rPr>
          <w:rFonts w:asciiTheme="majorHAnsi" w:hAnsiTheme="majorHAnsi"/>
        </w:rPr>
      </w:pPr>
      <w:r w:rsidRPr="00FD5F27">
        <w:rPr>
          <w:rFonts w:asciiTheme="majorHAnsi" w:hAnsiTheme="majorHAnsi"/>
        </w:rPr>
        <w:t>Maat encompassed not only moral and ethical standards but also the cosmological principle that upheld the universe. The ancient Egyptians saw Maat as a vital energy essential for preserving order in both the natural and human domains. Maat regulated predictable phenomena, such as the annual inundation of the Nile, which the Egyptians perceived as an embodiment of cosmic equilibrium vital for agricultural success (Assmann 199</w:t>
      </w:r>
      <w:r>
        <w:rPr>
          <w:rFonts w:asciiTheme="majorHAnsi" w:hAnsiTheme="majorHAnsi"/>
        </w:rPr>
        <w:t>0</w:t>
      </w:r>
      <w:r w:rsidRPr="00FD5F27">
        <w:rPr>
          <w:rFonts w:asciiTheme="majorHAnsi" w:hAnsiTheme="majorHAnsi"/>
        </w:rPr>
        <w:t xml:space="preserve">). In human society, devotion to Maat guaranteed social stability and justice, affecting aspects from personal ethics to judicial decisions. Works such as "The Instruction of Ptahhotep" clearly advocate for Maat as an ethical benchmark, encouraging individuals to communicate honestly, behave justly, and preserve communal peace (Lichtheim </w:t>
      </w:r>
      <w:r>
        <w:rPr>
          <w:rFonts w:asciiTheme="majorHAnsi" w:hAnsiTheme="majorHAnsi"/>
        </w:rPr>
        <w:t>2006</w:t>
      </w:r>
      <w:r w:rsidRPr="00FD5F27">
        <w:rPr>
          <w:rFonts w:asciiTheme="majorHAnsi" w:hAnsiTheme="majorHAnsi"/>
        </w:rPr>
        <w:t>).</w:t>
      </w:r>
      <w:r w:rsidRPr="00FD5F27">
        <w:rPr>
          <w:rFonts w:asciiTheme="majorHAnsi" w:hAnsiTheme="majorHAnsi"/>
        </w:rPr>
        <w:br/>
        <w:t xml:space="preserve">The Pharaoh, as the divine sovereign, was responsible for maintaining Maat through the execution of rites, the establishment of just laws, and ethical governance. This obligation was essential to their legitimacy and the flourishing of their realm. Inscriptions on temple walls often illustrate Pharaohs offering Maat to the gods, symbolising their dedication to cosmic order (Teeter 2011). The Egyptians claimed that disturbances to Maat resulted in chaos, or Isfet, which was marked by disorder, injustice, and imbalance, endangering both society and the cosmos. Such interruptions may result in starvation, political turmoil, or ethical deterioration, highlighting the need of Maat in preserving equilibrium (Hornung </w:t>
      </w:r>
      <w:r>
        <w:rPr>
          <w:rFonts w:asciiTheme="majorHAnsi" w:hAnsiTheme="majorHAnsi"/>
        </w:rPr>
        <w:t>2001</w:t>
      </w:r>
      <w:r w:rsidRPr="00FD5F27">
        <w:rPr>
          <w:rFonts w:asciiTheme="majorHAnsi" w:hAnsiTheme="majorHAnsi"/>
        </w:rPr>
        <w:t>). The concept of Maat was fundamental, intricately woven into the religious beliefs, societal standards, and governmental frameworks of ancient Egypt.</w:t>
      </w:r>
    </w:p>
    <w:p w14:paraId="4AE90ECF" w14:textId="77777777" w:rsidR="00FD5F27" w:rsidRPr="00FB393C" w:rsidRDefault="00FD5F27" w:rsidP="00FD5F27">
      <w:pPr>
        <w:rPr>
          <w:rFonts w:asciiTheme="majorHAnsi" w:hAnsiTheme="majorHAnsi"/>
          <w:i/>
          <w:iCs/>
          <w:sz w:val="24"/>
          <w:szCs w:val="24"/>
        </w:rPr>
      </w:pPr>
    </w:p>
    <w:p w14:paraId="2A1CA175" w14:textId="77777777" w:rsidR="00FB393C" w:rsidRPr="00892908" w:rsidRDefault="00FB393C" w:rsidP="00FB393C">
      <w:pPr>
        <w:rPr>
          <w:rFonts w:asciiTheme="majorHAnsi" w:hAnsiTheme="majorHAnsi"/>
          <w:i/>
          <w:iCs/>
          <w:sz w:val="28"/>
          <w:szCs w:val="28"/>
        </w:rPr>
      </w:pPr>
      <w:r w:rsidRPr="00FB393C">
        <w:rPr>
          <w:rFonts w:asciiTheme="majorHAnsi" w:hAnsiTheme="majorHAnsi"/>
          <w:i/>
          <w:iCs/>
          <w:sz w:val="28"/>
          <w:szCs w:val="28"/>
        </w:rPr>
        <w:t>Maat as a Goddess</w:t>
      </w:r>
    </w:p>
    <w:p w14:paraId="08F36F7F" w14:textId="0310A36F" w:rsidR="00FE5B5D" w:rsidRDefault="00FE5B5D" w:rsidP="00FE5B5D">
      <w:pPr>
        <w:rPr>
          <w:rFonts w:asciiTheme="majorHAnsi" w:hAnsiTheme="majorHAnsi"/>
          <w:sz w:val="24"/>
          <w:szCs w:val="24"/>
        </w:rPr>
      </w:pPr>
      <w:r w:rsidRPr="00FE5B5D">
        <w:rPr>
          <w:rFonts w:asciiTheme="majorHAnsi" w:hAnsiTheme="majorHAnsi"/>
          <w:sz w:val="24"/>
          <w:szCs w:val="24"/>
        </w:rPr>
        <w:t xml:space="preserve">Maat was embodied as a goddess, typically portrayed as a woman adorned with an ostrich feather, representing truth and equilibrium. She occupied a pivotal position within the Egyptian </w:t>
      </w:r>
      <w:r w:rsidRPr="00FE5B5D">
        <w:rPr>
          <w:rFonts w:asciiTheme="majorHAnsi" w:hAnsiTheme="majorHAnsi"/>
          <w:sz w:val="24"/>
          <w:szCs w:val="24"/>
        </w:rPr>
        <w:lastRenderedPageBreak/>
        <w:t>pantheon and religious ceremonies. Temples devoted to Ma</w:t>
      </w:r>
      <w:r w:rsidR="00AD13E6">
        <w:rPr>
          <w:rFonts w:asciiTheme="majorHAnsi" w:hAnsiTheme="majorHAnsi"/>
          <w:sz w:val="24"/>
          <w:szCs w:val="24"/>
        </w:rPr>
        <w:t>at</w:t>
      </w:r>
      <w:r w:rsidRPr="00FE5B5D">
        <w:rPr>
          <w:rFonts w:asciiTheme="majorHAnsi" w:hAnsiTheme="majorHAnsi"/>
          <w:sz w:val="24"/>
          <w:szCs w:val="24"/>
        </w:rPr>
        <w:t xml:space="preserve"> served as hubs for worship and legal adjudication, illustrating her dual function in both spiritual and civic spheres. Tomb art and temple reliefs often depict Maat with other deities, underscoring her significance to divine and cosmic order (Wilkinson 20</w:t>
      </w:r>
      <w:r>
        <w:rPr>
          <w:rFonts w:asciiTheme="majorHAnsi" w:hAnsiTheme="majorHAnsi"/>
          <w:sz w:val="24"/>
          <w:szCs w:val="24"/>
        </w:rPr>
        <w:t>17</w:t>
      </w:r>
      <w:r w:rsidRPr="00FE5B5D">
        <w:rPr>
          <w:rFonts w:asciiTheme="majorHAnsi" w:hAnsiTheme="majorHAnsi"/>
          <w:sz w:val="24"/>
          <w:szCs w:val="24"/>
        </w:rPr>
        <w:t>).</w:t>
      </w:r>
      <w:r w:rsidR="00892908">
        <w:rPr>
          <w:rFonts w:asciiTheme="majorHAnsi" w:hAnsiTheme="majorHAnsi"/>
          <w:sz w:val="24"/>
          <w:szCs w:val="24"/>
        </w:rPr>
        <w:t xml:space="preserve"> </w:t>
      </w:r>
      <w:r w:rsidRPr="00FE5B5D">
        <w:rPr>
          <w:rFonts w:asciiTheme="majorHAnsi" w:hAnsiTheme="majorHAnsi"/>
          <w:sz w:val="24"/>
          <w:szCs w:val="24"/>
        </w:rPr>
        <w:t xml:space="preserve">The Pharaoh was regarded as the terrestrial embodiment and guardian of Maat. Royal inscriptions and iconography frequently depict the Pharaoh offering the image of Maat to principal deities, symbolically conveying their function in preserving cosmic and social balance. Scenes depicting Pharaohs presenting Maat to deities like Osiris and Ra reinforced their divine duty and legitimacy (Robins </w:t>
      </w:r>
      <w:r>
        <w:rPr>
          <w:rFonts w:asciiTheme="majorHAnsi" w:hAnsiTheme="majorHAnsi"/>
          <w:sz w:val="24"/>
          <w:szCs w:val="24"/>
        </w:rPr>
        <w:t>1997</w:t>
      </w:r>
      <w:r w:rsidRPr="00FE5B5D">
        <w:rPr>
          <w:rFonts w:asciiTheme="majorHAnsi" w:hAnsiTheme="majorHAnsi"/>
          <w:sz w:val="24"/>
          <w:szCs w:val="24"/>
        </w:rPr>
        <w:t>).</w:t>
      </w:r>
      <w:r w:rsidR="00892908">
        <w:rPr>
          <w:rFonts w:asciiTheme="majorHAnsi" w:hAnsiTheme="majorHAnsi"/>
          <w:sz w:val="24"/>
          <w:szCs w:val="24"/>
        </w:rPr>
        <w:t xml:space="preserve"> </w:t>
      </w:r>
      <w:r w:rsidRPr="00FE5B5D">
        <w:rPr>
          <w:rFonts w:asciiTheme="majorHAnsi" w:hAnsiTheme="majorHAnsi"/>
          <w:sz w:val="24"/>
          <w:szCs w:val="24"/>
        </w:rPr>
        <w:t>Maat was intricately linked to Thoth, the deity of wisdom and scribes, who was thought to document judgements in accordance with Maat's ideals. She was associated with Osiris, the deity of the afterlife, highlighting her crucial function in maintaining order beyond human existence. The goddess Maat was integral to both the terrestrial administration of society and the celestial order of the afterlife (Pinch 2004).</w:t>
      </w:r>
    </w:p>
    <w:p w14:paraId="55E9DA32" w14:textId="77777777" w:rsidR="00892908" w:rsidRPr="00892908" w:rsidRDefault="00892908" w:rsidP="00FE5B5D">
      <w:pPr>
        <w:rPr>
          <w:rFonts w:asciiTheme="majorHAnsi" w:hAnsiTheme="majorHAnsi"/>
          <w:i/>
          <w:iCs/>
          <w:sz w:val="28"/>
          <w:szCs w:val="28"/>
        </w:rPr>
      </w:pPr>
    </w:p>
    <w:p w14:paraId="1FE07370" w14:textId="481CA858" w:rsidR="00892908" w:rsidRPr="00892908" w:rsidRDefault="00892908" w:rsidP="00FE5B5D">
      <w:pPr>
        <w:rPr>
          <w:rFonts w:asciiTheme="majorHAnsi" w:hAnsiTheme="majorHAnsi"/>
          <w:i/>
          <w:iCs/>
          <w:sz w:val="28"/>
          <w:szCs w:val="28"/>
        </w:rPr>
      </w:pPr>
      <w:r w:rsidRPr="00892908">
        <w:rPr>
          <w:rFonts w:asciiTheme="majorHAnsi" w:hAnsiTheme="majorHAnsi"/>
          <w:i/>
          <w:iCs/>
          <w:sz w:val="28"/>
          <w:szCs w:val="28"/>
        </w:rPr>
        <w:t>Maat’s Importance in Egyptian Society</w:t>
      </w:r>
    </w:p>
    <w:p w14:paraId="416A9B05" w14:textId="2BCBF1DB" w:rsidR="00892908" w:rsidRPr="00892908" w:rsidRDefault="00892908" w:rsidP="00892908">
      <w:pPr>
        <w:rPr>
          <w:rFonts w:asciiTheme="majorHAnsi" w:hAnsiTheme="majorHAnsi"/>
          <w:sz w:val="24"/>
          <w:szCs w:val="24"/>
        </w:rPr>
      </w:pPr>
      <w:r w:rsidRPr="00892908">
        <w:rPr>
          <w:rFonts w:asciiTheme="majorHAnsi" w:hAnsiTheme="majorHAnsi"/>
          <w:sz w:val="24"/>
          <w:szCs w:val="24"/>
        </w:rPr>
        <w:t>Maat was not merely a metaphysical or theological concept; rather she infiltrated every facet of Egyptian civilisation, encompassing daily life and the highest echelons of government. Her effect was especially evident in Egypt's legal and administrative frameworks, where justice was perceived not in theoretical terms but as the real implementation of Maat.</w:t>
      </w:r>
      <w:r w:rsidRPr="00892908">
        <w:rPr>
          <w:rFonts w:asciiTheme="majorHAnsi" w:hAnsiTheme="majorHAnsi"/>
          <w:sz w:val="24"/>
          <w:szCs w:val="24"/>
        </w:rPr>
        <w:br/>
      </w:r>
      <w:r w:rsidRPr="00892908">
        <w:rPr>
          <w:rFonts w:asciiTheme="majorHAnsi" w:hAnsiTheme="majorHAnsi"/>
          <w:sz w:val="24"/>
          <w:szCs w:val="24"/>
        </w:rPr>
        <w:br/>
        <w:t>In legal contexts, Maat served as the foundational principle for both the laws and the judges who upheld them. Egyptian judges were occasionally termed “priests of Maat,” indicating that proper governance entailed harmonising one’s activities with the divine order (Assmann 1990). Courts functioned not according to a defined legal framework, but rather on concepts deemed to embody Maat</w:t>
      </w:r>
      <w:r>
        <w:rPr>
          <w:rFonts w:asciiTheme="majorHAnsi" w:hAnsiTheme="majorHAnsi"/>
          <w:sz w:val="24"/>
          <w:szCs w:val="24"/>
        </w:rPr>
        <w:t xml:space="preserve">- </w:t>
      </w:r>
      <w:r w:rsidRPr="00892908">
        <w:rPr>
          <w:rFonts w:asciiTheme="majorHAnsi" w:hAnsiTheme="majorHAnsi"/>
          <w:sz w:val="24"/>
          <w:szCs w:val="24"/>
        </w:rPr>
        <w:t>equity, equilibrium, and societal cohesion. Officials and scribes were anticipated to adhere to these principles, guaranteeing that their acts fostered stability rather than disorder (isfet), the antithesis of Maat.</w:t>
      </w:r>
      <w:r w:rsidRPr="00892908">
        <w:rPr>
          <w:rFonts w:asciiTheme="majorHAnsi" w:hAnsiTheme="majorHAnsi"/>
          <w:sz w:val="24"/>
          <w:szCs w:val="24"/>
        </w:rPr>
        <w:br/>
      </w:r>
      <w:r w:rsidRPr="00892908">
        <w:rPr>
          <w:rFonts w:asciiTheme="majorHAnsi" w:hAnsiTheme="majorHAnsi"/>
          <w:sz w:val="24"/>
          <w:szCs w:val="24"/>
        </w:rPr>
        <w:br/>
        <w:t>The Pharaoh, as the divine sovereign of Egypt, bore the paramount duty of maintaining Maat on earth. This entailed not only administering justice legally but also preserving political stability, religious orthodoxy, and agricultural productivity. Temple reliefs often illustrate the Pharaoh presenting a little figurine of Maat to the deities, signifying his commitment to just governance and the maintenance of cosmic equilibrium (Teeter 2011). Thus, the fulfilment of Maat served as the foundational premise legitimising the king's authority; without it, both his reign and the state were imperilled.</w:t>
      </w:r>
      <w:r>
        <w:rPr>
          <w:rFonts w:asciiTheme="majorHAnsi" w:hAnsiTheme="majorHAnsi"/>
          <w:sz w:val="24"/>
          <w:szCs w:val="24"/>
        </w:rPr>
        <w:t xml:space="preserve"> </w:t>
      </w:r>
      <w:r w:rsidRPr="00892908">
        <w:rPr>
          <w:rFonts w:asciiTheme="majorHAnsi" w:hAnsiTheme="majorHAnsi"/>
          <w:sz w:val="24"/>
          <w:szCs w:val="24"/>
        </w:rPr>
        <w:t>Even common Egyptians were anticipated to adhere to Maat. Wisdom literature, exemplified by the Instruction of Ptahhotep, promoted values such as honesty, humility, and social responsibility</w:t>
      </w:r>
      <w:r>
        <w:rPr>
          <w:rFonts w:asciiTheme="majorHAnsi" w:hAnsiTheme="majorHAnsi"/>
          <w:sz w:val="24"/>
          <w:szCs w:val="24"/>
        </w:rPr>
        <w:t xml:space="preserve">, </w:t>
      </w:r>
      <w:r w:rsidRPr="00892908">
        <w:rPr>
          <w:rFonts w:asciiTheme="majorHAnsi" w:hAnsiTheme="majorHAnsi"/>
          <w:sz w:val="24"/>
          <w:szCs w:val="24"/>
        </w:rPr>
        <w:t>ethical conduct that embodied the order mandated by Maat (Lichtheim 1973). Maat functioned as the ethical and civic cornerstone of ancient Egyptian civilisation.</w:t>
      </w:r>
    </w:p>
    <w:p w14:paraId="38E964B2" w14:textId="77777777" w:rsidR="00892908" w:rsidRPr="00FE5B5D" w:rsidRDefault="00892908" w:rsidP="00FE5B5D">
      <w:pPr>
        <w:rPr>
          <w:rFonts w:asciiTheme="majorHAnsi" w:hAnsiTheme="majorHAnsi"/>
          <w:sz w:val="24"/>
          <w:szCs w:val="24"/>
        </w:rPr>
      </w:pPr>
    </w:p>
    <w:p w14:paraId="3A325221" w14:textId="77777777" w:rsidR="00A17DAC" w:rsidRDefault="00A17DAC" w:rsidP="00FB393C">
      <w:pPr>
        <w:rPr>
          <w:rFonts w:asciiTheme="majorHAnsi" w:hAnsiTheme="majorHAnsi"/>
          <w:i/>
          <w:iCs/>
          <w:sz w:val="28"/>
          <w:szCs w:val="28"/>
        </w:rPr>
      </w:pPr>
    </w:p>
    <w:p w14:paraId="0F796F03" w14:textId="2F03A734" w:rsidR="00FB393C" w:rsidRPr="00FB393C" w:rsidRDefault="00892908" w:rsidP="00FB393C">
      <w:pPr>
        <w:rPr>
          <w:rFonts w:asciiTheme="majorHAnsi" w:hAnsiTheme="majorHAnsi"/>
          <w:i/>
          <w:iCs/>
          <w:sz w:val="28"/>
          <w:szCs w:val="28"/>
        </w:rPr>
      </w:pPr>
      <w:r w:rsidRPr="00892908">
        <w:rPr>
          <w:rFonts w:asciiTheme="majorHAnsi" w:hAnsiTheme="majorHAnsi"/>
          <w:i/>
          <w:iCs/>
          <w:sz w:val="28"/>
          <w:szCs w:val="28"/>
        </w:rPr>
        <w:lastRenderedPageBreak/>
        <w:t>The Role of Maat in the Afterlife</w:t>
      </w:r>
    </w:p>
    <w:p w14:paraId="161D6782" w14:textId="2E5286A1" w:rsidR="00892908" w:rsidRPr="00892908" w:rsidRDefault="00A17DAC" w:rsidP="00892908">
      <w:pPr>
        <w:rPr>
          <w:rFonts w:asciiTheme="majorHAnsi" w:hAnsiTheme="majorHAnsi"/>
        </w:rPr>
      </w:pPr>
      <w:r>
        <w:rPr>
          <w:noProof/>
        </w:rPr>
        <w:drawing>
          <wp:anchor distT="0" distB="0" distL="114300" distR="114300" simplePos="0" relativeHeight="251659264" behindDoc="1" locked="0" layoutInCell="1" allowOverlap="1" wp14:anchorId="03F4DC29" wp14:editId="1AC5DD5C">
            <wp:simplePos x="0" y="0"/>
            <wp:positionH relativeFrom="column">
              <wp:posOffset>-38100</wp:posOffset>
            </wp:positionH>
            <wp:positionV relativeFrom="paragraph">
              <wp:posOffset>3881120</wp:posOffset>
            </wp:positionV>
            <wp:extent cx="5731510" cy="2661920"/>
            <wp:effectExtent l="0" t="0" r="2540" b="5080"/>
            <wp:wrapTight wrapText="bothSides">
              <wp:wrapPolygon edited="0">
                <wp:start x="0" y="0"/>
                <wp:lineTo x="0" y="21487"/>
                <wp:lineTo x="21538" y="21487"/>
                <wp:lineTo x="21538" y="0"/>
                <wp:lineTo x="0" y="0"/>
              </wp:wrapPolygon>
            </wp:wrapTight>
            <wp:docPr id="311965450" name="Picture 6" descr="The Weighing Of The Heart Against Maats Feather Of Truth, From The Boo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Weighing Of The Heart Against Maats Feather Of Truth, From The Book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661920"/>
                    </a:xfrm>
                    <a:prstGeom prst="rect">
                      <a:avLst/>
                    </a:prstGeom>
                    <a:noFill/>
                    <a:ln>
                      <a:noFill/>
                    </a:ln>
                  </pic:spPr>
                </pic:pic>
              </a:graphicData>
            </a:graphic>
          </wp:anchor>
        </w:drawing>
      </w:r>
      <w:r w:rsidR="00892908" w:rsidRPr="00892908">
        <w:rPr>
          <w:rFonts w:asciiTheme="majorHAnsi" w:hAnsiTheme="majorHAnsi"/>
        </w:rPr>
        <w:t>Maat was pivotal in Egyptian beliefs regarding the afterlife, especially in the assessment of the deceased. Funerary records like the Book of the Dead indicate that the departed participated in a ceremony where their heart, regarded as the locus of consciousness, was weighed against the feather of Maat. Should the heart equal the feather, the soul was considered virtuous and granted entry to the Field of Reeds, a utopian domain where one may exist in tranquilly for forever (Allen 2005).</w:t>
      </w:r>
      <w:r w:rsidR="00892908" w:rsidRPr="00892908">
        <w:rPr>
          <w:rFonts w:asciiTheme="majorHAnsi" w:hAnsiTheme="majorHAnsi"/>
        </w:rPr>
        <w:br/>
      </w:r>
      <w:r w:rsidR="00892908" w:rsidRPr="00892908">
        <w:rPr>
          <w:rFonts w:asciiTheme="majorHAnsi" w:hAnsiTheme="majorHAnsi"/>
        </w:rPr>
        <w:br/>
        <w:t>The "Weighing of the Heart" ceremony was conducted by</w:t>
      </w:r>
      <w:r>
        <w:rPr>
          <w:rFonts w:asciiTheme="majorHAnsi" w:hAnsiTheme="majorHAnsi"/>
        </w:rPr>
        <w:t xml:space="preserve"> Anubis</w:t>
      </w:r>
      <w:r w:rsidR="00892908" w:rsidRPr="00892908">
        <w:rPr>
          <w:rFonts w:asciiTheme="majorHAnsi" w:hAnsiTheme="majorHAnsi"/>
        </w:rPr>
        <w:t xml:space="preserve">, the </w:t>
      </w:r>
      <w:r>
        <w:rPr>
          <w:rFonts w:asciiTheme="majorHAnsi" w:hAnsiTheme="majorHAnsi"/>
        </w:rPr>
        <w:t>God of graves</w:t>
      </w:r>
      <w:r w:rsidR="00892908" w:rsidRPr="00892908">
        <w:rPr>
          <w:rFonts w:asciiTheme="majorHAnsi" w:hAnsiTheme="majorHAnsi"/>
        </w:rPr>
        <w:t>, and incorporated Maat as a cosmic benchmark. The feather, frequently shown on her head in iconography, functioned as the definitive standard for a life lived in alignment with truth and justice. The ritual included Thoth, the deity of wisdom, who documented the results, so underscoring the link between divine order and ethical conduct (Hornung 1992).</w:t>
      </w:r>
      <w:r w:rsidR="00892908" w:rsidRPr="00892908">
        <w:rPr>
          <w:rFonts w:asciiTheme="majorHAnsi" w:hAnsiTheme="majorHAnsi"/>
        </w:rPr>
        <w:br/>
      </w:r>
      <w:r w:rsidR="00892908" w:rsidRPr="00892908">
        <w:rPr>
          <w:rFonts w:asciiTheme="majorHAnsi" w:hAnsiTheme="majorHAnsi"/>
        </w:rPr>
        <w:br/>
        <w:t>Failure on the test led to the soul being consumed by Ammit, a composite being, and denied existence in the afterlife</w:t>
      </w:r>
      <w:r w:rsidR="00892908">
        <w:rPr>
          <w:rFonts w:asciiTheme="majorHAnsi" w:hAnsiTheme="majorHAnsi"/>
        </w:rPr>
        <w:t xml:space="preserve">, </w:t>
      </w:r>
      <w:r w:rsidR="00892908" w:rsidRPr="00892908">
        <w:rPr>
          <w:rFonts w:asciiTheme="majorHAnsi" w:hAnsiTheme="majorHAnsi"/>
        </w:rPr>
        <w:t>an outcome seen as worse than punishment: obliteration. This severe outcome underscored the significance of adhering to Maat throughout one's existence.</w:t>
      </w:r>
      <w:r w:rsidR="00892908">
        <w:rPr>
          <w:rFonts w:asciiTheme="majorHAnsi" w:hAnsiTheme="majorHAnsi"/>
        </w:rPr>
        <w:t xml:space="preserve"> </w:t>
      </w:r>
      <w:r w:rsidR="00892908" w:rsidRPr="00892908">
        <w:rPr>
          <w:rFonts w:asciiTheme="majorHAnsi" w:hAnsiTheme="majorHAnsi"/>
        </w:rPr>
        <w:t>The focus was not solely on ritual cleanliness, but also on ethical conduct. The negative confessions (e.g., “I have not stolen,” “I have not caused pain”) embody the moral aspect of Maat, linking individual conduct to cosmic equilibrium (Assmann 2001). Maat served as both a metric and an ethical guide—her assessment dictating the fate of one's soul.</w:t>
      </w:r>
      <w:r w:rsidR="00892908">
        <w:rPr>
          <w:rFonts w:asciiTheme="majorHAnsi" w:hAnsiTheme="majorHAnsi"/>
        </w:rPr>
        <w:t xml:space="preserve"> </w:t>
      </w:r>
      <w:r w:rsidR="00892908" w:rsidRPr="00892908">
        <w:rPr>
          <w:rFonts w:asciiTheme="majorHAnsi" w:hAnsiTheme="majorHAnsi"/>
        </w:rPr>
        <w:t>Maat transcended existence and became the cornerstone of immortality in Egyptian theology.</w:t>
      </w:r>
      <w:r>
        <w:rPr>
          <w:rFonts w:asciiTheme="majorHAnsi" w:hAnsiTheme="majorHAnsi"/>
        </w:rPr>
        <w:t xml:space="preserve"> </w:t>
      </w:r>
    </w:p>
    <w:p w14:paraId="50C90287" w14:textId="77777777" w:rsidR="00FD5F27" w:rsidRDefault="00FD5F27" w:rsidP="00FD5F27">
      <w:pPr>
        <w:rPr>
          <w:rFonts w:asciiTheme="majorHAnsi" w:hAnsiTheme="majorHAnsi"/>
        </w:rPr>
      </w:pPr>
    </w:p>
    <w:p w14:paraId="76B65ECB" w14:textId="123C35C2" w:rsidR="00C62D1B" w:rsidRDefault="00C62D1B" w:rsidP="00FD5F27">
      <w:pPr>
        <w:rPr>
          <w:rFonts w:asciiTheme="majorHAnsi" w:hAnsiTheme="majorHAnsi"/>
          <w:i/>
          <w:iCs/>
          <w:sz w:val="28"/>
          <w:szCs w:val="28"/>
        </w:rPr>
      </w:pPr>
      <w:r w:rsidRPr="00C62D1B">
        <w:rPr>
          <w:rFonts w:asciiTheme="majorHAnsi" w:hAnsiTheme="majorHAnsi"/>
          <w:i/>
          <w:iCs/>
          <w:sz w:val="28"/>
          <w:szCs w:val="28"/>
        </w:rPr>
        <w:t>Maat’s Legacy and Influence</w:t>
      </w:r>
    </w:p>
    <w:p w14:paraId="7D2CB0A2" w14:textId="0DBDB81D" w:rsidR="00C62D1B" w:rsidRDefault="00C62D1B" w:rsidP="00C62D1B">
      <w:pPr>
        <w:rPr>
          <w:rFonts w:asciiTheme="majorHAnsi" w:hAnsiTheme="majorHAnsi"/>
        </w:rPr>
      </w:pPr>
      <w:r w:rsidRPr="00C62D1B">
        <w:rPr>
          <w:rFonts w:asciiTheme="majorHAnsi" w:hAnsiTheme="majorHAnsi"/>
        </w:rPr>
        <w:t>The notion of Maat, originating in Pharaonic Egypt, transcended its ancient roots, significantly influencing Egyptian philosophy, administration, and contemporary interpretations of justice and moral order. Maat was not merely a theological or mythological entity but a philosophical paradigm that influenced Egyptian perceptions of society, the individual, and the cosmos.</w:t>
      </w:r>
      <w:r w:rsidRPr="00C62D1B">
        <w:rPr>
          <w:rFonts w:asciiTheme="majorHAnsi" w:hAnsiTheme="majorHAnsi"/>
        </w:rPr>
        <w:br/>
      </w:r>
      <w:r w:rsidRPr="00C62D1B">
        <w:rPr>
          <w:rFonts w:asciiTheme="majorHAnsi" w:hAnsiTheme="majorHAnsi"/>
        </w:rPr>
        <w:br/>
        <w:t xml:space="preserve">Maat exemplified the ideals of appropriate behaviour, government, and contemplation in Egyptian </w:t>
      </w:r>
      <w:r w:rsidRPr="00C62D1B">
        <w:rPr>
          <w:rFonts w:asciiTheme="majorHAnsi" w:hAnsiTheme="majorHAnsi"/>
        </w:rPr>
        <w:lastRenderedPageBreak/>
        <w:t>intellectual life. Texts such as the Instruction of Amenemope, composed during the New Kingdom, illustrate how Maat influenced the ethical and reflective aspects of elite education (Parkinson 2002). In contrast to the inflexible legal rules of other ancient civilisations, Egyptian justice was adaptable, based on a judge's capacity to implement Maat in specific situations (Redford 2002). This adaptable concept of situational justice persisted in shaping Egyptian thought into the Greco-Roman era.</w:t>
      </w:r>
      <w:r>
        <w:rPr>
          <w:rFonts w:asciiTheme="majorHAnsi" w:hAnsiTheme="majorHAnsi"/>
        </w:rPr>
        <w:t xml:space="preserve"> </w:t>
      </w:r>
      <w:r w:rsidRPr="00C62D1B">
        <w:rPr>
          <w:rFonts w:asciiTheme="majorHAnsi" w:hAnsiTheme="majorHAnsi"/>
        </w:rPr>
        <w:t>Maat also emerged as a fundamental principle in political legitimacy. Subsequent dynasties, spanning from the Old Kingdom to the Ptolemies, consistently defined monarchy as the maintenance of Maat. Despite changes in power systems, monarchs asserted their divine favour by claiming alignment with Maat (Quirke 1990). This rhetorical continuity demonstrates Maat's versatility as an instrument for both religious devotion and governmental ideology.</w:t>
      </w:r>
      <w:r w:rsidRPr="00C62D1B">
        <w:rPr>
          <w:rFonts w:asciiTheme="majorHAnsi" w:hAnsiTheme="majorHAnsi"/>
        </w:rPr>
        <w:br/>
      </w:r>
      <w:r w:rsidRPr="00C62D1B">
        <w:rPr>
          <w:rFonts w:asciiTheme="majorHAnsi" w:hAnsiTheme="majorHAnsi"/>
        </w:rPr>
        <w:br/>
        <w:t>Beyond Egypt, the influence of Maat is discernible in subsequent intellectual traditions, especially within Hellenistic thinking. Certain academics contend that Greek notions of cosmic equilibrium, exemplified in Plato's interpretation of justice, may have been indirectly influenced by Egyptian beliefs conveyed through Mediterranean interactions (Hornung 1999).</w:t>
      </w:r>
      <w:r>
        <w:rPr>
          <w:rFonts w:asciiTheme="majorHAnsi" w:hAnsiTheme="majorHAnsi"/>
        </w:rPr>
        <w:t xml:space="preserve"> </w:t>
      </w:r>
      <w:r w:rsidRPr="00C62D1B">
        <w:rPr>
          <w:rFonts w:asciiTheme="majorHAnsi" w:hAnsiTheme="majorHAnsi"/>
        </w:rPr>
        <w:t>In</w:t>
      </w:r>
      <w:r>
        <w:rPr>
          <w:rFonts w:asciiTheme="majorHAnsi" w:hAnsiTheme="majorHAnsi"/>
        </w:rPr>
        <w:t xml:space="preserve"> modern day</w:t>
      </w:r>
      <w:r w:rsidRPr="00C62D1B">
        <w:rPr>
          <w:rFonts w:asciiTheme="majorHAnsi" w:hAnsiTheme="majorHAnsi"/>
        </w:rPr>
        <w:t>, Maat has been appropriated within Afrocentric philosophy and Pan-Africanist groups as an emblem of ethical equilibrium and social fairness. Consequently, Maat's influence persists not merely in historical texts but also in contemporary cultural and intellectual traditions.</w:t>
      </w:r>
    </w:p>
    <w:p w14:paraId="1B820AB2" w14:textId="77777777" w:rsidR="00C62D1B" w:rsidRDefault="00C62D1B" w:rsidP="00C62D1B">
      <w:pPr>
        <w:rPr>
          <w:rFonts w:asciiTheme="majorHAnsi" w:hAnsiTheme="majorHAnsi"/>
        </w:rPr>
      </w:pPr>
    </w:p>
    <w:p w14:paraId="619EF8CB" w14:textId="71A2D865" w:rsidR="00C62D1B" w:rsidRPr="00C62D1B" w:rsidRDefault="00C62D1B" w:rsidP="00C62D1B">
      <w:pPr>
        <w:rPr>
          <w:rFonts w:asciiTheme="majorHAnsi" w:hAnsiTheme="majorHAnsi"/>
        </w:rPr>
      </w:pPr>
      <w:r w:rsidRPr="00C62D1B">
        <w:rPr>
          <w:rFonts w:asciiTheme="majorHAnsi" w:hAnsiTheme="majorHAnsi"/>
        </w:rPr>
        <w:t>Maat transcended her role as a religious figure; she constituted the philosophical, ethical, and societal cornerstone of ancient Egyptian existence. Her influence permeated every domainfrom state governance and the adjudication of the deceased to quotidian moral decisions. Maat, as both a celestial power and a practical ideal, integrated metaphysics with tangible behaviour, distinguishing her among the spiritual doctrines of antiquity. Her persistent significance in Egyptian legal customs, royal ideology, and perceptions of the afterlife underscores the sophistication of Egyptian intellectualism. Maat’s impact, extending into classical philosophy and modern political movements, confirms her status as one of the most durable and significant conceptions of antiquity.</w:t>
      </w:r>
    </w:p>
    <w:p w14:paraId="60A8F5EC" w14:textId="77777777" w:rsidR="00C62D1B" w:rsidRPr="00C62D1B" w:rsidRDefault="00C62D1B" w:rsidP="00C62D1B">
      <w:pPr>
        <w:rPr>
          <w:rFonts w:asciiTheme="majorHAnsi" w:hAnsiTheme="majorHAnsi"/>
        </w:rPr>
      </w:pPr>
    </w:p>
    <w:p w14:paraId="7A178237" w14:textId="77777777" w:rsidR="00C62D1B" w:rsidRPr="00FD5F27" w:rsidRDefault="00C62D1B" w:rsidP="00FD5F27">
      <w:pPr>
        <w:rPr>
          <w:rFonts w:asciiTheme="majorHAnsi" w:hAnsiTheme="majorHAnsi"/>
        </w:rPr>
      </w:pPr>
    </w:p>
    <w:p w14:paraId="23E55E62" w14:textId="77777777" w:rsidR="00A22F39" w:rsidRDefault="00A22F39" w:rsidP="00A22F39">
      <w:pPr>
        <w:rPr>
          <w:rFonts w:asciiTheme="majorHAnsi" w:hAnsiTheme="majorHAnsi"/>
        </w:rPr>
      </w:pPr>
    </w:p>
    <w:p w14:paraId="2CC8A3C5" w14:textId="77777777" w:rsidR="00FD5F27" w:rsidRDefault="00FD5F27" w:rsidP="00A22F39">
      <w:pPr>
        <w:rPr>
          <w:rFonts w:asciiTheme="majorHAnsi" w:hAnsiTheme="majorHAnsi"/>
        </w:rPr>
      </w:pPr>
    </w:p>
    <w:p w14:paraId="2AECE048" w14:textId="77777777" w:rsidR="00FD5F27" w:rsidRDefault="00FD5F27" w:rsidP="00A22F39">
      <w:pPr>
        <w:rPr>
          <w:rFonts w:asciiTheme="majorHAnsi" w:hAnsiTheme="majorHAnsi"/>
        </w:rPr>
      </w:pPr>
    </w:p>
    <w:p w14:paraId="2890F3BE" w14:textId="77777777" w:rsidR="00FD5F27" w:rsidRDefault="00FD5F27" w:rsidP="00A22F39">
      <w:pPr>
        <w:rPr>
          <w:rFonts w:asciiTheme="majorHAnsi" w:hAnsiTheme="majorHAnsi"/>
        </w:rPr>
      </w:pPr>
    </w:p>
    <w:p w14:paraId="41383D98" w14:textId="77777777" w:rsidR="00FD5F27" w:rsidRDefault="00FD5F27" w:rsidP="00A22F39">
      <w:pPr>
        <w:rPr>
          <w:rFonts w:asciiTheme="majorHAnsi" w:hAnsiTheme="majorHAnsi"/>
        </w:rPr>
      </w:pPr>
    </w:p>
    <w:p w14:paraId="7D681B02" w14:textId="77777777" w:rsidR="00FD5F27" w:rsidRDefault="00FD5F27" w:rsidP="00A22F39">
      <w:pPr>
        <w:rPr>
          <w:rFonts w:asciiTheme="majorHAnsi" w:hAnsiTheme="majorHAnsi"/>
        </w:rPr>
      </w:pPr>
    </w:p>
    <w:p w14:paraId="5D55C986" w14:textId="77777777" w:rsidR="00FD5F27" w:rsidRDefault="00FD5F27" w:rsidP="00A22F39">
      <w:pPr>
        <w:rPr>
          <w:rFonts w:asciiTheme="majorHAnsi" w:hAnsiTheme="majorHAnsi"/>
        </w:rPr>
      </w:pPr>
    </w:p>
    <w:p w14:paraId="6F811799" w14:textId="77777777" w:rsidR="00FD5F27" w:rsidRDefault="00FD5F27" w:rsidP="00A22F39">
      <w:pPr>
        <w:rPr>
          <w:rFonts w:asciiTheme="majorHAnsi" w:hAnsiTheme="majorHAnsi"/>
        </w:rPr>
      </w:pPr>
    </w:p>
    <w:p w14:paraId="4B2A2D54" w14:textId="77777777" w:rsidR="00FD5F27" w:rsidRDefault="00FD5F27" w:rsidP="00A22F39">
      <w:pPr>
        <w:rPr>
          <w:rFonts w:asciiTheme="majorHAnsi" w:hAnsiTheme="majorHAnsi"/>
        </w:rPr>
      </w:pPr>
    </w:p>
    <w:p w14:paraId="72A22CFF" w14:textId="77777777" w:rsidR="00FD5F27" w:rsidRDefault="00FD5F27" w:rsidP="00A22F39">
      <w:pPr>
        <w:rPr>
          <w:rFonts w:asciiTheme="majorHAnsi" w:hAnsiTheme="majorHAnsi"/>
        </w:rPr>
      </w:pPr>
    </w:p>
    <w:p w14:paraId="4559078B" w14:textId="2C19BE31" w:rsidR="00FD5F27" w:rsidRPr="00FD5F27" w:rsidRDefault="00FD5F27" w:rsidP="00A22F39">
      <w:pPr>
        <w:rPr>
          <w:rFonts w:asciiTheme="majorHAnsi" w:hAnsiTheme="majorHAnsi"/>
          <w:sz w:val="24"/>
          <w:szCs w:val="24"/>
          <w:u w:val="single"/>
        </w:rPr>
      </w:pPr>
      <w:r w:rsidRPr="00FD5F27">
        <w:rPr>
          <w:rFonts w:asciiTheme="majorHAnsi" w:hAnsiTheme="majorHAnsi"/>
          <w:sz w:val="24"/>
          <w:szCs w:val="24"/>
          <w:u w:val="single"/>
        </w:rPr>
        <w:lastRenderedPageBreak/>
        <w:t>Reference list</w:t>
      </w:r>
    </w:p>
    <w:p w14:paraId="48FD06DF" w14:textId="77777777" w:rsidR="00FD5F27" w:rsidRDefault="00FD5F27" w:rsidP="00C62D1B">
      <w:pPr>
        <w:spacing w:before="100" w:beforeAutospacing="1" w:after="120"/>
        <w:rPr>
          <w:rFonts w:asciiTheme="majorHAnsi" w:hAnsiTheme="majorHAnsi"/>
        </w:rPr>
      </w:pPr>
    </w:p>
    <w:p w14:paraId="6ECAC6BE" w14:textId="41E2045C" w:rsidR="00FD5F27" w:rsidRPr="00C62D1B" w:rsidRDefault="00FD5F27" w:rsidP="00C62D1B">
      <w:pPr>
        <w:pStyle w:val="ListParagraph"/>
        <w:numPr>
          <w:ilvl w:val="0"/>
          <w:numId w:val="1"/>
        </w:numPr>
        <w:spacing w:before="100" w:beforeAutospacing="1" w:after="120" w:line="276" w:lineRule="auto"/>
        <w:ind w:left="714" w:hanging="357"/>
        <w:rPr>
          <w:rFonts w:asciiTheme="majorHAnsi" w:eastAsia="Times New Roman" w:hAnsiTheme="majorHAnsi" w:cs="Times New Roman"/>
          <w:kern w:val="0"/>
          <w:sz w:val="24"/>
          <w:szCs w:val="24"/>
          <w:lang w:eastAsia="en-GB"/>
          <w14:ligatures w14:val="none"/>
        </w:rPr>
      </w:pPr>
      <w:r w:rsidRPr="00C62D1B">
        <w:rPr>
          <w:rFonts w:asciiTheme="majorHAnsi" w:eastAsia="Times New Roman" w:hAnsiTheme="majorHAnsi" w:cs="Times New Roman"/>
          <w:kern w:val="0"/>
          <w:sz w:val="24"/>
          <w:szCs w:val="24"/>
          <w:lang w:eastAsia="en-GB"/>
          <w14:ligatures w14:val="none"/>
        </w:rPr>
        <w:t xml:space="preserve">Assmann, Jan. </w:t>
      </w:r>
      <w:r w:rsidRPr="00C62D1B">
        <w:rPr>
          <w:rFonts w:asciiTheme="majorHAnsi" w:eastAsia="Times New Roman" w:hAnsiTheme="majorHAnsi" w:cs="Times New Roman"/>
          <w:i/>
          <w:iCs/>
          <w:kern w:val="0"/>
          <w:sz w:val="24"/>
          <w:szCs w:val="24"/>
          <w:lang w:eastAsia="en-GB"/>
          <w14:ligatures w14:val="none"/>
        </w:rPr>
        <w:t>Ma'at: Justice and Immortality in Ancient Egypt</w:t>
      </w:r>
      <w:r w:rsidRPr="00C62D1B">
        <w:rPr>
          <w:rFonts w:asciiTheme="majorHAnsi" w:eastAsia="Times New Roman" w:hAnsiTheme="majorHAnsi" w:cs="Times New Roman"/>
          <w:kern w:val="0"/>
          <w:sz w:val="24"/>
          <w:szCs w:val="24"/>
          <w:lang w:eastAsia="en-GB"/>
          <w14:ligatures w14:val="none"/>
        </w:rPr>
        <w:t xml:space="preserve">. 3rd ed., Verlag C.H.Beck, 1990. </w:t>
      </w:r>
      <w:r w:rsidRPr="00C62D1B">
        <w:rPr>
          <w:rFonts w:asciiTheme="majorHAnsi" w:eastAsia="Times New Roman" w:hAnsiTheme="majorHAnsi" w:cs="Times New Roman"/>
          <w:i/>
          <w:iCs/>
          <w:kern w:val="0"/>
          <w:sz w:val="24"/>
          <w:szCs w:val="24"/>
          <w:lang w:eastAsia="en-GB"/>
          <w14:ligatures w14:val="none"/>
        </w:rPr>
        <w:t>JSTOR,</w:t>
      </w:r>
      <w:r w:rsidRPr="00C62D1B">
        <w:rPr>
          <w:rFonts w:asciiTheme="majorHAnsi" w:eastAsia="Times New Roman" w:hAnsiTheme="majorHAnsi" w:cs="Times New Roman"/>
          <w:kern w:val="0"/>
          <w:sz w:val="24"/>
          <w:szCs w:val="24"/>
          <w:lang w:eastAsia="en-GB"/>
          <w14:ligatures w14:val="none"/>
        </w:rPr>
        <w:t xml:space="preserve"> http://www.jstor.org/stable/j.ctv2c5qbh5.</w:t>
      </w:r>
    </w:p>
    <w:p w14:paraId="54D20C95" w14:textId="60BAE810" w:rsidR="00FD5F27" w:rsidRPr="00C62D1B" w:rsidRDefault="00FD5F27" w:rsidP="00C62D1B">
      <w:pPr>
        <w:pStyle w:val="ListParagraph"/>
        <w:numPr>
          <w:ilvl w:val="0"/>
          <w:numId w:val="1"/>
        </w:numPr>
        <w:spacing w:before="100" w:beforeAutospacing="1" w:after="120" w:line="276" w:lineRule="auto"/>
        <w:ind w:left="714" w:hanging="357"/>
        <w:rPr>
          <w:rFonts w:asciiTheme="majorHAnsi" w:eastAsia="Times New Roman" w:hAnsiTheme="majorHAnsi" w:cs="Times New Roman"/>
          <w:kern w:val="0"/>
          <w:sz w:val="24"/>
          <w:szCs w:val="24"/>
          <w:lang w:eastAsia="en-GB"/>
          <w14:ligatures w14:val="none"/>
        </w:rPr>
      </w:pPr>
      <w:r w:rsidRPr="00C62D1B">
        <w:rPr>
          <w:rFonts w:asciiTheme="majorHAnsi" w:eastAsia="Times New Roman" w:hAnsiTheme="majorHAnsi" w:cs="Times New Roman"/>
          <w:kern w:val="0"/>
          <w:sz w:val="24"/>
          <w:szCs w:val="24"/>
          <w:lang w:eastAsia="en-GB"/>
          <w14:ligatures w14:val="none"/>
        </w:rPr>
        <w:t xml:space="preserve">Lichtheim, Miriam. </w:t>
      </w:r>
      <w:r w:rsidRPr="00C62D1B">
        <w:rPr>
          <w:rFonts w:asciiTheme="majorHAnsi" w:eastAsia="Times New Roman" w:hAnsiTheme="majorHAnsi" w:cs="Times New Roman"/>
          <w:i/>
          <w:iCs/>
          <w:kern w:val="0"/>
          <w:sz w:val="24"/>
          <w:szCs w:val="24"/>
          <w:lang w:eastAsia="en-GB"/>
          <w14:ligatures w14:val="none"/>
        </w:rPr>
        <w:t>Ancient Egyptian Literature: Volume I: The Old and Middle Kingdoms</w:t>
      </w:r>
      <w:r w:rsidRPr="00C62D1B">
        <w:rPr>
          <w:rFonts w:asciiTheme="majorHAnsi" w:eastAsia="Times New Roman" w:hAnsiTheme="majorHAnsi" w:cs="Times New Roman"/>
          <w:kern w:val="0"/>
          <w:sz w:val="24"/>
          <w:szCs w:val="24"/>
          <w:lang w:eastAsia="en-GB"/>
          <w14:ligatures w14:val="none"/>
        </w:rPr>
        <w:t xml:space="preserve">. 2nd ed., University of California Press, 2006. </w:t>
      </w:r>
      <w:r w:rsidRPr="00C62D1B">
        <w:rPr>
          <w:rFonts w:asciiTheme="majorHAnsi" w:eastAsia="Times New Roman" w:hAnsiTheme="majorHAnsi" w:cs="Times New Roman"/>
          <w:i/>
          <w:iCs/>
          <w:kern w:val="0"/>
          <w:sz w:val="24"/>
          <w:szCs w:val="24"/>
          <w:lang w:eastAsia="en-GB"/>
          <w14:ligatures w14:val="none"/>
        </w:rPr>
        <w:t>JSTOR</w:t>
      </w:r>
      <w:r w:rsidRPr="00C62D1B">
        <w:rPr>
          <w:rFonts w:asciiTheme="majorHAnsi" w:eastAsia="Times New Roman" w:hAnsiTheme="majorHAnsi" w:cs="Times New Roman"/>
          <w:kern w:val="0"/>
          <w:sz w:val="24"/>
          <w:szCs w:val="24"/>
          <w:lang w:eastAsia="en-GB"/>
          <w14:ligatures w14:val="none"/>
        </w:rPr>
        <w:t xml:space="preserve">, </w:t>
      </w:r>
      <w:hyperlink r:id="rId7" w:history="1">
        <w:r w:rsidRPr="00C62D1B">
          <w:rPr>
            <w:rStyle w:val="Hyperlink"/>
            <w:rFonts w:asciiTheme="majorHAnsi" w:eastAsia="Times New Roman" w:hAnsiTheme="majorHAnsi" w:cs="Times New Roman"/>
            <w:kern w:val="0"/>
            <w:sz w:val="24"/>
            <w:szCs w:val="24"/>
            <w:lang w:eastAsia="en-GB"/>
            <w14:ligatures w14:val="none"/>
          </w:rPr>
          <w:t>http://www.jstor.org/stable/10.1525/j.ctt1pp1ht</w:t>
        </w:r>
      </w:hyperlink>
      <w:r w:rsidRPr="00C62D1B">
        <w:rPr>
          <w:rFonts w:asciiTheme="majorHAnsi" w:eastAsia="Times New Roman" w:hAnsiTheme="majorHAnsi" w:cs="Times New Roman"/>
          <w:kern w:val="0"/>
          <w:sz w:val="24"/>
          <w:szCs w:val="24"/>
          <w:lang w:eastAsia="en-GB"/>
          <w14:ligatures w14:val="none"/>
        </w:rPr>
        <w:t>.</w:t>
      </w:r>
    </w:p>
    <w:p w14:paraId="233964B8" w14:textId="77777777" w:rsidR="00FD5F27" w:rsidRPr="00C62D1B" w:rsidRDefault="00FD5F27"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rPr>
        <w:t xml:space="preserve">Teeter, E. (2011) </w:t>
      </w:r>
      <w:r w:rsidRPr="00C62D1B">
        <w:rPr>
          <w:rFonts w:asciiTheme="majorHAnsi" w:hAnsiTheme="majorHAnsi"/>
          <w:i/>
          <w:iCs/>
        </w:rPr>
        <w:t>Religion and ritual in Ancient Egypt</w:t>
      </w:r>
      <w:r w:rsidRPr="00C62D1B">
        <w:rPr>
          <w:rFonts w:asciiTheme="majorHAnsi" w:hAnsiTheme="majorHAnsi"/>
        </w:rPr>
        <w:t>. Cambridge University Press.</w:t>
      </w:r>
    </w:p>
    <w:p w14:paraId="48A6E724" w14:textId="77777777" w:rsidR="00FD5F27" w:rsidRPr="00C62D1B" w:rsidRDefault="00FD5F27"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rPr>
        <w:t xml:space="preserve">Hornung, E. (2001) </w:t>
      </w:r>
      <w:r w:rsidRPr="00C62D1B">
        <w:rPr>
          <w:rFonts w:asciiTheme="majorHAnsi" w:hAnsiTheme="majorHAnsi"/>
          <w:i/>
          <w:iCs/>
        </w:rPr>
        <w:t>The Secret Lore of Egypt: Its Impact on the West</w:t>
      </w:r>
      <w:r w:rsidRPr="00C62D1B">
        <w:rPr>
          <w:rFonts w:asciiTheme="majorHAnsi" w:hAnsiTheme="majorHAnsi"/>
        </w:rPr>
        <w:t>. Cornell University Press.</w:t>
      </w:r>
    </w:p>
    <w:p w14:paraId="1DCCD9AA" w14:textId="77777777" w:rsidR="00FE5B5D" w:rsidRPr="00C62D1B" w:rsidRDefault="00FE5B5D"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rPr>
        <w:t xml:space="preserve">Wilkinson, R.H. (2017) </w:t>
      </w:r>
      <w:r w:rsidRPr="00C62D1B">
        <w:rPr>
          <w:rFonts w:asciiTheme="majorHAnsi" w:hAnsiTheme="majorHAnsi"/>
          <w:i/>
          <w:iCs/>
        </w:rPr>
        <w:t>The complete gods and godesses of ancient Egypt</w:t>
      </w:r>
      <w:r w:rsidRPr="00C62D1B">
        <w:rPr>
          <w:rFonts w:asciiTheme="majorHAnsi" w:hAnsiTheme="majorHAnsi"/>
        </w:rPr>
        <w:t>. National Geographic Books.</w:t>
      </w:r>
    </w:p>
    <w:p w14:paraId="48E02105" w14:textId="77777777" w:rsidR="00FE5B5D" w:rsidRPr="00C62D1B" w:rsidRDefault="00FE5B5D"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i/>
          <w:iCs/>
        </w:rPr>
        <w:t>The art of ancient Egypt</w:t>
      </w:r>
      <w:r w:rsidRPr="00C62D1B">
        <w:rPr>
          <w:rFonts w:ascii="Arial" w:hAnsi="Arial" w:cs="Arial"/>
          <w:i/>
          <w:iCs/>
        </w:rPr>
        <w:t> </w:t>
      </w:r>
      <w:r w:rsidRPr="00C62D1B">
        <w:rPr>
          <w:rFonts w:asciiTheme="majorHAnsi" w:hAnsiTheme="majorHAnsi"/>
          <w:i/>
          <w:iCs/>
        </w:rPr>
        <w:t>: Robins, Gay</w:t>
      </w:r>
      <w:r w:rsidRPr="00C62D1B">
        <w:rPr>
          <w:rFonts w:ascii="Arial" w:hAnsi="Arial" w:cs="Arial"/>
          <w:i/>
          <w:iCs/>
        </w:rPr>
        <w:t> </w:t>
      </w:r>
      <w:r w:rsidRPr="00C62D1B">
        <w:rPr>
          <w:rFonts w:asciiTheme="majorHAnsi" w:hAnsiTheme="majorHAnsi"/>
          <w:i/>
          <w:iCs/>
        </w:rPr>
        <w:t>: Free Download, Borrow, and Streaming</w:t>
      </w:r>
      <w:r w:rsidRPr="00C62D1B">
        <w:rPr>
          <w:rFonts w:ascii="Arial" w:hAnsi="Arial" w:cs="Arial"/>
          <w:i/>
          <w:iCs/>
        </w:rPr>
        <w:t> </w:t>
      </w:r>
      <w:r w:rsidRPr="00C62D1B">
        <w:rPr>
          <w:rFonts w:asciiTheme="majorHAnsi" w:hAnsiTheme="majorHAnsi"/>
          <w:i/>
          <w:iCs/>
        </w:rPr>
        <w:t>: Internet Archive</w:t>
      </w:r>
      <w:r w:rsidRPr="00C62D1B">
        <w:rPr>
          <w:rFonts w:asciiTheme="majorHAnsi" w:hAnsiTheme="majorHAnsi"/>
        </w:rPr>
        <w:t xml:space="preserve"> (1997). </w:t>
      </w:r>
      <w:r w:rsidRPr="00C62D1B">
        <w:rPr>
          <w:rStyle w:val="url"/>
          <w:rFonts w:asciiTheme="majorHAnsi" w:eastAsiaTheme="majorEastAsia" w:hAnsiTheme="majorHAnsi"/>
        </w:rPr>
        <w:t>https://archive.org/details/artofancientegyp0000robi</w:t>
      </w:r>
      <w:r w:rsidRPr="00C62D1B">
        <w:rPr>
          <w:rFonts w:asciiTheme="majorHAnsi" w:hAnsiTheme="majorHAnsi"/>
        </w:rPr>
        <w:t>.</w:t>
      </w:r>
    </w:p>
    <w:p w14:paraId="1CCE569C" w14:textId="61DF14F3" w:rsidR="00FE5B5D" w:rsidRPr="00C62D1B" w:rsidRDefault="00FE5B5D"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rPr>
        <w:t xml:space="preserve">Pinch, G. (2004) </w:t>
      </w:r>
      <w:r w:rsidRPr="00C62D1B">
        <w:rPr>
          <w:rFonts w:asciiTheme="majorHAnsi" w:hAnsiTheme="majorHAnsi"/>
          <w:i/>
          <w:iCs/>
        </w:rPr>
        <w:t>Egyptian myth: A very short introduction</w:t>
      </w:r>
      <w:r w:rsidRPr="00C62D1B">
        <w:rPr>
          <w:rFonts w:asciiTheme="majorHAnsi" w:hAnsiTheme="majorHAnsi"/>
        </w:rPr>
        <w:t>. Oxford University Press, USA.</w:t>
      </w:r>
    </w:p>
    <w:p w14:paraId="412BA54E" w14:textId="77777777" w:rsidR="00892908" w:rsidRPr="00C62D1B" w:rsidRDefault="00892908"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i/>
          <w:iCs/>
        </w:rPr>
        <w:t>The Ancient Egyptian Pyramid Texts</w:t>
      </w:r>
      <w:r w:rsidRPr="00C62D1B">
        <w:rPr>
          <w:rFonts w:ascii="Arial" w:hAnsi="Arial" w:cs="Arial"/>
          <w:i/>
          <w:iCs/>
        </w:rPr>
        <w:t> </w:t>
      </w:r>
      <w:r w:rsidRPr="00C62D1B">
        <w:rPr>
          <w:rFonts w:asciiTheme="majorHAnsi" w:hAnsiTheme="majorHAnsi"/>
          <w:i/>
          <w:iCs/>
        </w:rPr>
        <w:t>: James P. Allen</w:t>
      </w:r>
      <w:r w:rsidRPr="00C62D1B">
        <w:rPr>
          <w:rFonts w:ascii="Arial" w:hAnsi="Arial" w:cs="Arial"/>
          <w:i/>
          <w:iCs/>
        </w:rPr>
        <w:t> </w:t>
      </w:r>
      <w:r w:rsidRPr="00C62D1B">
        <w:rPr>
          <w:rFonts w:asciiTheme="majorHAnsi" w:hAnsiTheme="majorHAnsi"/>
          <w:i/>
          <w:iCs/>
        </w:rPr>
        <w:t>: free download, borrow, and streaming</w:t>
      </w:r>
      <w:r w:rsidRPr="00C62D1B">
        <w:rPr>
          <w:rFonts w:ascii="Arial" w:hAnsi="Arial" w:cs="Arial"/>
          <w:i/>
          <w:iCs/>
        </w:rPr>
        <w:t> </w:t>
      </w:r>
      <w:r w:rsidRPr="00C62D1B">
        <w:rPr>
          <w:rFonts w:asciiTheme="majorHAnsi" w:hAnsiTheme="majorHAnsi"/>
          <w:i/>
          <w:iCs/>
        </w:rPr>
        <w:t>: Internet Archive</w:t>
      </w:r>
      <w:r w:rsidRPr="00C62D1B">
        <w:rPr>
          <w:rFonts w:asciiTheme="majorHAnsi" w:hAnsiTheme="majorHAnsi"/>
        </w:rPr>
        <w:t xml:space="preserve"> (2005). </w:t>
      </w:r>
      <w:r w:rsidRPr="00C62D1B">
        <w:rPr>
          <w:rStyle w:val="url"/>
          <w:rFonts w:asciiTheme="majorHAnsi" w:eastAsiaTheme="majorEastAsia" w:hAnsiTheme="majorHAnsi"/>
        </w:rPr>
        <w:t>https://archive.org/details/the-ancient-egyptian-pyramid-texts_202103/page/n5/mode/2up</w:t>
      </w:r>
      <w:r w:rsidRPr="00C62D1B">
        <w:rPr>
          <w:rFonts w:asciiTheme="majorHAnsi" w:hAnsiTheme="majorHAnsi"/>
        </w:rPr>
        <w:t>.</w:t>
      </w:r>
    </w:p>
    <w:p w14:paraId="2F187FED" w14:textId="77777777" w:rsidR="00C62D1B" w:rsidRPr="00C62D1B" w:rsidRDefault="00C62D1B"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rPr>
        <w:t xml:space="preserve">Hornung, E. (1992) </w:t>
      </w:r>
      <w:r w:rsidRPr="00C62D1B">
        <w:rPr>
          <w:rFonts w:asciiTheme="majorHAnsi" w:hAnsiTheme="majorHAnsi"/>
          <w:i/>
          <w:iCs/>
        </w:rPr>
        <w:t>Idea into image: Essays on Ancient Egyptian Thought</w:t>
      </w:r>
      <w:r w:rsidRPr="00C62D1B">
        <w:rPr>
          <w:rFonts w:asciiTheme="majorHAnsi" w:hAnsiTheme="majorHAnsi"/>
        </w:rPr>
        <w:t>. Timken Publishers.</w:t>
      </w:r>
    </w:p>
    <w:p w14:paraId="68E32819" w14:textId="77777777" w:rsidR="00C62D1B" w:rsidRPr="00C62D1B" w:rsidRDefault="00C62D1B"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i/>
          <w:iCs/>
        </w:rPr>
        <w:t>The search for God in ancient Egypt</w:t>
      </w:r>
      <w:r w:rsidRPr="00C62D1B">
        <w:rPr>
          <w:rFonts w:ascii="Arial" w:hAnsi="Arial" w:cs="Arial"/>
          <w:i/>
          <w:iCs/>
        </w:rPr>
        <w:t> </w:t>
      </w:r>
      <w:r w:rsidRPr="00C62D1B">
        <w:rPr>
          <w:rFonts w:asciiTheme="majorHAnsi" w:hAnsiTheme="majorHAnsi"/>
          <w:i/>
          <w:iCs/>
        </w:rPr>
        <w:t>: Assmann, Jan</w:t>
      </w:r>
      <w:r w:rsidRPr="00C62D1B">
        <w:rPr>
          <w:rFonts w:ascii="Arial" w:hAnsi="Arial" w:cs="Arial"/>
          <w:i/>
          <w:iCs/>
        </w:rPr>
        <w:t> </w:t>
      </w:r>
      <w:r w:rsidRPr="00C62D1B">
        <w:rPr>
          <w:rFonts w:asciiTheme="majorHAnsi" w:hAnsiTheme="majorHAnsi"/>
          <w:i/>
          <w:iCs/>
        </w:rPr>
        <w:t>: Free Download, Borrow, and Streaming</w:t>
      </w:r>
      <w:r w:rsidRPr="00C62D1B">
        <w:rPr>
          <w:rFonts w:ascii="Arial" w:hAnsi="Arial" w:cs="Arial"/>
          <w:i/>
          <w:iCs/>
        </w:rPr>
        <w:t> </w:t>
      </w:r>
      <w:r w:rsidRPr="00C62D1B">
        <w:rPr>
          <w:rFonts w:asciiTheme="majorHAnsi" w:hAnsiTheme="majorHAnsi"/>
          <w:i/>
          <w:iCs/>
        </w:rPr>
        <w:t>: Internet Archive</w:t>
      </w:r>
      <w:r w:rsidRPr="00C62D1B">
        <w:rPr>
          <w:rFonts w:asciiTheme="majorHAnsi" w:hAnsiTheme="majorHAnsi"/>
        </w:rPr>
        <w:t xml:space="preserve"> (2001). </w:t>
      </w:r>
      <w:r w:rsidRPr="00C62D1B">
        <w:rPr>
          <w:rStyle w:val="url"/>
          <w:rFonts w:asciiTheme="majorHAnsi" w:eastAsiaTheme="majorEastAsia" w:hAnsiTheme="majorHAnsi"/>
        </w:rPr>
        <w:t>https://archive.org/details/searchforgodinan00assm</w:t>
      </w:r>
      <w:r w:rsidRPr="00C62D1B">
        <w:rPr>
          <w:rFonts w:asciiTheme="majorHAnsi" w:hAnsiTheme="majorHAnsi"/>
        </w:rPr>
        <w:t>.</w:t>
      </w:r>
    </w:p>
    <w:p w14:paraId="101F86DD" w14:textId="77777777" w:rsidR="00C62D1B" w:rsidRPr="00C62D1B" w:rsidRDefault="00C62D1B"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rPr>
        <w:t xml:space="preserve">OpenLibrary.org (2002) </w:t>
      </w:r>
      <w:r w:rsidRPr="00C62D1B">
        <w:rPr>
          <w:rFonts w:asciiTheme="majorHAnsi" w:hAnsiTheme="majorHAnsi"/>
          <w:i/>
          <w:iCs/>
        </w:rPr>
        <w:t>Poetry and Culture in Middle Kingdom egypt by R. B. Parkinson | Open Library</w:t>
      </w:r>
      <w:r w:rsidRPr="00C62D1B">
        <w:rPr>
          <w:rFonts w:asciiTheme="majorHAnsi" w:hAnsiTheme="majorHAnsi"/>
        </w:rPr>
        <w:t xml:space="preserve">. </w:t>
      </w:r>
      <w:r w:rsidRPr="00C62D1B">
        <w:rPr>
          <w:rStyle w:val="url"/>
          <w:rFonts w:asciiTheme="majorHAnsi" w:eastAsiaTheme="majorEastAsia" w:hAnsiTheme="majorHAnsi"/>
        </w:rPr>
        <w:t>https://openlibrary.org/books/OL3951893M/Poetry_and_Culture_in_Middle_Kingdom_Egypt</w:t>
      </w:r>
      <w:r w:rsidRPr="00C62D1B">
        <w:rPr>
          <w:rFonts w:asciiTheme="majorHAnsi" w:hAnsiTheme="majorHAnsi"/>
        </w:rPr>
        <w:t>.</w:t>
      </w:r>
    </w:p>
    <w:p w14:paraId="158B653C" w14:textId="77777777" w:rsidR="00C62D1B" w:rsidRPr="00C62D1B" w:rsidRDefault="00C62D1B"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i/>
          <w:iCs/>
        </w:rPr>
        <w:t>The ancient gods speak</w:t>
      </w:r>
      <w:r w:rsidRPr="00C62D1B">
        <w:rPr>
          <w:rFonts w:ascii="Arial" w:hAnsi="Arial" w:cs="Arial"/>
          <w:i/>
          <w:iCs/>
        </w:rPr>
        <w:t> </w:t>
      </w:r>
      <w:r w:rsidRPr="00C62D1B">
        <w:rPr>
          <w:rFonts w:asciiTheme="majorHAnsi" w:hAnsiTheme="majorHAnsi"/>
          <w:i/>
          <w:iCs/>
        </w:rPr>
        <w:t>: a guide to Egyptian religion</w:t>
      </w:r>
      <w:r w:rsidRPr="00C62D1B">
        <w:rPr>
          <w:rFonts w:ascii="Arial" w:hAnsi="Arial" w:cs="Arial"/>
          <w:i/>
          <w:iCs/>
        </w:rPr>
        <w:t> </w:t>
      </w:r>
      <w:r w:rsidRPr="00C62D1B">
        <w:rPr>
          <w:rFonts w:asciiTheme="majorHAnsi" w:hAnsiTheme="majorHAnsi"/>
          <w:i/>
          <w:iCs/>
        </w:rPr>
        <w:t>: Free Download, Borrow, and Streaming</w:t>
      </w:r>
      <w:r w:rsidRPr="00C62D1B">
        <w:rPr>
          <w:rFonts w:ascii="Arial" w:hAnsi="Arial" w:cs="Arial"/>
          <w:i/>
          <w:iCs/>
        </w:rPr>
        <w:t> </w:t>
      </w:r>
      <w:r w:rsidRPr="00C62D1B">
        <w:rPr>
          <w:rFonts w:asciiTheme="majorHAnsi" w:hAnsiTheme="majorHAnsi"/>
          <w:i/>
          <w:iCs/>
        </w:rPr>
        <w:t>: Internet Archive</w:t>
      </w:r>
      <w:r w:rsidRPr="00C62D1B">
        <w:rPr>
          <w:rFonts w:asciiTheme="majorHAnsi" w:hAnsiTheme="majorHAnsi"/>
        </w:rPr>
        <w:t xml:space="preserve"> (2002). </w:t>
      </w:r>
      <w:r w:rsidRPr="00C62D1B">
        <w:rPr>
          <w:rStyle w:val="url"/>
          <w:rFonts w:asciiTheme="majorHAnsi" w:eastAsiaTheme="majorEastAsia" w:hAnsiTheme="majorHAnsi"/>
        </w:rPr>
        <w:t>https://archive.org/details/ancientgodsspeak0000unse/page/n5/mode/2up</w:t>
      </w:r>
      <w:r w:rsidRPr="00C62D1B">
        <w:rPr>
          <w:rFonts w:asciiTheme="majorHAnsi" w:hAnsiTheme="majorHAnsi"/>
        </w:rPr>
        <w:t>.</w:t>
      </w:r>
    </w:p>
    <w:p w14:paraId="52B2D7EF" w14:textId="77777777" w:rsidR="00C62D1B" w:rsidRPr="00C62D1B" w:rsidRDefault="00C62D1B"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i/>
          <w:iCs/>
        </w:rPr>
        <w:t>Who were the pharaohs?</w:t>
      </w:r>
      <w:r w:rsidRPr="00C62D1B">
        <w:rPr>
          <w:rFonts w:ascii="Arial" w:hAnsi="Arial" w:cs="Arial"/>
          <w:i/>
          <w:iCs/>
        </w:rPr>
        <w:t> </w:t>
      </w:r>
      <w:r w:rsidRPr="00C62D1B">
        <w:rPr>
          <w:rFonts w:asciiTheme="majorHAnsi" w:hAnsiTheme="majorHAnsi"/>
          <w:i/>
          <w:iCs/>
        </w:rPr>
        <w:t>: a history of their names with a list of cartouches</w:t>
      </w:r>
      <w:r w:rsidRPr="00C62D1B">
        <w:rPr>
          <w:rFonts w:ascii="Arial" w:hAnsi="Arial" w:cs="Arial"/>
          <w:i/>
          <w:iCs/>
        </w:rPr>
        <w:t> </w:t>
      </w:r>
      <w:r w:rsidRPr="00C62D1B">
        <w:rPr>
          <w:rFonts w:asciiTheme="majorHAnsi" w:hAnsiTheme="majorHAnsi"/>
          <w:i/>
          <w:iCs/>
        </w:rPr>
        <w:t>: Quirke, Stephen</w:t>
      </w:r>
      <w:r w:rsidRPr="00C62D1B">
        <w:rPr>
          <w:rFonts w:ascii="Arial" w:hAnsi="Arial" w:cs="Arial"/>
          <w:i/>
          <w:iCs/>
        </w:rPr>
        <w:t> </w:t>
      </w:r>
      <w:r w:rsidRPr="00C62D1B">
        <w:rPr>
          <w:rFonts w:asciiTheme="majorHAnsi" w:hAnsiTheme="majorHAnsi"/>
          <w:i/>
          <w:iCs/>
        </w:rPr>
        <w:t>: Free Download, Borrow, and Streaming</w:t>
      </w:r>
      <w:r w:rsidRPr="00C62D1B">
        <w:rPr>
          <w:rFonts w:ascii="Arial" w:hAnsi="Arial" w:cs="Arial"/>
          <w:i/>
          <w:iCs/>
        </w:rPr>
        <w:t> </w:t>
      </w:r>
      <w:r w:rsidRPr="00C62D1B">
        <w:rPr>
          <w:rFonts w:asciiTheme="majorHAnsi" w:hAnsiTheme="majorHAnsi"/>
          <w:i/>
          <w:iCs/>
        </w:rPr>
        <w:t>: Internet Archive</w:t>
      </w:r>
      <w:r w:rsidRPr="00C62D1B">
        <w:rPr>
          <w:rFonts w:asciiTheme="majorHAnsi" w:hAnsiTheme="majorHAnsi"/>
        </w:rPr>
        <w:t xml:space="preserve"> (1990). </w:t>
      </w:r>
      <w:r w:rsidRPr="00C62D1B">
        <w:rPr>
          <w:rStyle w:val="url"/>
          <w:rFonts w:asciiTheme="majorHAnsi" w:eastAsiaTheme="majorEastAsia" w:hAnsiTheme="majorHAnsi"/>
        </w:rPr>
        <w:t>https://archive.org/details/whowerepharaohsh0000quir_p8e9</w:t>
      </w:r>
      <w:r w:rsidRPr="00C62D1B">
        <w:rPr>
          <w:rFonts w:asciiTheme="majorHAnsi" w:hAnsiTheme="majorHAnsi"/>
        </w:rPr>
        <w:t>.</w:t>
      </w:r>
    </w:p>
    <w:p w14:paraId="3D6908A6" w14:textId="77777777" w:rsidR="00C62D1B" w:rsidRPr="00C62D1B" w:rsidRDefault="00C62D1B" w:rsidP="00C62D1B">
      <w:pPr>
        <w:pStyle w:val="NormalWeb"/>
        <w:numPr>
          <w:ilvl w:val="0"/>
          <w:numId w:val="1"/>
        </w:numPr>
        <w:spacing w:after="120" w:afterAutospacing="0" w:line="276" w:lineRule="auto"/>
        <w:ind w:left="714" w:hanging="357"/>
        <w:rPr>
          <w:rFonts w:asciiTheme="majorHAnsi" w:hAnsiTheme="majorHAnsi"/>
        </w:rPr>
      </w:pPr>
      <w:r w:rsidRPr="00C62D1B">
        <w:rPr>
          <w:rFonts w:asciiTheme="majorHAnsi" w:hAnsiTheme="majorHAnsi"/>
          <w:i/>
          <w:iCs/>
        </w:rPr>
        <w:lastRenderedPageBreak/>
        <w:t>The secret lore of Egypt</w:t>
      </w:r>
      <w:r w:rsidRPr="00C62D1B">
        <w:rPr>
          <w:rFonts w:ascii="Arial" w:hAnsi="Arial" w:cs="Arial"/>
          <w:i/>
          <w:iCs/>
        </w:rPr>
        <w:t> </w:t>
      </w:r>
      <w:r w:rsidRPr="00C62D1B">
        <w:rPr>
          <w:rFonts w:asciiTheme="majorHAnsi" w:hAnsiTheme="majorHAnsi"/>
          <w:i/>
          <w:iCs/>
        </w:rPr>
        <w:t>: its impact on the West</w:t>
      </w:r>
      <w:r w:rsidRPr="00C62D1B">
        <w:rPr>
          <w:rFonts w:ascii="Arial" w:hAnsi="Arial" w:cs="Arial"/>
          <w:i/>
          <w:iCs/>
        </w:rPr>
        <w:t> </w:t>
      </w:r>
      <w:r w:rsidRPr="00C62D1B">
        <w:rPr>
          <w:rFonts w:asciiTheme="majorHAnsi" w:hAnsiTheme="majorHAnsi"/>
          <w:i/>
          <w:iCs/>
        </w:rPr>
        <w:t>: Hornung, Erik</w:t>
      </w:r>
      <w:r w:rsidRPr="00C62D1B">
        <w:rPr>
          <w:rFonts w:ascii="Arial" w:hAnsi="Arial" w:cs="Arial"/>
          <w:i/>
          <w:iCs/>
        </w:rPr>
        <w:t> </w:t>
      </w:r>
      <w:r w:rsidRPr="00C62D1B">
        <w:rPr>
          <w:rFonts w:asciiTheme="majorHAnsi" w:hAnsiTheme="majorHAnsi"/>
          <w:i/>
          <w:iCs/>
        </w:rPr>
        <w:t>: Free Download, Borrow, and Streaming</w:t>
      </w:r>
      <w:r w:rsidRPr="00C62D1B">
        <w:rPr>
          <w:rFonts w:ascii="Arial" w:hAnsi="Arial" w:cs="Arial"/>
          <w:i/>
          <w:iCs/>
        </w:rPr>
        <w:t> </w:t>
      </w:r>
      <w:r w:rsidRPr="00C62D1B">
        <w:rPr>
          <w:rFonts w:asciiTheme="majorHAnsi" w:hAnsiTheme="majorHAnsi"/>
          <w:i/>
          <w:iCs/>
        </w:rPr>
        <w:t>: Internet Archive</w:t>
      </w:r>
      <w:r w:rsidRPr="00C62D1B">
        <w:rPr>
          <w:rFonts w:asciiTheme="majorHAnsi" w:hAnsiTheme="majorHAnsi"/>
        </w:rPr>
        <w:t xml:space="preserve"> (2001). </w:t>
      </w:r>
      <w:r w:rsidRPr="00C62D1B">
        <w:rPr>
          <w:rStyle w:val="url"/>
          <w:rFonts w:asciiTheme="majorHAnsi" w:eastAsiaTheme="majorEastAsia" w:hAnsiTheme="majorHAnsi"/>
        </w:rPr>
        <w:t>https://archive.org/details/secretloreofegyp00horn</w:t>
      </w:r>
      <w:r w:rsidRPr="00C62D1B">
        <w:rPr>
          <w:rFonts w:asciiTheme="majorHAnsi" w:hAnsiTheme="majorHAnsi"/>
        </w:rPr>
        <w:t>.</w:t>
      </w:r>
    </w:p>
    <w:p w14:paraId="6EC18BA6" w14:textId="04BBB54A" w:rsidR="00FD5F27" w:rsidRPr="00C62D1B" w:rsidRDefault="00FD5F27" w:rsidP="00C62D1B">
      <w:pPr>
        <w:spacing w:after="0" w:line="240" w:lineRule="auto"/>
        <w:rPr>
          <w:rFonts w:ascii="Times New Roman" w:eastAsia="Times New Roman" w:hAnsi="Times New Roman" w:cs="Times New Roman"/>
          <w:kern w:val="0"/>
          <w:sz w:val="24"/>
          <w:szCs w:val="24"/>
          <w:lang w:eastAsia="en-GB"/>
          <w14:ligatures w14:val="none"/>
        </w:rPr>
      </w:pPr>
    </w:p>
    <w:p w14:paraId="5197E652" w14:textId="77777777" w:rsidR="00A22F39" w:rsidRPr="00A22F39" w:rsidRDefault="00A22F39" w:rsidP="00A22F39">
      <w:pPr>
        <w:rPr>
          <w:rFonts w:asciiTheme="majorHAnsi" w:hAnsiTheme="majorHAnsi"/>
          <w:sz w:val="28"/>
          <w:szCs w:val="28"/>
        </w:rPr>
      </w:pPr>
    </w:p>
    <w:sectPr w:rsidR="00A22F39" w:rsidRPr="00A22F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40D2A"/>
    <w:multiLevelType w:val="hybridMultilevel"/>
    <w:tmpl w:val="C5888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0948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F39"/>
    <w:rsid w:val="002A3EA5"/>
    <w:rsid w:val="00892908"/>
    <w:rsid w:val="00A17DAC"/>
    <w:rsid w:val="00A22F39"/>
    <w:rsid w:val="00AD13E6"/>
    <w:rsid w:val="00C62D1B"/>
    <w:rsid w:val="00D17789"/>
    <w:rsid w:val="00E33468"/>
    <w:rsid w:val="00EE4B9C"/>
    <w:rsid w:val="00F640BA"/>
    <w:rsid w:val="00FB393C"/>
    <w:rsid w:val="00FD5F27"/>
    <w:rsid w:val="00FE5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6322D"/>
  <w15:chartTrackingRefBased/>
  <w15:docId w15:val="{A43E8E52-24D3-4072-9EC0-FDD9F6FBC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F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2F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2F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2F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2F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2F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F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F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F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2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2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2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2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2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F39"/>
    <w:rPr>
      <w:rFonts w:eastAsiaTheme="majorEastAsia" w:cstheme="majorBidi"/>
      <w:color w:val="272727" w:themeColor="text1" w:themeTint="D8"/>
    </w:rPr>
  </w:style>
  <w:style w:type="paragraph" w:styleId="Title">
    <w:name w:val="Title"/>
    <w:basedOn w:val="Normal"/>
    <w:next w:val="Normal"/>
    <w:link w:val="TitleChar"/>
    <w:uiPriority w:val="10"/>
    <w:qFormat/>
    <w:rsid w:val="00A22F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F39"/>
    <w:pPr>
      <w:spacing w:before="160"/>
      <w:jc w:val="center"/>
    </w:pPr>
    <w:rPr>
      <w:i/>
      <w:iCs/>
      <w:color w:val="404040" w:themeColor="text1" w:themeTint="BF"/>
    </w:rPr>
  </w:style>
  <w:style w:type="character" w:customStyle="1" w:styleId="QuoteChar">
    <w:name w:val="Quote Char"/>
    <w:basedOn w:val="DefaultParagraphFont"/>
    <w:link w:val="Quote"/>
    <w:uiPriority w:val="29"/>
    <w:rsid w:val="00A22F39"/>
    <w:rPr>
      <w:i/>
      <w:iCs/>
      <w:color w:val="404040" w:themeColor="text1" w:themeTint="BF"/>
    </w:rPr>
  </w:style>
  <w:style w:type="paragraph" w:styleId="ListParagraph">
    <w:name w:val="List Paragraph"/>
    <w:basedOn w:val="Normal"/>
    <w:uiPriority w:val="34"/>
    <w:qFormat/>
    <w:rsid w:val="00A22F39"/>
    <w:pPr>
      <w:ind w:left="720"/>
      <w:contextualSpacing/>
    </w:pPr>
  </w:style>
  <w:style w:type="character" w:styleId="IntenseEmphasis">
    <w:name w:val="Intense Emphasis"/>
    <w:basedOn w:val="DefaultParagraphFont"/>
    <w:uiPriority w:val="21"/>
    <w:qFormat/>
    <w:rsid w:val="00A22F39"/>
    <w:rPr>
      <w:i/>
      <w:iCs/>
      <w:color w:val="0F4761" w:themeColor="accent1" w:themeShade="BF"/>
    </w:rPr>
  </w:style>
  <w:style w:type="paragraph" w:styleId="IntenseQuote">
    <w:name w:val="Intense Quote"/>
    <w:basedOn w:val="Normal"/>
    <w:next w:val="Normal"/>
    <w:link w:val="IntenseQuoteChar"/>
    <w:uiPriority w:val="30"/>
    <w:qFormat/>
    <w:rsid w:val="00A22F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2F39"/>
    <w:rPr>
      <w:i/>
      <w:iCs/>
      <w:color w:val="0F4761" w:themeColor="accent1" w:themeShade="BF"/>
    </w:rPr>
  </w:style>
  <w:style w:type="character" w:styleId="IntenseReference">
    <w:name w:val="Intense Reference"/>
    <w:basedOn w:val="DefaultParagraphFont"/>
    <w:uiPriority w:val="32"/>
    <w:qFormat/>
    <w:rsid w:val="00A22F39"/>
    <w:rPr>
      <w:b/>
      <w:bCs/>
      <w:smallCaps/>
      <w:color w:val="0F4761" w:themeColor="accent1" w:themeShade="BF"/>
      <w:spacing w:val="5"/>
    </w:rPr>
  </w:style>
  <w:style w:type="character" w:styleId="Hyperlink">
    <w:name w:val="Hyperlink"/>
    <w:basedOn w:val="DefaultParagraphFont"/>
    <w:uiPriority w:val="99"/>
    <w:unhideWhenUsed/>
    <w:rsid w:val="00FD5F27"/>
    <w:rPr>
      <w:color w:val="467886" w:themeColor="hyperlink"/>
      <w:u w:val="single"/>
    </w:rPr>
  </w:style>
  <w:style w:type="character" w:styleId="UnresolvedMention">
    <w:name w:val="Unresolved Mention"/>
    <w:basedOn w:val="DefaultParagraphFont"/>
    <w:uiPriority w:val="99"/>
    <w:semiHidden/>
    <w:unhideWhenUsed/>
    <w:rsid w:val="00FD5F27"/>
    <w:rPr>
      <w:color w:val="605E5C"/>
      <w:shd w:val="clear" w:color="auto" w:fill="E1DFDD"/>
    </w:rPr>
  </w:style>
  <w:style w:type="paragraph" w:styleId="NormalWeb">
    <w:name w:val="Normal (Web)"/>
    <w:basedOn w:val="Normal"/>
    <w:uiPriority w:val="99"/>
    <w:semiHidden/>
    <w:unhideWhenUsed/>
    <w:rsid w:val="00FD5F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FE5B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50486">
      <w:bodyDiv w:val="1"/>
      <w:marLeft w:val="0"/>
      <w:marRight w:val="0"/>
      <w:marTop w:val="0"/>
      <w:marBottom w:val="0"/>
      <w:divBdr>
        <w:top w:val="none" w:sz="0" w:space="0" w:color="auto"/>
        <w:left w:val="none" w:sz="0" w:space="0" w:color="auto"/>
        <w:bottom w:val="none" w:sz="0" w:space="0" w:color="auto"/>
        <w:right w:val="none" w:sz="0" w:space="0" w:color="auto"/>
      </w:divBdr>
      <w:divsChild>
        <w:div w:id="1752309122">
          <w:marLeft w:val="-720"/>
          <w:marRight w:val="0"/>
          <w:marTop w:val="0"/>
          <w:marBottom w:val="0"/>
          <w:divBdr>
            <w:top w:val="none" w:sz="0" w:space="0" w:color="auto"/>
            <w:left w:val="none" w:sz="0" w:space="0" w:color="auto"/>
            <w:bottom w:val="none" w:sz="0" w:space="0" w:color="auto"/>
            <w:right w:val="none" w:sz="0" w:space="0" w:color="auto"/>
          </w:divBdr>
        </w:div>
      </w:divsChild>
    </w:div>
    <w:div w:id="205334552">
      <w:bodyDiv w:val="1"/>
      <w:marLeft w:val="0"/>
      <w:marRight w:val="0"/>
      <w:marTop w:val="0"/>
      <w:marBottom w:val="0"/>
      <w:divBdr>
        <w:top w:val="none" w:sz="0" w:space="0" w:color="auto"/>
        <w:left w:val="none" w:sz="0" w:space="0" w:color="auto"/>
        <w:bottom w:val="none" w:sz="0" w:space="0" w:color="auto"/>
        <w:right w:val="none" w:sz="0" w:space="0" w:color="auto"/>
      </w:divBdr>
      <w:divsChild>
        <w:div w:id="1859930794">
          <w:marLeft w:val="-720"/>
          <w:marRight w:val="0"/>
          <w:marTop w:val="0"/>
          <w:marBottom w:val="0"/>
          <w:divBdr>
            <w:top w:val="none" w:sz="0" w:space="0" w:color="auto"/>
            <w:left w:val="none" w:sz="0" w:space="0" w:color="auto"/>
            <w:bottom w:val="none" w:sz="0" w:space="0" w:color="auto"/>
            <w:right w:val="none" w:sz="0" w:space="0" w:color="auto"/>
          </w:divBdr>
        </w:div>
      </w:divsChild>
    </w:div>
    <w:div w:id="243271007">
      <w:bodyDiv w:val="1"/>
      <w:marLeft w:val="0"/>
      <w:marRight w:val="0"/>
      <w:marTop w:val="0"/>
      <w:marBottom w:val="0"/>
      <w:divBdr>
        <w:top w:val="none" w:sz="0" w:space="0" w:color="auto"/>
        <w:left w:val="none" w:sz="0" w:space="0" w:color="auto"/>
        <w:bottom w:val="none" w:sz="0" w:space="0" w:color="auto"/>
        <w:right w:val="none" w:sz="0" w:space="0" w:color="auto"/>
      </w:divBdr>
      <w:divsChild>
        <w:div w:id="1346245337">
          <w:marLeft w:val="0"/>
          <w:marRight w:val="0"/>
          <w:marTop w:val="0"/>
          <w:marBottom w:val="0"/>
          <w:divBdr>
            <w:top w:val="none" w:sz="0" w:space="0" w:color="auto"/>
            <w:left w:val="none" w:sz="0" w:space="0" w:color="auto"/>
            <w:bottom w:val="none" w:sz="0" w:space="0" w:color="auto"/>
            <w:right w:val="none" w:sz="0" w:space="0" w:color="auto"/>
          </w:divBdr>
          <w:divsChild>
            <w:div w:id="94904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278918">
      <w:bodyDiv w:val="1"/>
      <w:marLeft w:val="0"/>
      <w:marRight w:val="0"/>
      <w:marTop w:val="0"/>
      <w:marBottom w:val="0"/>
      <w:divBdr>
        <w:top w:val="none" w:sz="0" w:space="0" w:color="auto"/>
        <w:left w:val="none" w:sz="0" w:space="0" w:color="auto"/>
        <w:bottom w:val="none" w:sz="0" w:space="0" w:color="auto"/>
        <w:right w:val="none" w:sz="0" w:space="0" w:color="auto"/>
      </w:divBdr>
    </w:div>
    <w:div w:id="365495571">
      <w:bodyDiv w:val="1"/>
      <w:marLeft w:val="0"/>
      <w:marRight w:val="0"/>
      <w:marTop w:val="0"/>
      <w:marBottom w:val="0"/>
      <w:divBdr>
        <w:top w:val="none" w:sz="0" w:space="0" w:color="auto"/>
        <w:left w:val="none" w:sz="0" w:space="0" w:color="auto"/>
        <w:bottom w:val="none" w:sz="0" w:space="0" w:color="auto"/>
        <w:right w:val="none" w:sz="0" w:space="0" w:color="auto"/>
      </w:divBdr>
    </w:div>
    <w:div w:id="471599046">
      <w:bodyDiv w:val="1"/>
      <w:marLeft w:val="0"/>
      <w:marRight w:val="0"/>
      <w:marTop w:val="0"/>
      <w:marBottom w:val="0"/>
      <w:divBdr>
        <w:top w:val="none" w:sz="0" w:space="0" w:color="auto"/>
        <w:left w:val="none" w:sz="0" w:space="0" w:color="auto"/>
        <w:bottom w:val="none" w:sz="0" w:space="0" w:color="auto"/>
        <w:right w:val="none" w:sz="0" w:space="0" w:color="auto"/>
      </w:divBdr>
    </w:div>
    <w:div w:id="521476962">
      <w:bodyDiv w:val="1"/>
      <w:marLeft w:val="0"/>
      <w:marRight w:val="0"/>
      <w:marTop w:val="0"/>
      <w:marBottom w:val="0"/>
      <w:divBdr>
        <w:top w:val="none" w:sz="0" w:space="0" w:color="auto"/>
        <w:left w:val="none" w:sz="0" w:space="0" w:color="auto"/>
        <w:bottom w:val="none" w:sz="0" w:space="0" w:color="auto"/>
        <w:right w:val="none" w:sz="0" w:space="0" w:color="auto"/>
      </w:divBdr>
    </w:div>
    <w:div w:id="680013348">
      <w:bodyDiv w:val="1"/>
      <w:marLeft w:val="0"/>
      <w:marRight w:val="0"/>
      <w:marTop w:val="0"/>
      <w:marBottom w:val="0"/>
      <w:divBdr>
        <w:top w:val="none" w:sz="0" w:space="0" w:color="auto"/>
        <w:left w:val="none" w:sz="0" w:space="0" w:color="auto"/>
        <w:bottom w:val="none" w:sz="0" w:space="0" w:color="auto"/>
        <w:right w:val="none" w:sz="0" w:space="0" w:color="auto"/>
      </w:divBdr>
      <w:divsChild>
        <w:div w:id="1175000260">
          <w:marLeft w:val="-720"/>
          <w:marRight w:val="0"/>
          <w:marTop w:val="0"/>
          <w:marBottom w:val="0"/>
          <w:divBdr>
            <w:top w:val="none" w:sz="0" w:space="0" w:color="auto"/>
            <w:left w:val="none" w:sz="0" w:space="0" w:color="auto"/>
            <w:bottom w:val="none" w:sz="0" w:space="0" w:color="auto"/>
            <w:right w:val="none" w:sz="0" w:space="0" w:color="auto"/>
          </w:divBdr>
        </w:div>
      </w:divsChild>
    </w:div>
    <w:div w:id="694112162">
      <w:bodyDiv w:val="1"/>
      <w:marLeft w:val="0"/>
      <w:marRight w:val="0"/>
      <w:marTop w:val="0"/>
      <w:marBottom w:val="0"/>
      <w:divBdr>
        <w:top w:val="none" w:sz="0" w:space="0" w:color="auto"/>
        <w:left w:val="none" w:sz="0" w:space="0" w:color="auto"/>
        <w:bottom w:val="none" w:sz="0" w:space="0" w:color="auto"/>
        <w:right w:val="none" w:sz="0" w:space="0" w:color="auto"/>
      </w:divBdr>
    </w:div>
    <w:div w:id="765266207">
      <w:bodyDiv w:val="1"/>
      <w:marLeft w:val="0"/>
      <w:marRight w:val="0"/>
      <w:marTop w:val="0"/>
      <w:marBottom w:val="0"/>
      <w:divBdr>
        <w:top w:val="none" w:sz="0" w:space="0" w:color="auto"/>
        <w:left w:val="none" w:sz="0" w:space="0" w:color="auto"/>
        <w:bottom w:val="none" w:sz="0" w:space="0" w:color="auto"/>
        <w:right w:val="none" w:sz="0" w:space="0" w:color="auto"/>
      </w:divBdr>
    </w:div>
    <w:div w:id="782919055">
      <w:bodyDiv w:val="1"/>
      <w:marLeft w:val="0"/>
      <w:marRight w:val="0"/>
      <w:marTop w:val="0"/>
      <w:marBottom w:val="0"/>
      <w:divBdr>
        <w:top w:val="none" w:sz="0" w:space="0" w:color="auto"/>
        <w:left w:val="none" w:sz="0" w:space="0" w:color="auto"/>
        <w:bottom w:val="none" w:sz="0" w:space="0" w:color="auto"/>
        <w:right w:val="none" w:sz="0" w:space="0" w:color="auto"/>
      </w:divBdr>
      <w:divsChild>
        <w:div w:id="117382190">
          <w:marLeft w:val="-720"/>
          <w:marRight w:val="0"/>
          <w:marTop w:val="0"/>
          <w:marBottom w:val="0"/>
          <w:divBdr>
            <w:top w:val="none" w:sz="0" w:space="0" w:color="auto"/>
            <w:left w:val="none" w:sz="0" w:space="0" w:color="auto"/>
            <w:bottom w:val="none" w:sz="0" w:space="0" w:color="auto"/>
            <w:right w:val="none" w:sz="0" w:space="0" w:color="auto"/>
          </w:divBdr>
        </w:div>
      </w:divsChild>
    </w:div>
    <w:div w:id="865675958">
      <w:bodyDiv w:val="1"/>
      <w:marLeft w:val="0"/>
      <w:marRight w:val="0"/>
      <w:marTop w:val="0"/>
      <w:marBottom w:val="0"/>
      <w:divBdr>
        <w:top w:val="none" w:sz="0" w:space="0" w:color="auto"/>
        <w:left w:val="none" w:sz="0" w:space="0" w:color="auto"/>
        <w:bottom w:val="none" w:sz="0" w:space="0" w:color="auto"/>
        <w:right w:val="none" w:sz="0" w:space="0" w:color="auto"/>
      </w:divBdr>
    </w:div>
    <w:div w:id="993608290">
      <w:bodyDiv w:val="1"/>
      <w:marLeft w:val="0"/>
      <w:marRight w:val="0"/>
      <w:marTop w:val="0"/>
      <w:marBottom w:val="0"/>
      <w:divBdr>
        <w:top w:val="none" w:sz="0" w:space="0" w:color="auto"/>
        <w:left w:val="none" w:sz="0" w:space="0" w:color="auto"/>
        <w:bottom w:val="none" w:sz="0" w:space="0" w:color="auto"/>
        <w:right w:val="none" w:sz="0" w:space="0" w:color="auto"/>
      </w:divBdr>
    </w:div>
    <w:div w:id="1045451623">
      <w:bodyDiv w:val="1"/>
      <w:marLeft w:val="0"/>
      <w:marRight w:val="0"/>
      <w:marTop w:val="0"/>
      <w:marBottom w:val="0"/>
      <w:divBdr>
        <w:top w:val="none" w:sz="0" w:space="0" w:color="auto"/>
        <w:left w:val="none" w:sz="0" w:space="0" w:color="auto"/>
        <w:bottom w:val="none" w:sz="0" w:space="0" w:color="auto"/>
        <w:right w:val="none" w:sz="0" w:space="0" w:color="auto"/>
      </w:divBdr>
    </w:div>
    <w:div w:id="1339581881">
      <w:bodyDiv w:val="1"/>
      <w:marLeft w:val="0"/>
      <w:marRight w:val="0"/>
      <w:marTop w:val="0"/>
      <w:marBottom w:val="0"/>
      <w:divBdr>
        <w:top w:val="none" w:sz="0" w:space="0" w:color="auto"/>
        <w:left w:val="none" w:sz="0" w:space="0" w:color="auto"/>
        <w:bottom w:val="none" w:sz="0" w:space="0" w:color="auto"/>
        <w:right w:val="none" w:sz="0" w:space="0" w:color="auto"/>
      </w:divBdr>
    </w:div>
    <w:div w:id="1388260965">
      <w:bodyDiv w:val="1"/>
      <w:marLeft w:val="0"/>
      <w:marRight w:val="0"/>
      <w:marTop w:val="0"/>
      <w:marBottom w:val="0"/>
      <w:divBdr>
        <w:top w:val="none" w:sz="0" w:space="0" w:color="auto"/>
        <w:left w:val="none" w:sz="0" w:space="0" w:color="auto"/>
        <w:bottom w:val="none" w:sz="0" w:space="0" w:color="auto"/>
        <w:right w:val="none" w:sz="0" w:space="0" w:color="auto"/>
      </w:divBdr>
      <w:divsChild>
        <w:div w:id="2040010682">
          <w:marLeft w:val="-720"/>
          <w:marRight w:val="0"/>
          <w:marTop w:val="0"/>
          <w:marBottom w:val="0"/>
          <w:divBdr>
            <w:top w:val="none" w:sz="0" w:space="0" w:color="auto"/>
            <w:left w:val="none" w:sz="0" w:space="0" w:color="auto"/>
            <w:bottom w:val="none" w:sz="0" w:space="0" w:color="auto"/>
            <w:right w:val="none" w:sz="0" w:space="0" w:color="auto"/>
          </w:divBdr>
        </w:div>
      </w:divsChild>
    </w:div>
    <w:div w:id="1396777403">
      <w:bodyDiv w:val="1"/>
      <w:marLeft w:val="0"/>
      <w:marRight w:val="0"/>
      <w:marTop w:val="0"/>
      <w:marBottom w:val="0"/>
      <w:divBdr>
        <w:top w:val="none" w:sz="0" w:space="0" w:color="auto"/>
        <w:left w:val="none" w:sz="0" w:space="0" w:color="auto"/>
        <w:bottom w:val="none" w:sz="0" w:space="0" w:color="auto"/>
        <w:right w:val="none" w:sz="0" w:space="0" w:color="auto"/>
      </w:divBdr>
    </w:div>
    <w:div w:id="1462113278">
      <w:bodyDiv w:val="1"/>
      <w:marLeft w:val="0"/>
      <w:marRight w:val="0"/>
      <w:marTop w:val="0"/>
      <w:marBottom w:val="0"/>
      <w:divBdr>
        <w:top w:val="none" w:sz="0" w:space="0" w:color="auto"/>
        <w:left w:val="none" w:sz="0" w:space="0" w:color="auto"/>
        <w:bottom w:val="none" w:sz="0" w:space="0" w:color="auto"/>
        <w:right w:val="none" w:sz="0" w:space="0" w:color="auto"/>
      </w:divBdr>
    </w:div>
    <w:div w:id="1516067456">
      <w:bodyDiv w:val="1"/>
      <w:marLeft w:val="0"/>
      <w:marRight w:val="0"/>
      <w:marTop w:val="0"/>
      <w:marBottom w:val="0"/>
      <w:divBdr>
        <w:top w:val="none" w:sz="0" w:space="0" w:color="auto"/>
        <w:left w:val="none" w:sz="0" w:space="0" w:color="auto"/>
        <w:bottom w:val="none" w:sz="0" w:space="0" w:color="auto"/>
        <w:right w:val="none" w:sz="0" w:space="0" w:color="auto"/>
      </w:divBdr>
      <w:divsChild>
        <w:div w:id="1790314168">
          <w:marLeft w:val="-720"/>
          <w:marRight w:val="0"/>
          <w:marTop w:val="0"/>
          <w:marBottom w:val="0"/>
          <w:divBdr>
            <w:top w:val="none" w:sz="0" w:space="0" w:color="auto"/>
            <w:left w:val="none" w:sz="0" w:space="0" w:color="auto"/>
            <w:bottom w:val="none" w:sz="0" w:space="0" w:color="auto"/>
            <w:right w:val="none" w:sz="0" w:space="0" w:color="auto"/>
          </w:divBdr>
        </w:div>
      </w:divsChild>
    </w:div>
    <w:div w:id="1550452792">
      <w:bodyDiv w:val="1"/>
      <w:marLeft w:val="0"/>
      <w:marRight w:val="0"/>
      <w:marTop w:val="0"/>
      <w:marBottom w:val="0"/>
      <w:divBdr>
        <w:top w:val="none" w:sz="0" w:space="0" w:color="auto"/>
        <w:left w:val="none" w:sz="0" w:space="0" w:color="auto"/>
        <w:bottom w:val="none" w:sz="0" w:space="0" w:color="auto"/>
        <w:right w:val="none" w:sz="0" w:space="0" w:color="auto"/>
      </w:divBdr>
      <w:divsChild>
        <w:div w:id="614558236">
          <w:marLeft w:val="-720"/>
          <w:marRight w:val="0"/>
          <w:marTop w:val="0"/>
          <w:marBottom w:val="0"/>
          <w:divBdr>
            <w:top w:val="none" w:sz="0" w:space="0" w:color="auto"/>
            <w:left w:val="none" w:sz="0" w:space="0" w:color="auto"/>
            <w:bottom w:val="none" w:sz="0" w:space="0" w:color="auto"/>
            <w:right w:val="none" w:sz="0" w:space="0" w:color="auto"/>
          </w:divBdr>
        </w:div>
      </w:divsChild>
    </w:div>
    <w:div w:id="1558710298">
      <w:bodyDiv w:val="1"/>
      <w:marLeft w:val="0"/>
      <w:marRight w:val="0"/>
      <w:marTop w:val="0"/>
      <w:marBottom w:val="0"/>
      <w:divBdr>
        <w:top w:val="none" w:sz="0" w:space="0" w:color="auto"/>
        <w:left w:val="none" w:sz="0" w:space="0" w:color="auto"/>
        <w:bottom w:val="none" w:sz="0" w:space="0" w:color="auto"/>
        <w:right w:val="none" w:sz="0" w:space="0" w:color="auto"/>
      </w:divBdr>
      <w:divsChild>
        <w:div w:id="652027585">
          <w:marLeft w:val="-720"/>
          <w:marRight w:val="0"/>
          <w:marTop w:val="0"/>
          <w:marBottom w:val="0"/>
          <w:divBdr>
            <w:top w:val="none" w:sz="0" w:space="0" w:color="auto"/>
            <w:left w:val="none" w:sz="0" w:space="0" w:color="auto"/>
            <w:bottom w:val="none" w:sz="0" w:space="0" w:color="auto"/>
            <w:right w:val="none" w:sz="0" w:space="0" w:color="auto"/>
          </w:divBdr>
        </w:div>
      </w:divsChild>
    </w:div>
    <w:div w:id="1646274390">
      <w:bodyDiv w:val="1"/>
      <w:marLeft w:val="0"/>
      <w:marRight w:val="0"/>
      <w:marTop w:val="0"/>
      <w:marBottom w:val="0"/>
      <w:divBdr>
        <w:top w:val="none" w:sz="0" w:space="0" w:color="auto"/>
        <w:left w:val="none" w:sz="0" w:space="0" w:color="auto"/>
        <w:bottom w:val="none" w:sz="0" w:space="0" w:color="auto"/>
        <w:right w:val="none" w:sz="0" w:space="0" w:color="auto"/>
      </w:divBdr>
    </w:div>
    <w:div w:id="1675650945">
      <w:bodyDiv w:val="1"/>
      <w:marLeft w:val="0"/>
      <w:marRight w:val="0"/>
      <w:marTop w:val="0"/>
      <w:marBottom w:val="0"/>
      <w:divBdr>
        <w:top w:val="none" w:sz="0" w:space="0" w:color="auto"/>
        <w:left w:val="none" w:sz="0" w:space="0" w:color="auto"/>
        <w:bottom w:val="none" w:sz="0" w:space="0" w:color="auto"/>
        <w:right w:val="none" w:sz="0" w:space="0" w:color="auto"/>
      </w:divBdr>
      <w:divsChild>
        <w:div w:id="1562600010">
          <w:marLeft w:val="-720"/>
          <w:marRight w:val="0"/>
          <w:marTop w:val="0"/>
          <w:marBottom w:val="0"/>
          <w:divBdr>
            <w:top w:val="none" w:sz="0" w:space="0" w:color="auto"/>
            <w:left w:val="none" w:sz="0" w:space="0" w:color="auto"/>
            <w:bottom w:val="none" w:sz="0" w:space="0" w:color="auto"/>
            <w:right w:val="none" w:sz="0" w:space="0" w:color="auto"/>
          </w:divBdr>
        </w:div>
      </w:divsChild>
    </w:div>
    <w:div w:id="1683161678">
      <w:bodyDiv w:val="1"/>
      <w:marLeft w:val="0"/>
      <w:marRight w:val="0"/>
      <w:marTop w:val="0"/>
      <w:marBottom w:val="0"/>
      <w:divBdr>
        <w:top w:val="none" w:sz="0" w:space="0" w:color="auto"/>
        <w:left w:val="none" w:sz="0" w:space="0" w:color="auto"/>
        <w:bottom w:val="none" w:sz="0" w:space="0" w:color="auto"/>
        <w:right w:val="none" w:sz="0" w:space="0" w:color="auto"/>
      </w:divBdr>
      <w:divsChild>
        <w:div w:id="1962153568">
          <w:marLeft w:val="-720"/>
          <w:marRight w:val="0"/>
          <w:marTop w:val="0"/>
          <w:marBottom w:val="0"/>
          <w:divBdr>
            <w:top w:val="none" w:sz="0" w:space="0" w:color="auto"/>
            <w:left w:val="none" w:sz="0" w:space="0" w:color="auto"/>
            <w:bottom w:val="none" w:sz="0" w:space="0" w:color="auto"/>
            <w:right w:val="none" w:sz="0" w:space="0" w:color="auto"/>
          </w:divBdr>
        </w:div>
      </w:divsChild>
    </w:div>
    <w:div w:id="1699351141">
      <w:bodyDiv w:val="1"/>
      <w:marLeft w:val="0"/>
      <w:marRight w:val="0"/>
      <w:marTop w:val="0"/>
      <w:marBottom w:val="0"/>
      <w:divBdr>
        <w:top w:val="none" w:sz="0" w:space="0" w:color="auto"/>
        <w:left w:val="none" w:sz="0" w:space="0" w:color="auto"/>
        <w:bottom w:val="none" w:sz="0" w:space="0" w:color="auto"/>
        <w:right w:val="none" w:sz="0" w:space="0" w:color="auto"/>
      </w:divBdr>
      <w:divsChild>
        <w:div w:id="546379023">
          <w:marLeft w:val="-720"/>
          <w:marRight w:val="0"/>
          <w:marTop w:val="0"/>
          <w:marBottom w:val="0"/>
          <w:divBdr>
            <w:top w:val="none" w:sz="0" w:space="0" w:color="auto"/>
            <w:left w:val="none" w:sz="0" w:space="0" w:color="auto"/>
            <w:bottom w:val="none" w:sz="0" w:space="0" w:color="auto"/>
            <w:right w:val="none" w:sz="0" w:space="0" w:color="auto"/>
          </w:divBdr>
        </w:div>
      </w:divsChild>
    </w:div>
    <w:div w:id="1703046084">
      <w:bodyDiv w:val="1"/>
      <w:marLeft w:val="0"/>
      <w:marRight w:val="0"/>
      <w:marTop w:val="0"/>
      <w:marBottom w:val="0"/>
      <w:divBdr>
        <w:top w:val="none" w:sz="0" w:space="0" w:color="auto"/>
        <w:left w:val="none" w:sz="0" w:space="0" w:color="auto"/>
        <w:bottom w:val="none" w:sz="0" w:space="0" w:color="auto"/>
        <w:right w:val="none" w:sz="0" w:space="0" w:color="auto"/>
      </w:divBdr>
      <w:divsChild>
        <w:div w:id="2057897874">
          <w:marLeft w:val="-720"/>
          <w:marRight w:val="0"/>
          <w:marTop w:val="0"/>
          <w:marBottom w:val="0"/>
          <w:divBdr>
            <w:top w:val="none" w:sz="0" w:space="0" w:color="auto"/>
            <w:left w:val="none" w:sz="0" w:space="0" w:color="auto"/>
            <w:bottom w:val="none" w:sz="0" w:space="0" w:color="auto"/>
            <w:right w:val="none" w:sz="0" w:space="0" w:color="auto"/>
          </w:divBdr>
        </w:div>
      </w:divsChild>
    </w:div>
    <w:div w:id="1772435596">
      <w:bodyDiv w:val="1"/>
      <w:marLeft w:val="0"/>
      <w:marRight w:val="0"/>
      <w:marTop w:val="0"/>
      <w:marBottom w:val="0"/>
      <w:divBdr>
        <w:top w:val="none" w:sz="0" w:space="0" w:color="auto"/>
        <w:left w:val="none" w:sz="0" w:space="0" w:color="auto"/>
        <w:bottom w:val="none" w:sz="0" w:space="0" w:color="auto"/>
        <w:right w:val="none" w:sz="0" w:space="0" w:color="auto"/>
      </w:divBdr>
      <w:divsChild>
        <w:div w:id="1256088816">
          <w:marLeft w:val="0"/>
          <w:marRight w:val="0"/>
          <w:marTop w:val="0"/>
          <w:marBottom w:val="0"/>
          <w:divBdr>
            <w:top w:val="none" w:sz="0" w:space="0" w:color="auto"/>
            <w:left w:val="none" w:sz="0" w:space="0" w:color="auto"/>
            <w:bottom w:val="none" w:sz="0" w:space="0" w:color="auto"/>
            <w:right w:val="none" w:sz="0" w:space="0" w:color="auto"/>
          </w:divBdr>
          <w:divsChild>
            <w:div w:id="106098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997006">
      <w:bodyDiv w:val="1"/>
      <w:marLeft w:val="0"/>
      <w:marRight w:val="0"/>
      <w:marTop w:val="0"/>
      <w:marBottom w:val="0"/>
      <w:divBdr>
        <w:top w:val="none" w:sz="0" w:space="0" w:color="auto"/>
        <w:left w:val="none" w:sz="0" w:space="0" w:color="auto"/>
        <w:bottom w:val="none" w:sz="0" w:space="0" w:color="auto"/>
        <w:right w:val="none" w:sz="0" w:space="0" w:color="auto"/>
      </w:divBdr>
    </w:div>
    <w:div w:id="1989163901">
      <w:bodyDiv w:val="1"/>
      <w:marLeft w:val="0"/>
      <w:marRight w:val="0"/>
      <w:marTop w:val="0"/>
      <w:marBottom w:val="0"/>
      <w:divBdr>
        <w:top w:val="none" w:sz="0" w:space="0" w:color="auto"/>
        <w:left w:val="none" w:sz="0" w:space="0" w:color="auto"/>
        <w:bottom w:val="none" w:sz="0" w:space="0" w:color="auto"/>
        <w:right w:val="none" w:sz="0" w:space="0" w:color="auto"/>
      </w:divBdr>
    </w:div>
    <w:div w:id="2124764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10.1525/j.ctt1pp1h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TotalTime>
  <Pages>6</Pages>
  <Words>1880</Words>
  <Characters>10716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1</cp:revision>
  <dcterms:created xsi:type="dcterms:W3CDTF">2025-04-23T17:24:00Z</dcterms:created>
  <dcterms:modified xsi:type="dcterms:W3CDTF">2025-04-23T21:54:00Z</dcterms:modified>
</cp:coreProperties>
</file>