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FDF8B0B" w14:textId="77777777" w:rsidR="007462BC" w:rsidRPr="006D3C81" w:rsidRDefault="00000000" w:rsidP="006D3C81">
      <w:pPr>
        <w:pStyle w:val="Title"/>
        <w:spacing w:after="120" w:line="360" w:lineRule="auto"/>
        <w:rPr>
          <w:rFonts w:ascii="Times New Roman" w:hAnsi="Times New Roman" w:cs="Times New Roman"/>
          <w:sz w:val="24"/>
          <w:szCs w:val="24"/>
        </w:rPr>
      </w:pPr>
      <w:r w:rsidRPr="006D3C81">
        <w:rPr>
          <w:rFonts w:ascii="Arial" w:hAnsi="Arial" w:cs="Times New Roman"/>
          <w:sz w:val="22"/>
          <w:szCs w:val="24"/>
        </w:rPr>
        <w:t>LCHS4003 – Introduction to Health and Social Care</w:t>
      </w:r>
    </w:p>
    <w:p w14:paraId="5E1D877B" w14:textId="77777777" w:rsidR="000436A9" w:rsidRDefault="000436A9" w:rsidP="006144A1">
      <w:pPr>
        <w:jc w:val="center"/>
        <w:rPr>
          <w:rFonts w:cs="Times New Roman"/>
          <w:szCs w:val="24"/>
        </w:rPr>
      </w:pPr>
    </w:p>
    <w:p w14:paraId="23881AA6" w14:textId="77777777" w:rsidR="006144A1" w:rsidRPr="006144A1" w:rsidRDefault="006144A1" w:rsidP="006144A1">
      <w:pPr>
        <w:jc w:val="center"/>
        <w:rPr>
          <w:rFonts w:cs="Times New Roman"/>
          <w:szCs w:val="24"/>
        </w:rPr>
      </w:pPr>
      <w:r w:rsidRPr="006144A1">
        <w:rPr>
          <w:rFonts w:cs="Times New Roman"/>
          <w:szCs w:val="24"/>
        </w:rPr>
        <w:t>Portfolio: Mini Report and Essay</w:t>
      </w:r>
    </w:p>
    <w:p w14:paraId="3773172A" w14:textId="5B24F931" w:rsidR="006144A1" w:rsidRPr="006144A1" w:rsidRDefault="006144A1" w:rsidP="006144A1">
      <w:pPr>
        <w:jc w:val="center"/>
        <w:rPr>
          <w:rFonts w:cs="Times New Roman"/>
          <w:szCs w:val="24"/>
        </w:rPr>
      </w:pPr>
      <w:r w:rsidRPr="006144A1">
        <w:rPr>
          <w:rFonts w:cs="Times New Roman"/>
          <w:szCs w:val="24"/>
        </w:rPr>
        <w:t xml:space="preserve">Student </w:t>
      </w:r>
      <w:proofErr w:type="spellStart"/>
      <w:proofErr w:type="gramStart"/>
      <w:r w:rsidRPr="006144A1">
        <w:rPr>
          <w:rFonts w:cs="Times New Roman"/>
          <w:szCs w:val="24"/>
        </w:rPr>
        <w:t>name:</w:t>
      </w:r>
      <w:r w:rsidR="00CF6B36">
        <w:rPr>
          <w:rFonts w:cs="Times New Roman"/>
          <w:szCs w:val="24"/>
        </w:rPr>
        <w:t>Nighat</w:t>
      </w:r>
      <w:proofErr w:type="spellEnd"/>
      <w:proofErr w:type="gramEnd"/>
      <w:r w:rsidR="00CF6B36">
        <w:rPr>
          <w:rFonts w:cs="Times New Roman"/>
          <w:szCs w:val="24"/>
        </w:rPr>
        <w:t xml:space="preserve"> Suleman</w:t>
      </w:r>
    </w:p>
    <w:p w14:paraId="554C7D53" w14:textId="5BEE2C39" w:rsidR="006144A1" w:rsidRPr="006144A1" w:rsidRDefault="006144A1" w:rsidP="006144A1">
      <w:pPr>
        <w:jc w:val="center"/>
        <w:rPr>
          <w:rFonts w:cs="Times New Roman"/>
          <w:szCs w:val="24"/>
        </w:rPr>
      </w:pPr>
      <w:r w:rsidRPr="006144A1">
        <w:rPr>
          <w:rFonts w:cs="Times New Roman"/>
          <w:szCs w:val="24"/>
        </w:rPr>
        <w:t>Student number:</w:t>
      </w:r>
      <w:r w:rsidR="00CF6B36">
        <w:rPr>
          <w:rFonts w:cs="Times New Roman"/>
          <w:szCs w:val="24"/>
        </w:rPr>
        <w:t>2010940</w:t>
      </w:r>
    </w:p>
    <w:p w14:paraId="7270B589" w14:textId="77777777" w:rsidR="006144A1" w:rsidRPr="006144A1" w:rsidRDefault="006144A1" w:rsidP="006144A1">
      <w:pPr>
        <w:jc w:val="center"/>
        <w:rPr>
          <w:rFonts w:cs="Times New Roman"/>
          <w:szCs w:val="24"/>
        </w:rPr>
      </w:pPr>
      <w:r w:rsidRPr="006144A1">
        <w:rPr>
          <w:rFonts w:cs="Times New Roman"/>
          <w:szCs w:val="24"/>
        </w:rPr>
        <w:t>Module code and title: LCHS4003</w:t>
      </w:r>
    </w:p>
    <w:p w14:paraId="68F1478C" w14:textId="77777777" w:rsidR="006144A1" w:rsidRPr="006144A1" w:rsidRDefault="006144A1" w:rsidP="006144A1">
      <w:pPr>
        <w:jc w:val="center"/>
        <w:rPr>
          <w:rFonts w:cs="Times New Roman"/>
          <w:szCs w:val="24"/>
        </w:rPr>
      </w:pPr>
      <w:r w:rsidRPr="006144A1">
        <w:rPr>
          <w:rFonts w:cs="Times New Roman"/>
          <w:szCs w:val="24"/>
        </w:rPr>
        <w:t>Lecturer's name:</w:t>
      </w:r>
    </w:p>
    <w:p w14:paraId="0B52AC97" w14:textId="77777777" w:rsidR="006144A1" w:rsidRPr="006144A1" w:rsidRDefault="006144A1" w:rsidP="006144A1">
      <w:pPr>
        <w:jc w:val="center"/>
        <w:rPr>
          <w:rFonts w:cs="Times New Roman"/>
          <w:szCs w:val="24"/>
        </w:rPr>
      </w:pPr>
      <w:r w:rsidRPr="006144A1">
        <w:rPr>
          <w:rFonts w:cs="Times New Roman"/>
          <w:szCs w:val="24"/>
        </w:rPr>
        <w:t>at title</w:t>
      </w:r>
    </w:p>
    <w:p w14:paraId="7DB3D174" w14:textId="3B113123" w:rsidR="006144A1" w:rsidRPr="006144A1" w:rsidRDefault="006144A1" w:rsidP="006144A1">
      <w:pPr>
        <w:jc w:val="center"/>
        <w:rPr>
          <w:rFonts w:cs="Times New Roman"/>
          <w:szCs w:val="24"/>
        </w:rPr>
      </w:pPr>
      <w:r>
        <w:rPr>
          <w:rFonts w:cs="Times New Roman"/>
          <w:szCs w:val="24"/>
        </w:rPr>
        <w:t>C</w:t>
      </w:r>
      <w:r w:rsidRPr="006144A1">
        <w:rPr>
          <w:rFonts w:cs="Times New Roman"/>
          <w:szCs w:val="24"/>
        </w:rPr>
        <w:t>omponent 1 Portfolio (Task 1 Report; Task 2: Essay)</w:t>
      </w:r>
    </w:p>
    <w:p w14:paraId="0976B570" w14:textId="76773C9C" w:rsidR="003D1F94" w:rsidRDefault="006144A1" w:rsidP="006144A1">
      <w:pPr>
        <w:jc w:val="center"/>
        <w:rPr>
          <w:rFonts w:cs="Times New Roman"/>
          <w:szCs w:val="24"/>
        </w:rPr>
      </w:pPr>
      <w:r w:rsidRPr="003868E3">
        <w:rPr>
          <w:rFonts w:cs="Times New Roman"/>
          <w:szCs w:val="24"/>
        </w:rPr>
        <w:t>Submission date:</w:t>
      </w:r>
    </w:p>
    <w:p w14:paraId="37F33F6F" w14:textId="77777777" w:rsidR="006144A1" w:rsidRPr="006144A1" w:rsidRDefault="006144A1" w:rsidP="006144A1">
      <w:pPr>
        <w:jc w:val="both"/>
      </w:pPr>
    </w:p>
    <w:p w14:paraId="706578AE" w14:textId="77777777" w:rsidR="003D1F94" w:rsidRPr="006D3C81" w:rsidRDefault="003D1F94" w:rsidP="000436A9">
      <w:pPr>
        <w:jc w:val="both"/>
        <w:rPr>
          <w:rFonts w:ascii="Times New Roman" w:hAnsi="Times New Roman" w:cs="Times New Roman"/>
          <w:sz w:val="24"/>
          <w:szCs w:val="24"/>
        </w:rPr>
      </w:pPr>
    </w:p>
    <w:p w14:paraId="79FA67B5" w14:textId="77777777" w:rsidR="007462BC" w:rsidRPr="006D3C81" w:rsidRDefault="00000000" w:rsidP="000436A9">
      <w:pPr>
        <w:pStyle w:val="Heading2"/>
        <w:spacing w:after="120"/>
        <w:jc w:val="both"/>
        <w:rPr>
          <w:rFonts w:ascii="Times New Roman" w:hAnsi="Times New Roman" w:cs="Times New Roman"/>
          <w:sz w:val="24"/>
          <w:szCs w:val="24"/>
        </w:rPr>
      </w:pPr>
      <w:r w:rsidRPr="006D3C81">
        <w:rPr>
          <w:rFonts w:ascii="Arial" w:hAnsi="Arial" w:cs="Times New Roman"/>
          <w:szCs w:val="24"/>
        </w:rPr>
        <w:t>Introduction</w:t>
      </w:r>
    </w:p>
    <w:p w14:paraId="26BBD5CF" w14:textId="77777777" w:rsidR="000436A9" w:rsidRDefault="000436A9" w:rsidP="000436A9">
      <w:pPr>
        <w:jc w:val="both"/>
        <w:rPr>
          <w:rFonts w:cs="Times New Roman"/>
          <w:szCs w:val="24"/>
        </w:rPr>
      </w:pPr>
    </w:p>
    <w:p w14:paraId="44A44109" w14:textId="0F403F9A" w:rsidR="003868E3" w:rsidRDefault="003868E3" w:rsidP="000436A9">
      <w:pPr>
        <w:jc w:val="both"/>
        <w:rPr>
          <w:rFonts w:cs="Times New Roman"/>
          <w:szCs w:val="24"/>
        </w:rPr>
      </w:pPr>
      <w:r w:rsidRPr="003868E3">
        <w:rPr>
          <w:rFonts w:cs="Times New Roman"/>
          <w:szCs w:val="24"/>
        </w:rPr>
        <w:t xml:space="preserve">In this mini-report, we have thought about what would happen if there were a shortage of community disability services in Tyseley, Birmingham. Services can include support workers, accessible activities, personal care, equipment, independent living support and signposting to other </w:t>
      </w:r>
      <w:proofErr w:type="spellStart"/>
      <w:r w:rsidRPr="003868E3">
        <w:rPr>
          <w:rFonts w:cs="Times New Roman"/>
          <w:szCs w:val="24"/>
        </w:rPr>
        <w:t>organisations</w:t>
      </w:r>
      <w:proofErr w:type="spellEnd"/>
      <w:r w:rsidRPr="003868E3">
        <w:rPr>
          <w:rFonts w:cs="Times New Roman"/>
          <w:szCs w:val="24"/>
        </w:rPr>
        <w:t>. Disabled adults who have effective support can make choices, keep relationships, engage in education and/or work, and live at home safely. For Birmingham City Council (2025a) adult social care is support to help keep people independent and safe. The assessment scenario does not assume that there is a shortage in Tyseley. A local response to any council's needs must start with "local evidence" of the needs of residents and the availability, accessibility and suitability of existing provision. The Care Act 2014 is the primary legislation used to take account of adult social care duties. This report will consider and report on the potential community impact of the scenario and make practical recommendations for actions by the counci</w:t>
      </w:r>
      <w:r>
        <w:rPr>
          <w:rFonts w:cs="Times New Roman"/>
          <w:szCs w:val="24"/>
        </w:rPr>
        <w:t xml:space="preserve">l. </w:t>
      </w:r>
    </w:p>
    <w:p w14:paraId="3F19BFBA" w14:textId="77777777" w:rsidR="003868E3" w:rsidRPr="006D3C81" w:rsidRDefault="003868E3" w:rsidP="000436A9">
      <w:pPr>
        <w:jc w:val="both"/>
        <w:rPr>
          <w:rFonts w:ascii="Times New Roman" w:hAnsi="Times New Roman" w:cs="Times New Roman"/>
          <w:sz w:val="24"/>
          <w:szCs w:val="24"/>
        </w:rPr>
      </w:pPr>
    </w:p>
    <w:p w14:paraId="66F10E2F" w14:textId="77777777" w:rsidR="007462BC" w:rsidRPr="006D3C81" w:rsidRDefault="00000000" w:rsidP="000436A9">
      <w:pPr>
        <w:pStyle w:val="Heading2"/>
        <w:spacing w:after="120"/>
        <w:jc w:val="both"/>
        <w:rPr>
          <w:rFonts w:ascii="Times New Roman" w:hAnsi="Times New Roman" w:cs="Times New Roman"/>
          <w:sz w:val="24"/>
          <w:szCs w:val="24"/>
        </w:rPr>
      </w:pPr>
      <w:r w:rsidRPr="006D3C81">
        <w:rPr>
          <w:rFonts w:ascii="Arial" w:hAnsi="Arial" w:cs="Times New Roman"/>
          <w:szCs w:val="24"/>
        </w:rPr>
        <w:t>Impact on the community</w:t>
      </w:r>
    </w:p>
    <w:p w14:paraId="1D9AA51A" w14:textId="77777777" w:rsidR="000436A9" w:rsidRDefault="000436A9" w:rsidP="000436A9">
      <w:pPr>
        <w:jc w:val="both"/>
        <w:rPr>
          <w:rFonts w:cs="Times New Roman"/>
          <w:szCs w:val="24"/>
        </w:rPr>
      </w:pPr>
    </w:p>
    <w:p w14:paraId="00502B3C" w14:textId="77777777" w:rsidR="003868E3" w:rsidRDefault="003868E3" w:rsidP="000436A9">
      <w:pPr>
        <w:jc w:val="both"/>
        <w:rPr>
          <w:rFonts w:cs="Times New Roman"/>
          <w:szCs w:val="24"/>
        </w:rPr>
      </w:pPr>
      <w:r w:rsidRPr="003868E3">
        <w:rPr>
          <w:rFonts w:cs="Times New Roman"/>
          <w:szCs w:val="24"/>
        </w:rPr>
        <w:lastRenderedPageBreak/>
        <w:t xml:space="preserve">The lack of community disability support may impact on the independence, wellbeing and participation of adults with a disability in the community. When help and support isn't available, individuals with mobility issues, learning disabilities or long-term disabilities can have trouble getting to appointments, taking care of their own needs, or partaking in local events. Limited access to other people may lead to more isolation and fewer learning, working and </w:t>
      </w:r>
      <w:proofErr w:type="spellStart"/>
      <w:r w:rsidRPr="003868E3">
        <w:rPr>
          <w:rFonts w:cs="Times New Roman"/>
          <w:szCs w:val="24"/>
        </w:rPr>
        <w:t>socialising</w:t>
      </w:r>
      <w:proofErr w:type="spellEnd"/>
      <w:r w:rsidRPr="003868E3">
        <w:rPr>
          <w:rFonts w:cs="Times New Roman"/>
          <w:szCs w:val="24"/>
        </w:rPr>
        <w:t xml:space="preserve"> opportunities. </w:t>
      </w:r>
    </w:p>
    <w:p w14:paraId="2CDE4B64" w14:textId="57C1F745" w:rsidR="003868E3" w:rsidRDefault="003868E3" w:rsidP="000436A9">
      <w:pPr>
        <w:jc w:val="both"/>
        <w:rPr>
          <w:rFonts w:cs="Times New Roman"/>
          <w:szCs w:val="24"/>
        </w:rPr>
      </w:pPr>
      <w:r w:rsidRPr="003868E3">
        <w:rPr>
          <w:rFonts w:cs="Times New Roman"/>
          <w:szCs w:val="24"/>
        </w:rPr>
        <w:t xml:space="preserve">These are only some of the possibilities for the hypothetical shortage, and not a fact of what is happening at Tyseley. This impact might also be felt by unpaid carers. Relatives could be required to supervise or carry the child more often, need to give them more personal assistance, and have less time working, sleeping and attending to their own needs. If a family is not able to offer this support, then it may be harder for disabled residents to maintain their routines and live safely at home. In particular, households with low income might struggle to make up the expenses of alternative forms of support, thus exacerbating inequalities already in place. The Care Act 2014 sets out individual wellbeing as the main focus of adult social care, which encompasses dignity, health, control over daily life and participation (Great Britain, 2014). </w:t>
      </w:r>
    </w:p>
    <w:p w14:paraId="0FDD393F" w14:textId="1E974928" w:rsidR="003868E3" w:rsidRDefault="003868E3" w:rsidP="000436A9">
      <w:pPr>
        <w:jc w:val="both"/>
        <w:rPr>
          <w:rFonts w:cs="Times New Roman"/>
          <w:szCs w:val="24"/>
        </w:rPr>
      </w:pPr>
      <w:r w:rsidRPr="003868E3">
        <w:rPr>
          <w:rFonts w:cs="Times New Roman"/>
          <w:szCs w:val="24"/>
        </w:rPr>
        <w:t>The Care Quality Commission (2025) list the national pressures impacting on community services, such as workforce and capacity pressures. But no national evidence can decide what level of a possible local shortage is. The council would then require experience and assessment data, as well as waiting time data from residents to understand the barriers that exist and how these barriers impact on the everyday lives of residents. This evidence would aid in identifying general concerns versus locally identified needs.</w:t>
      </w:r>
    </w:p>
    <w:p w14:paraId="7D0C5EB0" w14:textId="77777777" w:rsidR="003868E3" w:rsidRPr="006D3C81" w:rsidRDefault="003868E3" w:rsidP="000436A9">
      <w:pPr>
        <w:jc w:val="both"/>
        <w:rPr>
          <w:rFonts w:ascii="Times New Roman" w:hAnsi="Times New Roman" w:cs="Times New Roman"/>
          <w:sz w:val="24"/>
          <w:szCs w:val="24"/>
        </w:rPr>
      </w:pPr>
    </w:p>
    <w:p w14:paraId="2553ECB8" w14:textId="77777777" w:rsidR="007462BC" w:rsidRPr="006D3C81" w:rsidRDefault="00000000" w:rsidP="000436A9">
      <w:pPr>
        <w:pStyle w:val="Heading2"/>
        <w:spacing w:after="120"/>
        <w:jc w:val="both"/>
        <w:rPr>
          <w:rFonts w:ascii="Times New Roman" w:hAnsi="Times New Roman" w:cs="Times New Roman"/>
          <w:sz w:val="24"/>
          <w:szCs w:val="24"/>
        </w:rPr>
      </w:pPr>
      <w:r w:rsidRPr="006D3C81">
        <w:rPr>
          <w:rFonts w:ascii="Arial" w:hAnsi="Arial" w:cs="Times New Roman"/>
          <w:szCs w:val="24"/>
        </w:rPr>
        <w:t>Recommended council response</w:t>
      </w:r>
    </w:p>
    <w:p w14:paraId="7C1CA573" w14:textId="77777777" w:rsidR="000436A9" w:rsidRDefault="000436A9" w:rsidP="000436A9">
      <w:pPr>
        <w:jc w:val="both"/>
      </w:pPr>
    </w:p>
    <w:p w14:paraId="32F886CA" w14:textId="77777777" w:rsidR="003868E3" w:rsidRDefault="003868E3" w:rsidP="000436A9">
      <w:pPr>
        <w:jc w:val="both"/>
      </w:pPr>
      <w:proofErr w:type="spellStart"/>
      <w:r w:rsidRPr="003868E3">
        <w:t>Councillor</w:t>
      </w:r>
      <w:proofErr w:type="spellEnd"/>
      <w:r w:rsidRPr="003868E3">
        <w:t xml:space="preserve"> Atikur Rahman should seek a local review of unmet disability support needs, the wait for assessments and access to services in place. The review should include the views of disabled people, unpaid carers, advocacy </w:t>
      </w:r>
      <w:proofErr w:type="spellStart"/>
      <w:r w:rsidRPr="003868E3">
        <w:t>organisations</w:t>
      </w:r>
      <w:proofErr w:type="spellEnd"/>
      <w:r w:rsidRPr="003868E3">
        <w:t xml:space="preserve">, social care workers and NHS partners. Their involvement would help to determine if it is possible for them to have meaningful choices and independence in their lives, or whether it is simply a count of numbers of services/support hours delivered. The council should ensure that information is readily available, signposting is clear and there are opportunities to seek advice, which don't involve the use of digital services. Information should be provided in a way that meets </w:t>
      </w:r>
      <w:r w:rsidRPr="003868E3">
        <w:lastRenderedPageBreak/>
        <w:t xml:space="preserve">the communication needs of residents. Practical equipment, the right </w:t>
      </w:r>
      <w:proofErr w:type="spellStart"/>
      <w:r w:rsidRPr="003868E3">
        <w:t>reablement</w:t>
      </w:r>
      <w:proofErr w:type="spellEnd"/>
      <w:r w:rsidRPr="003868E3">
        <w:t xml:space="preserve"> and accessible community activities should also be taken into account in the preventative response outlined in the Care Act 2014 (Great Britain, 2014). </w:t>
      </w:r>
    </w:p>
    <w:p w14:paraId="58A589AF" w14:textId="77777777" w:rsidR="003868E3" w:rsidRDefault="003868E3" w:rsidP="000436A9">
      <w:pPr>
        <w:jc w:val="both"/>
      </w:pPr>
      <w:r w:rsidRPr="003868E3">
        <w:t xml:space="preserve">The review should investigate capacity of providers, staff turnover and disability awareness and person </w:t>
      </w:r>
      <w:proofErr w:type="spellStart"/>
      <w:r w:rsidRPr="003868E3">
        <w:t>centred</w:t>
      </w:r>
      <w:proofErr w:type="spellEnd"/>
      <w:r w:rsidRPr="003868E3">
        <w:t xml:space="preserve"> communication training. If a need has been identified through the assessment, the council should consider whether the statutory conditions exist for the need and whether suitable support is available. Plans should provide for procedures so residents can request review should circumstances change. There could be a greater focus on NHS and voluntary sector working together to enhance coordination and remain accountable for statutory duties. </w:t>
      </w:r>
    </w:p>
    <w:p w14:paraId="4761BCAD" w14:textId="77777777" w:rsidR="003868E3" w:rsidRPr="006D3C81" w:rsidRDefault="003868E3" w:rsidP="000436A9">
      <w:pPr>
        <w:jc w:val="both"/>
        <w:rPr>
          <w:rFonts w:ascii="Times New Roman" w:hAnsi="Times New Roman" w:cs="Times New Roman"/>
          <w:sz w:val="24"/>
          <w:szCs w:val="24"/>
        </w:rPr>
      </w:pPr>
    </w:p>
    <w:p w14:paraId="4FD0C0D3" w14:textId="77777777" w:rsidR="007462BC" w:rsidRPr="006D3C81" w:rsidRDefault="00000000" w:rsidP="000436A9">
      <w:pPr>
        <w:pStyle w:val="Heading2"/>
        <w:spacing w:after="120"/>
        <w:jc w:val="both"/>
        <w:rPr>
          <w:rFonts w:ascii="Times New Roman" w:hAnsi="Times New Roman" w:cs="Times New Roman"/>
          <w:sz w:val="24"/>
          <w:szCs w:val="24"/>
        </w:rPr>
      </w:pPr>
      <w:r w:rsidRPr="006D3C81">
        <w:rPr>
          <w:rFonts w:ascii="Arial" w:hAnsi="Arial" w:cs="Times New Roman"/>
          <w:szCs w:val="24"/>
        </w:rPr>
        <w:t>Conclusion</w:t>
      </w:r>
    </w:p>
    <w:p w14:paraId="4F034485" w14:textId="77777777" w:rsidR="000436A9" w:rsidRDefault="000436A9" w:rsidP="000436A9">
      <w:pPr>
        <w:jc w:val="both"/>
      </w:pPr>
    </w:p>
    <w:p w14:paraId="0DA925A6" w14:textId="67F3EA2D" w:rsidR="003868E3" w:rsidRDefault="003868E3" w:rsidP="003868E3">
      <w:pPr>
        <w:jc w:val="both"/>
        <w:rPr>
          <w:rFonts w:cs="Times New Roman"/>
          <w:szCs w:val="24"/>
        </w:rPr>
      </w:pPr>
      <w:r w:rsidRPr="003868E3">
        <w:t xml:space="preserve">Community disability support enables disabled adults to live independently, be well and to participate. Delays may exacerbate inequalities, added strain and stress on unpaid carers, and raise the level of isolation in the hypothetical shortage. The response from Birmingham City Council will be based on the duty on the Council under the Care Act 2014, taking into account local evidence of any shortage in Tyseley. </w:t>
      </w:r>
      <w:proofErr w:type="spellStart"/>
      <w:r w:rsidRPr="003868E3">
        <w:t>Councillor</w:t>
      </w:r>
      <w:proofErr w:type="spellEnd"/>
      <w:r w:rsidRPr="003868E3">
        <w:t xml:space="preserve"> Atikur Rahman should be talking about an inclusive needs review, accessible information, appropriate service capacity and regular monitoring. Engaging disabled residents and carers would help to ensure improvements are made to tackle the day-to-day living challenges of disabled people. </w:t>
      </w:r>
    </w:p>
    <w:p w14:paraId="3068437D" w14:textId="77777777" w:rsidR="003868E3" w:rsidRPr="003868E3" w:rsidRDefault="003868E3" w:rsidP="003868E3"/>
    <w:p w14:paraId="3E8BB1D7" w14:textId="06E4AC0D" w:rsidR="007462BC" w:rsidRPr="006D3C81" w:rsidRDefault="00000000" w:rsidP="006D3C81">
      <w:pPr>
        <w:pStyle w:val="Heading1"/>
        <w:spacing w:after="120"/>
        <w:rPr>
          <w:rFonts w:ascii="Times New Roman" w:hAnsi="Times New Roman" w:cs="Times New Roman"/>
          <w:sz w:val="24"/>
          <w:szCs w:val="24"/>
        </w:rPr>
      </w:pPr>
      <w:r w:rsidRPr="006D3C81">
        <w:rPr>
          <w:rFonts w:ascii="Arial" w:hAnsi="Arial" w:cs="Times New Roman"/>
          <w:sz w:val="22"/>
          <w:szCs w:val="24"/>
        </w:rPr>
        <w:t>Task 2 — Essay: Pharmacy Services in England</w:t>
      </w:r>
    </w:p>
    <w:p w14:paraId="1032611F" w14:textId="77777777" w:rsidR="007462BC" w:rsidRPr="006D3C81" w:rsidRDefault="00000000" w:rsidP="006D3C81">
      <w:pPr>
        <w:pStyle w:val="Heading2"/>
        <w:spacing w:after="120"/>
        <w:rPr>
          <w:rFonts w:ascii="Times New Roman" w:hAnsi="Times New Roman" w:cs="Times New Roman"/>
          <w:sz w:val="24"/>
          <w:szCs w:val="24"/>
        </w:rPr>
      </w:pPr>
      <w:r w:rsidRPr="006D3C81">
        <w:rPr>
          <w:rFonts w:ascii="Arial" w:hAnsi="Arial" w:cs="Times New Roman"/>
          <w:szCs w:val="24"/>
        </w:rPr>
        <w:t>Introduction</w:t>
      </w:r>
    </w:p>
    <w:p w14:paraId="24F3C171" w14:textId="77777777" w:rsidR="000436A9" w:rsidRDefault="000436A9" w:rsidP="006D3C81">
      <w:pPr>
        <w:rPr>
          <w:rFonts w:cs="Times New Roman"/>
          <w:szCs w:val="24"/>
        </w:rPr>
      </w:pPr>
    </w:p>
    <w:p w14:paraId="53BC251C" w14:textId="18B408CD" w:rsidR="000436A9" w:rsidRDefault="000436A9" w:rsidP="006D3C81">
      <w:pPr>
        <w:rPr>
          <w:rFonts w:cs="Times New Roman"/>
          <w:szCs w:val="24"/>
        </w:rPr>
      </w:pPr>
      <w:r w:rsidRPr="000436A9">
        <w:rPr>
          <w:rFonts w:cs="Times New Roman"/>
          <w:szCs w:val="24"/>
        </w:rPr>
        <w:t xml:space="preserve">Pharmacy services have a major part to play in England's healthcare system. Community pharmacists are responsible for supplying prescribed medicines, providing advice on safe medicine use, assisting with the management of minor illnesses and delivering public health interventions. Pharmacists provide scientific information on drugs and interact with people, sometimes without an appointment. The service is especially </w:t>
      </w:r>
      <w:r w:rsidRPr="000436A9">
        <w:rPr>
          <w:rFonts w:cs="Times New Roman"/>
          <w:szCs w:val="24"/>
        </w:rPr>
        <w:lastRenderedPageBreak/>
        <w:t>valuable to individuals who live with chronic health issues, seniors, and individuals who have limited access to other health providers. But, in the past, the role of the pharmacist was not just to provide medicines – now there is a focus on their clinical role as policymakers try to enhance the provision of primary care. Understanding its past, services and shortcomings, provides insight into the role played in improving the quality of life, and the conditions necessary for it to provide safe and equitable services.</w:t>
      </w:r>
    </w:p>
    <w:p w14:paraId="178EE4C8" w14:textId="77777777" w:rsidR="000436A9" w:rsidRPr="006D3C81" w:rsidRDefault="000436A9" w:rsidP="006D3C81">
      <w:pPr>
        <w:rPr>
          <w:rFonts w:ascii="Times New Roman" w:hAnsi="Times New Roman" w:cs="Times New Roman"/>
          <w:sz w:val="24"/>
          <w:szCs w:val="24"/>
        </w:rPr>
      </w:pPr>
    </w:p>
    <w:p w14:paraId="4C01C1B6" w14:textId="77777777" w:rsidR="007462BC" w:rsidRPr="006D3C81" w:rsidRDefault="00000000" w:rsidP="006D3C81">
      <w:pPr>
        <w:pStyle w:val="Heading2"/>
        <w:spacing w:after="120"/>
        <w:rPr>
          <w:rFonts w:ascii="Times New Roman" w:hAnsi="Times New Roman" w:cs="Times New Roman"/>
          <w:sz w:val="24"/>
          <w:szCs w:val="24"/>
        </w:rPr>
      </w:pPr>
      <w:r w:rsidRPr="006D3C81">
        <w:rPr>
          <w:rFonts w:ascii="Arial" w:hAnsi="Arial" w:cs="Times New Roman"/>
          <w:szCs w:val="24"/>
        </w:rPr>
        <w:t>Historical context and current functions</w:t>
      </w:r>
    </w:p>
    <w:p w14:paraId="676EB7BB" w14:textId="77777777" w:rsidR="000436A9" w:rsidRDefault="000436A9" w:rsidP="006D3C81"/>
    <w:p w14:paraId="084E16C6" w14:textId="29D62014" w:rsidR="000436A9" w:rsidRDefault="000436A9" w:rsidP="006D3C81">
      <w:r w:rsidRPr="000436A9">
        <w:t xml:space="preserve">In England, pharmacies evolved from apothecaries and chemists, who used to make and sell medicines. Gradually accurate dispensing, safety and advice became mainstream duties as professional regulation </w:t>
      </w:r>
      <w:r w:rsidR="003D1F94">
        <w:t xml:space="preserve">was </w:t>
      </w:r>
      <w:r w:rsidRPr="000436A9">
        <w:t xml:space="preserve">introduced and </w:t>
      </w:r>
      <w:r w:rsidR="003D1F94">
        <w:t>manufactured medicines were developed</w:t>
      </w:r>
      <w:r w:rsidRPr="000436A9">
        <w:t xml:space="preserve">. With the birth of the National Health Service in 1948, community pharmacy was introduced into a publicly funded health care system, linking medicines access to health care with dispensing. As conditions evolved over the following decades, with new disease developments and the increasing reliance on long-term medication and on general practice, pharmacists took on more responsibilities. Community pharmacies provide NHS prescriptions, give advice on side effects and interactions and assist in safe use of medicines. Many also offer services like blood pressure screening, </w:t>
      </w:r>
      <w:r w:rsidR="003D1F94">
        <w:t>contraceptive</w:t>
      </w:r>
      <w:r w:rsidRPr="000436A9">
        <w:t xml:space="preserve"> information and </w:t>
      </w:r>
      <w:proofErr w:type="spellStart"/>
      <w:r w:rsidRPr="000436A9">
        <w:t>immunisation</w:t>
      </w:r>
      <w:proofErr w:type="spellEnd"/>
      <w:r w:rsidRPr="000436A9">
        <w:t xml:space="preserve"> (vaccination) provided they are commissioned and eligible for that service. One of the key developments in recent months has been the implementation of NHS Pharmacy First in England, which comes into effect on 31 January 2024. It allows participating pharmacists to manage seven specific conditions, including sore throat, sinusitis, earache, and some UTIs, as well as using clinical pathways for these conditions, provided the patient meets age and other eligibility criteria, and providing suitable medicines where appropriate (NHS England, 2024c). The service is based on the existing community pharmacy consultation service and has been expanded to cover medicines for minor illness and urgent medicines supply for repeat medicine services (NHS England, 2024b). The change reflects a historical transition from a predominantly dispensing to an easily achieved clinical assessment and treatment role in primary care.</w:t>
      </w:r>
    </w:p>
    <w:p w14:paraId="12526B6C" w14:textId="77777777" w:rsidR="000436A9" w:rsidRPr="006D3C81" w:rsidRDefault="000436A9" w:rsidP="006D3C81">
      <w:pPr>
        <w:rPr>
          <w:rFonts w:ascii="Times New Roman" w:hAnsi="Times New Roman" w:cs="Times New Roman"/>
          <w:sz w:val="24"/>
          <w:szCs w:val="24"/>
        </w:rPr>
      </w:pPr>
    </w:p>
    <w:p w14:paraId="652555B5" w14:textId="77777777" w:rsidR="007462BC" w:rsidRPr="006D3C81" w:rsidRDefault="00000000" w:rsidP="006D3C81">
      <w:pPr>
        <w:pStyle w:val="Heading2"/>
        <w:spacing w:after="120"/>
        <w:rPr>
          <w:rFonts w:ascii="Times New Roman" w:hAnsi="Times New Roman" w:cs="Times New Roman"/>
          <w:sz w:val="24"/>
          <w:szCs w:val="24"/>
        </w:rPr>
      </w:pPr>
      <w:r w:rsidRPr="006D3C81">
        <w:rPr>
          <w:rFonts w:ascii="Arial" w:hAnsi="Arial" w:cs="Times New Roman"/>
          <w:szCs w:val="24"/>
        </w:rPr>
        <w:lastRenderedPageBreak/>
        <w:t>Critical evaluation and quality of life</w:t>
      </w:r>
    </w:p>
    <w:p w14:paraId="4D324872" w14:textId="77777777" w:rsidR="000436A9" w:rsidRDefault="000436A9" w:rsidP="006D3C81"/>
    <w:p w14:paraId="3A2C3C87" w14:textId="77777777" w:rsidR="000436A9" w:rsidRDefault="000436A9" w:rsidP="006D3C81">
      <w:r w:rsidRPr="000436A9">
        <w:t xml:space="preserve">Pharmacies can help to enhance quality of life by providing timely treatment and assistance in utilizing medicines and providing convenient advice. This early intervention of minor issues can help to avoid later issues, and effective medicines counselling can boost confidence and independence in patients. Pharmacy First will aim to improve access and alleviate pressure on GP practices; NHS England (2024a) said 10,265 community pharmacies were providing this at launch. The scheme is therefore potentially beneficial to working adults, carers and those who are unable to get a GP appointment sooner. However, availability does not equal access. There may still be people who face difficulties accessing services due to a disability, language, limited health literacy or limited transport. </w:t>
      </w:r>
    </w:p>
    <w:p w14:paraId="17391310" w14:textId="4C2C5F70" w:rsidR="000436A9" w:rsidRDefault="000436A9" w:rsidP="006D3C81">
      <w:r w:rsidRPr="000436A9">
        <w:t xml:space="preserve">Pharmacies also differ in their staffing, hours, consultation </w:t>
      </w:r>
      <w:r w:rsidR="003D1F94">
        <w:t>rooms,</w:t>
      </w:r>
      <w:r w:rsidRPr="000436A9">
        <w:t xml:space="preserve"> and service offerings. When workload is heavy, thorough assessment may be challenging, along with dispensing. Although clinical pathways can guide decision making, pharmacists need to know when to look out and when to refer patients, and when to not treat with antibiotics. Antimicrobial stewardship and service evaluation are mentioned as key safeguards by NHS England (2024b). </w:t>
      </w:r>
    </w:p>
    <w:p w14:paraId="5BEA5513" w14:textId="3508372A" w:rsidR="000436A9" w:rsidRDefault="000436A9" w:rsidP="006D3C81">
      <w:r w:rsidRPr="000436A9">
        <w:t xml:space="preserve">A policy commitment to make GP capacity available should not be interpreted as an indication that the total value of the policy has already been </w:t>
      </w:r>
      <w:proofErr w:type="spellStart"/>
      <w:r w:rsidRPr="000436A9">
        <w:t>realised</w:t>
      </w:r>
      <w:proofErr w:type="spellEnd"/>
      <w:r w:rsidRPr="000436A9">
        <w:t>. Hence, pharmacy services are best offered as part of a locally integrated system. Convenience, shared information and appropriate staffing and public awareness are necessary to make referrals clear and accurate to translate into safe outcomes. Consultation numbers are not the only measure of quality of care; quality should be judged from patients understanding, the timely escalation of serious illness, the equitable access and experience.</w:t>
      </w:r>
    </w:p>
    <w:p w14:paraId="5E6DCAC1" w14:textId="77777777" w:rsidR="000436A9" w:rsidRPr="006D3C81" w:rsidRDefault="000436A9" w:rsidP="006D3C81">
      <w:pPr>
        <w:rPr>
          <w:rFonts w:ascii="Times New Roman" w:hAnsi="Times New Roman" w:cs="Times New Roman"/>
          <w:sz w:val="24"/>
          <w:szCs w:val="24"/>
        </w:rPr>
      </w:pPr>
    </w:p>
    <w:p w14:paraId="51951281" w14:textId="77777777" w:rsidR="007462BC" w:rsidRPr="006D3C81" w:rsidRDefault="00000000" w:rsidP="006D3C81">
      <w:pPr>
        <w:pStyle w:val="Heading2"/>
        <w:spacing w:after="120"/>
        <w:rPr>
          <w:rFonts w:ascii="Times New Roman" w:hAnsi="Times New Roman" w:cs="Times New Roman"/>
          <w:sz w:val="24"/>
          <w:szCs w:val="24"/>
        </w:rPr>
      </w:pPr>
      <w:r w:rsidRPr="006D3C81">
        <w:rPr>
          <w:rFonts w:ascii="Arial" w:hAnsi="Arial" w:cs="Times New Roman"/>
          <w:szCs w:val="24"/>
        </w:rPr>
        <w:t>Conclusion</w:t>
      </w:r>
    </w:p>
    <w:p w14:paraId="782F2FE6" w14:textId="77777777" w:rsidR="000436A9" w:rsidRDefault="000436A9" w:rsidP="006D3C81">
      <w:pPr>
        <w:rPr>
          <w:rFonts w:cs="Times New Roman"/>
          <w:szCs w:val="24"/>
        </w:rPr>
      </w:pPr>
    </w:p>
    <w:p w14:paraId="34477CCB" w14:textId="1DCC6AEC" w:rsidR="00CC6142" w:rsidRDefault="000436A9" w:rsidP="000436A9">
      <w:pPr>
        <w:jc w:val="both"/>
        <w:rPr>
          <w:rFonts w:cs="Times New Roman"/>
          <w:szCs w:val="24"/>
        </w:rPr>
      </w:pPr>
      <w:r w:rsidRPr="000436A9">
        <w:rPr>
          <w:rFonts w:cs="Times New Roman"/>
          <w:szCs w:val="24"/>
        </w:rPr>
        <w:t xml:space="preserve">In England, the history of pharmacy has changed from </w:t>
      </w:r>
      <w:r w:rsidR="003D1F94">
        <w:rPr>
          <w:rFonts w:cs="Times New Roman"/>
          <w:szCs w:val="24"/>
        </w:rPr>
        <w:t>the</w:t>
      </w:r>
      <w:r w:rsidRPr="000436A9">
        <w:rPr>
          <w:rFonts w:cs="Times New Roman"/>
          <w:szCs w:val="24"/>
        </w:rPr>
        <w:t xml:space="preserve"> preparation and supply of medicines to a broader service of the NHS, with clinical and public health roles. Its present function can help to enhance the quality of life of people by making it simpler to access advice and treatment for common ailments. Pharmacy First is an example of such </w:t>
      </w:r>
      <w:r w:rsidRPr="000436A9">
        <w:rPr>
          <w:rFonts w:cs="Times New Roman"/>
          <w:szCs w:val="24"/>
        </w:rPr>
        <w:lastRenderedPageBreak/>
        <w:t xml:space="preserve">expansion, but it is important that this can be sustained with adequate staffing, safe clinical decision, equal access for various population groups. Community pharmacies cannot replace general practice and specialist health care services, but can complement them. They are most effective in improving quality of life when local services are available and are part of good communication and coordinated NHS care. </w:t>
      </w:r>
    </w:p>
    <w:p w14:paraId="068BAB2F" w14:textId="77777777" w:rsidR="00CC6142" w:rsidRDefault="00CC6142">
      <w:pPr>
        <w:spacing w:after="200" w:line="276" w:lineRule="auto"/>
        <w:rPr>
          <w:rFonts w:cs="Times New Roman"/>
          <w:szCs w:val="24"/>
        </w:rPr>
      </w:pPr>
      <w:r>
        <w:rPr>
          <w:rFonts w:cs="Times New Roman"/>
          <w:szCs w:val="24"/>
        </w:rPr>
        <w:br w:type="page"/>
      </w:r>
    </w:p>
    <w:p w14:paraId="2B856FD1" w14:textId="77777777" w:rsidR="000436A9" w:rsidRDefault="000436A9" w:rsidP="000436A9">
      <w:pPr>
        <w:jc w:val="both"/>
        <w:rPr>
          <w:rFonts w:cs="Times New Roman"/>
          <w:szCs w:val="24"/>
        </w:rPr>
      </w:pPr>
    </w:p>
    <w:p w14:paraId="46D8E6EE" w14:textId="77777777" w:rsidR="007462BC" w:rsidRPr="006D3C81" w:rsidRDefault="00000000" w:rsidP="006D3C81">
      <w:pPr>
        <w:pStyle w:val="Heading1"/>
        <w:spacing w:after="120"/>
        <w:rPr>
          <w:rFonts w:ascii="Times New Roman" w:hAnsi="Times New Roman" w:cs="Times New Roman"/>
          <w:sz w:val="24"/>
          <w:szCs w:val="24"/>
        </w:rPr>
      </w:pPr>
      <w:r w:rsidRPr="006D3C81">
        <w:rPr>
          <w:rFonts w:ascii="Arial" w:hAnsi="Arial" w:cs="Times New Roman"/>
          <w:sz w:val="22"/>
          <w:szCs w:val="24"/>
        </w:rPr>
        <w:t>Reference list (Harvard-style working list)</w:t>
      </w:r>
    </w:p>
    <w:p w14:paraId="0A202470" w14:textId="77777777" w:rsidR="007462BC" w:rsidRPr="006D3C81" w:rsidRDefault="00000000" w:rsidP="00756980">
      <w:pPr>
        <w:ind w:left="720" w:hanging="720"/>
        <w:rPr>
          <w:rFonts w:ascii="Times New Roman" w:hAnsi="Times New Roman" w:cs="Times New Roman"/>
          <w:sz w:val="24"/>
          <w:szCs w:val="24"/>
        </w:rPr>
      </w:pPr>
      <w:r>
        <w:t>Birmingham City Council (2024) Adult Social Care Local Account 2023–2024. Available via: https://www.birmingham.gov.uk/downloads/download/40/local_performance_account_reports (Accessed: 14 October 2026).</w:t>
      </w:r>
    </w:p>
    <w:p w14:paraId="0E22865A" w14:textId="77777777" w:rsidR="007462BC" w:rsidRPr="006D3C81" w:rsidRDefault="00000000" w:rsidP="00756980">
      <w:pPr>
        <w:ind w:left="720" w:hanging="720"/>
        <w:rPr>
          <w:rFonts w:ascii="Times New Roman" w:hAnsi="Times New Roman" w:cs="Times New Roman"/>
          <w:sz w:val="24"/>
          <w:szCs w:val="24"/>
        </w:rPr>
      </w:pPr>
      <w:r w:rsidRPr="006D3C81">
        <w:rPr>
          <w:rFonts w:cs="Times New Roman"/>
          <w:szCs w:val="24"/>
        </w:rPr>
        <w:t>Birmingham City Council (2025a) The Care Act in Birmingham. Available at: https://www.birmingham.gov.uk/info/50284/strategies_cqc_assessments_feedback_and_complaints/126/the_care_act_in_birmingham (Accessed: 14 October 2026).</w:t>
      </w:r>
    </w:p>
    <w:p w14:paraId="5D88DDDF" w14:textId="77777777" w:rsidR="007462BC" w:rsidRPr="006D3C81" w:rsidRDefault="00000000" w:rsidP="00756980">
      <w:pPr>
        <w:ind w:left="720" w:hanging="720"/>
        <w:rPr>
          <w:rFonts w:ascii="Times New Roman" w:hAnsi="Times New Roman" w:cs="Times New Roman"/>
          <w:sz w:val="24"/>
          <w:szCs w:val="24"/>
        </w:rPr>
      </w:pPr>
      <w:r w:rsidRPr="006D3C81">
        <w:rPr>
          <w:rFonts w:cs="Times New Roman"/>
          <w:szCs w:val="24"/>
        </w:rPr>
        <w:t>Birmingham City Council (2025b) How to get help from ASC. Available at: https://www.birmingham.gov.uk/info/20018/adult_social_care/2703/how_adult_social_care_works/2 (Accessed: 14 October 2026).</w:t>
      </w:r>
    </w:p>
    <w:p w14:paraId="66B4902C" w14:textId="77777777" w:rsidR="007462BC" w:rsidRPr="006D3C81" w:rsidRDefault="00000000" w:rsidP="00756980">
      <w:pPr>
        <w:ind w:left="720" w:hanging="720"/>
        <w:rPr>
          <w:rFonts w:ascii="Times New Roman" w:hAnsi="Times New Roman" w:cs="Times New Roman"/>
          <w:sz w:val="24"/>
          <w:szCs w:val="24"/>
        </w:rPr>
      </w:pPr>
      <w:r w:rsidRPr="006D3C81">
        <w:rPr>
          <w:rFonts w:cs="Times New Roman"/>
          <w:szCs w:val="24"/>
        </w:rPr>
        <w:t>Care Quality Commission (2025) The state of health care and adult social care in England 2024/25: Adult social care. Available at: https://www.cqc.org.uk/publications/major-report/state-care/2024-2025/access/asc (Accessed: 14 October 2026).</w:t>
      </w:r>
    </w:p>
    <w:p w14:paraId="380BD1DC" w14:textId="77777777" w:rsidR="007462BC" w:rsidRPr="006D3C81" w:rsidRDefault="00000000" w:rsidP="00756980">
      <w:pPr>
        <w:ind w:left="720" w:hanging="720"/>
        <w:rPr>
          <w:rFonts w:ascii="Times New Roman" w:hAnsi="Times New Roman" w:cs="Times New Roman"/>
          <w:sz w:val="24"/>
          <w:szCs w:val="24"/>
        </w:rPr>
      </w:pPr>
      <w:r>
        <w:t>Great Britain (2014) Care Act 2014, c. 23. London: The Stationery Office. Available at: https://www.legislation.gov.uk/ukpga/2014/23/contents (Accessed: 14 October 2026).</w:t>
      </w:r>
    </w:p>
    <w:p w14:paraId="387EB1A6" w14:textId="77777777" w:rsidR="007462BC" w:rsidRPr="006D3C81" w:rsidRDefault="00000000" w:rsidP="00756980">
      <w:pPr>
        <w:ind w:left="720" w:hanging="720"/>
        <w:rPr>
          <w:rFonts w:ascii="Times New Roman" w:hAnsi="Times New Roman" w:cs="Times New Roman"/>
          <w:sz w:val="24"/>
          <w:szCs w:val="24"/>
        </w:rPr>
      </w:pPr>
      <w:r w:rsidRPr="006D3C81">
        <w:rPr>
          <w:rFonts w:cs="Times New Roman"/>
          <w:szCs w:val="24"/>
        </w:rPr>
        <w:t>NHS England (2024a) Over 10,000 NHS pharmacies begin treating people for common conditions. 31 January. Available at: https://www.england.nhs.uk/2024/01/over-10000-nhs-pharmacies-begin-treating-people-for-common-conditions/ (Accessed: 14 October 2026).</w:t>
      </w:r>
    </w:p>
    <w:p w14:paraId="6F720724" w14:textId="77777777" w:rsidR="007462BC" w:rsidRPr="006D3C81" w:rsidRDefault="00000000" w:rsidP="00756980">
      <w:pPr>
        <w:ind w:left="720" w:hanging="720"/>
        <w:rPr>
          <w:rFonts w:ascii="Times New Roman" w:hAnsi="Times New Roman" w:cs="Times New Roman"/>
          <w:sz w:val="24"/>
          <w:szCs w:val="24"/>
        </w:rPr>
      </w:pPr>
      <w:r w:rsidRPr="006D3C81">
        <w:rPr>
          <w:rFonts w:cs="Times New Roman"/>
          <w:szCs w:val="24"/>
        </w:rPr>
        <w:t>NHS England (2024b) Update on the Pharmacy First service. 1 February. Available at: https://www.england.nhs.uk/long-read/update-on-the-pharmacy-first-service/ (Accessed: 14 October 2026).</w:t>
      </w:r>
    </w:p>
    <w:p w14:paraId="0488E81E" w14:textId="77777777" w:rsidR="007462BC" w:rsidRPr="006D3C81" w:rsidRDefault="00000000" w:rsidP="00756980">
      <w:pPr>
        <w:ind w:left="720" w:hanging="720"/>
        <w:rPr>
          <w:rFonts w:ascii="Times New Roman" w:hAnsi="Times New Roman" w:cs="Times New Roman"/>
          <w:sz w:val="24"/>
          <w:szCs w:val="24"/>
        </w:rPr>
      </w:pPr>
      <w:r w:rsidRPr="006D3C81">
        <w:rPr>
          <w:rFonts w:cs="Times New Roman"/>
          <w:szCs w:val="24"/>
        </w:rPr>
        <w:t>NHS England (2024c) Launch of NHS Pharmacy First advanced service. 25 January. Available at: https://www.england.nhs.uk/long-read/launch-of-nhs-pharmacy-first-advanced-service/ (Accessed: 14 October 2026).</w:t>
      </w:r>
    </w:p>
    <w:p w14:paraId="0DEA5EAB" w14:textId="7DFE2050" w:rsidR="007462BC" w:rsidRPr="006D3C81" w:rsidRDefault="007462BC" w:rsidP="006D3C81">
      <w:pPr>
        <w:rPr>
          <w:rFonts w:ascii="Times New Roman" w:hAnsi="Times New Roman" w:cs="Times New Roman"/>
          <w:sz w:val="24"/>
          <w:szCs w:val="24"/>
        </w:rPr>
      </w:pPr>
    </w:p>
    <w:sectPr w:rsidR="007462BC" w:rsidRPr="006D3C81" w:rsidSect="00034616">
      <w:footerReference w:type="default" r:id="rId8"/>
      <w:pgSz w:w="12240" w:h="15840"/>
      <w:pgMar w:top="1152" w:right="1800" w:bottom="1152" w:left="180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616B885" w14:textId="77777777" w:rsidR="004B242A" w:rsidRDefault="004B242A">
      <w:pPr>
        <w:spacing w:after="0" w:line="240" w:lineRule="auto"/>
      </w:pPr>
      <w:r>
        <w:separator/>
      </w:r>
    </w:p>
  </w:endnote>
  <w:endnote w:type="continuationSeparator" w:id="0">
    <w:p w14:paraId="55F5D742" w14:textId="77777777" w:rsidR="004B242A" w:rsidRDefault="004B242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MS Mincho">
    <w:panose1 w:val="02020609040205080304"/>
    <w:charset w:val="80"/>
    <w:family w:val="modern"/>
    <w:pitch w:val="fixed"/>
    <w:sig w:usb0="E00002FF" w:usb1="6AC7FDFB" w:usb2="08000012" w:usb3="00000000" w:csb0="0002009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ourier">
    <w:panose1 w:val="02070409020205020404"/>
    <w:charset w:val="00"/>
    <w:family w:val="auto"/>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0367591" w14:textId="2B6A84AF" w:rsidR="007462BC" w:rsidRDefault="007462BC">
    <w:pPr>
      <w:pStyle w:val="Footer"/>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66C7125" w14:textId="77777777" w:rsidR="004B242A" w:rsidRDefault="004B242A">
      <w:pPr>
        <w:spacing w:after="0" w:line="240" w:lineRule="auto"/>
      </w:pPr>
      <w:r>
        <w:separator/>
      </w:r>
    </w:p>
  </w:footnote>
  <w:footnote w:type="continuationSeparator" w:id="0">
    <w:p w14:paraId="301A8218" w14:textId="77777777" w:rsidR="004B242A" w:rsidRDefault="004B242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7C"/>
    <w:multiLevelType w:val="singleLevel"/>
    <w:tmpl w:val="C310EC42"/>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E4089024"/>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FB12693A"/>
    <w:lvl w:ilvl="0">
      <w:start w:val="1"/>
      <w:numFmt w:val="decimal"/>
      <w:pStyle w:val="ListNumber3"/>
      <w:lvlText w:val="%1."/>
      <w:lvlJc w:val="left"/>
      <w:pPr>
        <w:tabs>
          <w:tab w:val="num" w:pos="1080"/>
        </w:tabs>
        <w:ind w:left="1080" w:hanging="360"/>
      </w:pPr>
    </w:lvl>
  </w:abstractNum>
  <w:abstractNum w:abstractNumId="3" w15:restartNumberingAfterBreak="0">
    <w:nsid w:val="FFFFFF7F"/>
    <w:multiLevelType w:val="singleLevel"/>
    <w:tmpl w:val="38441652"/>
    <w:lvl w:ilvl="0">
      <w:start w:val="1"/>
      <w:numFmt w:val="decimal"/>
      <w:pStyle w:val="ListNumber2"/>
      <w:lvlText w:val="%1."/>
      <w:lvlJc w:val="left"/>
      <w:pPr>
        <w:tabs>
          <w:tab w:val="num" w:pos="720"/>
        </w:tabs>
        <w:ind w:left="720" w:hanging="360"/>
      </w:pPr>
    </w:lvl>
  </w:abstractNum>
  <w:abstractNum w:abstractNumId="4" w15:restartNumberingAfterBreak="0">
    <w:nsid w:val="FFFFFF81"/>
    <w:multiLevelType w:val="singleLevel"/>
    <w:tmpl w:val="171AC3A4"/>
    <w:lvl w:ilvl="0">
      <w:start w:val="1"/>
      <w:numFmt w:val="bullet"/>
      <w:lvlText w:val=""/>
      <w:lvlJc w:val="left"/>
      <w:pPr>
        <w:tabs>
          <w:tab w:val="num" w:pos="1440"/>
        </w:tabs>
        <w:ind w:left="1440" w:hanging="360"/>
      </w:pPr>
      <w:rPr>
        <w:rFonts w:ascii="Symbol" w:hAnsi="Symbol" w:hint="default"/>
      </w:rPr>
    </w:lvl>
  </w:abstractNum>
  <w:abstractNum w:abstractNumId="5" w15:restartNumberingAfterBreak="0">
    <w:nsid w:val="FFFFFF82"/>
    <w:multiLevelType w:val="singleLevel"/>
    <w:tmpl w:val="F3EAFDEC"/>
    <w:lvl w:ilvl="0">
      <w:start w:val="1"/>
      <w:numFmt w:val="bullet"/>
      <w:pStyle w:val="ListBullet3"/>
      <w:lvlText w:val=""/>
      <w:lvlJc w:val="left"/>
      <w:pPr>
        <w:tabs>
          <w:tab w:val="num" w:pos="1080"/>
        </w:tabs>
        <w:ind w:left="1080" w:hanging="360"/>
      </w:pPr>
      <w:rPr>
        <w:rFonts w:ascii="Symbol" w:hAnsi="Symbol" w:hint="default"/>
      </w:rPr>
    </w:lvl>
  </w:abstractNum>
  <w:abstractNum w:abstractNumId="6" w15:restartNumberingAfterBreak="0">
    <w:nsid w:val="FFFFFF83"/>
    <w:multiLevelType w:val="singleLevel"/>
    <w:tmpl w:val="3D1EFFD4"/>
    <w:lvl w:ilvl="0">
      <w:start w:val="1"/>
      <w:numFmt w:val="bullet"/>
      <w:pStyle w:val="ListBullet2"/>
      <w:lvlText w:val=""/>
      <w:lvlJc w:val="left"/>
      <w:pPr>
        <w:tabs>
          <w:tab w:val="num" w:pos="720"/>
        </w:tabs>
        <w:ind w:left="720" w:hanging="360"/>
      </w:pPr>
      <w:rPr>
        <w:rFonts w:ascii="Symbol" w:hAnsi="Symbol" w:hint="default"/>
      </w:rPr>
    </w:lvl>
  </w:abstractNum>
  <w:abstractNum w:abstractNumId="7" w15:restartNumberingAfterBreak="0">
    <w:nsid w:val="FFFFFF88"/>
    <w:multiLevelType w:val="singleLevel"/>
    <w:tmpl w:val="D0A62B40"/>
    <w:lvl w:ilvl="0">
      <w:start w:val="1"/>
      <w:numFmt w:val="decimal"/>
      <w:pStyle w:val="ListNumber"/>
      <w:lvlText w:val="%1."/>
      <w:lvlJc w:val="left"/>
      <w:pPr>
        <w:tabs>
          <w:tab w:val="num" w:pos="360"/>
        </w:tabs>
        <w:ind w:left="360" w:hanging="360"/>
      </w:pPr>
    </w:lvl>
  </w:abstractNum>
  <w:abstractNum w:abstractNumId="8" w15:restartNumberingAfterBreak="0">
    <w:nsid w:val="FFFFFF89"/>
    <w:multiLevelType w:val="singleLevel"/>
    <w:tmpl w:val="29761A62"/>
    <w:lvl w:ilvl="0">
      <w:start w:val="1"/>
      <w:numFmt w:val="bullet"/>
      <w:pStyle w:val="ListBullet"/>
      <w:lvlText w:val=""/>
      <w:lvlJc w:val="left"/>
      <w:pPr>
        <w:tabs>
          <w:tab w:val="num" w:pos="360"/>
        </w:tabs>
        <w:ind w:left="360" w:hanging="360"/>
      </w:pPr>
      <w:rPr>
        <w:rFonts w:ascii="Symbol" w:hAnsi="Symbol" w:hint="default"/>
      </w:rPr>
    </w:lvl>
  </w:abstractNum>
  <w:num w:numId="1" w16cid:durableId="1323856558">
    <w:abstractNumId w:val="8"/>
  </w:num>
  <w:num w:numId="2" w16cid:durableId="1260217534">
    <w:abstractNumId w:val="6"/>
  </w:num>
  <w:num w:numId="3" w16cid:durableId="348484661">
    <w:abstractNumId w:val="5"/>
  </w:num>
  <w:num w:numId="4" w16cid:durableId="552697802">
    <w:abstractNumId w:val="4"/>
  </w:num>
  <w:num w:numId="5" w16cid:durableId="2070834921">
    <w:abstractNumId w:val="7"/>
  </w:num>
  <w:num w:numId="6" w16cid:durableId="655643333">
    <w:abstractNumId w:val="3"/>
  </w:num>
  <w:num w:numId="7" w16cid:durableId="18968948">
    <w:abstractNumId w:val="2"/>
  </w:num>
  <w:num w:numId="8" w16cid:durableId="1514295360">
    <w:abstractNumId w:val="1"/>
  </w:num>
  <w:num w:numId="9" w16cid:durableId="196726958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47730"/>
    <w:rsid w:val="00034616"/>
    <w:rsid w:val="000436A9"/>
    <w:rsid w:val="0006063C"/>
    <w:rsid w:val="0015074B"/>
    <w:rsid w:val="00196E48"/>
    <w:rsid w:val="001A236B"/>
    <w:rsid w:val="0029639D"/>
    <w:rsid w:val="00310F68"/>
    <w:rsid w:val="00326F90"/>
    <w:rsid w:val="003868E3"/>
    <w:rsid w:val="003B4CF7"/>
    <w:rsid w:val="003D1F94"/>
    <w:rsid w:val="004B242A"/>
    <w:rsid w:val="006144A1"/>
    <w:rsid w:val="006D3C81"/>
    <w:rsid w:val="006F0E61"/>
    <w:rsid w:val="007462BC"/>
    <w:rsid w:val="00756980"/>
    <w:rsid w:val="00815E41"/>
    <w:rsid w:val="009228DB"/>
    <w:rsid w:val="00A273D2"/>
    <w:rsid w:val="00AA1D8D"/>
    <w:rsid w:val="00B47730"/>
    <w:rsid w:val="00B63393"/>
    <w:rsid w:val="00CB0664"/>
    <w:rsid w:val="00CC6142"/>
    <w:rsid w:val="00CF6B36"/>
    <w:rsid w:val="00D969A1"/>
    <w:rsid w:val="00FC693F"/>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183B1F36"/>
  <w14:defaultImageDpi w14:val="300"/>
  <w15:docId w15:val="{ADF1CD8F-C196-4E17-8AD5-870FF332CC2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C693F"/>
    <w:pPr>
      <w:spacing w:after="120" w:line="360" w:lineRule="auto"/>
    </w:pPr>
    <w:rPr>
      <w:rFonts w:ascii="Arial" w:hAnsi="Arial"/>
    </w:rPr>
  </w:style>
  <w:style w:type="paragraph" w:styleId="Heading1">
    <w:name w:val="heading 1"/>
    <w:basedOn w:val="Normal"/>
    <w:next w:val="Normal"/>
    <w:link w:val="Heading1Char"/>
    <w:uiPriority w:val="9"/>
    <w:qFormat/>
    <w:rsid w:val="00FC693F"/>
    <w:pPr>
      <w:keepNext/>
      <w:keepLines/>
      <w:spacing w:before="480" w:after="0"/>
      <w:outlineLvl w:val="0"/>
    </w:pPr>
    <w:rPr>
      <w:rFonts w:asciiTheme="majorHAnsi" w:eastAsiaTheme="majorEastAsia" w:hAnsiTheme="majorHAnsi" w:cstheme="majorBidi"/>
      <w:b/>
      <w:bCs/>
      <w:color w:val="365F91" w:themeColor="accent1" w:themeShade="BF"/>
      <w:sz w:val="26"/>
      <w:szCs w:val="28"/>
    </w:rPr>
  </w:style>
  <w:style w:type="paragraph" w:styleId="Heading2">
    <w:name w:val="heading 2"/>
    <w:basedOn w:val="Normal"/>
    <w:next w:val="Normal"/>
    <w:link w:val="Heading2Char"/>
    <w:uiPriority w:val="9"/>
    <w:unhideWhenUsed/>
    <w:qFormat/>
    <w:rsid w:val="00FC693F"/>
    <w:pPr>
      <w:keepNext/>
      <w:keepLines/>
      <w:spacing w:before="200" w:after="0"/>
      <w:outlineLvl w:val="1"/>
    </w:pPr>
    <w:rPr>
      <w:rFonts w:asciiTheme="majorHAnsi" w:eastAsiaTheme="majorEastAsia" w:hAnsiTheme="majorHAnsi" w:cstheme="majorBidi"/>
      <w:b/>
      <w:bCs/>
      <w:color w:val="4F81BD" w:themeColor="accent1"/>
      <w:szCs w:val="26"/>
    </w:rPr>
  </w:style>
  <w:style w:type="paragraph" w:styleId="Heading3">
    <w:name w:val="heading 3"/>
    <w:basedOn w:val="Normal"/>
    <w:next w:val="Normal"/>
    <w:link w:val="Heading3Char"/>
    <w:uiPriority w:val="9"/>
    <w:unhideWhenUsed/>
    <w:qFormat/>
    <w:rsid w:val="00FC693F"/>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semiHidden/>
    <w:unhideWhenUsed/>
    <w:qFormat/>
    <w:rsid w:val="00FC693F"/>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FC693F"/>
    <w:pPr>
      <w:keepNext/>
      <w:keepLines/>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FC693F"/>
    <w:pPr>
      <w:keepNext/>
      <w:keepLines/>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FC693F"/>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FC693F"/>
    <w:pPr>
      <w:keepNext/>
      <w:keepLines/>
      <w:spacing w:before="200" w:after="0"/>
      <w:outlineLvl w:val="7"/>
    </w:pPr>
    <w:rPr>
      <w:rFonts w:asciiTheme="majorHAnsi" w:eastAsiaTheme="majorEastAsia" w:hAnsiTheme="majorHAnsi" w:cstheme="majorBidi"/>
      <w:color w:val="4F81BD" w:themeColor="accent1"/>
      <w:sz w:val="20"/>
      <w:szCs w:val="20"/>
    </w:rPr>
  </w:style>
  <w:style w:type="paragraph" w:styleId="Heading9">
    <w:name w:val="heading 9"/>
    <w:basedOn w:val="Normal"/>
    <w:next w:val="Normal"/>
    <w:link w:val="Heading9Char"/>
    <w:uiPriority w:val="9"/>
    <w:semiHidden/>
    <w:unhideWhenUsed/>
    <w:qFormat/>
    <w:rsid w:val="00FC693F"/>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618BF"/>
    <w:pPr>
      <w:tabs>
        <w:tab w:val="center" w:pos="4680"/>
        <w:tab w:val="right" w:pos="9360"/>
      </w:tabs>
      <w:spacing w:after="0" w:line="240" w:lineRule="auto"/>
    </w:pPr>
  </w:style>
  <w:style w:type="character" w:customStyle="1" w:styleId="HeaderChar">
    <w:name w:val="Header Char"/>
    <w:basedOn w:val="DefaultParagraphFont"/>
    <w:link w:val="Header"/>
    <w:uiPriority w:val="99"/>
    <w:rsid w:val="00E618BF"/>
  </w:style>
  <w:style w:type="paragraph" w:styleId="Footer">
    <w:name w:val="footer"/>
    <w:basedOn w:val="Normal"/>
    <w:link w:val="FooterChar"/>
    <w:uiPriority w:val="99"/>
    <w:unhideWhenUsed/>
    <w:rsid w:val="00E618BF"/>
    <w:pPr>
      <w:tabs>
        <w:tab w:val="center" w:pos="4680"/>
        <w:tab w:val="right" w:pos="9360"/>
      </w:tabs>
      <w:spacing w:after="0" w:line="240" w:lineRule="auto"/>
    </w:pPr>
  </w:style>
  <w:style w:type="character" w:customStyle="1" w:styleId="FooterChar">
    <w:name w:val="Footer Char"/>
    <w:basedOn w:val="DefaultParagraphFont"/>
    <w:link w:val="Footer"/>
    <w:uiPriority w:val="99"/>
    <w:rsid w:val="00E618BF"/>
  </w:style>
  <w:style w:type="paragraph" w:styleId="NoSpacing">
    <w:name w:val="No Spacing"/>
    <w:uiPriority w:val="1"/>
    <w:qFormat/>
    <w:rsid w:val="00FC693F"/>
    <w:pPr>
      <w:spacing w:after="0" w:line="240" w:lineRule="auto"/>
    </w:pPr>
  </w:style>
  <w:style w:type="character" w:customStyle="1" w:styleId="Heading1Char">
    <w:name w:val="Heading 1 Char"/>
    <w:basedOn w:val="DefaultParagraphFont"/>
    <w:link w:val="Heading1"/>
    <w:uiPriority w:val="9"/>
    <w:rsid w:val="00FC693F"/>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FC693F"/>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FC693F"/>
    <w:rPr>
      <w:rFonts w:asciiTheme="majorHAnsi" w:eastAsiaTheme="majorEastAsia" w:hAnsiTheme="majorHAnsi" w:cstheme="majorBidi"/>
      <w:b/>
      <w:bCs/>
      <w:color w:val="4F81BD" w:themeColor="accent1"/>
    </w:rPr>
  </w:style>
  <w:style w:type="paragraph" w:styleId="Title">
    <w:name w:val="Title"/>
    <w:basedOn w:val="Normal"/>
    <w:next w:val="Normal"/>
    <w:link w:val="TitleChar"/>
    <w:uiPriority w:val="10"/>
    <w:qFormat/>
    <w:rsid w:val="00FC693F"/>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34"/>
      <w:szCs w:val="52"/>
    </w:rPr>
  </w:style>
  <w:style w:type="character" w:customStyle="1" w:styleId="TitleChar">
    <w:name w:val="Title Char"/>
    <w:basedOn w:val="DefaultParagraphFont"/>
    <w:link w:val="Title"/>
    <w:uiPriority w:val="10"/>
    <w:rsid w:val="00FC693F"/>
    <w:rPr>
      <w:rFonts w:asciiTheme="majorHAnsi" w:eastAsiaTheme="majorEastAsia" w:hAnsiTheme="majorHAnsi"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FC693F"/>
    <w:pPr>
      <w:numPr>
        <w:ilvl w:val="1"/>
      </w:numPr>
    </w:pPr>
    <w:rPr>
      <w:rFonts w:asciiTheme="majorHAnsi" w:eastAsiaTheme="majorEastAsia" w:hAnsiTheme="majorHAnsi" w:cstheme="majorBidi"/>
      <w:i/>
      <w:iCs/>
      <w:color w:val="4F81BD" w:themeColor="accent1"/>
      <w:spacing w:val="15"/>
      <w:sz w:val="24"/>
      <w:szCs w:val="24"/>
    </w:rPr>
  </w:style>
  <w:style w:type="character" w:customStyle="1" w:styleId="SubtitleChar">
    <w:name w:val="Subtitle Char"/>
    <w:basedOn w:val="DefaultParagraphFont"/>
    <w:link w:val="Subtitle"/>
    <w:uiPriority w:val="11"/>
    <w:rsid w:val="00FC693F"/>
    <w:rPr>
      <w:rFonts w:asciiTheme="majorHAnsi" w:eastAsiaTheme="majorEastAsia" w:hAnsiTheme="majorHAnsi" w:cstheme="majorBidi"/>
      <w:i/>
      <w:iCs/>
      <w:color w:val="4F81BD" w:themeColor="accent1"/>
      <w:spacing w:val="15"/>
      <w:sz w:val="24"/>
      <w:szCs w:val="24"/>
    </w:rPr>
  </w:style>
  <w:style w:type="paragraph" w:styleId="ListParagraph">
    <w:name w:val="List Paragraph"/>
    <w:basedOn w:val="Normal"/>
    <w:uiPriority w:val="34"/>
    <w:qFormat/>
    <w:rsid w:val="00FC693F"/>
    <w:pPr>
      <w:ind w:left="720"/>
      <w:contextualSpacing/>
    </w:pPr>
  </w:style>
  <w:style w:type="paragraph" w:styleId="BodyText">
    <w:name w:val="Body Text"/>
    <w:basedOn w:val="Normal"/>
    <w:link w:val="BodyTextChar"/>
    <w:uiPriority w:val="99"/>
    <w:unhideWhenUsed/>
    <w:rsid w:val="00AA1D8D"/>
  </w:style>
  <w:style w:type="character" w:customStyle="1" w:styleId="BodyTextChar">
    <w:name w:val="Body Text Char"/>
    <w:basedOn w:val="DefaultParagraphFont"/>
    <w:link w:val="BodyText"/>
    <w:uiPriority w:val="99"/>
    <w:rsid w:val="00AA1D8D"/>
  </w:style>
  <w:style w:type="paragraph" w:styleId="BodyText2">
    <w:name w:val="Body Text 2"/>
    <w:basedOn w:val="Normal"/>
    <w:link w:val="BodyText2Char"/>
    <w:uiPriority w:val="99"/>
    <w:unhideWhenUsed/>
    <w:rsid w:val="00AA1D8D"/>
    <w:pPr>
      <w:spacing w:line="480" w:lineRule="auto"/>
    </w:pPr>
  </w:style>
  <w:style w:type="character" w:customStyle="1" w:styleId="BodyText2Char">
    <w:name w:val="Body Text 2 Char"/>
    <w:basedOn w:val="DefaultParagraphFont"/>
    <w:link w:val="BodyText2"/>
    <w:uiPriority w:val="99"/>
    <w:rsid w:val="00AA1D8D"/>
  </w:style>
  <w:style w:type="paragraph" w:styleId="BodyText3">
    <w:name w:val="Body Text 3"/>
    <w:basedOn w:val="Normal"/>
    <w:link w:val="BodyText3Char"/>
    <w:uiPriority w:val="99"/>
    <w:unhideWhenUsed/>
    <w:rsid w:val="00AA1D8D"/>
    <w:rPr>
      <w:sz w:val="16"/>
      <w:szCs w:val="16"/>
    </w:rPr>
  </w:style>
  <w:style w:type="character" w:customStyle="1" w:styleId="BodyText3Char">
    <w:name w:val="Body Text 3 Char"/>
    <w:basedOn w:val="DefaultParagraphFont"/>
    <w:link w:val="BodyText3"/>
    <w:uiPriority w:val="99"/>
    <w:rsid w:val="00AA1D8D"/>
    <w:rPr>
      <w:sz w:val="16"/>
      <w:szCs w:val="16"/>
    </w:rPr>
  </w:style>
  <w:style w:type="paragraph" w:styleId="List">
    <w:name w:val="List"/>
    <w:basedOn w:val="Normal"/>
    <w:uiPriority w:val="99"/>
    <w:unhideWhenUsed/>
    <w:rsid w:val="00AA1D8D"/>
    <w:pPr>
      <w:ind w:left="360" w:hanging="360"/>
      <w:contextualSpacing/>
    </w:pPr>
  </w:style>
  <w:style w:type="paragraph" w:styleId="List2">
    <w:name w:val="List 2"/>
    <w:basedOn w:val="Normal"/>
    <w:uiPriority w:val="99"/>
    <w:unhideWhenUsed/>
    <w:rsid w:val="00326F90"/>
    <w:pPr>
      <w:ind w:left="720" w:hanging="360"/>
      <w:contextualSpacing/>
    </w:pPr>
  </w:style>
  <w:style w:type="paragraph" w:styleId="List3">
    <w:name w:val="List 3"/>
    <w:basedOn w:val="Normal"/>
    <w:uiPriority w:val="99"/>
    <w:unhideWhenUsed/>
    <w:rsid w:val="00326F90"/>
    <w:pPr>
      <w:ind w:left="1080" w:hanging="360"/>
      <w:contextualSpacing/>
    </w:pPr>
  </w:style>
  <w:style w:type="paragraph" w:styleId="ListBullet">
    <w:name w:val="List Bullet"/>
    <w:basedOn w:val="Normal"/>
    <w:uiPriority w:val="99"/>
    <w:unhideWhenUsed/>
    <w:rsid w:val="00326F90"/>
    <w:pPr>
      <w:numPr>
        <w:numId w:val="1"/>
      </w:numPr>
      <w:contextualSpacing/>
    </w:pPr>
  </w:style>
  <w:style w:type="paragraph" w:styleId="ListBullet2">
    <w:name w:val="List Bullet 2"/>
    <w:basedOn w:val="Normal"/>
    <w:uiPriority w:val="99"/>
    <w:unhideWhenUsed/>
    <w:rsid w:val="00326F90"/>
    <w:pPr>
      <w:numPr>
        <w:numId w:val="2"/>
      </w:numPr>
      <w:contextualSpacing/>
    </w:pPr>
  </w:style>
  <w:style w:type="paragraph" w:styleId="ListBullet3">
    <w:name w:val="List Bullet 3"/>
    <w:basedOn w:val="Normal"/>
    <w:uiPriority w:val="99"/>
    <w:unhideWhenUsed/>
    <w:rsid w:val="00326F90"/>
    <w:pPr>
      <w:numPr>
        <w:numId w:val="3"/>
      </w:numPr>
      <w:contextualSpacing/>
    </w:pPr>
  </w:style>
  <w:style w:type="paragraph" w:styleId="ListNumber">
    <w:name w:val="List Number"/>
    <w:basedOn w:val="Normal"/>
    <w:uiPriority w:val="99"/>
    <w:unhideWhenUsed/>
    <w:rsid w:val="00326F90"/>
    <w:pPr>
      <w:numPr>
        <w:numId w:val="5"/>
      </w:numPr>
      <w:contextualSpacing/>
    </w:pPr>
  </w:style>
  <w:style w:type="paragraph" w:styleId="ListNumber2">
    <w:name w:val="List Number 2"/>
    <w:basedOn w:val="Normal"/>
    <w:uiPriority w:val="99"/>
    <w:unhideWhenUsed/>
    <w:rsid w:val="0029639D"/>
    <w:pPr>
      <w:numPr>
        <w:numId w:val="6"/>
      </w:numPr>
      <w:contextualSpacing/>
    </w:pPr>
  </w:style>
  <w:style w:type="paragraph" w:styleId="ListNumber3">
    <w:name w:val="List Number 3"/>
    <w:basedOn w:val="Normal"/>
    <w:uiPriority w:val="99"/>
    <w:unhideWhenUsed/>
    <w:rsid w:val="0029639D"/>
    <w:pPr>
      <w:numPr>
        <w:numId w:val="7"/>
      </w:numPr>
      <w:contextualSpacing/>
    </w:pPr>
  </w:style>
  <w:style w:type="paragraph" w:styleId="ListContinue">
    <w:name w:val="List Continue"/>
    <w:basedOn w:val="Normal"/>
    <w:uiPriority w:val="99"/>
    <w:unhideWhenUsed/>
    <w:rsid w:val="0029639D"/>
    <w:pPr>
      <w:ind w:left="360"/>
      <w:contextualSpacing/>
    </w:pPr>
  </w:style>
  <w:style w:type="paragraph" w:styleId="ListContinue2">
    <w:name w:val="List Continue 2"/>
    <w:basedOn w:val="Normal"/>
    <w:uiPriority w:val="99"/>
    <w:unhideWhenUsed/>
    <w:rsid w:val="0029639D"/>
    <w:pPr>
      <w:ind w:left="720"/>
      <w:contextualSpacing/>
    </w:pPr>
  </w:style>
  <w:style w:type="paragraph" w:styleId="ListContinue3">
    <w:name w:val="List Continue 3"/>
    <w:basedOn w:val="Normal"/>
    <w:uiPriority w:val="99"/>
    <w:unhideWhenUsed/>
    <w:rsid w:val="0029639D"/>
    <w:pPr>
      <w:ind w:left="1080"/>
      <w:contextualSpacing/>
    </w:pPr>
  </w:style>
  <w:style w:type="paragraph" w:styleId="MacroText">
    <w:name w:val="macro"/>
    <w:link w:val="MacroTextCha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customStyle="1" w:styleId="MacroTextChar">
    <w:name w:val="Macro Text Char"/>
    <w:basedOn w:val="DefaultParagraphFont"/>
    <w:link w:val="MacroText"/>
    <w:uiPriority w:val="99"/>
    <w:rsid w:val="0029639D"/>
    <w:rPr>
      <w:rFonts w:ascii="Courier" w:hAnsi="Courier"/>
      <w:sz w:val="20"/>
      <w:szCs w:val="20"/>
    </w:rPr>
  </w:style>
  <w:style w:type="paragraph" w:styleId="Quote">
    <w:name w:val="Quote"/>
    <w:basedOn w:val="Normal"/>
    <w:next w:val="Normal"/>
    <w:link w:val="QuoteChar"/>
    <w:uiPriority w:val="29"/>
    <w:qFormat/>
    <w:rsid w:val="00FC693F"/>
    <w:rPr>
      <w:i/>
      <w:iCs/>
      <w:color w:val="000000" w:themeColor="text1"/>
    </w:rPr>
  </w:style>
  <w:style w:type="character" w:customStyle="1" w:styleId="QuoteChar">
    <w:name w:val="Quote Char"/>
    <w:basedOn w:val="DefaultParagraphFont"/>
    <w:link w:val="Quote"/>
    <w:uiPriority w:val="29"/>
    <w:rsid w:val="00FC693F"/>
    <w:rPr>
      <w:i/>
      <w:iCs/>
      <w:color w:val="000000" w:themeColor="text1"/>
    </w:rPr>
  </w:style>
  <w:style w:type="character" w:customStyle="1" w:styleId="Heading4Char">
    <w:name w:val="Heading 4 Char"/>
    <w:basedOn w:val="DefaultParagraphFont"/>
    <w:link w:val="Heading4"/>
    <w:uiPriority w:val="9"/>
    <w:semiHidden/>
    <w:rsid w:val="00FC693F"/>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semiHidden/>
    <w:rsid w:val="00FC693F"/>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semiHidden/>
    <w:rsid w:val="00FC693F"/>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semiHidden/>
    <w:rsid w:val="00FC693F"/>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FC693F"/>
    <w:rPr>
      <w:rFonts w:asciiTheme="majorHAnsi" w:eastAsiaTheme="majorEastAsia" w:hAnsiTheme="majorHAnsi" w:cstheme="majorBidi"/>
      <w:color w:val="4F81BD" w:themeColor="accent1"/>
      <w:sz w:val="20"/>
      <w:szCs w:val="20"/>
    </w:rPr>
  </w:style>
  <w:style w:type="character" w:customStyle="1" w:styleId="Heading9Char">
    <w:name w:val="Heading 9 Char"/>
    <w:basedOn w:val="DefaultParagraphFont"/>
    <w:link w:val="Heading9"/>
    <w:uiPriority w:val="9"/>
    <w:semiHidden/>
    <w:rsid w:val="00FC693F"/>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semiHidden/>
    <w:unhideWhenUsed/>
    <w:qFormat/>
    <w:rsid w:val="00FC693F"/>
    <w:pPr>
      <w:spacing w:line="240" w:lineRule="auto"/>
    </w:pPr>
    <w:rPr>
      <w:b/>
      <w:bCs/>
      <w:color w:val="4F81BD" w:themeColor="accent1"/>
      <w:sz w:val="18"/>
      <w:szCs w:val="18"/>
    </w:rPr>
  </w:style>
  <w:style w:type="character" w:styleId="Strong">
    <w:name w:val="Strong"/>
    <w:basedOn w:val="DefaultParagraphFont"/>
    <w:uiPriority w:val="22"/>
    <w:qFormat/>
    <w:rsid w:val="00FC693F"/>
    <w:rPr>
      <w:b/>
      <w:bCs/>
    </w:rPr>
  </w:style>
  <w:style w:type="character" w:styleId="Emphasis">
    <w:name w:val="Emphasis"/>
    <w:basedOn w:val="DefaultParagraphFont"/>
    <w:uiPriority w:val="20"/>
    <w:qFormat/>
    <w:rsid w:val="00FC693F"/>
    <w:rPr>
      <w:i/>
      <w:iCs/>
    </w:rPr>
  </w:style>
  <w:style w:type="paragraph" w:styleId="IntenseQuote">
    <w:name w:val="Intense Quote"/>
    <w:basedOn w:val="Normal"/>
    <w:next w:val="Normal"/>
    <w:link w:val="IntenseQuoteChar"/>
    <w:uiPriority w:val="30"/>
    <w:qFormat/>
    <w:rsid w:val="00FC693F"/>
    <w:pPr>
      <w:pBdr>
        <w:bottom w:val="single" w:sz="4" w:space="4" w:color="4F81BD" w:themeColor="accent1"/>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FC693F"/>
    <w:rPr>
      <w:b/>
      <w:bCs/>
      <w:i/>
      <w:iCs/>
      <w:color w:val="4F81BD" w:themeColor="accent1"/>
    </w:rPr>
  </w:style>
  <w:style w:type="character" w:styleId="SubtleEmphasis">
    <w:name w:val="Subtle Emphasis"/>
    <w:basedOn w:val="DefaultParagraphFont"/>
    <w:uiPriority w:val="19"/>
    <w:qFormat/>
    <w:rsid w:val="00FC693F"/>
    <w:rPr>
      <w:i/>
      <w:iCs/>
      <w:color w:val="808080" w:themeColor="text1" w:themeTint="7F"/>
    </w:rPr>
  </w:style>
  <w:style w:type="character" w:styleId="IntenseEmphasis">
    <w:name w:val="Intense Emphasis"/>
    <w:basedOn w:val="DefaultParagraphFont"/>
    <w:uiPriority w:val="21"/>
    <w:qFormat/>
    <w:rsid w:val="00FC693F"/>
    <w:rPr>
      <w:b/>
      <w:bCs/>
      <w:i/>
      <w:iCs/>
      <w:color w:val="4F81BD" w:themeColor="accent1"/>
    </w:rPr>
  </w:style>
  <w:style w:type="character" w:styleId="SubtleReference">
    <w:name w:val="Subtle Reference"/>
    <w:basedOn w:val="DefaultParagraphFont"/>
    <w:uiPriority w:val="31"/>
    <w:qFormat/>
    <w:rsid w:val="00FC693F"/>
    <w:rPr>
      <w:smallCaps/>
      <w:color w:val="C0504D" w:themeColor="accent2"/>
      <w:u w:val="single"/>
    </w:rPr>
  </w:style>
  <w:style w:type="character" w:styleId="IntenseReference">
    <w:name w:val="Intense Reference"/>
    <w:basedOn w:val="DefaultParagraphFont"/>
    <w:uiPriority w:val="32"/>
    <w:qFormat/>
    <w:rsid w:val="00FC693F"/>
    <w:rPr>
      <w:b/>
      <w:bCs/>
      <w:smallCaps/>
      <w:color w:val="C0504D" w:themeColor="accent2"/>
      <w:spacing w:val="5"/>
      <w:u w:val="single"/>
    </w:rPr>
  </w:style>
  <w:style w:type="character" w:styleId="BookTitle">
    <w:name w:val="Book Title"/>
    <w:basedOn w:val="DefaultParagraphFont"/>
    <w:uiPriority w:val="33"/>
    <w:qFormat/>
    <w:rsid w:val="00FC693F"/>
    <w:rPr>
      <w:b/>
      <w:bCs/>
      <w:smallCaps/>
      <w:spacing w:val="5"/>
    </w:rPr>
  </w:style>
  <w:style w:type="paragraph" w:styleId="TOCHeading">
    <w:name w:val="TOC Heading"/>
    <w:basedOn w:val="Heading1"/>
    <w:next w:val="Normal"/>
    <w:uiPriority w:val="39"/>
    <w:semiHidden/>
    <w:unhideWhenUsed/>
    <w:qFormat/>
    <w:rsid w:val="00FC693F"/>
    <w:pPr>
      <w:outlineLvl w:val="9"/>
    </w:pPr>
  </w:style>
  <w:style w:type="table" w:styleId="TableGrid">
    <w:name w:val="Table Grid"/>
    <w:basedOn w:val="TableNormal"/>
    <w:uiPriority w:val="59"/>
    <w:rsid w:val="00FC693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ghtShading">
    <w:name w:val="Light Shading"/>
    <w:basedOn w:val="TableNormal"/>
    <w:uiPriority w:val="60"/>
    <w:rsid w:val="00FC693F"/>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pPr>
      <w:spacing w:after="0" w:line="240" w:lineRule="auto"/>
    </w:pPr>
    <w:rPr>
      <w:color w:val="365F91" w:themeColor="accent1" w:themeShade="BF"/>
    </w:rPr>
    <w:tblPr>
      <w:tblStyleRowBandSize w:val="1"/>
      <w:tblStyleColBandSize w:val="1"/>
      <w:tblBorders>
        <w:top w:val="single" w:sz="8" w:space="0" w:color="4F81BD" w:themeColor="accent1"/>
        <w:bottom w:val="single" w:sz="8" w:space="0" w:color="4F81BD" w:themeColor="accent1"/>
      </w:tblBorders>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FC693F"/>
    <w:pPr>
      <w:spacing w:after="0" w:line="240" w:lineRule="auto"/>
    </w:pPr>
    <w:rPr>
      <w:color w:val="943634" w:themeColor="accent2" w:themeShade="BF"/>
    </w:rPr>
    <w:tblPr>
      <w:tblStyleRowBandSize w:val="1"/>
      <w:tblStyleColBandSize w:val="1"/>
      <w:tblBorders>
        <w:top w:val="single" w:sz="8" w:space="0" w:color="C0504D" w:themeColor="accent2"/>
        <w:bottom w:val="single" w:sz="8" w:space="0" w:color="C0504D" w:themeColor="accent2"/>
      </w:tblBorders>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FC693F"/>
    <w:pPr>
      <w:spacing w:after="0" w:line="240" w:lineRule="auto"/>
    </w:pPr>
    <w:rPr>
      <w:color w:val="76923C" w:themeColor="accent3" w:themeShade="BF"/>
    </w:rPr>
    <w:tblPr>
      <w:tblStyleRowBandSize w:val="1"/>
      <w:tblStyleColBandSize w:val="1"/>
      <w:tblBorders>
        <w:top w:val="single" w:sz="8" w:space="0" w:color="9BBB59" w:themeColor="accent3"/>
        <w:bottom w:val="single" w:sz="8" w:space="0" w:color="9BBB59" w:themeColor="accent3"/>
      </w:tblBorders>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FC693F"/>
    <w:pPr>
      <w:spacing w:after="0" w:line="240" w:lineRule="auto"/>
    </w:pPr>
    <w:rPr>
      <w:color w:val="5F497A" w:themeColor="accent4" w:themeShade="BF"/>
    </w:rPr>
    <w:tblPr>
      <w:tblStyleRowBandSize w:val="1"/>
      <w:tblStyleColBandSize w:val="1"/>
      <w:tblBorders>
        <w:top w:val="single" w:sz="8" w:space="0" w:color="8064A2" w:themeColor="accent4"/>
        <w:bottom w:val="single" w:sz="8" w:space="0" w:color="8064A2" w:themeColor="accent4"/>
      </w:tblBorders>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sid w:val="00FC693F"/>
    <w:pPr>
      <w:spacing w:after="0" w:line="240" w:lineRule="auto"/>
    </w:pPr>
    <w:rPr>
      <w:color w:val="31849B" w:themeColor="accent5" w:themeShade="BF"/>
    </w:rPr>
    <w:tblPr>
      <w:tblStyleRowBandSize w:val="1"/>
      <w:tblStyleColBandSize w:val="1"/>
      <w:tblBorders>
        <w:top w:val="single" w:sz="8" w:space="0" w:color="4BACC6" w:themeColor="accent5"/>
        <w:bottom w:val="single" w:sz="8" w:space="0" w:color="4BACC6" w:themeColor="accent5"/>
      </w:tblBorders>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rsid w:val="00FC693F"/>
    <w:pPr>
      <w:spacing w:after="0" w:line="240" w:lineRule="auto"/>
    </w:pPr>
    <w:rPr>
      <w:color w:val="E36C0A" w:themeColor="accent6" w:themeShade="BF"/>
    </w:rPr>
    <w:tblPr>
      <w:tblStyleRowBandSize w:val="1"/>
      <w:tblStyleColBandSize w:val="1"/>
      <w:tblBorders>
        <w:top w:val="single" w:sz="8" w:space="0" w:color="F79646" w:themeColor="accent6"/>
        <w:bottom w:val="single" w:sz="8" w:space="0" w:color="F79646" w:themeColor="accent6"/>
      </w:tblBorders>
    </w:tblPr>
    <w:tblStylePr w:type="fir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la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List">
    <w:name w:val="Light List"/>
    <w:basedOn w:val="TableNormal"/>
    <w:uiPriority w:val="61"/>
    <w:rsid w:val="00FC693F"/>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rsid w:val="00FC693F"/>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LightList-Accent2">
    <w:name w:val="Light List Accent 2"/>
    <w:basedOn w:val="TableNormal"/>
    <w:uiPriority w:val="61"/>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table" w:styleId="LightList-Accent3">
    <w:name w:val="Light List Accent 3"/>
    <w:basedOn w:val="TableNormal"/>
    <w:uiPriority w:val="61"/>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table" w:styleId="LightList-Accent4">
    <w:name w:val="Light List Accent 4"/>
    <w:basedOn w:val="TableNormal"/>
    <w:uiPriority w:val="61"/>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LightList-Accent5">
    <w:name w:val="Light List Accent 5"/>
    <w:basedOn w:val="TableNormal"/>
    <w:uiPriority w:val="61"/>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LightList-Accent6">
    <w:name w:val="Light List Accent 6"/>
    <w:basedOn w:val="TableNormal"/>
    <w:uiPriority w:val="61"/>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tcBorders>
      </w:tcPr>
    </w:tblStylePr>
    <w:tblStylePr w:type="firstCol">
      <w:rPr>
        <w:b/>
        <w:bCs/>
      </w:rPr>
    </w:tblStylePr>
    <w:tblStylePr w:type="lastCol">
      <w:rPr>
        <w:b/>
        <w:bCs/>
      </w:r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style>
  <w:style w:type="table" w:styleId="LightGrid">
    <w:name w:val="Light Grid"/>
    <w:basedOn w:val="TableNormal"/>
    <w:uiPriority w:val="62"/>
    <w:rsid w:val="00CB0664"/>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rsid w:val="00CB0664"/>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table" w:styleId="LightGrid-Accent2">
    <w:name w:val="Light Grid Accent 2"/>
    <w:basedOn w:val="TableNormal"/>
    <w:uiPriority w:val="62"/>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C0504D"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C0504D"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tcPr>
    </w:tblStylePr>
  </w:style>
  <w:style w:type="table" w:styleId="LightGrid-Accent3">
    <w:name w:val="Light Grid Accent 3"/>
    <w:basedOn w:val="TableNormal"/>
    <w:uiPriority w:val="62"/>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table" w:styleId="LightGrid-Accent4">
    <w:name w:val="Light Grid Accent 4"/>
    <w:basedOn w:val="TableNormal"/>
    <w:uiPriority w:val="62"/>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table" w:styleId="LightGrid-Accent6">
    <w:name w:val="Light Grid Accent 6"/>
    <w:basedOn w:val="TableNormal"/>
    <w:uiPriority w:val="62"/>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F79646"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F79646"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tcPr>
    </w:tblStylePr>
  </w:style>
  <w:style w:type="table" w:styleId="MediumShading1">
    <w:name w:val="Medium Shading 1"/>
    <w:basedOn w:val="TableNormal"/>
    <w:uiPriority w:val="63"/>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Pr>
    <w:tblStylePr w:type="firstRow">
      <w:pPr>
        <w:spacing w:before="0" w:after="0" w:line="240" w:lineRule="auto"/>
      </w:pPr>
      <w:rPr>
        <w:b/>
        <w:bCs/>
        <w:color w:val="FFFFFF" w:themeColor="background1"/>
      </w:rPr>
      <w:tblPr/>
      <w:tcPr>
        <w:tc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tblBorders>
    </w:tblPr>
    <w:tblStylePr w:type="firstRow">
      <w:pPr>
        <w:spacing w:before="0" w:after="0" w:line="240" w:lineRule="auto"/>
      </w:pPr>
      <w:rPr>
        <w:b/>
        <w:bCs/>
        <w:color w:val="FFFFFF" w:themeColor="background1"/>
      </w:rPr>
      <w:tblPr/>
      <w:tcPr>
        <w:tc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shd w:val="clear" w:color="auto" w:fill="9BBB59" w:themeFill="accent3"/>
      </w:tcPr>
    </w:tblStylePr>
    <w:tblStylePr w:type="lastRow">
      <w:pPr>
        <w:spacing w:before="0" w:after="0" w:line="240" w:lineRule="auto"/>
      </w:pPr>
      <w:rPr>
        <w:b/>
        <w:bCs/>
      </w:rPr>
      <w:tblPr/>
      <w:tcPr>
        <w:tcBorders>
          <w:top w:val="double" w:sz="6"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tblBorders>
    </w:tblPr>
    <w:tblStylePr w:type="firstRow">
      <w:pPr>
        <w:spacing w:before="0" w:after="0" w:line="240" w:lineRule="auto"/>
      </w:pPr>
      <w:rPr>
        <w:b/>
        <w:bCs/>
        <w:color w:val="FFFFFF" w:themeColor="background1"/>
      </w:rPr>
      <w:tblPr/>
      <w:tcPr>
        <w:tc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shd w:val="clear" w:color="auto" w:fill="8064A2" w:themeFill="accent4"/>
      </w:tcPr>
    </w:tblStylePr>
    <w:tblStylePr w:type="lastRow">
      <w:pPr>
        <w:spacing w:before="0" w:after="0" w:line="240" w:lineRule="auto"/>
      </w:pPr>
      <w:rPr>
        <w:b/>
        <w:bCs/>
      </w:rPr>
      <w:tblPr/>
      <w:tcPr>
        <w:tcBorders>
          <w:top w:val="double" w:sz="6"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tblBorders>
    </w:tblPr>
    <w:tblStylePr w:type="firstRow">
      <w:pPr>
        <w:spacing w:before="0" w:after="0" w:line="240" w:lineRule="auto"/>
      </w:pPr>
      <w:rPr>
        <w:b/>
        <w:bCs/>
        <w:color w:val="FFFFFF" w:themeColor="background1"/>
      </w:rPr>
      <w:tblPr/>
      <w:tcPr>
        <w:tc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shd w:val="clear" w:color="auto" w:fill="4BACC6" w:themeFill="accent5"/>
      </w:tcPr>
    </w:tblStylePr>
    <w:tblStylePr w:type="lastRow">
      <w:pPr>
        <w:spacing w:before="0" w:after="0" w:line="240" w:lineRule="auto"/>
      </w:pPr>
      <w:rPr>
        <w:b/>
        <w:bCs/>
      </w:rPr>
      <w:tblPr/>
      <w:tcPr>
        <w:tcBorders>
          <w:top w:val="double" w:sz="6"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tblBorders>
    </w:tblPr>
    <w:tblStylePr w:type="firstRow">
      <w:pPr>
        <w:spacing w:before="0" w:after="0" w:line="240" w:lineRule="auto"/>
      </w:pPr>
      <w:rPr>
        <w:b/>
        <w:bCs/>
        <w:color w:val="FFFFFF" w:themeColor="background1"/>
      </w:rPr>
      <w:tblPr/>
      <w:tcPr>
        <w:tc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shd w:val="clear" w:color="auto" w:fill="F79646" w:themeFill="accent6"/>
      </w:tcPr>
    </w:tblStylePr>
    <w:tblStylePr w:type="lastRow">
      <w:pPr>
        <w:spacing w:before="0" w:after="0" w:line="240" w:lineRule="auto"/>
      </w:pPr>
      <w:rPr>
        <w:b/>
        <w:bCs/>
      </w:rPr>
      <w:tblPr/>
      <w:tcPr>
        <w:tcBorders>
          <w:top w:val="double" w:sz="6"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1">
    <w:name w:val="Medium Shading 2 Accent 1"/>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List1">
    <w:name w:val="Medium List 1"/>
    <w:basedOn w:val="TableNormal"/>
    <w:uiPriority w:val="65"/>
    <w:rsid w:val="00CB0664"/>
    <w:pPr>
      <w:spacing w:after="0" w:line="240" w:lineRule="auto"/>
    </w:pPr>
    <w:rPr>
      <w:color w:val="000000" w:themeColor="text1"/>
    </w:rPr>
    <w:tblPr>
      <w:tblStyleRowBandSize w:val="1"/>
      <w:tblStyleColBandSize w:val="1"/>
      <w:tblBorders>
        <w:top w:val="single" w:sz="8" w:space="0" w:color="000000" w:themeColor="text1"/>
        <w:bottom w:val="single" w:sz="8" w:space="0" w:color="000000" w:themeColor="text1"/>
      </w:tblBorders>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1F497D"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B0664"/>
    <w:pPr>
      <w:spacing w:after="0" w:line="240" w:lineRule="auto"/>
    </w:pPr>
    <w:rPr>
      <w:color w:val="000000" w:themeColor="text1"/>
    </w:rPr>
    <w:tblPr>
      <w:tblStyleRowBandSize w:val="1"/>
      <w:tblStyleColBandSize w:val="1"/>
      <w:tblBorders>
        <w:top w:val="single" w:sz="8" w:space="0" w:color="4F81BD" w:themeColor="accent1"/>
        <w:bottom w:val="single" w:sz="8" w:space="0" w:color="4F81BD" w:themeColor="accent1"/>
      </w:tblBorders>
    </w:tblPr>
    <w:tblStylePr w:type="firstRow">
      <w:rPr>
        <w:rFonts w:asciiTheme="majorHAnsi" w:eastAsiaTheme="majorEastAsia" w:hAnsiTheme="majorHAnsi" w:cstheme="majorBidi"/>
      </w:rPr>
      <w:tblPr/>
      <w:tcPr>
        <w:tcBorders>
          <w:top w:val="nil"/>
          <w:bottom w:val="single" w:sz="8" w:space="0" w:color="4F81BD" w:themeColor="accent1"/>
        </w:tcBorders>
      </w:tcPr>
    </w:tblStylePr>
    <w:tblStylePr w:type="lastRow">
      <w:rPr>
        <w:b/>
        <w:bCs/>
        <w:color w:val="1F497D" w:themeColor="text2"/>
      </w:rPr>
      <w:tblPr/>
      <w:tcPr>
        <w:tcBorders>
          <w:top w:val="single" w:sz="8" w:space="0" w:color="4F81BD" w:themeColor="accent1"/>
          <w:bottom w:val="single" w:sz="8" w:space="0" w:color="4F81BD" w:themeColor="accent1"/>
        </w:tcBorders>
      </w:tcPr>
    </w:tblStylePr>
    <w:tblStylePr w:type="firstCol">
      <w:rPr>
        <w:b/>
        <w:bCs/>
      </w:rPr>
    </w:tblStylePr>
    <w:tblStylePr w:type="lastCol">
      <w:rPr>
        <w:b/>
        <w:bCs/>
      </w:rPr>
      <w:tblPr/>
      <w:tcPr>
        <w:tcBorders>
          <w:top w:val="single" w:sz="8" w:space="0" w:color="4F81BD" w:themeColor="accent1"/>
          <w:bottom w:val="single" w:sz="8" w:space="0" w:color="4F81BD" w:themeColor="accent1"/>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rsid w:val="00CB0664"/>
    <w:pPr>
      <w:spacing w:after="0" w:line="240" w:lineRule="auto"/>
    </w:pPr>
    <w:rPr>
      <w:color w:val="000000" w:themeColor="text1"/>
    </w:rPr>
    <w:tblPr>
      <w:tblStyleRowBandSize w:val="1"/>
      <w:tblStyleColBandSize w:val="1"/>
      <w:tblBorders>
        <w:top w:val="single" w:sz="8" w:space="0" w:color="C0504D" w:themeColor="accent2"/>
        <w:bottom w:val="single" w:sz="8" w:space="0" w:color="C0504D" w:themeColor="accent2"/>
      </w:tblBorders>
    </w:tblPr>
    <w:tblStylePr w:type="firstRow">
      <w:rPr>
        <w:rFonts w:asciiTheme="majorHAnsi" w:eastAsiaTheme="majorEastAsia" w:hAnsiTheme="majorHAnsi" w:cstheme="majorBidi"/>
      </w:rPr>
      <w:tblPr/>
      <w:tcPr>
        <w:tcBorders>
          <w:top w:val="nil"/>
          <w:bottom w:val="single" w:sz="8" w:space="0" w:color="C0504D" w:themeColor="accent2"/>
        </w:tcBorders>
      </w:tcPr>
    </w:tblStylePr>
    <w:tblStylePr w:type="lastRow">
      <w:rPr>
        <w:b/>
        <w:bCs/>
        <w:color w:val="1F497D" w:themeColor="text2"/>
      </w:rPr>
      <w:tblPr/>
      <w:tcPr>
        <w:tcBorders>
          <w:top w:val="single" w:sz="8" w:space="0" w:color="C0504D" w:themeColor="accent2"/>
          <w:bottom w:val="single" w:sz="8" w:space="0" w:color="C0504D" w:themeColor="accent2"/>
        </w:tcBorders>
      </w:tcPr>
    </w:tblStylePr>
    <w:tblStylePr w:type="firstCol">
      <w:rPr>
        <w:b/>
        <w:bCs/>
      </w:rPr>
    </w:tblStylePr>
    <w:tblStylePr w:type="lastCol">
      <w:rPr>
        <w:b/>
        <w:bCs/>
      </w:rPr>
      <w:tblPr/>
      <w:tcPr>
        <w:tcBorders>
          <w:top w:val="single" w:sz="8" w:space="0" w:color="C0504D" w:themeColor="accent2"/>
          <w:bottom w:val="single" w:sz="8" w:space="0" w:color="C0504D" w:themeColor="accent2"/>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rsid w:val="00CB0664"/>
    <w:pPr>
      <w:spacing w:after="0" w:line="240" w:lineRule="auto"/>
    </w:pPr>
    <w:rPr>
      <w:color w:val="000000" w:themeColor="text1"/>
    </w:rPr>
    <w:tblPr>
      <w:tblStyleRowBandSize w:val="1"/>
      <w:tblStyleColBandSize w:val="1"/>
      <w:tblBorders>
        <w:top w:val="single" w:sz="8" w:space="0" w:color="9BBB59" w:themeColor="accent3"/>
        <w:bottom w:val="single" w:sz="8" w:space="0" w:color="9BBB59" w:themeColor="accent3"/>
      </w:tblBorders>
    </w:tblPr>
    <w:tblStylePr w:type="firstRow">
      <w:rPr>
        <w:rFonts w:asciiTheme="majorHAnsi" w:eastAsiaTheme="majorEastAsia" w:hAnsiTheme="majorHAnsi" w:cstheme="majorBidi"/>
      </w:rPr>
      <w:tblPr/>
      <w:tcPr>
        <w:tcBorders>
          <w:top w:val="nil"/>
          <w:bottom w:val="single" w:sz="8" w:space="0" w:color="9BBB59" w:themeColor="accent3"/>
        </w:tcBorders>
      </w:tcPr>
    </w:tblStylePr>
    <w:tblStylePr w:type="lastRow">
      <w:rPr>
        <w:b/>
        <w:bCs/>
        <w:color w:val="1F497D" w:themeColor="text2"/>
      </w:rPr>
      <w:tblPr/>
      <w:tcPr>
        <w:tcBorders>
          <w:top w:val="single" w:sz="8" w:space="0" w:color="9BBB59" w:themeColor="accent3"/>
          <w:bottom w:val="single" w:sz="8" w:space="0" w:color="9BBB59" w:themeColor="accent3"/>
        </w:tcBorders>
      </w:tcPr>
    </w:tblStylePr>
    <w:tblStylePr w:type="firstCol">
      <w:rPr>
        <w:b/>
        <w:bCs/>
      </w:rPr>
    </w:tblStylePr>
    <w:tblStylePr w:type="lastCol">
      <w:rPr>
        <w:b/>
        <w:bCs/>
      </w:rPr>
      <w:tblPr/>
      <w:tcPr>
        <w:tcBorders>
          <w:top w:val="single" w:sz="8" w:space="0" w:color="9BBB59" w:themeColor="accent3"/>
          <w:bottom w:val="single" w:sz="8" w:space="0" w:color="9BBB59" w:themeColor="accent3"/>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rsid w:val="00CB0664"/>
    <w:pPr>
      <w:spacing w:after="0" w:line="240" w:lineRule="auto"/>
    </w:pPr>
    <w:rPr>
      <w:color w:val="000000" w:themeColor="text1"/>
    </w:rPr>
    <w:tblPr>
      <w:tblStyleRowBandSize w:val="1"/>
      <w:tblStyleColBandSize w:val="1"/>
      <w:tblBorders>
        <w:top w:val="single" w:sz="8" w:space="0" w:color="8064A2" w:themeColor="accent4"/>
        <w:bottom w:val="single" w:sz="8" w:space="0" w:color="8064A2" w:themeColor="accent4"/>
      </w:tblBorders>
    </w:tblPr>
    <w:tblStylePr w:type="firstRow">
      <w:rPr>
        <w:rFonts w:asciiTheme="majorHAnsi" w:eastAsiaTheme="majorEastAsia" w:hAnsiTheme="majorHAnsi" w:cstheme="majorBidi"/>
      </w:rPr>
      <w:tblPr/>
      <w:tcPr>
        <w:tcBorders>
          <w:top w:val="nil"/>
          <w:bottom w:val="single" w:sz="8" w:space="0" w:color="8064A2" w:themeColor="accent4"/>
        </w:tcBorders>
      </w:tcPr>
    </w:tblStylePr>
    <w:tblStylePr w:type="lastRow">
      <w:rPr>
        <w:b/>
        <w:bCs/>
        <w:color w:val="1F497D" w:themeColor="text2"/>
      </w:rPr>
      <w:tblPr/>
      <w:tcPr>
        <w:tcBorders>
          <w:top w:val="single" w:sz="8" w:space="0" w:color="8064A2" w:themeColor="accent4"/>
          <w:bottom w:val="single" w:sz="8" w:space="0" w:color="8064A2" w:themeColor="accent4"/>
        </w:tcBorders>
      </w:tcPr>
    </w:tblStylePr>
    <w:tblStylePr w:type="firstCol">
      <w:rPr>
        <w:b/>
        <w:bCs/>
      </w:rPr>
    </w:tblStylePr>
    <w:tblStylePr w:type="lastCol">
      <w:rPr>
        <w:b/>
        <w:bCs/>
      </w:rPr>
      <w:tblPr/>
      <w:tcPr>
        <w:tcBorders>
          <w:top w:val="single" w:sz="8" w:space="0" w:color="8064A2" w:themeColor="accent4"/>
          <w:bottom w:val="single" w:sz="8" w:space="0" w:color="8064A2" w:themeColor="accent4"/>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rsid w:val="00CB0664"/>
    <w:pPr>
      <w:spacing w:after="0" w:line="240" w:lineRule="auto"/>
    </w:pPr>
    <w:rPr>
      <w:color w:val="000000" w:themeColor="text1"/>
    </w:rPr>
    <w:tblPr>
      <w:tblStyleRowBandSize w:val="1"/>
      <w:tblStyleColBandSize w:val="1"/>
      <w:tblBorders>
        <w:top w:val="single" w:sz="8" w:space="0" w:color="4BACC6" w:themeColor="accent5"/>
        <w:bottom w:val="single" w:sz="8" w:space="0" w:color="4BACC6" w:themeColor="accent5"/>
      </w:tblBorders>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rsid w:val="00CB0664"/>
    <w:pPr>
      <w:spacing w:after="0" w:line="240" w:lineRule="auto"/>
    </w:pPr>
    <w:rPr>
      <w:color w:val="000000" w:themeColor="text1"/>
    </w:rPr>
    <w:tblPr>
      <w:tblStyleRowBandSize w:val="1"/>
      <w:tblStyleColBandSize w:val="1"/>
      <w:tblBorders>
        <w:top w:val="single" w:sz="8" w:space="0" w:color="F79646" w:themeColor="accent6"/>
        <w:bottom w:val="single" w:sz="8" w:space="0" w:color="F79646" w:themeColor="accent6"/>
      </w:tblBorders>
    </w:tblPr>
    <w:tblStylePr w:type="firstRow">
      <w:rPr>
        <w:rFonts w:asciiTheme="majorHAnsi" w:eastAsiaTheme="majorEastAsia" w:hAnsiTheme="majorHAnsi" w:cstheme="majorBidi"/>
      </w:rPr>
      <w:tblPr/>
      <w:tcPr>
        <w:tcBorders>
          <w:top w:val="nil"/>
          <w:bottom w:val="single" w:sz="8" w:space="0" w:color="F79646" w:themeColor="accent6"/>
        </w:tcBorders>
      </w:tcPr>
    </w:tblStylePr>
    <w:tblStylePr w:type="lastRow">
      <w:rPr>
        <w:b/>
        <w:bCs/>
        <w:color w:val="1F497D" w:themeColor="text2"/>
      </w:rPr>
      <w:tblPr/>
      <w:tcPr>
        <w:tcBorders>
          <w:top w:val="single" w:sz="8" w:space="0" w:color="F79646" w:themeColor="accent6"/>
          <w:bottom w:val="single" w:sz="8" w:space="0" w:color="F79646" w:themeColor="accent6"/>
        </w:tcBorders>
      </w:tcPr>
    </w:tblStylePr>
    <w:tblStylePr w:type="firstCol">
      <w:rPr>
        <w:b/>
        <w:bCs/>
      </w:rPr>
    </w:tblStylePr>
    <w:tblStylePr w:type="lastCol">
      <w:rPr>
        <w:b/>
        <w:bCs/>
      </w:rPr>
      <w:tblPr/>
      <w:tcPr>
        <w:tcBorders>
          <w:top w:val="single" w:sz="8" w:space="0" w:color="F79646" w:themeColor="accent6"/>
          <w:bottom w:val="single" w:sz="8" w:space="0" w:color="F79646" w:themeColor="accent6"/>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MediumList2">
    <w:name w:val="Medium Lis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rPr>
        <w:sz w:val="24"/>
        <w:szCs w:val="24"/>
      </w:rPr>
      <w:tblPr/>
      <w:tcPr>
        <w:tcBorders>
          <w:top w:val="nil"/>
          <w:left w:val="nil"/>
          <w:bottom w:val="single" w:sz="24" w:space="0" w:color="4F81BD" w:themeColor="accent1"/>
          <w:right w:val="nil"/>
          <w:insideH w:val="nil"/>
          <w:insideV w:val="nil"/>
        </w:tcBorders>
        <w:shd w:val="clear" w:color="auto" w:fill="FFFFFF" w:themeFill="background1"/>
      </w:tcPr>
    </w:tblStylePr>
    <w:tblStylePr w:type="lastRow">
      <w:tblPr/>
      <w:tcPr>
        <w:tcBorders>
          <w:top w:val="single" w:sz="8" w:space="0" w:color="4F81BD"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F81BD" w:themeColor="accent1"/>
          <w:insideH w:val="nil"/>
          <w:insideV w:val="nil"/>
        </w:tcBorders>
        <w:shd w:val="clear" w:color="auto" w:fill="FFFFFF" w:themeFill="background1"/>
      </w:tcPr>
    </w:tblStylePr>
    <w:tblStylePr w:type="lastCol">
      <w:tblPr/>
      <w:tcPr>
        <w:tcBorders>
          <w:top w:val="nil"/>
          <w:left w:val="single" w:sz="8" w:space="0" w:color="4F81BD"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rPr>
        <w:sz w:val="24"/>
        <w:szCs w:val="24"/>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tblPr/>
      <w:tcPr>
        <w:tcBorders>
          <w:top w:val="single" w:sz="8" w:space="0" w:color="C0504D"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0504D" w:themeColor="accent2"/>
          <w:insideH w:val="nil"/>
          <w:insideV w:val="nil"/>
        </w:tcBorders>
        <w:shd w:val="clear" w:color="auto" w:fill="FFFFFF" w:themeFill="background1"/>
      </w:tcPr>
    </w:tblStylePr>
    <w:tblStylePr w:type="lastCol">
      <w:tblPr/>
      <w:tcPr>
        <w:tcBorders>
          <w:top w:val="nil"/>
          <w:left w:val="single" w:sz="8" w:space="0" w:color="C0504D"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rPr>
        <w:sz w:val="24"/>
        <w:szCs w:val="24"/>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tblPr/>
      <w:tcPr>
        <w:tcBorders>
          <w:top w:val="single" w:sz="8" w:space="0" w:color="9BBB59"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BBB59" w:themeColor="accent3"/>
          <w:insideH w:val="nil"/>
          <w:insideV w:val="nil"/>
        </w:tcBorders>
        <w:shd w:val="clear" w:color="auto" w:fill="FFFFFF" w:themeFill="background1"/>
      </w:tcPr>
    </w:tblStylePr>
    <w:tblStylePr w:type="lastCol">
      <w:tblPr/>
      <w:tcPr>
        <w:tcBorders>
          <w:top w:val="nil"/>
          <w:left w:val="single" w:sz="8" w:space="0" w:color="9BBB59"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rPr>
        <w:sz w:val="24"/>
        <w:szCs w:val="24"/>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tblPr/>
      <w:tcPr>
        <w:tcBorders>
          <w:top w:val="single" w:sz="8" w:space="0" w:color="8064A2"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064A2" w:themeColor="accent4"/>
          <w:insideH w:val="nil"/>
          <w:insideV w:val="nil"/>
        </w:tcBorders>
        <w:shd w:val="clear" w:color="auto" w:fill="FFFFFF" w:themeFill="background1"/>
      </w:tcPr>
    </w:tblStylePr>
    <w:tblStylePr w:type="lastCol">
      <w:tblPr/>
      <w:tcPr>
        <w:tcBorders>
          <w:top w:val="nil"/>
          <w:left w:val="single" w:sz="8" w:space="0" w:color="8064A2"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rPr>
        <w:sz w:val="24"/>
        <w:szCs w:val="24"/>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tblPr/>
      <w:tcPr>
        <w:tcBorders>
          <w:top w:val="single" w:sz="8" w:space="0" w:color="4BACC6"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BACC6" w:themeColor="accent5"/>
          <w:insideH w:val="nil"/>
          <w:insideV w:val="nil"/>
        </w:tcBorders>
        <w:shd w:val="clear" w:color="auto" w:fill="FFFFFF" w:themeFill="background1"/>
      </w:tcPr>
    </w:tblStylePr>
    <w:tblStylePr w:type="lastCol">
      <w:tblPr/>
      <w:tcPr>
        <w:tcBorders>
          <w:top w:val="nil"/>
          <w:left w:val="single" w:sz="8" w:space="0" w:color="4BACC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rPr>
        <w:sz w:val="24"/>
        <w:szCs w:val="24"/>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tblPr/>
      <w:tcPr>
        <w:tcBorders>
          <w:top w:val="single" w:sz="8" w:space="0" w:color="F79646"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79646" w:themeColor="accent6"/>
          <w:insideH w:val="nil"/>
          <w:insideV w:val="nil"/>
        </w:tcBorders>
        <w:shd w:val="clear" w:color="auto" w:fill="FFFFFF" w:themeFill="background1"/>
      </w:tcPr>
    </w:tblStylePr>
    <w:tblStylePr w:type="lastCol">
      <w:tblPr/>
      <w:tcPr>
        <w:tcBorders>
          <w:top w:val="nil"/>
          <w:left w:val="single" w:sz="8" w:space="0" w:color="F79646"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Pr>
    <w:tcPr>
      <w:shd w:val="clear" w:color="auto" w:fill="D3DFEE" w:themeFill="accent1" w:themeFillTint="3F"/>
    </w:tcPr>
    <w:tblStylePr w:type="firstRow">
      <w:rPr>
        <w:b/>
        <w:bCs/>
      </w:rPr>
    </w:tblStylePr>
    <w:tblStylePr w:type="lastRow">
      <w:rPr>
        <w:b/>
        <w:bCs/>
      </w:rPr>
      <w:tblPr/>
      <w:tcPr>
        <w:tcBorders>
          <w:top w:val="single" w:sz="18" w:space="0" w:color="7BA0CD" w:themeColor="accent1" w:themeTint="BF"/>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insideV w:val="single" w:sz="8" w:space="0" w:color="CF7B79" w:themeColor="accent2" w:themeTint="BF"/>
      </w:tblBorders>
    </w:tblPr>
    <w:tcPr>
      <w:shd w:val="clear" w:color="auto" w:fill="EFD3D2" w:themeFill="accent2" w:themeFillTint="3F"/>
    </w:tcPr>
    <w:tblStylePr w:type="firstRow">
      <w:rPr>
        <w:b/>
        <w:bCs/>
      </w:rPr>
    </w:tblStylePr>
    <w:tblStylePr w:type="lastRow">
      <w:rPr>
        <w:b/>
        <w:bCs/>
      </w:rPr>
      <w:tblPr/>
      <w:tcPr>
        <w:tcBorders>
          <w:top w:val="single" w:sz="18" w:space="0" w:color="CF7B79" w:themeColor="accent2" w:themeTint="BF"/>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insideV w:val="single" w:sz="8" w:space="0" w:color="B3CC82" w:themeColor="accent3" w:themeTint="BF"/>
      </w:tblBorders>
    </w:tblPr>
    <w:tcPr>
      <w:shd w:val="clear" w:color="auto" w:fill="E6EED5" w:themeFill="accent3" w:themeFillTint="3F"/>
    </w:tcPr>
    <w:tblStylePr w:type="firstRow">
      <w:rPr>
        <w:b/>
        <w:bCs/>
      </w:rPr>
    </w:tblStylePr>
    <w:tblStylePr w:type="lastRow">
      <w:rPr>
        <w:b/>
        <w:bCs/>
      </w:rPr>
      <w:tblPr/>
      <w:tcPr>
        <w:tcBorders>
          <w:top w:val="single" w:sz="18" w:space="0" w:color="B3CC82" w:themeColor="accent3" w:themeTint="BF"/>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insideV w:val="single" w:sz="8" w:space="0" w:color="9F8AB9" w:themeColor="accent4" w:themeTint="BF"/>
      </w:tblBorders>
    </w:tblPr>
    <w:tcPr>
      <w:shd w:val="clear" w:color="auto" w:fill="DFD8E8" w:themeFill="accent4" w:themeFillTint="3F"/>
    </w:tcPr>
    <w:tblStylePr w:type="firstRow">
      <w:rPr>
        <w:b/>
        <w:bCs/>
      </w:rPr>
    </w:tblStylePr>
    <w:tblStylePr w:type="lastRow">
      <w:rPr>
        <w:b/>
        <w:bCs/>
      </w:rPr>
      <w:tblPr/>
      <w:tcPr>
        <w:tcBorders>
          <w:top w:val="single" w:sz="18" w:space="0" w:color="9F8AB9" w:themeColor="accent4" w:themeTint="BF"/>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insideV w:val="single" w:sz="8" w:space="0" w:color="78C0D4" w:themeColor="accent5" w:themeTint="BF"/>
      </w:tblBorders>
    </w:tblPr>
    <w:tcPr>
      <w:shd w:val="clear" w:color="auto" w:fill="D2EAF1" w:themeFill="accent5" w:themeFillTint="3F"/>
    </w:tcPr>
    <w:tblStylePr w:type="firstRow">
      <w:rPr>
        <w:b/>
        <w:bCs/>
      </w:rPr>
    </w:tblStylePr>
    <w:tblStylePr w:type="lastRow">
      <w:rPr>
        <w:b/>
        <w:bCs/>
      </w:rPr>
      <w:tblPr/>
      <w:tcPr>
        <w:tcBorders>
          <w:top w:val="single" w:sz="18" w:space="0" w:color="78C0D4" w:themeColor="accent5" w:themeTint="BF"/>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insideV w:val="single" w:sz="8" w:space="0" w:color="F9B074" w:themeColor="accent6" w:themeTint="BF"/>
      </w:tblBorders>
    </w:tblPr>
    <w:tcPr>
      <w:shd w:val="clear" w:color="auto" w:fill="FDE4D0" w:themeFill="accent6" w:themeFillTint="3F"/>
    </w:tcPr>
    <w:tblStylePr w:type="firstRow">
      <w:rPr>
        <w:b/>
        <w:bCs/>
      </w:rPr>
    </w:tblStylePr>
    <w:tblStylePr w:type="lastRow">
      <w:rPr>
        <w:b/>
        <w:bCs/>
      </w:rPr>
      <w:tblPr/>
      <w:tcPr>
        <w:tcBorders>
          <w:top w:val="single" w:sz="18" w:space="0" w:color="F9B074" w:themeColor="accent6" w:themeTint="BF"/>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2">
    <w:name w:val="Medium Grid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sz="6" w:space="0" w:color="4F81BD" w:themeColor="accent1"/>
          <w:insideV w:val="single" w:sz="6" w:space="0" w:color="4F81BD" w:themeColor="accent1"/>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color="C0504D" w:themeColor="accent2"/>
          <w:insideV w:val="single" w:sz="6" w:space="0" w:color="C0504D" w:themeColor="accent2"/>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color="9BBB59" w:themeColor="accent3"/>
          <w:insideV w:val="single" w:sz="6" w:space="0" w:color="9BBB59" w:themeColor="accent3"/>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color="8064A2" w:themeColor="accent4"/>
          <w:insideV w:val="single" w:sz="6" w:space="0" w:color="8064A2" w:themeColor="accent4"/>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4BACC6" w:themeColor="accent5"/>
          <w:insideV w:val="single" w:sz="6" w:space="0" w:color="4BACC6" w:themeColor="accent5"/>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color="F79646" w:themeColor="accent6"/>
          <w:insideV w:val="single" w:sz="6" w:space="0" w:color="F79646" w:themeColor="accent6"/>
        </w:tcBorders>
        <w:shd w:val="clear" w:color="auto" w:fill="FBCAA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3DFEE"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F81BD"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F81BD"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7BFDE"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7BFDE" w:themeFill="accent1" w:themeFillTint="7F"/>
      </w:tcPr>
    </w:tblStylePr>
  </w:style>
  <w:style w:type="table" w:styleId="MediumGrid3-Accent2">
    <w:name w:val="Medium Grid 3 Accent 2"/>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FD3D2"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0504D"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0504D"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FA7A6"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FA7A6" w:themeFill="accent2" w:themeFillTint="7F"/>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6EED5"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BBB59"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BBB59"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DDDAC"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DDDAC" w:themeFill="accent3" w:themeFillTint="7F"/>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FD8E8"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064A2"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064A2"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FB1D0"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FB1D0" w:themeFill="accent4" w:themeFillTint="7F"/>
      </w:tcPr>
    </w:tblStylePr>
  </w:style>
  <w:style w:type="table" w:styleId="MediumGrid3-Accent5">
    <w:name w:val="Medium Grid 3 Accent 5"/>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2EAF1"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ACC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BACC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5D5E2"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5D5E2" w:themeFill="accent5" w:themeFillTint="7F"/>
      </w:tcPr>
    </w:tblStylePr>
  </w:style>
  <w:style w:type="table" w:styleId="MediumGrid3-Accent6">
    <w:name w:val="Medium Grid 3 Accent 6"/>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DE4D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79646"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79646"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BCAA2"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BCAA2" w:themeFill="accent6" w:themeFillTint="7F"/>
      </w:tcPr>
    </w:tblStylePr>
  </w:style>
  <w:style w:type="table" w:styleId="DarkList">
    <w:name w:val="Dark List"/>
    <w:basedOn w:val="TableNormal"/>
    <w:uiPriority w:val="70"/>
    <w:rsid w:val="00CB0664"/>
    <w:pPr>
      <w:spacing w:after="0" w:line="240" w:lineRule="auto"/>
    </w:pPr>
    <w:rPr>
      <w:color w:val="FFFFFF" w:themeColor="background1"/>
    </w:rPr>
    <w:tblPr>
      <w:tblStyleRowBandSize w:val="1"/>
      <w:tblStyleColBandSize w:val="1"/>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Pr>
    <w:tcPr>
      <w:shd w:val="clear" w:color="auto" w:fill="4F81BD"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365F91"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Pr>
    <w:tcPr>
      <w:shd w:val="clear" w:color="auto" w:fill="C0504D"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943634"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rsid w:val="00CB0664"/>
    <w:pPr>
      <w:spacing w:after="0" w:line="240" w:lineRule="auto"/>
    </w:pPr>
    <w:rPr>
      <w:color w:val="FFFFFF" w:themeColor="background1"/>
    </w:rPr>
    <w:tblPr>
      <w:tblStyleRowBandSize w:val="1"/>
      <w:tblStyleColBandSize w:val="1"/>
    </w:tblPr>
    <w:tcPr>
      <w:shd w:val="clear" w:color="auto" w:fill="9BBB59"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6923C"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rsid w:val="00CB0664"/>
    <w:pPr>
      <w:spacing w:after="0" w:line="240" w:lineRule="auto"/>
    </w:pPr>
    <w:rPr>
      <w:color w:val="FFFFFF" w:themeColor="background1"/>
    </w:rPr>
    <w:tblPr>
      <w:tblStyleRowBandSize w:val="1"/>
      <w:tblStyleColBandSize w:val="1"/>
    </w:tblPr>
    <w:tcPr>
      <w:shd w:val="clear" w:color="auto" w:fill="8064A2"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F497A"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Pr>
    <w:tcPr>
      <w:shd w:val="clear" w:color="auto" w:fill="4BACC6"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31849B"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Pr>
    <w:tcPr>
      <w:shd w:val="clear" w:color="auto" w:fill="F79646"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E36C0A"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ColourfulShading">
    <w:name w:val="Colorful Shading"/>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Pr>
    <w:tcPr>
      <w:shd w:val="clear" w:color="auto" w:fill="E6E6E6" w:themeFill="tex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urfulShadingAccent1">
    <w:name w:val="Colorful Shading Accent 1"/>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4F81BD" w:themeColor="accent1"/>
        <w:bottom w:val="single" w:sz="4" w:space="0" w:color="4F81BD" w:themeColor="accent1"/>
        <w:right w:val="single" w:sz="4" w:space="0" w:color="4F81BD" w:themeColor="accent1"/>
        <w:insideH w:val="single" w:sz="4" w:space="0" w:color="FFFFFF" w:themeColor="background1"/>
        <w:insideV w:val="single" w:sz="4" w:space="0" w:color="FFFFFF" w:themeColor="background1"/>
      </w:tblBorders>
    </w:tblPr>
    <w:tcPr>
      <w:shd w:val="clear" w:color="auto" w:fill="EDF2F8" w:themeFill="accen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sz="4" w:space="0" w:color="2C4C74" w:themeColor="accent1" w:themeShade="99"/>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ColourfulShadingAccent2">
    <w:name w:val="Colorful Shading Accent 2"/>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C0504D" w:themeColor="accent2"/>
        <w:bottom w:val="single" w:sz="4" w:space="0" w:color="C0504D" w:themeColor="accent2"/>
        <w:right w:val="single" w:sz="4" w:space="0" w:color="C0504D" w:themeColor="accent2"/>
        <w:insideH w:val="single" w:sz="4" w:space="0" w:color="FFFFFF" w:themeColor="background1"/>
        <w:insideV w:val="single" w:sz="4" w:space="0" w:color="FFFFFF" w:themeColor="background1"/>
      </w:tblBorders>
    </w:tblPr>
    <w:tcPr>
      <w:shd w:val="clear" w:color="auto" w:fill="F8EDED" w:themeFill="accent2"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sz="4" w:space="0" w:color="772C2A" w:themeColor="accent2" w:themeShade="99"/>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ColourfulShadingAccent3">
    <w:name w:val="Colorful Shading Accent 3"/>
    <w:basedOn w:val="TableNormal"/>
    <w:uiPriority w:val="71"/>
    <w:rsid w:val="00CB0664"/>
    <w:pPr>
      <w:spacing w:after="0" w:line="240" w:lineRule="auto"/>
    </w:pPr>
    <w:rPr>
      <w:color w:val="000000" w:themeColor="text1"/>
    </w:rPr>
    <w:tblPr>
      <w:tblStyleRowBandSize w:val="1"/>
      <w:tblStyleColBandSize w:val="1"/>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ColourfulShadingAccent4">
    <w:name w:val="Colorful Shading Accent 4"/>
    <w:basedOn w:val="TableNormal"/>
    <w:uiPriority w:val="71"/>
    <w:rsid w:val="00CB0664"/>
    <w:pPr>
      <w:spacing w:after="0" w:line="240" w:lineRule="auto"/>
    </w:pPr>
    <w:rPr>
      <w:color w:val="000000" w:themeColor="text1"/>
    </w:rPr>
    <w:tblPr>
      <w:tblStyleRowBandSize w:val="1"/>
      <w:tblStyleColBandSize w:val="1"/>
      <w:tblBorders>
        <w:top w:val="single" w:sz="24" w:space="0" w:color="9BBB59" w:themeColor="accent3"/>
        <w:left w:val="single" w:sz="4" w:space="0" w:color="8064A2" w:themeColor="accent4"/>
        <w:bottom w:val="single" w:sz="4" w:space="0" w:color="8064A2" w:themeColor="accent4"/>
        <w:right w:val="single" w:sz="4" w:space="0" w:color="8064A2" w:themeColor="accent4"/>
        <w:insideH w:val="single" w:sz="4" w:space="0" w:color="FFFFFF" w:themeColor="background1"/>
        <w:insideV w:val="single" w:sz="4" w:space="0" w:color="FFFFFF" w:themeColor="background1"/>
      </w:tblBorders>
    </w:tblPr>
    <w:tcPr>
      <w:shd w:val="clear" w:color="auto" w:fill="F2EFF6" w:themeFill="accent4" w:themeFillTint="19"/>
    </w:tcPr>
    <w:tblStylePr w:type="firstRow">
      <w:rPr>
        <w:b/>
        <w:bCs/>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sz="4" w:space="0" w:color="4C3B62" w:themeColor="accent4" w:themeShade="99"/>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ColourfulShadingAccent5">
    <w:name w:val="Colorful Shading Accent 5"/>
    <w:basedOn w:val="TableNormal"/>
    <w:uiPriority w:val="71"/>
    <w:rsid w:val="00CB0664"/>
    <w:pPr>
      <w:spacing w:after="0" w:line="240" w:lineRule="auto"/>
    </w:pPr>
    <w:rPr>
      <w:color w:val="000000" w:themeColor="text1"/>
    </w:rPr>
    <w:tblPr>
      <w:tblStyleRowBandSize w:val="1"/>
      <w:tblStyleColBandSize w:val="1"/>
      <w:tblBorders>
        <w:top w:val="single" w:sz="24" w:space="0" w:color="F79646" w:themeColor="accent6"/>
        <w:left w:val="single" w:sz="4" w:space="0" w:color="4BACC6" w:themeColor="accent5"/>
        <w:bottom w:val="single" w:sz="4" w:space="0" w:color="4BACC6" w:themeColor="accent5"/>
        <w:right w:val="single" w:sz="4" w:space="0" w:color="4BACC6" w:themeColor="accent5"/>
        <w:insideH w:val="single" w:sz="4" w:space="0" w:color="FFFFFF" w:themeColor="background1"/>
        <w:insideV w:val="single" w:sz="4" w:space="0" w:color="FFFFFF" w:themeColor="background1"/>
      </w:tblBorders>
    </w:tblPr>
    <w:tcPr>
      <w:shd w:val="clear" w:color="auto" w:fill="EDF6F9" w:themeFill="accent5" w:themeFillTint="19"/>
    </w:tcPr>
    <w:tblStylePr w:type="firstRow">
      <w:rPr>
        <w:b/>
        <w:bCs/>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sz="4" w:space="0" w:color="276A7C" w:themeColor="accent5" w:themeShade="99"/>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ColourfulShadingAccent6">
    <w:name w:val="Colorful Shading Accent 6"/>
    <w:basedOn w:val="TableNormal"/>
    <w:uiPriority w:val="71"/>
    <w:rsid w:val="00CB0664"/>
    <w:pPr>
      <w:spacing w:after="0" w:line="240" w:lineRule="auto"/>
    </w:pPr>
    <w:rPr>
      <w:color w:val="000000" w:themeColor="text1"/>
    </w:rPr>
    <w:tblPr>
      <w:tblStyleRowBandSize w:val="1"/>
      <w:tblStyleColBandSize w:val="1"/>
      <w:tblBorders>
        <w:top w:val="single" w:sz="24" w:space="0" w:color="4BACC6" w:themeColor="accent5"/>
        <w:left w:val="single" w:sz="4" w:space="0" w:color="F79646" w:themeColor="accent6"/>
        <w:bottom w:val="single" w:sz="4" w:space="0" w:color="F79646" w:themeColor="accent6"/>
        <w:right w:val="single" w:sz="4" w:space="0" w:color="F79646" w:themeColor="accent6"/>
        <w:insideH w:val="single" w:sz="4" w:space="0" w:color="FFFFFF" w:themeColor="background1"/>
        <w:insideV w:val="single" w:sz="4" w:space="0" w:color="FFFFFF" w:themeColor="background1"/>
      </w:tblBorders>
    </w:tblPr>
    <w:tcPr>
      <w:shd w:val="clear" w:color="auto" w:fill="FEF4EC" w:themeFill="accent6" w:themeFillTint="19"/>
    </w:tcPr>
    <w:tblStylePr w:type="firstRow">
      <w:rPr>
        <w:b/>
        <w:bCs/>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sz="4" w:space="0" w:color="B65608" w:themeColor="accent6" w:themeShade="99"/>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ColourfulList">
    <w:name w:val="Colorful List"/>
    <w:basedOn w:val="TableNormal"/>
    <w:uiPriority w:val="72"/>
    <w:rsid w:val="00CB0664"/>
    <w:pPr>
      <w:spacing w:after="0" w:line="240" w:lineRule="auto"/>
    </w:pPr>
    <w:rPr>
      <w:color w:val="000000" w:themeColor="text1"/>
    </w:rPr>
    <w:tblPr>
      <w:tblStyleRowBandSize w:val="1"/>
      <w:tblStyleColBandSize w:val="1"/>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urfulListAccent1">
    <w:name w:val="Colorful List Accent 1"/>
    <w:basedOn w:val="TableNormal"/>
    <w:uiPriority w:val="72"/>
    <w:rsid w:val="00CB0664"/>
    <w:pPr>
      <w:spacing w:after="0" w:line="240" w:lineRule="auto"/>
    </w:pPr>
    <w:rPr>
      <w:color w:val="000000" w:themeColor="text1"/>
    </w:rPr>
    <w:tblPr>
      <w:tblStyleRowBandSize w:val="1"/>
      <w:tblStyleColBandSize w:val="1"/>
    </w:tblPr>
    <w:tcPr>
      <w:shd w:val="clear" w:color="auto" w:fill="EDF2F8" w:themeFill="accen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ColourfulListAccent2">
    <w:name w:val="Colorful List Accent 2"/>
    <w:basedOn w:val="TableNormal"/>
    <w:uiPriority w:val="72"/>
    <w:rsid w:val="00CB0664"/>
    <w:pPr>
      <w:spacing w:after="0" w:line="240" w:lineRule="auto"/>
    </w:pPr>
    <w:rPr>
      <w:color w:val="000000" w:themeColor="text1"/>
    </w:rPr>
    <w:tblPr>
      <w:tblStyleRowBandSize w:val="1"/>
      <w:tblStyleColBandSize w:val="1"/>
    </w:tblPr>
    <w:tcPr>
      <w:shd w:val="clear" w:color="auto" w:fill="F8EDED" w:themeFill="accent2"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ColourfulListAccent3">
    <w:name w:val="Colorful List Accent 3"/>
    <w:basedOn w:val="TableNormal"/>
    <w:uiPriority w:val="72"/>
    <w:rsid w:val="00CB0664"/>
    <w:pPr>
      <w:spacing w:after="0" w:line="240" w:lineRule="auto"/>
    </w:pPr>
    <w:rPr>
      <w:color w:val="000000" w:themeColor="text1"/>
    </w:rPr>
    <w:tblPr>
      <w:tblStyleRowBandSize w:val="1"/>
      <w:tblStyleColBandSize w:val="1"/>
    </w:tblPr>
    <w:tcPr>
      <w:shd w:val="clear" w:color="auto" w:fill="F5F8EE" w:themeFill="accent3" w:themeFillTint="19"/>
    </w:tcPr>
    <w:tblStylePr w:type="firstRow">
      <w:rPr>
        <w:b/>
        <w:bCs/>
        <w:color w:val="FFFFFF" w:themeColor="background1"/>
      </w:rPr>
      <w:tblPr/>
      <w:tcPr>
        <w:tcBorders>
          <w:bottom w:val="single" w:sz="12" w:space="0" w:color="FFFFFF" w:themeColor="background1"/>
        </w:tcBorders>
        <w:shd w:val="clear" w:color="auto" w:fill="664E82" w:themeFill="accent4" w:themeFillShade="CC"/>
      </w:tcPr>
    </w:tblStylePr>
    <w:tblStylePr w:type="lastRow">
      <w:rPr>
        <w:b/>
        <w:bCs/>
        <w:color w:val="664E82"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ColourfulListAccent4">
    <w:name w:val="Colorful List Accent 4"/>
    <w:basedOn w:val="TableNormal"/>
    <w:uiPriority w:val="72"/>
    <w:rsid w:val="00CB0664"/>
    <w:pPr>
      <w:spacing w:after="0" w:line="240" w:lineRule="auto"/>
    </w:pPr>
    <w:rPr>
      <w:color w:val="000000" w:themeColor="text1"/>
    </w:rPr>
    <w:tblPr>
      <w:tblStyleRowBandSize w:val="1"/>
      <w:tblStyleColBandSize w:val="1"/>
    </w:tblPr>
    <w:tcPr>
      <w:shd w:val="clear" w:color="auto" w:fill="F2EFF6" w:themeFill="accent4" w:themeFillTint="19"/>
    </w:tcPr>
    <w:tblStylePr w:type="firstRow">
      <w:rPr>
        <w:b/>
        <w:bCs/>
        <w:color w:val="FFFFFF" w:themeColor="background1"/>
      </w:rPr>
      <w:tblPr/>
      <w:tcPr>
        <w:tcBorders>
          <w:bottom w:val="single" w:sz="12" w:space="0" w:color="FFFFFF" w:themeColor="background1"/>
        </w:tcBorders>
        <w:shd w:val="clear" w:color="auto" w:fill="7E9C40" w:themeFill="accent3" w:themeFillShade="CC"/>
      </w:tcPr>
    </w:tblStylePr>
    <w:tblStylePr w:type="lastRow">
      <w:rPr>
        <w:b/>
        <w:bCs/>
        <w:color w:val="7E9C40"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ColourfulListAccent5">
    <w:name w:val="Colorful List Accent 5"/>
    <w:basedOn w:val="TableNormal"/>
    <w:uiPriority w:val="72"/>
    <w:rsid w:val="00CB0664"/>
    <w:pPr>
      <w:spacing w:after="0" w:line="240" w:lineRule="auto"/>
    </w:pPr>
    <w:rPr>
      <w:color w:val="000000" w:themeColor="text1"/>
    </w:rPr>
    <w:tblPr>
      <w:tblStyleRowBandSize w:val="1"/>
      <w:tblStyleColBandSize w:val="1"/>
    </w:tblPr>
    <w:tcPr>
      <w:shd w:val="clear" w:color="auto" w:fill="EDF6F9" w:themeFill="accent5" w:themeFillTint="19"/>
    </w:tcPr>
    <w:tblStylePr w:type="firstRow">
      <w:rPr>
        <w:b/>
        <w:bCs/>
        <w:color w:val="FFFFFF" w:themeColor="background1"/>
      </w:rPr>
      <w:tblPr/>
      <w:tcPr>
        <w:tcBorders>
          <w:bottom w:val="single" w:sz="12" w:space="0" w:color="FFFFFF" w:themeColor="background1"/>
        </w:tcBorders>
        <w:shd w:val="clear" w:color="auto" w:fill="F2730A" w:themeFill="accent6" w:themeFillShade="CC"/>
      </w:tcPr>
    </w:tblStylePr>
    <w:tblStylePr w:type="lastRow">
      <w:rPr>
        <w:b/>
        <w:bCs/>
        <w:color w:val="F2730A"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ColourfulListAccent6">
    <w:name w:val="Colorful List Accent 6"/>
    <w:basedOn w:val="TableNormal"/>
    <w:uiPriority w:val="72"/>
    <w:rsid w:val="00CB0664"/>
    <w:pPr>
      <w:spacing w:after="0" w:line="240" w:lineRule="auto"/>
    </w:pPr>
    <w:rPr>
      <w:color w:val="000000" w:themeColor="text1"/>
    </w:rPr>
    <w:tblPr>
      <w:tblStyleRowBandSize w:val="1"/>
      <w:tblStyleColBandSize w:val="1"/>
    </w:tblPr>
    <w:tcPr>
      <w:shd w:val="clear" w:color="auto" w:fill="FEF4EC" w:themeFill="accent6" w:themeFillTint="19"/>
    </w:tcPr>
    <w:tblStylePr w:type="firstRow">
      <w:rPr>
        <w:b/>
        <w:bCs/>
        <w:color w:val="FFFFFF" w:themeColor="background1"/>
      </w:rPr>
      <w:tblPr/>
      <w:tcPr>
        <w:tcBorders>
          <w:bottom w:val="single" w:sz="12" w:space="0" w:color="FFFFFF" w:themeColor="background1"/>
        </w:tcBorders>
        <w:shd w:val="clear" w:color="auto" w:fill="348DA5" w:themeFill="accent5" w:themeFillShade="CC"/>
      </w:tcPr>
    </w:tblStylePr>
    <w:tblStylePr w:type="lastRow">
      <w:rPr>
        <w:b/>
        <w:bCs/>
        <w:color w:val="348DA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ColourfulGrid">
    <w:name w:val="Colorful Grid"/>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urfulGridAccent1">
    <w:name w:val="Colorful Grid Accent 1"/>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ColourfulGridAccent2">
    <w:name w:val="Colorful Grid Accent 2"/>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ColourfulGridAccent3">
    <w:name w:val="Colorful Grid Accent 3"/>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ColourfulGridAccent4">
    <w:name w:val="Colorful Grid Accent 4"/>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ColourfulGridAccent5">
    <w:name w:val="Colorful Grid Accent 5"/>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ColourfulGridAccent6">
    <w:name w:val="Colorful Grid Accent 6"/>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F278816-EC6F-A645-907D-7F25AECB1D4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1895</Words>
  <Characters>10805</Characters>
  <Application>Microsoft Office Word</Application>
  <DocSecurity>0</DocSecurity>
  <Lines>90</Lines>
  <Paragraphs>25</Paragraphs>
  <ScaleCrop>false</ScaleCrop>
  <HeadingPairs>
    <vt:vector size="4" baseType="variant">
      <vt:variant>
        <vt:lpstr>Название</vt:lpstr>
      </vt:variant>
      <vt:variant>
        <vt:i4>1</vt:i4>
      </vt:variant>
      <vt:variant>
        <vt:lpstr>Title</vt:lpstr>
      </vt:variant>
      <vt:variant>
        <vt:i4>1</vt:i4>
      </vt:variant>
    </vt:vector>
  </HeadingPairs>
  <TitlesOfParts>
    <vt:vector size="2" baseType="lpstr">
      <vt:lpstr/>
      <vt:lpstr/>
    </vt:vector>
  </TitlesOfParts>
  <Manager/>
  <Company/>
  <LinksUpToDate>false</LinksUpToDate>
  <CharactersWithSpaces>12675</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Hashir Suleman</dc:creator>
  <cp:keywords/>
  <cp:lastModifiedBy>SULEMAN, HASHIR (PGT)</cp:lastModifiedBy>
  <cp:revision>4</cp:revision>
  <dcterms:created xsi:type="dcterms:W3CDTF">2026-10-17T10:32:00Z</dcterms:created>
  <dcterms:modified xsi:type="dcterms:W3CDTF">2026-10-17T10:33:00Z</dcterms:modified>
  <cp:category/>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22497e11d235e897dff203e37f3134bbe4bd6d5ceb1509e05ad348302128ed06</vt:lpwstr>
  </property>
</Properties>
</file>