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0"/>
      </w:tblGrid>
      <w:tr w:rsidR="00F927A1" w:rsidRPr="005D3F07" w14:paraId="68CAA39D" w14:textId="77777777" w:rsidTr="00C2416A">
        <w:tc>
          <w:tcPr>
            <w:tcW w:w="10910" w:type="dxa"/>
          </w:tcPr>
          <w:p w14:paraId="02F8EE88" w14:textId="233FE79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43C9C">
              <w:rPr>
                <w:rFonts w:ascii="Times New Roman" w:hAnsi="Times New Roman" w:cs="Times New Roman"/>
                <w:b/>
                <w:color w:val="auto"/>
                <w:sz w:val="48"/>
              </w:rPr>
              <w:t>Paidamoyo Maziwisa</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4A82BA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3031A1">
              <w:rPr>
                <w:rFonts w:ascii="Times New Roman" w:hAnsi="Times New Roman" w:cs="Times New Roman"/>
                <w:b/>
                <w:color w:val="auto"/>
                <w:sz w:val="48"/>
              </w:rPr>
              <w:t xml:space="preserve"> </w:t>
            </w:r>
            <w:r w:rsidR="00C2416A" w:rsidRPr="00C2416A">
              <w:rPr>
                <w:rFonts w:ascii="Times New Roman" w:hAnsi="Times New Roman" w:cs="Times New Roman"/>
                <w:b/>
                <w:color w:val="auto"/>
                <w:sz w:val="48"/>
              </w:rPr>
              <w:t>2418248</w:t>
            </w:r>
            <w:r w:rsidR="003031A1">
              <w:rPr>
                <w:rFonts w:ascii="Times New Roman" w:hAnsi="Times New Roman" w:cs="Times New Roman"/>
                <w:b/>
                <w:color w:val="auto"/>
                <w:sz w:val="48"/>
              </w:rPr>
              <w:t>@student.uwtsd.ac.uk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6E54D64"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C2416A">
              <w:t xml:space="preserve"> </w:t>
            </w:r>
            <w:r w:rsidR="00C2416A" w:rsidRPr="00C2416A">
              <w:rPr>
                <w:rFonts w:ascii="Times New Roman" w:hAnsi="Times New Roman" w:cs="Times New Roman"/>
                <w:b/>
                <w:color w:val="auto"/>
                <w:sz w:val="48"/>
              </w:rPr>
              <w:t>2418248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2C1E55F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F43C9C">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1E1E0DF4">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12DC2F24" w14:textId="24094196" w:rsidR="00D3203C" w:rsidRDefault="00D3203C" w:rsidP="00FF7EBB">
            <w:pPr>
              <w:jc w:val="both"/>
              <w:rPr>
                <w:i/>
                <w:sz w:val="24"/>
                <w:szCs w:val="24"/>
              </w:rPr>
            </w:pPr>
          </w:p>
          <w:p w14:paraId="6BF8232F" w14:textId="77777777" w:rsidR="009331B0" w:rsidRDefault="009331B0" w:rsidP="00FF7EBB">
            <w:pPr>
              <w:jc w:val="both"/>
              <w:rPr>
                <w:i/>
                <w:sz w:val="24"/>
                <w:szCs w:val="24"/>
              </w:rPr>
            </w:pPr>
          </w:p>
          <w:p w14:paraId="1FB91CD3" w14:textId="1D89B80A" w:rsidR="009331B0" w:rsidRPr="00DC7A9B" w:rsidRDefault="009331B0" w:rsidP="00DC7A9B">
            <w:pPr>
              <w:spacing w:line="360" w:lineRule="auto"/>
              <w:rPr>
                <w:sz w:val="24"/>
                <w:szCs w:val="24"/>
              </w:rPr>
            </w:pPr>
            <w:r w:rsidRPr="1E1E0DF4">
              <w:rPr>
                <w:sz w:val="24"/>
                <w:szCs w:val="24"/>
              </w:rPr>
              <w:t>In this critically</w:t>
            </w:r>
            <w:r w:rsidR="00870DEB">
              <w:rPr>
                <w:sz w:val="24"/>
                <w:szCs w:val="24"/>
              </w:rPr>
              <w:t xml:space="preserve"> safeguarding</w:t>
            </w:r>
            <w:r w:rsidRPr="1E1E0DF4">
              <w:rPr>
                <w:sz w:val="24"/>
                <w:szCs w:val="24"/>
              </w:rPr>
              <w:t xml:space="preserve"> reflective case study, I will examine an assessment conducted within the adult mental health team in Wales. To guide my reflection, I will use Kolb’s experiential learning model, which encourages social workers to evaluate the outcomes of their interventions and adapt their practice accordingly (Morris, 2020). This approach aligns with the </w:t>
            </w:r>
            <w:r w:rsidRPr="004546F7">
              <w:rPr>
                <w:i/>
                <w:iCs/>
                <w:sz w:val="24"/>
                <w:szCs w:val="24"/>
              </w:rPr>
              <w:t xml:space="preserve">Social Care Wales Code of </w:t>
            </w:r>
            <w:r w:rsidRPr="004546F7">
              <w:rPr>
                <w:rFonts w:eastAsiaTheme="majorEastAsia"/>
                <w:i/>
                <w:iCs/>
                <w:sz w:val="24"/>
                <w:szCs w:val="24"/>
              </w:rPr>
              <w:t>Practice</w:t>
            </w:r>
            <w:r w:rsidRPr="1E1E0DF4">
              <w:rPr>
                <w:sz w:val="24"/>
                <w:szCs w:val="24"/>
              </w:rPr>
              <w:t xml:space="preserve"> (SCW</w:t>
            </w:r>
            <w:r w:rsidR="00D26657">
              <w:rPr>
                <w:sz w:val="24"/>
                <w:szCs w:val="24"/>
              </w:rPr>
              <w:t>C</w:t>
            </w:r>
            <w:r w:rsidR="004546F7">
              <w:rPr>
                <w:sz w:val="24"/>
                <w:szCs w:val="24"/>
              </w:rPr>
              <w:t>P</w:t>
            </w:r>
            <w:r w:rsidRPr="1E1E0DF4">
              <w:rPr>
                <w:sz w:val="24"/>
                <w:szCs w:val="24"/>
              </w:rPr>
              <w:t>) (2017), which emphasises the importance of integrity and accountability in social work practice.</w:t>
            </w:r>
          </w:p>
          <w:p w14:paraId="2F07FBEB" w14:textId="77777777" w:rsidR="004B2873" w:rsidRDefault="004B2873" w:rsidP="00776669">
            <w:pPr>
              <w:spacing w:line="360" w:lineRule="auto"/>
              <w:rPr>
                <w:sz w:val="24"/>
                <w:szCs w:val="24"/>
              </w:rPr>
            </w:pPr>
          </w:p>
          <w:p w14:paraId="730CF9EC" w14:textId="0E449242" w:rsidR="009331B0" w:rsidRPr="00DC7A9B" w:rsidRDefault="002E57F4" w:rsidP="00776669">
            <w:pPr>
              <w:spacing w:line="360" w:lineRule="auto"/>
              <w:rPr>
                <w:sz w:val="24"/>
                <w:szCs w:val="24"/>
              </w:rPr>
            </w:pPr>
            <w:r w:rsidRPr="00DC7A9B">
              <w:rPr>
                <w:sz w:val="24"/>
                <w:szCs w:val="24"/>
              </w:rPr>
              <w:t xml:space="preserve">This task supported key learning goals from Task I, including applying assessment analysis to guide interventions, collaborating with individuals, carers, and professionals, and using professional judgment in complex </w:t>
            </w:r>
            <w:proofErr w:type="spellStart"/>
            <w:proofErr w:type="gramStart"/>
            <w:r w:rsidRPr="00DC7A9B">
              <w:rPr>
                <w:sz w:val="24"/>
                <w:szCs w:val="24"/>
              </w:rPr>
              <w:t>situations.</w:t>
            </w:r>
            <w:r w:rsidR="00776669" w:rsidRPr="00776669">
              <w:rPr>
                <w:sz w:val="24"/>
                <w:szCs w:val="24"/>
              </w:rPr>
              <w:t>Before</w:t>
            </w:r>
            <w:proofErr w:type="spellEnd"/>
            <w:proofErr w:type="gramEnd"/>
            <w:r w:rsidR="00776669" w:rsidRPr="00776669">
              <w:rPr>
                <w:sz w:val="24"/>
                <w:szCs w:val="24"/>
              </w:rPr>
              <w:t xml:space="preserve"> reflecting, I will briefly outline the individual assessed to provide context for analysis</w:t>
            </w:r>
            <w:r w:rsidR="008855A9">
              <w:rPr>
                <w:sz w:val="24"/>
                <w:szCs w:val="24"/>
              </w:rPr>
              <w:t>.</w:t>
            </w:r>
          </w:p>
          <w:p w14:paraId="759C1597" w14:textId="77777777" w:rsidR="00BA7C95" w:rsidRPr="00DC7A9B" w:rsidRDefault="00BA7C95" w:rsidP="00DC7A9B">
            <w:pPr>
              <w:spacing w:line="360" w:lineRule="auto"/>
              <w:rPr>
                <w:sz w:val="24"/>
                <w:szCs w:val="24"/>
              </w:rPr>
            </w:pPr>
          </w:p>
          <w:p w14:paraId="53DCCDB1" w14:textId="070429D6" w:rsidR="009331B0" w:rsidRPr="00DC7A9B" w:rsidRDefault="009331B0" w:rsidP="00DC7A9B">
            <w:pPr>
              <w:spacing w:line="360" w:lineRule="auto"/>
              <w:rPr>
                <w:sz w:val="24"/>
                <w:szCs w:val="24"/>
              </w:rPr>
            </w:pPr>
            <w:r w:rsidRPr="00DC7A9B">
              <w:rPr>
                <w:sz w:val="24"/>
                <w:szCs w:val="24"/>
              </w:rPr>
              <w:t xml:space="preserve">This </w:t>
            </w:r>
            <w:r w:rsidR="00914102" w:rsidRPr="00DC7A9B">
              <w:rPr>
                <w:sz w:val="24"/>
                <w:szCs w:val="24"/>
              </w:rPr>
              <w:t>case outlines</w:t>
            </w:r>
            <w:r w:rsidRPr="00DC7A9B">
              <w:rPr>
                <w:sz w:val="24"/>
                <w:szCs w:val="24"/>
              </w:rPr>
              <w:t xml:space="preserve"> a safeguarding concern involving an adult male who is currently supported by the Community Mental Health Team. For the purposes of confidentiality and in compliance with the </w:t>
            </w:r>
            <w:r w:rsidRPr="001A6C03">
              <w:rPr>
                <w:i/>
                <w:iCs/>
                <w:sz w:val="24"/>
                <w:szCs w:val="24"/>
              </w:rPr>
              <w:t>Data Protection Act 2018</w:t>
            </w:r>
            <w:r w:rsidRPr="00DC7A9B">
              <w:rPr>
                <w:sz w:val="24"/>
                <w:szCs w:val="24"/>
              </w:rPr>
              <w:t xml:space="preserve"> and </w:t>
            </w:r>
            <w:r w:rsidR="00D26657">
              <w:rPr>
                <w:sz w:val="24"/>
                <w:szCs w:val="24"/>
              </w:rPr>
              <w:t>SCWCP (2017)</w:t>
            </w:r>
            <w:r w:rsidRPr="00DC7A9B">
              <w:rPr>
                <w:sz w:val="24"/>
                <w:szCs w:val="24"/>
              </w:rPr>
              <w:t>, he will be referred to as </w:t>
            </w:r>
            <w:r w:rsidRPr="00DC7A9B">
              <w:rPr>
                <w:i/>
                <w:iCs/>
                <w:sz w:val="24"/>
                <w:szCs w:val="24"/>
              </w:rPr>
              <w:t>Two</w:t>
            </w:r>
            <w:r w:rsidRPr="00DC7A9B">
              <w:rPr>
                <w:sz w:val="24"/>
                <w:szCs w:val="24"/>
              </w:rPr>
              <w:t xml:space="preserve">. </w:t>
            </w:r>
          </w:p>
          <w:p w14:paraId="58CBDBFC" w14:textId="77777777" w:rsidR="009331B0" w:rsidRPr="00DC7A9B" w:rsidRDefault="009331B0" w:rsidP="00DC7A9B">
            <w:pPr>
              <w:spacing w:line="360" w:lineRule="auto"/>
              <w:rPr>
                <w:sz w:val="24"/>
                <w:szCs w:val="24"/>
              </w:rPr>
            </w:pPr>
          </w:p>
          <w:p w14:paraId="79EF46B4" w14:textId="77777777" w:rsidR="0078006A" w:rsidRPr="00DC7A9B" w:rsidRDefault="009331B0" w:rsidP="00DC7A9B">
            <w:pPr>
              <w:spacing w:line="360" w:lineRule="auto"/>
              <w:rPr>
                <w:sz w:val="24"/>
                <w:szCs w:val="24"/>
              </w:rPr>
            </w:pPr>
            <w:r w:rsidRPr="00DC7A9B">
              <w:rPr>
                <w:sz w:val="24"/>
                <w:szCs w:val="24"/>
              </w:rPr>
              <w:t xml:space="preserve">I am appointed as Two’s care coordinator and social worker under Part 2 of the </w:t>
            </w:r>
            <w:r w:rsidRPr="001A6C03">
              <w:rPr>
                <w:i/>
                <w:iCs/>
                <w:sz w:val="24"/>
                <w:szCs w:val="24"/>
              </w:rPr>
              <w:t>Mental</w:t>
            </w:r>
            <w:r w:rsidRPr="00DC7A9B">
              <w:rPr>
                <w:sz w:val="24"/>
                <w:szCs w:val="24"/>
              </w:rPr>
              <w:t xml:space="preserve"> </w:t>
            </w:r>
            <w:r w:rsidRPr="001A6C03">
              <w:rPr>
                <w:i/>
                <w:iCs/>
                <w:sz w:val="24"/>
                <w:szCs w:val="24"/>
              </w:rPr>
              <w:t>Health (Wales) Measure 2010</w:t>
            </w:r>
            <w:r w:rsidRPr="00DC7A9B">
              <w:rPr>
                <w:sz w:val="24"/>
                <w:szCs w:val="24"/>
              </w:rPr>
              <w:t xml:space="preserve">. This legislation requires that individuals receiving secondary mental health services are supported by a designated care coordinator, jointly provided by the local authority and health board. </w:t>
            </w:r>
          </w:p>
          <w:p w14:paraId="02E4D71E" w14:textId="77777777" w:rsidR="0078006A" w:rsidRPr="00DC7A9B" w:rsidRDefault="0078006A" w:rsidP="00DC7A9B">
            <w:pPr>
              <w:spacing w:line="360" w:lineRule="auto"/>
              <w:rPr>
                <w:sz w:val="24"/>
                <w:szCs w:val="24"/>
              </w:rPr>
            </w:pPr>
          </w:p>
          <w:p w14:paraId="1FC346D6" w14:textId="38520E0F" w:rsidR="009331B0" w:rsidRPr="00DC7A9B" w:rsidRDefault="009331B0" w:rsidP="00DC7A9B">
            <w:pPr>
              <w:spacing w:line="360" w:lineRule="auto"/>
              <w:rPr>
                <w:sz w:val="24"/>
                <w:szCs w:val="24"/>
              </w:rPr>
            </w:pPr>
            <w:r w:rsidRPr="00DC7A9B">
              <w:rPr>
                <w:sz w:val="24"/>
                <w:szCs w:val="24"/>
              </w:rPr>
              <w:t>According to Public Health Wales</w:t>
            </w:r>
            <w:r w:rsidR="00C009ED">
              <w:rPr>
                <w:sz w:val="24"/>
                <w:szCs w:val="24"/>
              </w:rPr>
              <w:t xml:space="preserve"> (</w:t>
            </w:r>
            <w:r w:rsidR="00E40B5F">
              <w:rPr>
                <w:sz w:val="24"/>
                <w:szCs w:val="24"/>
              </w:rPr>
              <w:t>2025</w:t>
            </w:r>
            <w:r w:rsidR="0034115E">
              <w:rPr>
                <w:sz w:val="24"/>
                <w:szCs w:val="24"/>
              </w:rPr>
              <w:t xml:space="preserve">) </w:t>
            </w:r>
            <w:r w:rsidRPr="00DC7A9B">
              <w:rPr>
                <w:sz w:val="24"/>
                <w:szCs w:val="24"/>
              </w:rPr>
              <w:t>one in four adults in Wales reported experiencing a mental health condition in the past year. Furthermore, hospital admissions for mental health-related conditions increased by 8% between 2023 and 2024, highlighting the growing demand for mental health support services.</w:t>
            </w:r>
          </w:p>
          <w:p w14:paraId="218155FD" w14:textId="77777777" w:rsidR="009331B0" w:rsidRPr="00DC7A9B" w:rsidRDefault="009331B0" w:rsidP="00DC7A9B">
            <w:pPr>
              <w:spacing w:line="360" w:lineRule="auto"/>
              <w:rPr>
                <w:sz w:val="24"/>
                <w:szCs w:val="24"/>
              </w:rPr>
            </w:pPr>
            <w:r w:rsidRPr="00DC7A9B">
              <w:rPr>
                <w:sz w:val="24"/>
                <w:szCs w:val="24"/>
              </w:rPr>
              <w:t xml:space="preserve"> </w:t>
            </w:r>
          </w:p>
          <w:p w14:paraId="79CC8101" w14:textId="331FBD5C" w:rsidR="009331B0" w:rsidRPr="00DC7A9B" w:rsidRDefault="009331B0" w:rsidP="00DC7A9B">
            <w:pPr>
              <w:spacing w:line="360" w:lineRule="auto"/>
              <w:rPr>
                <w:sz w:val="24"/>
                <w:szCs w:val="24"/>
              </w:rPr>
            </w:pPr>
            <w:r w:rsidRPr="1E1E0DF4">
              <w:rPr>
                <w:sz w:val="24"/>
                <w:szCs w:val="24"/>
              </w:rPr>
              <w:t>Two is a 65-year-old gentleman who has a mental health diagnosis. Two has spent his life as an academic and a published author. After retiring, he enjoyed volunteering and attending various sporting events in his community. He has had two significant mental health relapse</w:t>
            </w:r>
            <w:r w:rsidR="0E645006" w:rsidRPr="1E1E0DF4">
              <w:rPr>
                <w:sz w:val="24"/>
                <w:szCs w:val="24"/>
              </w:rPr>
              <w:t>s</w:t>
            </w:r>
            <w:r w:rsidRPr="1E1E0DF4">
              <w:rPr>
                <w:sz w:val="24"/>
                <w:szCs w:val="24"/>
              </w:rPr>
              <w:t xml:space="preserve"> several years ago which caused distress to Two, his relationship and his family dynamics. On one of his relapse</w:t>
            </w:r>
            <w:r w:rsidR="3B935184" w:rsidRPr="1E1E0DF4">
              <w:rPr>
                <w:sz w:val="24"/>
                <w:szCs w:val="24"/>
              </w:rPr>
              <w:t>s</w:t>
            </w:r>
            <w:r w:rsidRPr="1E1E0DF4">
              <w:rPr>
                <w:sz w:val="24"/>
                <w:szCs w:val="24"/>
              </w:rPr>
              <w:t xml:space="preserve"> Two spend a significant amount of money and as a result he appointed his sister as lasting power of attorney.</w:t>
            </w:r>
          </w:p>
          <w:p w14:paraId="357E091C" w14:textId="77777777" w:rsidR="009331B0" w:rsidRPr="00DC7A9B" w:rsidRDefault="009331B0" w:rsidP="00DC7A9B">
            <w:pPr>
              <w:spacing w:line="360" w:lineRule="auto"/>
              <w:rPr>
                <w:sz w:val="24"/>
                <w:szCs w:val="24"/>
              </w:rPr>
            </w:pPr>
          </w:p>
          <w:p w14:paraId="3F3059DA" w14:textId="48860304" w:rsidR="009331B0" w:rsidRPr="00DC7A9B" w:rsidRDefault="009331B0" w:rsidP="00DC7A9B">
            <w:pPr>
              <w:spacing w:line="360" w:lineRule="auto"/>
              <w:rPr>
                <w:sz w:val="24"/>
                <w:szCs w:val="24"/>
              </w:rPr>
            </w:pPr>
            <w:r w:rsidRPr="1E1E0DF4">
              <w:rPr>
                <w:sz w:val="24"/>
                <w:szCs w:val="24"/>
              </w:rPr>
              <w:t>Two lived independently in a one-bedroom ground floor flat in Wales. As well as a mental health diagnosis</w:t>
            </w:r>
            <w:r w:rsidR="009A0979">
              <w:rPr>
                <w:sz w:val="24"/>
                <w:szCs w:val="24"/>
              </w:rPr>
              <w:t xml:space="preserve">, which will not be identified </w:t>
            </w:r>
            <w:r w:rsidR="000726AD">
              <w:rPr>
                <w:sz w:val="24"/>
                <w:szCs w:val="24"/>
              </w:rPr>
              <w:t xml:space="preserve">in this task to promote his </w:t>
            </w:r>
            <w:proofErr w:type="gramStart"/>
            <w:r w:rsidR="000726AD">
              <w:rPr>
                <w:sz w:val="24"/>
                <w:szCs w:val="24"/>
              </w:rPr>
              <w:t xml:space="preserve">identity, </w:t>
            </w:r>
            <w:r w:rsidRPr="1E1E0DF4">
              <w:rPr>
                <w:sz w:val="24"/>
                <w:szCs w:val="24"/>
              </w:rPr>
              <w:t xml:space="preserve"> he</w:t>
            </w:r>
            <w:proofErr w:type="gramEnd"/>
            <w:r w:rsidRPr="1E1E0DF4">
              <w:rPr>
                <w:sz w:val="24"/>
                <w:szCs w:val="24"/>
              </w:rPr>
              <w:t xml:space="preserve"> also has Parkinson’s and as a result there have been mobility concerns. Two has fallen inside his flat and has cut the back of his head. Two has also fallen whilst in the community. An additional complicated factor was that it was recorded that </w:t>
            </w:r>
            <w:r w:rsidR="006B7EF8" w:rsidRPr="1E1E0DF4">
              <w:rPr>
                <w:sz w:val="24"/>
                <w:szCs w:val="24"/>
              </w:rPr>
              <w:t>T</w:t>
            </w:r>
            <w:r w:rsidRPr="1E1E0DF4">
              <w:rPr>
                <w:sz w:val="24"/>
                <w:szCs w:val="24"/>
              </w:rPr>
              <w:t>wo liked to drink several bottles of wine a day which also increased his risk of falling.  Two continues to d</w:t>
            </w:r>
            <w:r w:rsidR="2DB2163A" w:rsidRPr="1E1E0DF4">
              <w:rPr>
                <w:sz w:val="24"/>
                <w:szCs w:val="24"/>
              </w:rPr>
              <w:t>ispute</w:t>
            </w:r>
            <w:r w:rsidRPr="1E1E0DF4">
              <w:rPr>
                <w:sz w:val="24"/>
                <w:szCs w:val="24"/>
              </w:rPr>
              <w:t xml:space="preserve"> that he has a drinking problem even though his family have also informed professionals of the drinking concern. </w:t>
            </w:r>
          </w:p>
          <w:p w14:paraId="3CF3E280" w14:textId="77777777" w:rsidR="009331B0" w:rsidRPr="00DC7A9B" w:rsidRDefault="009331B0" w:rsidP="00DC7A9B">
            <w:pPr>
              <w:spacing w:line="360" w:lineRule="auto"/>
              <w:rPr>
                <w:sz w:val="24"/>
                <w:szCs w:val="24"/>
              </w:rPr>
            </w:pPr>
          </w:p>
          <w:p w14:paraId="73F173E1" w14:textId="369312CD" w:rsidR="00B05946" w:rsidRPr="000E4573" w:rsidRDefault="009331B0" w:rsidP="00DC7A9B">
            <w:pPr>
              <w:spacing w:line="360" w:lineRule="auto"/>
              <w:rPr>
                <w:color w:val="000000" w:themeColor="text1"/>
                <w:sz w:val="24"/>
                <w:szCs w:val="24"/>
              </w:rPr>
            </w:pPr>
            <w:r w:rsidRPr="1E1E0DF4">
              <w:rPr>
                <w:color w:val="000000" w:themeColor="text1"/>
                <w:sz w:val="24"/>
                <w:szCs w:val="24"/>
              </w:rPr>
              <w:t xml:space="preserve">Whilst still residing at his home he had </w:t>
            </w:r>
            <w:r w:rsidR="005A41FE">
              <w:rPr>
                <w:color w:val="000000" w:themeColor="text1"/>
                <w:sz w:val="24"/>
                <w:szCs w:val="24"/>
              </w:rPr>
              <w:t>d</w:t>
            </w:r>
            <w:r w:rsidRPr="1E1E0DF4">
              <w:rPr>
                <w:color w:val="000000" w:themeColor="text1"/>
                <w:sz w:val="24"/>
                <w:szCs w:val="24"/>
              </w:rPr>
              <w:t xml:space="preserve">omiciliary </w:t>
            </w:r>
            <w:r w:rsidR="005A41FE">
              <w:rPr>
                <w:color w:val="000000" w:themeColor="text1"/>
                <w:sz w:val="24"/>
                <w:szCs w:val="24"/>
              </w:rPr>
              <w:t>c</w:t>
            </w:r>
            <w:r w:rsidRPr="1E1E0DF4">
              <w:rPr>
                <w:color w:val="000000" w:themeColor="text1"/>
                <w:sz w:val="24"/>
                <w:szCs w:val="24"/>
              </w:rPr>
              <w:t xml:space="preserve">are </w:t>
            </w:r>
            <w:r w:rsidR="005A41FE">
              <w:rPr>
                <w:color w:val="000000" w:themeColor="text1"/>
                <w:sz w:val="24"/>
                <w:szCs w:val="24"/>
              </w:rPr>
              <w:t>s</w:t>
            </w:r>
            <w:r w:rsidRPr="1E1E0DF4">
              <w:rPr>
                <w:color w:val="000000" w:themeColor="text1"/>
                <w:sz w:val="24"/>
                <w:szCs w:val="24"/>
              </w:rPr>
              <w:t xml:space="preserve">ervices involved daily. The agreed hours were Monday to Sunday two </w:t>
            </w:r>
            <w:r w:rsidR="00A76C6D" w:rsidRPr="1E1E0DF4">
              <w:rPr>
                <w:color w:val="000000" w:themeColor="text1"/>
                <w:sz w:val="24"/>
                <w:szCs w:val="24"/>
              </w:rPr>
              <w:t>visit</w:t>
            </w:r>
            <w:r w:rsidR="61D9921E" w:rsidRPr="1E1E0DF4">
              <w:rPr>
                <w:color w:val="000000" w:themeColor="text1"/>
                <w:sz w:val="24"/>
                <w:szCs w:val="24"/>
              </w:rPr>
              <w:t>s</w:t>
            </w:r>
            <w:r w:rsidR="00A76C6D" w:rsidRPr="1E1E0DF4">
              <w:rPr>
                <w:color w:val="000000" w:themeColor="text1"/>
                <w:sz w:val="24"/>
                <w:szCs w:val="24"/>
              </w:rPr>
              <w:t xml:space="preserve"> of</w:t>
            </w:r>
            <w:r w:rsidRPr="1E1E0DF4">
              <w:rPr>
                <w:color w:val="000000" w:themeColor="text1"/>
                <w:sz w:val="24"/>
                <w:szCs w:val="24"/>
              </w:rPr>
              <w:t xml:space="preserve"> half hour per day, one in the morning and one in the late afternoon. The predominant feature of these calls was for medication management, physical support, diet management, social support</w:t>
            </w:r>
            <w:r w:rsidR="56B01850" w:rsidRPr="1E1E0DF4">
              <w:rPr>
                <w:color w:val="000000" w:themeColor="text1"/>
                <w:sz w:val="24"/>
                <w:szCs w:val="24"/>
              </w:rPr>
              <w:t xml:space="preserve"> and</w:t>
            </w:r>
            <w:r w:rsidRPr="1E1E0DF4">
              <w:rPr>
                <w:color w:val="000000" w:themeColor="text1"/>
                <w:sz w:val="24"/>
                <w:szCs w:val="24"/>
              </w:rPr>
              <w:t xml:space="preserve"> mental health support. </w:t>
            </w:r>
            <w:r w:rsidR="00D02873" w:rsidRPr="1E1E0DF4">
              <w:rPr>
                <w:color w:val="000000" w:themeColor="text1"/>
                <w:sz w:val="24"/>
                <w:szCs w:val="24"/>
              </w:rPr>
              <w:t xml:space="preserve">Domiciliary Care staff raised concerns regarding the individual's frequent falls and alcohol consumption. </w:t>
            </w:r>
            <w:r w:rsidR="00D02873" w:rsidRPr="1E1E0DF4">
              <w:rPr>
                <w:color w:val="000000" w:themeColor="text1"/>
                <w:sz w:val="24"/>
                <w:szCs w:val="24"/>
              </w:rPr>
              <w:lastRenderedPageBreak/>
              <w:t>These concerns were reported to both the care coordinator and the safeguarding team, in line with statutory guidance under Part 7 of the </w:t>
            </w:r>
            <w:r w:rsidR="00D02873" w:rsidRPr="004546F7">
              <w:rPr>
                <w:i/>
                <w:iCs/>
                <w:color w:val="000000" w:themeColor="text1"/>
                <w:sz w:val="24"/>
                <w:szCs w:val="24"/>
              </w:rPr>
              <w:t>Social</w:t>
            </w:r>
            <w:r w:rsidR="00D02873" w:rsidRPr="1E1E0DF4">
              <w:rPr>
                <w:color w:val="000000" w:themeColor="text1"/>
                <w:sz w:val="24"/>
                <w:szCs w:val="24"/>
              </w:rPr>
              <w:t xml:space="preserve"> </w:t>
            </w:r>
            <w:r w:rsidR="00D02873" w:rsidRPr="004546F7">
              <w:rPr>
                <w:i/>
                <w:iCs/>
                <w:color w:val="000000" w:themeColor="text1"/>
                <w:sz w:val="24"/>
                <w:szCs w:val="24"/>
              </w:rPr>
              <w:t>Services and Well-being (Wales)</w:t>
            </w:r>
            <w:r w:rsidR="005B2278">
              <w:rPr>
                <w:i/>
                <w:iCs/>
                <w:color w:val="000000" w:themeColor="text1"/>
                <w:sz w:val="24"/>
                <w:szCs w:val="24"/>
              </w:rPr>
              <w:t xml:space="preserve"> </w:t>
            </w:r>
            <w:r w:rsidR="00D02873" w:rsidRPr="1E1E0DF4">
              <w:rPr>
                <w:i/>
                <w:iCs/>
                <w:color w:val="000000" w:themeColor="text1"/>
                <w:sz w:val="24"/>
                <w:szCs w:val="24"/>
              </w:rPr>
              <w:t xml:space="preserve">Act </w:t>
            </w:r>
            <w:r w:rsidR="005B2278" w:rsidRPr="005B2278">
              <w:rPr>
                <w:i/>
                <w:iCs/>
                <w:color w:val="000000" w:themeColor="text1"/>
                <w:sz w:val="24"/>
                <w:szCs w:val="24"/>
              </w:rPr>
              <w:t>(SSWWA</w:t>
            </w:r>
            <w:r w:rsidR="005B2278">
              <w:rPr>
                <w:i/>
                <w:iCs/>
                <w:color w:val="000000" w:themeColor="text1"/>
                <w:sz w:val="24"/>
                <w:szCs w:val="24"/>
              </w:rPr>
              <w:t>)</w:t>
            </w:r>
            <w:r w:rsidR="005B2278" w:rsidRPr="005B2278">
              <w:rPr>
                <w:i/>
                <w:iCs/>
                <w:color w:val="000000" w:themeColor="text1"/>
                <w:sz w:val="24"/>
                <w:szCs w:val="24"/>
              </w:rPr>
              <w:t xml:space="preserve"> </w:t>
            </w:r>
            <w:r w:rsidR="00D02873" w:rsidRPr="1E1E0DF4">
              <w:rPr>
                <w:i/>
                <w:iCs/>
                <w:color w:val="000000" w:themeColor="text1"/>
                <w:sz w:val="24"/>
                <w:szCs w:val="24"/>
              </w:rPr>
              <w:t>2014</w:t>
            </w:r>
            <w:r w:rsidR="00D02873" w:rsidRPr="1E1E0DF4">
              <w:rPr>
                <w:color w:val="000000" w:themeColor="text1"/>
                <w:sz w:val="24"/>
                <w:szCs w:val="24"/>
              </w:rPr>
              <w:t>.</w:t>
            </w:r>
            <w:r w:rsidR="4DE30000" w:rsidRPr="1E1E0DF4">
              <w:rPr>
                <w:color w:val="000000" w:themeColor="text1"/>
                <w:sz w:val="24"/>
                <w:szCs w:val="24"/>
              </w:rPr>
              <w:t xml:space="preserve"> </w:t>
            </w:r>
            <w:r w:rsidR="00D02873" w:rsidRPr="1E1E0DF4">
              <w:rPr>
                <w:color w:val="000000" w:themeColor="text1"/>
                <w:sz w:val="24"/>
                <w:szCs w:val="24"/>
              </w:rPr>
              <w:t>According to Section 128 of the Act, all professionals have a duty to report adults at risk. Additionally, Section 126 outlines the duty to make enquiries where there is reasonable cause to suspect that an adult is at risk. Consent from the adult is required to proceed with safeguarding enquiries unless the individual lacks mental capacity.</w:t>
            </w:r>
          </w:p>
          <w:p w14:paraId="7E865B0F" w14:textId="77777777" w:rsidR="00B05946" w:rsidRPr="000E4573" w:rsidRDefault="00B05946" w:rsidP="00DC7A9B">
            <w:pPr>
              <w:spacing w:line="360" w:lineRule="auto"/>
              <w:rPr>
                <w:color w:val="FF0000"/>
                <w:sz w:val="24"/>
                <w:szCs w:val="24"/>
              </w:rPr>
            </w:pPr>
          </w:p>
          <w:p w14:paraId="73452E53" w14:textId="453AAC02" w:rsidR="009331B0" w:rsidRPr="000E4573" w:rsidRDefault="009331B0" w:rsidP="00DC7A9B">
            <w:pPr>
              <w:spacing w:line="360" w:lineRule="auto"/>
              <w:rPr>
                <w:color w:val="FF0000"/>
                <w:sz w:val="24"/>
                <w:szCs w:val="24"/>
              </w:rPr>
            </w:pPr>
            <w:r w:rsidRPr="000E4573">
              <w:rPr>
                <w:sz w:val="24"/>
                <w:szCs w:val="24"/>
              </w:rPr>
              <w:t>From a safeguarding perspective, the concerns raised by domiciliary care staff are consistent with indicators of self-neglect, as outlined in the Wales Safeguarding Procedures</w:t>
            </w:r>
            <w:r w:rsidR="00677578">
              <w:rPr>
                <w:sz w:val="24"/>
                <w:szCs w:val="24"/>
              </w:rPr>
              <w:t xml:space="preserve"> (</w:t>
            </w:r>
            <w:proofErr w:type="gramStart"/>
            <w:r w:rsidR="00677578">
              <w:rPr>
                <w:sz w:val="24"/>
                <w:szCs w:val="24"/>
              </w:rPr>
              <w:t xml:space="preserve">WSP) </w:t>
            </w:r>
            <w:r w:rsidRPr="000E4573">
              <w:rPr>
                <w:sz w:val="24"/>
                <w:szCs w:val="24"/>
              </w:rPr>
              <w:t xml:space="preserve"> (</w:t>
            </w:r>
            <w:proofErr w:type="gramEnd"/>
            <w:r w:rsidRPr="000E4573">
              <w:rPr>
                <w:sz w:val="24"/>
                <w:szCs w:val="24"/>
              </w:rPr>
              <w:t>Social Care Wales, 20</w:t>
            </w:r>
            <w:r w:rsidR="00890948" w:rsidRPr="000E4573">
              <w:rPr>
                <w:sz w:val="24"/>
                <w:szCs w:val="24"/>
              </w:rPr>
              <w:t>19</w:t>
            </w:r>
            <w:r w:rsidRPr="000E4573">
              <w:rPr>
                <w:sz w:val="24"/>
                <w:szCs w:val="24"/>
              </w:rPr>
              <w:t>).  These procedures are aligned with the</w:t>
            </w:r>
            <w:r w:rsidR="0075611C">
              <w:rPr>
                <w:sz w:val="24"/>
                <w:szCs w:val="24"/>
              </w:rPr>
              <w:t xml:space="preserve"> </w:t>
            </w:r>
            <w:r w:rsidR="00BF4373">
              <w:rPr>
                <w:i/>
                <w:iCs/>
                <w:sz w:val="24"/>
                <w:szCs w:val="24"/>
              </w:rPr>
              <w:t>SSWWA</w:t>
            </w:r>
            <w:r w:rsidRPr="004546F7">
              <w:rPr>
                <w:i/>
                <w:iCs/>
                <w:sz w:val="24"/>
                <w:szCs w:val="24"/>
              </w:rPr>
              <w:t xml:space="preserve"> Act 2014</w:t>
            </w:r>
            <w:r w:rsidRPr="000E4573">
              <w:rPr>
                <w:sz w:val="24"/>
                <w:szCs w:val="24"/>
              </w:rPr>
              <w:t xml:space="preserve">, Part </w:t>
            </w:r>
            <w:r w:rsidR="00952ED3" w:rsidRPr="000E4573">
              <w:rPr>
                <w:sz w:val="24"/>
                <w:szCs w:val="24"/>
              </w:rPr>
              <w:t>7.</w:t>
            </w:r>
          </w:p>
          <w:p w14:paraId="7985BCBF" w14:textId="77777777" w:rsidR="003A3C1F" w:rsidRDefault="003A3C1F" w:rsidP="00DC7A9B">
            <w:pPr>
              <w:spacing w:line="360" w:lineRule="auto"/>
              <w:rPr>
                <w:sz w:val="24"/>
                <w:szCs w:val="24"/>
              </w:rPr>
            </w:pPr>
          </w:p>
          <w:p w14:paraId="77F7D4DB" w14:textId="13A1E7C2" w:rsidR="0054283D" w:rsidRDefault="0054283D" w:rsidP="00DC7A9B">
            <w:pPr>
              <w:spacing w:line="360" w:lineRule="auto"/>
              <w:rPr>
                <w:sz w:val="24"/>
                <w:szCs w:val="24"/>
              </w:rPr>
            </w:pPr>
            <w:r w:rsidRPr="0054283D">
              <w:rPr>
                <w:sz w:val="24"/>
                <w:szCs w:val="24"/>
              </w:rPr>
              <w:t xml:space="preserve">Two was allocated to me due to an ongoing Court of Protection case regarding his accommodation and care arrangements. My role involved exploring </w:t>
            </w:r>
            <w:proofErr w:type="gramStart"/>
            <w:r w:rsidRPr="0054283D">
              <w:rPr>
                <w:sz w:val="24"/>
                <w:szCs w:val="24"/>
              </w:rPr>
              <w:t xml:space="preserve">suitable </w:t>
            </w:r>
            <w:r w:rsidR="00D77F06">
              <w:rPr>
                <w:sz w:val="24"/>
                <w:szCs w:val="24"/>
              </w:rPr>
              <w:t xml:space="preserve"> </w:t>
            </w:r>
            <w:r w:rsidRPr="0054283D">
              <w:rPr>
                <w:sz w:val="24"/>
                <w:szCs w:val="24"/>
              </w:rPr>
              <w:t>community</w:t>
            </w:r>
            <w:proofErr w:type="gramEnd"/>
            <w:r w:rsidR="00C037B5">
              <w:rPr>
                <w:sz w:val="24"/>
                <w:szCs w:val="24"/>
              </w:rPr>
              <w:t xml:space="preserve"> </w:t>
            </w:r>
            <w:proofErr w:type="gramStart"/>
            <w:r w:rsidR="00C037B5">
              <w:rPr>
                <w:sz w:val="24"/>
                <w:szCs w:val="24"/>
              </w:rPr>
              <w:t xml:space="preserve">support  </w:t>
            </w:r>
            <w:r w:rsidRPr="0054283D">
              <w:rPr>
                <w:sz w:val="24"/>
                <w:szCs w:val="24"/>
              </w:rPr>
              <w:t>options</w:t>
            </w:r>
            <w:proofErr w:type="gramEnd"/>
            <w:r w:rsidRPr="0054283D">
              <w:rPr>
                <w:sz w:val="24"/>
                <w:szCs w:val="24"/>
              </w:rPr>
              <w:t xml:space="preserve">, assessing and mitigating associated risks, and preparing a statement for the Court on behalf of the local authority. This was particularly significant as Two </w:t>
            </w:r>
            <w:proofErr w:type="gramStart"/>
            <w:r w:rsidRPr="0054283D">
              <w:rPr>
                <w:sz w:val="24"/>
                <w:szCs w:val="24"/>
              </w:rPr>
              <w:t>had  been</w:t>
            </w:r>
            <w:proofErr w:type="gramEnd"/>
            <w:r w:rsidRPr="0054283D">
              <w:rPr>
                <w:sz w:val="24"/>
                <w:szCs w:val="24"/>
              </w:rPr>
              <w:t xml:space="preserve"> moved </w:t>
            </w:r>
            <w:proofErr w:type="gramStart"/>
            <w:r w:rsidRPr="0054283D">
              <w:rPr>
                <w:sz w:val="24"/>
                <w:szCs w:val="24"/>
              </w:rPr>
              <w:t xml:space="preserve">into </w:t>
            </w:r>
            <w:r w:rsidR="007B705C">
              <w:rPr>
                <w:sz w:val="24"/>
                <w:szCs w:val="24"/>
              </w:rPr>
              <w:t xml:space="preserve"> supported</w:t>
            </w:r>
            <w:proofErr w:type="gramEnd"/>
            <w:r w:rsidR="007B705C">
              <w:rPr>
                <w:sz w:val="24"/>
                <w:szCs w:val="24"/>
              </w:rPr>
              <w:t xml:space="preserve"> accommodation </w:t>
            </w:r>
            <w:r w:rsidRPr="0054283D">
              <w:rPr>
                <w:sz w:val="24"/>
                <w:szCs w:val="24"/>
              </w:rPr>
              <w:t>without his knowledge, following the use of therapeutic deception by his former care coordinator, a psychiatric nurse, to facilitate the transition into supported living.</w:t>
            </w:r>
          </w:p>
          <w:p w14:paraId="1939D644" w14:textId="77777777" w:rsidR="0054283D" w:rsidRDefault="0054283D" w:rsidP="00DC7A9B">
            <w:pPr>
              <w:spacing w:line="360" w:lineRule="auto"/>
              <w:rPr>
                <w:sz w:val="24"/>
                <w:szCs w:val="24"/>
              </w:rPr>
            </w:pPr>
          </w:p>
          <w:p w14:paraId="1F61ECD7" w14:textId="14F797C2" w:rsidR="009331B0" w:rsidRPr="000E4573" w:rsidRDefault="009331B0" w:rsidP="00DC7A9B">
            <w:pPr>
              <w:spacing w:line="360" w:lineRule="auto"/>
              <w:rPr>
                <w:sz w:val="24"/>
                <w:szCs w:val="24"/>
              </w:rPr>
            </w:pPr>
            <w:r w:rsidRPr="1E1E0DF4">
              <w:rPr>
                <w:sz w:val="24"/>
                <w:szCs w:val="24"/>
              </w:rPr>
              <w:t>According to the Royal College of Psychiatry (2018), therapeutic deception in mental health refers to the intentional distortion of truth by professionals to protect a patient’s emotional well-being. While this approach may be justified in cases involving dementia or acute psychosis, it raises ethical concerns regarding autonomy, trust, and professional integrity (Banks, 2012</w:t>
            </w:r>
            <w:r w:rsidR="002F03FB" w:rsidRPr="1E1E0DF4">
              <w:rPr>
                <w:sz w:val="24"/>
                <w:szCs w:val="24"/>
              </w:rPr>
              <w:t>).</w:t>
            </w:r>
            <w:r w:rsidRPr="1E1E0DF4">
              <w:rPr>
                <w:sz w:val="24"/>
                <w:szCs w:val="24"/>
              </w:rPr>
              <w:t xml:space="preserve"> In this case, therapeutic deception was used to reduce distress and resistance during the relocation process, with the aim of promoting Two’s long-term safety and well-being. </w:t>
            </w:r>
          </w:p>
          <w:p w14:paraId="0AC7BF7D" w14:textId="77777777" w:rsidR="009331B0" w:rsidRPr="000E4573" w:rsidRDefault="009331B0" w:rsidP="00DC7A9B">
            <w:pPr>
              <w:spacing w:line="360" w:lineRule="auto"/>
              <w:rPr>
                <w:sz w:val="24"/>
                <w:szCs w:val="24"/>
              </w:rPr>
            </w:pPr>
          </w:p>
          <w:p w14:paraId="2F479BCC" w14:textId="77777777" w:rsidR="00877A27" w:rsidRDefault="00877A27" w:rsidP="1E1E0DF4">
            <w:pPr>
              <w:spacing w:line="360" w:lineRule="auto"/>
              <w:rPr>
                <w:color w:val="70AD47" w:themeColor="accent6"/>
                <w:sz w:val="24"/>
                <w:szCs w:val="24"/>
              </w:rPr>
            </w:pPr>
          </w:p>
          <w:p w14:paraId="4ED43ABE" w14:textId="7514F1B4" w:rsidR="006B4033" w:rsidRPr="0003189A" w:rsidRDefault="00877A27" w:rsidP="1E1E0DF4">
            <w:pPr>
              <w:spacing w:line="360" w:lineRule="auto"/>
              <w:rPr>
                <w:color w:val="auto"/>
                <w:sz w:val="24"/>
                <w:szCs w:val="24"/>
              </w:rPr>
            </w:pPr>
            <w:r w:rsidRPr="0003189A">
              <w:rPr>
                <w:color w:val="auto"/>
                <w:sz w:val="24"/>
                <w:szCs w:val="24"/>
              </w:rPr>
              <w:t xml:space="preserve">Two was assessed as lacking capacity to make decisions </w:t>
            </w:r>
            <w:proofErr w:type="gramStart"/>
            <w:r w:rsidRPr="0003189A">
              <w:rPr>
                <w:color w:val="auto"/>
                <w:sz w:val="24"/>
                <w:szCs w:val="24"/>
              </w:rPr>
              <w:t xml:space="preserve">regarding </w:t>
            </w:r>
            <w:r w:rsidR="00821E1A" w:rsidRPr="0003189A">
              <w:rPr>
                <w:color w:val="auto"/>
                <w:sz w:val="24"/>
                <w:szCs w:val="24"/>
              </w:rPr>
              <w:t xml:space="preserve"> his</w:t>
            </w:r>
            <w:proofErr w:type="gramEnd"/>
            <w:r w:rsidR="00821E1A" w:rsidRPr="0003189A">
              <w:rPr>
                <w:color w:val="auto"/>
                <w:sz w:val="24"/>
                <w:szCs w:val="24"/>
              </w:rPr>
              <w:t xml:space="preserve"> </w:t>
            </w:r>
            <w:r w:rsidRPr="0003189A">
              <w:rPr>
                <w:color w:val="auto"/>
                <w:sz w:val="24"/>
                <w:szCs w:val="24"/>
              </w:rPr>
              <w:t xml:space="preserve">accommodation and financial matters. </w:t>
            </w:r>
            <w:r w:rsidR="0059172C" w:rsidRPr="0003189A">
              <w:rPr>
                <w:color w:val="auto"/>
                <w:sz w:val="24"/>
                <w:szCs w:val="24"/>
              </w:rPr>
              <w:t xml:space="preserve"> Two’s </w:t>
            </w:r>
            <w:r w:rsidR="0038569D" w:rsidRPr="0003189A">
              <w:rPr>
                <w:color w:val="auto"/>
                <w:sz w:val="24"/>
                <w:szCs w:val="24"/>
              </w:rPr>
              <w:t>n</w:t>
            </w:r>
            <w:r w:rsidRPr="0003189A">
              <w:rPr>
                <w:color w:val="auto"/>
                <w:sz w:val="24"/>
                <w:szCs w:val="24"/>
              </w:rPr>
              <w:t>euroimaging (CT and MRI) indicated</w:t>
            </w:r>
            <w:r w:rsidR="0038569D" w:rsidRPr="0003189A">
              <w:rPr>
                <w:color w:val="auto"/>
                <w:sz w:val="24"/>
                <w:szCs w:val="24"/>
              </w:rPr>
              <w:t xml:space="preserve"> that he </w:t>
            </w:r>
            <w:proofErr w:type="gramStart"/>
            <w:r w:rsidR="0038569D" w:rsidRPr="0003189A">
              <w:rPr>
                <w:color w:val="auto"/>
                <w:sz w:val="24"/>
                <w:szCs w:val="24"/>
              </w:rPr>
              <w:t xml:space="preserve">had </w:t>
            </w:r>
            <w:r w:rsidRPr="0003189A">
              <w:rPr>
                <w:color w:val="auto"/>
                <w:sz w:val="24"/>
                <w:szCs w:val="24"/>
              </w:rPr>
              <w:t xml:space="preserve"> frontal</w:t>
            </w:r>
            <w:proofErr w:type="gramEnd"/>
            <w:r w:rsidRPr="0003189A">
              <w:rPr>
                <w:color w:val="auto"/>
                <w:sz w:val="24"/>
                <w:szCs w:val="24"/>
              </w:rPr>
              <w:t xml:space="preserve"> lobe </w:t>
            </w:r>
            <w:r w:rsidRPr="0003189A">
              <w:rPr>
                <w:color w:val="auto"/>
                <w:sz w:val="24"/>
                <w:szCs w:val="24"/>
              </w:rPr>
              <w:lastRenderedPageBreak/>
              <w:t xml:space="preserve">atrophy and a traumatic brain injury affecting the temporal lobe, consistent with deficits in short-term memory and executive functioning (Wen et al., 2025). Due to his strong rapport with domiciliary care staff, they accompanied him to the supported placement under the </w:t>
            </w:r>
            <w:proofErr w:type="spellStart"/>
            <w:r w:rsidRPr="0003189A">
              <w:rPr>
                <w:color w:val="auto"/>
                <w:sz w:val="24"/>
                <w:szCs w:val="24"/>
              </w:rPr>
              <w:t>pretense</w:t>
            </w:r>
            <w:proofErr w:type="spellEnd"/>
            <w:r w:rsidRPr="0003189A">
              <w:rPr>
                <w:color w:val="auto"/>
                <w:sz w:val="24"/>
                <w:szCs w:val="24"/>
              </w:rPr>
              <w:t xml:space="preserve"> of a short visit. Upon arrival, he was informed that he would be residing there. His mental health advocate was notified after the </w:t>
            </w:r>
            <w:proofErr w:type="spellStart"/>
            <w:proofErr w:type="gramStart"/>
            <w:r w:rsidRPr="0003189A">
              <w:rPr>
                <w:color w:val="auto"/>
                <w:sz w:val="24"/>
                <w:szCs w:val="24"/>
              </w:rPr>
              <w:t>relocation.</w:t>
            </w:r>
            <w:r w:rsidR="00E147F3" w:rsidRPr="0003189A">
              <w:rPr>
                <w:color w:val="auto"/>
                <w:sz w:val="24"/>
                <w:szCs w:val="24"/>
              </w:rPr>
              <w:t>The</w:t>
            </w:r>
            <w:proofErr w:type="spellEnd"/>
            <w:proofErr w:type="gramEnd"/>
            <w:r w:rsidR="00E147F3" w:rsidRPr="0003189A">
              <w:rPr>
                <w:color w:val="auto"/>
                <w:sz w:val="24"/>
                <w:szCs w:val="24"/>
              </w:rPr>
              <w:t xml:space="preserve"> Mental </w:t>
            </w:r>
            <w:r w:rsidR="00650F61" w:rsidRPr="0003189A">
              <w:rPr>
                <w:color w:val="auto"/>
                <w:sz w:val="24"/>
                <w:szCs w:val="24"/>
              </w:rPr>
              <w:t xml:space="preserve">Capacity </w:t>
            </w:r>
            <w:proofErr w:type="gramStart"/>
            <w:r w:rsidR="00650F61" w:rsidRPr="0003189A">
              <w:rPr>
                <w:color w:val="auto"/>
                <w:sz w:val="24"/>
                <w:szCs w:val="24"/>
              </w:rPr>
              <w:t>A</w:t>
            </w:r>
            <w:r w:rsidR="00E147F3" w:rsidRPr="0003189A">
              <w:rPr>
                <w:color w:val="auto"/>
                <w:sz w:val="24"/>
                <w:szCs w:val="24"/>
              </w:rPr>
              <w:t xml:space="preserve">ct </w:t>
            </w:r>
            <w:r w:rsidR="00650F61" w:rsidRPr="0003189A">
              <w:rPr>
                <w:color w:val="auto"/>
                <w:sz w:val="24"/>
                <w:szCs w:val="24"/>
              </w:rPr>
              <w:t xml:space="preserve"> (</w:t>
            </w:r>
            <w:proofErr w:type="gramEnd"/>
            <w:r w:rsidR="00650F61" w:rsidRPr="0003189A">
              <w:rPr>
                <w:color w:val="auto"/>
                <w:sz w:val="24"/>
                <w:szCs w:val="24"/>
              </w:rPr>
              <w:t xml:space="preserve">MCA) </w:t>
            </w:r>
            <w:r w:rsidR="00E147F3" w:rsidRPr="0003189A">
              <w:rPr>
                <w:color w:val="auto"/>
                <w:sz w:val="24"/>
                <w:szCs w:val="24"/>
              </w:rPr>
              <w:t xml:space="preserve">2005 highlight </w:t>
            </w:r>
            <w:proofErr w:type="spellStart"/>
            <w:r w:rsidR="00E147F3" w:rsidRPr="0003189A">
              <w:rPr>
                <w:color w:val="auto"/>
                <w:sz w:val="24"/>
                <w:szCs w:val="24"/>
              </w:rPr>
              <w:t>sthe</w:t>
            </w:r>
            <w:proofErr w:type="spellEnd"/>
            <w:r w:rsidR="00E147F3" w:rsidRPr="0003189A">
              <w:rPr>
                <w:color w:val="auto"/>
                <w:sz w:val="24"/>
                <w:szCs w:val="24"/>
              </w:rPr>
              <w:t xml:space="preserve"> importance of </w:t>
            </w:r>
            <w:r w:rsidR="00C61AC2" w:rsidRPr="0003189A">
              <w:rPr>
                <w:color w:val="auto"/>
                <w:sz w:val="24"/>
                <w:szCs w:val="24"/>
              </w:rPr>
              <w:t>a</w:t>
            </w:r>
            <w:r w:rsidR="00681E1F" w:rsidRPr="0003189A">
              <w:rPr>
                <w:color w:val="auto"/>
                <w:sz w:val="24"/>
                <w:szCs w:val="24"/>
              </w:rPr>
              <w:t> mental health an</w:t>
            </w:r>
            <w:r w:rsidR="00681E1F" w:rsidRPr="0003189A">
              <w:rPr>
                <w:b/>
                <w:bCs/>
                <w:color w:val="auto"/>
                <w:sz w:val="24"/>
                <w:szCs w:val="24"/>
              </w:rPr>
              <w:t xml:space="preserve"> </w:t>
            </w:r>
            <w:r w:rsidR="00681E1F" w:rsidRPr="0003189A">
              <w:rPr>
                <w:color w:val="auto"/>
                <w:sz w:val="24"/>
                <w:szCs w:val="24"/>
              </w:rPr>
              <w:t>advocate </w:t>
            </w:r>
            <w:r w:rsidR="003161C2" w:rsidRPr="0003189A">
              <w:rPr>
                <w:color w:val="auto"/>
                <w:sz w:val="24"/>
                <w:szCs w:val="24"/>
              </w:rPr>
              <w:t xml:space="preserve">‘s role is to ensure that </w:t>
            </w:r>
            <w:proofErr w:type="gramStart"/>
            <w:r w:rsidR="003161C2" w:rsidRPr="0003189A">
              <w:rPr>
                <w:color w:val="auto"/>
                <w:sz w:val="24"/>
                <w:szCs w:val="24"/>
              </w:rPr>
              <w:t>Two</w:t>
            </w:r>
            <w:r w:rsidR="00885A56" w:rsidRPr="0003189A">
              <w:rPr>
                <w:color w:val="auto"/>
                <w:sz w:val="24"/>
                <w:szCs w:val="24"/>
              </w:rPr>
              <w:t>’s</w:t>
            </w:r>
            <w:r w:rsidR="00681E1F" w:rsidRPr="0003189A">
              <w:rPr>
                <w:color w:val="auto"/>
                <w:sz w:val="24"/>
                <w:szCs w:val="24"/>
              </w:rPr>
              <w:t xml:space="preserve">  views</w:t>
            </w:r>
            <w:proofErr w:type="gramEnd"/>
            <w:r w:rsidR="00681E1F" w:rsidRPr="0003189A">
              <w:rPr>
                <w:color w:val="auto"/>
                <w:sz w:val="24"/>
                <w:szCs w:val="24"/>
              </w:rPr>
              <w:t>, wishes, and rights considered.</w:t>
            </w:r>
            <w:r w:rsidR="00C61AC2" w:rsidRPr="0003189A">
              <w:rPr>
                <w:color w:val="auto"/>
                <w:sz w:val="24"/>
                <w:szCs w:val="24"/>
              </w:rPr>
              <w:t xml:space="preserve"> </w:t>
            </w:r>
            <w:proofErr w:type="gramStart"/>
            <w:r w:rsidR="00C61AC2" w:rsidRPr="0003189A">
              <w:rPr>
                <w:color w:val="auto"/>
                <w:sz w:val="24"/>
                <w:szCs w:val="24"/>
              </w:rPr>
              <w:t>However ,</w:t>
            </w:r>
            <w:proofErr w:type="gramEnd"/>
            <w:r w:rsidR="00C61AC2" w:rsidRPr="0003189A">
              <w:rPr>
                <w:color w:val="auto"/>
                <w:sz w:val="24"/>
                <w:szCs w:val="24"/>
              </w:rPr>
              <w:t xml:space="preserve"> by informing </w:t>
            </w:r>
            <w:proofErr w:type="spellStart"/>
            <w:r w:rsidR="00C61AC2" w:rsidRPr="0003189A">
              <w:rPr>
                <w:color w:val="auto"/>
                <w:sz w:val="24"/>
                <w:szCs w:val="24"/>
              </w:rPr>
              <w:t>te</w:t>
            </w:r>
            <w:proofErr w:type="spellEnd"/>
            <w:r w:rsidR="00C61AC2" w:rsidRPr="0003189A">
              <w:rPr>
                <w:color w:val="auto"/>
                <w:sz w:val="24"/>
                <w:szCs w:val="24"/>
              </w:rPr>
              <w:t xml:space="preserve"> advocate of the move </w:t>
            </w:r>
            <w:proofErr w:type="gramStart"/>
            <w:r w:rsidR="00C61AC2" w:rsidRPr="0003189A">
              <w:rPr>
                <w:color w:val="auto"/>
                <w:sz w:val="24"/>
                <w:szCs w:val="24"/>
              </w:rPr>
              <w:t>later on</w:t>
            </w:r>
            <w:proofErr w:type="gramEnd"/>
            <w:r w:rsidR="00C61AC2" w:rsidRPr="0003189A">
              <w:rPr>
                <w:color w:val="auto"/>
                <w:sz w:val="24"/>
                <w:szCs w:val="24"/>
              </w:rPr>
              <w:t xml:space="preserve"> this could be </w:t>
            </w:r>
            <w:r w:rsidR="00650F61" w:rsidRPr="0003189A">
              <w:rPr>
                <w:color w:val="auto"/>
                <w:sz w:val="24"/>
                <w:szCs w:val="24"/>
              </w:rPr>
              <w:t xml:space="preserve">seen as professionals not promoting Two’s </w:t>
            </w:r>
            <w:proofErr w:type="spellStart"/>
            <w:proofErr w:type="gramStart"/>
            <w:r w:rsidR="00650F61" w:rsidRPr="0003189A">
              <w:rPr>
                <w:color w:val="auto"/>
                <w:sz w:val="24"/>
                <w:szCs w:val="24"/>
              </w:rPr>
              <w:t>voice.</w:t>
            </w:r>
            <w:r w:rsidR="00D060BB" w:rsidRPr="0003189A">
              <w:rPr>
                <w:color w:val="auto"/>
                <w:sz w:val="24"/>
                <w:szCs w:val="24"/>
              </w:rPr>
              <w:t>In</w:t>
            </w:r>
            <w:proofErr w:type="spellEnd"/>
            <w:proofErr w:type="gramEnd"/>
            <w:r w:rsidR="00D060BB" w:rsidRPr="0003189A">
              <w:rPr>
                <w:color w:val="auto"/>
                <w:sz w:val="24"/>
                <w:szCs w:val="24"/>
              </w:rPr>
              <w:t xml:space="preserve"> a </w:t>
            </w:r>
            <w:r w:rsidR="006160EE" w:rsidRPr="0003189A">
              <w:rPr>
                <w:color w:val="auto"/>
                <w:sz w:val="24"/>
                <w:szCs w:val="24"/>
              </w:rPr>
              <w:t xml:space="preserve">conversation with his previous care coordinator </w:t>
            </w:r>
            <w:r w:rsidR="0017563E" w:rsidRPr="0003189A">
              <w:rPr>
                <w:color w:val="auto"/>
                <w:sz w:val="24"/>
                <w:szCs w:val="24"/>
              </w:rPr>
              <w:t>I questioned why the advocate was not involved</w:t>
            </w:r>
            <w:r w:rsidR="006160EE" w:rsidRPr="0003189A">
              <w:rPr>
                <w:color w:val="auto"/>
                <w:sz w:val="24"/>
                <w:szCs w:val="24"/>
              </w:rPr>
              <w:t xml:space="preserve"> she stated </w:t>
            </w:r>
            <w:proofErr w:type="gramStart"/>
            <w:r w:rsidR="006160EE" w:rsidRPr="0003189A">
              <w:rPr>
                <w:color w:val="auto"/>
                <w:sz w:val="24"/>
                <w:szCs w:val="24"/>
              </w:rPr>
              <w:t>“ Two’s</w:t>
            </w:r>
            <w:proofErr w:type="gramEnd"/>
            <w:r w:rsidR="006160EE" w:rsidRPr="0003189A">
              <w:rPr>
                <w:color w:val="auto"/>
                <w:sz w:val="24"/>
                <w:szCs w:val="24"/>
              </w:rPr>
              <w:t xml:space="preserve"> </w:t>
            </w:r>
            <w:proofErr w:type="spellStart"/>
            <w:r w:rsidR="006160EE" w:rsidRPr="0003189A">
              <w:rPr>
                <w:color w:val="auto"/>
                <w:sz w:val="24"/>
                <w:szCs w:val="24"/>
              </w:rPr>
              <w:t>advoicate</w:t>
            </w:r>
            <w:proofErr w:type="spellEnd"/>
            <w:r w:rsidR="006160EE" w:rsidRPr="0003189A">
              <w:rPr>
                <w:color w:val="auto"/>
                <w:sz w:val="24"/>
                <w:szCs w:val="24"/>
              </w:rPr>
              <w:t xml:space="preserve"> is difficult and I struggle to </w:t>
            </w:r>
            <w:proofErr w:type="spellStart"/>
            <w:r w:rsidR="006160EE" w:rsidRPr="0003189A">
              <w:rPr>
                <w:color w:val="auto"/>
                <w:sz w:val="24"/>
                <w:szCs w:val="24"/>
              </w:rPr>
              <w:t>communicat</w:t>
            </w:r>
            <w:proofErr w:type="spellEnd"/>
            <w:r w:rsidR="006160EE" w:rsidRPr="0003189A">
              <w:rPr>
                <w:color w:val="auto"/>
                <w:sz w:val="24"/>
                <w:szCs w:val="24"/>
              </w:rPr>
              <w:t xml:space="preserve"> with him”</w:t>
            </w:r>
            <w:r w:rsidR="0017563E" w:rsidRPr="0003189A">
              <w:rPr>
                <w:color w:val="auto"/>
                <w:sz w:val="24"/>
                <w:szCs w:val="24"/>
              </w:rPr>
              <w:t xml:space="preserve">. </w:t>
            </w:r>
            <w:r w:rsidR="00BF4373" w:rsidRPr="0003189A">
              <w:rPr>
                <w:color w:val="auto"/>
                <w:sz w:val="24"/>
                <w:szCs w:val="24"/>
              </w:rPr>
              <w:t xml:space="preserve"> </w:t>
            </w:r>
            <w:r w:rsidR="00F472B6" w:rsidRPr="0003189A">
              <w:rPr>
                <w:color w:val="auto"/>
                <w:sz w:val="24"/>
                <w:szCs w:val="24"/>
              </w:rPr>
              <w:t xml:space="preserve"> </w:t>
            </w:r>
          </w:p>
          <w:p w14:paraId="0D3A090B" w14:textId="77777777" w:rsidR="008608B2" w:rsidRPr="0003189A" w:rsidRDefault="008608B2" w:rsidP="1E1E0DF4">
            <w:pPr>
              <w:spacing w:line="360" w:lineRule="auto"/>
              <w:rPr>
                <w:color w:val="auto"/>
                <w:sz w:val="24"/>
                <w:szCs w:val="24"/>
              </w:rPr>
            </w:pPr>
          </w:p>
          <w:p w14:paraId="30C5F439" w14:textId="06D7508E" w:rsidR="00681E1F" w:rsidRPr="0003189A" w:rsidRDefault="00677578" w:rsidP="1E1E0DF4">
            <w:pPr>
              <w:spacing w:line="360" w:lineRule="auto"/>
              <w:rPr>
                <w:color w:val="auto"/>
                <w:sz w:val="24"/>
                <w:szCs w:val="24"/>
              </w:rPr>
            </w:pPr>
            <w:r w:rsidRPr="0003189A">
              <w:rPr>
                <w:color w:val="auto"/>
                <w:sz w:val="24"/>
                <w:szCs w:val="24"/>
              </w:rPr>
              <w:t xml:space="preserve">The WSP </w:t>
            </w:r>
            <w:proofErr w:type="gramStart"/>
            <w:r w:rsidRPr="0003189A">
              <w:rPr>
                <w:color w:val="auto"/>
                <w:sz w:val="24"/>
                <w:szCs w:val="24"/>
              </w:rPr>
              <w:t>( SCW</w:t>
            </w:r>
            <w:proofErr w:type="gramEnd"/>
            <w:r w:rsidRPr="0003189A">
              <w:rPr>
                <w:color w:val="auto"/>
                <w:sz w:val="24"/>
                <w:szCs w:val="24"/>
              </w:rPr>
              <w:t xml:space="preserve">, 2019) </w:t>
            </w:r>
            <w:r w:rsidR="0015292D" w:rsidRPr="0003189A">
              <w:rPr>
                <w:color w:val="auto"/>
                <w:sz w:val="24"/>
                <w:szCs w:val="24"/>
              </w:rPr>
              <w:t xml:space="preserve">and the </w:t>
            </w:r>
            <w:r w:rsidR="006B4033" w:rsidRPr="0003189A">
              <w:rPr>
                <w:i/>
                <w:iCs/>
                <w:color w:val="auto"/>
                <w:sz w:val="24"/>
                <w:szCs w:val="24"/>
              </w:rPr>
              <w:t xml:space="preserve">SSWWA </w:t>
            </w:r>
            <w:r w:rsidR="0015292D" w:rsidRPr="0003189A">
              <w:rPr>
                <w:i/>
                <w:iCs/>
                <w:color w:val="auto"/>
                <w:sz w:val="24"/>
                <w:szCs w:val="24"/>
              </w:rPr>
              <w:t>2014</w:t>
            </w:r>
            <w:r w:rsidR="0015292D" w:rsidRPr="0003189A">
              <w:rPr>
                <w:color w:val="auto"/>
                <w:sz w:val="24"/>
                <w:szCs w:val="24"/>
              </w:rPr>
              <w:t xml:space="preserve"> emphasise the importance of collaborative working between professionals and vulnerable individuals to ensure timely and appropriate support. However, effective collaboration can be hindered by several barriers, including different </w:t>
            </w:r>
            <w:r w:rsidR="00B3389E" w:rsidRPr="0003189A">
              <w:rPr>
                <w:color w:val="auto"/>
                <w:sz w:val="24"/>
                <w:szCs w:val="24"/>
              </w:rPr>
              <w:t>professional priorities and agendas (</w:t>
            </w:r>
            <w:proofErr w:type="spellStart"/>
            <w:r w:rsidR="00392D47" w:rsidRPr="0003189A">
              <w:rPr>
                <w:color w:val="auto"/>
                <w:sz w:val="24"/>
                <w:szCs w:val="24"/>
              </w:rPr>
              <w:t>Zerden</w:t>
            </w:r>
            <w:proofErr w:type="spellEnd"/>
            <w:r w:rsidR="00392D47" w:rsidRPr="0003189A">
              <w:rPr>
                <w:color w:val="auto"/>
                <w:sz w:val="24"/>
                <w:szCs w:val="24"/>
              </w:rPr>
              <w:t xml:space="preserve"> et al., 2019)</w:t>
            </w:r>
            <w:r w:rsidR="00985A54" w:rsidRPr="0003189A">
              <w:rPr>
                <w:color w:val="auto"/>
                <w:sz w:val="24"/>
                <w:szCs w:val="24"/>
              </w:rPr>
              <w:t xml:space="preserve">. </w:t>
            </w:r>
            <w:proofErr w:type="spellStart"/>
            <w:r w:rsidR="00985A54" w:rsidRPr="0003189A">
              <w:rPr>
                <w:color w:val="auto"/>
                <w:sz w:val="24"/>
                <w:szCs w:val="24"/>
              </w:rPr>
              <w:t>Depsite</w:t>
            </w:r>
            <w:proofErr w:type="spellEnd"/>
            <w:r w:rsidR="00985A54" w:rsidRPr="0003189A">
              <w:rPr>
                <w:color w:val="auto"/>
                <w:sz w:val="24"/>
                <w:szCs w:val="24"/>
              </w:rPr>
              <w:t xml:space="preserve"> these </w:t>
            </w:r>
            <w:proofErr w:type="spellStart"/>
            <w:r w:rsidR="00985A54" w:rsidRPr="0003189A">
              <w:rPr>
                <w:color w:val="auto"/>
                <w:sz w:val="24"/>
                <w:szCs w:val="24"/>
              </w:rPr>
              <w:t>barrires</w:t>
            </w:r>
            <w:proofErr w:type="spellEnd"/>
            <w:r w:rsidR="00985A54" w:rsidRPr="0003189A">
              <w:rPr>
                <w:color w:val="auto"/>
                <w:sz w:val="24"/>
                <w:szCs w:val="24"/>
              </w:rPr>
              <w:t xml:space="preserve">, all professionals should be guided by </w:t>
            </w:r>
            <w:r w:rsidR="006B4033" w:rsidRPr="0003189A">
              <w:rPr>
                <w:color w:val="auto"/>
                <w:sz w:val="24"/>
                <w:szCs w:val="24"/>
              </w:rPr>
              <w:t>legislation and work together to safeguard whilst promoting the individual’s rights.</w:t>
            </w:r>
          </w:p>
          <w:p w14:paraId="3EE6DA31" w14:textId="77777777" w:rsidR="009331B0" w:rsidRPr="000E4573" w:rsidRDefault="009331B0" w:rsidP="00DC7A9B">
            <w:pPr>
              <w:spacing w:line="360" w:lineRule="auto"/>
              <w:rPr>
                <w:sz w:val="24"/>
                <w:szCs w:val="24"/>
              </w:rPr>
            </w:pPr>
          </w:p>
          <w:p w14:paraId="394D710D" w14:textId="77C35387" w:rsidR="009331B0" w:rsidRPr="000E4573" w:rsidRDefault="00B37321" w:rsidP="00DC7A9B">
            <w:pPr>
              <w:spacing w:line="360" w:lineRule="auto"/>
              <w:rPr>
                <w:sz w:val="24"/>
                <w:szCs w:val="24"/>
              </w:rPr>
            </w:pPr>
            <w:r>
              <w:rPr>
                <w:sz w:val="24"/>
                <w:szCs w:val="24"/>
              </w:rPr>
              <w:t>An u</w:t>
            </w:r>
            <w:r w:rsidR="009331B0" w:rsidRPr="1E1E0DF4">
              <w:rPr>
                <w:sz w:val="24"/>
                <w:szCs w:val="24"/>
              </w:rPr>
              <w:t>rgent Deprivation of Liberty Safeguards (</w:t>
            </w:r>
            <w:proofErr w:type="spellStart"/>
            <w:r w:rsidR="009331B0" w:rsidRPr="1E1E0DF4">
              <w:rPr>
                <w:sz w:val="24"/>
                <w:szCs w:val="24"/>
              </w:rPr>
              <w:t>DoLS</w:t>
            </w:r>
            <w:proofErr w:type="spellEnd"/>
            <w:r w:rsidR="009331B0" w:rsidRPr="1E1E0DF4">
              <w:rPr>
                <w:sz w:val="24"/>
                <w:szCs w:val="24"/>
              </w:rPr>
              <w:t xml:space="preserve">) authorization was obtained prior to the transition. The </w:t>
            </w:r>
            <w:proofErr w:type="spellStart"/>
            <w:r w:rsidR="009331B0" w:rsidRPr="1E1E0DF4">
              <w:rPr>
                <w:sz w:val="24"/>
                <w:szCs w:val="24"/>
              </w:rPr>
              <w:t>DoLS</w:t>
            </w:r>
            <w:proofErr w:type="spellEnd"/>
            <w:r w:rsidR="009331B0" w:rsidRPr="1E1E0DF4">
              <w:rPr>
                <w:sz w:val="24"/>
                <w:szCs w:val="24"/>
              </w:rPr>
              <w:t xml:space="preserve"> </w:t>
            </w:r>
            <w:r w:rsidR="003E5D95">
              <w:rPr>
                <w:sz w:val="24"/>
                <w:szCs w:val="24"/>
              </w:rPr>
              <w:t>are</w:t>
            </w:r>
            <w:r w:rsidR="009331B0" w:rsidRPr="1E1E0DF4">
              <w:rPr>
                <w:sz w:val="24"/>
                <w:szCs w:val="24"/>
              </w:rPr>
              <w:t xml:space="preserve"> specific and outline that </w:t>
            </w:r>
            <w:r w:rsidR="5A9FF601" w:rsidRPr="1E1E0DF4">
              <w:rPr>
                <w:sz w:val="24"/>
                <w:szCs w:val="24"/>
              </w:rPr>
              <w:t>T</w:t>
            </w:r>
            <w:r w:rsidR="009331B0" w:rsidRPr="1E1E0DF4">
              <w:rPr>
                <w:sz w:val="24"/>
                <w:szCs w:val="24"/>
              </w:rPr>
              <w:t>wo cannot access the</w:t>
            </w:r>
            <w:r w:rsidR="71CBF62B" w:rsidRPr="1E1E0DF4">
              <w:rPr>
                <w:sz w:val="24"/>
                <w:szCs w:val="24"/>
              </w:rPr>
              <w:t xml:space="preserve"> Supported Living</w:t>
            </w:r>
            <w:r w:rsidR="009331B0" w:rsidRPr="1E1E0DF4">
              <w:rPr>
                <w:sz w:val="24"/>
                <w:szCs w:val="24"/>
              </w:rPr>
              <w:t xml:space="preserve"> community without staff support </w:t>
            </w:r>
            <w:r w:rsidR="7482AACB" w:rsidRPr="1E1E0DF4">
              <w:rPr>
                <w:sz w:val="24"/>
                <w:szCs w:val="24"/>
              </w:rPr>
              <w:t>in addition to</w:t>
            </w:r>
            <w:r w:rsidR="009331B0" w:rsidRPr="1E1E0DF4">
              <w:rPr>
                <w:sz w:val="24"/>
                <w:szCs w:val="24"/>
              </w:rPr>
              <w:t xml:space="preserve"> staff </w:t>
            </w:r>
            <w:r w:rsidR="4E282C91" w:rsidRPr="1E1E0DF4">
              <w:rPr>
                <w:sz w:val="24"/>
                <w:szCs w:val="24"/>
              </w:rPr>
              <w:t>storing</w:t>
            </w:r>
            <w:r w:rsidR="009331B0" w:rsidRPr="1E1E0DF4">
              <w:rPr>
                <w:sz w:val="24"/>
                <w:szCs w:val="24"/>
              </w:rPr>
              <w:t xml:space="preserve"> and monitoring his alcohol intake. </w:t>
            </w:r>
            <w:proofErr w:type="spellStart"/>
            <w:r w:rsidR="009331B0" w:rsidRPr="1E1E0DF4">
              <w:rPr>
                <w:sz w:val="24"/>
                <w:szCs w:val="24"/>
              </w:rPr>
              <w:t>DoL</w:t>
            </w:r>
            <w:r w:rsidR="003E5D95">
              <w:rPr>
                <w:sz w:val="24"/>
                <w:szCs w:val="24"/>
              </w:rPr>
              <w:t>S</w:t>
            </w:r>
            <w:proofErr w:type="spellEnd"/>
            <w:r w:rsidR="009331B0" w:rsidRPr="1E1E0DF4">
              <w:rPr>
                <w:sz w:val="24"/>
                <w:szCs w:val="24"/>
              </w:rPr>
              <w:t>, under the Mental Capacity Act 2005, are designed to protect individuals who lack the capacity to consent to their care arrangements. Two’s sister</w:t>
            </w:r>
            <w:r w:rsidR="4B3BE825" w:rsidRPr="1E1E0DF4">
              <w:rPr>
                <w:sz w:val="24"/>
                <w:szCs w:val="24"/>
              </w:rPr>
              <w:t xml:space="preserve"> was i</w:t>
            </w:r>
            <w:r w:rsidR="009331B0" w:rsidRPr="1E1E0DF4">
              <w:rPr>
                <w:sz w:val="24"/>
                <w:szCs w:val="24"/>
              </w:rPr>
              <w:t xml:space="preserve">nvolved in the planning and agreed with the proposed move. She ensured the new accommodation felt homely, brought his most valued possessions, and provided a week’s supply of alcohol as per his care plan. Despite these efforts, Two expressed distress about the move, stating he felt he was </w:t>
            </w:r>
            <w:r w:rsidR="2BFC43FA" w:rsidRPr="1E1E0DF4">
              <w:rPr>
                <w:sz w:val="24"/>
                <w:szCs w:val="24"/>
              </w:rPr>
              <w:t>‘</w:t>
            </w:r>
            <w:r w:rsidR="009331B0" w:rsidRPr="1E1E0DF4">
              <w:rPr>
                <w:sz w:val="24"/>
                <w:szCs w:val="24"/>
              </w:rPr>
              <w:t>kidnapped by his care coordinator</w:t>
            </w:r>
            <w:r w:rsidR="20A63139" w:rsidRPr="1E1E0DF4">
              <w:rPr>
                <w:sz w:val="24"/>
                <w:szCs w:val="24"/>
              </w:rPr>
              <w:t>’</w:t>
            </w:r>
            <w:r w:rsidR="009331B0" w:rsidRPr="1E1E0DF4">
              <w:rPr>
                <w:sz w:val="24"/>
                <w:szCs w:val="24"/>
              </w:rPr>
              <w:t xml:space="preserve"> and has repeatedly asked to return to his flat. Given his lack of capacity and the risks associated with remaining in his previous accommodation, safeguarding concerns remain ongoing</w:t>
            </w:r>
            <w:r w:rsidR="00705C45" w:rsidRPr="1E1E0DF4">
              <w:rPr>
                <w:sz w:val="24"/>
                <w:szCs w:val="24"/>
              </w:rPr>
              <w:t xml:space="preserve"> because Two would </w:t>
            </w:r>
            <w:r w:rsidR="00245F62" w:rsidRPr="1E1E0DF4">
              <w:rPr>
                <w:sz w:val="24"/>
                <w:szCs w:val="24"/>
              </w:rPr>
              <w:t>like to go back to his flat.</w:t>
            </w:r>
          </w:p>
          <w:p w14:paraId="6AF6E519" w14:textId="77777777" w:rsidR="009331B0" w:rsidRPr="00D31D18" w:rsidRDefault="009331B0" w:rsidP="00DC7A9B">
            <w:pPr>
              <w:spacing w:line="360" w:lineRule="auto"/>
              <w:rPr>
                <w:b/>
                <w:bCs/>
                <w:sz w:val="24"/>
                <w:szCs w:val="24"/>
              </w:rPr>
            </w:pPr>
          </w:p>
          <w:p w14:paraId="1CBFE712" w14:textId="77777777" w:rsidR="009331B0" w:rsidRPr="00D31D18" w:rsidRDefault="009331B0" w:rsidP="00DC7A9B">
            <w:pPr>
              <w:spacing w:line="360" w:lineRule="auto"/>
              <w:rPr>
                <w:b/>
                <w:bCs/>
                <w:sz w:val="24"/>
                <w:szCs w:val="24"/>
              </w:rPr>
            </w:pPr>
            <w:r w:rsidRPr="00D31D18">
              <w:rPr>
                <w:b/>
                <w:bCs/>
                <w:sz w:val="24"/>
                <w:szCs w:val="24"/>
              </w:rPr>
              <w:t xml:space="preserve">Concrete Experience: </w:t>
            </w:r>
          </w:p>
          <w:p w14:paraId="0910621A" w14:textId="37572DC1" w:rsidR="009331B0" w:rsidRPr="000E4573" w:rsidRDefault="009331B0" w:rsidP="1E1E0DF4">
            <w:pPr>
              <w:spacing w:line="360" w:lineRule="auto"/>
              <w:rPr>
                <w:color w:val="70AD47" w:themeColor="accent6"/>
                <w:sz w:val="24"/>
                <w:szCs w:val="24"/>
              </w:rPr>
            </w:pPr>
            <w:r w:rsidRPr="1E1E0DF4">
              <w:rPr>
                <w:sz w:val="24"/>
                <w:szCs w:val="24"/>
              </w:rPr>
              <w:lastRenderedPageBreak/>
              <w:t>T</w:t>
            </w:r>
            <w:r w:rsidR="4638AF12" w:rsidRPr="1E1E0DF4">
              <w:rPr>
                <w:sz w:val="24"/>
                <w:szCs w:val="24"/>
              </w:rPr>
              <w:t>wo provided a statement to give</w:t>
            </w:r>
            <w:r w:rsidRPr="1E1E0DF4">
              <w:rPr>
                <w:sz w:val="24"/>
                <w:szCs w:val="24"/>
              </w:rPr>
              <w:t xml:space="preserve"> to the local authority’s legal department in preparation </w:t>
            </w:r>
            <w:r w:rsidR="2B7D9DA4" w:rsidRPr="1E1E0DF4">
              <w:rPr>
                <w:sz w:val="24"/>
                <w:szCs w:val="24"/>
              </w:rPr>
              <w:t xml:space="preserve">for </w:t>
            </w:r>
            <w:r w:rsidRPr="1E1E0DF4">
              <w:rPr>
                <w:sz w:val="24"/>
                <w:szCs w:val="24"/>
              </w:rPr>
              <w:t>the court of protection case</w:t>
            </w:r>
            <w:r w:rsidR="4878A411" w:rsidRPr="1E1E0DF4">
              <w:rPr>
                <w:sz w:val="24"/>
                <w:szCs w:val="24"/>
              </w:rPr>
              <w:t>,</w:t>
            </w:r>
            <w:r w:rsidRPr="1E1E0DF4">
              <w:rPr>
                <w:sz w:val="24"/>
                <w:szCs w:val="24"/>
              </w:rPr>
              <w:t xml:space="preserve"> thereby making it practical to implement a task centred approach when collaborating with Two during the assessment. In addition, the approach enabled me to </w:t>
            </w:r>
            <w:r w:rsidR="3EE17840" w:rsidRPr="1E1E0DF4">
              <w:rPr>
                <w:sz w:val="24"/>
                <w:szCs w:val="24"/>
              </w:rPr>
              <w:t xml:space="preserve">be </w:t>
            </w:r>
            <w:r w:rsidRPr="1E1E0DF4">
              <w:rPr>
                <w:sz w:val="24"/>
                <w:szCs w:val="24"/>
              </w:rPr>
              <w:t xml:space="preserve">non-oppressive </w:t>
            </w:r>
            <w:r w:rsidR="58CC1DDC" w:rsidRPr="1E1E0DF4">
              <w:rPr>
                <w:sz w:val="24"/>
                <w:szCs w:val="24"/>
              </w:rPr>
              <w:t xml:space="preserve">and </w:t>
            </w:r>
            <w:r w:rsidRPr="1E1E0DF4">
              <w:rPr>
                <w:sz w:val="24"/>
                <w:szCs w:val="24"/>
              </w:rPr>
              <w:t xml:space="preserve">non-judgemental </w:t>
            </w:r>
            <w:proofErr w:type="gramStart"/>
            <w:r w:rsidR="2FC04659" w:rsidRPr="1E1E0DF4">
              <w:rPr>
                <w:sz w:val="24"/>
                <w:szCs w:val="24"/>
              </w:rPr>
              <w:t>in order to</w:t>
            </w:r>
            <w:proofErr w:type="gramEnd"/>
            <w:r w:rsidRPr="1E1E0DF4">
              <w:rPr>
                <w:sz w:val="24"/>
                <w:szCs w:val="24"/>
              </w:rPr>
              <w:t xml:space="preserve"> empower Two (Milner and O’Byrne, 1998). Two says he was kidnapped f</w:t>
            </w:r>
            <w:r w:rsidR="0524B6BE" w:rsidRPr="1E1E0DF4">
              <w:rPr>
                <w:sz w:val="24"/>
                <w:szCs w:val="24"/>
              </w:rPr>
              <w:t>r</w:t>
            </w:r>
            <w:r w:rsidRPr="1E1E0DF4">
              <w:rPr>
                <w:sz w:val="24"/>
                <w:szCs w:val="24"/>
              </w:rPr>
              <w:t>om his flat and moved into supported accommodation but would like to go back home</w:t>
            </w:r>
            <w:r w:rsidR="00EB6F7E">
              <w:rPr>
                <w:sz w:val="24"/>
                <w:szCs w:val="24"/>
              </w:rPr>
              <w:t xml:space="preserve"> and he is contesting his </w:t>
            </w:r>
            <w:proofErr w:type="spellStart"/>
            <w:r w:rsidR="00EB6F7E">
              <w:rPr>
                <w:sz w:val="24"/>
                <w:szCs w:val="24"/>
              </w:rPr>
              <w:t>D</w:t>
            </w:r>
            <w:r w:rsidR="00872E08">
              <w:rPr>
                <w:sz w:val="24"/>
                <w:szCs w:val="24"/>
              </w:rPr>
              <w:t>oLS</w:t>
            </w:r>
            <w:proofErr w:type="spellEnd"/>
            <w:r w:rsidR="00872E08">
              <w:rPr>
                <w:sz w:val="24"/>
                <w:szCs w:val="24"/>
              </w:rPr>
              <w:t xml:space="preserve"> hence my involvement as </w:t>
            </w:r>
            <w:proofErr w:type="spellStart"/>
            <w:r w:rsidR="00872E08">
              <w:rPr>
                <w:sz w:val="24"/>
                <w:szCs w:val="24"/>
              </w:rPr>
              <w:t>brieflry</w:t>
            </w:r>
            <w:proofErr w:type="spellEnd"/>
            <w:r w:rsidR="00872E08">
              <w:rPr>
                <w:sz w:val="24"/>
                <w:szCs w:val="24"/>
              </w:rPr>
              <w:t xml:space="preserve"> mentioned above.</w:t>
            </w:r>
            <w:r w:rsidR="70651108" w:rsidRPr="1E1E0DF4">
              <w:rPr>
                <w:sz w:val="24"/>
                <w:szCs w:val="24"/>
              </w:rPr>
              <w:t xml:space="preserve"> </w:t>
            </w:r>
          </w:p>
          <w:p w14:paraId="54903AA3" w14:textId="77777777" w:rsidR="009331B0" w:rsidRPr="000E4573" w:rsidRDefault="009331B0" w:rsidP="00DC7A9B">
            <w:pPr>
              <w:spacing w:line="360" w:lineRule="auto"/>
              <w:rPr>
                <w:sz w:val="24"/>
                <w:szCs w:val="24"/>
              </w:rPr>
            </w:pPr>
          </w:p>
          <w:p w14:paraId="3C266C16" w14:textId="5427B242" w:rsidR="009331B0" w:rsidRPr="000E4573" w:rsidRDefault="009331B0" w:rsidP="00DC7A9B">
            <w:pPr>
              <w:spacing w:line="360" w:lineRule="auto"/>
              <w:rPr>
                <w:sz w:val="24"/>
                <w:szCs w:val="24"/>
              </w:rPr>
            </w:pPr>
            <w:r w:rsidRPr="1E1E0DF4">
              <w:rPr>
                <w:sz w:val="24"/>
                <w:szCs w:val="24"/>
              </w:rPr>
              <w:t xml:space="preserve">I ensured that prior to the visit, I read the risk assessment, case notes and referral to ensure that I had up to date knowledge of </w:t>
            </w:r>
            <w:r w:rsidR="3D95B411" w:rsidRPr="1E1E0DF4">
              <w:rPr>
                <w:sz w:val="24"/>
                <w:szCs w:val="24"/>
              </w:rPr>
              <w:t>Two’s</w:t>
            </w:r>
            <w:r w:rsidRPr="1E1E0DF4">
              <w:rPr>
                <w:sz w:val="24"/>
                <w:szCs w:val="24"/>
              </w:rPr>
              <w:t xml:space="preserve"> situation. Having completed my background checks by talking to the previous care coordinators</w:t>
            </w:r>
            <w:r w:rsidR="385C68F1" w:rsidRPr="1E1E0DF4">
              <w:rPr>
                <w:sz w:val="24"/>
                <w:szCs w:val="24"/>
              </w:rPr>
              <w:t xml:space="preserve"> and</w:t>
            </w:r>
            <w:r w:rsidRPr="1E1E0DF4">
              <w:rPr>
                <w:sz w:val="24"/>
                <w:szCs w:val="24"/>
              </w:rPr>
              <w:t xml:space="preserve"> current professionals involved</w:t>
            </w:r>
            <w:r w:rsidR="2E5EA54C" w:rsidRPr="1E1E0DF4">
              <w:rPr>
                <w:sz w:val="24"/>
                <w:szCs w:val="24"/>
              </w:rPr>
              <w:t>,</w:t>
            </w:r>
            <w:r w:rsidRPr="1E1E0DF4">
              <w:rPr>
                <w:sz w:val="24"/>
                <w:szCs w:val="24"/>
              </w:rPr>
              <w:t xml:space="preserve"> I observed that it was documented from previous assessments that </w:t>
            </w:r>
            <w:r w:rsidR="3819FD2F" w:rsidRPr="1E1E0DF4">
              <w:rPr>
                <w:sz w:val="24"/>
                <w:szCs w:val="24"/>
              </w:rPr>
              <w:t>T</w:t>
            </w:r>
            <w:r w:rsidRPr="1E1E0DF4">
              <w:rPr>
                <w:sz w:val="24"/>
                <w:szCs w:val="24"/>
              </w:rPr>
              <w:t xml:space="preserve">wo was not a Welsh speaker though the offer of conducting the assessment in Welsh was offered. In Wales, Welsh Government (WG) strategy ‘More than Just Words’ the Active Offer’ (2012) makes it mandatory to ‘respect Welsh speakers’ right to communicate. </w:t>
            </w:r>
          </w:p>
          <w:p w14:paraId="290D5EE9" w14:textId="77777777" w:rsidR="009331B0" w:rsidRPr="000E4573" w:rsidRDefault="009331B0" w:rsidP="00DC7A9B">
            <w:pPr>
              <w:spacing w:line="360" w:lineRule="auto"/>
              <w:rPr>
                <w:sz w:val="24"/>
                <w:szCs w:val="24"/>
              </w:rPr>
            </w:pPr>
          </w:p>
          <w:p w14:paraId="00FEDF19" w14:textId="77777777" w:rsidR="009331B0" w:rsidRPr="000E4573" w:rsidRDefault="009331B0" w:rsidP="00DC7A9B">
            <w:pPr>
              <w:spacing w:line="360" w:lineRule="auto"/>
              <w:rPr>
                <w:sz w:val="24"/>
                <w:szCs w:val="24"/>
              </w:rPr>
            </w:pPr>
            <w:r w:rsidRPr="000E4573">
              <w:rPr>
                <w:sz w:val="24"/>
                <w:szCs w:val="24"/>
              </w:rPr>
              <w:t>I introduced myself to Two five days before the planned visit and explained that I would be collecting his statement for the Court of Protection. I wrote my name and appointment time on his calendar and informed him that some questions might be challenging. During my initial visit, I observed that he became upset when the topic of alcohol was raised, so I planned to focus on his Parkinson’s and mental health during that visit, postponing the alcohol discussion to a later date</w:t>
            </w:r>
          </w:p>
          <w:p w14:paraId="4CC17C60" w14:textId="77777777" w:rsidR="009331B0" w:rsidRPr="000E4573" w:rsidRDefault="009331B0" w:rsidP="00DC7A9B">
            <w:pPr>
              <w:spacing w:line="360" w:lineRule="auto"/>
              <w:rPr>
                <w:sz w:val="24"/>
                <w:szCs w:val="24"/>
              </w:rPr>
            </w:pPr>
          </w:p>
          <w:p w14:paraId="213D1CAB" w14:textId="38EF840D" w:rsidR="009331B0" w:rsidRPr="00D31D18" w:rsidRDefault="009331B0" w:rsidP="00DC7A9B">
            <w:pPr>
              <w:spacing w:line="360" w:lineRule="auto"/>
              <w:rPr>
                <w:b/>
                <w:bCs/>
                <w:sz w:val="24"/>
                <w:szCs w:val="24"/>
              </w:rPr>
            </w:pPr>
            <w:r w:rsidRPr="00D31D18">
              <w:rPr>
                <w:b/>
                <w:bCs/>
                <w:sz w:val="24"/>
                <w:szCs w:val="24"/>
              </w:rPr>
              <w:t>Reflective Observation.</w:t>
            </w:r>
          </w:p>
          <w:p w14:paraId="40818E0F" w14:textId="14CF328A" w:rsidR="009331B0" w:rsidRPr="000E4573" w:rsidRDefault="009331B0" w:rsidP="00DC7A9B">
            <w:pPr>
              <w:spacing w:line="360" w:lineRule="auto"/>
              <w:rPr>
                <w:sz w:val="24"/>
                <w:szCs w:val="24"/>
              </w:rPr>
            </w:pPr>
            <w:r w:rsidRPr="1E1E0DF4">
              <w:rPr>
                <w:sz w:val="24"/>
                <w:szCs w:val="24"/>
              </w:rPr>
              <w:t>Prior to the assessment, I reflected on how risks could have been mitigated within the community. I considered two options: introducing a live-in support worker or amending the existing domiciliary care hours. In Wales, live-in support workers are regulated under key legislation such as the </w:t>
            </w:r>
            <w:r w:rsidR="005A38F1" w:rsidRPr="005A38F1">
              <w:rPr>
                <w:i/>
                <w:iCs/>
                <w:sz w:val="24"/>
                <w:szCs w:val="24"/>
              </w:rPr>
              <w:t>SSWWA</w:t>
            </w:r>
            <w:r w:rsidRPr="005A38F1">
              <w:rPr>
                <w:i/>
                <w:iCs/>
                <w:sz w:val="24"/>
                <w:szCs w:val="24"/>
              </w:rPr>
              <w:t xml:space="preserve"> 2014,</w:t>
            </w:r>
            <w:r w:rsidRPr="1E1E0DF4">
              <w:rPr>
                <w:sz w:val="24"/>
                <w:szCs w:val="24"/>
              </w:rPr>
              <w:t xml:space="preserve"> which emphasises achieving personal outcomes. </w:t>
            </w:r>
          </w:p>
          <w:p w14:paraId="4533A94B" w14:textId="77777777" w:rsidR="009331B0" w:rsidRPr="000E4573" w:rsidRDefault="009331B0" w:rsidP="00DC7A9B">
            <w:pPr>
              <w:spacing w:line="360" w:lineRule="auto"/>
              <w:rPr>
                <w:sz w:val="24"/>
                <w:szCs w:val="24"/>
              </w:rPr>
            </w:pPr>
          </w:p>
          <w:p w14:paraId="69F285E6" w14:textId="6D260D75" w:rsidR="009331B0" w:rsidRPr="000E4573" w:rsidRDefault="009331B0" w:rsidP="00DC7A9B">
            <w:pPr>
              <w:spacing w:line="360" w:lineRule="auto"/>
              <w:rPr>
                <w:sz w:val="24"/>
                <w:szCs w:val="24"/>
              </w:rPr>
            </w:pPr>
            <w:r w:rsidRPr="1E1E0DF4">
              <w:rPr>
                <w:sz w:val="24"/>
                <w:szCs w:val="24"/>
              </w:rPr>
              <w:t xml:space="preserve">The role of a live-in support worker includes safeguarding, personal care, medication management, socialisation, and supporting individuals to live independently. This option </w:t>
            </w:r>
            <w:r w:rsidRPr="1E1E0DF4">
              <w:rPr>
                <w:sz w:val="24"/>
                <w:szCs w:val="24"/>
              </w:rPr>
              <w:lastRenderedPageBreak/>
              <w:t xml:space="preserve">could have reduced isolation and allowed for monitoring of Two’s alcohol intake. However, the UK Care Guide (2025) notes that the primary disadvantage of live-in care is its cost. Munson (2025) highlights that while some costs may be covered by the local authority, a financial assessment could result in Two contributing towards his </w:t>
            </w:r>
            <w:r w:rsidR="06B5C2A3" w:rsidRPr="1E1E0DF4">
              <w:rPr>
                <w:sz w:val="24"/>
                <w:szCs w:val="24"/>
              </w:rPr>
              <w:t xml:space="preserve">own </w:t>
            </w:r>
            <w:r w:rsidRPr="1E1E0DF4">
              <w:rPr>
                <w:sz w:val="24"/>
                <w:szCs w:val="24"/>
              </w:rPr>
              <w:t>care.</w:t>
            </w:r>
          </w:p>
          <w:p w14:paraId="1807B8BA" w14:textId="77777777" w:rsidR="009331B0" w:rsidRPr="000E4573" w:rsidRDefault="009331B0" w:rsidP="00DC7A9B">
            <w:pPr>
              <w:spacing w:line="360" w:lineRule="auto"/>
              <w:rPr>
                <w:sz w:val="24"/>
                <w:szCs w:val="24"/>
              </w:rPr>
            </w:pPr>
          </w:p>
          <w:p w14:paraId="5709E297" w14:textId="0AEFA938" w:rsidR="009331B0" w:rsidRPr="000E4573" w:rsidRDefault="009331B0" w:rsidP="00DC7A9B">
            <w:pPr>
              <w:spacing w:line="360" w:lineRule="auto"/>
              <w:rPr>
                <w:sz w:val="24"/>
                <w:szCs w:val="24"/>
              </w:rPr>
            </w:pPr>
            <w:r w:rsidRPr="1E1E0DF4">
              <w:rPr>
                <w:sz w:val="24"/>
                <w:szCs w:val="24"/>
              </w:rPr>
              <w:t>The second option involved increasing Two’s domiciliary care hours from one hour to three or four hours daily. If support was not used on a given day, hours could be banked for longer trips, such as visits to London. This flexible planning might have enabled Two to remain in his flat with adequate community support.</w:t>
            </w:r>
            <w:r w:rsidR="7452B1F9" w:rsidRPr="1E1E0DF4">
              <w:rPr>
                <w:sz w:val="24"/>
                <w:szCs w:val="24"/>
              </w:rPr>
              <w:t xml:space="preserve"> </w:t>
            </w:r>
            <w:r w:rsidRPr="1E1E0DF4">
              <w:rPr>
                <w:sz w:val="24"/>
                <w:szCs w:val="24"/>
              </w:rPr>
              <w:t>According to (SCW)</w:t>
            </w:r>
            <w:r w:rsidRPr="1E1E0DF4">
              <w:rPr>
                <w:i/>
                <w:iCs/>
                <w:sz w:val="24"/>
                <w:szCs w:val="24"/>
              </w:rPr>
              <w:t xml:space="preserve"> (2017) </w:t>
            </w:r>
            <w:r w:rsidRPr="1E1E0DF4">
              <w:rPr>
                <w:sz w:val="24"/>
                <w:szCs w:val="24"/>
              </w:rPr>
              <w:t>code of practice section1 informs us that professional</w:t>
            </w:r>
            <w:r w:rsidR="111FE545" w:rsidRPr="1E1E0DF4">
              <w:rPr>
                <w:sz w:val="24"/>
                <w:szCs w:val="24"/>
              </w:rPr>
              <w:t>s</w:t>
            </w:r>
            <w:r w:rsidRPr="1E1E0DF4">
              <w:rPr>
                <w:sz w:val="24"/>
                <w:szCs w:val="24"/>
              </w:rPr>
              <w:t xml:space="preserve"> “must respect the views and wishes, and promote the rights and interests, of individuals and carers</w:t>
            </w:r>
            <w:r w:rsidRPr="1E1E0DF4">
              <w:rPr>
                <w:i/>
                <w:iCs/>
                <w:sz w:val="24"/>
                <w:szCs w:val="24"/>
              </w:rPr>
              <w:t>,</w:t>
            </w:r>
            <w:r w:rsidRPr="1E1E0DF4">
              <w:rPr>
                <w:sz w:val="24"/>
                <w:szCs w:val="24"/>
              </w:rPr>
              <w:t xml:space="preserve"> however section 4 states that social workers “must respect the rights of individuals while seeking to ensure that their behaviour does not harm themselves or other people” (SCW, 2017).  </w:t>
            </w:r>
          </w:p>
          <w:p w14:paraId="3146AC13" w14:textId="77777777" w:rsidR="009331B0" w:rsidRPr="000E4573" w:rsidRDefault="009331B0" w:rsidP="00DC7A9B">
            <w:pPr>
              <w:spacing w:line="360" w:lineRule="auto"/>
              <w:rPr>
                <w:sz w:val="24"/>
                <w:szCs w:val="24"/>
              </w:rPr>
            </w:pPr>
          </w:p>
          <w:p w14:paraId="7F4419FC" w14:textId="514BE69C" w:rsidR="009331B0" w:rsidRPr="000E4573" w:rsidRDefault="009331B0" w:rsidP="1E1E0DF4">
            <w:pPr>
              <w:spacing w:line="360" w:lineRule="auto"/>
              <w:rPr>
                <w:sz w:val="24"/>
                <w:szCs w:val="24"/>
              </w:rPr>
            </w:pPr>
            <w:r w:rsidRPr="1E1E0DF4">
              <w:rPr>
                <w:sz w:val="24"/>
                <w:szCs w:val="24"/>
              </w:rPr>
              <w:t xml:space="preserve">Two </w:t>
            </w:r>
            <w:r w:rsidR="33E99553" w:rsidRPr="1E1E0DF4">
              <w:rPr>
                <w:sz w:val="24"/>
                <w:szCs w:val="24"/>
              </w:rPr>
              <w:t xml:space="preserve">has a </w:t>
            </w:r>
            <w:r w:rsidRPr="1E1E0DF4">
              <w:rPr>
                <w:sz w:val="24"/>
                <w:szCs w:val="24"/>
              </w:rPr>
              <w:t>diagnosis of Parkinson</w:t>
            </w:r>
            <w:r w:rsidR="7B8A9EA0" w:rsidRPr="1E1E0DF4">
              <w:rPr>
                <w:sz w:val="24"/>
                <w:szCs w:val="24"/>
              </w:rPr>
              <w:t>s</w:t>
            </w:r>
            <w:r w:rsidRPr="1E1E0DF4">
              <w:rPr>
                <w:sz w:val="24"/>
                <w:szCs w:val="24"/>
              </w:rPr>
              <w:t xml:space="preserve"> which is a progressive condition</w:t>
            </w:r>
            <w:r w:rsidR="20BEE9F4" w:rsidRPr="1E1E0DF4">
              <w:rPr>
                <w:sz w:val="24"/>
                <w:szCs w:val="24"/>
              </w:rPr>
              <w:t xml:space="preserve"> therefore i</w:t>
            </w:r>
            <w:r w:rsidRPr="1E1E0DF4">
              <w:rPr>
                <w:sz w:val="24"/>
                <w:szCs w:val="24"/>
              </w:rPr>
              <w:t>t is important to consider that his falling risks may increase over time</w:t>
            </w:r>
            <w:r w:rsidR="04628B89" w:rsidRPr="1E1E0DF4">
              <w:rPr>
                <w:sz w:val="24"/>
                <w:szCs w:val="24"/>
              </w:rPr>
              <w:t xml:space="preserve"> (National Institute of</w:t>
            </w:r>
            <w:r w:rsidR="04628B89" w:rsidRPr="1E1E0DF4">
              <w:rPr>
                <w:i/>
                <w:iCs/>
                <w:sz w:val="24"/>
                <w:szCs w:val="24"/>
              </w:rPr>
              <w:t xml:space="preserve"> </w:t>
            </w:r>
            <w:r w:rsidR="04628B89" w:rsidRPr="1E1E0DF4">
              <w:rPr>
                <w:sz w:val="24"/>
                <w:szCs w:val="24"/>
              </w:rPr>
              <w:t>Neurological Disorders and Stroke (NINDS), (2023)</w:t>
            </w:r>
            <w:r w:rsidRPr="1E1E0DF4">
              <w:rPr>
                <w:sz w:val="24"/>
                <w:szCs w:val="24"/>
              </w:rPr>
              <w:t>.</w:t>
            </w:r>
            <w:r w:rsidR="004C4483">
              <w:rPr>
                <w:sz w:val="24"/>
                <w:szCs w:val="24"/>
              </w:rPr>
              <w:t xml:space="preserve"> These falls could be mitigated in the community </w:t>
            </w:r>
            <w:proofErr w:type="gramStart"/>
            <w:r w:rsidR="004C4483">
              <w:rPr>
                <w:sz w:val="24"/>
                <w:szCs w:val="24"/>
              </w:rPr>
              <w:t xml:space="preserve">because </w:t>
            </w:r>
            <w:r w:rsidRPr="1E1E0DF4">
              <w:rPr>
                <w:sz w:val="24"/>
                <w:szCs w:val="24"/>
              </w:rPr>
              <w:t xml:space="preserve"> </w:t>
            </w:r>
            <w:r w:rsidR="002E5DE3">
              <w:rPr>
                <w:sz w:val="24"/>
                <w:szCs w:val="24"/>
              </w:rPr>
              <w:t>a</w:t>
            </w:r>
            <w:r w:rsidRPr="1E1E0DF4">
              <w:rPr>
                <w:sz w:val="24"/>
                <w:szCs w:val="24"/>
              </w:rPr>
              <w:t>dvances</w:t>
            </w:r>
            <w:proofErr w:type="gramEnd"/>
            <w:r w:rsidRPr="1E1E0DF4">
              <w:rPr>
                <w:sz w:val="24"/>
                <w:szCs w:val="24"/>
              </w:rPr>
              <w:t xml:space="preserve"> in domiciliary care now include wearable fall detection devices, such as watches or pendants with GPS, which can alert professionals when a fall occurs (Fall Prevention Foundation</w:t>
            </w:r>
            <w:r w:rsidRPr="1E1E0DF4">
              <w:rPr>
                <w:i/>
                <w:iCs/>
                <w:sz w:val="24"/>
                <w:szCs w:val="24"/>
              </w:rPr>
              <w:t>, 2025</w:t>
            </w:r>
            <w:r w:rsidRPr="1E1E0DF4">
              <w:rPr>
                <w:sz w:val="24"/>
                <w:szCs w:val="24"/>
              </w:rPr>
              <w:t>).</w:t>
            </w:r>
          </w:p>
          <w:p w14:paraId="7DC1DAAC" w14:textId="77777777" w:rsidR="002012C2" w:rsidRPr="000E4573" w:rsidRDefault="002012C2" w:rsidP="00DC7A9B">
            <w:pPr>
              <w:spacing w:line="360" w:lineRule="auto"/>
              <w:rPr>
                <w:i/>
                <w:iCs/>
                <w:sz w:val="24"/>
                <w:szCs w:val="24"/>
                <w:highlight w:val="yellow"/>
              </w:rPr>
            </w:pPr>
          </w:p>
          <w:p w14:paraId="72A5C484" w14:textId="77777777" w:rsidR="009331B0" w:rsidRPr="000E4573" w:rsidRDefault="009331B0" w:rsidP="00DC7A9B">
            <w:pPr>
              <w:spacing w:line="360" w:lineRule="auto"/>
              <w:rPr>
                <w:sz w:val="24"/>
                <w:szCs w:val="24"/>
              </w:rPr>
            </w:pPr>
            <w:r w:rsidRPr="000E4573">
              <w:rPr>
                <w:sz w:val="24"/>
                <w:szCs w:val="24"/>
              </w:rPr>
              <w:t>Two’s previous care coordinator noted that he had a neck alarm but chose not to wear it. It is possible he may have preferred a watch-style device. I also considered whether his short-term memory affected his ability to remember to wear the alarm, and whether written prompts were used in his home. Research from the </w:t>
            </w:r>
            <w:r w:rsidRPr="00EE7D20">
              <w:rPr>
                <w:sz w:val="24"/>
                <w:szCs w:val="24"/>
              </w:rPr>
              <w:t>Alzheimer’s Society</w:t>
            </w:r>
            <w:r w:rsidRPr="000E4573">
              <w:rPr>
                <w:i/>
                <w:iCs/>
                <w:sz w:val="24"/>
                <w:szCs w:val="24"/>
              </w:rPr>
              <w:t xml:space="preserve"> (</w:t>
            </w:r>
            <w:r w:rsidRPr="00EE7D20">
              <w:rPr>
                <w:sz w:val="24"/>
                <w:szCs w:val="24"/>
              </w:rPr>
              <w:t>2025</w:t>
            </w:r>
            <w:r w:rsidRPr="000E4573">
              <w:rPr>
                <w:i/>
                <w:iCs/>
                <w:sz w:val="24"/>
                <w:szCs w:val="24"/>
              </w:rPr>
              <w:t>)</w:t>
            </w:r>
            <w:r w:rsidRPr="000E4573">
              <w:rPr>
                <w:sz w:val="24"/>
                <w:szCs w:val="24"/>
              </w:rPr>
              <w:t> and the </w:t>
            </w:r>
            <w:r w:rsidRPr="00EE7D20">
              <w:rPr>
                <w:sz w:val="24"/>
                <w:szCs w:val="24"/>
              </w:rPr>
              <w:t>Descant Trial</w:t>
            </w:r>
            <w:r w:rsidRPr="000E4573">
              <w:rPr>
                <w:sz w:val="24"/>
                <w:szCs w:val="24"/>
              </w:rPr>
              <w:t> (Hulbert et al., 2022) suggests that individuals with memory difficulties can manage independently with appropriate memory aids.</w:t>
            </w:r>
          </w:p>
          <w:p w14:paraId="29D06DFB" w14:textId="77777777" w:rsidR="002012C2" w:rsidRPr="000E4573" w:rsidRDefault="002012C2" w:rsidP="00DC7A9B">
            <w:pPr>
              <w:spacing w:line="360" w:lineRule="auto"/>
              <w:rPr>
                <w:sz w:val="24"/>
                <w:szCs w:val="24"/>
              </w:rPr>
            </w:pPr>
          </w:p>
          <w:p w14:paraId="5C70F26A" w14:textId="77777777" w:rsidR="009331B0" w:rsidRPr="000E4573" w:rsidRDefault="009331B0" w:rsidP="00DC7A9B">
            <w:pPr>
              <w:spacing w:line="360" w:lineRule="auto"/>
              <w:rPr>
                <w:sz w:val="24"/>
                <w:szCs w:val="24"/>
              </w:rPr>
            </w:pPr>
            <w:r w:rsidRPr="000E4573">
              <w:rPr>
                <w:sz w:val="24"/>
                <w:szCs w:val="24"/>
              </w:rPr>
              <w:t xml:space="preserve">As a former academic and author, Two may have responded well to written prompts placed around his flat. These could include reminders about appointments, care plans, or decision-making tools such as a balance sheet outlining pros and cons. However, Kapur et al. </w:t>
            </w:r>
            <w:r w:rsidRPr="000E4573">
              <w:rPr>
                <w:sz w:val="24"/>
                <w:szCs w:val="24"/>
              </w:rPr>
              <w:lastRenderedPageBreak/>
              <w:t>(2004) caution that such tools may be time-consuming and could cause confusion or anxiety.</w:t>
            </w:r>
          </w:p>
          <w:p w14:paraId="7410AD16" w14:textId="77777777" w:rsidR="009331B0" w:rsidRPr="000E4573" w:rsidRDefault="009331B0" w:rsidP="00DC7A9B">
            <w:pPr>
              <w:spacing w:line="360" w:lineRule="auto"/>
              <w:rPr>
                <w:sz w:val="24"/>
                <w:szCs w:val="24"/>
              </w:rPr>
            </w:pPr>
          </w:p>
          <w:p w14:paraId="3ECD2A5D" w14:textId="27BEB11F" w:rsidR="009331B0" w:rsidRPr="000E4573" w:rsidRDefault="009331B0" w:rsidP="00DC7A9B">
            <w:pPr>
              <w:spacing w:line="360" w:lineRule="auto"/>
              <w:rPr>
                <w:sz w:val="24"/>
                <w:szCs w:val="24"/>
              </w:rPr>
            </w:pPr>
            <w:r w:rsidRPr="1E1E0DF4">
              <w:rPr>
                <w:sz w:val="24"/>
                <w:szCs w:val="24"/>
              </w:rPr>
              <w:t xml:space="preserve">In conclusion, </w:t>
            </w:r>
            <w:r w:rsidR="00D34341" w:rsidRPr="1E1E0DF4">
              <w:rPr>
                <w:sz w:val="24"/>
                <w:szCs w:val="24"/>
              </w:rPr>
              <w:t>the</w:t>
            </w:r>
            <w:r w:rsidRPr="1E1E0DF4">
              <w:rPr>
                <w:sz w:val="24"/>
                <w:szCs w:val="24"/>
              </w:rPr>
              <w:t xml:space="preserve"> two options were </w:t>
            </w:r>
            <w:r w:rsidR="004A6683" w:rsidRPr="1E1E0DF4">
              <w:rPr>
                <w:sz w:val="24"/>
                <w:szCs w:val="24"/>
              </w:rPr>
              <w:t>complex</w:t>
            </w:r>
            <w:r w:rsidR="00D34341" w:rsidRPr="1E1E0DF4">
              <w:rPr>
                <w:sz w:val="24"/>
                <w:szCs w:val="24"/>
              </w:rPr>
              <w:t xml:space="preserve"> to action </w:t>
            </w:r>
            <w:r w:rsidRPr="1E1E0DF4">
              <w:rPr>
                <w:sz w:val="24"/>
                <w:szCs w:val="24"/>
              </w:rPr>
              <w:t xml:space="preserve">because Wales </w:t>
            </w:r>
            <w:r w:rsidR="00D34341" w:rsidRPr="1E1E0DF4">
              <w:rPr>
                <w:sz w:val="24"/>
                <w:szCs w:val="24"/>
              </w:rPr>
              <w:t>is</w:t>
            </w:r>
            <w:r w:rsidRPr="1E1E0DF4">
              <w:rPr>
                <w:sz w:val="24"/>
                <w:szCs w:val="24"/>
              </w:rPr>
              <w:t xml:space="preserve"> the poorest count</w:t>
            </w:r>
            <w:r w:rsidR="39F823B8" w:rsidRPr="1E1E0DF4">
              <w:rPr>
                <w:sz w:val="24"/>
                <w:szCs w:val="24"/>
              </w:rPr>
              <w:t>r</w:t>
            </w:r>
            <w:r w:rsidRPr="1E1E0DF4">
              <w:rPr>
                <w:sz w:val="24"/>
                <w:szCs w:val="24"/>
              </w:rPr>
              <w:t>y in the UK and the ongoing issues of carer</w:t>
            </w:r>
            <w:r w:rsidR="3DA92752" w:rsidRPr="1E1E0DF4">
              <w:rPr>
                <w:sz w:val="24"/>
                <w:szCs w:val="24"/>
              </w:rPr>
              <w:t xml:space="preserve"> </w:t>
            </w:r>
            <w:r w:rsidRPr="1E1E0DF4">
              <w:rPr>
                <w:sz w:val="24"/>
                <w:szCs w:val="24"/>
              </w:rPr>
              <w:t>s</w:t>
            </w:r>
            <w:r w:rsidR="068E085D" w:rsidRPr="1E1E0DF4">
              <w:rPr>
                <w:sz w:val="24"/>
                <w:szCs w:val="24"/>
              </w:rPr>
              <w:t>hortage</w:t>
            </w:r>
            <w:r w:rsidRPr="1E1E0DF4">
              <w:rPr>
                <w:sz w:val="24"/>
                <w:szCs w:val="24"/>
              </w:rPr>
              <w:t xml:space="preserve"> in the UK would have been difficult to support Two</w:t>
            </w:r>
            <w:r w:rsidR="7F72F93E" w:rsidRPr="1E1E0DF4">
              <w:rPr>
                <w:sz w:val="24"/>
                <w:szCs w:val="24"/>
              </w:rPr>
              <w:t xml:space="preserve"> (</w:t>
            </w:r>
            <w:r w:rsidR="002834D5" w:rsidRPr="004C5061">
              <w:rPr>
                <w:sz w:val="24"/>
                <w:szCs w:val="24"/>
              </w:rPr>
              <w:t>Joseph Rowntree Foundation</w:t>
            </w:r>
            <w:r w:rsidR="004C5061">
              <w:rPr>
                <w:sz w:val="24"/>
                <w:szCs w:val="24"/>
              </w:rPr>
              <w:t>,</w:t>
            </w:r>
            <w:r w:rsidR="002834D5" w:rsidRPr="002834D5">
              <w:rPr>
                <w:sz w:val="24"/>
                <w:szCs w:val="24"/>
              </w:rPr>
              <w:t>2025)</w:t>
            </w:r>
            <w:r w:rsidRPr="1E1E0DF4">
              <w:rPr>
                <w:sz w:val="24"/>
                <w:szCs w:val="24"/>
              </w:rPr>
              <w:t xml:space="preserve">. Ultimately the lack of resources further oppresses vulnerable individuals (Carter </w:t>
            </w:r>
            <w:r w:rsidR="00F0384F" w:rsidRPr="1E1E0DF4">
              <w:rPr>
                <w:sz w:val="24"/>
                <w:szCs w:val="24"/>
              </w:rPr>
              <w:t>et al</w:t>
            </w:r>
            <w:r w:rsidR="00ED6365" w:rsidRPr="1E1E0DF4">
              <w:rPr>
                <w:sz w:val="24"/>
                <w:szCs w:val="24"/>
              </w:rPr>
              <w:t>.</w:t>
            </w:r>
            <w:r w:rsidRPr="1E1E0DF4">
              <w:rPr>
                <w:sz w:val="24"/>
                <w:szCs w:val="24"/>
              </w:rPr>
              <w:t>, 2022)</w:t>
            </w:r>
          </w:p>
          <w:p w14:paraId="5FDF17E9" w14:textId="77777777" w:rsidR="009331B0" w:rsidRPr="000E4573" w:rsidRDefault="009331B0" w:rsidP="00DC7A9B">
            <w:pPr>
              <w:spacing w:line="360" w:lineRule="auto"/>
              <w:rPr>
                <w:sz w:val="24"/>
                <w:szCs w:val="24"/>
              </w:rPr>
            </w:pPr>
          </w:p>
          <w:p w14:paraId="0CA53597" w14:textId="77777777" w:rsidR="009331B0" w:rsidRPr="000E4573" w:rsidRDefault="009331B0" w:rsidP="00DC7A9B">
            <w:pPr>
              <w:spacing w:line="360" w:lineRule="auto"/>
              <w:rPr>
                <w:sz w:val="24"/>
                <w:szCs w:val="24"/>
              </w:rPr>
            </w:pPr>
            <w:r w:rsidRPr="000E4573">
              <w:rPr>
                <w:sz w:val="24"/>
                <w:szCs w:val="24"/>
              </w:rPr>
              <w:t xml:space="preserve">The visit was at 11:00 and I arrived at 11:08. Two then stated that I was late and he could have done a few things during this time. I apologised and explained that traffic was an issue, and I could not call him because I do not use my phone whilst driving. “You could have pulled over” Two responded. </w:t>
            </w:r>
          </w:p>
          <w:p w14:paraId="3905A391" w14:textId="77777777" w:rsidR="009331B0" w:rsidRPr="000E4573" w:rsidRDefault="009331B0" w:rsidP="00DC7A9B">
            <w:pPr>
              <w:spacing w:line="360" w:lineRule="auto"/>
              <w:rPr>
                <w:sz w:val="24"/>
                <w:szCs w:val="24"/>
              </w:rPr>
            </w:pPr>
          </w:p>
          <w:p w14:paraId="2860D6FB" w14:textId="77777777" w:rsidR="009331B0" w:rsidRPr="000E4573" w:rsidRDefault="009331B0" w:rsidP="00DC7A9B">
            <w:pPr>
              <w:spacing w:line="360" w:lineRule="auto"/>
              <w:rPr>
                <w:sz w:val="24"/>
                <w:szCs w:val="24"/>
              </w:rPr>
            </w:pPr>
            <w:r w:rsidRPr="000E4573">
              <w:rPr>
                <w:sz w:val="24"/>
                <w:szCs w:val="24"/>
              </w:rPr>
              <w:t>As mentioned earlier in this task, therapeutic deception in dementia care is to prevent distress when a patient repeatedly asks about a deceased loved one. In such cases, support workers may choose not to disclose the death, instead offering comforting alternatives such as saying the person has gone to the shops. This approach aims to avoid retraumatising the individual.</w:t>
            </w:r>
          </w:p>
          <w:p w14:paraId="262424D7" w14:textId="77777777" w:rsidR="009331B0" w:rsidRPr="000E4573" w:rsidRDefault="009331B0" w:rsidP="00DC7A9B">
            <w:pPr>
              <w:spacing w:line="360" w:lineRule="auto"/>
              <w:rPr>
                <w:sz w:val="24"/>
                <w:szCs w:val="24"/>
              </w:rPr>
            </w:pPr>
          </w:p>
          <w:p w14:paraId="53A614C9" w14:textId="7677BC29" w:rsidR="009331B0" w:rsidRPr="000E4573" w:rsidRDefault="009331B0" w:rsidP="00DC7A9B">
            <w:pPr>
              <w:spacing w:line="360" w:lineRule="auto"/>
              <w:rPr>
                <w:sz w:val="24"/>
                <w:szCs w:val="24"/>
              </w:rPr>
            </w:pPr>
            <w:r w:rsidRPr="000E4573">
              <w:rPr>
                <w:sz w:val="24"/>
                <w:szCs w:val="24"/>
              </w:rPr>
              <w:t xml:space="preserve">However, in the case of Two the use of therapeutic deception may not be appropriate </w:t>
            </w:r>
            <w:r w:rsidR="00EE785D" w:rsidRPr="000E4573">
              <w:rPr>
                <w:sz w:val="24"/>
                <w:szCs w:val="24"/>
              </w:rPr>
              <w:t>(</w:t>
            </w:r>
            <w:proofErr w:type="spellStart"/>
            <w:r w:rsidR="00EE785D" w:rsidRPr="000E4573">
              <w:rPr>
                <w:sz w:val="24"/>
                <w:szCs w:val="24"/>
              </w:rPr>
              <w:t>NeuroLaunch</w:t>
            </w:r>
            <w:proofErr w:type="spellEnd"/>
            <w:r w:rsidR="00EE785D" w:rsidRPr="000E4573">
              <w:rPr>
                <w:sz w:val="24"/>
                <w:szCs w:val="24"/>
              </w:rPr>
              <w:t>, 2024).</w:t>
            </w:r>
            <w:r w:rsidRPr="000E4573">
              <w:rPr>
                <w:sz w:val="24"/>
                <w:szCs w:val="24"/>
              </w:rPr>
              <w:t xml:space="preserve"> Although Two’s memory is impaired, he demonstrates the ability to recall specific events. During the visit, Two said “I was kidnapped by the people in XXXX. Brought up here and locked in this building and that was ten weeks ago. I just have not had any explanation or any documents”. Two did not have copies of his mental capacity assessments, care and treatment plans. These documents were given to him the week before we met.</w:t>
            </w:r>
          </w:p>
          <w:p w14:paraId="606FE1A5" w14:textId="77777777" w:rsidR="008845CA" w:rsidRPr="000E4573" w:rsidRDefault="008845CA" w:rsidP="00DC7A9B">
            <w:pPr>
              <w:spacing w:line="360" w:lineRule="auto"/>
              <w:rPr>
                <w:sz w:val="24"/>
                <w:szCs w:val="24"/>
              </w:rPr>
            </w:pPr>
          </w:p>
          <w:p w14:paraId="25784434" w14:textId="5D391660" w:rsidR="009331B0" w:rsidRPr="000E4573" w:rsidRDefault="009331B0" w:rsidP="00DC7A9B">
            <w:pPr>
              <w:spacing w:line="360" w:lineRule="auto"/>
              <w:rPr>
                <w:sz w:val="24"/>
                <w:szCs w:val="24"/>
              </w:rPr>
            </w:pPr>
            <w:r w:rsidRPr="1E1E0DF4">
              <w:rPr>
                <w:sz w:val="24"/>
                <w:szCs w:val="24"/>
              </w:rPr>
              <w:t>Two then stated that “I read the report by the barrister, and she said that she had been told that I was drinking three bottles of wine a day. Which is ridiculous. These people from XX and a nurse called XX had brought me up here and did not bring anything with me. My mother and sister have had to bring things up here.”</w:t>
            </w:r>
          </w:p>
          <w:p w14:paraId="11DD48EC" w14:textId="77777777" w:rsidR="009331B0" w:rsidRPr="000E4573" w:rsidRDefault="009331B0" w:rsidP="00DC7A9B">
            <w:pPr>
              <w:spacing w:line="360" w:lineRule="auto"/>
              <w:rPr>
                <w:sz w:val="24"/>
                <w:szCs w:val="24"/>
              </w:rPr>
            </w:pPr>
          </w:p>
          <w:p w14:paraId="71434AE4" w14:textId="70B13CE0" w:rsidR="009331B0" w:rsidRPr="000E4573" w:rsidRDefault="009331B0" w:rsidP="00DC7A9B">
            <w:pPr>
              <w:spacing w:line="360" w:lineRule="auto"/>
              <w:rPr>
                <w:sz w:val="24"/>
                <w:szCs w:val="24"/>
              </w:rPr>
            </w:pPr>
            <w:r w:rsidRPr="000E4573">
              <w:rPr>
                <w:sz w:val="24"/>
                <w:szCs w:val="24"/>
              </w:rPr>
              <w:t>Additional examples include, when I asked him if he was happy at the supported accommodation he said “they are very good here. They took me to London on Monday. I was going to three meetings I am just writing my 17</w:t>
            </w:r>
            <w:r w:rsidRPr="000E4573">
              <w:rPr>
                <w:sz w:val="24"/>
                <w:szCs w:val="24"/>
                <w:vertAlign w:val="superscript"/>
              </w:rPr>
              <w:t>th</w:t>
            </w:r>
            <w:r w:rsidRPr="000E4573">
              <w:rPr>
                <w:sz w:val="24"/>
                <w:szCs w:val="24"/>
              </w:rPr>
              <w:t xml:space="preserve"> book. I was going to meet a woman an archivist. Sadly, she is retiring on the 13th of September. I arranged to meet at 14:00 but we arrived at 17:00. I had to miss the other two meetings. I was going to see my editor. I had pizza express for the first time. I am sure you have it all the time. I then phoned here (the home) to get the guy who had driven me, to came back because I was finished. We started driving at 19:30 but it was a catastrophe because there was one crash. The second problem was that we were diverted. We arrived at 01:30.” Two was able to inform me that he attended the funeral of his former teacher. In conversations with the support staff, they all confirmed that these events occurred, and they were with him. These events suggest that Two retains some capacity for memory and understanding, raising ethical concerns about the use of therapeutic deception in his care</w:t>
            </w:r>
            <w:r w:rsidR="009D0D3E" w:rsidRPr="000E4573">
              <w:rPr>
                <w:sz w:val="24"/>
                <w:szCs w:val="24"/>
              </w:rPr>
              <w:t xml:space="preserve"> (</w:t>
            </w:r>
            <w:proofErr w:type="spellStart"/>
            <w:r w:rsidR="009D0D3E" w:rsidRPr="000E4573">
              <w:rPr>
                <w:sz w:val="24"/>
                <w:szCs w:val="24"/>
              </w:rPr>
              <w:t>NeuroLaunch</w:t>
            </w:r>
            <w:proofErr w:type="spellEnd"/>
            <w:r w:rsidR="009D0D3E" w:rsidRPr="000E4573">
              <w:rPr>
                <w:sz w:val="24"/>
                <w:szCs w:val="24"/>
              </w:rPr>
              <w:t>, 2024).</w:t>
            </w:r>
          </w:p>
          <w:p w14:paraId="3D9CFFC5" w14:textId="77777777" w:rsidR="009331B0" w:rsidRPr="000E4573" w:rsidRDefault="009331B0" w:rsidP="00DC7A9B">
            <w:pPr>
              <w:spacing w:line="360" w:lineRule="auto"/>
              <w:rPr>
                <w:sz w:val="24"/>
                <w:szCs w:val="24"/>
              </w:rPr>
            </w:pPr>
          </w:p>
          <w:p w14:paraId="779B6B09" w14:textId="2EC4BBED" w:rsidR="00CE0BF5" w:rsidRPr="000E4573" w:rsidRDefault="009331B0" w:rsidP="00DC7A9B">
            <w:pPr>
              <w:spacing w:line="360" w:lineRule="auto"/>
              <w:rPr>
                <w:sz w:val="24"/>
                <w:szCs w:val="24"/>
              </w:rPr>
            </w:pPr>
            <w:r w:rsidRPr="1E1E0DF4">
              <w:rPr>
                <w:sz w:val="24"/>
                <w:szCs w:val="24"/>
              </w:rPr>
              <w:t>In a conversation with Two’s former psychological nurse after his assessment, she justified the use of therapeutic deception by stating “I would rather attend the Court of Protection than an inquest</w:t>
            </w:r>
            <w:bookmarkStart w:id="0" w:name="_Hlk208370793"/>
            <w:r w:rsidR="00905FE9">
              <w:rPr>
                <w:sz w:val="24"/>
                <w:szCs w:val="24"/>
              </w:rPr>
              <w:t>”. This ri</w:t>
            </w:r>
            <w:r w:rsidR="00205F5D">
              <w:rPr>
                <w:sz w:val="24"/>
                <w:szCs w:val="24"/>
              </w:rPr>
              <w:t xml:space="preserve">sk adverse approach is understandable </w:t>
            </w:r>
            <w:proofErr w:type="gramStart"/>
            <w:r w:rsidR="00205F5D">
              <w:rPr>
                <w:sz w:val="24"/>
                <w:szCs w:val="24"/>
              </w:rPr>
              <w:t xml:space="preserve">because </w:t>
            </w:r>
            <w:r w:rsidR="00905FE9" w:rsidRPr="00905FE9">
              <w:rPr>
                <w:rFonts w:ascii="Segoe UI" w:hAnsi="Segoe UI" w:cs="Segoe UI"/>
                <w:color w:val="424242"/>
                <w:shd w:val="clear" w:color="auto" w:fill="FAFAFA"/>
              </w:rPr>
              <w:t xml:space="preserve"> </w:t>
            </w:r>
            <w:r w:rsidR="00905FE9" w:rsidRPr="00905FE9">
              <w:rPr>
                <w:sz w:val="24"/>
                <w:szCs w:val="24"/>
              </w:rPr>
              <w:t>Riolo</w:t>
            </w:r>
            <w:proofErr w:type="gramEnd"/>
            <w:r w:rsidR="00905FE9" w:rsidRPr="00905FE9">
              <w:rPr>
                <w:sz w:val="24"/>
                <w:szCs w:val="24"/>
              </w:rPr>
              <w:t xml:space="preserve"> (2017) notes that mental health professionals may engage in defensive psychiatry to mitigate legal risk. This approach is particularly common among those previously involved in inquests where they perceived responsibility for a</w:t>
            </w:r>
            <w:r w:rsidR="00B40531">
              <w:rPr>
                <w:sz w:val="24"/>
                <w:szCs w:val="24"/>
              </w:rPr>
              <w:t xml:space="preserve">n </w:t>
            </w:r>
            <w:proofErr w:type="gramStart"/>
            <w:r w:rsidR="00B40531">
              <w:rPr>
                <w:sz w:val="24"/>
                <w:szCs w:val="24"/>
              </w:rPr>
              <w:t xml:space="preserve">individual’s </w:t>
            </w:r>
            <w:r w:rsidR="00905FE9" w:rsidRPr="00905FE9">
              <w:rPr>
                <w:sz w:val="24"/>
                <w:szCs w:val="24"/>
              </w:rPr>
              <w:t xml:space="preserve"> death</w:t>
            </w:r>
            <w:proofErr w:type="gramEnd"/>
            <w:r w:rsidR="00905FE9" w:rsidRPr="00905FE9">
              <w:rPr>
                <w:sz w:val="24"/>
                <w:szCs w:val="24"/>
              </w:rPr>
              <w:t xml:space="preserve"> (Tamworth et al., 2025</w:t>
            </w:r>
            <w:proofErr w:type="gramStart"/>
            <w:r w:rsidR="00905FE9" w:rsidRPr="00905FE9">
              <w:rPr>
                <w:sz w:val="24"/>
                <w:szCs w:val="24"/>
              </w:rPr>
              <w:t>).</w:t>
            </w:r>
            <w:proofErr w:type="spellStart"/>
            <w:r w:rsidRPr="1E1E0DF4">
              <w:rPr>
                <w:sz w:val="24"/>
                <w:szCs w:val="24"/>
              </w:rPr>
              <w:t>Corteen</w:t>
            </w:r>
            <w:proofErr w:type="spellEnd"/>
            <w:proofErr w:type="gramEnd"/>
            <w:r w:rsidRPr="1E1E0DF4">
              <w:rPr>
                <w:sz w:val="24"/>
                <w:szCs w:val="24"/>
              </w:rPr>
              <w:t xml:space="preserve"> et al. (2014) </w:t>
            </w:r>
            <w:bookmarkEnd w:id="0"/>
            <w:r w:rsidRPr="1E1E0DF4">
              <w:rPr>
                <w:sz w:val="24"/>
                <w:szCs w:val="24"/>
              </w:rPr>
              <w:t>and Tamworth et al (2025) both highlight in their writings that the emotional toll on the professionals often leads to restrictive practices and not in the vulnerable individual’s be</w:t>
            </w:r>
            <w:r w:rsidR="2D989B75" w:rsidRPr="1E1E0DF4">
              <w:rPr>
                <w:sz w:val="24"/>
                <w:szCs w:val="24"/>
              </w:rPr>
              <w:t>st</w:t>
            </w:r>
            <w:r w:rsidRPr="1E1E0DF4">
              <w:rPr>
                <w:sz w:val="24"/>
                <w:szCs w:val="24"/>
              </w:rPr>
              <w:t xml:space="preserve"> interest.</w:t>
            </w:r>
            <w:r w:rsidR="00CE0BF5" w:rsidRPr="1E1E0DF4">
              <w:rPr>
                <w:sz w:val="24"/>
                <w:szCs w:val="24"/>
              </w:rPr>
              <w:t xml:space="preserve"> </w:t>
            </w:r>
            <w:proofErr w:type="spellStart"/>
            <w:r w:rsidRPr="1E1E0DF4">
              <w:rPr>
                <w:sz w:val="24"/>
                <w:szCs w:val="24"/>
              </w:rPr>
              <w:t>Kallert</w:t>
            </w:r>
            <w:proofErr w:type="spellEnd"/>
            <w:r w:rsidRPr="1E1E0DF4">
              <w:rPr>
                <w:sz w:val="24"/>
                <w:szCs w:val="24"/>
              </w:rPr>
              <w:t xml:space="preserve"> et al (2017) highlights the tension mental health professionals face when balancing risk management with ethical </w:t>
            </w:r>
            <w:proofErr w:type="spellStart"/>
            <w:proofErr w:type="gramStart"/>
            <w:r w:rsidRPr="1E1E0DF4">
              <w:rPr>
                <w:sz w:val="24"/>
                <w:szCs w:val="24"/>
              </w:rPr>
              <w:t>practice.</w:t>
            </w:r>
            <w:r w:rsidR="0091149B">
              <w:rPr>
                <w:sz w:val="24"/>
                <w:szCs w:val="24"/>
              </w:rPr>
              <w:t>In</w:t>
            </w:r>
            <w:proofErr w:type="spellEnd"/>
            <w:proofErr w:type="gramEnd"/>
            <w:r w:rsidR="0091149B">
              <w:rPr>
                <w:sz w:val="24"/>
                <w:szCs w:val="24"/>
              </w:rPr>
              <w:t xml:space="preserve"> hindsight,</w:t>
            </w:r>
            <w:r w:rsidRPr="1E1E0DF4">
              <w:rPr>
                <w:sz w:val="24"/>
                <w:szCs w:val="24"/>
              </w:rPr>
              <w:t xml:space="preserve"> </w:t>
            </w:r>
            <w:r w:rsidR="0091149B">
              <w:rPr>
                <w:sz w:val="24"/>
                <w:szCs w:val="24"/>
              </w:rPr>
              <w:t>r</w:t>
            </w:r>
            <w:r w:rsidRPr="1E1E0DF4">
              <w:rPr>
                <w:sz w:val="24"/>
                <w:szCs w:val="24"/>
              </w:rPr>
              <w:t>isk aversion is understandable particularly given the accusatory and emotional to</w:t>
            </w:r>
            <w:r w:rsidR="0C215966" w:rsidRPr="1E1E0DF4">
              <w:rPr>
                <w:sz w:val="24"/>
                <w:szCs w:val="24"/>
              </w:rPr>
              <w:t>l</w:t>
            </w:r>
            <w:r w:rsidRPr="1E1E0DF4">
              <w:rPr>
                <w:sz w:val="24"/>
                <w:szCs w:val="24"/>
              </w:rPr>
              <w:t>l</w:t>
            </w:r>
            <w:r w:rsidR="0CCD5B16" w:rsidRPr="1E1E0DF4">
              <w:rPr>
                <w:sz w:val="24"/>
                <w:szCs w:val="24"/>
              </w:rPr>
              <w:t>,</w:t>
            </w:r>
            <w:r w:rsidRPr="1E1E0DF4">
              <w:rPr>
                <w:sz w:val="24"/>
                <w:szCs w:val="24"/>
              </w:rPr>
              <w:t xml:space="preserve"> inquests ha</w:t>
            </w:r>
            <w:r w:rsidR="6DEBEDA4" w:rsidRPr="1E1E0DF4">
              <w:rPr>
                <w:sz w:val="24"/>
                <w:szCs w:val="24"/>
              </w:rPr>
              <w:t>ve</w:t>
            </w:r>
            <w:r w:rsidRPr="1E1E0DF4">
              <w:rPr>
                <w:sz w:val="24"/>
                <w:szCs w:val="24"/>
              </w:rPr>
              <w:t xml:space="preserve"> on professionals (</w:t>
            </w:r>
            <w:proofErr w:type="spellStart"/>
            <w:r w:rsidRPr="1E1E0DF4">
              <w:rPr>
                <w:sz w:val="24"/>
                <w:szCs w:val="24"/>
              </w:rPr>
              <w:t>Corteen</w:t>
            </w:r>
            <w:proofErr w:type="spellEnd"/>
            <w:r w:rsidRPr="1E1E0DF4">
              <w:rPr>
                <w:sz w:val="24"/>
                <w:szCs w:val="24"/>
              </w:rPr>
              <w:t xml:space="preserve"> et al. 2014)</w:t>
            </w:r>
            <w:r w:rsidR="00145C5D" w:rsidRPr="1E1E0DF4">
              <w:rPr>
                <w:sz w:val="24"/>
                <w:szCs w:val="24"/>
              </w:rPr>
              <w:t>.</w:t>
            </w:r>
          </w:p>
          <w:p w14:paraId="337FF85E" w14:textId="77777777" w:rsidR="002A2D4C" w:rsidRPr="00482E8D" w:rsidRDefault="002A2D4C" w:rsidP="00DC7A9B">
            <w:pPr>
              <w:spacing w:line="360" w:lineRule="auto"/>
              <w:rPr>
                <w:i/>
                <w:iCs/>
                <w:sz w:val="24"/>
                <w:szCs w:val="24"/>
              </w:rPr>
            </w:pPr>
          </w:p>
          <w:p w14:paraId="6ECE1CA5" w14:textId="4FF57C55" w:rsidR="009331B0" w:rsidRPr="000E4573" w:rsidRDefault="002A2D4C" w:rsidP="00DC7A9B">
            <w:pPr>
              <w:spacing w:line="360" w:lineRule="auto"/>
              <w:rPr>
                <w:sz w:val="24"/>
                <w:szCs w:val="24"/>
              </w:rPr>
            </w:pPr>
            <w:r w:rsidRPr="00482E8D">
              <w:rPr>
                <w:i/>
                <w:iCs/>
                <w:sz w:val="24"/>
                <w:szCs w:val="24"/>
              </w:rPr>
              <w:t>T</w:t>
            </w:r>
            <w:r w:rsidR="009331B0" w:rsidRPr="00482E8D">
              <w:rPr>
                <w:i/>
                <w:iCs/>
                <w:sz w:val="24"/>
                <w:szCs w:val="24"/>
              </w:rPr>
              <w:t>he Mental Capacity Act</w:t>
            </w:r>
            <w:r w:rsidR="00482E8D" w:rsidRPr="00482E8D">
              <w:rPr>
                <w:i/>
                <w:iCs/>
                <w:sz w:val="24"/>
                <w:szCs w:val="24"/>
              </w:rPr>
              <w:t xml:space="preserve"> (MCA)</w:t>
            </w:r>
            <w:r w:rsidR="009331B0" w:rsidRPr="00482E8D">
              <w:rPr>
                <w:i/>
                <w:iCs/>
                <w:sz w:val="24"/>
                <w:szCs w:val="24"/>
              </w:rPr>
              <w:t>2005</w:t>
            </w:r>
            <w:r w:rsidR="009331B0" w:rsidRPr="1E1E0DF4">
              <w:rPr>
                <w:sz w:val="24"/>
                <w:szCs w:val="24"/>
              </w:rPr>
              <w:t xml:space="preserve"> provide guidance on how to support individuals who may lack capacity. The act has five key principals. In this task, I will be highlighting two of the five principles which is that any support provided should be in their best interest and </w:t>
            </w:r>
            <w:r w:rsidR="009331B0" w:rsidRPr="1E1E0DF4">
              <w:rPr>
                <w:sz w:val="24"/>
                <w:szCs w:val="24"/>
              </w:rPr>
              <w:lastRenderedPageBreak/>
              <w:t>least restrictive. By applying these two principles of the act</w:t>
            </w:r>
            <w:r w:rsidR="0E2238F7" w:rsidRPr="1E1E0DF4">
              <w:rPr>
                <w:sz w:val="24"/>
                <w:szCs w:val="24"/>
              </w:rPr>
              <w:t>,</w:t>
            </w:r>
            <w:r w:rsidR="009331B0" w:rsidRPr="1E1E0DF4">
              <w:rPr>
                <w:sz w:val="24"/>
                <w:szCs w:val="24"/>
              </w:rPr>
              <w:t xml:space="preserve"> the vulnerable individual’s rights are protected even in the context of safeguarding</w:t>
            </w:r>
          </w:p>
          <w:p w14:paraId="742DE252" w14:textId="77777777" w:rsidR="009331B0" w:rsidRPr="000E4573" w:rsidRDefault="009331B0" w:rsidP="00DC7A9B">
            <w:pPr>
              <w:spacing w:line="360" w:lineRule="auto"/>
              <w:rPr>
                <w:sz w:val="24"/>
                <w:szCs w:val="24"/>
              </w:rPr>
            </w:pPr>
          </w:p>
          <w:p w14:paraId="1F5051B6" w14:textId="7E66FC99" w:rsidR="009331B0" w:rsidRPr="000E4573" w:rsidRDefault="009331B0" w:rsidP="00DC7A9B">
            <w:pPr>
              <w:spacing w:line="360" w:lineRule="auto"/>
              <w:rPr>
                <w:sz w:val="24"/>
                <w:szCs w:val="24"/>
              </w:rPr>
            </w:pPr>
            <w:r w:rsidRPr="1E1E0DF4">
              <w:rPr>
                <w:sz w:val="24"/>
                <w:szCs w:val="24"/>
              </w:rPr>
              <w:t>In the case of NHS Trust v XB [2020] EWCOP 71, the court authorised</w:t>
            </w:r>
            <w:r w:rsidR="00E5272D" w:rsidRPr="1E1E0DF4">
              <w:rPr>
                <w:sz w:val="24"/>
                <w:szCs w:val="24"/>
              </w:rPr>
              <w:t xml:space="preserve"> </w:t>
            </w:r>
            <w:r w:rsidR="008C6E19" w:rsidRPr="1E1E0DF4">
              <w:rPr>
                <w:sz w:val="24"/>
                <w:szCs w:val="24"/>
              </w:rPr>
              <w:t>therapeutic</w:t>
            </w:r>
            <w:r w:rsidR="00E5272D" w:rsidRPr="1E1E0DF4">
              <w:rPr>
                <w:sz w:val="24"/>
                <w:szCs w:val="24"/>
              </w:rPr>
              <w:t xml:space="preserve"> </w:t>
            </w:r>
            <w:r w:rsidR="008C6E19" w:rsidRPr="1E1E0DF4">
              <w:rPr>
                <w:sz w:val="24"/>
                <w:szCs w:val="24"/>
              </w:rPr>
              <w:t xml:space="preserve">deception by allowing </w:t>
            </w:r>
            <w:r w:rsidRPr="1E1E0DF4">
              <w:rPr>
                <w:sz w:val="24"/>
                <w:szCs w:val="24"/>
              </w:rPr>
              <w:t>the covert administration of medication to a man with treatment-resistant paranoid schizophrenia and severe hypertension. XB lacked insight into his condition and refused treatment. The court found that he lacked capacity and ruled that therapeutic deception was in his best interests. Importantly, the judgment emphasised the involvement of family under Section 4 of the</w:t>
            </w:r>
            <w:r w:rsidR="00482E8D">
              <w:rPr>
                <w:sz w:val="24"/>
                <w:szCs w:val="24"/>
              </w:rPr>
              <w:t xml:space="preserve"> </w:t>
            </w:r>
            <w:r w:rsidR="00624730" w:rsidRPr="00624730">
              <w:rPr>
                <w:i/>
                <w:iCs/>
                <w:sz w:val="24"/>
                <w:szCs w:val="24"/>
              </w:rPr>
              <w:t>MCA 2005</w:t>
            </w:r>
            <w:r w:rsidRPr="1E1E0DF4">
              <w:rPr>
                <w:sz w:val="24"/>
                <w:szCs w:val="24"/>
              </w:rPr>
              <w:t xml:space="preserve"> Though the above example is not Parkinson’s specific, however it highlights that therapeutic deception could be legally used in mental health to support and safeguard vulnerable individuals. The case also highlights the contradiction in legislation to guide professionals and the legislation to promote the human rights and best interest of the vulnerable individuals being supported (Carr and </w:t>
            </w:r>
            <w:proofErr w:type="spellStart"/>
            <w:r w:rsidRPr="1E1E0DF4">
              <w:rPr>
                <w:sz w:val="24"/>
                <w:szCs w:val="24"/>
              </w:rPr>
              <w:t>Goosey</w:t>
            </w:r>
            <w:proofErr w:type="spellEnd"/>
            <w:r w:rsidRPr="1E1E0DF4">
              <w:rPr>
                <w:sz w:val="24"/>
                <w:szCs w:val="24"/>
              </w:rPr>
              <w:t>, 2017).</w:t>
            </w:r>
          </w:p>
          <w:p w14:paraId="675B7893" w14:textId="77777777" w:rsidR="009331B0" w:rsidRPr="000E4573" w:rsidRDefault="009331B0" w:rsidP="00DC7A9B">
            <w:pPr>
              <w:spacing w:line="360" w:lineRule="auto"/>
              <w:rPr>
                <w:sz w:val="24"/>
                <w:szCs w:val="24"/>
              </w:rPr>
            </w:pPr>
          </w:p>
          <w:p w14:paraId="3B2D87DA" w14:textId="55181434" w:rsidR="009331B0" w:rsidRPr="000E4573" w:rsidRDefault="009331B0" w:rsidP="00DC7A9B">
            <w:pPr>
              <w:spacing w:line="360" w:lineRule="auto"/>
              <w:rPr>
                <w:sz w:val="24"/>
                <w:szCs w:val="24"/>
              </w:rPr>
            </w:pPr>
            <w:r w:rsidRPr="1E1E0DF4">
              <w:rPr>
                <w:sz w:val="24"/>
                <w:szCs w:val="24"/>
              </w:rPr>
              <w:t xml:space="preserve">When asked whether he would recognise when it was time to move into supported accommodation, Two replied, “That is a good question,” but did not elaborate. This response suggests some level of insight, although limited. In hindsight, the use of therapeutic deception in Two’s case may have been overly restrictive and not aligned with the principles of the </w:t>
            </w:r>
            <w:r w:rsidR="00080D23" w:rsidRPr="00080D23">
              <w:rPr>
                <w:i/>
                <w:iCs/>
                <w:sz w:val="24"/>
                <w:szCs w:val="24"/>
              </w:rPr>
              <w:t>MCA</w:t>
            </w:r>
            <w:r w:rsidR="00624730">
              <w:rPr>
                <w:i/>
                <w:iCs/>
                <w:sz w:val="24"/>
                <w:szCs w:val="24"/>
              </w:rPr>
              <w:t xml:space="preserve"> </w:t>
            </w:r>
            <w:r w:rsidRPr="00080D23">
              <w:rPr>
                <w:i/>
                <w:iCs/>
                <w:sz w:val="24"/>
                <w:szCs w:val="24"/>
              </w:rPr>
              <w:t>2005</w:t>
            </w:r>
            <w:r w:rsidRPr="1E1E0DF4">
              <w:rPr>
                <w:sz w:val="24"/>
                <w:szCs w:val="24"/>
              </w:rPr>
              <w:t xml:space="preserve">. </w:t>
            </w:r>
            <w:r w:rsidR="77E5CE60" w:rsidRPr="1E1E0DF4">
              <w:rPr>
                <w:sz w:val="24"/>
                <w:szCs w:val="24"/>
              </w:rPr>
              <w:t>S</w:t>
            </w:r>
            <w:r w:rsidRPr="1E1E0DF4">
              <w:rPr>
                <w:sz w:val="24"/>
                <w:szCs w:val="24"/>
              </w:rPr>
              <w:t>afeguarding remains paramount as emphasised in the National Occupational Standards (Nos) part 12</w:t>
            </w:r>
            <w:r w:rsidR="33417F71" w:rsidRPr="1E1E0DF4">
              <w:rPr>
                <w:sz w:val="24"/>
                <w:szCs w:val="24"/>
              </w:rPr>
              <w:t>,</w:t>
            </w:r>
            <w:r w:rsidRPr="1E1E0DF4">
              <w:rPr>
                <w:sz w:val="24"/>
                <w:szCs w:val="24"/>
              </w:rPr>
              <w:t xml:space="preserve"> which states that social workers should be able “assess needs, risks and circumstances” (SCW, 2011). Safeguarding must be balanced with legal and ethical obligations to uphold autonomy and dignity (Banks, 2012).</w:t>
            </w:r>
          </w:p>
          <w:p w14:paraId="5CC197FA" w14:textId="77777777" w:rsidR="009331B0" w:rsidRPr="000E4573" w:rsidRDefault="009331B0" w:rsidP="00DC7A9B">
            <w:pPr>
              <w:spacing w:line="360" w:lineRule="auto"/>
              <w:rPr>
                <w:sz w:val="24"/>
                <w:szCs w:val="24"/>
              </w:rPr>
            </w:pPr>
          </w:p>
          <w:p w14:paraId="60D71B4C" w14:textId="14361BBA" w:rsidR="00D528ED" w:rsidRPr="000E4573" w:rsidRDefault="009331B0" w:rsidP="00DC7A9B">
            <w:pPr>
              <w:spacing w:line="360" w:lineRule="auto"/>
              <w:rPr>
                <w:sz w:val="24"/>
                <w:szCs w:val="24"/>
              </w:rPr>
            </w:pPr>
            <w:r w:rsidRPr="1E1E0DF4">
              <w:rPr>
                <w:sz w:val="24"/>
                <w:szCs w:val="24"/>
              </w:rPr>
              <w:t xml:space="preserve">Reflexivity in reflection is crucial in social </w:t>
            </w:r>
            <w:r w:rsidR="00FD1F38" w:rsidRPr="1E1E0DF4">
              <w:rPr>
                <w:sz w:val="24"/>
                <w:szCs w:val="24"/>
              </w:rPr>
              <w:t>work,</w:t>
            </w:r>
            <w:r w:rsidRPr="1E1E0DF4">
              <w:rPr>
                <w:sz w:val="24"/>
                <w:szCs w:val="24"/>
              </w:rPr>
              <w:t xml:space="preserve"> and it is important to write down my emotions during the </w:t>
            </w:r>
            <w:r w:rsidR="00820EBB" w:rsidRPr="1E1E0DF4">
              <w:rPr>
                <w:sz w:val="24"/>
                <w:szCs w:val="24"/>
              </w:rPr>
              <w:t>assessment (</w:t>
            </w:r>
            <w:r w:rsidRPr="1E1E0DF4">
              <w:rPr>
                <w:sz w:val="24"/>
                <w:szCs w:val="24"/>
              </w:rPr>
              <w:t>Teater,2020)</w:t>
            </w:r>
            <w:r w:rsidR="62831E6A" w:rsidRPr="1E1E0DF4">
              <w:rPr>
                <w:sz w:val="24"/>
                <w:szCs w:val="24"/>
              </w:rPr>
              <w:t>.</w:t>
            </w:r>
            <w:r w:rsidRPr="1E1E0DF4">
              <w:rPr>
                <w:sz w:val="24"/>
                <w:szCs w:val="24"/>
              </w:rPr>
              <w:t xml:space="preserve"> During the meeting, I experienced a noticeable power imbalance that made me feel vulnerable. As a social worker, I am often in situations where I advocate for individuals who are themselves vulnerable due to systemic inequalities (Baldwin, 2024). However, in this instance, I found myself in </w:t>
            </w:r>
            <w:r w:rsidR="00784BBC" w:rsidRPr="1E1E0DF4">
              <w:rPr>
                <w:sz w:val="24"/>
                <w:szCs w:val="24"/>
              </w:rPr>
              <w:t>a position of vulnerability</w:t>
            </w:r>
            <w:r w:rsidRPr="1E1E0DF4">
              <w:rPr>
                <w:sz w:val="24"/>
                <w:szCs w:val="24"/>
              </w:rPr>
              <w:t>, particularly because I was speaking with an academic.</w:t>
            </w:r>
            <w:r w:rsidR="00186AAE" w:rsidRPr="1E1E0DF4">
              <w:rPr>
                <w:sz w:val="24"/>
                <w:szCs w:val="24"/>
              </w:rPr>
              <w:t xml:space="preserve"> I felt academically inferior in comparison to him.</w:t>
            </w:r>
          </w:p>
          <w:p w14:paraId="0C066456" w14:textId="77777777" w:rsidR="00D528ED" w:rsidRPr="00B33F07" w:rsidRDefault="00D528ED" w:rsidP="00DC7A9B">
            <w:pPr>
              <w:spacing w:line="360" w:lineRule="auto"/>
              <w:rPr>
                <w:color w:val="4472C4" w:themeColor="accent1"/>
                <w:sz w:val="24"/>
                <w:szCs w:val="24"/>
              </w:rPr>
            </w:pPr>
          </w:p>
          <w:p w14:paraId="6E20E55B" w14:textId="33DC4353" w:rsidR="00B33F07" w:rsidRPr="00B33F07" w:rsidRDefault="00B33F07" w:rsidP="00B33F07">
            <w:pPr>
              <w:spacing w:line="360" w:lineRule="auto"/>
              <w:rPr>
                <w:sz w:val="24"/>
                <w:szCs w:val="24"/>
              </w:rPr>
            </w:pPr>
            <w:r w:rsidRPr="005972BD">
              <w:rPr>
                <w:color w:val="auto"/>
                <w:sz w:val="24"/>
                <w:szCs w:val="24"/>
              </w:rPr>
              <w:t>Durin</w:t>
            </w:r>
            <w:r w:rsidRPr="00B33F07">
              <w:rPr>
                <w:sz w:val="24"/>
                <w:szCs w:val="24"/>
              </w:rPr>
              <w:t xml:space="preserve">g the session, </w:t>
            </w:r>
            <w:r w:rsidR="00552788">
              <w:rPr>
                <w:sz w:val="24"/>
                <w:szCs w:val="24"/>
              </w:rPr>
              <w:t xml:space="preserve">Two asked me several times </w:t>
            </w:r>
            <w:r w:rsidRPr="00B33F07">
              <w:rPr>
                <w:sz w:val="24"/>
                <w:szCs w:val="24"/>
              </w:rPr>
              <w:t xml:space="preserve">about my country of origin and where I obtained my social work qualification. This line of questioning felt intrusive and left me feeling </w:t>
            </w:r>
            <w:r w:rsidR="00EE0A17">
              <w:rPr>
                <w:sz w:val="24"/>
                <w:szCs w:val="24"/>
              </w:rPr>
              <w:t>vulnerable</w:t>
            </w:r>
            <w:r w:rsidRPr="00B33F07">
              <w:rPr>
                <w:sz w:val="24"/>
                <w:szCs w:val="24"/>
              </w:rPr>
              <w:t>. Research highlights that social workers from ethnic minority backgrounds often face heightened scrutiny and systemic barriers when supporting vulnerable populations (Forbes &amp; Aziz, 2023).</w:t>
            </w:r>
            <w:r w:rsidR="00A21A28">
              <w:rPr>
                <w:sz w:val="24"/>
                <w:szCs w:val="24"/>
              </w:rPr>
              <w:t xml:space="preserve"> </w:t>
            </w:r>
            <w:r w:rsidRPr="00B33F07">
              <w:rPr>
                <w:sz w:val="24"/>
                <w:szCs w:val="24"/>
              </w:rPr>
              <w:t>I responded by stating that I am from Zimbabwe and qualified from a respected university in Wales. A</w:t>
            </w:r>
            <w:r w:rsidR="008670C1">
              <w:rPr>
                <w:sz w:val="24"/>
                <w:szCs w:val="24"/>
              </w:rPr>
              <w:t>nother</w:t>
            </w:r>
            <w:r w:rsidRPr="00B33F07">
              <w:rPr>
                <w:sz w:val="24"/>
                <w:szCs w:val="24"/>
              </w:rPr>
              <w:t xml:space="preserve"> subtle but unsettling moment occurred when </w:t>
            </w:r>
            <w:proofErr w:type="gramStart"/>
            <w:r w:rsidR="008670C1">
              <w:rPr>
                <w:sz w:val="24"/>
                <w:szCs w:val="24"/>
              </w:rPr>
              <w:t xml:space="preserve">he </w:t>
            </w:r>
            <w:r w:rsidRPr="00B33F07">
              <w:rPr>
                <w:sz w:val="24"/>
                <w:szCs w:val="24"/>
              </w:rPr>
              <w:t xml:space="preserve"> mentioned</w:t>
            </w:r>
            <w:proofErr w:type="gramEnd"/>
            <w:r w:rsidRPr="00B33F07">
              <w:rPr>
                <w:sz w:val="24"/>
                <w:szCs w:val="24"/>
              </w:rPr>
              <w:t xml:space="preserve"> his recent trip to London and remarked, “I had Pizza Express for the first time. I’m sure you’ve had it so many times.” I found this assumption</w:t>
            </w:r>
            <w:r w:rsidR="006F03A7">
              <w:rPr>
                <w:sz w:val="24"/>
                <w:szCs w:val="24"/>
              </w:rPr>
              <w:t xml:space="preserve"> significant and it offended </w:t>
            </w:r>
            <w:proofErr w:type="spellStart"/>
            <w:proofErr w:type="gramStart"/>
            <w:r w:rsidR="006F03A7">
              <w:rPr>
                <w:sz w:val="24"/>
                <w:szCs w:val="24"/>
              </w:rPr>
              <w:t>me</w:t>
            </w:r>
            <w:r w:rsidRPr="00B33F07">
              <w:rPr>
                <w:sz w:val="24"/>
                <w:szCs w:val="24"/>
              </w:rPr>
              <w:t>.While</w:t>
            </w:r>
            <w:proofErr w:type="spellEnd"/>
            <w:proofErr w:type="gramEnd"/>
            <w:r w:rsidRPr="00B33F07">
              <w:rPr>
                <w:sz w:val="24"/>
                <w:szCs w:val="24"/>
              </w:rPr>
              <w:t xml:space="preserve"> the comment may have been innocuous, my lived experience of racial bias and microaggressions has heightened my awareness of such interactions (</w:t>
            </w:r>
            <w:proofErr w:type="spellStart"/>
            <w:r w:rsidRPr="00B33F07">
              <w:rPr>
                <w:sz w:val="24"/>
                <w:szCs w:val="24"/>
              </w:rPr>
              <w:t>Tedam</w:t>
            </w:r>
            <w:proofErr w:type="spellEnd"/>
            <w:r w:rsidRPr="00B33F07">
              <w:rPr>
                <w:sz w:val="24"/>
                <w:szCs w:val="24"/>
              </w:rPr>
              <w:t>, 2023).</w:t>
            </w:r>
          </w:p>
          <w:p w14:paraId="57C5D571" w14:textId="77777777" w:rsidR="00B33F07" w:rsidRDefault="00B33F07" w:rsidP="00DC7A9B">
            <w:pPr>
              <w:spacing w:line="360" w:lineRule="auto"/>
              <w:rPr>
                <w:sz w:val="24"/>
                <w:szCs w:val="24"/>
              </w:rPr>
            </w:pPr>
          </w:p>
          <w:p w14:paraId="5787B228" w14:textId="3B00B1E4" w:rsidR="009331B0" w:rsidRPr="000E4573" w:rsidRDefault="009331B0" w:rsidP="00DC7A9B">
            <w:pPr>
              <w:spacing w:line="360" w:lineRule="auto"/>
              <w:rPr>
                <w:sz w:val="24"/>
                <w:szCs w:val="24"/>
              </w:rPr>
            </w:pPr>
            <w:proofErr w:type="spellStart"/>
            <w:r w:rsidRPr="000E4573">
              <w:rPr>
                <w:sz w:val="24"/>
                <w:szCs w:val="24"/>
              </w:rPr>
              <w:t>Tedam</w:t>
            </w:r>
            <w:proofErr w:type="spellEnd"/>
            <w:r w:rsidRPr="000E4573">
              <w:rPr>
                <w:sz w:val="24"/>
                <w:szCs w:val="24"/>
              </w:rPr>
              <w:t xml:space="preserve"> (202</w:t>
            </w:r>
            <w:r w:rsidR="0002778F">
              <w:rPr>
                <w:sz w:val="24"/>
                <w:szCs w:val="24"/>
              </w:rPr>
              <w:t>3</w:t>
            </w:r>
            <w:r w:rsidRPr="000E4573">
              <w:rPr>
                <w:sz w:val="24"/>
                <w:szCs w:val="24"/>
              </w:rPr>
              <w:t>) writes that microaggressions are often indirect, inconspicuous or accidental comments or behaviours that could have a cumulative impact on ethnic minority professionals, leading to feelings of isolation and low self-worth</w:t>
            </w:r>
            <w:r w:rsidR="00805861">
              <w:rPr>
                <w:sz w:val="24"/>
                <w:szCs w:val="24"/>
              </w:rPr>
              <w:t xml:space="preserve">. </w:t>
            </w:r>
            <w:r w:rsidRPr="000E4573">
              <w:rPr>
                <w:sz w:val="24"/>
                <w:szCs w:val="24"/>
              </w:rPr>
              <w:t>I later discussed this interaction with colleagues and a social worker friend. They shared similar experiences, noting that the academic sometimes struggled to take advice from professionals he perceived as less educated. This was reassuring, as it suggested that my reaction may not have been entirely based on overthinking. Nonetheless, I recognise that my experiences as an ethnic minority social worker have shaped how I perceive certain interactions (Equality &amp; Diversity UK, 2024). I believe it is important to explore these feelings further in supervision and with trusted peers. This will help me avoid automatically attributing difficult encounters to racial bias, while still validating my lived experience.</w:t>
            </w:r>
          </w:p>
          <w:p w14:paraId="0BCA9D6C" w14:textId="77777777" w:rsidR="009331B0" w:rsidRPr="000E4573" w:rsidRDefault="009331B0" w:rsidP="00DC7A9B">
            <w:pPr>
              <w:spacing w:line="360" w:lineRule="auto"/>
              <w:rPr>
                <w:sz w:val="24"/>
                <w:szCs w:val="24"/>
              </w:rPr>
            </w:pPr>
          </w:p>
          <w:p w14:paraId="7705F97E" w14:textId="627F8B50" w:rsidR="009331B0" w:rsidRPr="000E4573" w:rsidRDefault="009331B0" w:rsidP="00DC7A9B">
            <w:pPr>
              <w:spacing w:line="360" w:lineRule="auto"/>
              <w:rPr>
                <w:sz w:val="24"/>
                <w:szCs w:val="24"/>
              </w:rPr>
            </w:pPr>
            <w:r w:rsidRPr="000E4573">
              <w:rPr>
                <w:b/>
                <w:bCs/>
                <w:sz w:val="24"/>
                <w:szCs w:val="24"/>
              </w:rPr>
              <w:t>Abstract Conceptualisation:</w:t>
            </w:r>
          </w:p>
          <w:p w14:paraId="30E429EF" w14:textId="77777777" w:rsidR="00753DE5" w:rsidRPr="000E4573" w:rsidRDefault="009331B0" w:rsidP="00DC7A9B">
            <w:pPr>
              <w:spacing w:line="360" w:lineRule="auto"/>
              <w:rPr>
                <w:sz w:val="24"/>
                <w:szCs w:val="24"/>
              </w:rPr>
            </w:pPr>
            <w:r w:rsidRPr="000E4573">
              <w:rPr>
                <w:sz w:val="24"/>
                <w:szCs w:val="24"/>
              </w:rPr>
              <w:t xml:space="preserve">Erikson’s Stages of Psychosocial Development (Brown et al., 2003) was instrumental in helping me understand and assess Two, a 65-year-old individual. The theory outlines eight stages of development from infancy to late adulthood, each defined by a central psychosocial conflict. At 65, Two is in the final stage: Ego Integrity vs. Despair. This stage involves reflecting on one’s life and assessing whether it has been meaningful. A positive </w:t>
            </w:r>
            <w:r w:rsidRPr="000E4573">
              <w:rPr>
                <w:sz w:val="24"/>
                <w:szCs w:val="24"/>
              </w:rPr>
              <w:lastRenderedPageBreak/>
              <w:t>resolution leads to a sense of integrity and acceptance of life’s limitations, while a negative outcome may result in despair and regret. In Two’s case, he appeared to be questioning the value and meaning of his life, which aligns with the psychosocial conflict described in this stage. A positive outcome would involve Two accepting that he now requires support and can no longer live independently, without feeling diminished by this change. Erikson’s theory also influenced my decision to complete the statement over two or more face-to-face visits.</w:t>
            </w:r>
          </w:p>
          <w:p w14:paraId="4A3EAF62" w14:textId="61DB3098" w:rsidR="00753DE5" w:rsidRPr="000E4573" w:rsidRDefault="009331B0" w:rsidP="00DC7A9B">
            <w:pPr>
              <w:spacing w:line="360" w:lineRule="auto"/>
              <w:rPr>
                <w:sz w:val="24"/>
                <w:szCs w:val="24"/>
              </w:rPr>
            </w:pPr>
            <w:r w:rsidRPr="000E4573">
              <w:rPr>
                <w:sz w:val="24"/>
                <w:szCs w:val="24"/>
              </w:rPr>
              <w:t xml:space="preserve"> </w:t>
            </w:r>
          </w:p>
          <w:p w14:paraId="55E618CE" w14:textId="59F445D2" w:rsidR="009331B0" w:rsidRPr="000E4573" w:rsidRDefault="009331B0" w:rsidP="00DC7A9B">
            <w:pPr>
              <w:spacing w:line="360" w:lineRule="auto"/>
              <w:rPr>
                <w:sz w:val="24"/>
                <w:szCs w:val="24"/>
              </w:rPr>
            </w:pPr>
            <w:r w:rsidRPr="000E4573">
              <w:rPr>
                <w:sz w:val="24"/>
                <w:szCs w:val="24"/>
              </w:rPr>
              <w:t>This approach allowed for a more sensitive and person-centred engagement, respecting the emotional complexity of this life stage. However, I found limitations in applying Erikson’s theory. It is largely descriptive and lacks recent empirical support</w:t>
            </w:r>
            <w:r w:rsidR="004A1A38" w:rsidRPr="000E4573">
              <w:rPr>
                <w:sz w:val="24"/>
                <w:szCs w:val="24"/>
              </w:rPr>
              <w:t xml:space="preserve"> (</w:t>
            </w:r>
            <w:r w:rsidR="00F3591D" w:rsidRPr="000E4573">
              <w:rPr>
                <w:sz w:val="24"/>
                <w:szCs w:val="24"/>
              </w:rPr>
              <w:t>Bro</w:t>
            </w:r>
            <w:r w:rsidR="00D46F56" w:rsidRPr="000E4573">
              <w:rPr>
                <w:sz w:val="24"/>
                <w:szCs w:val="24"/>
              </w:rPr>
              <w:t>wn et al, 2003</w:t>
            </w:r>
            <w:r w:rsidR="004A1A38" w:rsidRPr="000E4573">
              <w:rPr>
                <w:sz w:val="24"/>
                <w:szCs w:val="24"/>
              </w:rPr>
              <w:t>)</w:t>
            </w:r>
            <w:r w:rsidRPr="000E4573">
              <w:rPr>
                <w:sz w:val="24"/>
                <w:szCs w:val="24"/>
              </w:rPr>
              <w:t xml:space="preserve"> Additionally, it has been criticised for being gender and culturally biased, which may limit its relevance in diverse contemporary contexts. With advances in healthcare and changing societal norms, older adults are living longer and remaining active in work and community life</w:t>
            </w:r>
            <w:r w:rsidR="004A1A38" w:rsidRPr="000E4573">
              <w:rPr>
                <w:sz w:val="24"/>
                <w:szCs w:val="24"/>
              </w:rPr>
              <w:t xml:space="preserve"> (</w:t>
            </w:r>
            <w:r w:rsidR="00157236" w:rsidRPr="000E4573">
              <w:rPr>
                <w:sz w:val="24"/>
                <w:szCs w:val="24"/>
              </w:rPr>
              <w:t>Storey, 2023).</w:t>
            </w:r>
            <w:r w:rsidR="003028F9">
              <w:rPr>
                <w:sz w:val="24"/>
                <w:szCs w:val="24"/>
              </w:rPr>
              <w:t xml:space="preserve"> </w:t>
            </w:r>
            <w:r w:rsidRPr="000E4573">
              <w:rPr>
                <w:sz w:val="24"/>
                <w:szCs w:val="24"/>
              </w:rPr>
              <w:t>In the UK, the number of employees aged 65 and over increased by 71,000 (6.3%) between May 2023 and May 2024, reaching 1.2 million. The average age of exit from the labour market has also risen to 65.7 years for men and 64.5 years for women (Department for Work and Pensions, 2024). Despite these limitations, I found the theory appropriate in this case, as it provided a useful framework for understanding Two’s emotional and psychological needs.</w:t>
            </w:r>
          </w:p>
          <w:p w14:paraId="1029300A" w14:textId="77777777" w:rsidR="006729F2" w:rsidRDefault="006729F2" w:rsidP="00DC7A9B">
            <w:pPr>
              <w:spacing w:line="360" w:lineRule="auto"/>
              <w:rPr>
                <w:sz w:val="24"/>
                <w:szCs w:val="24"/>
              </w:rPr>
            </w:pPr>
          </w:p>
          <w:p w14:paraId="47962A0E" w14:textId="24B55411" w:rsidR="009D7E51" w:rsidRPr="000E4573" w:rsidRDefault="009331B0" w:rsidP="00DC7A9B">
            <w:pPr>
              <w:spacing w:line="360" w:lineRule="auto"/>
              <w:rPr>
                <w:sz w:val="24"/>
                <w:szCs w:val="24"/>
              </w:rPr>
            </w:pPr>
            <w:r w:rsidRPr="000E4573">
              <w:rPr>
                <w:sz w:val="24"/>
                <w:szCs w:val="24"/>
              </w:rPr>
              <w:t xml:space="preserve">The primary legislation for mental health is the </w:t>
            </w:r>
            <w:r w:rsidRPr="0002778F">
              <w:rPr>
                <w:i/>
                <w:iCs/>
                <w:sz w:val="24"/>
                <w:szCs w:val="24"/>
              </w:rPr>
              <w:t>Mental Health Act (MHA) 1983</w:t>
            </w:r>
            <w:r w:rsidR="0002778F">
              <w:rPr>
                <w:sz w:val="24"/>
                <w:szCs w:val="24"/>
              </w:rPr>
              <w:t>.</w:t>
            </w:r>
            <w:r w:rsidRPr="000E4573">
              <w:rPr>
                <w:sz w:val="24"/>
                <w:szCs w:val="24"/>
              </w:rPr>
              <w:t xml:space="preserve"> This legislation informs us that individuals could be detained and assessed under Section(s)2 and s.3 of the MHA 1983. Under s 2, individuals may be detained for assessment for up to 28 days, while s.3 allows for longer-term detention for treatment and assessment purposes. However specific to Wales is the Code of Practice for the </w:t>
            </w:r>
            <w:r w:rsidR="00554F85" w:rsidRPr="000E4573">
              <w:rPr>
                <w:sz w:val="24"/>
                <w:szCs w:val="24"/>
              </w:rPr>
              <w:t>MHA</w:t>
            </w:r>
            <w:r w:rsidRPr="000E4573">
              <w:rPr>
                <w:sz w:val="24"/>
                <w:szCs w:val="24"/>
              </w:rPr>
              <w:t xml:space="preserve"> 1983 (Revised</w:t>
            </w:r>
            <w:r w:rsidRPr="000E4573">
              <w:rPr>
                <w:b/>
                <w:bCs/>
                <w:sz w:val="24"/>
                <w:szCs w:val="24"/>
              </w:rPr>
              <w:t xml:space="preserve"> </w:t>
            </w:r>
            <w:r w:rsidRPr="000E4573">
              <w:rPr>
                <w:sz w:val="24"/>
                <w:szCs w:val="24"/>
              </w:rPr>
              <w:t xml:space="preserve">2016) which informs professionals about the importance of promoting an individual’s rights, consents as well as addressing safeguarding issues. </w:t>
            </w:r>
          </w:p>
          <w:p w14:paraId="0F1CFDA7" w14:textId="77777777" w:rsidR="009D7E51" w:rsidRPr="000E4573" w:rsidRDefault="009D7E51" w:rsidP="00DC7A9B">
            <w:pPr>
              <w:spacing w:line="360" w:lineRule="auto"/>
              <w:rPr>
                <w:sz w:val="24"/>
                <w:szCs w:val="24"/>
              </w:rPr>
            </w:pPr>
          </w:p>
          <w:p w14:paraId="2FE797F6" w14:textId="3EF0057E" w:rsidR="009331B0" w:rsidRPr="000E4573" w:rsidRDefault="009331B0" w:rsidP="00DC7A9B">
            <w:pPr>
              <w:spacing w:line="360" w:lineRule="auto"/>
              <w:rPr>
                <w:sz w:val="24"/>
                <w:szCs w:val="24"/>
              </w:rPr>
            </w:pPr>
            <w:r w:rsidRPr="000E4573">
              <w:rPr>
                <w:sz w:val="24"/>
                <w:szCs w:val="24"/>
              </w:rPr>
              <w:t xml:space="preserve">The code of practice is a guide for professionals on how to support individuals and provides additional information for the families of the vulnerable individual. The Code also promotes collaborative work and a rights-based approach which ensures that vulnerable individuals </w:t>
            </w:r>
            <w:r w:rsidRPr="000E4573">
              <w:rPr>
                <w:sz w:val="24"/>
                <w:szCs w:val="24"/>
              </w:rPr>
              <w:lastRenderedPageBreak/>
              <w:t>are involve</w:t>
            </w:r>
            <w:r w:rsidR="00D83A8D">
              <w:rPr>
                <w:sz w:val="24"/>
                <w:szCs w:val="24"/>
              </w:rPr>
              <w:t>d</w:t>
            </w:r>
            <w:r w:rsidRPr="000E4573">
              <w:rPr>
                <w:sz w:val="24"/>
                <w:szCs w:val="24"/>
              </w:rPr>
              <w:t xml:space="preserve"> in their care and treatment planning. </w:t>
            </w:r>
            <w:r w:rsidRPr="00D83A8D">
              <w:rPr>
                <w:i/>
                <w:iCs/>
                <w:sz w:val="24"/>
                <w:szCs w:val="24"/>
              </w:rPr>
              <w:t>The Mental Health (Wales) Measure 2010</w:t>
            </w:r>
            <w:r w:rsidRPr="000E4573">
              <w:rPr>
                <w:sz w:val="24"/>
                <w:szCs w:val="24"/>
              </w:rPr>
              <w:t xml:space="preserve"> was briefly mentioned above, underpins the </w:t>
            </w:r>
            <w:r w:rsidRPr="00D83A8D">
              <w:rPr>
                <w:i/>
                <w:iCs/>
                <w:sz w:val="24"/>
                <w:szCs w:val="24"/>
              </w:rPr>
              <w:t>MHA 1983</w:t>
            </w:r>
            <w:r w:rsidRPr="000E4573">
              <w:rPr>
                <w:sz w:val="24"/>
                <w:szCs w:val="24"/>
              </w:rPr>
              <w:t xml:space="preserve"> by placing legal duties on the local authorities and health boards. The legislation highlights that individuals have a right to care coordination’s, a right to be reassessed if they have been detained on a s.3 of the MHA 1983, they have a right to s117 after care support.  The Measure also highlights the importance of advocacy services in mental health hospitals.</w:t>
            </w:r>
          </w:p>
          <w:p w14:paraId="417A8A65" w14:textId="77777777" w:rsidR="000C5DA6" w:rsidRDefault="000C5DA6" w:rsidP="00DC7A9B">
            <w:pPr>
              <w:spacing w:line="360" w:lineRule="auto"/>
              <w:rPr>
                <w:sz w:val="24"/>
                <w:szCs w:val="24"/>
              </w:rPr>
            </w:pPr>
          </w:p>
          <w:p w14:paraId="7A0983E0" w14:textId="7FD63A79" w:rsidR="009E3A6D" w:rsidRPr="0065350F" w:rsidRDefault="009E3A6D" w:rsidP="00DC7A9B">
            <w:pPr>
              <w:spacing w:line="360" w:lineRule="auto"/>
              <w:rPr>
                <w:color w:val="auto"/>
                <w:sz w:val="24"/>
                <w:szCs w:val="24"/>
              </w:rPr>
            </w:pPr>
            <w:r w:rsidRPr="0065350F">
              <w:rPr>
                <w:color w:val="auto"/>
                <w:sz w:val="24"/>
                <w:szCs w:val="24"/>
              </w:rPr>
              <w:t xml:space="preserve">Community mental health social workers must uphold the </w:t>
            </w:r>
            <w:r w:rsidRPr="0065350F">
              <w:rPr>
                <w:i/>
                <w:iCs/>
                <w:color w:val="auto"/>
                <w:sz w:val="24"/>
                <w:szCs w:val="24"/>
              </w:rPr>
              <w:t>Human Rights Act (HRA) 1998,</w:t>
            </w:r>
            <w:r w:rsidRPr="0065350F">
              <w:rPr>
                <w:color w:val="auto"/>
                <w:sz w:val="24"/>
                <w:szCs w:val="24"/>
              </w:rPr>
              <w:t xml:space="preserve"> particularly Articles 3, 5, and 8, which protect individuals from degrading treatment, ensure liberty and security, and safeguard private and family life. In Two’s </w:t>
            </w:r>
            <w:proofErr w:type="gramStart"/>
            <w:r w:rsidRPr="0065350F">
              <w:rPr>
                <w:color w:val="auto"/>
                <w:sz w:val="24"/>
                <w:szCs w:val="24"/>
              </w:rPr>
              <w:t xml:space="preserve">case, </w:t>
            </w:r>
            <w:r w:rsidR="00D83A8D" w:rsidRPr="0065350F">
              <w:rPr>
                <w:color w:val="auto"/>
                <w:sz w:val="24"/>
                <w:szCs w:val="24"/>
              </w:rPr>
              <w:t xml:space="preserve"> he</w:t>
            </w:r>
            <w:proofErr w:type="gramEnd"/>
            <w:r w:rsidR="00D83A8D" w:rsidRPr="0065350F">
              <w:rPr>
                <w:color w:val="auto"/>
                <w:sz w:val="24"/>
                <w:szCs w:val="24"/>
              </w:rPr>
              <w:t xml:space="preserve"> was </w:t>
            </w:r>
            <w:r w:rsidRPr="0065350F">
              <w:rPr>
                <w:color w:val="auto"/>
                <w:sz w:val="24"/>
                <w:szCs w:val="24"/>
              </w:rPr>
              <w:t xml:space="preserve">detained under </w:t>
            </w:r>
            <w:r w:rsidR="00D83A8D" w:rsidRPr="0065350F">
              <w:rPr>
                <w:color w:val="auto"/>
                <w:sz w:val="24"/>
                <w:szCs w:val="24"/>
              </w:rPr>
              <w:t>s</w:t>
            </w:r>
            <w:r w:rsidRPr="0065350F">
              <w:rPr>
                <w:color w:val="auto"/>
                <w:sz w:val="24"/>
                <w:szCs w:val="24"/>
              </w:rPr>
              <w:t xml:space="preserve">3 of the </w:t>
            </w:r>
            <w:r w:rsidR="00D83A8D" w:rsidRPr="0065350F">
              <w:rPr>
                <w:i/>
                <w:iCs/>
                <w:color w:val="auto"/>
                <w:sz w:val="24"/>
                <w:szCs w:val="24"/>
              </w:rPr>
              <w:t>MHA</w:t>
            </w:r>
            <w:r w:rsidRPr="0065350F">
              <w:rPr>
                <w:i/>
                <w:iCs/>
                <w:color w:val="auto"/>
                <w:sz w:val="24"/>
                <w:szCs w:val="24"/>
              </w:rPr>
              <w:t xml:space="preserve"> 1983</w:t>
            </w:r>
            <w:r w:rsidRPr="0065350F">
              <w:rPr>
                <w:color w:val="auto"/>
                <w:sz w:val="24"/>
                <w:szCs w:val="24"/>
              </w:rPr>
              <w:t>, his expressed distress and feeling of being “kidnapped” warrant careful consideration of his Article 8 rights. While he remains in contact with family and is not at immediate risk in supported accommodation, his wish to return home should be reviewed within a rights-based framework.</w:t>
            </w:r>
          </w:p>
          <w:p w14:paraId="4E4CD27F" w14:textId="77777777" w:rsidR="007C2F01" w:rsidRDefault="007C2F01" w:rsidP="00DC7A9B">
            <w:pPr>
              <w:spacing w:line="360" w:lineRule="auto"/>
              <w:rPr>
                <w:sz w:val="24"/>
                <w:szCs w:val="24"/>
              </w:rPr>
            </w:pPr>
          </w:p>
          <w:p w14:paraId="538C4542" w14:textId="220A987A" w:rsidR="00E523E1" w:rsidRDefault="009331B0" w:rsidP="00DC7A9B">
            <w:pPr>
              <w:spacing w:line="360" w:lineRule="auto"/>
              <w:rPr>
                <w:sz w:val="24"/>
                <w:szCs w:val="24"/>
              </w:rPr>
            </w:pPr>
            <w:r w:rsidRPr="000E4573">
              <w:rPr>
                <w:sz w:val="24"/>
                <w:szCs w:val="24"/>
              </w:rPr>
              <w:t>The </w:t>
            </w:r>
            <w:r w:rsidRPr="00080D23">
              <w:rPr>
                <w:i/>
                <w:iCs/>
                <w:sz w:val="24"/>
                <w:szCs w:val="24"/>
              </w:rPr>
              <w:t>Equality Act 2010</w:t>
            </w:r>
            <w:r w:rsidRPr="000E4573">
              <w:rPr>
                <w:sz w:val="24"/>
                <w:szCs w:val="24"/>
              </w:rPr>
              <w:t xml:space="preserve"> defines disability as a physical or mental impairment with a substantial and long-term impact on daily activities. Mental health conditions such as schizophrenia or bipolar disorder may qualify. The Act requires reasonable adjustments to prevent discrimination. For example, </w:t>
            </w:r>
            <w:r w:rsidRPr="000E4573">
              <w:rPr>
                <w:rFonts w:eastAsiaTheme="majorEastAsia"/>
                <w:sz w:val="24"/>
                <w:szCs w:val="24"/>
              </w:rPr>
              <w:t>Two</w:t>
            </w:r>
            <w:r w:rsidRPr="000E4573">
              <w:rPr>
                <w:sz w:val="24"/>
                <w:szCs w:val="24"/>
              </w:rPr>
              <w:t xml:space="preserve"> informed me that the environmental hazards</w:t>
            </w:r>
            <w:r w:rsidR="00726461" w:rsidRPr="000E4573">
              <w:rPr>
                <w:sz w:val="24"/>
                <w:szCs w:val="24"/>
              </w:rPr>
              <w:t xml:space="preserve"> </w:t>
            </w:r>
            <w:r w:rsidR="009407A9" w:rsidRPr="000E4573">
              <w:rPr>
                <w:sz w:val="24"/>
                <w:szCs w:val="24"/>
              </w:rPr>
              <w:t xml:space="preserve">he encountered in his </w:t>
            </w:r>
            <w:r w:rsidR="00EB26FB" w:rsidRPr="000E4573">
              <w:rPr>
                <w:sz w:val="24"/>
                <w:szCs w:val="24"/>
              </w:rPr>
              <w:t xml:space="preserve">flat </w:t>
            </w:r>
            <w:r w:rsidR="0095416E" w:rsidRPr="000E4573">
              <w:rPr>
                <w:sz w:val="24"/>
                <w:szCs w:val="24"/>
              </w:rPr>
              <w:t>included uneven</w:t>
            </w:r>
            <w:r w:rsidRPr="000E4573">
              <w:rPr>
                <w:sz w:val="24"/>
                <w:szCs w:val="24"/>
              </w:rPr>
              <w:t xml:space="preserve"> pavements causing falls, these concerns must be </w:t>
            </w:r>
            <w:r w:rsidR="00042BF6" w:rsidRPr="000E4573">
              <w:rPr>
                <w:sz w:val="24"/>
                <w:szCs w:val="24"/>
              </w:rPr>
              <w:t>addressed by</w:t>
            </w:r>
            <w:r w:rsidR="00EB26FB" w:rsidRPr="000E4573">
              <w:rPr>
                <w:sz w:val="24"/>
                <w:szCs w:val="24"/>
              </w:rPr>
              <w:t xml:space="preserve"> the local authority </w:t>
            </w:r>
            <w:r w:rsidRPr="000E4573">
              <w:rPr>
                <w:sz w:val="24"/>
                <w:szCs w:val="24"/>
              </w:rPr>
              <w:t>to ensure his safety</w:t>
            </w:r>
            <w:r w:rsidR="00D83A8D">
              <w:rPr>
                <w:sz w:val="24"/>
                <w:szCs w:val="24"/>
              </w:rPr>
              <w:t xml:space="preserve"> and </w:t>
            </w:r>
            <w:r w:rsidR="00603FC1">
              <w:rPr>
                <w:sz w:val="24"/>
                <w:szCs w:val="24"/>
              </w:rPr>
              <w:t xml:space="preserve">thus increasing the </w:t>
            </w:r>
            <w:proofErr w:type="spellStart"/>
            <w:r w:rsidR="00603FC1">
              <w:rPr>
                <w:sz w:val="24"/>
                <w:szCs w:val="24"/>
              </w:rPr>
              <w:t>posiibility</w:t>
            </w:r>
            <w:proofErr w:type="spellEnd"/>
            <w:r w:rsidR="00603FC1">
              <w:rPr>
                <w:sz w:val="24"/>
                <w:szCs w:val="24"/>
              </w:rPr>
              <w:t xml:space="preserve"> of him staying in his flat for a longer period.</w:t>
            </w:r>
          </w:p>
          <w:p w14:paraId="776A4441" w14:textId="77777777" w:rsidR="00E523E1" w:rsidRDefault="00E523E1" w:rsidP="00DC7A9B">
            <w:pPr>
              <w:spacing w:line="360" w:lineRule="auto"/>
              <w:rPr>
                <w:sz w:val="24"/>
                <w:szCs w:val="24"/>
              </w:rPr>
            </w:pPr>
          </w:p>
          <w:p w14:paraId="2203A53C" w14:textId="33C9ED39" w:rsidR="009331B0" w:rsidRPr="000E4573" w:rsidRDefault="00E523E1" w:rsidP="00DC7A9B">
            <w:pPr>
              <w:spacing w:line="360" w:lineRule="auto"/>
              <w:rPr>
                <w:sz w:val="24"/>
                <w:szCs w:val="24"/>
              </w:rPr>
            </w:pPr>
            <w:r>
              <w:rPr>
                <w:sz w:val="24"/>
                <w:szCs w:val="24"/>
              </w:rPr>
              <w:t>T</w:t>
            </w:r>
            <w:r w:rsidR="009331B0" w:rsidRPr="000E4573">
              <w:rPr>
                <w:sz w:val="24"/>
                <w:szCs w:val="24"/>
              </w:rPr>
              <w:t>he Welsh government launched the Mental Health and Wellbeing strategy 2025-2035 with the aim of promoting co-production, early intervention, reducing stigma and access to support when needed by different individuals. This strategy is underpinned by a strong commitment to improvement community care whilst empowering the vulnerable individuals. The strategy also writes that they are certain groups in the community who are at greater risk of being diagnosed with a mental health condition and often struggle to access the support they need</w:t>
            </w:r>
            <w:r w:rsidR="00D6562D">
              <w:rPr>
                <w:sz w:val="24"/>
                <w:szCs w:val="24"/>
              </w:rPr>
              <w:t>.</w:t>
            </w:r>
            <w:r w:rsidR="009331B0" w:rsidRPr="000E4573">
              <w:rPr>
                <w:sz w:val="24"/>
                <w:szCs w:val="24"/>
              </w:rPr>
              <w:t xml:space="preserve"> These policies recognises the inequalities and promotes a holistic approach when supporting these vulnerable groups. As a result, these groups have been </w:t>
            </w:r>
            <w:r w:rsidR="009331B0" w:rsidRPr="000E4573">
              <w:rPr>
                <w:sz w:val="24"/>
                <w:szCs w:val="24"/>
              </w:rPr>
              <w:lastRenderedPageBreak/>
              <w:t>highlighted in several polices which include the Child Poverty Strategy for Wales, Disabled People’s Rights Plan, Anti-racist Wales Action Plan, the Violence Against Women, Domestic Abuse and Sexual Violence Strategy, Nation of Sanctuary Refugee and Asylum Seeker Plan and Roma and Travellers Plan</w:t>
            </w:r>
            <w:r w:rsidR="00B401D3" w:rsidRPr="000E4573">
              <w:rPr>
                <w:sz w:val="24"/>
                <w:szCs w:val="24"/>
              </w:rPr>
              <w:t>.</w:t>
            </w:r>
          </w:p>
          <w:p w14:paraId="00E6C21F" w14:textId="77777777" w:rsidR="009331B0" w:rsidRPr="000E4573" w:rsidRDefault="009331B0" w:rsidP="00DC7A9B">
            <w:pPr>
              <w:spacing w:line="360" w:lineRule="auto"/>
              <w:rPr>
                <w:sz w:val="24"/>
                <w:szCs w:val="24"/>
              </w:rPr>
            </w:pPr>
          </w:p>
          <w:p w14:paraId="2FB1D224" w14:textId="014284B9" w:rsidR="009331B0" w:rsidRDefault="009331B0" w:rsidP="00DC7A9B">
            <w:pPr>
              <w:spacing w:line="360" w:lineRule="auto"/>
              <w:rPr>
                <w:sz w:val="24"/>
                <w:szCs w:val="24"/>
              </w:rPr>
            </w:pPr>
            <w:r w:rsidRPr="000E4573">
              <w:rPr>
                <w:sz w:val="24"/>
                <w:szCs w:val="24"/>
              </w:rPr>
              <w:t xml:space="preserve">I have learned that while social work practice is underpinned by legislation, the interpretation of law can vary depending on the context and the arguments presented (Brammer, 2020).  For instance, Two wishes to return to his flat, and this could be supported under Article 8 of the </w:t>
            </w:r>
            <w:r w:rsidRPr="001C60C1">
              <w:rPr>
                <w:i/>
                <w:iCs/>
                <w:sz w:val="24"/>
                <w:szCs w:val="24"/>
              </w:rPr>
              <w:t>HRA 1998</w:t>
            </w:r>
            <w:r w:rsidRPr="000E4573">
              <w:rPr>
                <w:sz w:val="24"/>
                <w:szCs w:val="24"/>
              </w:rPr>
              <w:t>, which protects the right to respect for private and family life, home, and correspondence. However, safeguarding duties may require intervention if the person lacks mental capacity, as defined under the </w:t>
            </w:r>
            <w:r w:rsidRPr="001C60C1">
              <w:rPr>
                <w:i/>
                <w:iCs/>
                <w:sz w:val="24"/>
                <w:szCs w:val="24"/>
              </w:rPr>
              <w:t>M</w:t>
            </w:r>
            <w:r w:rsidR="001C60C1" w:rsidRPr="001C60C1">
              <w:rPr>
                <w:i/>
                <w:iCs/>
                <w:sz w:val="24"/>
                <w:szCs w:val="24"/>
              </w:rPr>
              <w:t xml:space="preserve">CA </w:t>
            </w:r>
            <w:r w:rsidRPr="001C60C1">
              <w:rPr>
                <w:i/>
                <w:iCs/>
                <w:sz w:val="24"/>
                <w:szCs w:val="24"/>
              </w:rPr>
              <w:t>2005.</w:t>
            </w:r>
            <w:r w:rsidRPr="000E4573">
              <w:rPr>
                <w:sz w:val="24"/>
                <w:szCs w:val="24"/>
              </w:rPr>
              <w:t xml:space="preserve"> In such cases, professionals must assess whether the individual can make an informed decision. If they cannot, a best interest’s decision may be made that could override their Article 8 rights, provided the intervention is lawful, necessary, and proportionate. Two’s case highlights the ethical dilemma of promoting autonomy and safeguarding </w:t>
            </w:r>
            <w:r w:rsidR="00370661" w:rsidRPr="000E4573">
              <w:rPr>
                <w:sz w:val="24"/>
                <w:szCs w:val="24"/>
              </w:rPr>
              <w:t>(</w:t>
            </w:r>
            <w:r w:rsidR="001C4278" w:rsidRPr="000E4573">
              <w:rPr>
                <w:sz w:val="24"/>
                <w:szCs w:val="24"/>
              </w:rPr>
              <w:t>Sa</w:t>
            </w:r>
            <w:r w:rsidR="0099101C" w:rsidRPr="000E4573">
              <w:rPr>
                <w:sz w:val="24"/>
                <w:szCs w:val="24"/>
              </w:rPr>
              <w:t>sson</w:t>
            </w:r>
            <w:r w:rsidRPr="000E4573">
              <w:rPr>
                <w:sz w:val="24"/>
                <w:szCs w:val="24"/>
              </w:rPr>
              <w:t>, 20</w:t>
            </w:r>
            <w:r w:rsidR="0099101C" w:rsidRPr="000E4573">
              <w:rPr>
                <w:sz w:val="24"/>
                <w:szCs w:val="24"/>
              </w:rPr>
              <w:t>20</w:t>
            </w:r>
            <w:r w:rsidRPr="000E4573">
              <w:rPr>
                <w:sz w:val="24"/>
                <w:szCs w:val="24"/>
              </w:rPr>
              <w:t>).</w:t>
            </w:r>
          </w:p>
          <w:p w14:paraId="09A0FAB7" w14:textId="77777777" w:rsidR="004E5F8E" w:rsidRDefault="004E5F8E" w:rsidP="00DC7A9B">
            <w:pPr>
              <w:spacing w:line="360" w:lineRule="auto"/>
              <w:rPr>
                <w:sz w:val="24"/>
                <w:szCs w:val="24"/>
              </w:rPr>
            </w:pPr>
          </w:p>
          <w:p w14:paraId="53D76F5E" w14:textId="789795E4" w:rsidR="009331B0" w:rsidRPr="000E4573" w:rsidRDefault="00217E4E" w:rsidP="00DC7A9B">
            <w:pPr>
              <w:spacing w:line="360" w:lineRule="auto"/>
              <w:rPr>
                <w:sz w:val="24"/>
                <w:szCs w:val="24"/>
              </w:rPr>
            </w:pPr>
            <w:r>
              <w:rPr>
                <w:sz w:val="24"/>
                <w:szCs w:val="24"/>
              </w:rPr>
              <w:t>S</w:t>
            </w:r>
            <w:r w:rsidR="00252763" w:rsidRPr="00252763">
              <w:rPr>
                <w:sz w:val="24"/>
                <w:szCs w:val="24"/>
              </w:rPr>
              <w:t xml:space="preserve">afeguarding </w:t>
            </w:r>
            <w:r>
              <w:rPr>
                <w:sz w:val="24"/>
                <w:szCs w:val="24"/>
              </w:rPr>
              <w:t xml:space="preserve">in adults </w:t>
            </w:r>
            <w:r w:rsidR="00252763" w:rsidRPr="00252763">
              <w:rPr>
                <w:sz w:val="24"/>
                <w:szCs w:val="24"/>
              </w:rPr>
              <w:t xml:space="preserve">often involves evaluating unwise decisions under the </w:t>
            </w:r>
            <w:r w:rsidR="00252763" w:rsidRPr="0088519C">
              <w:rPr>
                <w:i/>
                <w:iCs/>
                <w:sz w:val="24"/>
                <w:szCs w:val="24"/>
              </w:rPr>
              <w:t>M</w:t>
            </w:r>
            <w:r w:rsidR="0088519C" w:rsidRPr="0088519C">
              <w:rPr>
                <w:i/>
                <w:iCs/>
                <w:sz w:val="24"/>
                <w:szCs w:val="24"/>
              </w:rPr>
              <w:t xml:space="preserve">CA </w:t>
            </w:r>
            <w:r w:rsidR="00252763" w:rsidRPr="0088519C">
              <w:rPr>
                <w:i/>
                <w:iCs/>
                <w:sz w:val="24"/>
                <w:szCs w:val="24"/>
              </w:rPr>
              <w:t>2005</w:t>
            </w:r>
            <w:r w:rsidR="00252763" w:rsidRPr="00252763">
              <w:rPr>
                <w:sz w:val="24"/>
                <w:szCs w:val="24"/>
              </w:rPr>
              <w:t>. Two’s case illustrates the nuanced challenges of applying therapeutic deception in mental health settings. It is essential that professionals conduct fair assessments without allowing perceived risks to disproportionately influence outcomes, which can lead to oppressive and restrictive practices (Sasson, 2020).</w:t>
            </w:r>
          </w:p>
          <w:p w14:paraId="0AD848A6" w14:textId="71D1C59B" w:rsidR="009331B0" w:rsidRPr="000E4573" w:rsidRDefault="009331B0" w:rsidP="00DC7A9B">
            <w:pPr>
              <w:spacing w:line="360" w:lineRule="auto"/>
              <w:rPr>
                <w:sz w:val="24"/>
                <w:szCs w:val="24"/>
              </w:rPr>
            </w:pPr>
          </w:p>
          <w:p w14:paraId="749E9932" w14:textId="77777777" w:rsidR="009331B0" w:rsidRPr="000E4573" w:rsidRDefault="009331B0" w:rsidP="00DC7A9B">
            <w:pPr>
              <w:spacing w:line="360" w:lineRule="auto"/>
              <w:rPr>
                <w:rFonts w:eastAsiaTheme="majorEastAsia"/>
                <w:b/>
                <w:bCs/>
                <w:sz w:val="24"/>
                <w:szCs w:val="24"/>
              </w:rPr>
            </w:pPr>
            <w:r w:rsidRPr="000E4573">
              <w:rPr>
                <w:b/>
                <w:bCs/>
                <w:sz w:val="24"/>
                <w:szCs w:val="24"/>
              </w:rPr>
              <w:t>Active Experimentation</w:t>
            </w:r>
            <w:r w:rsidRPr="000E4573">
              <w:rPr>
                <w:rFonts w:eastAsiaTheme="majorEastAsia"/>
                <w:b/>
                <w:bCs/>
                <w:sz w:val="24"/>
                <w:szCs w:val="24"/>
              </w:rPr>
              <w:t>:</w:t>
            </w:r>
          </w:p>
          <w:p w14:paraId="2C816AC8" w14:textId="77777777" w:rsidR="0032318E" w:rsidRPr="0032318E" w:rsidRDefault="0032318E" w:rsidP="0032318E">
            <w:pPr>
              <w:spacing w:line="360" w:lineRule="auto"/>
              <w:rPr>
                <w:sz w:val="24"/>
                <w:szCs w:val="24"/>
              </w:rPr>
            </w:pPr>
            <w:r w:rsidRPr="0032318E">
              <w:rPr>
                <w:sz w:val="24"/>
                <w:szCs w:val="24"/>
              </w:rPr>
              <w:t>SCW (2017) Codes of Practice, Section 6.9, highlights the importance of accountability and ongoing development in social work. To improve my practice, I will work on punctuality and inform Two of a possible 15-minute variation in arrival time. I plan to use memory tools and provide visual aids and written notes after our second visit.</w:t>
            </w:r>
          </w:p>
          <w:p w14:paraId="7BEA589D" w14:textId="77777777" w:rsidR="0032318E" w:rsidRPr="0032318E" w:rsidRDefault="0032318E" w:rsidP="0032318E">
            <w:pPr>
              <w:spacing w:line="360" w:lineRule="auto"/>
              <w:rPr>
                <w:sz w:val="24"/>
                <w:szCs w:val="24"/>
              </w:rPr>
            </w:pPr>
          </w:p>
          <w:p w14:paraId="282EC3DA" w14:textId="541B47EB" w:rsidR="009331B0" w:rsidRPr="000E4573" w:rsidRDefault="0032318E" w:rsidP="0032318E">
            <w:pPr>
              <w:spacing w:line="360" w:lineRule="auto"/>
              <w:rPr>
                <w:sz w:val="24"/>
                <w:szCs w:val="24"/>
              </w:rPr>
            </w:pPr>
            <w:r w:rsidRPr="0032318E">
              <w:rPr>
                <w:sz w:val="24"/>
                <w:szCs w:val="24"/>
              </w:rPr>
              <w:t>Regular supervision with my manager or a senior colleague is key to my growth. Peer discussions after my visit with Two reinforced the value of sharing insights, reflecting on practice, and addressing unconscious bias</w:t>
            </w:r>
            <w:r w:rsidR="00D24C24">
              <w:rPr>
                <w:sz w:val="24"/>
                <w:szCs w:val="24"/>
              </w:rPr>
              <w:t>es</w:t>
            </w:r>
            <w:r w:rsidRPr="0032318E">
              <w:rPr>
                <w:sz w:val="24"/>
                <w:szCs w:val="24"/>
              </w:rPr>
              <w:t>.</w:t>
            </w:r>
          </w:p>
          <w:p w14:paraId="251C3F57" w14:textId="77777777" w:rsidR="009331B0" w:rsidRPr="000E4573" w:rsidRDefault="009331B0" w:rsidP="00DC7A9B">
            <w:pPr>
              <w:spacing w:line="360" w:lineRule="auto"/>
              <w:ind w:left="1440"/>
              <w:rPr>
                <w:sz w:val="24"/>
                <w:szCs w:val="24"/>
              </w:rPr>
            </w:pPr>
          </w:p>
          <w:p w14:paraId="4EB6CB98" w14:textId="77777777" w:rsidR="009331B0" w:rsidRDefault="009331B0" w:rsidP="009331B0">
            <w:pPr>
              <w:spacing w:line="360" w:lineRule="auto"/>
              <w:rPr>
                <w:sz w:val="24"/>
                <w:szCs w:val="24"/>
              </w:rPr>
            </w:pPr>
          </w:p>
          <w:p w14:paraId="55AD7184" w14:textId="77777777" w:rsidR="009331B0" w:rsidRDefault="009331B0" w:rsidP="009331B0">
            <w:pPr>
              <w:spacing w:line="360" w:lineRule="auto"/>
              <w:rPr>
                <w:sz w:val="24"/>
                <w:szCs w:val="24"/>
              </w:rPr>
            </w:pPr>
          </w:p>
          <w:p w14:paraId="79E8B2FC" w14:textId="77777777" w:rsidR="009331B0" w:rsidRDefault="009331B0" w:rsidP="009331B0">
            <w:pPr>
              <w:spacing w:line="360" w:lineRule="auto"/>
              <w:rPr>
                <w:sz w:val="24"/>
                <w:szCs w:val="24"/>
              </w:rPr>
            </w:pPr>
          </w:p>
          <w:p w14:paraId="6F276C2C" w14:textId="27330E4F" w:rsidR="009331B0" w:rsidRDefault="009331B0" w:rsidP="009331B0">
            <w:pPr>
              <w:spacing w:line="360" w:lineRule="auto"/>
              <w:rPr>
                <w:sz w:val="24"/>
                <w:szCs w:val="24"/>
              </w:rPr>
            </w:pPr>
            <w:r>
              <w:rPr>
                <w:sz w:val="24"/>
                <w:szCs w:val="24"/>
              </w:rPr>
              <w:t>Word count: 4</w:t>
            </w:r>
            <w:r w:rsidR="00615FCC">
              <w:rPr>
                <w:sz w:val="24"/>
                <w:szCs w:val="24"/>
              </w:rPr>
              <w:t>3</w:t>
            </w:r>
            <w:r w:rsidR="00A2163A">
              <w:rPr>
                <w:sz w:val="24"/>
                <w:szCs w:val="24"/>
              </w:rPr>
              <w:t>96</w:t>
            </w:r>
          </w:p>
          <w:p w14:paraId="566DD349" w14:textId="77777777" w:rsidR="009331B0" w:rsidRPr="008A398F" w:rsidRDefault="009331B0" w:rsidP="009331B0">
            <w:pPr>
              <w:spacing w:line="360" w:lineRule="auto"/>
              <w:rPr>
                <w:sz w:val="24"/>
                <w:szCs w:val="24"/>
              </w:rPr>
            </w:pPr>
          </w:p>
          <w:p w14:paraId="135259F0" w14:textId="77777777" w:rsidR="009331B0" w:rsidRDefault="009331B0" w:rsidP="009331B0">
            <w:pPr>
              <w:rPr>
                <w:sz w:val="24"/>
                <w:szCs w:val="24"/>
              </w:rPr>
            </w:pPr>
          </w:p>
          <w:p w14:paraId="75660D53" w14:textId="77777777" w:rsidR="00F369A2" w:rsidRDefault="00F369A2" w:rsidP="009331B0">
            <w:pPr>
              <w:rPr>
                <w:sz w:val="24"/>
                <w:szCs w:val="24"/>
              </w:rPr>
            </w:pPr>
          </w:p>
          <w:p w14:paraId="595101FC" w14:textId="77777777" w:rsidR="009331B0" w:rsidRDefault="009331B0" w:rsidP="009331B0">
            <w:pPr>
              <w:rPr>
                <w:i/>
                <w:sz w:val="24"/>
                <w:szCs w:val="24"/>
              </w:rPr>
            </w:pPr>
            <w:r>
              <w:rPr>
                <w:i/>
                <w:sz w:val="24"/>
                <w:szCs w:val="24"/>
              </w:rPr>
              <w:t xml:space="preserve">4000 </w:t>
            </w:r>
            <w:r w:rsidRPr="008B28E7">
              <w:rPr>
                <w:i/>
                <w:sz w:val="24"/>
                <w:szCs w:val="24"/>
              </w:rPr>
              <w:t>words</w:t>
            </w:r>
            <w:r w:rsidRPr="008B28E7">
              <w:rPr>
                <w:sz w:val="24"/>
                <w:szCs w:val="24"/>
              </w:rPr>
              <w:t xml:space="preserve"> </w:t>
            </w:r>
            <w:r w:rsidRPr="008B28E7">
              <w:rPr>
                <w:i/>
                <w:sz w:val="24"/>
                <w:szCs w:val="24"/>
              </w:rPr>
              <w:t>(+/- 10%: include your actual word count at the end of each section)</w:t>
            </w:r>
            <w:r>
              <w:rPr>
                <w:i/>
                <w:sz w:val="24"/>
                <w:szCs w:val="24"/>
              </w:rPr>
              <w:t>.</w:t>
            </w:r>
          </w:p>
          <w:p w14:paraId="13C60A6C" w14:textId="77777777" w:rsidR="009331B0" w:rsidRDefault="009331B0" w:rsidP="009331B0">
            <w:pPr>
              <w:rPr>
                <w:i/>
                <w:sz w:val="24"/>
                <w:szCs w:val="24"/>
              </w:rPr>
            </w:pPr>
          </w:p>
          <w:p w14:paraId="29AB6BF0" w14:textId="7952E41D" w:rsidR="0094131B" w:rsidRPr="00B3488C" w:rsidRDefault="00ED7E04" w:rsidP="00B3488C">
            <w:pPr>
              <w:overflowPunct/>
              <w:autoSpaceDE/>
              <w:autoSpaceDN/>
              <w:adjustRightInd/>
              <w:spacing w:after="9" w:line="259" w:lineRule="auto"/>
              <w:textAlignment w:val="auto"/>
              <w:rPr>
                <w:rFonts w:ascii="Calibri" w:eastAsia="Calibri" w:hAnsi="Calibri" w:cs="Calibri"/>
                <w:kern w:val="2"/>
                <w:szCs w:val="24"/>
                <w14:ligatures w14:val="standardContextual"/>
              </w:rPr>
            </w:pPr>
            <w:r w:rsidRPr="00ED7E04">
              <w:rPr>
                <w:rFonts w:ascii="Calibri" w:eastAsia="Calibri" w:hAnsi="Calibri" w:cs="Calibri"/>
                <w:kern w:val="2"/>
                <w:sz w:val="22"/>
                <w:szCs w:val="24"/>
                <w14:ligatures w14:val="standardContextual"/>
              </w:rPr>
              <w:t>Reference list / Bibliography:</w:t>
            </w:r>
          </w:p>
          <w:p w14:paraId="530D093E" w14:textId="77777777" w:rsidR="0094131B" w:rsidRDefault="0094131B" w:rsidP="009331B0">
            <w:pPr>
              <w:rPr>
                <w:i/>
                <w:sz w:val="24"/>
                <w:szCs w:val="24"/>
              </w:rPr>
            </w:pPr>
          </w:p>
          <w:p w14:paraId="7C4DCEC1" w14:textId="77777777" w:rsidR="000D0EB3" w:rsidRDefault="000D0EB3" w:rsidP="006D7FD9">
            <w:pPr>
              <w:rPr>
                <w:iCs/>
                <w:color w:val="70AD47" w:themeColor="accent6"/>
                <w:sz w:val="24"/>
                <w:szCs w:val="24"/>
                <w:lang w:val="en-US"/>
              </w:rPr>
            </w:pPr>
          </w:p>
          <w:p w14:paraId="6A3DA474" w14:textId="77777777" w:rsidR="00B32779" w:rsidRDefault="00B32779" w:rsidP="006D7FD9">
            <w:pPr>
              <w:rPr>
                <w:iCs/>
                <w:color w:val="70AD47" w:themeColor="accent6"/>
                <w:sz w:val="24"/>
                <w:szCs w:val="24"/>
                <w:lang w:val="en-US"/>
              </w:rPr>
            </w:pPr>
          </w:p>
          <w:p w14:paraId="7746A9C8" w14:textId="77777777" w:rsidR="00EB3961" w:rsidRPr="00836780" w:rsidRDefault="00EB3961" w:rsidP="00836780">
            <w:pPr>
              <w:rPr>
                <w:i/>
                <w:color w:val="70AD47" w:themeColor="accent6"/>
                <w:sz w:val="24"/>
                <w:szCs w:val="24"/>
                <w:lang w:val="en-US"/>
              </w:rPr>
            </w:pPr>
          </w:p>
          <w:p w14:paraId="73DAC034" w14:textId="2DF1DFE2" w:rsidR="009331B0" w:rsidRPr="007C1080" w:rsidRDefault="009331B0" w:rsidP="009331B0">
            <w:pPr>
              <w:rPr>
                <w:b/>
                <w:bCs/>
                <w:iCs/>
                <w:sz w:val="24"/>
                <w:szCs w:val="24"/>
              </w:rPr>
            </w:pPr>
            <w:r w:rsidRPr="007C1080">
              <w:rPr>
                <w:b/>
                <w:bCs/>
                <w:iCs/>
                <w:sz w:val="24"/>
                <w:szCs w:val="24"/>
              </w:rPr>
              <w:t>Reference</w:t>
            </w:r>
            <w:r w:rsidR="0051316F" w:rsidRPr="007C1080">
              <w:rPr>
                <w:b/>
                <w:bCs/>
                <w:iCs/>
                <w:sz w:val="24"/>
                <w:szCs w:val="24"/>
              </w:rPr>
              <w:t xml:space="preserve"> List:</w:t>
            </w:r>
          </w:p>
          <w:p w14:paraId="0D20A621" w14:textId="77777777" w:rsidR="00A20D1E" w:rsidRPr="00A20D1E" w:rsidRDefault="00A20D1E" w:rsidP="00A20D1E">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A20D1E">
              <w:rPr>
                <w:rFonts w:ascii="Times New Roman" w:hAnsi="Times New Roman" w:cs="Times New Roman"/>
                <w:color w:val="auto"/>
                <w:sz w:val="24"/>
                <w:szCs w:val="24"/>
              </w:rPr>
              <w:t xml:space="preserve">Alzheimer’s Society (n.d.) </w:t>
            </w:r>
            <w:r w:rsidRPr="00A20D1E">
              <w:rPr>
                <w:rFonts w:ascii="Times New Roman" w:hAnsi="Times New Roman" w:cs="Times New Roman"/>
                <w:i/>
                <w:iCs/>
                <w:color w:val="auto"/>
                <w:sz w:val="24"/>
                <w:szCs w:val="24"/>
              </w:rPr>
              <w:t>Memory aids and tools</w:t>
            </w:r>
            <w:r w:rsidRPr="00A20D1E">
              <w:rPr>
                <w:rFonts w:ascii="Times New Roman" w:hAnsi="Times New Roman" w:cs="Times New Roman"/>
                <w:color w:val="auto"/>
                <w:sz w:val="24"/>
                <w:szCs w:val="24"/>
              </w:rPr>
              <w:t>. [online] Available at: https://www.alzheimers.org.uk/get-support/living-with-dementia/memory-aids-and-tools [Accessed: 8 Sep. 2025].</w:t>
            </w:r>
          </w:p>
          <w:p w14:paraId="3891EEAB" w14:textId="77777777" w:rsidR="00A20D1E" w:rsidRPr="00A20D1E" w:rsidRDefault="00A20D1E" w:rsidP="00A20D1E">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A20D1E">
              <w:rPr>
                <w:rFonts w:ascii="Times New Roman" w:hAnsi="Times New Roman" w:cs="Times New Roman"/>
                <w:color w:val="auto"/>
                <w:sz w:val="24"/>
                <w:szCs w:val="24"/>
              </w:rPr>
              <w:t xml:space="preserve">Baldwin, E. (2024) ‘Not a crisis of chemical imbalance, a crisis of power imbalance: Involuntary Mental Health Treatment and Critical Social Work’, </w:t>
            </w:r>
            <w:r w:rsidRPr="00A20D1E">
              <w:rPr>
                <w:rFonts w:ascii="Times New Roman" w:hAnsi="Times New Roman" w:cs="Times New Roman"/>
                <w:i/>
                <w:iCs/>
                <w:color w:val="auto"/>
                <w:sz w:val="24"/>
                <w:szCs w:val="24"/>
              </w:rPr>
              <w:t>Social Work &amp; Policy Studies: Social Justice, Practice and Theory</w:t>
            </w:r>
            <w:r w:rsidRPr="00A20D1E">
              <w:rPr>
                <w:rFonts w:ascii="Times New Roman" w:hAnsi="Times New Roman" w:cs="Times New Roman"/>
                <w:color w:val="auto"/>
                <w:sz w:val="24"/>
                <w:szCs w:val="24"/>
              </w:rPr>
              <w:t>, 7(1). Available at: https://openjournals.library.sydney.edu.au/SWPS/article/view/17835</w:t>
            </w:r>
          </w:p>
          <w:p w14:paraId="517DF62E" w14:textId="77777777" w:rsidR="00A20D1E" w:rsidRPr="00A20D1E" w:rsidRDefault="00A20D1E" w:rsidP="00A20D1E">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A20D1E">
              <w:rPr>
                <w:rFonts w:ascii="Times New Roman" w:hAnsi="Times New Roman" w:cs="Times New Roman"/>
                <w:color w:val="auto"/>
                <w:sz w:val="24"/>
                <w:szCs w:val="24"/>
              </w:rPr>
              <w:t xml:space="preserve">Bassot, B. (2024) </w:t>
            </w:r>
            <w:r w:rsidRPr="00A20D1E">
              <w:rPr>
                <w:rFonts w:ascii="Times New Roman" w:hAnsi="Times New Roman" w:cs="Times New Roman"/>
                <w:i/>
                <w:iCs/>
                <w:color w:val="auto"/>
                <w:sz w:val="24"/>
                <w:szCs w:val="24"/>
              </w:rPr>
              <w:t>The Reflective Journal</w:t>
            </w:r>
            <w:r w:rsidRPr="00A20D1E">
              <w:rPr>
                <w:rFonts w:ascii="Times New Roman" w:hAnsi="Times New Roman" w:cs="Times New Roman"/>
                <w:color w:val="auto"/>
                <w:sz w:val="24"/>
                <w:szCs w:val="24"/>
              </w:rPr>
              <w:t>. 3rd edn. Basingstoke: Palgrave Macmillan.</w:t>
            </w:r>
          </w:p>
          <w:p w14:paraId="685A174E" w14:textId="77777777" w:rsidR="00A20D1E" w:rsidRPr="00A20D1E" w:rsidRDefault="00A20D1E" w:rsidP="00A20D1E">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A20D1E">
              <w:rPr>
                <w:rFonts w:ascii="Times New Roman" w:hAnsi="Times New Roman" w:cs="Times New Roman"/>
                <w:color w:val="auto"/>
                <w:sz w:val="24"/>
                <w:szCs w:val="24"/>
              </w:rPr>
              <w:t xml:space="preserve">Banks, S. (2012) </w:t>
            </w:r>
            <w:r w:rsidRPr="00A20D1E">
              <w:rPr>
                <w:rFonts w:ascii="Times New Roman" w:hAnsi="Times New Roman" w:cs="Times New Roman"/>
                <w:i/>
                <w:iCs/>
                <w:color w:val="auto"/>
                <w:sz w:val="24"/>
                <w:szCs w:val="24"/>
              </w:rPr>
              <w:t>Ethics and Values in Social Work</w:t>
            </w:r>
            <w:r w:rsidRPr="00A20D1E">
              <w:rPr>
                <w:rFonts w:ascii="Times New Roman" w:hAnsi="Times New Roman" w:cs="Times New Roman"/>
                <w:color w:val="auto"/>
                <w:sz w:val="24"/>
                <w:szCs w:val="24"/>
              </w:rPr>
              <w:t>. 4th edn. Basingstoke: Palgrave Macmillan.</w:t>
            </w:r>
          </w:p>
          <w:p w14:paraId="633CE7F2" w14:textId="77777777" w:rsidR="00A20D1E" w:rsidRPr="00A20D1E" w:rsidRDefault="00A20D1E" w:rsidP="00A20D1E">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A20D1E">
              <w:rPr>
                <w:rFonts w:ascii="Times New Roman" w:hAnsi="Times New Roman" w:cs="Times New Roman"/>
                <w:color w:val="auto"/>
                <w:sz w:val="24"/>
                <w:szCs w:val="24"/>
              </w:rPr>
              <w:t xml:space="preserve">Brammer, A. (2020) </w:t>
            </w:r>
            <w:r w:rsidRPr="00A20D1E">
              <w:rPr>
                <w:rFonts w:ascii="Times New Roman" w:hAnsi="Times New Roman" w:cs="Times New Roman"/>
                <w:i/>
                <w:iCs/>
                <w:color w:val="auto"/>
                <w:sz w:val="24"/>
                <w:szCs w:val="24"/>
              </w:rPr>
              <w:t>Social Work Law</w:t>
            </w:r>
            <w:r w:rsidRPr="00A20D1E">
              <w:rPr>
                <w:rFonts w:ascii="Times New Roman" w:hAnsi="Times New Roman" w:cs="Times New Roman"/>
                <w:color w:val="auto"/>
                <w:sz w:val="24"/>
                <w:szCs w:val="24"/>
              </w:rPr>
              <w:t>. 5th edn. Harlow: Pearson.</w:t>
            </w:r>
          </w:p>
          <w:p w14:paraId="329B1C3C" w14:textId="77777777" w:rsidR="00A20D1E" w:rsidRPr="00A20D1E" w:rsidRDefault="00A20D1E" w:rsidP="00A20D1E">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A20D1E">
              <w:rPr>
                <w:rFonts w:ascii="Times New Roman" w:hAnsi="Times New Roman" w:cs="Times New Roman"/>
                <w:color w:val="auto"/>
                <w:sz w:val="24"/>
                <w:szCs w:val="24"/>
              </w:rPr>
              <w:t xml:space="preserve">Brown, C. and Lowis, M.J. (2003) ‘Psychosocial development in the elderly: An investigation into Erikson's ninth stage’, </w:t>
            </w:r>
            <w:r w:rsidRPr="00A20D1E">
              <w:rPr>
                <w:rFonts w:ascii="Times New Roman" w:hAnsi="Times New Roman" w:cs="Times New Roman"/>
                <w:i/>
                <w:iCs/>
                <w:color w:val="auto"/>
                <w:sz w:val="24"/>
                <w:szCs w:val="24"/>
              </w:rPr>
              <w:t>Journal of Aging Studies</w:t>
            </w:r>
            <w:r w:rsidRPr="00A20D1E">
              <w:rPr>
                <w:rFonts w:ascii="Times New Roman" w:hAnsi="Times New Roman" w:cs="Times New Roman"/>
                <w:color w:val="auto"/>
                <w:sz w:val="24"/>
                <w:szCs w:val="24"/>
              </w:rPr>
              <w:t>, 17(4), pp. 415–426. Available at: https://doi.org/10.1016/j.jaging.2003.08.001</w:t>
            </w:r>
          </w:p>
          <w:p w14:paraId="0397042A" w14:textId="77777777" w:rsidR="00A20D1E" w:rsidRPr="00A20D1E" w:rsidRDefault="00A20D1E" w:rsidP="00A20D1E">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A20D1E">
              <w:rPr>
                <w:rFonts w:ascii="Times New Roman" w:hAnsi="Times New Roman" w:cs="Times New Roman"/>
                <w:color w:val="auto"/>
                <w:sz w:val="24"/>
                <w:szCs w:val="24"/>
              </w:rPr>
              <w:t xml:space="preserve">Carr, H. and </w:t>
            </w:r>
            <w:proofErr w:type="spellStart"/>
            <w:r w:rsidRPr="00A20D1E">
              <w:rPr>
                <w:rFonts w:ascii="Times New Roman" w:hAnsi="Times New Roman" w:cs="Times New Roman"/>
                <w:color w:val="auto"/>
                <w:sz w:val="24"/>
                <w:szCs w:val="24"/>
              </w:rPr>
              <w:t>Goosey</w:t>
            </w:r>
            <w:proofErr w:type="spellEnd"/>
            <w:r w:rsidRPr="00A20D1E">
              <w:rPr>
                <w:rFonts w:ascii="Times New Roman" w:hAnsi="Times New Roman" w:cs="Times New Roman"/>
                <w:color w:val="auto"/>
                <w:sz w:val="24"/>
                <w:szCs w:val="24"/>
              </w:rPr>
              <w:t xml:space="preserve">, D. (2017) </w:t>
            </w:r>
            <w:r w:rsidRPr="00A20D1E">
              <w:rPr>
                <w:rFonts w:ascii="Times New Roman" w:hAnsi="Times New Roman" w:cs="Times New Roman"/>
                <w:i/>
                <w:iCs/>
                <w:color w:val="auto"/>
                <w:sz w:val="24"/>
                <w:szCs w:val="24"/>
              </w:rPr>
              <w:t>Law for Social Workers</w:t>
            </w:r>
            <w:r w:rsidRPr="00A20D1E">
              <w:rPr>
                <w:rFonts w:ascii="Times New Roman" w:hAnsi="Times New Roman" w:cs="Times New Roman"/>
                <w:color w:val="auto"/>
                <w:sz w:val="24"/>
                <w:szCs w:val="24"/>
              </w:rPr>
              <w:t>. 14th edn. Oxford: Oxford University Press.</w:t>
            </w:r>
          </w:p>
          <w:p w14:paraId="538774FB" w14:textId="77777777" w:rsidR="00A20D1E" w:rsidRPr="00A20D1E" w:rsidRDefault="00A20D1E" w:rsidP="00A20D1E">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A20D1E">
              <w:rPr>
                <w:rFonts w:ascii="Times New Roman" w:hAnsi="Times New Roman" w:cs="Times New Roman"/>
                <w:color w:val="auto"/>
                <w:sz w:val="24"/>
                <w:szCs w:val="24"/>
              </w:rPr>
              <w:t xml:space="preserve">Carter, I., Hill-Dixon, A. and Roberts, M. (2022) </w:t>
            </w:r>
            <w:r w:rsidRPr="00A20D1E">
              <w:rPr>
                <w:rFonts w:ascii="Times New Roman" w:hAnsi="Times New Roman" w:cs="Times New Roman"/>
                <w:i/>
                <w:iCs/>
                <w:color w:val="auto"/>
                <w:sz w:val="24"/>
                <w:szCs w:val="24"/>
              </w:rPr>
              <w:t>Poverty and social exclusion in Wales</w:t>
            </w:r>
            <w:r w:rsidRPr="00A20D1E">
              <w:rPr>
                <w:rFonts w:ascii="Times New Roman" w:hAnsi="Times New Roman" w:cs="Times New Roman"/>
                <w:color w:val="auto"/>
                <w:sz w:val="24"/>
                <w:szCs w:val="24"/>
              </w:rPr>
              <w:t>. Wales Centre for Public Policy. Available at: https://www.wcpp.org.uk/wp-content/uploads/2022/09/WCPP-Poverty-and-social-exclusion-in-Wales-September-2022-English-final-updated.pdf [Accessed: 8 Sep. 2025].</w:t>
            </w:r>
          </w:p>
          <w:p w14:paraId="0E9FA418" w14:textId="77777777" w:rsidR="00A20D1E" w:rsidRPr="00A20D1E" w:rsidRDefault="00A20D1E" w:rsidP="00A20D1E">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proofErr w:type="spellStart"/>
            <w:r w:rsidRPr="00A20D1E">
              <w:rPr>
                <w:rFonts w:ascii="Times New Roman" w:hAnsi="Times New Roman" w:cs="Times New Roman"/>
                <w:color w:val="auto"/>
                <w:sz w:val="24"/>
                <w:szCs w:val="24"/>
              </w:rPr>
              <w:t>Corteen</w:t>
            </w:r>
            <w:proofErr w:type="spellEnd"/>
            <w:r w:rsidRPr="00A20D1E">
              <w:rPr>
                <w:rFonts w:ascii="Times New Roman" w:hAnsi="Times New Roman" w:cs="Times New Roman"/>
                <w:color w:val="auto"/>
                <w:sz w:val="24"/>
                <w:szCs w:val="24"/>
              </w:rPr>
              <w:t xml:space="preserve">, K., Taylor, P. and Morley, S. (2014) ‘The Coroner’s inquest and visceral reactions: Considering the impact of self-inflicted deaths on the health and social care professional’, in </w:t>
            </w:r>
            <w:r w:rsidRPr="00A20D1E">
              <w:rPr>
                <w:rFonts w:ascii="Times New Roman" w:hAnsi="Times New Roman" w:cs="Times New Roman"/>
                <w:i/>
                <w:iCs/>
                <w:color w:val="auto"/>
                <w:sz w:val="24"/>
                <w:szCs w:val="24"/>
              </w:rPr>
              <w:t>Work and Society: Places, Spaces and Identities</w:t>
            </w:r>
            <w:r w:rsidRPr="00A20D1E">
              <w:rPr>
                <w:rFonts w:ascii="Times New Roman" w:hAnsi="Times New Roman" w:cs="Times New Roman"/>
                <w:color w:val="auto"/>
                <w:sz w:val="24"/>
                <w:szCs w:val="24"/>
              </w:rPr>
              <w:t>. Vol. 9. Chester: Chester University Press, pp. 37–52.</w:t>
            </w:r>
          </w:p>
          <w:p w14:paraId="1D66D735" w14:textId="77777777" w:rsidR="00A20D1E" w:rsidRDefault="00A20D1E" w:rsidP="00A20D1E">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A20D1E">
              <w:rPr>
                <w:rFonts w:ascii="Times New Roman" w:hAnsi="Times New Roman" w:cs="Times New Roman"/>
                <w:color w:val="auto"/>
                <w:sz w:val="24"/>
                <w:szCs w:val="24"/>
              </w:rPr>
              <w:lastRenderedPageBreak/>
              <w:t>Data Protection Act 2018. Available at: https://www.legislation.gov.uk/ukpga/2018/12/contents [Accessed: 20 Mar. 2025].</w:t>
            </w:r>
          </w:p>
          <w:p w14:paraId="5A1AF471" w14:textId="77777777" w:rsidR="00784ADC" w:rsidRPr="00784ADC" w:rsidRDefault="00784ADC" w:rsidP="00784ADC">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784ADC">
              <w:rPr>
                <w:rFonts w:ascii="Times New Roman" w:hAnsi="Times New Roman" w:cs="Times New Roman"/>
                <w:color w:val="auto"/>
                <w:sz w:val="24"/>
                <w:szCs w:val="24"/>
              </w:rPr>
              <w:t xml:space="preserve">Department for Work and Pensions (2024) </w:t>
            </w:r>
            <w:r w:rsidRPr="00784ADC">
              <w:rPr>
                <w:rFonts w:ascii="Times New Roman" w:hAnsi="Times New Roman" w:cs="Times New Roman"/>
                <w:i/>
                <w:iCs/>
                <w:color w:val="auto"/>
                <w:sz w:val="24"/>
                <w:szCs w:val="24"/>
              </w:rPr>
              <w:t>Economic labour market status of individuals aged 50 and over, trends over time: September 2024</w:t>
            </w:r>
            <w:r w:rsidRPr="00784ADC">
              <w:rPr>
                <w:rFonts w:ascii="Times New Roman" w:hAnsi="Times New Roman" w:cs="Times New Roman"/>
                <w:color w:val="auto"/>
                <w:sz w:val="24"/>
                <w:szCs w:val="24"/>
              </w:rPr>
              <w:t>. Available at: https://www.gov.uk/government/statistics/economic-labour-market-status-of-individuals-aged-50-and-over-trends-over-time-september-2024 (Accessed: 7 September 2025).</w:t>
            </w:r>
          </w:p>
          <w:p w14:paraId="57207774" w14:textId="77777777" w:rsidR="00784ADC" w:rsidRPr="00784ADC" w:rsidRDefault="00784ADC" w:rsidP="00784ADC">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784ADC">
              <w:rPr>
                <w:rFonts w:ascii="Times New Roman" w:hAnsi="Times New Roman" w:cs="Times New Roman"/>
                <w:color w:val="auto"/>
                <w:sz w:val="24"/>
                <w:szCs w:val="24"/>
              </w:rPr>
              <w:t xml:space="preserve">Equality &amp; Diversity UK (2024) </w:t>
            </w:r>
            <w:r w:rsidRPr="00784ADC">
              <w:rPr>
                <w:rFonts w:ascii="Times New Roman" w:hAnsi="Times New Roman" w:cs="Times New Roman"/>
                <w:i/>
                <w:iCs/>
                <w:color w:val="auto"/>
                <w:sz w:val="24"/>
                <w:szCs w:val="24"/>
              </w:rPr>
              <w:t>Recognising and Tackling Microaggressions in the Workplace: The Impact on Black Employees</w:t>
            </w:r>
            <w:r w:rsidRPr="00784ADC">
              <w:rPr>
                <w:rFonts w:ascii="Times New Roman" w:hAnsi="Times New Roman" w:cs="Times New Roman"/>
                <w:color w:val="auto"/>
                <w:sz w:val="24"/>
                <w:szCs w:val="24"/>
              </w:rPr>
              <w:t>. Available at: https://blog.equalityanddiversity.co.uk/index.php/2024/10/22/recognising-and-tackling-microaggressions-in-the-workplace-the-impact-on-black-employees/ (Accessed: 11 September 2025).</w:t>
            </w:r>
          </w:p>
          <w:p w14:paraId="13938645" w14:textId="77777777" w:rsidR="00784ADC" w:rsidRPr="00784ADC" w:rsidRDefault="00784ADC" w:rsidP="00784ADC">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784ADC">
              <w:rPr>
                <w:rFonts w:ascii="Times New Roman" w:hAnsi="Times New Roman" w:cs="Times New Roman"/>
                <w:color w:val="auto"/>
                <w:sz w:val="24"/>
                <w:szCs w:val="24"/>
              </w:rPr>
              <w:t xml:space="preserve">Fall Prevention Foundation (2025) </w:t>
            </w:r>
            <w:r w:rsidRPr="00784ADC">
              <w:rPr>
                <w:rFonts w:ascii="Times New Roman" w:hAnsi="Times New Roman" w:cs="Times New Roman"/>
                <w:i/>
                <w:iCs/>
                <w:color w:val="auto"/>
                <w:sz w:val="24"/>
                <w:szCs w:val="24"/>
              </w:rPr>
              <w:t>Staying Safe with Technology: A Complete Guide to Wearable Fall Detection Devices for Seniors</w:t>
            </w:r>
            <w:r w:rsidRPr="00784ADC">
              <w:rPr>
                <w:rFonts w:ascii="Times New Roman" w:hAnsi="Times New Roman" w:cs="Times New Roman"/>
                <w:color w:val="auto"/>
                <w:sz w:val="24"/>
                <w:szCs w:val="24"/>
              </w:rPr>
              <w:t>. Available at: https://fallpreventionfoundation.org/2025/06/22/staying-safe-with-technology-a-complete-guide-to-wearable-fall-detection-devices-for-seniors/ (Accessed: 8 September 2025).</w:t>
            </w:r>
          </w:p>
          <w:p w14:paraId="1D92B27A" w14:textId="77777777" w:rsidR="00784ADC" w:rsidRPr="00784ADC" w:rsidRDefault="00784ADC" w:rsidP="00784ADC">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784ADC">
              <w:rPr>
                <w:rFonts w:ascii="Times New Roman" w:hAnsi="Times New Roman" w:cs="Times New Roman"/>
                <w:color w:val="auto"/>
                <w:sz w:val="24"/>
                <w:szCs w:val="24"/>
              </w:rPr>
              <w:t xml:space="preserve">Hulbert, S., et al. (2022) ‘Effectiveness of memory aids and guidance for people with dementia: DESCANT trial’, </w:t>
            </w:r>
            <w:r w:rsidRPr="00784ADC">
              <w:rPr>
                <w:rFonts w:ascii="Times New Roman" w:hAnsi="Times New Roman" w:cs="Times New Roman"/>
                <w:i/>
                <w:iCs/>
                <w:color w:val="auto"/>
                <w:sz w:val="24"/>
                <w:szCs w:val="24"/>
              </w:rPr>
              <w:t>Journal of Neurology, Neurosurgery &amp; Psychiatry</w:t>
            </w:r>
            <w:r w:rsidRPr="00784ADC">
              <w:rPr>
                <w:rFonts w:ascii="Times New Roman" w:hAnsi="Times New Roman" w:cs="Times New Roman"/>
                <w:color w:val="auto"/>
                <w:sz w:val="24"/>
                <w:szCs w:val="24"/>
              </w:rPr>
              <w:t>, 93(9), pp. 1001–1007. Available at: https://jnnp.bmj.com/content/93/9/1001 (Accessed: 8 September 2025).</w:t>
            </w:r>
          </w:p>
          <w:p w14:paraId="1FD5A8A5" w14:textId="77777777" w:rsidR="00784ADC" w:rsidRPr="00784ADC" w:rsidRDefault="00784ADC" w:rsidP="00784ADC">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784ADC">
              <w:rPr>
                <w:rFonts w:ascii="Times New Roman" w:hAnsi="Times New Roman" w:cs="Times New Roman"/>
                <w:color w:val="auto"/>
                <w:sz w:val="24"/>
                <w:szCs w:val="24"/>
              </w:rPr>
              <w:t>Human Rights Act 1998 (c.42). Available at: https://www.legislation.gov.uk/ukpga/1998/42 (Accessed: 26 September 2025).</w:t>
            </w:r>
          </w:p>
          <w:p w14:paraId="62B38FDD" w14:textId="77777777" w:rsidR="00784ADC" w:rsidRPr="00784ADC" w:rsidRDefault="00784ADC" w:rsidP="00784ADC">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784ADC">
              <w:rPr>
                <w:rFonts w:ascii="Times New Roman" w:hAnsi="Times New Roman" w:cs="Times New Roman"/>
                <w:color w:val="auto"/>
                <w:sz w:val="24"/>
                <w:szCs w:val="24"/>
              </w:rPr>
              <w:t xml:space="preserve">Joseph Rowntree Foundation (2025) </w:t>
            </w:r>
            <w:r w:rsidRPr="00784ADC">
              <w:rPr>
                <w:rFonts w:ascii="Times New Roman" w:hAnsi="Times New Roman" w:cs="Times New Roman"/>
                <w:i/>
                <w:iCs/>
                <w:color w:val="auto"/>
                <w:sz w:val="24"/>
                <w:szCs w:val="24"/>
              </w:rPr>
              <w:t>Poverty in Wales 2025</w:t>
            </w:r>
            <w:r w:rsidRPr="00784ADC">
              <w:rPr>
                <w:rFonts w:ascii="Times New Roman" w:hAnsi="Times New Roman" w:cs="Times New Roman"/>
                <w:color w:val="auto"/>
                <w:sz w:val="24"/>
                <w:szCs w:val="24"/>
              </w:rPr>
              <w:t>. Available at: https://www.jrf.org.uk/poverty-in-wales-2025 (Accessed: 26 September 2025).</w:t>
            </w:r>
          </w:p>
          <w:p w14:paraId="1DA30DE5" w14:textId="77777777" w:rsidR="00784ADC" w:rsidRPr="00784ADC" w:rsidRDefault="00784ADC" w:rsidP="00784ADC">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proofErr w:type="spellStart"/>
            <w:r w:rsidRPr="00784ADC">
              <w:rPr>
                <w:rFonts w:ascii="Times New Roman" w:hAnsi="Times New Roman" w:cs="Times New Roman"/>
                <w:color w:val="auto"/>
                <w:sz w:val="24"/>
                <w:szCs w:val="24"/>
              </w:rPr>
              <w:t>Kallert</w:t>
            </w:r>
            <w:proofErr w:type="spellEnd"/>
            <w:r w:rsidRPr="00784ADC">
              <w:rPr>
                <w:rFonts w:ascii="Times New Roman" w:hAnsi="Times New Roman" w:cs="Times New Roman"/>
                <w:color w:val="auto"/>
                <w:sz w:val="24"/>
                <w:szCs w:val="24"/>
              </w:rPr>
              <w:t xml:space="preserve">, T.W., </w:t>
            </w:r>
            <w:proofErr w:type="spellStart"/>
            <w:r w:rsidRPr="00784ADC">
              <w:rPr>
                <w:rFonts w:ascii="Times New Roman" w:hAnsi="Times New Roman" w:cs="Times New Roman"/>
                <w:color w:val="auto"/>
                <w:sz w:val="24"/>
                <w:szCs w:val="24"/>
              </w:rPr>
              <w:t>Rymaszewska</w:t>
            </w:r>
            <w:proofErr w:type="spellEnd"/>
            <w:r w:rsidRPr="00784ADC">
              <w:rPr>
                <w:rFonts w:ascii="Times New Roman" w:hAnsi="Times New Roman" w:cs="Times New Roman"/>
                <w:color w:val="auto"/>
                <w:sz w:val="24"/>
                <w:szCs w:val="24"/>
              </w:rPr>
              <w:t xml:space="preserve">, J. and Torres-González, F. (2007) ‘Differences in the use of coercive measures in psychiatric hospitals in European countries’, </w:t>
            </w:r>
            <w:r w:rsidRPr="00784ADC">
              <w:rPr>
                <w:rFonts w:ascii="Times New Roman" w:hAnsi="Times New Roman" w:cs="Times New Roman"/>
                <w:i/>
                <w:iCs/>
                <w:color w:val="auto"/>
                <w:sz w:val="24"/>
                <w:szCs w:val="24"/>
              </w:rPr>
              <w:t>BMC Psychiatry</w:t>
            </w:r>
            <w:r w:rsidRPr="00784ADC">
              <w:rPr>
                <w:rFonts w:ascii="Times New Roman" w:hAnsi="Times New Roman" w:cs="Times New Roman"/>
                <w:color w:val="auto"/>
                <w:sz w:val="24"/>
                <w:szCs w:val="24"/>
              </w:rPr>
              <w:t>, 7(1), pp. 1–9.</w:t>
            </w:r>
          </w:p>
          <w:p w14:paraId="1358C04B" w14:textId="77777777" w:rsidR="00784ADC" w:rsidRPr="00784ADC" w:rsidRDefault="00784ADC" w:rsidP="00784ADC">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784ADC">
              <w:rPr>
                <w:rFonts w:ascii="Times New Roman" w:hAnsi="Times New Roman" w:cs="Times New Roman"/>
                <w:color w:val="auto"/>
                <w:sz w:val="24"/>
                <w:szCs w:val="24"/>
              </w:rPr>
              <w:t xml:space="preserve">Kapur, N., Glisky, E.L. and Wilson, B.A. (2004) ‘Technological memory aids for people with memory deficits’, </w:t>
            </w:r>
            <w:r w:rsidRPr="00784ADC">
              <w:rPr>
                <w:rFonts w:ascii="Times New Roman" w:hAnsi="Times New Roman" w:cs="Times New Roman"/>
                <w:i/>
                <w:iCs/>
                <w:color w:val="auto"/>
                <w:sz w:val="24"/>
                <w:szCs w:val="24"/>
              </w:rPr>
              <w:t>Neuropsychological Rehabilitation</w:t>
            </w:r>
            <w:r w:rsidRPr="00784ADC">
              <w:rPr>
                <w:rFonts w:ascii="Times New Roman" w:hAnsi="Times New Roman" w:cs="Times New Roman"/>
                <w:color w:val="auto"/>
                <w:sz w:val="24"/>
                <w:szCs w:val="24"/>
              </w:rPr>
              <w:t>, 14(1–2), pp. 41–60.</w:t>
            </w:r>
          </w:p>
          <w:p w14:paraId="4ED5B644" w14:textId="77777777" w:rsidR="00784ADC" w:rsidRPr="00784ADC" w:rsidRDefault="00784ADC" w:rsidP="00784ADC">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784ADC">
              <w:rPr>
                <w:rFonts w:ascii="Times New Roman" w:hAnsi="Times New Roman" w:cs="Times New Roman"/>
                <w:color w:val="auto"/>
                <w:sz w:val="24"/>
                <w:szCs w:val="24"/>
              </w:rPr>
              <w:t>Mental Capacity Act 2005. London: The Stationery Office.</w:t>
            </w:r>
          </w:p>
          <w:p w14:paraId="77BE314E" w14:textId="77777777" w:rsidR="00784ADC" w:rsidRPr="00784ADC" w:rsidRDefault="00784ADC" w:rsidP="00784ADC">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784ADC">
              <w:rPr>
                <w:rFonts w:ascii="Times New Roman" w:hAnsi="Times New Roman" w:cs="Times New Roman"/>
                <w:color w:val="auto"/>
                <w:sz w:val="24"/>
                <w:szCs w:val="24"/>
              </w:rPr>
              <w:t xml:space="preserve">Morris, T.H. (2020) ‘Experiential learning – a systematic review and revision of Kolb’s model’, </w:t>
            </w:r>
            <w:r w:rsidRPr="00784ADC">
              <w:rPr>
                <w:rFonts w:ascii="Times New Roman" w:hAnsi="Times New Roman" w:cs="Times New Roman"/>
                <w:i/>
                <w:iCs/>
                <w:color w:val="auto"/>
                <w:sz w:val="24"/>
                <w:szCs w:val="24"/>
              </w:rPr>
              <w:t>Interactive Learning Environments</w:t>
            </w:r>
            <w:r w:rsidRPr="00784ADC">
              <w:rPr>
                <w:rFonts w:ascii="Times New Roman" w:hAnsi="Times New Roman" w:cs="Times New Roman"/>
                <w:color w:val="auto"/>
                <w:sz w:val="24"/>
                <w:szCs w:val="24"/>
              </w:rPr>
              <w:t>, 28(8), pp. 1064–1077.</w:t>
            </w:r>
          </w:p>
          <w:p w14:paraId="56767F09" w14:textId="77777777" w:rsidR="00784ADC" w:rsidRPr="00784ADC" w:rsidRDefault="00784ADC" w:rsidP="00784ADC">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784ADC">
              <w:rPr>
                <w:rFonts w:ascii="Times New Roman" w:hAnsi="Times New Roman" w:cs="Times New Roman"/>
                <w:color w:val="auto"/>
                <w:sz w:val="24"/>
                <w:szCs w:val="24"/>
              </w:rPr>
              <w:t xml:space="preserve">Munson, S. (2025) ‘Paying for home care in Wales in 2025’, </w:t>
            </w:r>
            <w:r w:rsidRPr="00784ADC">
              <w:rPr>
                <w:rFonts w:ascii="Times New Roman" w:hAnsi="Times New Roman" w:cs="Times New Roman"/>
                <w:i/>
                <w:iCs/>
                <w:color w:val="auto"/>
                <w:sz w:val="24"/>
                <w:szCs w:val="24"/>
              </w:rPr>
              <w:t>Homecare.co.uk</w:t>
            </w:r>
            <w:r w:rsidRPr="00784ADC">
              <w:rPr>
                <w:rFonts w:ascii="Times New Roman" w:hAnsi="Times New Roman" w:cs="Times New Roman"/>
                <w:color w:val="auto"/>
                <w:sz w:val="24"/>
                <w:szCs w:val="24"/>
              </w:rPr>
              <w:t>, 4 June. Available at: https://www.homecare.co.uk/advice/home-care-funding-in-wales (Accessed: 8 September 2025).</w:t>
            </w:r>
          </w:p>
          <w:p w14:paraId="1AF4664C" w14:textId="77777777" w:rsidR="00784ADC" w:rsidRPr="00784ADC" w:rsidRDefault="00784ADC" w:rsidP="00784ADC">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784ADC">
              <w:rPr>
                <w:rFonts w:ascii="Times New Roman" w:hAnsi="Times New Roman" w:cs="Times New Roman"/>
                <w:color w:val="auto"/>
                <w:sz w:val="24"/>
                <w:szCs w:val="24"/>
              </w:rPr>
              <w:t xml:space="preserve">National Institute of Neurological Disorders and Stroke (NINDS) (2023) </w:t>
            </w:r>
            <w:r w:rsidRPr="00784ADC">
              <w:rPr>
                <w:rFonts w:ascii="Times New Roman" w:hAnsi="Times New Roman" w:cs="Times New Roman"/>
                <w:i/>
                <w:iCs/>
                <w:color w:val="auto"/>
                <w:sz w:val="24"/>
                <w:szCs w:val="24"/>
              </w:rPr>
              <w:t>Parkinson’s Disease: Hope Through Research</w:t>
            </w:r>
            <w:r w:rsidRPr="00784ADC">
              <w:rPr>
                <w:rFonts w:ascii="Times New Roman" w:hAnsi="Times New Roman" w:cs="Times New Roman"/>
                <w:color w:val="auto"/>
                <w:sz w:val="24"/>
                <w:szCs w:val="24"/>
              </w:rPr>
              <w:t>. Available at: https://www.ninds.nih.gov (Accessed: 8 September 2025).</w:t>
            </w:r>
          </w:p>
          <w:p w14:paraId="2D0525E9" w14:textId="77777777" w:rsidR="00784ADC" w:rsidRPr="00784ADC" w:rsidRDefault="00784ADC" w:rsidP="00784ADC">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proofErr w:type="spellStart"/>
            <w:r w:rsidRPr="00784ADC">
              <w:rPr>
                <w:rFonts w:ascii="Times New Roman" w:hAnsi="Times New Roman" w:cs="Times New Roman"/>
                <w:color w:val="auto"/>
                <w:sz w:val="24"/>
                <w:szCs w:val="24"/>
              </w:rPr>
              <w:t>NeuroLaunch</w:t>
            </w:r>
            <w:proofErr w:type="spellEnd"/>
            <w:r w:rsidRPr="00784ADC">
              <w:rPr>
                <w:rFonts w:ascii="Times New Roman" w:hAnsi="Times New Roman" w:cs="Times New Roman"/>
                <w:color w:val="auto"/>
                <w:sz w:val="24"/>
                <w:szCs w:val="24"/>
              </w:rPr>
              <w:t xml:space="preserve"> (2024) </w:t>
            </w:r>
            <w:r w:rsidRPr="00784ADC">
              <w:rPr>
                <w:rFonts w:ascii="Times New Roman" w:hAnsi="Times New Roman" w:cs="Times New Roman"/>
                <w:i/>
                <w:iCs/>
                <w:color w:val="auto"/>
                <w:sz w:val="24"/>
                <w:szCs w:val="24"/>
              </w:rPr>
              <w:t>Therapeutic Deception in Healthcare: Ethics and Implications</w:t>
            </w:r>
            <w:r w:rsidRPr="00784ADC">
              <w:rPr>
                <w:rFonts w:ascii="Times New Roman" w:hAnsi="Times New Roman" w:cs="Times New Roman"/>
                <w:color w:val="auto"/>
                <w:sz w:val="24"/>
                <w:szCs w:val="24"/>
              </w:rPr>
              <w:t>. Available at: https://neurolaunch.com/therapeutic-deception (Accessed: 24 September 2025).</w:t>
            </w:r>
          </w:p>
          <w:p w14:paraId="398C2D3E" w14:textId="77777777" w:rsidR="00784ADC" w:rsidRPr="00784ADC" w:rsidRDefault="00784ADC" w:rsidP="00784ADC">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784ADC">
              <w:rPr>
                <w:rFonts w:ascii="Times New Roman" w:hAnsi="Times New Roman" w:cs="Times New Roman"/>
                <w:color w:val="auto"/>
                <w:sz w:val="24"/>
                <w:szCs w:val="24"/>
              </w:rPr>
              <w:lastRenderedPageBreak/>
              <w:t xml:space="preserve">Public Health Wales (2025) </w:t>
            </w:r>
            <w:r w:rsidRPr="00784ADC">
              <w:rPr>
                <w:rFonts w:ascii="Times New Roman" w:hAnsi="Times New Roman" w:cs="Times New Roman"/>
                <w:i/>
                <w:iCs/>
                <w:color w:val="auto"/>
                <w:sz w:val="24"/>
                <w:szCs w:val="24"/>
              </w:rPr>
              <w:t>Survey reveals decline in physical and mental health in Wales</w:t>
            </w:r>
            <w:r w:rsidRPr="00784ADC">
              <w:rPr>
                <w:rFonts w:ascii="Times New Roman" w:hAnsi="Times New Roman" w:cs="Times New Roman"/>
                <w:color w:val="auto"/>
                <w:sz w:val="24"/>
                <w:szCs w:val="24"/>
              </w:rPr>
              <w:t>. Available at: https://phw.nhs.wales/news/survey-reveals-decline-in-physical-and-mental-health-in-wales (Accessed: 8 September 2025).</w:t>
            </w:r>
          </w:p>
          <w:p w14:paraId="51B075F2" w14:textId="77777777" w:rsidR="00784ADC" w:rsidRPr="00784ADC" w:rsidRDefault="00784ADC" w:rsidP="00784ADC">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784ADC">
              <w:rPr>
                <w:rFonts w:ascii="Times New Roman" w:hAnsi="Times New Roman" w:cs="Times New Roman"/>
                <w:color w:val="auto"/>
                <w:sz w:val="24"/>
                <w:szCs w:val="24"/>
              </w:rPr>
              <w:t xml:space="preserve">Riolo, A., </w:t>
            </w:r>
            <w:proofErr w:type="spellStart"/>
            <w:r w:rsidRPr="00784ADC">
              <w:rPr>
                <w:rFonts w:ascii="Times New Roman" w:hAnsi="Times New Roman" w:cs="Times New Roman"/>
                <w:color w:val="auto"/>
                <w:sz w:val="24"/>
                <w:szCs w:val="24"/>
              </w:rPr>
              <w:t>Babici</w:t>
            </w:r>
            <w:proofErr w:type="spellEnd"/>
            <w:r w:rsidRPr="00784ADC">
              <w:rPr>
                <w:rFonts w:ascii="Times New Roman" w:hAnsi="Times New Roman" w:cs="Times New Roman"/>
                <w:color w:val="auto"/>
                <w:sz w:val="24"/>
                <w:szCs w:val="24"/>
              </w:rPr>
              <w:t xml:space="preserve">, F. and Tassi, F. (2017) ‘Defensive psychiatry. An ethical perspective’, </w:t>
            </w:r>
            <w:r w:rsidRPr="00784ADC">
              <w:rPr>
                <w:rFonts w:ascii="Times New Roman" w:hAnsi="Times New Roman" w:cs="Times New Roman"/>
                <w:i/>
                <w:iCs/>
                <w:color w:val="auto"/>
                <w:sz w:val="24"/>
                <w:szCs w:val="24"/>
              </w:rPr>
              <w:t>European Psychiatry</w:t>
            </w:r>
            <w:r w:rsidRPr="00784ADC">
              <w:rPr>
                <w:rFonts w:ascii="Times New Roman" w:hAnsi="Times New Roman" w:cs="Times New Roman"/>
                <w:color w:val="auto"/>
                <w:sz w:val="24"/>
                <w:szCs w:val="24"/>
              </w:rPr>
              <w:t>, 41(S1), pp. S582–S582. doi: https://doi.org/10.1016/j.eurpsy.2017.01.876</w:t>
            </w:r>
          </w:p>
          <w:p w14:paraId="7EDD1C97" w14:textId="77777777" w:rsidR="006070B0" w:rsidRPr="006070B0" w:rsidRDefault="006070B0" w:rsidP="006070B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6070B0">
              <w:rPr>
                <w:rFonts w:ascii="Times New Roman" w:hAnsi="Times New Roman" w:cs="Times New Roman"/>
                <w:color w:val="auto"/>
                <w:sz w:val="24"/>
                <w:szCs w:val="24"/>
              </w:rPr>
              <w:t xml:space="preserve">Sasson, S. (2000) ‘Beneficence versus Respect for Autonomy: An Ethical Dilemma in Social Work Practice’, </w:t>
            </w:r>
            <w:r w:rsidRPr="006070B0">
              <w:rPr>
                <w:rFonts w:ascii="Times New Roman" w:hAnsi="Times New Roman" w:cs="Times New Roman"/>
                <w:i/>
                <w:iCs/>
                <w:color w:val="auto"/>
                <w:sz w:val="24"/>
                <w:szCs w:val="24"/>
              </w:rPr>
              <w:t>Journal of Gerontological Social Work</w:t>
            </w:r>
            <w:r w:rsidRPr="006070B0">
              <w:rPr>
                <w:rFonts w:ascii="Times New Roman" w:hAnsi="Times New Roman" w:cs="Times New Roman"/>
                <w:color w:val="auto"/>
                <w:sz w:val="24"/>
                <w:szCs w:val="24"/>
              </w:rPr>
              <w:t>, 33(1), pp. 5–16. https://doi.org/10.1300/J083v33n01_02</w:t>
            </w:r>
          </w:p>
          <w:p w14:paraId="039ED9BA" w14:textId="77777777" w:rsidR="006070B0" w:rsidRPr="006070B0" w:rsidRDefault="006070B0" w:rsidP="006070B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6070B0">
              <w:rPr>
                <w:rFonts w:ascii="Times New Roman" w:hAnsi="Times New Roman" w:cs="Times New Roman"/>
                <w:color w:val="auto"/>
                <w:sz w:val="24"/>
                <w:szCs w:val="24"/>
              </w:rPr>
              <w:t xml:space="preserve">Social Care Wales (2011) </w:t>
            </w:r>
            <w:r w:rsidRPr="006070B0">
              <w:rPr>
                <w:rFonts w:ascii="Times New Roman" w:hAnsi="Times New Roman" w:cs="Times New Roman"/>
                <w:i/>
                <w:iCs/>
                <w:color w:val="auto"/>
                <w:sz w:val="24"/>
                <w:szCs w:val="24"/>
              </w:rPr>
              <w:t>National Occupational Standards for Social Work</w:t>
            </w:r>
            <w:r w:rsidRPr="006070B0">
              <w:rPr>
                <w:rFonts w:ascii="Times New Roman" w:hAnsi="Times New Roman" w:cs="Times New Roman"/>
                <w:color w:val="auto"/>
                <w:sz w:val="24"/>
                <w:szCs w:val="24"/>
              </w:rPr>
              <w:t>. Available at: https://socialcare.wales/nos-areas/social-work (Accessed: 10 September 2025).</w:t>
            </w:r>
          </w:p>
          <w:p w14:paraId="00135445" w14:textId="77777777" w:rsidR="006070B0" w:rsidRPr="006070B0" w:rsidRDefault="006070B0" w:rsidP="006070B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6070B0">
              <w:rPr>
                <w:rFonts w:ascii="Times New Roman" w:hAnsi="Times New Roman" w:cs="Times New Roman"/>
                <w:color w:val="auto"/>
                <w:sz w:val="24"/>
                <w:szCs w:val="24"/>
              </w:rPr>
              <w:t xml:space="preserve">Social Care Wales (2017) </w:t>
            </w:r>
            <w:r w:rsidRPr="006070B0">
              <w:rPr>
                <w:rFonts w:ascii="Times New Roman" w:hAnsi="Times New Roman" w:cs="Times New Roman"/>
                <w:i/>
                <w:iCs/>
                <w:color w:val="auto"/>
                <w:sz w:val="24"/>
                <w:szCs w:val="24"/>
              </w:rPr>
              <w:t>Codes of Professional Practice</w:t>
            </w:r>
            <w:r w:rsidRPr="006070B0">
              <w:rPr>
                <w:rFonts w:ascii="Times New Roman" w:hAnsi="Times New Roman" w:cs="Times New Roman"/>
                <w:color w:val="auto"/>
                <w:sz w:val="24"/>
                <w:szCs w:val="24"/>
              </w:rPr>
              <w:t>. Available at: https://socialcare.wales/dealing-with-concerns/codes-of-practice-and-guidance (Accessed: 10 September 2025).</w:t>
            </w:r>
          </w:p>
          <w:p w14:paraId="0094882D" w14:textId="77777777" w:rsidR="006070B0" w:rsidRPr="006070B0" w:rsidRDefault="006070B0" w:rsidP="006070B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6070B0">
              <w:rPr>
                <w:rFonts w:ascii="Times New Roman" w:hAnsi="Times New Roman" w:cs="Times New Roman"/>
                <w:color w:val="auto"/>
                <w:sz w:val="24"/>
                <w:szCs w:val="24"/>
              </w:rPr>
              <w:t xml:space="preserve">Social Care Wales (2019) </w:t>
            </w:r>
            <w:r w:rsidRPr="006070B0">
              <w:rPr>
                <w:rFonts w:ascii="Times New Roman" w:hAnsi="Times New Roman" w:cs="Times New Roman"/>
                <w:i/>
                <w:iCs/>
                <w:color w:val="auto"/>
                <w:sz w:val="24"/>
                <w:szCs w:val="24"/>
              </w:rPr>
              <w:t>Wales safeguarding procedures (Version 2.2.2)</w:t>
            </w:r>
            <w:r w:rsidRPr="006070B0">
              <w:rPr>
                <w:rFonts w:ascii="Times New Roman" w:hAnsi="Times New Roman" w:cs="Times New Roman"/>
                <w:color w:val="auto"/>
                <w:sz w:val="24"/>
                <w:szCs w:val="24"/>
              </w:rPr>
              <w:t xml:space="preserve"> [Mobile app]. Google Play Store. Available at: https://play.google.com/store/apps/details?id=com.socialcarewales.safeguarding (Accessed: 8 September 2025).</w:t>
            </w:r>
          </w:p>
          <w:p w14:paraId="5D38E729" w14:textId="77777777" w:rsidR="006070B0" w:rsidRPr="006070B0" w:rsidRDefault="006070B0" w:rsidP="006070B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6070B0">
              <w:rPr>
                <w:rFonts w:ascii="Times New Roman" w:hAnsi="Times New Roman" w:cs="Times New Roman"/>
                <w:color w:val="auto"/>
                <w:sz w:val="24"/>
                <w:szCs w:val="24"/>
              </w:rPr>
              <w:t xml:space="preserve">Social Services and Well-being (Wales) Act 2014. </w:t>
            </w:r>
            <w:r w:rsidRPr="006070B0">
              <w:rPr>
                <w:rFonts w:ascii="Times New Roman" w:hAnsi="Times New Roman" w:cs="Times New Roman"/>
                <w:i/>
                <w:iCs/>
                <w:color w:val="auto"/>
                <w:sz w:val="24"/>
                <w:szCs w:val="24"/>
              </w:rPr>
              <w:t>The Essentials</w:t>
            </w:r>
            <w:r w:rsidRPr="006070B0">
              <w:rPr>
                <w:rFonts w:ascii="Times New Roman" w:hAnsi="Times New Roman" w:cs="Times New Roman"/>
                <w:color w:val="auto"/>
                <w:sz w:val="24"/>
                <w:szCs w:val="24"/>
              </w:rPr>
              <w:t>. Available at: https://www.gov.wales/sites/default/files/publications/2019-05/social-services-and-well-being-wales-act-2014-the-essentials.pdf (Accessed: 26 September 2025).</w:t>
            </w:r>
          </w:p>
          <w:p w14:paraId="6B08FBF5" w14:textId="77777777" w:rsidR="006070B0" w:rsidRPr="006070B0" w:rsidRDefault="006070B0" w:rsidP="006070B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6070B0">
              <w:rPr>
                <w:rFonts w:ascii="Times New Roman" w:hAnsi="Times New Roman" w:cs="Times New Roman"/>
                <w:color w:val="auto"/>
                <w:sz w:val="24"/>
                <w:szCs w:val="24"/>
              </w:rPr>
              <w:t xml:space="preserve">Storey, A. (2023) </w:t>
            </w:r>
            <w:r w:rsidRPr="006070B0">
              <w:rPr>
                <w:rFonts w:ascii="Times New Roman" w:hAnsi="Times New Roman" w:cs="Times New Roman"/>
                <w:i/>
                <w:iCs/>
                <w:color w:val="auto"/>
                <w:sz w:val="24"/>
                <w:szCs w:val="24"/>
              </w:rPr>
              <w:t>Profile of the older population living in England and Wales in 2021 and changes since 2011</w:t>
            </w:r>
            <w:r w:rsidRPr="006070B0">
              <w:rPr>
                <w:rFonts w:ascii="Times New Roman" w:hAnsi="Times New Roman" w:cs="Times New Roman"/>
                <w:color w:val="auto"/>
                <w:sz w:val="24"/>
                <w:szCs w:val="24"/>
              </w:rPr>
              <w:t>. London: Office for National Statistics.</w:t>
            </w:r>
          </w:p>
          <w:p w14:paraId="52B6D5CC" w14:textId="77777777" w:rsidR="006070B0" w:rsidRPr="006070B0" w:rsidRDefault="006070B0" w:rsidP="006070B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proofErr w:type="spellStart"/>
            <w:r w:rsidRPr="006070B0">
              <w:rPr>
                <w:rFonts w:ascii="Times New Roman" w:hAnsi="Times New Roman" w:cs="Times New Roman"/>
                <w:color w:val="auto"/>
                <w:sz w:val="24"/>
                <w:szCs w:val="24"/>
              </w:rPr>
              <w:t>Tedam</w:t>
            </w:r>
            <w:proofErr w:type="spellEnd"/>
            <w:r w:rsidRPr="006070B0">
              <w:rPr>
                <w:rFonts w:ascii="Times New Roman" w:hAnsi="Times New Roman" w:cs="Times New Roman"/>
                <w:color w:val="auto"/>
                <w:sz w:val="24"/>
                <w:szCs w:val="24"/>
              </w:rPr>
              <w:t xml:space="preserve">, P. (2021) ‘To Shield or Not to Shield? Black African Social Workers’ Experiences during COVID-19 in England’, </w:t>
            </w:r>
            <w:r w:rsidRPr="006070B0">
              <w:rPr>
                <w:rFonts w:ascii="Times New Roman" w:hAnsi="Times New Roman" w:cs="Times New Roman"/>
                <w:i/>
                <w:iCs/>
                <w:color w:val="auto"/>
                <w:sz w:val="24"/>
                <w:szCs w:val="24"/>
              </w:rPr>
              <w:t>British Journal of Social Work</w:t>
            </w:r>
            <w:r w:rsidRPr="006070B0">
              <w:rPr>
                <w:rFonts w:ascii="Times New Roman" w:hAnsi="Times New Roman" w:cs="Times New Roman"/>
                <w:color w:val="auto"/>
                <w:sz w:val="24"/>
                <w:szCs w:val="24"/>
              </w:rPr>
              <w:t>, 51(5), pp. 1720–1738. https://doi.org/10.1093/bjsw/bcab107 (Accessed: 11 September 2025).</w:t>
            </w:r>
          </w:p>
          <w:p w14:paraId="4B34CD3F" w14:textId="77777777" w:rsidR="006070B0" w:rsidRPr="006070B0" w:rsidRDefault="006070B0" w:rsidP="006070B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6070B0">
              <w:rPr>
                <w:rFonts w:ascii="Times New Roman" w:hAnsi="Times New Roman" w:cs="Times New Roman"/>
                <w:color w:val="auto"/>
                <w:sz w:val="24"/>
                <w:szCs w:val="24"/>
              </w:rPr>
              <w:t xml:space="preserve">Tamworth, M., Billings, J., Tekin, S., Pitman, A., Jacobson, J. and </w:t>
            </w:r>
            <w:proofErr w:type="spellStart"/>
            <w:r w:rsidRPr="006070B0">
              <w:rPr>
                <w:rFonts w:ascii="Times New Roman" w:hAnsi="Times New Roman" w:cs="Times New Roman"/>
                <w:color w:val="auto"/>
                <w:sz w:val="24"/>
                <w:szCs w:val="24"/>
              </w:rPr>
              <w:t>Killaspy</w:t>
            </w:r>
            <w:proofErr w:type="spellEnd"/>
            <w:r w:rsidRPr="006070B0">
              <w:rPr>
                <w:rFonts w:ascii="Times New Roman" w:hAnsi="Times New Roman" w:cs="Times New Roman"/>
                <w:color w:val="auto"/>
                <w:sz w:val="24"/>
                <w:szCs w:val="24"/>
              </w:rPr>
              <w:t xml:space="preserve">, H. (2025) ‘A systematic review and critique of publicly available guidance for mental health practitioners called to a coroner’s inquest’, </w:t>
            </w:r>
            <w:r w:rsidRPr="006070B0">
              <w:rPr>
                <w:rFonts w:ascii="Times New Roman" w:hAnsi="Times New Roman" w:cs="Times New Roman"/>
                <w:i/>
                <w:iCs/>
                <w:color w:val="auto"/>
                <w:sz w:val="24"/>
                <w:szCs w:val="24"/>
              </w:rPr>
              <w:t>Psychiatry, Psychology and Law</w:t>
            </w:r>
            <w:r w:rsidRPr="006070B0">
              <w:rPr>
                <w:rFonts w:ascii="Times New Roman" w:hAnsi="Times New Roman" w:cs="Times New Roman"/>
                <w:color w:val="auto"/>
                <w:sz w:val="24"/>
                <w:szCs w:val="24"/>
              </w:rPr>
              <w:t>, pp. 1–36.</w:t>
            </w:r>
          </w:p>
          <w:p w14:paraId="43B2D76F" w14:textId="77777777" w:rsidR="006070B0" w:rsidRPr="006070B0" w:rsidRDefault="006070B0" w:rsidP="006070B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6070B0">
              <w:rPr>
                <w:rFonts w:ascii="Times New Roman" w:hAnsi="Times New Roman" w:cs="Times New Roman"/>
                <w:color w:val="auto"/>
                <w:sz w:val="24"/>
                <w:szCs w:val="24"/>
              </w:rPr>
              <w:t xml:space="preserve">UK Care Guide (2025) </w:t>
            </w:r>
            <w:r w:rsidRPr="006070B0">
              <w:rPr>
                <w:rFonts w:ascii="Times New Roman" w:hAnsi="Times New Roman" w:cs="Times New Roman"/>
                <w:i/>
                <w:iCs/>
                <w:color w:val="auto"/>
                <w:sz w:val="24"/>
                <w:szCs w:val="24"/>
              </w:rPr>
              <w:t xml:space="preserve">Live In Carer Costs – How To Find </w:t>
            </w:r>
            <w:proofErr w:type="gramStart"/>
            <w:r w:rsidRPr="006070B0">
              <w:rPr>
                <w:rFonts w:ascii="Times New Roman" w:hAnsi="Times New Roman" w:cs="Times New Roman"/>
                <w:i/>
                <w:iCs/>
                <w:color w:val="auto"/>
                <w:sz w:val="24"/>
                <w:szCs w:val="24"/>
              </w:rPr>
              <w:t>24 Hour Live In</w:t>
            </w:r>
            <w:proofErr w:type="gramEnd"/>
            <w:r w:rsidRPr="006070B0">
              <w:rPr>
                <w:rFonts w:ascii="Times New Roman" w:hAnsi="Times New Roman" w:cs="Times New Roman"/>
                <w:i/>
                <w:iCs/>
                <w:color w:val="auto"/>
                <w:sz w:val="24"/>
                <w:szCs w:val="24"/>
              </w:rPr>
              <w:t xml:space="preserve"> Care In September 2025</w:t>
            </w:r>
            <w:r w:rsidRPr="006070B0">
              <w:rPr>
                <w:rFonts w:ascii="Times New Roman" w:hAnsi="Times New Roman" w:cs="Times New Roman"/>
                <w:color w:val="auto"/>
                <w:sz w:val="24"/>
                <w:szCs w:val="24"/>
              </w:rPr>
              <w:t>. Available at: https://www.ukcareguide.co.uk/live-in-carer-costs (Accessed: 8 September 2025).</w:t>
            </w:r>
          </w:p>
          <w:p w14:paraId="3EFF863B" w14:textId="77777777" w:rsidR="006070B0" w:rsidRPr="006070B0" w:rsidRDefault="006070B0" w:rsidP="006070B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6070B0">
              <w:rPr>
                <w:rFonts w:ascii="Times New Roman" w:hAnsi="Times New Roman" w:cs="Times New Roman"/>
                <w:color w:val="auto"/>
                <w:sz w:val="24"/>
                <w:szCs w:val="24"/>
              </w:rPr>
              <w:t xml:space="preserve">Well-being of Future Generations (Wales) Act 2015. </w:t>
            </w:r>
            <w:r w:rsidRPr="006070B0">
              <w:rPr>
                <w:rFonts w:ascii="Times New Roman" w:hAnsi="Times New Roman" w:cs="Times New Roman"/>
                <w:i/>
                <w:iCs/>
                <w:color w:val="auto"/>
                <w:sz w:val="24"/>
                <w:szCs w:val="24"/>
              </w:rPr>
              <w:t>The Essentials</w:t>
            </w:r>
            <w:r w:rsidRPr="006070B0">
              <w:rPr>
                <w:rFonts w:ascii="Times New Roman" w:hAnsi="Times New Roman" w:cs="Times New Roman"/>
                <w:color w:val="auto"/>
                <w:sz w:val="24"/>
                <w:szCs w:val="24"/>
              </w:rPr>
              <w:t>. Available at: https://www.gov.wales/well-being-future-generations-act-essentials-html (Accessed: 26 September 2025).</w:t>
            </w:r>
          </w:p>
          <w:p w14:paraId="6BCD5528" w14:textId="77777777" w:rsidR="006070B0" w:rsidRPr="006070B0" w:rsidRDefault="006070B0" w:rsidP="006070B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6070B0">
              <w:rPr>
                <w:rFonts w:ascii="Times New Roman" w:hAnsi="Times New Roman" w:cs="Times New Roman"/>
                <w:color w:val="auto"/>
                <w:sz w:val="24"/>
                <w:szCs w:val="24"/>
              </w:rPr>
              <w:t xml:space="preserve">Welsh Government (2022) </w:t>
            </w:r>
            <w:r w:rsidRPr="006070B0">
              <w:rPr>
                <w:rFonts w:ascii="Times New Roman" w:hAnsi="Times New Roman" w:cs="Times New Roman"/>
                <w:i/>
                <w:iCs/>
                <w:color w:val="auto"/>
                <w:sz w:val="24"/>
                <w:szCs w:val="24"/>
              </w:rPr>
              <w:t>Violence Against Women, Domestic Abuse and Sexual Violence: Strategy 2022 to 2026</w:t>
            </w:r>
            <w:r w:rsidRPr="006070B0">
              <w:rPr>
                <w:rFonts w:ascii="Times New Roman" w:hAnsi="Times New Roman" w:cs="Times New Roman"/>
                <w:color w:val="auto"/>
                <w:sz w:val="24"/>
                <w:szCs w:val="24"/>
              </w:rPr>
              <w:t>. Available at: https://www.gov.wales/violence-against-women-domestic-abuse-and-sexual-violence-strategy-2022-2026-html (Accessed: 26 September 2025).</w:t>
            </w:r>
          </w:p>
          <w:p w14:paraId="3F48C390" w14:textId="77777777" w:rsidR="006070B0" w:rsidRPr="006070B0" w:rsidRDefault="006070B0" w:rsidP="006070B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6070B0">
              <w:rPr>
                <w:rFonts w:ascii="Times New Roman" w:hAnsi="Times New Roman" w:cs="Times New Roman"/>
                <w:color w:val="auto"/>
                <w:sz w:val="24"/>
                <w:szCs w:val="24"/>
              </w:rPr>
              <w:lastRenderedPageBreak/>
              <w:t xml:space="preserve">Welsh Government (2023) </w:t>
            </w:r>
            <w:r w:rsidRPr="006070B0">
              <w:rPr>
                <w:rFonts w:ascii="Times New Roman" w:hAnsi="Times New Roman" w:cs="Times New Roman"/>
                <w:i/>
                <w:iCs/>
                <w:color w:val="auto"/>
                <w:sz w:val="24"/>
                <w:szCs w:val="24"/>
              </w:rPr>
              <w:t>Nation of Sanctuary Refugee and Asylum Seeker Plan</w:t>
            </w:r>
            <w:r w:rsidRPr="006070B0">
              <w:rPr>
                <w:rFonts w:ascii="Times New Roman" w:hAnsi="Times New Roman" w:cs="Times New Roman"/>
                <w:color w:val="auto"/>
                <w:sz w:val="24"/>
                <w:szCs w:val="24"/>
              </w:rPr>
              <w:t>. Available at: https://www.gov.wales/nation-sanctuary-refugee-and-asylum-seeker-plan (Accessed: 26 September 2025).</w:t>
            </w:r>
          </w:p>
          <w:p w14:paraId="658331AB" w14:textId="77777777" w:rsidR="006070B0" w:rsidRPr="006070B0" w:rsidRDefault="006070B0" w:rsidP="006070B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6070B0">
              <w:rPr>
                <w:rFonts w:ascii="Times New Roman" w:hAnsi="Times New Roman" w:cs="Times New Roman"/>
                <w:color w:val="auto"/>
                <w:sz w:val="24"/>
                <w:szCs w:val="24"/>
              </w:rPr>
              <w:t xml:space="preserve">Welsh Government (2023) </w:t>
            </w:r>
            <w:r w:rsidRPr="006070B0">
              <w:rPr>
                <w:rFonts w:ascii="Times New Roman" w:hAnsi="Times New Roman" w:cs="Times New Roman"/>
                <w:i/>
                <w:iCs/>
                <w:color w:val="auto"/>
                <w:sz w:val="24"/>
                <w:szCs w:val="24"/>
              </w:rPr>
              <w:t>Roma and Travellers Plan</w:t>
            </w:r>
            <w:r w:rsidRPr="006070B0">
              <w:rPr>
                <w:rFonts w:ascii="Times New Roman" w:hAnsi="Times New Roman" w:cs="Times New Roman"/>
                <w:color w:val="auto"/>
                <w:sz w:val="24"/>
                <w:szCs w:val="24"/>
              </w:rPr>
              <w:t>. Available at: https://www.gov.wales/roma-and-travellers-plan (Accessed: 26 September 2025).</w:t>
            </w:r>
          </w:p>
          <w:p w14:paraId="75155C76" w14:textId="77777777" w:rsidR="006070B0" w:rsidRPr="006070B0" w:rsidRDefault="006070B0" w:rsidP="006070B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6070B0">
              <w:rPr>
                <w:rFonts w:ascii="Times New Roman" w:hAnsi="Times New Roman" w:cs="Times New Roman"/>
                <w:color w:val="auto"/>
                <w:sz w:val="24"/>
                <w:szCs w:val="24"/>
              </w:rPr>
              <w:t xml:space="preserve">Welsh Government (2024) </w:t>
            </w:r>
            <w:r w:rsidRPr="006070B0">
              <w:rPr>
                <w:rFonts w:ascii="Times New Roman" w:hAnsi="Times New Roman" w:cs="Times New Roman"/>
                <w:i/>
                <w:iCs/>
                <w:color w:val="auto"/>
                <w:sz w:val="24"/>
                <w:szCs w:val="24"/>
              </w:rPr>
              <w:t>Anti-racist Wales Action Plan: 2024 Update</w:t>
            </w:r>
            <w:r w:rsidRPr="006070B0">
              <w:rPr>
                <w:rFonts w:ascii="Times New Roman" w:hAnsi="Times New Roman" w:cs="Times New Roman"/>
                <w:color w:val="auto"/>
                <w:sz w:val="24"/>
                <w:szCs w:val="24"/>
              </w:rPr>
              <w:t>. Available at: https://www.gov.wales/anti-racist-wales-action-plan-2024-update-html (Accessed: 26 September 2025).</w:t>
            </w:r>
          </w:p>
          <w:p w14:paraId="4F8917EC" w14:textId="77777777" w:rsidR="006070B0" w:rsidRPr="006070B0" w:rsidRDefault="006070B0" w:rsidP="006070B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6070B0">
              <w:rPr>
                <w:rFonts w:ascii="Times New Roman" w:hAnsi="Times New Roman" w:cs="Times New Roman"/>
                <w:color w:val="auto"/>
                <w:sz w:val="24"/>
                <w:szCs w:val="24"/>
              </w:rPr>
              <w:t xml:space="preserve">Welsh Government (2024) </w:t>
            </w:r>
            <w:r w:rsidRPr="006070B0">
              <w:rPr>
                <w:rFonts w:ascii="Times New Roman" w:hAnsi="Times New Roman" w:cs="Times New Roman"/>
                <w:i/>
                <w:iCs/>
                <w:color w:val="auto"/>
                <w:sz w:val="24"/>
                <w:szCs w:val="24"/>
              </w:rPr>
              <w:t>Child Poverty Strategy for Wales 2024</w:t>
            </w:r>
            <w:r w:rsidRPr="006070B0">
              <w:rPr>
                <w:rFonts w:ascii="Times New Roman" w:hAnsi="Times New Roman" w:cs="Times New Roman"/>
                <w:color w:val="auto"/>
                <w:sz w:val="24"/>
                <w:szCs w:val="24"/>
              </w:rPr>
              <w:t>. Available at: https://www.gov.wales/child-poverty-strategy-wales-2024-html (Accessed: 26 September 2025).</w:t>
            </w:r>
          </w:p>
          <w:p w14:paraId="596798B7" w14:textId="77777777" w:rsidR="006070B0" w:rsidRPr="006070B0" w:rsidRDefault="006070B0" w:rsidP="006070B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6070B0">
              <w:rPr>
                <w:rFonts w:ascii="Times New Roman" w:hAnsi="Times New Roman" w:cs="Times New Roman"/>
                <w:color w:val="auto"/>
                <w:sz w:val="24"/>
                <w:szCs w:val="24"/>
              </w:rPr>
              <w:t xml:space="preserve">Welsh Government (2025) </w:t>
            </w:r>
            <w:r w:rsidRPr="006070B0">
              <w:rPr>
                <w:rFonts w:ascii="Times New Roman" w:hAnsi="Times New Roman" w:cs="Times New Roman"/>
                <w:i/>
                <w:iCs/>
                <w:color w:val="auto"/>
                <w:sz w:val="24"/>
                <w:szCs w:val="24"/>
              </w:rPr>
              <w:t>Draft Disabled People’s Rights Plan: 2025 to 2035</w:t>
            </w:r>
            <w:r w:rsidRPr="006070B0">
              <w:rPr>
                <w:rFonts w:ascii="Times New Roman" w:hAnsi="Times New Roman" w:cs="Times New Roman"/>
                <w:color w:val="auto"/>
                <w:sz w:val="24"/>
                <w:szCs w:val="24"/>
              </w:rPr>
              <w:t>. Available at: https://www.gov.wales/draft-disabled-peoples-rights-plan-2025-2035-html (Accessed: 26 September 2025).</w:t>
            </w:r>
          </w:p>
          <w:p w14:paraId="765A9877" w14:textId="77777777" w:rsidR="006070B0" w:rsidRPr="006070B0" w:rsidRDefault="006070B0" w:rsidP="006070B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6070B0">
              <w:rPr>
                <w:rFonts w:ascii="Times New Roman" w:hAnsi="Times New Roman" w:cs="Times New Roman"/>
                <w:color w:val="auto"/>
                <w:sz w:val="24"/>
                <w:szCs w:val="24"/>
              </w:rPr>
              <w:t xml:space="preserve">Welsh Government (2025) </w:t>
            </w:r>
            <w:r w:rsidRPr="006070B0">
              <w:rPr>
                <w:rFonts w:ascii="Times New Roman" w:hAnsi="Times New Roman" w:cs="Times New Roman"/>
                <w:i/>
                <w:iCs/>
                <w:color w:val="auto"/>
                <w:sz w:val="24"/>
                <w:szCs w:val="24"/>
              </w:rPr>
              <w:t>Mental Health and Wellbeing Strategy 2025 to 2035</w:t>
            </w:r>
            <w:r w:rsidRPr="006070B0">
              <w:rPr>
                <w:rFonts w:ascii="Times New Roman" w:hAnsi="Times New Roman" w:cs="Times New Roman"/>
                <w:color w:val="auto"/>
                <w:sz w:val="24"/>
                <w:szCs w:val="24"/>
              </w:rPr>
              <w:t>. Available at: https://www.gov.wales/mental-health-and-wellbeing-strategy-2025-2035 (Accessed: 26 September 2025).</w:t>
            </w:r>
          </w:p>
          <w:p w14:paraId="0C981454" w14:textId="77777777" w:rsidR="006070B0" w:rsidRPr="006070B0" w:rsidRDefault="006070B0" w:rsidP="006070B0">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proofErr w:type="spellStart"/>
            <w:r w:rsidRPr="006070B0">
              <w:rPr>
                <w:rFonts w:ascii="Times New Roman" w:hAnsi="Times New Roman" w:cs="Times New Roman"/>
                <w:color w:val="auto"/>
                <w:sz w:val="24"/>
                <w:szCs w:val="24"/>
              </w:rPr>
              <w:t>Zerden</w:t>
            </w:r>
            <w:proofErr w:type="spellEnd"/>
            <w:r w:rsidRPr="006070B0">
              <w:rPr>
                <w:rFonts w:ascii="Times New Roman" w:hAnsi="Times New Roman" w:cs="Times New Roman"/>
                <w:color w:val="auto"/>
                <w:sz w:val="24"/>
                <w:szCs w:val="24"/>
              </w:rPr>
              <w:t xml:space="preserve">, L.D., Lombardi, B.M. and Richman, E.L. (2019) ‘Social workers on the interprofessional integrated team: Elements of team integration and barriers to practice’, </w:t>
            </w:r>
            <w:r w:rsidRPr="006070B0">
              <w:rPr>
                <w:rFonts w:ascii="Times New Roman" w:hAnsi="Times New Roman" w:cs="Times New Roman"/>
                <w:i/>
                <w:iCs/>
                <w:color w:val="auto"/>
                <w:sz w:val="24"/>
                <w:szCs w:val="24"/>
              </w:rPr>
              <w:t>Journal of Interprofessional Education &amp; Practice</w:t>
            </w:r>
            <w:r w:rsidRPr="006070B0">
              <w:rPr>
                <w:rFonts w:ascii="Times New Roman" w:hAnsi="Times New Roman" w:cs="Times New Roman"/>
                <w:color w:val="auto"/>
                <w:sz w:val="24"/>
                <w:szCs w:val="24"/>
              </w:rPr>
              <w:t>, 17, p. 100286. Available at: https://www.shepscenter.unc.edu/wp-content/uploads/2019/09/Zerden-Lombardi-Richman-2019-SW-on-IPE-Team-Elements-of-Integration-Barriers-to-Practice.pdf</w:t>
            </w:r>
          </w:p>
          <w:p w14:paraId="4C556377" w14:textId="77777777" w:rsidR="0051316F" w:rsidRDefault="0051316F" w:rsidP="009331B0">
            <w:pPr>
              <w:rPr>
                <w:iCs/>
                <w:sz w:val="24"/>
                <w:szCs w:val="24"/>
              </w:rPr>
            </w:pPr>
          </w:p>
          <w:p w14:paraId="05B561B3" w14:textId="77777777" w:rsidR="00A20D1E" w:rsidRDefault="00A20D1E" w:rsidP="00234433">
            <w:pPr>
              <w:rPr>
                <w:iCs/>
                <w:sz w:val="24"/>
                <w:szCs w:val="24"/>
              </w:rPr>
            </w:pPr>
          </w:p>
          <w:p w14:paraId="1B2C291B" w14:textId="77777777" w:rsidR="00A20D1E" w:rsidRDefault="00A20D1E" w:rsidP="00234433">
            <w:pPr>
              <w:rPr>
                <w:iCs/>
                <w:sz w:val="24"/>
                <w:szCs w:val="24"/>
              </w:rPr>
            </w:pPr>
          </w:p>
          <w:p w14:paraId="7144AA08" w14:textId="77777777" w:rsidR="00EB7FEF" w:rsidRDefault="00EB7FEF" w:rsidP="009331B0">
            <w:pPr>
              <w:rPr>
                <w:iCs/>
                <w:sz w:val="24"/>
                <w:szCs w:val="24"/>
              </w:rPr>
            </w:pPr>
          </w:p>
          <w:p w14:paraId="516A4C67" w14:textId="77777777" w:rsidR="009331B0" w:rsidRDefault="009331B0" w:rsidP="009331B0">
            <w:pPr>
              <w:rPr>
                <w:i/>
                <w:sz w:val="24"/>
                <w:szCs w:val="24"/>
              </w:rPr>
            </w:pPr>
          </w:p>
          <w:p w14:paraId="7601F331" w14:textId="77777777" w:rsidR="009331B0" w:rsidRDefault="009331B0" w:rsidP="009331B0">
            <w:pPr>
              <w:rPr>
                <w:i/>
                <w:sz w:val="24"/>
                <w:szCs w:val="24"/>
              </w:rPr>
            </w:pPr>
          </w:p>
          <w:p w14:paraId="4F27E8EB" w14:textId="77777777" w:rsidR="00A930C1" w:rsidRDefault="00A930C1" w:rsidP="009331B0">
            <w:pPr>
              <w:rPr>
                <w:i/>
                <w:sz w:val="24"/>
                <w:szCs w:val="24"/>
              </w:rPr>
            </w:pPr>
          </w:p>
          <w:p w14:paraId="486254E0" w14:textId="373B3EAD" w:rsidR="003C70EF" w:rsidRPr="003C70EF" w:rsidRDefault="003C70EF" w:rsidP="009331B0">
            <w:pPr>
              <w:rPr>
                <w:iCs/>
                <w:sz w:val="24"/>
                <w:szCs w:val="24"/>
              </w:rPr>
            </w:pPr>
          </w:p>
          <w:p w14:paraId="78E38FF4" w14:textId="77777777" w:rsidR="003C70EF" w:rsidRDefault="003C70EF" w:rsidP="009331B0">
            <w:pPr>
              <w:rPr>
                <w:i/>
                <w:sz w:val="24"/>
                <w:szCs w:val="24"/>
              </w:rPr>
            </w:pPr>
          </w:p>
          <w:p w14:paraId="720C5B63" w14:textId="77777777" w:rsidR="003C70EF" w:rsidRDefault="003C70EF" w:rsidP="009331B0">
            <w:pPr>
              <w:rPr>
                <w:i/>
                <w:sz w:val="24"/>
                <w:szCs w:val="24"/>
              </w:rPr>
            </w:pPr>
          </w:p>
          <w:p w14:paraId="256C193B" w14:textId="77777777" w:rsidR="003C70EF" w:rsidRDefault="003C70EF" w:rsidP="009331B0">
            <w:pPr>
              <w:rPr>
                <w:i/>
                <w:sz w:val="24"/>
                <w:szCs w:val="24"/>
              </w:rPr>
            </w:pPr>
          </w:p>
          <w:p w14:paraId="7DB389B7" w14:textId="77777777" w:rsidR="003C70EF" w:rsidRDefault="003C70EF" w:rsidP="009331B0">
            <w:pPr>
              <w:rPr>
                <w:i/>
                <w:sz w:val="24"/>
                <w:szCs w:val="24"/>
              </w:rPr>
            </w:pPr>
          </w:p>
          <w:p w14:paraId="6E41B503" w14:textId="77777777" w:rsidR="003C70EF" w:rsidRDefault="003C70EF" w:rsidP="009331B0">
            <w:pPr>
              <w:rPr>
                <w:i/>
                <w:sz w:val="24"/>
                <w:szCs w:val="24"/>
              </w:rPr>
            </w:pPr>
          </w:p>
          <w:p w14:paraId="0945A109" w14:textId="77777777" w:rsidR="003C70EF" w:rsidRDefault="003C70EF" w:rsidP="009331B0">
            <w:pPr>
              <w:rPr>
                <w:i/>
                <w:sz w:val="24"/>
                <w:szCs w:val="24"/>
              </w:rPr>
            </w:pPr>
          </w:p>
          <w:p w14:paraId="2F1413D9" w14:textId="77777777" w:rsidR="00F57905" w:rsidRDefault="00F57905" w:rsidP="009331B0">
            <w:pPr>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sectPr w:rsidR="00D3442D"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1111F" w14:textId="77777777" w:rsidR="00E47656" w:rsidRDefault="00E47656">
      <w:r>
        <w:separator/>
      </w:r>
    </w:p>
  </w:endnote>
  <w:endnote w:type="continuationSeparator" w:id="0">
    <w:p w14:paraId="4DEA1B52" w14:textId="77777777" w:rsidR="00E47656" w:rsidRDefault="00E47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446B1" w14:textId="77777777" w:rsidR="00E47656" w:rsidRDefault="00E47656">
      <w:r>
        <w:separator/>
      </w:r>
    </w:p>
  </w:footnote>
  <w:footnote w:type="continuationSeparator" w:id="0">
    <w:p w14:paraId="5E5EE959" w14:textId="77777777" w:rsidR="00E47656" w:rsidRDefault="00E476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AF5FCC"/>
    <w:multiLevelType w:val="hybridMultilevel"/>
    <w:tmpl w:val="E1D091FE"/>
    <w:lvl w:ilvl="0" w:tplc="4B4C081A">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28ABBF0">
      <w:start w:val="1"/>
      <w:numFmt w:val="bullet"/>
      <w:lvlText w:val="o"/>
      <w:lvlJc w:val="left"/>
      <w:pPr>
        <w:ind w:left="1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9FAAD10">
      <w:start w:val="1"/>
      <w:numFmt w:val="bullet"/>
      <w:lvlText w:val="▪"/>
      <w:lvlJc w:val="left"/>
      <w:pPr>
        <w:ind w:left="1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2E81BF6">
      <w:start w:val="1"/>
      <w:numFmt w:val="bullet"/>
      <w:lvlText w:val="•"/>
      <w:lvlJc w:val="left"/>
      <w:pPr>
        <w:ind w:left="2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128C856">
      <w:start w:val="1"/>
      <w:numFmt w:val="bullet"/>
      <w:lvlText w:val="o"/>
      <w:lvlJc w:val="left"/>
      <w:pPr>
        <w:ind w:left="3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1A847A4">
      <w:start w:val="1"/>
      <w:numFmt w:val="bullet"/>
      <w:lvlText w:val="▪"/>
      <w:lvlJc w:val="left"/>
      <w:pPr>
        <w:ind w:left="41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56017A4">
      <w:start w:val="1"/>
      <w:numFmt w:val="bullet"/>
      <w:lvlText w:val="•"/>
      <w:lvlJc w:val="left"/>
      <w:pPr>
        <w:ind w:left="48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C6A981C">
      <w:start w:val="1"/>
      <w:numFmt w:val="bullet"/>
      <w:lvlText w:val="o"/>
      <w:lvlJc w:val="left"/>
      <w:pPr>
        <w:ind w:left="55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3C25908">
      <w:start w:val="1"/>
      <w:numFmt w:val="bullet"/>
      <w:lvlText w:val="▪"/>
      <w:lvlJc w:val="left"/>
      <w:pPr>
        <w:ind w:left="62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C6258F1"/>
    <w:multiLevelType w:val="multilevel"/>
    <w:tmpl w:val="E24CF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44990669">
    <w:abstractNumId w:val="0"/>
  </w:num>
  <w:num w:numId="2" w16cid:durableId="1944607846">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hideSpellingErrors/>
  <w:hideGrammaticalError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143C6"/>
    <w:rsid w:val="00020EEC"/>
    <w:rsid w:val="0002440E"/>
    <w:rsid w:val="0002759A"/>
    <w:rsid w:val="0002778F"/>
    <w:rsid w:val="00027B1F"/>
    <w:rsid w:val="0003088B"/>
    <w:rsid w:val="0003189A"/>
    <w:rsid w:val="000325D9"/>
    <w:rsid w:val="000372B2"/>
    <w:rsid w:val="0004079F"/>
    <w:rsid w:val="0004230E"/>
    <w:rsid w:val="00042BF6"/>
    <w:rsid w:val="00043543"/>
    <w:rsid w:val="00045B87"/>
    <w:rsid w:val="00045C07"/>
    <w:rsid w:val="00045C40"/>
    <w:rsid w:val="00046861"/>
    <w:rsid w:val="00050ABB"/>
    <w:rsid w:val="0005337E"/>
    <w:rsid w:val="00054A07"/>
    <w:rsid w:val="00055D43"/>
    <w:rsid w:val="00056FAC"/>
    <w:rsid w:val="00057751"/>
    <w:rsid w:val="00061539"/>
    <w:rsid w:val="00062AFA"/>
    <w:rsid w:val="00062E39"/>
    <w:rsid w:val="00064063"/>
    <w:rsid w:val="0006581A"/>
    <w:rsid w:val="000726AD"/>
    <w:rsid w:val="00074461"/>
    <w:rsid w:val="000766EC"/>
    <w:rsid w:val="00080D23"/>
    <w:rsid w:val="00080E58"/>
    <w:rsid w:val="00083D99"/>
    <w:rsid w:val="00084DA6"/>
    <w:rsid w:val="00085699"/>
    <w:rsid w:val="00090160"/>
    <w:rsid w:val="00091F52"/>
    <w:rsid w:val="00092970"/>
    <w:rsid w:val="00093720"/>
    <w:rsid w:val="000938E6"/>
    <w:rsid w:val="00093B3C"/>
    <w:rsid w:val="0009488C"/>
    <w:rsid w:val="000949D9"/>
    <w:rsid w:val="00095C1B"/>
    <w:rsid w:val="00096DEA"/>
    <w:rsid w:val="000A21D3"/>
    <w:rsid w:val="000A4240"/>
    <w:rsid w:val="000A469A"/>
    <w:rsid w:val="000A584A"/>
    <w:rsid w:val="000A6458"/>
    <w:rsid w:val="000B0CE8"/>
    <w:rsid w:val="000B620A"/>
    <w:rsid w:val="000B759A"/>
    <w:rsid w:val="000C377B"/>
    <w:rsid w:val="000C378F"/>
    <w:rsid w:val="000C5DA6"/>
    <w:rsid w:val="000C6892"/>
    <w:rsid w:val="000C6FFE"/>
    <w:rsid w:val="000D0BB6"/>
    <w:rsid w:val="000D0EB3"/>
    <w:rsid w:val="000D2ED2"/>
    <w:rsid w:val="000D6653"/>
    <w:rsid w:val="000E0D51"/>
    <w:rsid w:val="000E26B0"/>
    <w:rsid w:val="000E37C2"/>
    <w:rsid w:val="000E38C3"/>
    <w:rsid w:val="000E4573"/>
    <w:rsid w:val="000E459E"/>
    <w:rsid w:val="000E6E9B"/>
    <w:rsid w:val="000E7D49"/>
    <w:rsid w:val="000F1599"/>
    <w:rsid w:val="000F1769"/>
    <w:rsid w:val="000F1A97"/>
    <w:rsid w:val="000F3080"/>
    <w:rsid w:val="000F42AE"/>
    <w:rsid w:val="000F54EE"/>
    <w:rsid w:val="000F6196"/>
    <w:rsid w:val="000F6BC3"/>
    <w:rsid w:val="0010312C"/>
    <w:rsid w:val="0010492B"/>
    <w:rsid w:val="00105026"/>
    <w:rsid w:val="00105267"/>
    <w:rsid w:val="0010662B"/>
    <w:rsid w:val="00106DC7"/>
    <w:rsid w:val="00112391"/>
    <w:rsid w:val="00114F52"/>
    <w:rsid w:val="001218FA"/>
    <w:rsid w:val="00130119"/>
    <w:rsid w:val="001302D6"/>
    <w:rsid w:val="00132812"/>
    <w:rsid w:val="001347F8"/>
    <w:rsid w:val="001359EE"/>
    <w:rsid w:val="00137BB5"/>
    <w:rsid w:val="00137E05"/>
    <w:rsid w:val="001447F6"/>
    <w:rsid w:val="00145C5D"/>
    <w:rsid w:val="00147DE3"/>
    <w:rsid w:val="00150794"/>
    <w:rsid w:val="00151DA6"/>
    <w:rsid w:val="0015292D"/>
    <w:rsid w:val="001531EA"/>
    <w:rsid w:val="00157236"/>
    <w:rsid w:val="001608C4"/>
    <w:rsid w:val="00164832"/>
    <w:rsid w:val="00171418"/>
    <w:rsid w:val="00174817"/>
    <w:rsid w:val="0017563E"/>
    <w:rsid w:val="001772BF"/>
    <w:rsid w:val="001772DE"/>
    <w:rsid w:val="00186AAE"/>
    <w:rsid w:val="001901C0"/>
    <w:rsid w:val="001925A1"/>
    <w:rsid w:val="0019496C"/>
    <w:rsid w:val="00195DC9"/>
    <w:rsid w:val="001961CF"/>
    <w:rsid w:val="00197A38"/>
    <w:rsid w:val="001A2C0F"/>
    <w:rsid w:val="001A59BB"/>
    <w:rsid w:val="001A607E"/>
    <w:rsid w:val="001A6A51"/>
    <w:rsid w:val="001A6C03"/>
    <w:rsid w:val="001A79C4"/>
    <w:rsid w:val="001B331A"/>
    <w:rsid w:val="001C0237"/>
    <w:rsid w:val="001C0E74"/>
    <w:rsid w:val="001C4278"/>
    <w:rsid w:val="001C4DB8"/>
    <w:rsid w:val="001C50B8"/>
    <w:rsid w:val="001C60C1"/>
    <w:rsid w:val="001D229F"/>
    <w:rsid w:val="001E2EB6"/>
    <w:rsid w:val="001F41D2"/>
    <w:rsid w:val="001F4552"/>
    <w:rsid w:val="001F5B9A"/>
    <w:rsid w:val="002012C2"/>
    <w:rsid w:val="002019EB"/>
    <w:rsid w:val="00204B58"/>
    <w:rsid w:val="00205051"/>
    <w:rsid w:val="00205F5D"/>
    <w:rsid w:val="00211F65"/>
    <w:rsid w:val="00214047"/>
    <w:rsid w:val="00216563"/>
    <w:rsid w:val="0021792F"/>
    <w:rsid w:val="00217E4E"/>
    <w:rsid w:val="00220D06"/>
    <w:rsid w:val="00221E1F"/>
    <w:rsid w:val="002246A0"/>
    <w:rsid w:val="00230439"/>
    <w:rsid w:val="0023152F"/>
    <w:rsid w:val="00232A09"/>
    <w:rsid w:val="00234433"/>
    <w:rsid w:val="00235176"/>
    <w:rsid w:val="00236061"/>
    <w:rsid w:val="00236659"/>
    <w:rsid w:val="0024100E"/>
    <w:rsid w:val="00241C1B"/>
    <w:rsid w:val="0024288B"/>
    <w:rsid w:val="00243DB0"/>
    <w:rsid w:val="00245F62"/>
    <w:rsid w:val="002460A3"/>
    <w:rsid w:val="00247265"/>
    <w:rsid w:val="00252763"/>
    <w:rsid w:val="0025570D"/>
    <w:rsid w:val="00256F4F"/>
    <w:rsid w:val="00260641"/>
    <w:rsid w:val="00260663"/>
    <w:rsid w:val="002657E9"/>
    <w:rsid w:val="0026665E"/>
    <w:rsid w:val="0027147E"/>
    <w:rsid w:val="002755B0"/>
    <w:rsid w:val="002761F4"/>
    <w:rsid w:val="002775E1"/>
    <w:rsid w:val="00277979"/>
    <w:rsid w:val="002834D5"/>
    <w:rsid w:val="00291ADD"/>
    <w:rsid w:val="002920DF"/>
    <w:rsid w:val="00292F3D"/>
    <w:rsid w:val="00292F40"/>
    <w:rsid w:val="00295CA1"/>
    <w:rsid w:val="002A0E51"/>
    <w:rsid w:val="002A1A44"/>
    <w:rsid w:val="002A291A"/>
    <w:rsid w:val="002A2C54"/>
    <w:rsid w:val="002A2D4C"/>
    <w:rsid w:val="002A4DB6"/>
    <w:rsid w:val="002A4E2E"/>
    <w:rsid w:val="002A5604"/>
    <w:rsid w:val="002B1701"/>
    <w:rsid w:val="002B193D"/>
    <w:rsid w:val="002B23C3"/>
    <w:rsid w:val="002B443A"/>
    <w:rsid w:val="002B5B35"/>
    <w:rsid w:val="002B7AEE"/>
    <w:rsid w:val="002C2536"/>
    <w:rsid w:val="002C256A"/>
    <w:rsid w:val="002C3031"/>
    <w:rsid w:val="002C4233"/>
    <w:rsid w:val="002C496D"/>
    <w:rsid w:val="002D05EB"/>
    <w:rsid w:val="002D11A8"/>
    <w:rsid w:val="002D1B36"/>
    <w:rsid w:val="002D2AA4"/>
    <w:rsid w:val="002D2F29"/>
    <w:rsid w:val="002D46C0"/>
    <w:rsid w:val="002D5A92"/>
    <w:rsid w:val="002D65D2"/>
    <w:rsid w:val="002D6B31"/>
    <w:rsid w:val="002E57F4"/>
    <w:rsid w:val="002E5DE3"/>
    <w:rsid w:val="002E6D17"/>
    <w:rsid w:val="002E7017"/>
    <w:rsid w:val="002E7F2C"/>
    <w:rsid w:val="002F03FB"/>
    <w:rsid w:val="002F1FC7"/>
    <w:rsid w:val="002F2185"/>
    <w:rsid w:val="002F4F6E"/>
    <w:rsid w:val="003015C3"/>
    <w:rsid w:val="003028F9"/>
    <w:rsid w:val="003031A1"/>
    <w:rsid w:val="003069FD"/>
    <w:rsid w:val="003106DB"/>
    <w:rsid w:val="0031350A"/>
    <w:rsid w:val="00315006"/>
    <w:rsid w:val="00315D82"/>
    <w:rsid w:val="003161C2"/>
    <w:rsid w:val="00316815"/>
    <w:rsid w:val="003168CA"/>
    <w:rsid w:val="00321255"/>
    <w:rsid w:val="00322046"/>
    <w:rsid w:val="0032230D"/>
    <w:rsid w:val="00322A0B"/>
    <w:rsid w:val="0032318E"/>
    <w:rsid w:val="00325F9A"/>
    <w:rsid w:val="00330881"/>
    <w:rsid w:val="00331CD2"/>
    <w:rsid w:val="00332426"/>
    <w:rsid w:val="00332808"/>
    <w:rsid w:val="00332CCD"/>
    <w:rsid w:val="00335C41"/>
    <w:rsid w:val="00335FC5"/>
    <w:rsid w:val="0033771E"/>
    <w:rsid w:val="00337FEF"/>
    <w:rsid w:val="0034115E"/>
    <w:rsid w:val="00345642"/>
    <w:rsid w:val="0035157D"/>
    <w:rsid w:val="00353EED"/>
    <w:rsid w:val="00354B6D"/>
    <w:rsid w:val="00355210"/>
    <w:rsid w:val="0035557E"/>
    <w:rsid w:val="00355CFD"/>
    <w:rsid w:val="00360B34"/>
    <w:rsid w:val="00365DF9"/>
    <w:rsid w:val="00370661"/>
    <w:rsid w:val="0037066E"/>
    <w:rsid w:val="00372DB4"/>
    <w:rsid w:val="003736A7"/>
    <w:rsid w:val="00373A36"/>
    <w:rsid w:val="0037419E"/>
    <w:rsid w:val="00375AF5"/>
    <w:rsid w:val="00375B1B"/>
    <w:rsid w:val="003761BD"/>
    <w:rsid w:val="00377448"/>
    <w:rsid w:val="00377884"/>
    <w:rsid w:val="003826BD"/>
    <w:rsid w:val="00385414"/>
    <w:rsid w:val="0038569D"/>
    <w:rsid w:val="00390074"/>
    <w:rsid w:val="00392D47"/>
    <w:rsid w:val="00392F73"/>
    <w:rsid w:val="00393600"/>
    <w:rsid w:val="0039762B"/>
    <w:rsid w:val="003A0C37"/>
    <w:rsid w:val="003A1B6B"/>
    <w:rsid w:val="003A3C1F"/>
    <w:rsid w:val="003A46C0"/>
    <w:rsid w:val="003A600E"/>
    <w:rsid w:val="003A6513"/>
    <w:rsid w:val="003B16C7"/>
    <w:rsid w:val="003B29BC"/>
    <w:rsid w:val="003B3115"/>
    <w:rsid w:val="003B3FE5"/>
    <w:rsid w:val="003C19F1"/>
    <w:rsid w:val="003C3C67"/>
    <w:rsid w:val="003C4186"/>
    <w:rsid w:val="003C6185"/>
    <w:rsid w:val="003C70EF"/>
    <w:rsid w:val="003D0D2D"/>
    <w:rsid w:val="003D1885"/>
    <w:rsid w:val="003D1BC0"/>
    <w:rsid w:val="003D20F1"/>
    <w:rsid w:val="003D4710"/>
    <w:rsid w:val="003E16D7"/>
    <w:rsid w:val="003E197E"/>
    <w:rsid w:val="003E4B70"/>
    <w:rsid w:val="003E54CF"/>
    <w:rsid w:val="003E5D95"/>
    <w:rsid w:val="003E5FBA"/>
    <w:rsid w:val="003F1233"/>
    <w:rsid w:val="003F5617"/>
    <w:rsid w:val="003F67A4"/>
    <w:rsid w:val="003F6957"/>
    <w:rsid w:val="00400786"/>
    <w:rsid w:val="00401FDA"/>
    <w:rsid w:val="004046F0"/>
    <w:rsid w:val="0040668F"/>
    <w:rsid w:val="00406796"/>
    <w:rsid w:val="00411EF7"/>
    <w:rsid w:val="00412677"/>
    <w:rsid w:val="00413A5D"/>
    <w:rsid w:val="00425160"/>
    <w:rsid w:val="00430DE3"/>
    <w:rsid w:val="004348AE"/>
    <w:rsid w:val="004376C0"/>
    <w:rsid w:val="0044223A"/>
    <w:rsid w:val="00450B67"/>
    <w:rsid w:val="00451851"/>
    <w:rsid w:val="0045189A"/>
    <w:rsid w:val="00453343"/>
    <w:rsid w:val="004538C3"/>
    <w:rsid w:val="004546F7"/>
    <w:rsid w:val="004608B9"/>
    <w:rsid w:val="00463B55"/>
    <w:rsid w:val="00465947"/>
    <w:rsid w:val="00465A36"/>
    <w:rsid w:val="004667B1"/>
    <w:rsid w:val="004667E0"/>
    <w:rsid w:val="00467F66"/>
    <w:rsid w:val="00470461"/>
    <w:rsid w:val="00470BB1"/>
    <w:rsid w:val="004717D3"/>
    <w:rsid w:val="00473153"/>
    <w:rsid w:val="0047350F"/>
    <w:rsid w:val="004743AF"/>
    <w:rsid w:val="00476E5B"/>
    <w:rsid w:val="00482C17"/>
    <w:rsid w:val="00482E8D"/>
    <w:rsid w:val="004830FC"/>
    <w:rsid w:val="00484CE3"/>
    <w:rsid w:val="004911B4"/>
    <w:rsid w:val="0049196A"/>
    <w:rsid w:val="004923DA"/>
    <w:rsid w:val="00492EEB"/>
    <w:rsid w:val="00493434"/>
    <w:rsid w:val="00496833"/>
    <w:rsid w:val="004968E2"/>
    <w:rsid w:val="004A0867"/>
    <w:rsid w:val="004A0A9C"/>
    <w:rsid w:val="004A1A38"/>
    <w:rsid w:val="004A2A49"/>
    <w:rsid w:val="004A5A64"/>
    <w:rsid w:val="004A6683"/>
    <w:rsid w:val="004B2873"/>
    <w:rsid w:val="004B4C4C"/>
    <w:rsid w:val="004B4E32"/>
    <w:rsid w:val="004B5553"/>
    <w:rsid w:val="004B600B"/>
    <w:rsid w:val="004B6822"/>
    <w:rsid w:val="004B69F6"/>
    <w:rsid w:val="004C2A57"/>
    <w:rsid w:val="004C2D3A"/>
    <w:rsid w:val="004C4483"/>
    <w:rsid w:val="004C5061"/>
    <w:rsid w:val="004D03C4"/>
    <w:rsid w:val="004D0BF1"/>
    <w:rsid w:val="004D0F4E"/>
    <w:rsid w:val="004D3075"/>
    <w:rsid w:val="004D3278"/>
    <w:rsid w:val="004D35A4"/>
    <w:rsid w:val="004D445F"/>
    <w:rsid w:val="004D6922"/>
    <w:rsid w:val="004E087B"/>
    <w:rsid w:val="004E44A4"/>
    <w:rsid w:val="004E5F8E"/>
    <w:rsid w:val="004E639F"/>
    <w:rsid w:val="004E7B8B"/>
    <w:rsid w:val="004E7BDD"/>
    <w:rsid w:val="004F1966"/>
    <w:rsid w:val="004F1E21"/>
    <w:rsid w:val="004F2542"/>
    <w:rsid w:val="004F4E33"/>
    <w:rsid w:val="004F740D"/>
    <w:rsid w:val="004F7B8F"/>
    <w:rsid w:val="00500748"/>
    <w:rsid w:val="005011D6"/>
    <w:rsid w:val="00502A14"/>
    <w:rsid w:val="005042F1"/>
    <w:rsid w:val="0050481B"/>
    <w:rsid w:val="00510B75"/>
    <w:rsid w:val="005113D4"/>
    <w:rsid w:val="0051287D"/>
    <w:rsid w:val="0051316F"/>
    <w:rsid w:val="00513C7D"/>
    <w:rsid w:val="00516DF3"/>
    <w:rsid w:val="00521123"/>
    <w:rsid w:val="00521221"/>
    <w:rsid w:val="0052250B"/>
    <w:rsid w:val="00522B16"/>
    <w:rsid w:val="00522EBC"/>
    <w:rsid w:val="005305C6"/>
    <w:rsid w:val="00540EEC"/>
    <w:rsid w:val="005414F4"/>
    <w:rsid w:val="0054283D"/>
    <w:rsid w:val="00546187"/>
    <w:rsid w:val="00547B11"/>
    <w:rsid w:val="00550EA2"/>
    <w:rsid w:val="00552788"/>
    <w:rsid w:val="00554F85"/>
    <w:rsid w:val="00557D77"/>
    <w:rsid w:val="00562EAA"/>
    <w:rsid w:val="005635CC"/>
    <w:rsid w:val="00563B58"/>
    <w:rsid w:val="005640C4"/>
    <w:rsid w:val="0056684C"/>
    <w:rsid w:val="00574A0C"/>
    <w:rsid w:val="0057780F"/>
    <w:rsid w:val="00581E0A"/>
    <w:rsid w:val="00585F65"/>
    <w:rsid w:val="00586D89"/>
    <w:rsid w:val="005877C8"/>
    <w:rsid w:val="00587923"/>
    <w:rsid w:val="0059172C"/>
    <w:rsid w:val="00594F9F"/>
    <w:rsid w:val="005972BD"/>
    <w:rsid w:val="005A1B4C"/>
    <w:rsid w:val="005A38F1"/>
    <w:rsid w:val="005A41FE"/>
    <w:rsid w:val="005A545C"/>
    <w:rsid w:val="005B2278"/>
    <w:rsid w:val="005B271A"/>
    <w:rsid w:val="005B3738"/>
    <w:rsid w:val="005B3A2D"/>
    <w:rsid w:val="005C1567"/>
    <w:rsid w:val="005C28D3"/>
    <w:rsid w:val="005C6CE5"/>
    <w:rsid w:val="005D3F07"/>
    <w:rsid w:val="005D4A1E"/>
    <w:rsid w:val="005D4F72"/>
    <w:rsid w:val="005D5990"/>
    <w:rsid w:val="005D6A3F"/>
    <w:rsid w:val="005D7314"/>
    <w:rsid w:val="005E13EA"/>
    <w:rsid w:val="005E17F1"/>
    <w:rsid w:val="005E23A1"/>
    <w:rsid w:val="005E6501"/>
    <w:rsid w:val="005F2790"/>
    <w:rsid w:val="005F64AA"/>
    <w:rsid w:val="005F7851"/>
    <w:rsid w:val="00603FC1"/>
    <w:rsid w:val="00605200"/>
    <w:rsid w:val="00606E27"/>
    <w:rsid w:val="006070B0"/>
    <w:rsid w:val="0060743A"/>
    <w:rsid w:val="006108C9"/>
    <w:rsid w:val="00614DF7"/>
    <w:rsid w:val="00615FCC"/>
    <w:rsid w:val="006160EE"/>
    <w:rsid w:val="006179BB"/>
    <w:rsid w:val="0062158D"/>
    <w:rsid w:val="0062194A"/>
    <w:rsid w:val="006223FD"/>
    <w:rsid w:val="00623B9F"/>
    <w:rsid w:val="00624730"/>
    <w:rsid w:val="006326D1"/>
    <w:rsid w:val="00632E0A"/>
    <w:rsid w:val="00633165"/>
    <w:rsid w:val="0063530B"/>
    <w:rsid w:val="006447DE"/>
    <w:rsid w:val="00644889"/>
    <w:rsid w:val="00650628"/>
    <w:rsid w:val="00650F61"/>
    <w:rsid w:val="0065276E"/>
    <w:rsid w:val="0065350F"/>
    <w:rsid w:val="00654329"/>
    <w:rsid w:val="00654CEC"/>
    <w:rsid w:val="00655507"/>
    <w:rsid w:val="006579FD"/>
    <w:rsid w:val="006635E3"/>
    <w:rsid w:val="006669F3"/>
    <w:rsid w:val="00667043"/>
    <w:rsid w:val="006712A7"/>
    <w:rsid w:val="006729F2"/>
    <w:rsid w:val="00672CED"/>
    <w:rsid w:val="00674FC2"/>
    <w:rsid w:val="0067634C"/>
    <w:rsid w:val="00676E35"/>
    <w:rsid w:val="00677578"/>
    <w:rsid w:val="00677E42"/>
    <w:rsid w:val="00681197"/>
    <w:rsid w:val="00681E1F"/>
    <w:rsid w:val="00682334"/>
    <w:rsid w:val="00684732"/>
    <w:rsid w:val="00684B16"/>
    <w:rsid w:val="00687016"/>
    <w:rsid w:val="006872A0"/>
    <w:rsid w:val="0069625A"/>
    <w:rsid w:val="00696A88"/>
    <w:rsid w:val="00696F65"/>
    <w:rsid w:val="00697572"/>
    <w:rsid w:val="006A5340"/>
    <w:rsid w:val="006A595F"/>
    <w:rsid w:val="006A5E10"/>
    <w:rsid w:val="006A65FD"/>
    <w:rsid w:val="006A73D6"/>
    <w:rsid w:val="006B4033"/>
    <w:rsid w:val="006B4496"/>
    <w:rsid w:val="006B5E67"/>
    <w:rsid w:val="006B6612"/>
    <w:rsid w:val="006B7EF8"/>
    <w:rsid w:val="006C2EB5"/>
    <w:rsid w:val="006C3CEE"/>
    <w:rsid w:val="006D18A3"/>
    <w:rsid w:val="006D5970"/>
    <w:rsid w:val="006D7FD9"/>
    <w:rsid w:val="006E481E"/>
    <w:rsid w:val="006E5DEA"/>
    <w:rsid w:val="006E65DF"/>
    <w:rsid w:val="006E74C9"/>
    <w:rsid w:val="006E795F"/>
    <w:rsid w:val="006F03A7"/>
    <w:rsid w:val="006F0862"/>
    <w:rsid w:val="006F1438"/>
    <w:rsid w:val="006F2A9E"/>
    <w:rsid w:val="006F3834"/>
    <w:rsid w:val="006F5ED3"/>
    <w:rsid w:val="00700249"/>
    <w:rsid w:val="00703297"/>
    <w:rsid w:val="00705C45"/>
    <w:rsid w:val="007069CD"/>
    <w:rsid w:val="00706BB5"/>
    <w:rsid w:val="0071231A"/>
    <w:rsid w:val="00712E90"/>
    <w:rsid w:val="00713B7E"/>
    <w:rsid w:val="00726461"/>
    <w:rsid w:val="0072678F"/>
    <w:rsid w:val="007276E5"/>
    <w:rsid w:val="00727C4C"/>
    <w:rsid w:val="00734809"/>
    <w:rsid w:val="0073714E"/>
    <w:rsid w:val="007374EF"/>
    <w:rsid w:val="007406E1"/>
    <w:rsid w:val="00743E40"/>
    <w:rsid w:val="00745016"/>
    <w:rsid w:val="0075031F"/>
    <w:rsid w:val="00751263"/>
    <w:rsid w:val="00753DE5"/>
    <w:rsid w:val="007544FC"/>
    <w:rsid w:val="00755427"/>
    <w:rsid w:val="0075611C"/>
    <w:rsid w:val="00756548"/>
    <w:rsid w:val="0075673A"/>
    <w:rsid w:val="0075704F"/>
    <w:rsid w:val="00762881"/>
    <w:rsid w:val="00763B2D"/>
    <w:rsid w:val="00764C84"/>
    <w:rsid w:val="007710AD"/>
    <w:rsid w:val="00772924"/>
    <w:rsid w:val="00776669"/>
    <w:rsid w:val="0078006A"/>
    <w:rsid w:val="0078112D"/>
    <w:rsid w:val="00784ADC"/>
    <w:rsid w:val="00784BBC"/>
    <w:rsid w:val="007872F2"/>
    <w:rsid w:val="007873F9"/>
    <w:rsid w:val="007900B1"/>
    <w:rsid w:val="007908E0"/>
    <w:rsid w:val="00793EB3"/>
    <w:rsid w:val="00794205"/>
    <w:rsid w:val="0079422A"/>
    <w:rsid w:val="00794853"/>
    <w:rsid w:val="007A1F6A"/>
    <w:rsid w:val="007A213B"/>
    <w:rsid w:val="007A628F"/>
    <w:rsid w:val="007B0DE3"/>
    <w:rsid w:val="007B1BFD"/>
    <w:rsid w:val="007B32D1"/>
    <w:rsid w:val="007B705C"/>
    <w:rsid w:val="007B7191"/>
    <w:rsid w:val="007C1080"/>
    <w:rsid w:val="007C1D94"/>
    <w:rsid w:val="007C2F01"/>
    <w:rsid w:val="007C556F"/>
    <w:rsid w:val="007C5ABE"/>
    <w:rsid w:val="007C6A87"/>
    <w:rsid w:val="007D0A07"/>
    <w:rsid w:val="007D0F11"/>
    <w:rsid w:val="007D133D"/>
    <w:rsid w:val="007D3BA0"/>
    <w:rsid w:val="007D3EB4"/>
    <w:rsid w:val="007D3F16"/>
    <w:rsid w:val="007E0E13"/>
    <w:rsid w:val="007E1061"/>
    <w:rsid w:val="007E11B5"/>
    <w:rsid w:val="007F10BD"/>
    <w:rsid w:val="007F144C"/>
    <w:rsid w:val="007F1AC5"/>
    <w:rsid w:val="007F312E"/>
    <w:rsid w:val="007F3F7E"/>
    <w:rsid w:val="007F4BA4"/>
    <w:rsid w:val="00801EBA"/>
    <w:rsid w:val="00802265"/>
    <w:rsid w:val="00805861"/>
    <w:rsid w:val="0081295B"/>
    <w:rsid w:val="00813CEC"/>
    <w:rsid w:val="0081534C"/>
    <w:rsid w:val="00816639"/>
    <w:rsid w:val="00816A2B"/>
    <w:rsid w:val="00816CE7"/>
    <w:rsid w:val="008171E4"/>
    <w:rsid w:val="008208EA"/>
    <w:rsid w:val="00820EBB"/>
    <w:rsid w:val="00821E1A"/>
    <w:rsid w:val="00822172"/>
    <w:rsid w:val="00822B44"/>
    <w:rsid w:val="008246BB"/>
    <w:rsid w:val="00824E67"/>
    <w:rsid w:val="00825A64"/>
    <w:rsid w:val="00826F48"/>
    <w:rsid w:val="008308AE"/>
    <w:rsid w:val="00830DD1"/>
    <w:rsid w:val="0083166E"/>
    <w:rsid w:val="00831DC3"/>
    <w:rsid w:val="008322C7"/>
    <w:rsid w:val="008340BA"/>
    <w:rsid w:val="00834F1D"/>
    <w:rsid w:val="008354FC"/>
    <w:rsid w:val="00836780"/>
    <w:rsid w:val="00836AC2"/>
    <w:rsid w:val="00836FEC"/>
    <w:rsid w:val="00841F9D"/>
    <w:rsid w:val="008420E1"/>
    <w:rsid w:val="00844D98"/>
    <w:rsid w:val="00846527"/>
    <w:rsid w:val="00846D84"/>
    <w:rsid w:val="00850233"/>
    <w:rsid w:val="00850E83"/>
    <w:rsid w:val="0085230E"/>
    <w:rsid w:val="008550A1"/>
    <w:rsid w:val="0085790E"/>
    <w:rsid w:val="008608B2"/>
    <w:rsid w:val="00861038"/>
    <w:rsid w:val="00861899"/>
    <w:rsid w:val="00862FBC"/>
    <w:rsid w:val="00865B58"/>
    <w:rsid w:val="00866B50"/>
    <w:rsid w:val="008670C1"/>
    <w:rsid w:val="00867A63"/>
    <w:rsid w:val="008708F1"/>
    <w:rsid w:val="00870DEB"/>
    <w:rsid w:val="00871960"/>
    <w:rsid w:val="00872E08"/>
    <w:rsid w:val="0087369F"/>
    <w:rsid w:val="00877A27"/>
    <w:rsid w:val="00880539"/>
    <w:rsid w:val="008832E3"/>
    <w:rsid w:val="008845CA"/>
    <w:rsid w:val="0088519C"/>
    <w:rsid w:val="008855A9"/>
    <w:rsid w:val="008859E8"/>
    <w:rsid w:val="00885A56"/>
    <w:rsid w:val="0088737B"/>
    <w:rsid w:val="00887F67"/>
    <w:rsid w:val="00890948"/>
    <w:rsid w:val="00891078"/>
    <w:rsid w:val="00892716"/>
    <w:rsid w:val="00893067"/>
    <w:rsid w:val="008933DE"/>
    <w:rsid w:val="00894626"/>
    <w:rsid w:val="00895FCE"/>
    <w:rsid w:val="00897F3E"/>
    <w:rsid w:val="008A21B4"/>
    <w:rsid w:val="008A7460"/>
    <w:rsid w:val="008B07DE"/>
    <w:rsid w:val="008B1309"/>
    <w:rsid w:val="008B28E7"/>
    <w:rsid w:val="008B3FDD"/>
    <w:rsid w:val="008B67F6"/>
    <w:rsid w:val="008C14C7"/>
    <w:rsid w:val="008C2FFB"/>
    <w:rsid w:val="008C633F"/>
    <w:rsid w:val="008C6E19"/>
    <w:rsid w:val="008C6EEA"/>
    <w:rsid w:val="008C76C0"/>
    <w:rsid w:val="008C7770"/>
    <w:rsid w:val="008C79C7"/>
    <w:rsid w:val="008C7F3E"/>
    <w:rsid w:val="008D03B0"/>
    <w:rsid w:val="008D2150"/>
    <w:rsid w:val="008D5813"/>
    <w:rsid w:val="008D5999"/>
    <w:rsid w:val="008D634E"/>
    <w:rsid w:val="008D778A"/>
    <w:rsid w:val="008D78C9"/>
    <w:rsid w:val="008E289F"/>
    <w:rsid w:val="008E3195"/>
    <w:rsid w:val="008E5A35"/>
    <w:rsid w:val="008F127E"/>
    <w:rsid w:val="008F32D9"/>
    <w:rsid w:val="00902A65"/>
    <w:rsid w:val="00903932"/>
    <w:rsid w:val="00905FE9"/>
    <w:rsid w:val="009079BD"/>
    <w:rsid w:val="0091149B"/>
    <w:rsid w:val="00912BD9"/>
    <w:rsid w:val="00913759"/>
    <w:rsid w:val="00914102"/>
    <w:rsid w:val="009145B5"/>
    <w:rsid w:val="00916FB2"/>
    <w:rsid w:val="00920E5B"/>
    <w:rsid w:val="00926436"/>
    <w:rsid w:val="00926C53"/>
    <w:rsid w:val="0093018C"/>
    <w:rsid w:val="00931E1C"/>
    <w:rsid w:val="009331B0"/>
    <w:rsid w:val="009338C9"/>
    <w:rsid w:val="00935198"/>
    <w:rsid w:val="00935894"/>
    <w:rsid w:val="00937BAA"/>
    <w:rsid w:val="009407A9"/>
    <w:rsid w:val="0094131B"/>
    <w:rsid w:val="0094495F"/>
    <w:rsid w:val="00952ED3"/>
    <w:rsid w:val="0095416E"/>
    <w:rsid w:val="009544C0"/>
    <w:rsid w:val="00954FA4"/>
    <w:rsid w:val="00956AE9"/>
    <w:rsid w:val="00961C3C"/>
    <w:rsid w:val="00964CC6"/>
    <w:rsid w:val="00967BFA"/>
    <w:rsid w:val="0098262C"/>
    <w:rsid w:val="0098427C"/>
    <w:rsid w:val="00985A54"/>
    <w:rsid w:val="00986B43"/>
    <w:rsid w:val="00986C0B"/>
    <w:rsid w:val="00986D46"/>
    <w:rsid w:val="0099101C"/>
    <w:rsid w:val="00991FDA"/>
    <w:rsid w:val="00992ACA"/>
    <w:rsid w:val="00993604"/>
    <w:rsid w:val="00996AA3"/>
    <w:rsid w:val="009A0979"/>
    <w:rsid w:val="009A5710"/>
    <w:rsid w:val="009A5F3B"/>
    <w:rsid w:val="009A5F79"/>
    <w:rsid w:val="009A668B"/>
    <w:rsid w:val="009A6F87"/>
    <w:rsid w:val="009A728A"/>
    <w:rsid w:val="009B0B61"/>
    <w:rsid w:val="009B135D"/>
    <w:rsid w:val="009B2822"/>
    <w:rsid w:val="009B28C0"/>
    <w:rsid w:val="009B3178"/>
    <w:rsid w:val="009B36FE"/>
    <w:rsid w:val="009B3E46"/>
    <w:rsid w:val="009B491D"/>
    <w:rsid w:val="009B7136"/>
    <w:rsid w:val="009B79C7"/>
    <w:rsid w:val="009C1927"/>
    <w:rsid w:val="009C1A65"/>
    <w:rsid w:val="009C2F85"/>
    <w:rsid w:val="009C337F"/>
    <w:rsid w:val="009C53E7"/>
    <w:rsid w:val="009C6092"/>
    <w:rsid w:val="009C7342"/>
    <w:rsid w:val="009D066D"/>
    <w:rsid w:val="009D0D3E"/>
    <w:rsid w:val="009D4365"/>
    <w:rsid w:val="009D477B"/>
    <w:rsid w:val="009D4E3B"/>
    <w:rsid w:val="009D59C2"/>
    <w:rsid w:val="009D7BC9"/>
    <w:rsid w:val="009D7E51"/>
    <w:rsid w:val="009E122F"/>
    <w:rsid w:val="009E1982"/>
    <w:rsid w:val="009E3A6D"/>
    <w:rsid w:val="009E49B5"/>
    <w:rsid w:val="009E4D2C"/>
    <w:rsid w:val="009E7D67"/>
    <w:rsid w:val="009F0978"/>
    <w:rsid w:val="009F3AEC"/>
    <w:rsid w:val="009F6801"/>
    <w:rsid w:val="00A00081"/>
    <w:rsid w:val="00A06422"/>
    <w:rsid w:val="00A10D56"/>
    <w:rsid w:val="00A12AAE"/>
    <w:rsid w:val="00A12F22"/>
    <w:rsid w:val="00A16DD1"/>
    <w:rsid w:val="00A20D1E"/>
    <w:rsid w:val="00A2163A"/>
    <w:rsid w:val="00A21A28"/>
    <w:rsid w:val="00A22441"/>
    <w:rsid w:val="00A22CCD"/>
    <w:rsid w:val="00A230B8"/>
    <w:rsid w:val="00A23F3B"/>
    <w:rsid w:val="00A24406"/>
    <w:rsid w:val="00A24B5C"/>
    <w:rsid w:val="00A25F64"/>
    <w:rsid w:val="00A275F6"/>
    <w:rsid w:val="00A303B9"/>
    <w:rsid w:val="00A320CB"/>
    <w:rsid w:val="00A34E78"/>
    <w:rsid w:val="00A37416"/>
    <w:rsid w:val="00A40ED6"/>
    <w:rsid w:val="00A4214B"/>
    <w:rsid w:val="00A47621"/>
    <w:rsid w:val="00A479CD"/>
    <w:rsid w:val="00A50CFC"/>
    <w:rsid w:val="00A54D67"/>
    <w:rsid w:val="00A55A3F"/>
    <w:rsid w:val="00A5656A"/>
    <w:rsid w:val="00A60103"/>
    <w:rsid w:val="00A652F6"/>
    <w:rsid w:val="00A65861"/>
    <w:rsid w:val="00A732EA"/>
    <w:rsid w:val="00A73F40"/>
    <w:rsid w:val="00A7489E"/>
    <w:rsid w:val="00A76C6D"/>
    <w:rsid w:val="00A8015F"/>
    <w:rsid w:val="00A85039"/>
    <w:rsid w:val="00A86292"/>
    <w:rsid w:val="00A906AA"/>
    <w:rsid w:val="00A930C1"/>
    <w:rsid w:val="00A94C5E"/>
    <w:rsid w:val="00A95DDC"/>
    <w:rsid w:val="00A95E8E"/>
    <w:rsid w:val="00AA089C"/>
    <w:rsid w:val="00AA252C"/>
    <w:rsid w:val="00AA666E"/>
    <w:rsid w:val="00AA7960"/>
    <w:rsid w:val="00AB1D17"/>
    <w:rsid w:val="00AB54B0"/>
    <w:rsid w:val="00AB5518"/>
    <w:rsid w:val="00AC3A0E"/>
    <w:rsid w:val="00AC46C6"/>
    <w:rsid w:val="00AC4A04"/>
    <w:rsid w:val="00AC536D"/>
    <w:rsid w:val="00AC5679"/>
    <w:rsid w:val="00AD1574"/>
    <w:rsid w:val="00AD336F"/>
    <w:rsid w:val="00AD6C6A"/>
    <w:rsid w:val="00AE134C"/>
    <w:rsid w:val="00AE1868"/>
    <w:rsid w:val="00AE2564"/>
    <w:rsid w:val="00AE301F"/>
    <w:rsid w:val="00AE3302"/>
    <w:rsid w:val="00AE5BA6"/>
    <w:rsid w:val="00AE6231"/>
    <w:rsid w:val="00AE7077"/>
    <w:rsid w:val="00AF61C2"/>
    <w:rsid w:val="00AF6CC6"/>
    <w:rsid w:val="00B0296A"/>
    <w:rsid w:val="00B032E1"/>
    <w:rsid w:val="00B05946"/>
    <w:rsid w:val="00B07E79"/>
    <w:rsid w:val="00B12295"/>
    <w:rsid w:val="00B137BE"/>
    <w:rsid w:val="00B15998"/>
    <w:rsid w:val="00B17FA0"/>
    <w:rsid w:val="00B2292C"/>
    <w:rsid w:val="00B22C3C"/>
    <w:rsid w:val="00B24344"/>
    <w:rsid w:val="00B26769"/>
    <w:rsid w:val="00B26E10"/>
    <w:rsid w:val="00B2754B"/>
    <w:rsid w:val="00B3120E"/>
    <w:rsid w:val="00B31C91"/>
    <w:rsid w:val="00B32779"/>
    <w:rsid w:val="00B3389E"/>
    <w:rsid w:val="00B33F07"/>
    <w:rsid w:val="00B3488C"/>
    <w:rsid w:val="00B34E9D"/>
    <w:rsid w:val="00B37321"/>
    <w:rsid w:val="00B3747F"/>
    <w:rsid w:val="00B401D3"/>
    <w:rsid w:val="00B40531"/>
    <w:rsid w:val="00B4228A"/>
    <w:rsid w:val="00B42E76"/>
    <w:rsid w:val="00B43194"/>
    <w:rsid w:val="00B436BF"/>
    <w:rsid w:val="00B47734"/>
    <w:rsid w:val="00B50FBA"/>
    <w:rsid w:val="00B52298"/>
    <w:rsid w:val="00B558EB"/>
    <w:rsid w:val="00B577D3"/>
    <w:rsid w:val="00B60466"/>
    <w:rsid w:val="00B6548F"/>
    <w:rsid w:val="00B71A32"/>
    <w:rsid w:val="00B74CE8"/>
    <w:rsid w:val="00B7502A"/>
    <w:rsid w:val="00B76C50"/>
    <w:rsid w:val="00B77305"/>
    <w:rsid w:val="00B774BD"/>
    <w:rsid w:val="00B822A6"/>
    <w:rsid w:val="00B82CC2"/>
    <w:rsid w:val="00B835E8"/>
    <w:rsid w:val="00B84A89"/>
    <w:rsid w:val="00B9256C"/>
    <w:rsid w:val="00B92BEF"/>
    <w:rsid w:val="00B94443"/>
    <w:rsid w:val="00B9689A"/>
    <w:rsid w:val="00B96EFD"/>
    <w:rsid w:val="00B97056"/>
    <w:rsid w:val="00BA2BCB"/>
    <w:rsid w:val="00BA37E2"/>
    <w:rsid w:val="00BA531E"/>
    <w:rsid w:val="00BA5E3E"/>
    <w:rsid w:val="00BA728B"/>
    <w:rsid w:val="00BA7C95"/>
    <w:rsid w:val="00BB06CB"/>
    <w:rsid w:val="00BB18E3"/>
    <w:rsid w:val="00BB261F"/>
    <w:rsid w:val="00BB2887"/>
    <w:rsid w:val="00BB3B56"/>
    <w:rsid w:val="00BB5EAA"/>
    <w:rsid w:val="00BB5F11"/>
    <w:rsid w:val="00BB6638"/>
    <w:rsid w:val="00BB7FD2"/>
    <w:rsid w:val="00BC04FA"/>
    <w:rsid w:val="00BC1C22"/>
    <w:rsid w:val="00BC460B"/>
    <w:rsid w:val="00BC4ED3"/>
    <w:rsid w:val="00BC5725"/>
    <w:rsid w:val="00BD30B1"/>
    <w:rsid w:val="00BD4161"/>
    <w:rsid w:val="00BE0F7B"/>
    <w:rsid w:val="00BE10C2"/>
    <w:rsid w:val="00BE7927"/>
    <w:rsid w:val="00BF0B04"/>
    <w:rsid w:val="00BF0D6C"/>
    <w:rsid w:val="00BF4373"/>
    <w:rsid w:val="00BF6A6F"/>
    <w:rsid w:val="00C009ED"/>
    <w:rsid w:val="00C01D14"/>
    <w:rsid w:val="00C01D97"/>
    <w:rsid w:val="00C025B4"/>
    <w:rsid w:val="00C029EC"/>
    <w:rsid w:val="00C037B5"/>
    <w:rsid w:val="00C161FD"/>
    <w:rsid w:val="00C16DB0"/>
    <w:rsid w:val="00C17C9F"/>
    <w:rsid w:val="00C23F17"/>
    <w:rsid w:val="00C2416A"/>
    <w:rsid w:val="00C246F2"/>
    <w:rsid w:val="00C26148"/>
    <w:rsid w:val="00C26D0D"/>
    <w:rsid w:val="00C27C95"/>
    <w:rsid w:val="00C300D2"/>
    <w:rsid w:val="00C3270F"/>
    <w:rsid w:val="00C3278B"/>
    <w:rsid w:val="00C33375"/>
    <w:rsid w:val="00C33AF5"/>
    <w:rsid w:val="00C34C23"/>
    <w:rsid w:val="00C360FD"/>
    <w:rsid w:val="00C368FA"/>
    <w:rsid w:val="00C42005"/>
    <w:rsid w:val="00C44DD9"/>
    <w:rsid w:val="00C4664D"/>
    <w:rsid w:val="00C472AA"/>
    <w:rsid w:val="00C50A05"/>
    <w:rsid w:val="00C54AED"/>
    <w:rsid w:val="00C555FC"/>
    <w:rsid w:val="00C55E9B"/>
    <w:rsid w:val="00C56D09"/>
    <w:rsid w:val="00C57D24"/>
    <w:rsid w:val="00C604D6"/>
    <w:rsid w:val="00C61AC2"/>
    <w:rsid w:val="00C62AD7"/>
    <w:rsid w:val="00C63CAB"/>
    <w:rsid w:val="00C63D00"/>
    <w:rsid w:val="00C6441B"/>
    <w:rsid w:val="00C65894"/>
    <w:rsid w:val="00C65921"/>
    <w:rsid w:val="00C7108B"/>
    <w:rsid w:val="00C75883"/>
    <w:rsid w:val="00C77FA5"/>
    <w:rsid w:val="00C8089F"/>
    <w:rsid w:val="00C835FE"/>
    <w:rsid w:val="00C836CC"/>
    <w:rsid w:val="00C852D6"/>
    <w:rsid w:val="00C87A74"/>
    <w:rsid w:val="00C87AEA"/>
    <w:rsid w:val="00C915B4"/>
    <w:rsid w:val="00C92C71"/>
    <w:rsid w:val="00C93F8F"/>
    <w:rsid w:val="00CA0894"/>
    <w:rsid w:val="00CA3593"/>
    <w:rsid w:val="00CA5726"/>
    <w:rsid w:val="00CA7E6A"/>
    <w:rsid w:val="00CB258E"/>
    <w:rsid w:val="00CB333C"/>
    <w:rsid w:val="00CB3C8F"/>
    <w:rsid w:val="00CB50F4"/>
    <w:rsid w:val="00CC02F1"/>
    <w:rsid w:val="00CC1122"/>
    <w:rsid w:val="00CC11A6"/>
    <w:rsid w:val="00CC135E"/>
    <w:rsid w:val="00CC69FD"/>
    <w:rsid w:val="00CC7226"/>
    <w:rsid w:val="00CD0735"/>
    <w:rsid w:val="00CD1E88"/>
    <w:rsid w:val="00CD45E3"/>
    <w:rsid w:val="00CD4771"/>
    <w:rsid w:val="00CD5089"/>
    <w:rsid w:val="00CD5D3F"/>
    <w:rsid w:val="00CD7E1F"/>
    <w:rsid w:val="00CE0BF5"/>
    <w:rsid w:val="00CE4BC4"/>
    <w:rsid w:val="00CE7DA2"/>
    <w:rsid w:val="00CF2F8A"/>
    <w:rsid w:val="00CF3703"/>
    <w:rsid w:val="00CF3DB3"/>
    <w:rsid w:val="00CF4CB8"/>
    <w:rsid w:val="00D0274B"/>
    <w:rsid w:val="00D02873"/>
    <w:rsid w:val="00D0503D"/>
    <w:rsid w:val="00D052BC"/>
    <w:rsid w:val="00D060BB"/>
    <w:rsid w:val="00D07026"/>
    <w:rsid w:val="00D146AE"/>
    <w:rsid w:val="00D2004E"/>
    <w:rsid w:val="00D22C8F"/>
    <w:rsid w:val="00D24C24"/>
    <w:rsid w:val="00D26657"/>
    <w:rsid w:val="00D31D18"/>
    <w:rsid w:val="00D3203C"/>
    <w:rsid w:val="00D33491"/>
    <w:rsid w:val="00D34341"/>
    <w:rsid w:val="00D3442D"/>
    <w:rsid w:val="00D35E2B"/>
    <w:rsid w:val="00D36F00"/>
    <w:rsid w:val="00D44953"/>
    <w:rsid w:val="00D44B67"/>
    <w:rsid w:val="00D44F8E"/>
    <w:rsid w:val="00D46F56"/>
    <w:rsid w:val="00D5096A"/>
    <w:rsid w:val="00D51363"/>
    <w:rsid w:val="00D51FD5"/>
    <w:rsid w:val="00D528ED"/>
    <w:rsid w:val="00D52A55"/>
    <w:rsid w:val="00D5503A"/>
    <w:rsid w:val="00D55DE0"/>
    <w:rsid w:val="00D607EF"/>
    <w:rsid w:val="00D60F88"/>
    <w:rsid w:val="00D646BD"/>
    <w:rsid w:val="00D65558"/>
    <w:rsid w:val="00D6562D"/>
    <w:rsid w:val="00D71201"/>
    <w:rsid w:val="00D720C7"/>
    <w:rsid w:val="00D73669"/>
    <w:rsid w:val="00D77803"/>
    <w:rsid w:val="00D77F06"/>
    <w:rsid w:val="00D80552"/>
    <w:rsid w:val="00D83A8D"/>
    <w:rsid w:val="00D84841"/>
    <w:rsid w:val="00D876E6"/>
    <w:rsid w:val="00D90958"/>
    <w:rsid w:val="00D94B46"/>
    <w:rsid w:val="00DA09FD"/>
    <w:rsid w:val="00DA1025"/>
    <w:rsid w:val="00DA1BA4"/>
    <w:rsid w:val="00DA22EC"/>
    <w:rsid w:val="00DA5682"/>
    <w:rsid w:val="00DA5828"/>
    <w:rsid w:val="00DA5860"/>
    <w:rsid w:val="00DA5C0C"/>
    <w:rsid w:val="00DA68ED"/>
    <w:rsid w:val="00DB2767"/>
    <w:rsid w:val="00DB34BA"/>
    <w:rsid w:val="00DB5C9C"/>
    <w:rsid w:val="00DC1B10"/>
    <w:rsid w:val="00DC2924"/>
    <w:rsid w:val="00DC38F8"/>
    <w:rsid w:val="00DC4729"/>
    <w:rsid w:val="00DC7A9B"/>
    <w:rsid w:val="00DD07D9"/>
    <w:rsid w:val="00DD31C5"/>
    <w:rsid w:val="00DD5020"/>
    <w:rsid w:val="00DD5ECF"/>
    <w:rsid w:val="00DD63BE"/>
    <w:rsid w:val="00DE0782"/>
    <w:rsid w:val="00DE23D5"/>
    <w:rsid w:val="00DE403A"/>
    <w:rsid w:val="00DE4296"/>
    <w:rsid w:val="00DF17D5"/>
    <w:rsid w:val="00DF2469"/>
    <w:rsid w:val="00DF4DFD"/>
    <w:rsid w:val="00DF7899"/>
    <w:rsid w:val="00E017AF"/>
    <w:rsid w:val="00E0524C"/>
    <w:rsid w:val="00E100F0"/>
    <w:rsid w:val="00E147F3"/>
    <w:rsid w:val="00E15751"/>
    <w:rsid w:val="00E17160"/>
    <w:rsid w:val="00E17D41"/>
    <w:rsid w:val="00E231D1"/>
    <w:rsid w:val="00E24C15"/>
    <w:rsid w:val="00E3288D"/>
    <w:rsid w:val="00E35112"/>
    <w:rsid w:val="00E3596E"/>
    <w:rsid w:val="00E35BEC"/>
    <w:rsid w:val="00E40B5F"/>
    <w:rsid w:val="00E41A6A"/>
    <w:rsid w:val="00E43385"/>
    <w:rsid w:val="00E47656"/>
    <w:rsid w:val="00E50821"/>
    <w:rsid w:val="00E51F91"/>
    <w:rsid w:val="00E523E1"/>
    <w:rsid w:val="00E5272D"/>
    <w:rsid w:val="00E53E6E"/>
    <w:rsid w:val="00E5498A"/>
    <w:rsid w:val="00E559CE"/>
    <w:rsid w:val="00E56B0C"/>
    <w:rsid w:val="00E60F42"/>
    <w:rsid w:val="00E66951"/>
    <w:rsid w:val="00E6746C"/>
    <w:rsid w:val="00E678BF"/>
    <w:rsid w:val="00E7086E"/>
    <w:rsid w:val="00E71248"/>
    <w:rsid w:val="00E73C41"/>
    <w:rsid w:val="00E75911"/>
    <w:rsid w:val="00E7598F"/>
    <w:rsid w:val="00E76F60"/>
    <w:rsid w:val="00E812B5"/>
    <w:rsid w:val="00E826BA"/>
    <w:rsid w:val="00E83D90"/>
    <w:rsid w:val="00E83F91"/>
    <w:rsid w:val="00E86299"/>
    <w:rsid w:val="00E9107A"/>
    <w:rsid w:val="00E91F62"/>
    <w:rsid w:val="00E929FD"/>
    <w:rsid w:val="00E93240"/>
    <w:rsid w:val="00E9479B"/>
    <w:rsid w:val="00E94E22"/>
    <w:rsid w:val="00E95F08"/>
    <w:rsid w:val="00E97171"/>
    <w:rsid w:val="00EA219B"/>
    <w:rsid w:val="00EA2E3A"/>
    <w:rsid w:val="00EA4D48"/>
    <w:rsid w:val="00EA7ADF"/>
    <w:rsid w:val="00EB2173"/>
    <w:rsid w:val="00EB26FB"/>
    <w:rsid w:val="00EB3961"/>
    <w:rsid w:val="00EB62E6"/>
    <w:rsid w:val="00EB695F"/>
    <w:rsid w:val="00EB6F7E"/>
    <w:rsid w:val="00EB7FEF"/>
    <w:rsid w:val="00EC3A85"/>
    <w:rsid w:val="00EC4B89"/>
    <w:rsid w:val="00EC59A5"/>
    <w:rsid w:val="00EC6E15"/>
    <w:rsid w:val="00ED11BA"/>
    <w:rsid w:val="00ED1B30"/>
    <w:rsid w:val="00ED2354"/>
    <w:rsid w:val="00ED5D03"/>
    <w:rsid w:val="00ED6365"/>
    <w:rsid w:val="00ED7E04"/>
    <w:rsid w:val="00EE01ED"/>
    <w:rsid w:val="00EE0A17"/>
    <w:rsid w:val="00EE0CB1"/>
    <w:rsid w:val="00EE1AC1"/>
    <w:rsid w:val="00EE39D6"/>
    <w:rsid w:val="00EE4026"/>
    <w:rsid w:val="00EE52AD"/>
    <w:rsid w:val="00EE5BC3"/>
    <w:rsid w:val="00EE6FAB"/>
    <w:rsid w:val="00EE785D"/>
    <w:rsid w:val="00EE7D20"/>
    <w:rsid w:val="00EF1024"/>
    <w:rsid w:val="00EF328C"/>
    <w:rsid w:val="00EF68BB"/>
    <w:rsid w:val="00F007E6"/>
    <w:rsid w:val="00F015FF"/>
    <w:rsid w:val="00F01F92"/>
    <w:rsid w:val="00F030D4"/>
    <w:rsid w:val="00F0384F"/>
    <w:rsid w:val="00F04053"/>
    <w:rsid w:val="00F06573"/>
    <w:rsid w:val="00F10A08"/>
    <w:rsid w:val="00F15354"/>
    <w:rsid w:val="00F22AC5"/>
    <w:rsid w:val="00F254D1"/>
    <w:rsid w:val="00F30D4D"/>
    <w:rsid w:val="00F314ED"/>
    <w:rsid w:val="00F32B82"/>
    <w:rsid w:val="00F34C86"/>
    <w:rsid w:val="00F3591D"/>
    <w:rsid w:val="00F359AF"/>
    <w:rsid w:val="00F369A2"/>
    <w:rsid w:val="00F4043E"/>
    <w:rsid w:val="00F41795"/>
    <w:rsid w:val="00F41BBC"/>
    <w:rsid w:val="00F43C9C"/>
    <w:rsid w:val="00F43DE1"/>
    <w:rsid w:val="00F444F0"/>
    <w:rsid w:val="00F446FF"/>
    <w:rsid w:val="00F45521"/>
    <w:rsid w:val="00F472B6"/>
    <w:rsid w:val="00F50847"/>
    <w:rsid w:val="00F53F27"/>
    <w:rsid w:val="00F546D1"/>
    <w:rsid w:val="00F57905"/>
    <w:rsid w:val="00F57EC1"/>
    <w:rsid w:val="00F60281"/>
    <w:rsid w:val="00F62F50"/>
    <w:rsid w:val="00F66272"/>
    <w:rsid w:val="00F709C0"/>
    <w:rsid w:val="00F71499"/>
    <w:rsid w:val="00F74A36"/>
    <w:rsid w:val="00F81FEC"/>
    <w:rsid w:val="00F927A1"/>
    <w:rsid w:val="00F92E4D"/>
    <w:rsid w:val="00F95D08"/>
    <w:rsid w:val="00F97314"/>
    <w:rsid w:val="00FA23BD"/>
    <w:rsid w:val="00FA3764"/>
    <w:rsid w:val="00FA41C7"/>
    <w:rsid w:val="00FA4A79"/>
    <w:rsid w:val="00FA56ED"/>
    <w:rsid w:val="00FB05DD"/>
    <w:rsid w:val="00FB0F7C"/>
    <w:rsid w:val="00FB24EA"/>
    <w:rsid w:val="00FB5FA6"/>
    <w:rsid w:val="00FC0334"/>
    <w:rsid w:val="00FC06E5"/>
    <w:rsid w:val="00FC09C2"/>
    <w:rsid w:val="00FC1310"/>
    <w:rsid w:val="00FC2FF3"/>
    <w:rsid w:val="00FC3263"/>
    <w:rsid w:val="00FC51F9"/>
    <w:rsid w:val="00FC5B40"/>
    <w:rsid w:val="00FC5FF8"/>
    <w:rsid w:val="00FC7FBA"/>
    <w:rsid w:val="00FD1F38"/>
    <w:rsid w:val="00FD271B"/>
    <w:rsid w:val="00FD3D7C"/>
    <w:rsid w:val="00FD4F8F"/>
    <w:rsid w:val="00FD698E"/>
    <w:rsid w:val="00FD78F7"/>
    <w:rsid w:val="00FE0C16"/>
    <w:rsid w:val="00FE14B1"/>
    <w:rsid w:val="00FE3CF3"/>
    <w:rsid w:val="00FE4D97"/>
    <w:rsid w:val="00FE53DD"/>
    <w:rsid w:val="00FE5F90"/>
    <w:rsid w:val="00FF0070"/>
    <w:rsid w:val="00FF07C3"/>
    <w:rsid w:val="00FF11AD"/>
    <w:rsid w:val="00FF1A63"/>
    <w:rsid w:val="00FF5F6A"/>
    <w:rsid w:val="00FF7784"/>
    <w:rsid w:val="00FF7EBB"/>
    <w:rsid w:val="03CC700C"/>
    <w:rsid w:val="04628B89"/>
    <w:rsid w:val="04770B8A"/>
    <w:rsid w:val="04B6C8AF"/>
    <w:rsid w:val="04D3B2CE"/>
    <w:rsid w:val="0524B6BE"/>
    <w:rsid w:val="060B21A3"/>
    <w:rsid w:val="06783AA2"/>
    <w:rsid w:val="068E085D"/>
    <w:rsid w:val="06B5C2A3"/>
    <w:rsid w:val="06F34FBA"/>
    <w:rsid w:val="07AF858D"/>
    <w:rsid w:val="0895A14B"/>
    <w:rsid w:val="0A27561F"/>
    <w:rsid w:val="0B71A576"/>
    <w:rsid w:val="0C098277"/>
    <w:rsid w:val="0C215966"/>
    <w:rsid w:val="0C322E16"/>
    <w:rsid w:val="0CCD5B16"/>
    <w:rsid w:val="0CE8605B"/>
    <w:rsid w:val="0D672689"/>
    <w:rsid w:val="0D80B037"/>
    <w:rsid w:val="0D8C05F9"/>
    <w:rsid w:val="0E2238F7"/>
    <w:rsid w:val="0E645006"/>
    <w:rsid w:val="0EDBA8BD"/>
    <w:rsid w:val="0F2B140F"/>
    <w:rsid w:val="0F77E214"/>
    <w:rsid w:val="102A3950"/>
    <w:rsid w:val="10904BF9"/>
    <w:rsid w:val="111FE545"/>
    <w:rsid w:val="129BB562"/>
    <w:rsid w:val="14E55E54"/>
    <w:rsid w:val="15B21EA4"/>
    <w:rsid w:val="1661DBBC"/>
    <w:rsid w:val="16BDB770"/>
    <w:rsid w:val="18FA07C0"/>
    <w:rsid w:val="196F258D"/>
    <w:rsid w:val="19A0B2E9"/>
    <w:rsid w:val="1B0FBC5A"/>
    <w:rsid w:val="1D53B054"/>
    <w:rsid w:val="1D6670C0"/>
    <w:rsid w:val="1D977A93"/>
    <w:rsid w:val="1E1E0DF4"/>
    <w:rsid w:val="20A63139"/>
    <w:rsid w:val="20BEE9F4"/>
    <w:rsid w:val="21CFAFAE"/>
    <w:rsid w:val="22AAB367"/>
    <w:rsid w:val="22DAA705"/>
    <w:rsid w:val="230FA6B9"/>
    <w:rsid w:val="2338EC24"/>
    <w:rsid w:val="23877A4E"/>
    <w:rsid w:val="240100B1"/>
    <w:rsid w:val="2494F46C"/>
    <w:rsid w:val="24D4E93A"/>
    <w:rsid w:val="25F327FB"/>
    <w:rsid w:val="27B81414"/>
    <w:rsid w:val="27FAEC9F"/>
    <w:rsid w:val="289DDE72"/>
    <w:rsid w:val="28F1FF9E"/>
    <w:rsid w:val="2B48DF66"/>
    <w:rsid w:val="2B7D9DA4"/>
    <w:rsid w:val="2BFC43FA"/>
    <w:rsid w:val="2C030924"/>
    <w:rsid w:val="2CDFB560"/>
    <w:rsid w:val="2D989B75"/>
    <w:rsid w:val="2DB2163A"/>
    <w:rsid w:val="2E55808E"/>
    <w:rsid w:val="2E5939F5"/>
    <w:rsid w:val="2E5EA54C"/>
    <w:rsid w:val="2F90E210"/>
    <w:rsid w:val="2FC04659"/>
    <w:rsid w:val="2FF1D926"/>
    <w:rsid w:val="30A6948F"/>
    <w:rsid w:val="322513AD"/>
    <w:rsid w:val="33417F71"/>
    <w:rsid w:val="3353280C"/>
    <w:rsid w:val="33E99553"/>
    <w:rsid w:val="3498D05F"/>
    <w:rsid w:val="34A1032C"/>
    <w:rsid w:val="350F702B"/>
    <w:rsid w:val="3517D1D9"/>
    <w:rsid w:val="364AF8A5"/>
    <w:rsid w:val="3819FD2F"/>
    <w:rsid w:val="385C68F1"/>
    <w:rsid w:val="39AAFA5D"/>
    <w:rsid w:val="39C47EB7"/>
    <w:rsid w:val="39F823B8"/>
    <w:rsid w:val="3AA1118C"/>
    <w:rsid w:val="3B2446CA"/>
    <w:rsid w:val="3B2C4091"/>
    <w:rsid w:val="3B935184"/>
    <w:rsid w:val="3BE7216C"/>
    <w:rsid w:val="3C06DA9E"/>
    <w:rsid w:val="3CA50B99"/>
    <w:rsid w:val="3CD2139F"/>
    <w:rsid w:val="3D95B411"/>
    <w:rsid w:val="3D962690"/>
    <w:rsid w:val="3DA92752"/>
    <w:rsid w:val="3EE17840"/>
    <w:rsid w:val="3EE31E8D"/>
    <w:rsid w:val="3F615312"/>
    <w:rsid w:val="42B37D19"/>
    <w:rsid w:val="43FDB78E"/>
    <w:rsid w:val="4638AF12"/>
    <w:rsid w:val="4878A411"/>
    <w:rsid w:val="488A33B2"/>
    <w:rsid w:val="49FF326B"/>
    <w:rsid w:val="4A356110"/>
    <w:rsid w:val="4A3B8025"/>
    <w:rsid w:val="4A461BF6"/>
    <w:rsid w:val="4B3BE825"/>
    <w:rsid w:val="4BCDE19D"/>
    <w:rsid w:val="4D2D8025"/>
    <w:rsid w:val="4DE30000"/>
    <w:rsid w:val="4E282C91"/>
    <w:rsid w:val="4E80D9BA"/>
    <w:rsid w:val="4EC15626"/>
    <w:rsid w:val="4EC4A02F"/>
    <w:rsid w:val="4ECF827F"/>
    <w:rsid w:val="4FDD760C"/>
    <w:rsid w:val="50D03B4E"/>
    <w:rsid w:val="513585DA"/>
    <w:rsid w:val="5158DB01"/>
    <w:rsid w:val="51C116BA"/>
    <w:rsid w:val="5329D3D3"/>
    <w:rsid w:val="534A9052"/>
    <w:rsid w:val="536597A3"/>
    <w:rsid w:val="5671466F"/>
    <w:rsid w:val="56B01850"/>
    <w:rsid w:val="577E9AE8"/>
    <w:rsid w:val="57846EC0"/>
    <w:rsid w:val="57A960EC"/>
    <w:rsid w:val="58CC1DDC"/>
    <w:rsid w:val="58F182DD"/>
    <w:rsid w:val="595949DC"/>
    <w:rsid w:val="59EF9C14"/>
    <w:rsid w:val="5A453747"/>
    <w:rsid w:val="5A5AC18B"/>
    <w:rsid w:val="5A9FF601"/>
    <w:rsid w:val="5C371BFF"/>
    <w:rsid w:val="5C68901E"/>
    <w:rsid w:val="5EE62511"/>
    <w:rsid w:val="5F73E768"/>
    <w:rsid w:val="6037759E"/>
    <w:rsid w:val="6081D7D1"/>
    <w:rsid w:val="61D9921E"/>
    <w:rsid w:val="623F2A43"/>
    <w:rsid w:val="62831E6A"/>
    <w:rsid w:val="62E47F41"/>
    <w:rsid w:val="63A0D8E5"/>
    <w:rsid w:val="63A1FAF3"/>
    <w:rsid w:val="6531D631"/>
    <w:rsid w:val="659B6BBF"/>
    <w:rsid w:val="678A7E8E"/>
    <w:rsid w:val="68D08B71"/>
    <w:rsid w:val="69904927"/>
    <w:rsid w:val="69CA8342"/>
    <w:rsid w:val="6A6BA477"/>
    <w:rsid w:val="6A854C79"/>
    <w:rsid w:val="6C41860F"/>
    <w:rsid w:val="6D1724F2"/>
    <w:rsid w:val="6D1B720D"/>
    <w:rsid w:val="6D4748C2"/>
    <w:rsid w:val="6DBA418C"/>
    <w:rsid w:val="6DEBEDA4"/>
    <w:rsid w:val="6E4F6729"/>
    <w:rsid w:val="6EEF356E"/>
    <w:rsid w:val="70651108"/>
    <w:rsid w:val="71CBF62B"/>
    <w:rsid w:val="72B097EA"/>
    <w:rsid w:val="732985A0"/>
    <w:rsid w:val="7331E4ED"/>
    <w:rsid w:val="7368B423"/>
    <w:rsid w:val="73A00918"/>
    <w:rsid w:val="7452B1F9"/>
    <w:rsid w:val="745329EC"/>
    <w:rsid w:val="7482AACB"/>
    <w:rsid w:val="748B3D85"/>
    <w:rsid w:val="756EEE2D"/>
    <w:rsid w:val="7645D2F6"/>
    <w:rsid w:val="77387C12"/>
    <w:rsid w:val="77E5CE60"/>
    <w:rsid w:val="78F7523A"/>
    <w:rsid w:val="79F82AFD"/>
    <w:rsid w:val="7AAB400D"/>
    <w:rsid w:val="7AC29F21"/>
    <w:rsid w:val="7B2CF1A9"/>
    <w:rsid w:val="7B8A9EA0"/>
    <w:rsid w:val="7E95C208"/>
    <w:rsid w:val="7E97696C"/>
    <w:rsid w:val="7F2B57DC"/>
    <w:rsid w:val="7F72F93E"/>
    <w:rsid w:val="7FD58932"/>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9331B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331B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331B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331B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31B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31B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31B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uiPriority w:val="10"/>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uiPriority w:val="10"/>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3Char">
    <w:name w:val="Heading 3 Char"/>
    <w:basedOn w:val="DefaultParagraphFont"/>
    <w:link w:val="Heading3"/>
    <w:uiPriority w:val="9"/>
    <w:semiHidden/>
    <w:rsid w:val="009331B0"/>
    <w:rPr>
      <w:rFonts w:ascii="Arial" w:eastAsiaTheme="majorEastAsia" w:hAnsi="Arial"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331B0"/>
    <w:rPr>
      <w:rFonts w:ascii="Arial" w:eastAsiaTheme="majorEastAsia" w:hAnsi="Arial" w:cstheme="majorBidi"/>
      <w:i/>
      <w:iCs/>
      <w:color w:val="2F5496" w:themeColor="accent1" w:themeShade="BF"/>
    </w:rPr>
  </w:style>
  <w:style w:type="character" w:customStyle="1" w:styleId="Heading5Char">
    <w:name w:val="Heading 5 Char"/>
    <w:basedOn w:val="DefaultParagraphFont"/>
    <w:link w:val="Heading5"/>
    <w:uiPriority w:val="9"/>
    <w:semiHidden/>
    <w:rsid w:val="009331B0"/>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9331B0"/>
    <w:rPr>
      <w:rFonts w:ascii="Arial" w:eastAsiaTheme="majorEastAsia" w:hAnsi="Arial" w:cstheme="majorBidi"/>
      <w:i/>
      <w:iCs/>
      <w:color w:val="595959" w:themeColor="text1" w:themeTint="A6"/>
    </w:rPr>
  </w:style>
  <w:style w:type="character" w:customStyle="1" w:styleId="Heading7Char">
    <w:name w:val="Heading 7 Char"/>
    <w:basedOn w:val="DefaultParagraphFont"/>
    <w:link w:val="Heading7"/>
    <w:uiPriority w:val="9"/>
    <w:semiHidden/>
    <w:rsid w:val="009331B0"/>
    <w:rPr>
      <w:rFonts w:ascii="Arial" w:eastAsiaTheme="majorEastAsia" w:hAnsi="Arial" w:cstheme="majorBidi"/>
      <w:color w:val="595959" w:themeColor="text1" w:themeTint="A6"/>
    </w:rPr>
  </w:style>
  <w:style w:type="character" w:customStyle="1" w:styleId="Heading8Char">
    <w:name w:val="Heading 8 Char"/>
    <w:basedOn w:val="DefaultParagraphFont"/>
    <w:link w:val="Heading8"/>
    <w:uiPriority w:val="9"/>
    <w:semiHidden/>
    <w:rsid w:val="009331B0"/>
    <w:rPr>
      <w:rFonts w:ascii="Arial" w:eastAsiaTheme="majorEastAsia" w:hAnsi="Arial" w:cstheme="majorBidi"/>
      <w:i/>
      <w:iCs/>
      <w:color w:val="272727" w:themeColor="text1" w:themeTint="D8"/>
    </w:rPr>
  </w:style>
  <w:style w:type="character" w:customStyle="1" w:styleId="Heading9Char">
    <w:name w:val="Heading 9 Char"/>
    <w:basedOn w:val="DefaultParagraphFont"/>
    <w:link w:val="Heading9"/>
    <w:uiPriority w:val="9"/>
    <w:semiHidden/>
    <w:rsid w:val="009331B0"/>
    <w:rPr>
      <w:rFonts w:ascii="Arial" w:eastAsiaTheme="majorEastAsia" w:hAnsi="Arial" w:cstheme="majorBidi"/>
      <w:color w:val="272727" w:themeColor="text1" w:themeTint="D8"/>
    </w:rPr>
  </w:style>
  <w:style w:type="character" w:customStyle="1" w:styleId="Heading1Char">
    <w:name w:val="Heading 1 Char"/>
    <w:basedOn w:val="DefaultParagraphFont"/>
    <w:link w:val="Heading1"/>
    <w:uiPriority w:val="9"/>
    <w:rsid w:val="009331B0"/>
    <w:rPr>
      <w:rFonts w:ascii="Arial" w:hAnsi="Arial" w:cs="Arial"/>
      <w:b/>
      <w:color w:val="000000"/>
      <w:kern w:val="28"/>
      <w:sz w:val="28"/>
    </w:rPr>
  </w:style>
  <w:style w:type="paragraph" w:styleId="Subtitle">
    <w:name w:val="Subtitle"/>
    <w:basedOn w:val="Normal"/>
    <w:next w:val="Normal"/>
    <w:link w:val="SubtitleChar"/>
    <w:uiPriority w:val="11"/>
    <w:qFormat/>
    <w:rsid w:val="009331B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31B0"/>
    <w:rPr>
      <w:rFonts w:ascii="Arial" w:eastAsiaTheme="majorEastAsia" w:hAnsi="Arial" w:cstheme="majorBidi"/>
      <w:color w:val="595959" w:themeColor="text1" w:themeTint="A6"/>
      <w:spacing w:val="15"/>
      <w:sz w:val="28"/>
      <w:szCs w:val="28"/>
    </w:rPr>
  </w:style>
  <w:style w:type="paragraph" w:styleId="Quote">
    <w:name w:val="Quote"/>
    <w:basedOn w:val="Normal"/>
    <w:next w:val="Normal"/>
    <w:link w:val="QuoteChar"/>
    <w:uiPriority w:val="29"/>
    <w:qFormat/>
    <w:rsid w:val="009331B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331B0"/>
    <w:rPr>
      <w:rFonts w:ascii="Arial" w:hAnsi="Arial" w:cs="Arial"/>
      <w:i/>
      <w:iCs/>
      <w:color w:val="404040" w:themeColor="text1" w:themeTint="BF"/>
    </w:rPr>
  </w:style>
  <w:style w:type="paragraph" w:styleId="ListParagraph">
    <w:name w:val="List Paragraph"/>
    <w:basedOn w:val="Normal"/>
    <w:uiPriority w:val="34"/>
    <w:qFormat/>
    <w:rsid w:val="009331B0"/>
    <w:pPr>
      <w:ind w:left="720"/>
      <w:contextualSpacing/>
    </w:pPr>
  </w:style>
  <w:style w:type="character" w:styleId="IntenseEmphasis">
    <w:name w:val="Intense Emphasis"/>
    <w:basedOn w:val="DefaultParagraphFont"/>
    <w:uiPriority w:val="21"/>
    <w:qFormat/>
    <w:rsid w:val="009331B0"/>
    <w:rPr>
      <w:i/>
      <w:iCs/>
      <w:color w:val="2F5496" w:themeColor="accent1" w:themeShade="BF"/>
    </w:rPr>
  </w:style>
  <w:style w:type="paragraph" w:styleId="IntenseQuote">
    <w:name w:val="Intense Quote"/>
    <w:basedOn w:val="Normal"/>
    <w:next w:val="Normal"/>
    <w:link w:val="IntenseQuoteChar"/>
    <w:uiPriority w:val="30"/>
    <w:qFormat/>
    <w:rsid w:val="009331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31B0"/>
    <w:rPr>
      <w:rFonts w:ascii="Arial" w:hAnsi="Arial" w:cs="Arial"/>
      <w:i/>
      <w:iCs/>
      <w:color w:val="2F5496" w:themeColor="accent1" w:themeShade="BF"/>
    </w:rPr>
  </w:style>
  <w:style w:type="character" w:styleId="IntenseReference">
    <w:name w:val="Intense Reference"/>
    <w:basedOn w:val="DefaultParagraphFont"/>
    <w:uiPriority w:val="32"/>
    <w:qFormat/>
    <w:rsid w:val="009331B0"/>
    <w:rPr>
      <w:b/>
      <w:bCs/>
      <w:smallCaps/>
      <w:color w:val="2F5496" w:themeColor="accent1" w:themeShade="BF"/>
      <w:spacing w:val="5"/>
    </w:rPr>
  </w:style>
  <w:style w:type="character" w:styleId="UnresolvedMention">
    <w:name w:val="Unresolved Mention"/>
    <w:basedOn w:val="DefaultParagraphFont"/>
    <w:uiPriority w:val="99"/>
    <w:semiHidden/>
    <w:unhideWhenUsed/>
    <w:rsid w:val="009331B0"/>
    <w:rPr>
      <w:color w:val="605E5C"/>
      <w:shd w:val="clear" w:color="auto" w:fill="E1DFDD"/>
    </w:rPr>
  </w:style>
  <w:style w:type="paragraph" w:styleId="NormalWeb">
    <w:name w:val="Normal (Web)"/>
    <w:basedOn w:val="Normal"/>
    <w:uiPriority w:val="99"/>
    <w:semiHidden/>
    <w:unhideWhenUsed/>
    <w:rsid w:val="003C70E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86597">
      <w:bodyDiv w:val="1"/>
      <w:marLeft w:val="0"/>
      <w:marRight w:val="0"/>
      <w:marTop w:val="0"/>
      <w:marBottom w:val="0"/>
      <w:divBdr>
        <w:top w:val="none" w:sz="0" w:space="0" w:color="auto"/>
        <w:left w:val="none" w:sz="0" w:space="0" w:color="auto"/>
        <w:bottom w:val="none" w:sz="0" w:space="0" w:color="auto"/>
        <w:right w:val="none" w:sz="0" w:space="0" w:color="auto"/>
      </w:divBdr>
    </w:div>
    <w:div w:id="44568511">
      <w:bodyDiv w:val="1"/>
      <w:marLeft w:val="0"/>
      <w:marRight w:val="0"/>
      <w:marTop w:val="0"/>
      <w:marBottom w:val="0"/>
      <w:divBdr>
        <w:top w:val="none" w:sz="0" w:space="0" w:color="auto"/>
        <w:left w:val="none" w:sz="0" w:space="0" w:color="auto"/>
        <w:bottom w:val="none" w:sz="0" w:space="0" w:color="auto"/>
        <w:right w:val="none" w:sz="0" w:space="0" w:color="auto"/>
      </w:divBdr>
    </w:div>
    <w:div w:id="245379337">
      <w:bodyDiv w:val="1"/>
      <w:marLeft w:val="0"/>
      <w:marRight w:val="0"/>
      <w:marTop w:val="0"/>
      <w:marBottom w:val="0"/>
      <w:divBdr>
        <w:top w:val="none" w:sz="0" w:space="0" w:color="auto"/>
        <w:left w:val="none" w:sz="0" w:space="0" w:color="auto"/>
        <w:bottom w:val="none" w:sz="0" w:space="0" w:color="auto"/>
        <w:right w:val="none" w:sz="0" w:space="0" w:color="auto"/>
      </w:divBdr>
    </w:div>
    <w:div w:id="366294186">
      <w:bodyDiv w:val="1"/>
      <w:marLeft w:val="0"/>
      <w:marRight w:val="0"/>
      <w:marTop w:val="0"/>
      <w:marBottom w:val="0"/>
      <w:divBdr>
        <w:top w:val="none" w:sz="0" w:space="0" w:color="auto"/>
        <w:left w:val="none" w:sz="0" w:space="0" w:color="auto"/>
        <w:bottom w:val="none" w:sz="0" w:space="0" w:color="auto"/>
        <w:right w:val="none" w:sz="0" w:space="0" w:color="auto"/>
      </w:divBdr>
    </w:div>
    <w:div w:id="374815066">
      <w:bodyDiv w:val="1"/>
      <w:marLeft w:val="0"/>
      <w:marRight w:val="0"/>
      <w:marTop w:val="0"/>
      <w:marBottom w:val="0"/>
      <w:divBdr>
        <w:top w:val="none" w:sz="0" w:space="0" w:color="auto"/>
        <w:left w:val="none" w:sz="0" w:space="0" w:color="auto"/>
        <w:bottom w:val="none" w:sz="0" w:space="0" w:color="auto"/>
        <w:right w:val="none" w:sz="0" w:space="0" w:color="auto"/>
      </w:divBdr>
    </w:div>
    <w:div w:id="494565247">
      <w:bodyDiv w:val="1"/>
      <w:marLeft w:val="0"/>
      <w:marRight w:val="0"/>
      <w:marTop w:val="0"/>
      <w:marBottom w:val="0"/>
      <w:divBdr>
        <w:top w:val="none" w:sz="0" w:space="0" w:color="auto"/>
        <w:left w:val="none" w:sz="0" w:space="0" w:color="auto"/>
        <w:bottom w:val="none" w:sz="0" w:space="0" w:color="auto"/>
        <w:right w:val="none" w:sz="0" w:space="0" w:color="auto"/>
      </w:divBdr>
    </w:div>
    <w:div w:id="66266494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48211426">
      <w:bodyDiv w:val="1"/>
      <w:marLeft w:val="0"/>
      <w:marRight w:val="0"/>
      <w:marTop w:val="0"/>
      <w:marBottom w:val="0"/>
      <w:divBdr>
        <w:top w:val="none" w:sz="0" w:space="0" w:color="auto"/>
        <w:left w:val="none" w:sz="0" w:space="0" w:color="auto"/>
        <w:bottom w:val="none" w:sz="0" w:space="0" w:color="auto"/>
        <w:right w:val="none" w:sz="0" w:space="0" w:color="auto"/>
      </w:divBdr>
    </w:div>
    <w:div w:id="118706478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8276839">
      <w:bodyDiv w:val="1"/>
      <w:marLeft w:val="0"/>
      <w:marRight w:val="0"/>
      <w:marTop w:val="0"/>
      <w:marBottom w:val="0"/>
      <w:divBdr>
        <w:top w:val="none" w:sz="0" w:space="0" w:color="auto"/>
        <w:left w:val="none" w:sz="0" w:space="0" w:color="auto"/>
        <w:bottom w:val="none" w:sz="0" w:space="0" w:color="auto"/>
        <w:right w:val="none" w:sz="0" w:space="0" w:color="auto"/>
      </w:divBdr>
    </w:div>
    <w:div w:id="1307052931">
      <w:bodyDiv w:val="1"/>
      <w:marLeft w:val="0"/>
      <w:marRight w:val="0"/>
      <w:marTop w:val="0"/>
      <w:marBottom w:val="0"/>
      <w:divBdr>
        <w:top w:val="none" w:sz="0" w:space="0" w:color="auto"/>
        <w:left w:val="none" w:sz="0" w:space="0" w:color="auto"/>
        <w:bottom w:val="none" w:sz="0" w:space="0" w:color="auto"/>
        <w:right w:val="none" w:sz="0" w:space="0" w:color="auto"/>
      </w:divBdr>
    </w:div>
    <w:div w:id="1399211259">
      <w:bodyDiv w:val="1"/>
      <w:marLeft w:val="0"/>
      <w:marRight w:val="0"/>
      <w:marTop w:val="0"/>
      <w:marBottom w:val="0"/>
      <w:divBdr>
        <w:top w:val="none" w:sz="0" w:space="0" w:color="auto"/>
        <w:left w:val="none" w:sz="0" w:space="0" w:color="auto"/>
        <w:bottom w:val="none" w:sz="0" w:space="0" w:color="auto"/>
        <w:right w:val="none" w:sz="0" w:space="0" w:color="auto"/>
      </w:divBdr>
    </w:div>
    <w:div w:id="1708604025">
      <w:bodyDiv w:val="1"/>
      <w:marLeft w:val="0"/>
      <w:marRight w:val="0"/>
      <w:marTop w:val="0"/>
      <w:marBottom w:val="0"/>
      <w:divBdr>
        <w:top w:val="none" w:sz="0" w:space="0" w:color="auto"/>
        <w:left w:val="none" w:sz="0" w:space="0" w:color="auto"/>
        <w:bottom w:val="none" w:sz="0" w:space="0" w:color="auto"/>
        <w:right w:val="none" w:sz="0" w:space="0" w:color="auto"/>
      </w:divBdr>
    </w:div>
    <w:div w:id="1782450152">
      <w:bodyDiv w:val="1"/>
      <w:marLeft w:val="0"/>
      <w:marRight w:val="0"/>
      <w:marTop w:val="0"/>
      <w:marBottom w:val="0"/>
      <w:divBdr>
        <w:top w:val="none" w:sz="0" w:space="0" w:color="auto"/>
        <w:left w:val="none" w:sz="0" w:space="0" w:color="auto"/>
        <w:bottom w:val="none" w:sz="0" w:space="0" w:color="auto"/>
        <w:right w:val="none" w:sz="0" w:space="0" w:color="auto"/>
      </w:divBdr>
    </w:div>
    <w:div w:id="1937516499">
      <w:bodyDiv w:val="1"/>
      <w:marLeft w:val="0"/>
      <w:marRight w:val="0"/>
      <w:marTop w:val="0"/>
      <w:marBottom w:val="0"/>
      <w:divBdr>
        <w:top w:val="none" w:sz="0" w:space="0" w:color="auto"/>
        <w:left w:val="none" w:sz="0" w:space="0" w:color="auto"/>
        <w:bottom w:val="none" w:sz="0" w:space="0" w:color="auto"/>
        <w:right w:val="none" w:sz="0" w:space="0" w:color="auto"/>
      </w:divBdr>
    </w:div>
    <w:div w:id="195127605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18</Pages>
  <Words>5525</Words>
  <Characters>32563</Characters>
  <Application>Microsoft Office Word</Application>
  <DocSecurity>0</DocSecurity>
  <Lines>580</Lines>
  <Paragraphs>113</Paragraphs>
  <ScaleCrop>false</ScaleCrop>
  <Company>Powys County Council</Company>
  <LinksUpToDate>false</LinksUpToDate>
  <CharactersWithSpaces>38007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Pai Maziwisa</cp:lastModifiedBy>
  <cp:revision>2</cp:revision>
  <cp:lastPrinted>2020-02-11T19:20:00Z</cp:lastPrinted>
  <dcterms:created xsi:type="dcterms:W3CDTF">2025-10-08T00:40:00Z</dcterms:created>
  <dcterms:modified xsi:type="dcterms:W3CDTF">2025-10-08T00:40:00Z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