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8CFE06" w14:textId="77777777" w:rsidR="003C4A68" w:rsidRDefault="00000000">
      <w:pPr>
        <w:spacing w:after="208" w:line="259" w:lineRule="auto"/>
        <w:ind w:left="0" w:right="1009" w:firstLine="0"/>
        <w:jc w:val="right"/>
      </w:pPr>
      <w:r>
        <w:rPr>
          <w:noProof/>
        </w:rPr>
        <w:drawing>
          <wp:inline distT="0" distB="0" distL="0" distR="0" wp14:anchorId="5F350842" wp14:editId="108AC7B0">
            <wp:extent cx="4333875" cy="1476375"/>
            <wp:effectExtent l="0" t="0" r="0" b="0"/>
            <wp:docPr id="54" name="Picture 54"/>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7"/>
                    <a:stretch>
                      <a:fillRect/>
                    </a:stretch>
                  </pic:blipFill>
                  <pic:spPr>
                    <a:xfrm>
                      <a:off x="0" y="0"/>
                      <a:ext cx="4333875" cy="1476375"/>
                    </a:xfrm>
                    <a:prstGeom prst="rect">
                      <a:avLst/>
                    </a:prstGeom>
                  </pic:spPr>
                </pic:pic>
              </a:graphicData>
            </a:graphic>
          </wp:inline>
        </w:drawing>
      </w:r>
      <w:r>
        <w:rPr>
          <w:b/>
          <w:sz w:val="32"/>
        </w:rPr>
        <w:t xml:space="preserve"> </w:t>
      </w:r>
    </w:p>
    <w:p w14:paraId="10FA0785" w14:textId="77777777" w:rsidR="003C4A68" w:rsidRDefault="00000000">
      <w:pPr>
        <w:spacing w:after="276" w:line="259" w:lineRule="auto"/>
        <w:ind w:left="83" w:firstLine="0"/>
        <w:jc w:val="center"/>
      </w:pPr>
      <w:r>
        <w:rPr>
          <w:b/>
          <w:sz w:val="32"/>
        </w:rPr>
        <w:t xml:space="preserve"> </w:t>
      </w:r>
    </w:p>
    <w:p w14:paraId="62FF3CE6" w14:textId="77777777" w:rsidR="003C4A68" w:rsidRDefault="00000000">
      <w:pPr>
        <w:spacing w:after="202" w:line="259" w:lineRule="auto"/>
        <w:ind w:left="83" w:firstLine="0"/>
        <w:jc w:val="center"/>
      </w:pPr>
      <w:r>
        <w:rPr>
          <w:b/>
          <w:sz w:val="32"/>
        </w:rPr>
        <w:t xml:space="preserve"> </w:t>
      </w:r>
    </w:p>
    <w:p w14:paraId="74D03D9C" w14:textId="77777777" w:rsidR="003C4A68" w:rsidRDefault="00000000">
      <w:pPr>
        <w:spacing w:after="235" w:line="259" w:lineRule="auto"/>
        <w:ind w:left="0" w:firstLine="0"/>
        <w:jc w:val="left"/>
      </w:pPr>
      <w:r>
        <w:t xml:space="preserve"> </w:t>
      </w:r>
    </w:p>
    <w:p w14:paraId="73D885C0" w14:textId="1D16C741" w:rsidR="003C4A68" w:rsidRDefault="00000000">
      <w:pPr>
        <w:spacing w:after="236" w:line="259" w:lineRule="auto"/>
        <w:ind w:right="5"/>
        <w:jc w:val="center"/>
      </w:pPr>
      <w:r>
        <w:rPr>
          <w:b/>
        </w:rPr>
        <w:t xml:space="preserve">Student Name: </w:t>
      </w:r>
      <w:r w:rsidR="000A270A">
        <w:rPr>
          <w:b/>
        </w:rPr>
        <w:t>Sadhana Kumari</w:t>
      </w:r>
    </w:p>
    <w:p w14:paraId="54900F29" w14:textId="474398A7" w:rsidR="003C4A68" w:rsidRDefault="00000000">
      <w:pPr>
        <w:spacing w:after="236" w:line="259" w:lineRule="auto"/>
        <w:ind w:right="3"/>
        <w:jc w:val="center"/>
      </w:pPr>
      <w:r>
        <w:rPr>
          <w:b/>
        </w:rPr>
        <w:t xml:space="preserve">Student ID: </w:t>
      </w:r>
      <w:r w:rsidR="000A270A">
        <w:rPr>
          <w:b/>
        </w:rPr>
        <w:t>2413773</w:t>
      </w:r>
    </w:p>
    <w:p w14:paraId="35A26DD7" w14:textId="77777777" w:rsidR="003C4A68" w:rsidRDefault="00000000">
      <w:pPr>
        <w:spacing w:after="237" w:line="259" w:lineRule="auto"/>
        <w:ind w:left="61" w:firstLine="0"/>
        <w:jc w:val="center"/>
      </w:pPr>
      <w:r>
        <w:rPr>
          <w:b/>
        </w:rPr>
        <w:t xml:space="preserve"> </w:t>
      </w:r>
    </w:p>
    <w:p w14:paraId="335C91B2" w14:textId="77777777" w:rsidR="003C4A68" w:rsidRDefault="00000000">
      <w:pPr>
        <w:spacing w:after="236" w:line="259" w:lineRule="auto"/>
        <w:ind w:left="2336"/>
        <w:jc w:val="left"/>
      </w:pPr>
      <w:r>
        <w:rPr>
          <w:b/>
        </w:rPr>
        <w:t xml:space="preserve">Module Name: Marketing Management </w:t>
      </w:r>
    </w:p>
    <w:p w14:paraId="014E232C" w14:textId="5847235B" w:rsidR="003C4A68" w:rsidRDefault="00000000">
      <w:pPr>
        <w:spacing w:after="236" w:line="259" w:lineRule="auto"/>
        <w:ind w:right="6"/>
        <w:jc w:val="center"/>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371B5A25" wp14:editId="2F5E018D">
                <wp:simplePos x="0" y="0"/>
                <wp:positionH relativeFrom="page">
                  <wp:posOffset>304800</wp:posOffset>
                </wp:positionH>
                <wp:positionV relativeFrom="page">
                  <wp:posOffset>310896</wp:posOffset>
                </wp:positionV>
                <wp:extent cx="6096" cy="10072116"/>
                <wp:effectExtent l="0" t="0" r="0" b="0"/>
                <wp:wrapSquare wrapText="bothSides"/>
                <wp:docPr id="12416" name="Group 12416"/>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5901" name="Shape 15901"/>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416" style="width:0.48pt;height:793.08pt;position:absolute;mso-position-horizontal-relative:page;mso-position-horizontal:absolute;margin-left:24pt;mso-position-vertical-relative:page;margin-top:24.48pt;" coordsize="60,100721">
                <v:shape id="Shape 15902"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446E5C55" wp14:editId="58D9081D">
                <wp:simplePos x="0" y="0"/>
                <wp:positionH relativeFrom="page">
                  <wp:posOffset>7251193</wp:posOffset>
                </wp:positionH>
                <wp:positionV relativeFrom="page">
                  <wp:posOffset>310896</wp:posOffset>
                </wp:positionV>
                <wp:extent cx="6096" cy="10072116"/>
                <wp:effectExtent l="0" t="0" r="0" b="0"/>
                <wp:wrapSquare wrapText="bothSides"/>
                <wp:docPr id="12418" name="Group 12418"/>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5903" name="Shape 15903"/>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418" style="width:0.47998pt;height:793.08pt;position:absolute;mso-position-horizontal-relative:page;mso-position-horizontal:absolute;margin-left:570.96pt;mso-position-vertical-relative:page;margin-top:24.48pt;" coordsize="60,100721">
                <v:shape id="Shape 15904"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b/>
        </w:rPr>
        <w:t>Module Code: LCMB702</w:t>
      </w:r>
      <w:r w:rsidR="000A270A">
        <w:rPr>
          <w:b/>
        </w:rPr>
        <w:t>3_Lon</w:t>
      </w:r>
    </w:p>
    <w:p w14:paraId="2DA809BB" w14:textId="77777777" w:rsidR="003C4A68" w:rsidRDefault="00000000">
      <w:pPr>
        <w:spacing w:after="235" w:line="259" w:lineRule="auto"/>
        <w:ind w:left="61" w:firstLine="0"/>
        <w:jc w:val="center"/>
      </w:pPr>
      <w:r>
        <w:rPr>
          <w:b/>
        </w:rPr>
        <w:t xml:space="preserve"> </w:t>
      </w:r>
    </w:p>
    <w:p w14:paraId="228A0DFF" w14:textId="77777777" w:rsidR="003C4A68" w:rsidRDefault="00000000">
      <w:pPr>
        <w:spacing w:after="236" w:line="259" w:lineRule="auto"/>
        <w:ind w:right="1"/>
        <w:jc w:val="center"/>
        <w:rPr>
          <w:b/>
        </w:rPr>
      </w:pPr>
      <w:r>
        <w:rPr>
          <w:b/>
        </w:rPr>
        <w:t xml:space="preserve">Lecturer’s Name: </w:t>
      </w:r>
    </w:p>
    <w:p w14:paraId="0C8D0398" w14:textId="12CA8211" w:rsidR="000A270A" w:rsidRDefault="000A270A">
      <w:pPr>
        <w:spacing w:after="236" w:line="259" w:lineRule="auto"/>
        <w:ind w:right="1"/>
        <w:jc w:val="center"/>
      </w:pPr>
      <w:r>
        <w:rPr>
          <w:b/>
        </w:rPr>
        <w:t>Dr. Gladius Kulothungan</w:t>
      </w:r>
    </w:p>
    <w:p w14:paraId="0ED5A7F6" w14:textId="6687F4F3" w:rsidR="003C4A68" w:rsidRDefault="00000000" w:rsidP="000A270A">
      <w:pPr>
        <w:spacing w:after="235" w:line="259" w:lineRule="auto"/>
        <w:ind w:left="0" w:firstLine="0"/>
        <w:jc w:val="left"/>
      </w:pPr>
      <w:r>
        <w:rPr>
          <w:b/>
        </w:rPr>
        <w:t xml:space="preserve">                                        </w:t>
      </w:r>
    </w:p>
    <w:p w14:paraId="359939D2" w14:textId="1BC50658" w:rsidR="003C4A68" w:rsidRDefault="00000000">
      <w:pPr>
        <w:spacing w:after="235" w:line="259" w:lineRule="auto"/>
        <w:ind w:left="0" w:firstLine="0"/>
        <w:jc w:val="left"/>
      </w:pPr>
      <w:r>
        <w:rPr>
          <w:b/>
        </w:rPr>
        <w:t xml:space="preserve"> </w:t>
      </w:r>
      <w:r w:rsidR="000A270A">
        <w:rPr>
          <w:b/>
        </w:rPr>
        <w:tab/>
      </w:r>
      <w:r w:rsidR="000A270A">
        <w:rPr>
          <w:b/>
        </w:rPr>
        <w:tab/>
      </w:r>
      <w:r w:rsidR="000A270A">
        <w:rPr>
          <w:b/>
        </w:rPr>
        <w:tab/>
      </w:r>
      <w:r w:rsidR="000A270A">
        <w:rPr>
          <w:b/>
        </w:rPr>
        <w:tab/>
      </w:r>
      <w:r w:rsidR="000A270A">
        <w:rPr>
          <w:b/>
        </w:rPr>
        <w:tab/>
      </w:r>
    </w:p>
    <w:p w14:paraId="524C02A2" w14:textId="77777777" w:rsidR="003C4A68" w:rsidRDefault="00000000">
      <w:pPr>
        <w:spacing w:after="236" w:line="259" w:lineRule="auto"/>
        <w:ind w:right="6"/>
        <w:jc w:val="center"/>
      </w:pPr>
      <w:r>
        <w:rPr>
          <w:b/>
        </w:rPr>
        <w:t>Term 1</w:t>
      </w:r>
    </w:p>
    <w:p w14:paraId="77F79FD0" w14:textId="77777777" w:rsidR="000A270A" w:rsidRDefault="000A270A">
      <w:pPr>
        <w:spacing w:after="98" w:line="259" w:lineRule="auto"/>
        <w:ind w:left="0" w:firstLine="0"/>
        <w:jc w:val="left"/>
      </w:pPr>
    </w:p>
    <w:p w14:paraId="2C6F1B0E" w14:textId="77777777" w:rsidR="000A270A" w:rsidRDefault="000A270A">
      <w:pPr>
        <w:spacing w:after="98" w:line="259" w:lineRule="auto"/>
        <w:ind w:left="0" w:firstLine="0"/>
        <w:jc w:val="left"/>
      </w:pPr>
    </w:p>
    <w:p w14:paraId="329F21D8" w14:textId="77777777" w:rsidR="000A270A" w:rsidRDefault="000A270A">
      <w:pPr>
        <w:spacing w:after="98" w:line="259" w:lineRule="auto"/>
        <w:ind w:left="0" w:firstLine="0"/>
        <w:jc w:val="left"/>
      </w:pPr>
    </w:p>
    <w:p w14:paraId="0AA8236D" w14:textId="77777777" w:rsidR="000A270A" w:rsidRDefault="000A270A">
      <w:pPr>
        <w:spacing w:after="98" w:line="259" w:lineRule="auto"/>
        <w:ind w:left="0" w:firstLine="0"/>
        <w:jc w:val="left"/>
      </w:pPr>
    </w:p>
    <w:p w14:paraId="61116778" w14:textId="77777777" w:rsidR="000A270A" w:rsidRDefault="000A270A">
      <w:pPr>
        <w:spacing w:after="98" w:line="259" w:lineRule="auto"/>
        <w:ind w:left="0" w:firstLine="0"/>
        <w:jc w:val="left"/>
      </w:pPr>
    </w:p>
    <w:p w14:paraId="74051893" w14:textId="77777777" w:rsidR="000A270A" w:rsidRDefault="000A270A">
      <w:pPr>
        <w:spacing w:after="98" w:line="259" w:lineRule="auto"/>
        <w:ind w:left="0" w:firstLine="0"/>
        <w:jc w:val="left"/>
      </w:pPr>
    </w:p>
    <w:p w14:paraId="6DE16092" w14:textId="77777777" w:rsidR="000A270A" w:rsidRDefault="000A270A">
      <w:pPr>
        <w:spacing w:after="98" w:line="259" w:lineRule="auto"/>
        <w:ind w:left="0" w:firstLine="0"/>
        <w:jc w:val="left"/>
      </w:pPr>
    </w:p>
    <w:p w14:paraId="6908A94E" w14:textId="77777777" w:rsidR="000A270A" w:rsidRDefault="000A270A">
      <w:pPr>
        <w:spacing w:after="98" w:line="259" w:lineRule="auto"/>
        <w:ind w:left="0" w:firstLine="0"/>
        <w:jc w:val="left"/>
      </w:pPr>
    </w:p>
    <w:p w14:paraId="0CD18E97" w14:textId="77777777" w:rsidR="000A270A" w:rsidRDefault="000A270A">
      <w:pPr>
        <w:spacing w:after="98" w:line="259" w:lineRule="auto"/>
        <w:ind w:left="0" w:firstLine="0"/>
        <w:jc w:val="left"/>
      </w:pPr>
    </w:p>
    <w:p w14:paraId="6DDC8F83" w14:textId="77777777" w:rsidR="000A270A" w:rsidRDefault="000A270A">
      <w:pPr>
        <w:spacing w:after="98" w:line="259" w:lineRule="auto"/>
        <w:ind w:left="0" w:firstLine="0"/>
        <w:jc w:val="left"/>
      </w:pPr>
    </w:p>
    <w:p w14:paraId="1768B8F6" w14:textId="77777777" w:rsidR="000A270A" w:rsidRDefault="000A270A">
      <w:pPr>
        <w:spacing w:after="98" w:line="259" w:lineRule="auto"/>
        <w:ind w:left="0" w:firstLine="0"/>
        <w:jc w:val="left"/>
      </w:pPr>
    </w:p>
    <w:p w14:paraId="490DD66B" w14:textId="3EE74D2C" w:rsidR="003C4A68" w:rsidRDefault="00000000">
      <w:pPr>
        <w:spacing w:after="98"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19191535" wp14:editId="724F4F78">
                <wp:simplePos x="0" y="0"/>
                <wp:positionH relativeFrom="page">
                  <wp:posOffset>304800</wp:posOffset>
                </wp:positionH>
                <wp:positionV relativeFrom="page">
                  <wp:posOffset>310896</wp:posOffset>
                </wp:positionV>
                <wp:extent cx="6096" cy="10072116"/>
                <wp:effectExtent l="0" t="0" r="0" b="0"/>
                <wp:wrapSquare wrapText="bothSides"/>
                <wp:docPr id="12746" name="Group 12746"/>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5905" name="Shape 15905"/>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746" style="width:0.48pt;height:793.08pt;position:absolute;mso-position-horizontal-relative:page;mso-position-horizontal:absolute;margin-left:24pt;mso-position-vertical-relative:page;margin-top:24.48pt;" coordsize="60,100721">
                <v:shape id="Shape 15906"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67A897CA" wp14:editId="49D4217C">
                <wp:simplePos x="0" y="0"/>
                <wp:positionH relativeFrom="page">
                  <wp:posOffset>7251193</wp:posOffset>
                </wp:positionH>
                <wp:positionV relativeFrom="page">
                  <wp:posOffset>310896</wp:posOffset>
                </wp:positionV>
                <wp:extent cx="6096" cy="10072116"/>
                <wp:effectExtent l="0" t="0" r="0" b="0"/>
                <wp:wrapSquare wrapText="bothSides"/>
                <wp:docPr id="12747" name="Group 12747"/>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5907" name="Shape 15907"/>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747" style="width:0.47998pt;height:793.08pt;position:absolute;mso-position-horizontal-relative:page;mso-position-horizontal:absolute;margin-left:570.96pt;mso-position-vertical-relative:page;margin-top:24.48pt;" coordsize="60,100721">
                <v:shape id="Shape 15908"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p>
    <w:sdt>
      <w:sdtPr>
        <w:id w:val="321864553"/>
        <w:docPartObj>
          <w:docPartGallery w:val="Table of Contents"/>
        </w:docPartObj>
      </w:sdtPr>
      <w:sdtContent>
        <w:p w14:paraId="32E7B158" w14:textId="77777777" w:rsidR="003C4A68" w:rsidRDefault="00000000">
          <w:pPr>
            <w:spacing w:after="98" w:line="259" w:lineRule="auto"/>
            <w:ind w:left="0" w:firstLine="0"/>
            <w:jc w:val="left"/>
          </w:pPr>
          <w:r>
            <w:rPr>
              <w:rFonts w:ascii="Calibri" w:eastAsia="Calibri" w:hAnsi="Calibri" w:cs="Calibri"/>
              <w:color w:val="0F4761"/>
              <w:sz w:val="32"/>
            </w:rPr>
            <w:t xml:space="preserve">Table of Contents </w:t>
          </w:r>
        </w:p>
        <w:p w14:paraId="7D8B5B13" w14:textId="77777777" w:rsidR="003C4A68" w:rsidRDefault="00000000">
          <w:pPr>
            <w:pStyle w:val="TOC1"/>
            <w:tabs>
              <w:tab w:val="right" w:leader="dot" w:pos="9031"/>
            </w:tabs>
          </w:pPr>
          <w:r>
            <w:fldChar w:fldCharType="begin"/>
          </w:r>
          <w:r>
            <w:instrText xml:space="preserve"> TOC \o "1-3" \h \z \u </w:instrText>
          </w:r>
          <w:r>
            <w:fldChar w:fldCharType="separate"/>
          </w:r>
          <w:hyperlink w:anchor="_Toc15783">
            <w:r>
              <w:t>Part 1: Designing Aether Innovations Talent Ecosystem</w:t>
            </w:r>
            <w:r>
              <w:tab/>
            </w:r>
            <w:r>
              <w:fldChar w:fldCharType="begin"/>
            </w:r>
            <w:r>
              <w:instrText>PAGEREF _Toc15783 \h</w:instrText>
            </w:r>
            <w:r>
              <w:fldChar w:fldCharType="separate"/>
            </w:r>
            <w:r>
              <w:t xml:space="preserve">4 </w:t>
            </w:r>
            <w:r>
              <w:fldChar w:fldCharType="end"/>
            </w:r>
          </w:hyperlink>
        </w:p>
        <w:p w14:paraId="6631ED7F" w14:textId="77777777" w:rsidR="003C4A68" w:rsidRDefault="00000000">
          <w:pPr>
            <w:pStyle w:val="TOC1"/>
            <w:tabs>
              <w:tab w:val="right" w:leader="dot" w:pos="9031"/>
            </w:tabs>
          </w:pPr>
          <w:hyperlink w:anchor="_Toc15784">
            <w:r>
              <w:t>Introduction</w:t>
            </w:r>
            <w:r>
              <w:tab/>
            </w:r>
            <w:r>
              <w:fldChar w:fldCharType="begin"/>
            </w:r>
            <w:r>
              <w:instrText>PAGEREF _Toc15784 \h</w:instrText>
            </w:r>
            <w:r>
              <w:fldChar w:fldCharType="separate"/>
            </w:r>
            <w:r>
              <w:t xml:space="preserve">4 </w:t>
            </w:r>
            <w:r>
              <w:fldChar w:fldCharType="end"/>
            </w:r>
          </w:hyperlink>
        </w:p>
        <w:p w14:paraId="24711C3F" w14:textId="77777777" w:rsidR="003C4A68" w:rsidRDefault="00000000">
          <w:pPr>
            <w:pStyle w:val="TOC2"/>
            <w:tabs>
              <w:tab w:val="right" w:leader="dot" w:pos="9031"/>
            </w:tabs>
          </w:pPr>
          <w:hyperlink w:anchor="_Toc15785">
            <w:r>
              <w:t>1.1 The Crisis of Aether: Diagnosing the Current Talent Ecosystem in Tech</w:t>
            </w:r>
            <w:r>
              <w:tab/>
            </w:r>
            <w:r>
              <w:fldChar w:fldCharType="begin"/>
            </w:r>
            <w:r>
              <w:instrText>PAGEREF _Toc15785 \h</w:instrText>
            </w:r>
            <w:r>
              <w:fldChar w:fldCharType="separate"/>
            </w:r>
            <w:r>
              <w:t xml:space="preserve">4 </w:t>
            </w:r>
            <w:r>
              <w:fldChar w:fldCharType="end"/>
            </w:r>
          </w:hyperlink>
        </w:p>
        <w:p w14:paraId="22556113" w14:textId="77777777" w:rsidR="003C4A68" w:rsidRDefault="00000000">
          <w:pPr>
            <w:pStyle w:val="TOC2"/>
            <w:tabs>
              <w:tab w:val="right" w:leader="dot" w:pos="9031"/>
            </w:tabs>
          </w:pPr>
          <w:hyperlink w:anchor="_Toc15786">
            <w:r>
              <w:t>1.2 Strategic Build vs. Buy Talent Model</w:t>
            </w:r>
            <w:r>
              <w:tab/>
            </w:r>
            <w:r>
              <w:fldChar w:fldCharType="begin"/>
            </w:r>
            <w:r>
              <w:instrText>PAGEREF _Toc15786 \h</w:instrText>
            </w:r>
            <w:r>
              <w:fldChar w:fldCharType="separate"/>
            </w:r>
            <w:r>
              <w:t xml:space="preserve">5 </w:t>
            </w:r>
            <w:r>
              <w:fldChar w:fldCharType="end"/>
            </w:r>
          </w:hyperlink>
        </w:p>
        <w:p w14:paraId="4079D49E" w14:textId="77777777" w:rsidR="003C4A68" w:rsidRDefault="00000000">
          <w:pPr>
            <w:pStyle w:val="TOC3"/>
            <w:tabs>
              <w:tab w:val="right" w:leader="dot" w:pos="9031"/>
            </w:tabs>
          </w:pPr>
          <w:hyperlink w:anchor="_Toc15787">
            <w:r>
              <w:t>1.2.1 The 4B Framework Applied to Aether</w:t>
            </w:r>
            <w:r>
              <w:tab/>
            </w:r>
            <w:r>
              <w:fldChar w:fldCharType="begin"/>
            </w:r>
            <w:r>
              <w:instrText>PAGEREF _Toc15787 \h</w:instrText>
            </w:r>
            <w:r>
              <w:fldChar w:fldCharType="separate"/>
            </w:r>
            <w:r>
              <w:t xml:space="preserve">5 </w:t>
            </w:r>
            <w:r>
              <w:fldChar w:fldCharType="end"/>
            </w:r>
          </w:hyperlink>
        </w:p>
        <w:p w14:paraId="1CDE8C84" w14:textId="77777777" w:rsidR="003C4A68" w:rsidRDefault="00000000">
          <w:pPr>
            <w:pStyle w:val="TOC3"/>
            <w:tabs>
              <w:tab w:val="right" w:leader="dot" w:pos="9031"/>
            </w:tabs>
          </w:pPr>
          <w:hyperlink w:anchor="_Toc15788">
            <w:r>
              <w:t>1.2.2 A Build-Dominant Hybrid Strategy</w:t>
            </w:r>
            <w:r>
              <w:tab/>
            </w:r>
            <w:r>
              <w:fldChar w:fldCharType="begin"/>
            </w:r>
            <w:r>
              <w:instrText>PAGEREF _Toc15788 \h</w:instrText>
            </w:r>
            <w:r>
              <w:fldChar w:fldCharType="separate"/>
            </w:r>
            <w:r>
              <w:t xml:space="preserve">6 </w:t>
            </w:r>
            <w:r>
              <w:fldChar w:fldCharType="end"/>
            </w:r>
          </w:hyperlink>
        </w:p>
        <w:p w14:paraId="20C152A3" w14:textId="77777777" w:rsidR="003C4A68" w:rsidRDefault="00000000">
          <w:pPr>
            <w:pStyle w:val="TOC2"/>
            <w:tabs>
              <w:tab w:val="right" w:leader="dot" w:pos="9031"/>
            </w:tabs>
          </w:pPr>
          <w:hyperlink w:anchor="_Toc15789">
            <w:r>
              <w:t>1.3 Mentorship, Leadership Pathways, and Lifelong Learning</w:t>
            </w:r>
            <w:r>
              <w:tab/>
            </w:r>
            <w:r>
              <w:fldChar w:fldCharType="begin"/>
            </w:r>
            <w:r>
              <w:instrText>PAGEREF _Toc15789 \h</w:instrText>
            </w:r>
            <w:r>
              <w:fldChar w:fldCharType="separate"/>
            </w:r>
            <w:r>
              <w:t xml:space="preserve">6 </w:t>
            </w:r>
            <w:r>
              <w:fldChar w:fldCharType="end"/>
            </w:r>
          </w:hyperlink>
        </w:p>
        <w:p w14:paraId="338BF0E9" w14:textId="77777777" w:rsidR="003C4A68" w:rsidRDefault="00000000">
          <w:pPr>
            <w:pStyle w:val="TOC3"/>
            <w:tabs>
              <w:tab w:val="right" w:leader="dot" w:pos="9031"/>
            </w:tabs>
          </w:pPr>
          <w:hyperlink w:anchor="_Toc15790">
            <w:r>
              <w:t>1.3.1 Mentorship: Preserving Knowledge, Rebuilding Customer Excellence</w:t>
            </w:r>
            <w:r>
              <w:tab/>
            </w:r>
            <w:r>
              <w:fldChar w:fldCharType="begin"/>
            </w:r>
            <w:r>
              <w:instrText>PAGEREF _Toc15790 \h</w:instrText>
            </w:r>
            <w:r>
              <w:fldChar w:fldCharType="separate"/>
            </w:r>
            <w:r>
              <w:t xml:space="preserve">6 </w:t>
            </w:r>
            <w:r>
              <w:fldChar w:fldCharType="end"/>
            </w:r>
          </w:hyperlink>
        </w:p>
        <w:p w14:paraId="1AA5EF3E" w14:textId="77777777" w:rsidR="003C4A68" w:rsidRDefault="00000000">
          <w:pPr>
            <w:pStyle w:val="TOC3"/>
            <w:tabs>
              <w:tab w:val="right" w:leader="dot" w:pos="9031"/>
            </w:tabs>
          </w:pPr>
          <w:hyperlink w:anchor="_Toc15791">
            <w:r>
              <w:t>1.3.2 Leadership Pathways: Building the Pipeline That Drives Growth</w:t>
            </w:r>
            <w:r>
              <w:tab/>
            </w:r>
            <w:r>
              <w:fldChar w:fldCharType="begin"/>
            </w:r>
            <w:r>
              <w:instrText>PAGEREF _Toc15791 \h</w:instrText>
            </w:r>
            <w:r>
              <w:fldChar w:fldCharType="separate"/>
            </w:r>
            <w:r>
              <w:t xml:space="preserve">7 </w:t>
            </w:r>
            <w:r>
              <w:fldChar w:fldCharType="end"/>
            </w:r>
          </w:hyperlink>
        </w:p>
        <w:p w14:paraId="6AD7D3C5" w14:textId="77777777" w:rsidR="003C4A68" w:rsidRDefault="00000000">
          <w:pPr>
            <w:pStyle w:val="TOC3"/>
            <w:tabs>
              <w:tab w:val="right" w:leader="dot" w:pos="9031"/>
            </w:tabs>
          </w:pPr>
          <w:hyperlink w:anchor="_Toc15792">
            <w:r>
              <w:t>1.3.3 Lifelong Learning: Rebuilding Innovation Capacity</w:t>
            </w:r>
            <w:r>
              <w:tab/>
            </w:r>
            <w:r>
              <w:fldChar w:fldCharType="begin"/>
            </w:r>
            <w:r>
              <w:instrText>PAGEREF _Toc15792 \h</w:instrText>
            </w:r>
            <w:r>
              <w:fldChar w:fldCharType="separate"/>
            </w:r>
            <w:r>
              <w:t xml:space="preserve">8 </w:t>
            </w:r>
            <w:r>
              <w:fldChar w:fldCharType="end"/>
            </w:r>
          </w:hyperlink>
        </w:p>
        <w:p w14:paraId="74E419E2" w14:textId="77777777" w:rsidR="003C4A68" w:rsidRDefault="00000000">
          <w:pPr>
            <w:pStyle w:val="TOC3"/>
            <w:tabs>
              <w:tab w:val="right" w:leader="dot" w:pos="9031"/>
            </w:tabs>
          </w:pPr>
          <w:hyperlink w:anchor="_Toc15793">
            <w:r>
              <w:t>1.3.4 Integration: Solving Aether's Three Problems Simultaneously</w:t>
            </w:r>
            <w:r>
              <w:tab/>
            </w:r>
            <w:r>
              <w:fldChar w:fldCharType="begin"/>
            </w:r>
            <w:r>
              <w:instrText>PAGEREF _Toc15793 \h</w:instrText>
            </w:r>
            <w:r>
              <w:fldChar w:fldCharType="separate"/>
            </w:r>
            <w:r>
              <w:t xml:space="preserve">8 </w:t>
            </w:r>
            <w:r>
              <w:fldChar w:fldCharType="end"/>
            </w:r>
          </w:hyperlink>
        </w:p>
        <w:p w14:paraId="6DC1F3E7" w14:textId="77777777" w:rsidR="003C4A68" w:rsidRDefault="00000000">
          <w:pPr>
            <w:pStyle w:val="TOC1"/>
            <w:tabs>
              <w:tab w:val="right" w:leader="dot" w:pos="9031"/>
            </w:tabs>
          </w:pPr>
          <w:hyperlink w:anchor="_Toc15794">
            <w:r>
              <w:t>Part 2: Personal Reflection</w:t>
            </w:r>
            <w:r>
              <w:tab/>
            </w:r>
            <w:r>
              <w:fldChar w:fldCharType="begin"/>
            </w:r>
            <w:r>
              <w:instrText>PAGEREF _Toc15794 \h</w:instrText>
            </w:r>
            <w:r>
              <w:fldChar w:fldCharType="separate"/>
            </w:r>
            <w:r>
              <w:t xml:space="preserve">11 </w:t>
            </w:r>
            <w:r>
              <w:fldChar w:fldCharType="end"/>
            </w:r>
          </w:hyperlink>
        </w:p>
        <w:p w14:paraId="44B6C80C" w14:textId="77777777" w:rsidR="003C4A68" w:rsidRDefault="00000000">
          <w:pPr>
            <w:pStyle w:val="TOC2"/>
            <w:tabs>
              <w:tab w:val="right" w:leader="dot" w:pos="9031"/>
            </w:tabs>
          </w:pPr>
          <w:hyperlink w:anchor="_Toc15795">
            <w:r>
              <w:t>2.1 Reflective Learning Journey Using Gibbs' Reflective Cycle</w:t>
            </w:r>
            <w:r>
              <w:tab/>
            </w:r>
            <w:r>
              <w:fldChar w:fldCharType="begin"/>
            </w:r>
            <w:r>
              <w:instrText>PAGEREF _Toc15795 \h</w:instrText>
            </w:r>
            <w:r>
              <w:fldChar w:fldCharType="separate"/>
            </w:r>
            <w:r>
              <w:t xml:space="preserve">11 </w:t>
            </w:r>
            <w:r>
              <w:fldChar w:fldCharType="end"/>
            </w:r>
          </w:hyperlink>
        </w:p>
        <w:p w14:paraId="33255A30" w14:textId="77777777" w:rsidR="003C4A68" w:rsidRDefault="00000000">
          <w:pPr>
            <w:pStyle w:val="TOC2"/>
            <w:tabs>
              <w:tab w:val="right" w:leader="dot" w:pos="9031"/>
            </w:tabs>
          </w:pPr>
          <w:hyperlink w:anchor="_Toc15796">
            <w:r>
              <w:t>Stage 1: Description - What Happened?</w:t>
            </w:r>
            <w:r>
              <w:tab/>
            </w:r>
            <w:r>
              <w:fldChar w:fldCharType="begin"/>
            </w:r>
            <w:r>
              <w:instrText>PAGEREF _Toc15796 \h</w:instrText>
            </w:r>
            <w:r>
              <w:fldChar w:fldCharType="separate"/>
            </w:r>
            <w:r>
              <w:t xml:space="preserve">11 </w:t>
            </w:r>
            <w:r>
              <w:fldChar w:fldCharType="end"/>
            </w:r>
          </w:hyperlink>
        </w:p>
        <w:p w14:paraId="3B01B782" w14:textId="77777777" w:rsidR="003C4A68" w:rsidRDefault="00000000">
          <w:pPr>
            <w:pStyle w:val="TOC2"/>
            <w:tabs>
              <w:tab w:val="right" w:leader="dot" w:pos="9031"/>
            </w:tabs>
          </w:pPr>
          <w:hyperlink w:anchor="_Toc15797">
            <w:r>
              <w:t>Stage 2: Feelings - What Was I Thinking and Feeling?</w:t>
            </w:r>
            <w:r>
              <w:tab/>
            </w:r>
            <w:r>
              <w:fldChar w:fldCharType="begin"/>
            </w:r>
            <w:r>
              <w:instrText>PAGEREF _Toc15797 \h</w:instrText>
            </w:r>
            <w:r>
              <w:fldChar w:fldCharType="separate"/>
            </w:r>
            <w:r>
              <w:t xml:space="preserve">12 </w:t>
            </w:r>
            <w:r>
              <w:fldChar w:fldCharType="end"/>
            </w:r>
          </w:hyperlink>
        </w:p>
        <w:p w14:paraId="4BE9C86C" w14:textId="77777777" w:rsidR="003C4A68" w:rsidRDefault="00000000">
          <w:pPr>
            <w:pStyle w:val="TOC2"/>
            <w:tabs>
              <w:tab w:val="right" w:leader="dot" w:pos="9031"/>
            </w:tabs>
          </w:pPr>
          <w:hyperlink w:anchor="_Toc15798">
            <w:r>
              <w:t>Stage 3: Evaluation - What Was Good and Bad?</w:t>
            </w:r>
            <w:r>
              <w:tab/>
            </w:r>
            <w:r>
              <w:fldChar w:fldCharType="begin"/>
            </w:r>
            <w:r>
              <w:instrText>PAGEREF _Toc15798 \h</w:instrText>
            </w:r>
            <w:r>
              <w:fldChar w:fldCharType="separate"/>
            </w:r>
            <w:r>
              <w:t xml:space="preserve">12 </w:t>
            </w:r>
            <w:r>
              <w:fldChar w:fldCharType="end"/>
            </w:r>
          </w:hyperlink>
        </w:p>
        <w:p w14:paraId="62BABB09" w14:textId="77777777" w:rsidR="003C4A68" w:rsidRDefault="00000000">
          <w:pPr>
            <w:pStyle w:val="TOC2"/>
            <w:tabs>
              <w:tab w:val="right" w:leader="dot" w:pos="9031"/>
            </w:tabs>
          </w:pPr>
          <w:hyperlink w:anchor="_Toc15799">
            <w:r>
              <w:t>Stage 4: Analyze What Does This Mean?</w:t>
            </w:r>
            <w:r>
              <w:tab/>
            </w:r>
            <w:r>
              <w:fldChar w:fldCharType="begin"/>
            </w:r>
            <w:r>
              <w:instrText>PAGEREF _Toc15799 \h</w:instrText>
            </w:r>
            <w:r>
              <w:fldChar w:fldCharType="separate"/>
            </w:r>
            <w:r>
              <w:t xml:space="preserve">12 </w:t>
            </w:r>
            <w:r>
              <w:fldChar w:fldCharType="end"/>
            </w:r>
          </w:hyperlink>
        </w:p>
        <w:p w14:paraId="30A64660" w14:textId="77777777" w:rsidR="003C4A68" w:rsidRDefault="00000000">
          <w:pPr>
            <w:pStyle w:val="TOC2"/>
            <w:tabs>
              <w:tab w:val="right" w:leader="dot" w:pos="9031"/>
            </w:tabs>
          </w:pPr>
          <w:hyperlink w:anchor="_Toc15800">
            <w:r>
              <w:t>Step 5: Wrap What Are Some Other Things I Could Have Done?</w:t>
            </w:r>
            <w:r>
              <w:tab/>
            </w:r>
            <w:r>
              <w:fldChar w:fldCharType="begin"/>
            </w:r>
            <w:r>
              <w:instrText>PAGEREF _Toc15800 \h</w:instrText>
            </w:r>
            <w:r>
              <w:fldChar w:fldCharType="separate"/>
            </w:r>
            <w:r>
              <w:t xml:space="preserve">12 </w:t>
            </w:r>
            <w:r>
              <w:fldChar w:fldCharType="end"/>
            </w:r>
          </w:hyperlink>
        </w:p>
        <w:p w14:paraId="75E69F3F" w14:textId="77777777" w:rsidR="003C4A68" w:rsidRDefault="00000000">
          <w:pPr>
            <w:pStyle w:val="TOC2"/>
            <w:tabs>
              <w:tab w:val="right" w:leader="dot" w:pos="9031"/>
            </w:tabs>
          </w:pPr>
          <w:hyperlink w:anchor="_Toc15801">
            <w:r>
              <w:t>Stage 6: Action Plan Fostering Innovation and Growth Mindset</w:t>
            </w:r>
            <w:r>
              <w:tab/>
            </w:r>
            <w:r>
              <w:fldChar w:fldCharType="begin"/>
            </w:r>
            <w:r>
              <w:instrText>PAGEREF _Toc15801 \h</w:instrText>
            </w:r>
            <w:r>
              <w:fldChar w:fldCharType="separate"/>
            </w:r>
            <w:r>
              <w:t xml:space="preserve">13 </w:t>
            </w:r>
            <w:r>
              <w:fldChar w:fldCharType="end"/>
            </w:r>
          </w:hyperlink>
        </w:p>
        <w:p w14:paraId="2B7833F1" w14:textId="77777777" w:rsidR="003C4A68" w:rsidRDefault="00000000">
          <w:pPr>
            <w:pStyle w:val="TOC2"/>
            <w:tabs>
              <w:tab w:val="right" w:leader="dot" w:pos="9031"/>
            </w:tabs>
          </w:pPr>
          <w:hyperlink w:anchor="_Toc15802">
            <w:r>
              <w:t>2.2 How to Remain Relevant in a Profession Transformed by AI</w:t>
            </w:r>
            <w:r>
              <w:tab/>
            </w:r>
            <w:r>
              <w:fldChar w:fldCharType="begin"/>
            </w:r>
            <w:r>
              <w:instrText>PAGEREF _Toc15802 \h</w:instrText>
            </w:r>
            <w:r>
              <w:fldChar w:fldCharType="separate"/>
            </w:r>
            <w:r>
              <w:t xml:space="preserve">13 </w:t>
            </w:r>
            <w:r>
              <w:fldChar w:fldCharType="end"/>
            </w:r>
          </w:hyperlink>
        </w:p>
        <w:p w14:paraId="3D6D685D" w14:textId="77777777" w:rsidR="003C4A68" w:rsidRDefault="00000000">
          <w:pPr>
            <w:pStyle w:val="TOC1"/>
            <w:tabs>
              <w:tab w:val="right" w:leader="dot" w:pos="9031"/>
            </w:tabs>
          </w:pPr>
          <w:hyperlink w:anchor="_Toc15803">
            <w:r>
              <w:t>Conclusion</w:t>
            </w:r>
            <w:r>
              <w:tab/>
            </w:r>
            <w:r>
              <w:fldChar w:fldCharType="begin"/>
            </w:r>
            <w:r>
              <w:instrText>PAGEREF _Toc15803 \h</w:instrText>
            </w:r>
            <w:r>
              <w:fldChar w:fldCharType="separate"/>
            </w:r>
            <w:r>
              <w:t xml:space="preserve">14 </w:t>
            </w:r>
            <w:r>
              <w:fldChar w:fldCharType="end"/>
            </w:r>
          </w:hyperlink>
        </w:p>
        <w:p w14:paraId="29497A06" w14:textId="77777777" w:rsidR="003C4A68" w:rsidRDefault="00000000">
          <w:pPr>
            <w:pStyle w:val="TOC1"/>
            <w:tabs>
              <w:tab w:val="right" w:leader="dot" w:pos="9031"/>
            </w:tabs>
          </w:pPr>
          <w:hyperlink w:anchor="_Toc15804">
            <w:r>
              <w:t>Reference List</w:t>
            </w:r>
            <w:r>
              <w:tab/>
            </w:r>
            <w:r>
              <w:fldChar w:fldCharType="begin"/>
            </w:r>
            <w:r>
              <w:instrText>PAGEREF _Toc15804 \h</w:instrText>
            </w:r>
            <w:r>
              <w:fldChar w:fldCharType="separate"/>
            </w:r>
            <w:r>
              <w:t xml:space="preserve">14 </w:t>
            </w:r>
            <w:r>
              <w:fldChar w:fldCharType="end"/>
            </w:r>
          </w:hyperlink>
        </w:p>
        <w:p w14:paraId="02DB018A" w14:textId="77777777" w:rsidR="003C4A68" w:rsidRDefault="00000000">
          <w:r>
            <w:fldChar w:fldCharType="end"/>
          </w:r>
        </w:p>
      </w:sdtContent>
    </w:sdt>
    <w:p w14:paraId="26D6B7F1" w14:textId="77777777" w:rsidR="003C4A68" w:rsidRDefault="00000000">
      <w:pPr>
        <w:spacing w:after="166" w:line="259" w:lineRule="auto"/>
        <w:ind w:left="-5" w:right="-5"/>
      </w:pPr>
      <w:r>
        <w:t xml:space="preserve">Table 1: The 4B Talent Strategy Framework Applied to Aether Innovations (adapted </w:t>
      </w:r>
    </w:p>
    <w:p w14:paraId="165B63DC" w14:textId="77777777" w:rsidR="003C4A68" w:rsidRDefault="00000000">
      <w:pPr>
        <w:spacing w:after="115" w:line="259" w:lineRule="auto"/>
        <w:ind w:left="-5" w:right="-5"/>
      </w:pPr>
      <w:r>
        <w:t>from Boudreau and Ramstad, 2007) .......................................................................... 5</w:t>
      </w:r>
      <w:r>
        <w:rPr>
          <w:rFonts w:ascii="Calibri" w:eastAsia="Calibri" w:hAnsi="Calibri" w:cs="Calibri"/>
        </w:rPr>
        <w:t xml:space="preserve"> </w:t>
      </w:r>
    </w:p>
    <w:p w14:paraId="4B12A818" w14:textId="77777777" w:rsidR="003C4A68" w:rsidRDefault="00000000">
      <w:pPr>
        <w:spacing w:after="165" w:line="259" w:lineRule="auto"/>
        <w:ind w:left="-5" w:right="-5"/>
      </w:pPr>
      <w:r>
        <w:t xml:space="preserve">Table 2: The 70-20-10 Model Applied to Aether Innovations (Lombardo and Eichinger, </w:t>
      </w:r>
    </w:p>
    <w:p w14:paraId="25C76AE6" w14:textId="77777777" w:rsidR="003C4A68" w:rsidRDefault="00000000">
      <w:pPr>
        <w:spacing w:after="115" w:line="259" w:lineRule="auto"/>
        <w:ind w:left="-5" w:right="-5"/>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6A156A9C" wp14:editId="52A7D756">
                <wp:simplePos x="0" y="0"/>
                <wp:positionH relativeFrom="page">
                  <wp:posOffset>304800</wp:posOffset>
                </wp:positionH>
                <wp:positionV relativeFrom="page">
                  <wp:posOffset>310896</wp:posOffset>
                </wp:positionV>
                <wp:extent cx="6096" cy="10072116"/>
                <wp:effectExtent l="0" t="0" r="0" b="0"/>
                <wp:wrapSquare wrapText="bothSides"/>
                <wp:docPr id="12485" name="Group 12485"/>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14" name="Shape 16214"/>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485" style="width:0.48pt;height:793.08pt;position:absolute;mso-position-horizontal-relative:page;mso-position-horizontal:absolute;margin-left:24pt;mso-position-vertical-relative:page;margin-top:24.48pt;" coordsize="60,100721">
                <v:shape id="Shape 16215"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63360" behindDoc="0" locked="0" layoutInCell="1" allowOverlap="1" wp14:anchorId="0BFCD0F7" wp14:editId="7CE95B95">
                <wp:simplePos x="0" y="0"/>
                <wp:positionH relativeFrom="page">
                  <wp:posOffset>7251193</wp:posOffset>
                </wp:positionH>
                <wp:positionV relativeFrom="page">
                  <wp:posOffset>310896</wp:posOffset>
                </wp:positionV>
                <wp:extent cx="6096" cy="10072116"/>
                <wp:effectExtent l="0" t="0" r="0" b="0"/>
                <wp:wrapSquare wrapText="bothSides"/>
                <wp:docPr id="12488" name="Group 12488"/>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16" name="Shape 16216"/>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488" style="width:0.47998pt;height:793.08pt;position:absolute;mso-position-horizontal-relative:page;mso-position-horizontal:absolute;margin-left:570.96pt;mso-position-vertical-relative:page;margin-top:24.48pt;" coordsize="60,100721">
                <v:shape id="Shape 16217"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t>1996) .......................................................................................................................... 8</w:t>
      </w:r>
      <w:r>
        <w:rPr>
          <w:rFonts w:ascii="Calibri" w:eastAsia="Calibri" w:hAnsi="Calibri" w:cs="Calibri"/>
        </w:rPr>
        <w:t xml:space="preserve"> </w:t>
      </w:r>
    </w:p>
    <w:p w14:paraId="6E5CCCA6" w14:textId="77777777" w:rsidR="003C4A68" w:rsidRDefault="00000000">
      <w:pPr>
        <w:spacing w:after="165" w:line="259" w:lineRule="auto"/>
        <w:ind w:left="-5" w:right="-5"/>
      </w:pPr>
      <w:r>
        <w:t xml:space="preserve">Table 3: Talent Ecosystem Integration Against Aether Innovations' Three Core </w:t>
      </w:r>
    </w:p>
    <w:p w14:paraId="7923E700" w14:textId="77777777" w:rsidR="003C4A68" w:rsidRDefault="00000000">
      <w:pPr>
        <w:spacing w:after="166" w:line="259" w:lineRule="auto"/>
        <w:ind w:left="-5" w:right="-5"/>
      </w:pPr>
      <w:r>
        <w:t>Business Problems..................................................................................................... 9</w:t>
      </w:r>
      <w:r>
        <w:rPr>
          <w:rFonts w:ascii="Calibri" w:eastAsia="Calibri" w:hAnsi="Calibri" w:cs="Calibri"/>
        </w:rPr>
        <w:t xml:space="preserve"> </w:t>
      </w:r>
    </w:p>
    <w:p w14:paraId="7161DE03" w14:textId="77777777" w:rsidR="003C4A68" w:rsidRDefault="00000000">
      <w:pPr>
        <w:spacing w:after="254" w:line="259" w:lineRule="auto"/>
        <w:ind w:left="-5" w:right="-5"/>
      </w:pPr>
      <w:r>
        <w:t xml:space="preserve">Table 1: Gibbs' Reflective Cycle Applied to HCM Module Learning (Gibbs, </w:t>
      </w:r>
      <w:proofErr w:type="gramStart"/>
      <w:r>
        <w:t>1988) ..</w:t>
      </w:r>
      <w:proofErr w:type="gramEnd"/>
      <w:r>
        <w:t xml:space="preserve"> 11</w:t>
      </w:r>
      <w:r>
        <w:rPr>
          <w:rFonts w:ascii="Calibri" w:eastAsia="Calibri" w:hAnsi="Calibri" w:cs="Calibri"/>
        </w:rPr>
        <w:t xml:space="preserve"> </w:t>
      </w:r>
    </w:p>
    <w:p w14:paraId="528F1266" w14:textId="77777777" w:rsidR="003C4A68" w:rsidRDefault="00000000">
      <w:pPr>
        <w:spacing w:after="0" w:line="259" w:lineRule="auto"/>
        <w:ind w:left="0" w:firstLine="0"/>
        <w:jc w:val="left"/>
      </w:pPr>
      <w:r>
        <w:t xml:space="preserve"> </w:t>
      </w:r>
      <w:r>
        <w:tab/>
        <w:t xml:space="preserve"> </w:t>
      </w:r>
      <w:r>
        <w:br w:type="page"/>
      </w:r>
    </w:p>
    <w:p w14:paraId="55C1AFE4" w14:textId="77777777" w:rsidR="003C4A68" w:rsidRDefault="00000000">
      <w:pPr>
        <w:pStyle w:val="Heading1"/>
        <w:spacing w:after="474"/>
        <w:ind w:left="-5"/>
      </w:pPr>
      <w:bookmarkStart w:id="0" w:name="_Toc15783"/>
      <w:r>
        <w:rPr>
          <w:sz w:val="40"/>
        </w:rPr>
        <w:lastRenderedPageBreak/>
        <w:t xml:space="preserve">Part 1: Designing Aether Innovations Talent Ecosystem </w:t>
      </w:r>
      <w:bookmarkEnd w:id="0"/>
    </w:p>
    <w:p w14:paraId="028599B2" w14:textId="77777777" w:rsidR="003C4A68" w:rsidRDefault="00000000">
      <w:pPr>
        <w:pStyle w:val="Heading1"/>
        <w:spacing w:after="197"/>
        <w:ind w:left="-5"/>
      </w:pPr>
      <w:bookmarkStart w:id="1" w:name="_Toc15784"/>
      <w:r>
        <w:rPr>
          <w:sz w:val="40"/>
        </w:rPr>
        <w:t xml:space="preserve">Introduction </w:t>
      </w:r>
      <w:bookmarkEnd w:id="1"/>
    </w:p>
    <w:p w14:paraId="5A65E94D" w14:textId="77777777" w:rsidR="003C4A68" w:rsidRDefault="00000000">
      <w:pPr>
        <w:spacing w:after="313"/>
        <w:ind w:left="-5" w:right="-5"/>
      </w:pPr>
      <w:r>
        <w:t xml:space="preserve">Aether Innovations, a 300-person technology company, is experiencing three related crises: stagnant revenue growth, high turnover among its staff and lower customer satisfaction. But these are not isolated issues they are the expected result of a broken talent ecosystem. This report proposes an integrated talent strategy, as the newly appointed Human Capital Consultant that will directly address all three challenges. It incisively studies the state of technology talent, proposes a Build-heavy talent model and formulates actionable guidance for mentoring, leadership opportunities and continuous education. Throughout, we articulate exactly how each recommendation relates to Aether's growth, retention et cetera, and customer satisfaction outcomes. </w:t>
      </w:r>
    </w:p>
    <w:p w14:paraId="12B40C30" w14:textId="77777777" w:rsidR="003C4A68" w:rsidRDefault="00000000">
      <w:pPr>
        <w:spacing w:after="156" w:line="259" w:lineRule="auto"/>
        <w:ind w:left="-5"/>
        <w:jc w:val="left"/>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14:anchorId="1F6B6AC0" wp14:editId="76EB18E5">
                <wp:simplePos x="0" y="0"/>
                <wp:positionH relativeFrom="page">
                  <wp:posOffset>304800</wp:posOffset>
                </wp:positionH>
                <wp:positionV relativeFrom="page">
                  <wp:posOffset>310896</wp:posOffset>
                </wp:positionV>
                <wp:extent cx="6096" cy="10072116"/>
                <wp:effectExtent l="0" t="0" r="0" b="0"/>
                <wp:wrapSquare wrapText="bothSides"/>
                <wp:docPr id="12517" name="Group 12517"/>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18" name="Shape 16218"/>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517" style="width:0.48pt;height:793.08pt;position:absolute;mso-position-horizontal-relative:page;mso-position-horizontal:absolute;margin-left:24pt;mso-position-vertical-relative:page;margin-top:24.48pt;" coordsize="60,100721">
                <v:shape id="Shape 16219"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65408" behindDoc="0" locked="0" layoutInCell="1" allowOverlap="1" wp14:anchorId="3426FE88" wp14:editId="56FF6C44">
                <wp:simplePos x="0" y="0"/>
                <wp:positionH relativeFrom="page">
                  <wp:posOffset>7251193</wp:posOffset>
                </wp:positionH>
                <wp:positionV relativeFrom="page">
                  <wp:posOffset>310896</wp:posOffset>
                </wp:positionV>
                <wp:extent cx="6096" cy="10072116"/>
                <wp:effectExtent l="0" t="0" r="0" b="0"/>
                <wp:wrapSquare wrapText="bothSides"/>
                <wp:docPr id="12518" name="Group 12518"/>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20" name="Shape 16220"/>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518" style="width:0.47998pt;height:793.08pt;position:absolute;mso-position-horizontal-relative:page;mso-position-horizontal:absolute;margin-left:570.96pt;mso-position-vertical-relative:page;margin-top:24.48pt;" coordsize="60,100721">
                <v:shape id="Shape 16221"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p>
    <w:p w14:paraId="2044566B" w14:textId="77777777" w:rsidR="003C4A68" w:rsidRDefault="00000000">
      <w:pPr>
        <w:pStyle w:val="Heading2"/>
        <w:ind w:left="-5"/>
      </w:pPr>
      <w:bookmarkStart w:id="2" w:name="_Toc15785"/>
      <w:r>
        <w:t xml:space="preserve">1.1 The Crisis of Aether: Diagnosing the Current Talent Ecosystem in Tech </w:t>
      </w:r>
      <w:bookmarkEnd w:id="2"/>
    </w:p>
    <w:p w14:paraId="78B41D8F" w14:textId="77777777" w:rsidR="003C4A68" w:rsidRDefault="00000000">
      <w:pPr>
        <w:spacing w:after="1"/>
        <w:ind w:left="-5" w:right="-5"/>
      </w:pPr>
      <w:r>
        <w:t xml:space="preserve">There is a structural talent scarcity in the technology sector. By 2030, over 85 million jobs could go unfilled globally from skills mismatches (according to World Economic Forum (WEF, 2023)) with software engineering and innovation management being among the professions hit hardest. According to the CIPD (2023), technology companies experience the highest levels of voluntary attrition in any industry, largely driven by a lack of development availability and weak leadership pipelines. The three Aether problems are analytically linked in this framework. Kahn (1990) found that disengaged employees are less productive, innovative and committed to customer service. And when disengaged employees exit, they take both client knowledge and institutional memory with them: customer satisfaction falls and revenue stagnates. Aether’s symptoms are not merely coincidental, either; they stack up in a logical causal chain from talent neglect to commercial decay. </w:t>
      </w:r>
    </w:p>
    <w:p w14:paraId="30DEFD39" w14:textId="77777777" w:rsidR="003C4A68" w:rsidRDefault="00000000">
      <w:pPr>
        <w:spacing w:after="115" w:line="259" w:lineRule="auto"/>
        <w:ind w:left="0" w:firstLine="0"/>
        <w:jc w:val="left"/>
      </w:pPr>
      <w:r>
        <w:t xml:space="preserve"> </w:t>
      </w:r>
    </w:p>
    <w:p w14:paraId="75A53A5D" w14:textId="77777777" w:rsidR="003C4A68" w:rsidRDefault="00000000">
      <w:pPr>
        <w:spacing w:after="122"/>
        <w:ind w:left="-5" w:right="-5"/>
      </w:pPr>
      <w:r>
        <w:t xml:space="preserve">Many tech companies further compound the challenge by adopting transactional talent management by default: hire fast, replace as attrition happens. Cappelli (2008) shows </w:t>
      </w:r>
      <w:r>
        <w:lastRenderedPageBreak/>
        <w:t xml:space="preserve">how this 'buy-heavy' model establishes organisational fragility. A more strategic perspective is provided by Resource-Based View (Barney, 1991): RBV posits that sustainable competitive advantage arises from human capital being valuable, rare, inimitable and non-substitutable. Only if Aether invests in retaining and developing them, no competitor will be able to replicate Aether’s institutional knowledge, client relationships, and cultural context. As Armstrong and Taylor (2020) point out, integrated, strategic talent management is the way to do so. That is the basis of the ecosystem below. </w:t>
      </w:r>
    </w:p>
    <w:p w14:paraId="5EBCE6A3" w14:textId="77777777" w:rsidR="003C4A68" w:rsidRDefault="00000000">
      <w:pPr>
        <w:spacing w:after="430" w:line="259" w:lineRule="auto"/>
        <w:ind w:left="0" w:firstLine="0"/>
        <w:jc w:val="left"/>
      </w:pPr>
      <w:r>
        <w:t xml:space="preserve"> </w:t>
      </w:r>
    </w:p>
    <w:bookmarkStart w:id="3" w:name="_Toc15786"/>
    <w:p w14:paraId="0FE8E7F0" w14:textId="77777777" w:rsidR="003C4A68" w:rsidRDefault="00000000">
      <w:pPr>
        <w:pStyle w:val="Heading2"/>
        <w:spacing w:after="316"/>
        <w:ind w:left="-5"/>
      </w:pPr>
      <w:r>
        <w:rPr>
          <w:rFonts w:ascii="Calibri" w:eastAsia="Calibri" w:hAnsi="Calibri" w:cs="Calibri"/>
          <w:noProof/>
          <w:sz w:val="22"/>
        </w:rPr>
        <mc:AlternateContent>
          <mc:Choice Requires="wpg">
            <w:drawing>
              <wp:anchor distT="0" distB="0" distL="114300" distR="114300" simplePos="0" relativeHeight="251666432" behindDoc="0" locked="0" layoutInCell="1" allowOverlap="1" wp14:anchorId="1FE943C6" wp14:editId="52D9B8F4">
                <wp:simplePos x="0" y="0"/>
                <wp:positionH relativeFrom="page">
                  <wp:posOffset>304800</wp:posOffset>
                </wp:positionH>
                <wp:positionV relativeFrom="page">
                  <wp:posOffset>310896</wp:posOffset>
                </wp:positionV>
                <wp:extent cx="6096" cy="10072116"/>
                <wp:effectExtent l="0" t="0" r="0" b="0"/>
                <wp:wrapSquare wrapText="bothSides"/>
                <wp:docPr id="14209" name="Group 14209"/>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22" name="Shape 16222"/>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4209" style="width:0.48pt;height:793.08pt;position:absolute;mso-position-horizontal-relative:page;mso-position-horizontal:absolute;margin-left:24pt;mso-position-vertical-relative:page;margin-top:24.48pt;" coordsize="60,100721">
                <v:shape id="Shape 16223"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67456" behindDoc="0" locked="0" layoutInCell="1" allowOverlap="1" wp14:anchorId="0599410F" wp14:editId="63619CD0">
                <wp:simplePos x="0" y="0"/>
                <wp:positionH relativeFrom="page">
                  <wp:posOffset>7251193</wp:posOffset>
                </wp:positionH>
                <wp:positionV relativeFrom="page">
                  <wp:posOffset>310896</wp:posOffset>
                </wp:positionV>
                <wp:extent cx="6096" cy="10072116"/>
                <wp:effectExtent l="0" t="0" r="0" b="0"/>
                <wp:wrapSquare wrapText="bothSides"/>
                <wp:docPr id="14210" name="Group 14210"/>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24" name="Shape 16224"/>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4210" style="width:0.47998pt;height:793.08pt;position:absolute;mso-position-horizontal-relative:page;mso-position-horizontal:absolute;margin-left:570.96pt;mso-position-vertical-relative:page;margin-top:24.48pt;" coordsize="60,100721">
                <v:shape id="Shape 16225"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t xml:space="preserve">1.2 Strategic Build vs. Buy Talent Model </w:t>
      </w:r>
      <w:bookmarkEnd w:id="3"/>
    </w:p>
    <w:p w14:paraId="7516AB2A" w14:textId="77777777" w:rsidR="003C4A68" w:rsidRDefault="00000000">
      <w:pPr>
        <w:pStyle w:val="Heading3"/>
        <w:ind w:left="-5"/>
      </w:pPr>
      <w:bookmarkStart w:id="4" w:name="_Toc15787"/>
      <w:r>
        <w:t xml:space="preserve">1.2.1 The 4B Framework Applied to Aether </w:t>
      </w:r>
      <w:bookmarkEnd w:id="4"/>
    </w:p>
    <w:p w14:paraId="01B16751" w14:textId="77777777" w:rsidR="003C4A68" w:rsidRDefault="00000000">
      <w:pPr>
        <w:spacing w:after="64"/>
        <w:ind w:left="-5" w:right="-5"/>
      </w:pPr>
      <w:r>
        <w:t xml:space="preserve">The 4B Model (Boudreau and Ramstad, 2007) positions talent sourcing as a decision of Build; Buy; Borrow and Bot. The current post consumers of nature are over-indexed against buy external hangings and under-invest in developing internally which is a direct perpetuation of the turnover cycle. Employees onboarded without a developmental pathway or cultural investment leave when a better offer comes along, reigniting the knowledge and relationship cycle at great expense. </w:t>
      </w:r>
    </w:p>
    <w:p w14:paraId="0DD5480D" w14:textId="77777777" w:rsidR="003C4A68" w:rsidRDefault="00000000">
      <w:pPr>
        <w:spacing w:after="7" w:line="259" w:lineRule="auto"/>
        <w:ind w:left="-5"/>
        <w:jc w:val="left"/>
      </w:pPr>
      <w:r>
        <w:rPr>
          <w:i/>
          <w:color w:val="0E2841"/>
          <w:sz w:val="18"/>
        </w:rPr>
        <w:t xml:space="preserve">Table 1: The 4B Talent Strategy Framework Applied to Aether Innovations (adapted from Boudreau and Ramstad, 2007) </w:t>
      </w:r>
    </w:p>
    <w:tbl>
      <w:tblPr>
        <w:tblStyle w:val="TableGrid"/>
        <w:tblW w:w="9028" w:type="dxa"/>
        <w:tblInd w:w="-1" w:type="dxa"/>
        <w:tblCellMar>
          <w:top w:w="215" w:type="dxa"/>
          <w:left w:w="121" w:type="dxa"/>
          <w:bottom w:w="0" w:type="dxa"/>
          <w:right w:w="90" w:type="dxa"/>
        </w:tblCellMar>
        <w:tblLook w:val="04A0" w:firstRow="1" w:lastRow="0" w:firstColumn="1" w:lastColumn="0" w:noHBand="0" w:noVBand="1"/>
      </w:tblPr>
      <w:tblGrid>
        <w:gridCol w:w="2502"/>
        <w:gridCol w:w="3000"/>
        <w:gridCol w:w="3526"/>
      </w:tblGrid>
      <w:tr w:rsidR="003C4A68" w14:paraId="6F4905FA" w14:textId="77777777">
        <w:trPr>
          <w:trHeight w:val="780"/>
        </w:trPr>
        <w:tc>
          <w:tcPr>
            <w:tcW w:w="2501" w:type="dxa"/>
            <w:tcBorders>
              <w:top w:val="single" w:sz="2" w:space="0" w:color="000000"/>
              <w:left w:val="single" w:sz="2" w:space="0" w:color="000000"/>
              <w:bottom w:val="single" w:sz="32" w:space="0" w:color="FFFFFF"/>
              <w:right w:val="single" w:sz="2" w:space="0" w:color="000000"/>
            </w:tcBorders>
          </w:tcPr>
          <w:p w14:paraId="4A39C1FD" w14:textId="77777777" w:rsidR="003C4A68" w:rsidRDefault="00000000">
            <w:pPr>
              <w:spacing w:after="0" w:line="259" w:lineRule="auto"/>
              <w:ind w:left="0" w:firstLine="0"/>
              <w:jc w:val="left"/>
            </w:pPr>
            <w:r>
              <w:rPr>
                <w:b/>
                <w:sz w:val="22"/>
              </w:rPr>
              <w:t>Strategy</w:t>
            </w:r>
            <w:r>
              <w:t xml:space="preserve"> </w:t>
            </w:r>
          </w:p>
        </w:tc>
        <w:tc>
          <w:tcPr>
            <w:tcW w:w="3000" w:type="dxa"/>
            <w:tcBorders>
              <w:top w:val="single" w:sz="2" w:space="0" w:color="000000"/>
              <w:left w:val="single" w:sz="2" w:space="0" w:color="000000"/>
              <w:bottom w:val="single" w:sz="32" w:space="0" w:color="FFFFFF"/>
              <w:right w:val="single" w:sz="2" w:space="0" w:color="000000"/>
            </w:tcBorders>
          </w:tcPr>
          <w:p w14:paraId="24D3D849" w14:textId="77777777" w:rsidR="003C4A68" w:rsidRDefault="00000000">
            <w:pPr>
              <w:spacing w:after="0" w:line="259" w:lineRule="auto"/>
              <w:ind w:left="0" w:firstLine="0"/>
              <w:jc w:val="left"/>
            </w:pPr>
            <w:r>
              <w:rPr>
                <w:b/>
                <w:sz w:val="22"/>
              </w:rPr>
              <w:t>Definition</w:t>
            </w:r>
            <w:r>
              <w:t xml:space="preserve"> </w:t>
            </w:r>
          </w:p>
        </w:tc>
        <w:tc>
          <w:tcPr>
            <w:tcW w:w="3526" w:type="dxa"/>
            <w:tcBorders>
              <w:top w:val="single" w:sz="2" w:space="0" w:color="000000"/>
              <w:left w:val="single" w:sz="2" w:space="0" w:color="000000"/>
              <w:bottom w:val="single" w:sz="32" w:space="0" w:color="FFFFFF"/>
              <w:right w:val="single" w:sz="2" w:space="0" w:color="000000"/>
            </w:tcBorders>
          </w:tcPr>
          <w:p w14:paraId="6E1D2608" w14:textId="77777777" w:rsidR="003C4A68" w:rsidRDefault="00000000">
            <w:pPr>
              <w:spacing w:after="0" w:line="259" w:lineRule="auto"/>
              <w:ind w:left="0" w:firstLine="0"/>
              <w:jc w:val="left"/>
            </w:pPr>
            <w:r>
              <w:rPr>
                <w:b/>
                <w:sz w:val="22"/>
              </w:rPr>
              <w:t>Implication for Aether</w:t>
            </w:r>
            <w:r>
              <w:t xml:space="preserve"> </w:t>
            </w:r>
          </w:p>
        </w:tc>
      </w:tr>
      <w:tr w:rsidR="003C4A68" w14:paraId="48FD9395" w14:textId="77777777">
        <w:trPr>
          <w:trHeight w:val="1921"/>
        </w:trPr>
        <w:tc>
          <w:tcPr>
            <w:tcW w:w="2501" w:type="dxa"/>
            <w:tcBorders>
              <w:top w:val="single" w:sz="32" w:space="0" w:color="FFFFFF"/>
              <w:left w:val="single" w:sz="2" w:space="0" w:color="000000"/>
              <w:bottom w:val="single" w:sz="32" w:space="0" w:color="FFFFFF"/>
              <w:right w:val="single" w:sz="2" w:space="0" w:color="000000"/>
            </w:tcBorders>
          </w:tcPr>
          <w:p w14:paraId="5F773870" w14:textId="77777777" w:rsidR="003C4A68" w:rsidRDefault="00000000">
            <w:pPr>
              <w:spacing w:after="0" w:line="259" w:lineRule="auto"/>
              <w:ind w:left="0" w:firstLine="0"/>
              <w:jc w:val="left"/>
            </w:pPr>
            <w:r>
              <w:rPr>
                <w:sz w:val="22"/>
              </w:rPr>
              <w:t>Build</w:t>
            </w:r>
            <w:r>
              <w:t xml:space="preserve"> </w:t>
            </w:r>
          </w:p>
        </w:tc>
        <w:tc>
          <w:tcPr>
            <w:tcW w:w="3000" w:type="dxa"/>
            <w:tcBorders>
              <w:top w:val="single" w:sz="32" w:space="0" w:color="FFFFFF"/>
              <w:left w:val="single" w:sz="2" w:space="0" w:color="000000"/>
              <w:bottom w:val="single" w:sz="32" w:space="0" w:color="FFFFFF"/>
              <w:right w:val="single" w:sz="2" w:space="0" w:color="000000"/>
            </w:tcBorders>
          </w:tcPr>
          <w:p w14:paraId="7BBCFAD3" w14:textId="77777777" w:rsidR="003C4A68" w:rsidRDefault="00000000">
            <w:pPr>
              <w:spacing w:after="0" w:line="259" w:lineRule="auto"/>
              <w:ind w:left="0" w:firstLine="0"/>
              <w:jc w:val="left"/>
            </w:pPr>
            <w:r>
              <w:rPr>
                <w:sz w:val="22"/>
              </w:rPr>
              <w:t>Develop talent internally through L&amp;D, mentorship, and leadership pipelines</w:t>
            </w:r>
            <w:r>
              <w:t xml:space="preserve"> </w:t>
            </w:r>
          </w:p>
        </w:tc>
        <w:tc>
          <w:tcPr>
            <w:tcW w:w="3526" w:type="dxa"/>
            <w:tcBorders>
              <w:top w:val="single" w:sz="32" w:space="0" w:color="FFFFFF"/>
              <w:left w:val="single" w:sz="2" w:space="0" w:color="000000"/>
              <w:bottom w:val="single" w:sz="32" w:space="0" w:color="FFFFFF"/>
              <w:right w:val="single" w:sz="2" w:space="0" w:color="000000"/>
            </w:tcBorders>
          </w:tcPr>
          <w:p w14:paraId="1BEF5E33" w14:textId="77777777" w:rsidR="003C4A68" w:rsidRDefault="00000000">
            <w:pPr>
              <w:spacing w:after="0" w:line="259" w:lineRule="auto"/>
              <w:ind w:left="0" w:firstLine="0"/>
              <w:jc w:val="left"/>
            </w:pPr>
            <w:r>
              <w:rPr>
                <w:sz w:val="22"/>
              </w:rPr>
              <w:t xml:space="preserve">Reduces turnover; builds </w:t>
            </w:r>
            <w:proofErr w:type="spellStart"/>
            <w:r>
              <w:rPr>
                <w:sz w:val="22"/>
              </w:rPr>
              <w:t>firmspecific</w:t>
            </w:r>
            <w:proofErr w:type="spellEnd"/>
            <w:r>
              <w:rPr>
                <w:sz w:val="22"/>
              </w:rPr>
              <w:t xml:space="preserve"> capability; restores innovation and customer excellence</w:t>
            </w:r>
            <w:r>
              <w:t xml:space="preserve"> </w:t>
            </w:r>
          </w:p>
        </w:tc>
      </w:tr>
      <w:tr w:rsidR="003C4A68" w14:paraId="714B9CFC" w14:textId="77777777">
        <w:trPr>
          <w:trHeight w:val="1511"/>
        </w:trPr>
        <w:tc>
          <w:tcPr>
            <w:tcW w:w="2501" w:type="dxa"/>
            <w:tcBorders>
              <w:top w:val="single" w:sz="32" w:space="0" w:color="FFFFFF"/>
              <w:left w:val="single" w:sz="2" w:space="0" w:color="000000"/>
              <w:bottom w:val="single" w:sz="2" w:space="0" w:color="000000"/>
              <w:right w:val="single" w:sz="2" w:space="0" w:color="000000"/>
            </w:tcBorders>
          </w:tcPr>
          <w:p w14:paraId="431398CA" w14:textId="77777777" w:rsidR="003C4A68" w:rsidRDefault="00000000">
            <w:pPr>
              <w:spacing w:after="0" w:line="259" w:lineRule="auto"/>
              <w:ind w:left="0" w:firstLine="0"/>
              <w:jc w:val="left"/>
            </w:pPr>
            <w:r>
              <w:rPr>
                <w:sz w:val="22"/>
              </w:rPr>
              <w:t>Buy</w:t>
            </w:r>
            <w:r>
              <w:t xml:space="preserve"> </w:t>
            </w:r>
          </w:p>
        </w:tc>
        <w:tc>
          <w:tcPr>
            <w:tcW w:w="3000" w:type="dxa"/>
            <w:tcBorders>
              <w:top w:val="single" w:sz="32" w:space="0" w:color="FFFFFF"/>
              <w:left w:val="single" w:sz="2" w:space="0" w:color="000000"/>
              <w:bottom w:val="single" w:sz="2" w:space="0" w:color="000000"/>
              <w:right w:val="single" w:sz="2" w:space="0" w:color="000000"/>
            </w:tcBorders>
          </w:tcPr>
          <w:p w14:paraId="61D9592B" w14:textId="77777777" w:rsidR="003C4A68" w:rsidRDefault="00000000">
            <w:pPr>
              <w:spacing w:after="0" w:line="259" w:lineRule="auto"/>
              <w:ind w:left="0" w:firstLine="0"/>
            </w:pPr>
            <w:r>
              <w:rPr>
                <w:sz w:val="22"/>
              </w:rPr>
              <w:t>Recruit experienced talent from the external market</w:t>
            </w:r>
            <w:r>
              <w:t xml:space="preserve"> </w:t>
            </w:r>
          </w:p>
        </w:tc>
        <w:tc>
          <w:tcPr>
            <w:tcW w:w="3526" w:type="dxa"/>
            <w:tcBorders>
              <w:top w:val="single" w:sz="32" w:space="0" w:color="FFFFFF"/>
              <w:left w:val="single" w:sz="2" w:space="0" w:color="000000"/>
              <w:bottom w:val="single" w:sz="2" w:space="0" w:color="000000"/>
              <w:right w:val="single" w:sz="2" w:space="0" w:color="000000"/>
            </w:tcBorders>
          </w:tcPr>
          <w:p w14:paraId="6A3EB404" w14:textId="77777777" w:rsidR="003C4A68" w:rsidRDefault="00000000">
            <w:pPr>
              <w:spacing w:after="16" w:line="358" w:lineRule="auto"/>
              <w:ind w:left="0" w:firstLine="0"/>
              <w:jc w:val="left"/>
            </w:pPr>
            <w:r>
              <w:rPr>
                <w:sz w:val="22"/>
              </w:rPr>
              <w:t xml:space="preserve">Addresses urgent gaps but cannot substitute for internal </w:t>
            </w:r>
          </w:p>
          <w:p w14:paraId="028CDECA" w14:textId="77777777" w:rsidR="003C4A68" w:rsidRDefault="00000000">
            <w:pPr>
              <w:spacing w:after="0" w:line="259" w:lineRule="auto"/>
              <w:ind w:left="0" w:firstLine="0"/>
              <w:jc w:val="left"/>
            </w:pPr>
            <w:r>
              <w:rPr>
                <w:sz w:val="22"/>
              </w:rPr>
              <w:t>development</w:t>
            </w:r>
            <w:r>
              <w:t xml:space="preserve"> </w:t>
            </w:r>
          </w:p>
        </w:tc>
      </w:tr>
      <w:tr w:rsidR="003C4A68" w14:paraId="0E3A5864" w14:textId="77777777">
        <w:trPr>
          <w:trHeight w:val="1541"/>
        </w:trPr>
        <w:tc>
          <w:tcPr>
            <w:tcW w:w="2501" w:type="dxa"/>
            <w:tcBorders>
              <w:top w:val="single" w:sz="2" w:space="0" w:color="000000"/>
              <w:left w:val="single" w:sz="2" w:space="0" w:color="000000"/>
              <w:bottom w:val="single" w:sz="32" w:space="0" w:color="FFFFFF"/>
              <w:right w:val="single" w:sz="2" w:space="0" w:color="000000"/>
            </w:tcBorders>
          </w:tcPr>
          <w:p w14:paraId="7CD252D3" w14:textId="77777777" w:rsidR="003C4A68" w:rsidRDefault="00000000">
            <w:pPr>
              <w:spacing w:after="0" w:line="259" w:lineRule="auto"/>
              <w:ind w:left="0" w:firstLine="0"/>
              <w:jc w:val="left"/>
            </w:pPr>
            <w:r>
              <w:rPr>
                <w:sz w:val="22"/>
              </w:rPr>
              <w:lastRenderedPageBreak/>
              <w:t>Borrow</w:t>
            </w:r>
            <w:r>
              <w:t xml:space="preserve"> </w:t>
            </w:r>
          </w:p>
        </w:tc>
        <w:tc>
          <w:tcPr>
            <w:tcW w:w="3000" w:type="dxa"/>
            <w:tcBorders>
              <w:top w:val="single" w:sz="2" w:space="0" w:color="000000"/>
              <w:left w:val="single" w:sz="2" w:space="0" w:color="000000"/>
              <w:bottom w:val="single" w:sz="32" w:space="0" w:color="FFFFFF"/>
              <w:right w:val="single" w:sz="2" w:space="0" w:color="000000"/>
            </w:tcBorders>
          </w:tcPr>
          <w:p w14:paraId="2BC07359" w14:textId="77777777" w:rsidR="003C4A68" w:rsidRDefault="00000000">
            <w:pPr>
              <w:spacing w:after="0" w:line="259" w:lineRule="auto"/>
              <w:ind w:left="0" w:firstLine="0"/>
              <w:jc w:val="left"/>
            </w:pPr>
            <w:r>
              <w:rPr>
                <w:sz w:val="22"/>
              </w:rPr>
              <w:t>Engage contractors or alliance partners</w:t>
            </w:r>
            <w:r>
              <w:t xml:space="preserve"> </w:t>
            </w:r>
          </w:p>
        </w:tc>
        <w:tc>
          <w:tcPr>
            <w:tcW w:w="3526" w:type="dxa"/>
            <w:tcBorders>
              <w:top w:val="single" w:sz="2" w:space="0" w:color="000000"/>
              <w:left w:val="single" w:sz="2" w:space="0" w:color="000000"/>
              <w:bottom w:val="single" w:sz="32" w:space="0" w:color="FFFFFF"/>
              <w:right w:val="single" w:sz="2" w:space="0" w:color="000000"/>
            </w:tcBorders>
          </w:tcPr>
          <w:p w14:paraId="1115D934" w14:textId="77777777" w:rsidR="003C4A68" w:rsidRDefault="00000000">
            <w:pPr>
              <w:spacing w:after="0" w:line="259" w:lineRule="auto"/>
              <w:ind w:left="0" w:firstLine="0"/>
              <w:jc w:val="left"/>
            </w:pPr>
            <w:r>
              <w:rPr>
                <w:sz w:val="22"/>
              </w:rPr>
              <w:t>Useful for project-specific needs; does not solve systemic retention issues</w:t>
            </w:r>
            <w:r>
              <w:t xml:space="preserve"> </w:t>
            </w:r>
          </w:p>
        </w:tc>
      </w:tr>
      <w:tr w:rsidR="003C4A68" w14:paraId="5C558E3C" w14:textId="77777777">
        <w:trPr>
          <w:trHeight w:val="1129"/>
        </w:trPr>
        <w:tc>
          <w:tcPr>
            <w:tcW w:w="2501" w:type="dxa"/>
            <w:tcBorders>
              <w:top w:val="single" w:sz="32" w:space="0" w:color="FFFFFF"/>
              <w:left w:val="single" w:sz="2" w:space="0" w:color="000000"/>
              <w:bottom w:val="single" w:sz="2" w:space="0" w:color="000000"/>
              <w:right w:val="single" w:sz="2" w:space="0" w:color="000000"/>
            </w:tcBorders>
          </w:tcPr>
          <w:p w14:paraId="6F5DA627" w14:textId="77777777" w:rsidR="003C4A68" w:rsidRDefault="00000000">
            <w:pPr>
              <w:spacing w:after="0" w:line="259" w:lineRule="auto"/>
              <w:ind w:left="0" w:firstLine="0"/>
              <w:jc w:val="left"/>
            </w:pPr>
            <w:r>
              <w:rPr>
                <w:sz w:val="22"/>
              </w:rPr>
              <w:t>Bot</w:t>
            </w:r>
            <w:r>
              <w:t xml:space="preserve"> </w:t>
            </w:r>
          </w:p>
        </w:tc>
        <w:tc>
          <w:tcPr>
            <w:tcW w:w="3000" w:type="dxa"/>
            <w:tcBorders>
              <w:top w:val="single" w:sz="32" w:space="0" w:color="FFFFFF"/>
              <w:left w:val="single" w:sz="2" w:space="0" w:color="000000"/>
              <w:bottom w:val="single" w:sz="2" w:space="0" w:color="000000"/>
              <w:right w:val="single" w:sz="2" w:space="0" w:color="000000"/>
            </w:tcBorders>
          </w:tcPr>
          <w:p w14:paraId="76BC1E5A" w14:textId="77777777" w:rsidR="003C4A68" w:rsidRDefault="00000000">
            <w:pPr>
              <w:spacing w:after="0" w:line="259" w:lineRule="auto"/>
              <w:ind w:left="0" w:firstLine="0"/>
              <w:jc w:val="left"/>
            </w:pPr>
            <w:r>
              <w:rPr>
                <w:sz w:val="22"/>
              </w:rPr>
              <w:t>Automate routine tasks through AI/technology</w:t>
            </w:r>
            <w:r>
              <w:t xml:space="preserve"> </w:t>
            </w:r>
          </w:p>
        </w:tc>
        <w:tc>
          <w:tcPr>
            <w:tcW w:w="3526" w:type="dxa"/>
            <w:tcBorders>
              <w:top w:val="single" w:sz="32" w:space="0" w:color="FFFFFF"/>
              <w:left w:val="single" w:sz="2" w:space="0" w:color="000000"/>
              <w:bottom w:val="single" w:sz="2" w:space="0" w:color="000000"/>
              <w:right w:val="single" w:sz="2" w:space="0" w:color="000000"/>
            </w:tcBorders>
          </w:tcPr>
          <w:p w14:paraId="29E54A06" w14:textId="77777777" w:rsidR="003C4A68" w:rsidRDefault="00000000">
            <w:pPr>
              <w:spacing w:after="0" w:line="259" w:lineRule="auto"/>
              <w:ind w:left="0" w:firstLine="0"/>
              <w:jc w:val="left"/>
            </w:pPr>
            <w:r>
              <w:rPr>
                <w:sz w:val="22"/>
              </w:rPr>
              <w:t>Frees human capital for creative, customer-facing work</w:t>
            </w:r>
            <w:r>
              <w:t xml:space="preserve"> </w:t>
            </w:r>
          </w:p>
        </w:tc>
      </w:tr>
    </w:tbl>
    <w:p w14:paraId="593E8DA1" w14:textId="77777777" w:rsidR="003C4A68" w:rsidRDefault="00000000">
      <w:pPr>
        <w:spacing w:after="352" w:line="259" w:lineRule="auto"/>
        <w:ind w:left="0" w:firstLine="0"/>
        <w:jc w:val="left"/>
      </w:pPr>
      <w:r>
        <w:t xml:space="preserve"> </w:t>
      </w:r>
    </w:p>
    <w:p w14:paraId="4FCC40AA" w14:textId="77777777" w:rsidR="003C4A68" w:rsidRDefault="00000000">
      <w:pPr>
        <w:pStyle w:val="Heading3"/>
        <w:ind w:left="-5"/>
      </w:pPr>
      <w:bookmarkStart w:id="5" w:name="_Toc15788"/>
      <w:r>
        <w:t xml:space="preserve">1.2.2 A Build-Dominant Hybrid Strategy </w:t>
      </w:r>
      <w:bookmarkEnd w:id="5"/>
    </w:p>
    <w:p w14:paraId="69D9982A" w14:textId="77777777" w:rsidR="003C4A68" w:rsidRDefault="00000000">
      <w:pPr>
        <w:spacing w:after="119"/>
        <w:ind w:left="-5" w:right="-5"/>
      </w:pPr>
      <w:r>
        <w:t xml:space="preserve">This report suggests that the hybrid strategy will be driven by construction. Human Capital Theory (Becker, 1964) is clear vocational qualifications cannot be artificially copied by competitors Barney's (1991) VRIN resources are those which are greatly superior and retain an advantage. Every Aether incumbent who is added to the payroll is a further reduction in our client's acquisition and retention costs. Ulrich (1997) advocates HR and people decisions must be explicitly aligned with business outcomes, which means Aether in the first place must favour development over replacement. </w:t>
      </w:r>
    </w:p>
    <w:p w14:paraId="5BAF7E5D" w14:textId="77777777" w:rsidR="003C4A68" w:rsidRDefault="00000000">
      <w:pPr>
        <w:spacing w:after="119"/>
        <w:ind w:left="-5" w:right="-5"/>
      </w:pPr>
      <w:r>
        <w:rPr>
          <w:rFonts w:ascii="Calibri" w:eastAsia="Calibri" w:hAnsi="Calibri" w:cs="Calibri"/>
          <w:noProof/>
          <w:sz w:val="22"/>
        </w:rPr>
        <mc:AlternateContent>
          <mc:Choice Requires="wpg">
            <w:drawing>
              <wp:anchor distT="0" distB="0" distL="114300" distR="114300" simplePos="0" relativeHeight="251668480" behindDoc="0" locked="0" layoutInCell="1" allowOverlap="1" wp14:anchorId="32C9B287" wp14:editId="7ED2AC25">
                <wp:simplePos x="0" y="0"/>
                <wp:positionH relativeFrom="page">
                  <wp:posOffset>304800</wp:posOffset>
                </wp:positionH>
                <wp:positionV relativeFrom="page">
                  <wp:posOffset>310896</wp:posOffset>
                </wp:positionV>
                <wp:extent cx="6096" cy="10072116"/>
                <wp:effectExtent l="0" t="0" r="0" b="0"/>
                <wp:wrapSquare wrapText="bothSides"/>
                <wp:docPr id="13608" name="Group 13608"/>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26" name="Shape 16226"/>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3608" style="width:0.48pt;height:793.08pt;position:absolute;mso-position-horizontal-relative:page;mso-position-horizontal:absolute;margin-left:24pt;mso-position-vertical-relative:page;margin-top:24.48pt;" coordsize="60,100721">
                <v:shape id="Shape 16227"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69504" behindDoc="0" locked="0" layoutInCell="1" allowOverlap="1" wp14:anchorId="7323161A" wp14:editId="2413DDA8">
                <wp:simplePos x="0" y="0"/>
                <wp:positionH relativeFrom="page">
                  <wp:posOffset>7251193</wp:posOffset>
                </wp:positionH>
                <wp:positionV relativeFrom="page">
                  <wp:posOffset>310896</wp:posOffset>
                </wp:positionV>
                <wp:extent cx="6096" cy="10072116"/>
                <wp:effectExtent l="0" t="0" r="0" b="0"/>
                <wp:wrapSquare wrapText="bothSides"/>
                <wp:docPr id="13609" name="Group 13609"/>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28" name="Shape 16228"/>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3609" style="width:0.47998pt;height:793.08pt;position:absolute;mso-position-horizontal-relative:page;mso-position-horizontal:absolute;margin-left:570.96pt;mso-position-vertical-relative:page;margin-top:24.48pt;" coordsize="60,100721">
                <v:shape id="Shape 16229"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t>The only place these people can come from is by using 'fresh blood.' You just cannot get a lot of fresh blood with new ideas into the organization quickly enough A strong Employee Value Proposition (EVP) is made up of Aether as an enterprise undergoing change where ambitious, high-achieving professionals can do something significant. It attracts as well as pinpoints the ideal person, thereby avoiding heterogeneous candidates all trying to get in for heterogeneous reasons and reducing turnover from disappointment at an early stage (</w:t>
      </w:r>
      <w:proofErr w:type="spellStart"/>
      <w:r>
        <w:t>Minchington</w:t>
      </w:r>
      <w:proofErr w:type="spellEnd"/>
      <w:r>
        <w:t xml:space="preserve">, 2010; Rousseau, 1989) This eliminates the root of Aether's job-hopping problem. </w:t>
      </w:r>
    </w:p>
    <w:p w14:paraId="768FA055" w14:textId="77777777" w:rsidR="003C4A68" w:rsidRDefault="00000000">
      <w:pPr>
        <w:spacing w:after="432" w:line="259" w:lineRule="auto"/>
        <w:ind w:left="0" w:firstLine="0"/>
        <w:jc w:val="left"/>
      </w:pPr>
      <w:r>
        <w:t xml:space="preserve"> </w:t>
      </w:r>
    </w:p>
    <w:p w14:paraId="7F06C1F4" w14:textId="77777777" w:rsidR="003C4A68" w:rsidRDefault="00000000">
      <w:pPr>
        <w:pStyle w:val="Heading2"/>
        <w:spacing w:after="319"/>
        <w:ind w:left="-5"/>
      </w:pPr>
      <w:bookmarkStart w:id="6" w:name="_Toc15789"/>
      <w:r>
        <w:lastRenderedPageBreak/>
        <w:t xml:space="preserve">1.3 Mentorship, Leadership Pathways, and Lifelong Learning </w:t>
      </w:r>
      <w:bookmarkEnd w:id="6"/>
    </w:p>
    <w:p w14:paraId="414BAF31" w14:textId="77777777" w:rsidR="003C4A68" w:rsidRDefault="00000000">
      <w:pPr>
        <w:pStyle w:val="Heading3"/>
        <w:ind w:left="-5"/>
      </w:pPr>
      <w:bookmarkStart w:id="7" w:name="_Toc15790"/>
      <w:r>
        <w:t xml:space="preserve">1.3.1 Mentorship: Preserving Knowledge, Rebuilding Customer Excellence </w:t>
      </w:r>
      <w:bookmarkEnd w:id="7"/>
    </w:p>
    <w:p w14:paraId="0F8CC6E4" w14:textId="77777777" w:rsidR="003C4A68" w:rsidRDefault="00000000">
      <w:pPr>
        <w:spacing w:after="121"/>
        <w:ind w:left="-5" w:right="-5"/>
      </w:pPr>
      <w:r>
        <w:t xml:space="preserve">Every exit from Aether is more than a headcount. Long-serving staff take client understanding, technical skills and the informal relationship webs that underpin good customer service the causal pathway linking turnover to declining satisfaction scores. Structured mentorship is Aether’s most available lever to interrupt this cycle. </w:t>
      </w:r>
    </w:p>
    <w:p w14:paraId="26B6D55F" w14:textId="77777777" w:rsidR="003C4A68" w:rsidRDefault="00000000">
      <w:pPr>
        <w:spacing w:after="119"/>
        <w:ind w:left="-5" w:right="-5"/>
      </w:pPr>
      <w:r>
        <w:t xml:space="preserve">To combat this, traditional mentorship formalises the transfer of knowledge before it is lost, with particular focus on customer-facing teams where attrition has the most immediate impact on revenues (Barney, 1991). Reverse mentorship pairing junior employees who coach senior leaders on emerging technologies and changing customer expectations also combats Aether's flat growth with new market intelligence blended into top strategists' decision-making (Chaudhuri and Ghosh, 2012). As Clutterbuck (2004) warns, programmes without senior sponsorship and structural support are tokenistic; Aether’s mentorship initiative needs to be embedded in protected time, performance conversations and visible leadership commitment. </w:t>
      </w:r>
    </w:p>
    <w:p w14:paraId="4F246E5C" w14:textId="77777777" w:rsidR="003C4A68" w:rsidRDefault="00000000">
      <w:pPr>
        <w:spacing w:after="355" w:line="259" w:lineRule="auto"/>
        <w:ind w:left="0" w:firstLine="0"/>
        <w:jc w:val="left"/>
      </w:pPr>
      <w:r>
        <w:t xml:space="preserve"> </w:t>
      </w:r>
    </w:p>
    <w:bookmarkStart w:id="8" w:name="_Toc15791"/>
    <w:p w14:paraId="43AA98E3" w14:textId="77777777" w:rsidR="003C4A68" w:rsidRDefault="00000000">
      <w:pPr>
        <w:pStyle w:val="Heading3"/>
        <w:ind w:left="-5"/>
      </w:pPr>
      <w:r>
        <w:rPr>
          <w:rFonts w:ascii="Calibri" w:eastAsia="Calibri" w:hAnsi="Calibri" w:cs="Calibri"/>
          <w:noProof/>
          <w:sz w:val="22"/>
        </w:rPr>
        <mc:AlternateContent>
          <mc:Choice Requires="wpg">
            <w:drawing>
              <wp:anchor distT="0" distB="0" distL="114300" distR="114300" simplePos="0" relativeHeight="251670528" behindDoc="0" locked="0" layoutInCell="1" allowOverlap="1" wp14:anchorId="292B3366" wp14:editId="795FA0D3">
                <wp:simplePos x="0" y="0"/>
                <wp:positionH relativeFrom="page">
                  <wp:posOffset>304800</wp:posOffset>
                </wp:positionH>
                <wp:positionV relativeFrom="page">
                  <wp:posOffset>310896</wp:posOffset>
                </wp:positionV>
                <wp:extent cx="6096" cy="10072116"/>
                <wp:effectExtent l="0" t="0" r="0" b="0"/>
                <wp:wrapSquare wrapText="bothSides"/>
                <wp:docPr id="12571" name="Group 12571"/>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30" name="Shape 16230"/>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571" style="width:0.48pt;height:793.08pt;position:absolute;mso-position-horizontal-relative:page;mso-position-horizontal:absolute;margin-left:24pt;mso-position-vertical-relative:page;margin-top:24.48pt;" coordsize="60,100721">
                <v:shape id="Shape 16231"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71552" behindDoc="0" locked="0" layoutInCell="1" allowOverlap="1" wp14:anchorId="64A9B783" wp14:editId="5DF1F5FA">
                <wp:simplePos x="0" y="0"/>
                <wp:positionH relativeFrom="page">
                  <wp:posOffset>7251193</wp:posOffset>
                </wp:positionH>
                <wp:positionV relativeFrom="page">
                  <wp:posOffset>310896</wp:posOffset>
                </wp:positionV>
                <wp:extent cx="6096" cy="10072116"/>
                <wp:effectExtent l="0" t="0" r="0" b="0"/>
                <wp:wrapSquare wrapText="bothSides"/>
                <wp:docPr id="12572" name="Group 12572"/>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32" name="Shape 16232"/>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572" style="width:0.47998pt;height:793.08pt;position:absolute;mso-position-horizontal-relative:page;mso-position-horizontal:absolute;margin-left:570.96pt;mso-position-vertical-relative:page;margin-top:24.48pt;" coordsize="60,100721">
                <v:shape id="Shape 16233"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t xml:space="preserve">1.3.2 Leadership Pathways: Building the Pipeline That Drives Growth </w:t>
      </w:r>
      <w:bookmarkEnd w:id="8"/>
    </w:p>
    <w:p w14:paraId="02B811AA" w14:textId="77777777" w:rsidR="003C4A68" w:rsidRDefault="00000000">
      <w:pPr>
        <w:spacing w:after="119"/>
        <w:ind w:left="-5" w:right="-5"/>
      </w:pPr>
      <w:r>
        <w:t xml:space="preserve">Aether’s flat growth is in part a leadership pipeline problem. Given that no visible paths to advancement are present, the most ambitious and commercially savvy employees those who, incidentally, could help drive revenue recovery pursue career moves elsewhere. Succession planning (Armstrong and Taylor, 2020) is not therefore a discretionary activity but rather that of strategic necessity. </w:t>
      </w:r>
    </w:p>
    <w:p w14:paraId="6A8A4806" w14:textId="77777777" w:rsidR="003C4A68" w:rsidRDefault="00000000">
      <w:pPr>
        <w:ind w:left="-5" w:right="-5"/>
      </w:pPr>
      <w:r>
        <w:t xml:space="preserve">A High Potential (HiPo) program identifies employees who have the potential, aspiration and engagement to progress into senior positions. According to Michaels, Handfield-Jones, and Axelrod (2001), companies that invest consistently in the best talent outperform competitors on all business metrics. This development is structured by the 70-20-10 model (Lombardo and Eichinger, 1996): 70% through stretch </w:t>
      </w:r>
      <w:r>
        <w:lastRenderedPageBreak/>
        <w:t xml:space="preserve">assignments (e.g. leading cross-functional innovation projects, owning customer satisfaction initiatives), 20% through mentorship &amp; peer coaching, and only 10% via formal qualifications. It is this experiential bias that creates the growth mindset and customer orientation most essential to Aether’s needs. </w:t>
      </w:r>
    </w:p>
    <w:p w14:paraId="55FA00E5" w14:textId="77777777" w:rsidR="003C4A68" w:rsidRDefault="00000000">
      <w:pPr>
        <w:spacing w:after="7" w:line="259" w:lineRule="auto"/>
        <w:ind w:left="-5"/>
        <w:jc w:val="left"/>
      </w:pPr>
      <w:r>
        <w:rPr>
          <w:i/>
          <w:color w:val="0E2841"/>
          <w:sz w:val="18"/>
        </w:rPr>
        <w:t xml:space="preserve">Table 2: The 70-20-10 Model Applied to Aether Innovations (Lombardo and Eichinger, 1996) </w:t>
      </w:r>
    </w:p>
    <w:tbl>
      <w:tblPr>
        <w:tblStyle w:val="TableGrid"/>
        <w:tblW w:w="9028" w:type="dxa"/>
        <w:tblInd w:w="-1" w:type="dxa"/>
        <w:tblCellMar>
          <w:top w:w="215" w:type="dxa"/>
          <w:left w:w="121" w:type="dxa"/>
          <w:bottom w:w="0" w:type="dxa"/>
          <w:right w:w="58" w:type="dxa"/>
        </w:tblCellMar>
        <w:tblLook w:val="04A0" w:firstRow="1" w:lastRow="0" w:firstColumn="1" w:lastColumn="0" w:noHBand="0" w:noVBand="1"/>
      </w:tblPr>
      <w:tblGrid>
        <w:gridCol w:w="2502"/>
        <w:gridCol w:w="3000"/>
        <w:gridCol w:w="3526"/>
      </w:tblGrid>
      <w:tr w:rsidR="003C4A68" w14:paraId="65F03A89" w14:textId="77777777">
        <w:trPr>
          <w:trHeight w:val="780"/>
        </w:trPr>
        <w:tc>
          <w:tcPr>
            <w:tcW w:w="2501" w:type="dxa"/>
            <w:tcBorders>
              <w:top w:val="single" w:sz="2" w:space="0" w:color="000000"/>
              <w:left w:val="single" w:sz="2" w:space="0" w:color="000000"/>
              <w:bottom w:val="single" w:sz="32" w:space="0" w:color="FFFFFF"/>
              <w:right w:val="single" w:sz="2" w:space="0" w:color="000000"/>
            </w:tcBorders>
          </w:tcPr>
          <w:p w14:paraId="7301458D" w14:textId="77777777" w:rsidR="003C4A68" w:rsidRDefault="00000000">
            <w:pPr>
              <w:spacing w:after="0" w:line="259" w:lineRule="auto"/>
              <w:ind w:left="0" w:firstLine="0"/>
              <w:jc w:val="left"/>
            </w:pPr>
            <w:r>
              <w:rPr>
                <w:b/>
                <w:sz w:val="22"/>
              </w:rPr>
              <w:t>Component</w:t>
            </w:r>
            <w:r>
              <w:t xml:space="preserve"> </w:t>
            </w:r>
          </w:p>
        </w:tc>
        <w:tc>
          <w:tcPr>
            <w:tcW w:w="3000" w:type="dxa"/>
            <w:tcBorders>
              <w:top w:val="single" w:sz="2" w:space="0" w:color="000000"/>
              <w:left w:val="single" w:sz="2" w:space="0" w:color="000000"/>
              <w:bottom w:val="single" w:sz="32" w:space="0" w:color="FFFFFF"/>
              <w:right w:val="single" w:sz="2" w:space="0" w:color="000000"/>
            </w:tcBorders>
          </w:tcPr>
          <w:p w14:paraId="12D635CD" w14:textId="77777777" w:rsidR="003C4A68" w:rsidRDefault="00000000">
            <w:pPr>
              <w:spacing w:after="0" w:line="259" w:lineRule="auto"/>
              <w:ind w:left="0" w:firstLine="0"/>
              <w:jc w:val="left"/>
            </w:pPr>
            <w:r>
              <w:rPr>
                <w:b/>
                <w:sz w:val="22"/>
              </w:rPr>
              <w:t>Description</w:t>
            </w:r>
            <w:r>
              <w:t xml:space="preserve"> </w:t>
            </w:r>
          </w:p>
        </w:tc>
        <w:tc>
          <w:tcPr>
            <w:tcW w:w="3526" w:type="dxa"/>
            <w:tcBorders>
              <w:top w:val="single" w:sz="2" w:space="0" w:color="000000"/>
              <w:left w:val="single" w:sz="2" w:space="0" w:color="000000"/>
              <w:bottom w:val="single" w:sz="32" w:space="0" w:color="FFFFFF"/>
              <w:right w:val="single" w:sz="2" w:space="0" w:color="000000"/>
            </w:tcBorders>
          </w:tcPr>
          <w:p w14:paraId="3EDAAB73" w14:textId="77777777" w:rsidR="003C4A68" w:rsidRDefault="00000000">
            <w:pPr>
              <w:spacing w:after="0" w:line="259" w:lineRule="auto"/>
              <w:ind w:left="0" w:firstLine="0"/>
              <w:jc w:val="left"/>
            </w:pPr>
            <w:r>
              <w:rPr>
                <w:b/>
                <w:sz w:val="22"/>
              </w:rPr>
              <w:t>Direct Impact on Aether</w:t>
            </w:r>
            <w:r>
              <w:t xml:space="preserve"> </w:t>
            </w:r>
          </w:p>
        </w:tc>
      </w:tr>
      <w:tr w:rsidR="003C4A68" w14:paraId="5C5358E3" w14:textId="77777777">
        <w:trPr>
          <w:trHeight w:val="1541"/>
        </w:trPr>
        <w:tc>
          <w:tcPr>
            <w:tcW w:w="2501" w:type="dxa"/>
            <w:tcBorders>
              <w:top w:val="single" w:sz="32" w:space="0" w:color="FFFFFF"/>
              <w:left w:val="single" w:sz="2" w:space="0" w:color="000000"/>
              <w:bottom w:val="single" w:sz="32" w:space="0" w:color="FFFFFF"/>
              <w:right w:val="single" w:sz="2" w:space="0" w:color="000000"/>
            </w:tcBorders>
          </w:tcPr>
          <w:p w14:paraId="4C0278DA" w14:textId="77777777" w:rsidR="003C4A68" w:rsidRDefault="00000000">
            <w:pPr>
              <w:spacing w:after="0" w:line="259" w:lineRule="auto"/>
              <w:ind w:left="0" w:firstLine="0"/>
              <w:jc w:val="left"/>
            </w:pPr>
            <w:r>
              <w:rPr>
                <w:sz w:val="22"/>
              </w:rPr>
              <w:t>70% Experiential</w:t>
            </w:r>
            <w:r>
              <w:t xml:space="preserve"> </w:t>
            </w:r>
          </w:p>
        </w:tc>
        <w:tc>
          <w:tcPr>
            <w:tcW w:w="3000" w:type="dxa"/>
            <w:tcBorders>
              <w:top w:val="single" w:sz="32" w:space="0" w:color="FFFFFF"/>
              <w:left w:val="single" w:sz="2" w:space="0" w:color="000000"/>
              <w:bottom w:val="single" w:sz="32" w:space="0" w:color="FFFFFF"/>
              <w:right w:val="single" w:sz="2" w:space="0" w:color="000000"/>
            </w:tcBorders>
          </w:tcPr>
          <w:p w14:paraId="15E3304B" w14:textId="77777777" w:rsidR="003C4A68" w:rsidRDefault="00000000">
            <w:pPr>
              <w:spacing w:after="0" w:line="259" w:lineRule="auto"/>
              <w:ind w:left="0" w:firstLine="0"/>
            </w:pPr>
            <w:r>
              <w:rPr>
                <w:sz w:val="22"/>
              </w:rPr>
              <w:t>Stretch assignments, acting leadership roles</w:t>
            </w:r>
            <w:r>
              <w:t xml:space="preserve"> </w:t>
            </w:r>
          </w:p>
        </w:tc>
        <w:tc>
          <w:tcPr>
            <w:tcW w:w="3526" w:type="dxa"/>
            <w:tcBorders>
              <w:top w:val="single" w:sz="32" w:space="0" w:color="FFFFFF"/>
              <w:left w:val="single" w:sz="2" w:space="0" w:color="000000"/>
              <w:bottom w:val="single" w:sz="32" w:space="0" w:color="FFFFFF"/>
              <w:right w:val="single" w:sz="2" w:space="0" w:color="000000"/>
            </w:tcBorders>
          </w:tcPr>
          <w:p w14:paraId="47C072B4" w14:textId="77777777" w:rsidR="003C4A68" w:rsidRDefault="00000000">
            <w:pPr>
              <w:spacing w:after="16" w:line="358" w:lineRule="auto"/>
              <w:ind w:left="0" w:firstLine="0"/>
            </w:pPr>
            <w:r>
              <w:rPr>
                <w:sz w:val="22"/>
              </w:rPr>
              <w:t xml:space="preserve">Builds growth capability; develops customer-oriented leaders; </w:t>
            </w:r>
          </w:p>
          <w:p w14:paraId="3CFD4BD7" w14:textId="77777777" w:rsidR="003C4A68" w:rsidRDefault="00000000">
            <w:pPr>
              <w:spacing w:after="0" w:line="259" w:lineRule="auto"/>
              <w:ind w:left="0" w:firstLine="0"/>
              <w:jc w:val="left"/>
            </w:pPr>
            <w:r>
              <w:rPr>
                <w:sz w:val="22"/>
              </w:rPr>
              <w:t>retains ambitious talent</w:t>
            </w:r>
            <w:r>
              <w:t xml:space="preserve"> </w:t>
            </w:r>
          </w:p>
        </w:tc>
      </w:tr>
      <w:tr w:rsidR="003C4A68" w14:paraId="0BC3EF63" w14:textId="77777777">
        <w:trPr>
          <w:trHeight w:val="1541"/>
        </w:trPr>
        <w:tc>
          <w:tcPr>
            <w:tcW w:w="2501" w:type="dxa"/>
            <w:tcBorders>
              <w:top w:val="single" w:sz="32" w:space="0" w:color="FFFFFF"/>
              <w:left w:val="single" w:sz="2" w:space="0" w:color="000000"/>
              <w:bottom w:val="single" w:sz="32" w:space="0" w:color="FFFFFF"/>
              <w:right w:val="single" w:sz="2" w:space="0" w:color="000000"/>
            </w:tcBorders>
          </w:tcPr>
          <w:p w14:paraId="0485D7E2" w14:textId="77777777" w:rsidR="003C4A68" w:rsidRDefault="00000000">
            <w:pPr>
              <w:spacing w:after="0" w:line="259" w:lineRule="auto"/>
              <w:ind w:left="0" w:firstLine="0"/>
              <w:jc w:val="left"/>
            </w:pPr>
            <w:r>
              <w:rPr>
                <w:sz w:val="22"/>
              </w:rPr>
              <w:t>20% Social</w:t>
            </w:r>
            <w:r>
              <w:t xml:space="preserve"> </w:t>
            </w:r>
          </w:p>
        </w:tc>
        <w:tc>
          <w:tcPr>
            <w:tcW w:w="3000" w:type="dxa"/>
            <w:tcBorders>
              <w:top w:val="single" w:sz="32" w:space="0" w:color="FFFFFF"/>
              <w:left w:val="single" w:sz="2" w:space="0" w:color="000000"/>
              <w:bottom w:val="single" w:sz="32" w:space="0" w:color="FFFFFF"/>
              <w:right w:val="single" w:sz="2" w:space="0" w:color="000000"/>
            </w:tcBorders>
          </w:tcPr>
          <w:p w14:paraId="1DB79D4B" w14:textId="77777777" w:rsidR="003C4A68" w:rsidRDefault="00000000">
            <w:pPr>
              <w:spacing w:after="0" w:line="259" w:lineRule="auto"/>
              <w:ind w:left="0" w:firstLine="0"/>
            </w:pPr>
            <w:r>
              <w:rPr>
                <w:sz w:val="22"/>
              </w:rPr>
              <w:t>Mentorship, peer learning, executive shadowing</w:t>
            </w:r>
            <w:r>
              <w:t xml:space="preserve"> </w:t>
            </w:r>
          </w:p>
        </w:tc>
        <w:tc>
          <w:tcPr>
            <w:tcW w:w="3526" w:type="dxa"/>
            <w:tcBorders>
              <w:top w:val="single" w:sz="32" w:space="0" w:color="FFFFFF"/>
              <w:left w:val="single" w:sz="2" w:space="0" w:color="000000"/>
              <w:bottom w:val="single" w:sz="32" w:space="0" w:color="FFFFFF"/>
              <w:right w:val="single" w:sz="2" w:space="0" w:color="000000"/>
            </w:tcBorders>
          </w:tcPr>
          <w:p w14:paraId="281A15D2" w14:textId="77777777" w:rsidR="003C4A68" w:rsidRDefault="00000000">
            <w:pPr>
              <w:spacing w:after="0" w:line="259" w:lineRule="auto"/>
              <w:ind w:left="0" w:right="58" w:firstLine="0"/>
            </w:pPr>
            <w:r>
              <w:rPr>
                <w:sz w:val="22"/>
              </w:rPr>
              <w:t xml:space="preserve">Deepens engagement; transfers tacit knowledge; enables </w:t>
            </w:r>
            <w:proofErr w:type="spellStart"/>
            <w:r>
              <w:rPr>
                <w:sz w:val="22"/>
              </w:rPr>
              <w:t>crossteam</w:t>
            </w:r>
            <w:proofErr w:type="spellEnd"/>
            <w:r>
              <w:rPr>
                <w:sz w:val="22"/>
              </w:rPr>
              <w:t xml:space="preserve"> innovation</w:t>
            </w:r>
            <w:r>
              <w:t xml:space="preserve"> </w:t>
            </w:r>
          </w:p>
        </w:tc>
      </w:tr>
      <w:tr w:rsidR="003C4A68" w14:paraId="140B9F47" w14:textId="77777777">
        <w:trPr>
          <w:trHeight w:val="1511"/>
        </w:trPr>
        <w:tc>
          <w:tcPr>
            <w:tcW w:w="2501" w:type="dxa"/>
            <w:tcBorders>
              <w:top w:val="single" w:sz="32" w:space="0" w:color="FFFFFF"/>
              <w:left w:val="single" w:sz="2" w:space="0" w:color="000000"/>
              <w:bottom w:val="single" w:sz="2" w:space="0" w:color="000000"/>
              <w:right w:val="single" w:sz="2" w:space="0" w:color="000000"/>
            </w:tcBorders>
          </w:tcPr>
          <w:p w14:paraId="76C35120" w14:textId="77777777" w:rsidR="003C4A68" w:rsidRDefault="00000000">
            <w:pPr>
              <w:spacing w:after="0" w:line="259" w:lineRule="auto"/>
              <w:ind w:left="0" w:firstLine="0"/>
              <w:jc w:val="left"/>
            </w:pPr>
            <w:r>
              <w:rPr>
                <w:sz w:val="22"/>
              </w:rPr>
              <w:t>10% Formal</w:t>
            </w:r>
            <w:r>
              <w:t xml:space="preserve"> </w:t>
            </w:r>
          </w:p>
        </w:tc>
        <w:tc>
          <w:tcPr>
            <w:tcW w:w="3000" w:type="dxa"/>
            <w:tcBorders>
              <w:top w:val="single" w:sz="32" w:space="0" w:color="FFFFFF"/>
              <w:left w:val="single" w:sz="2" w:space="0" w:color="000000"/>
              <w:bottom w:val="single" w:sz="2" w:space="0" w:color="000000"/>
              <w:right w:val="single" w:sz="2" w:space="0" w:color="000000"/>
            </w:tcBorders>
          </w:tcPr>
          <w:p w14:paraId="3E0C2040" w14:textId="77777777" w:rsidR="003C4A68" w:rsidRDefault="00000000">
            <w:pPr>
              <w:spacing w:after="0" w:line="259" w:lineRule="auto"/>
              <w:ind w:left="0" w:right="61" w:firstLine="0"/>
            </w:pPr>
            <w:r>
              <w:rPr>
                <w:sz w:val="22"/>
              </w:rPr>
              <w:t>MBA sponsorship, certifications, leadership programmes</w:t>
            </w:r>
            <w:r>
              <w:t xml:space="preserve"> </w:t>
            </w:r>
          </w:p>
        </w:tc>
        <w:tc>
          <w:tcPr>
            <w:tcW w:w="3526" w:type="dxa"/>
            <w:tcBorders>
              <w:top w:val="single" w:sz="32" w:space="0" w:color="FFFFFF"/>
              <w:left w:val="single" w:sz="2" w:space="0" w:color="000000"/>
              <w:bottom w:val="single" w:sz="2" w:space="0" w:color="000000"/>
              <w:right w:val="single" w:sz="2" w:space="0" w:color="000000"/>
            </w:tcBorders>
          </w:tcPr>
          <w:p w14:paraId="723E192E" w14:textId="77777777" w:rsidR="003C4A68" w:rsidRDefault="00000000">
            <w:pPr>
              <w:spacing w:after="13" w:line="358" w:lineRule="auto"/>
              <w:ind w:left="0" w:firstLine="0"/>
            </w:pPr>
            <w:r>
              <w:rPr>
                <w:sz w:val="22"/>
              </w:rPr>
              <w:t xml:space="preserve">Signals long-term investment; strengthens EVP; reduces </w:t>
            </w:r>
          </w:p>
          <w:p w14:paraId="5358E30F" w14:textId="77777777" w:rsidR="003C4A68" w:rsidRDefault="00000000">
            <w:pPr>
              <w:spacing w:after="0" w:line="259" w:lineRule="auto"/>
              <w:ind w:left="0" w:firstLine="0"/>
              <w:jc w:val="left"/>
            </w:pPr>
            <w:r>
              <w:rPr>
                <w:sz w:val="22"/>
              </w:rPr>
              <w:t>turnover risk</w:t>
            </w:r>
            <w:r>
              <w:t xml:space="preserve"> </w:t>
            </w:r>
          </w:p>
        </w:tc>
      </w:tr>
    </w:tbl>
    <w:p w14:paraId="1CEA1EB1" w14:textId="77777777" w:rsidR="003C4A68" w:rsidRDefault="00000000">
      <w:pPr>
        <w:spacing w:after="350" w:line="259" w:lineRule="auto"/>
        <w:ind w:left="0" w:firstLine="0"/>
        <w:jc w:val="left"/>
      </w:pPr>
      <w:r>
        <w:t xml:space="preserve"> </w:t>
      </w:r>
    </w:p>
    <w:bookmarkStart w:id="9" w:name="_Toc15792"/>
    <w:p w14:paraId="5CA8331B" w14:textId="77777777" w:rsidR="003C4A68" w:rsidRDefault="00000000">
      <w:pPr>
        <w:pStyle w:val="Heading3"/>
        <w:ind w:left="-5"/>
      </w:pPr>
      <w:r>
        <w:rPr>
          <w:rFonts w:ascii="Calibri" w:eastAsia="Calibri" w:hAnsi="Calibri" w:cs="Calibri"/>
          <w:noProof/>
          <w:sz w:val="22"/>
        </w:rPr>
        <mc:AlternateContent>
          <mc:Choice Requires="wpg">
            <w:drawing>
              <wp:anchor distT="0" distB="0" distL="114300" distR="114300" simplePos="0" relativeHeight="251672576" behindDoc="0" locked="0" layoutInCell="1" allowOverlap="1" wp14:anchorId="26766C69" wp14:editId="2829C3E6">
                <wp:simplePos x="0" y="0"/>
                <wp:positionH relativeFrom="page">
                  <wp:posOffset>304800</wp:posOffset>
                </wp:positionH>
                <wp:positionV relativeFrom="page">
                  <wp:posOffset>310896</wp:posOffset>
                </wp:positionV>
                <wp:extent cx="6096" cy="10072116"/>
                <wp:effectExtent l="0" t="0" r="0" b="0"/>
                <wp:wrapSquare wrapText="bothSides"/>
                <wp:docPr id="14484" name="Group 14484"/>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34" name="Shape 16234"/>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4484" style="width:0.48pt;height:793.08pt;position:absolute;mso-position-horizontal-relative:page;mso-position-horizontal:absolute;margin-left:24pt;mso-position-vertical-relative:page;margin-top:24.48pt;" coordsize="60,100721">
                <v:shape id="Shape 16235"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73600" behindDoc="0" locked="0" layoutInCell="1" allowOverlap="1" wp14:anchorId="654D1A88" wp14:editId="59FFB44A">
                <wp:simplePos x="0" y="0"/>
                <wp:positionH relativeFrom="page">
                  <wp:posOffset>7251193</wp:posOffset>
                </wp:positionH>
                <wp:positionV relativeFrom="page">
                  <wp:posOffset>310896</wp:posOffset>
                </wp:positionV>
                <wp:extent cx="6096" cy="10072116"/>
                <wp:effectExtent l="0" t="0" r="0" b="0"/>
                <wp:wrapSquare wrapText="bothSides"/>
                <wp:docPr id="14485" name="Group 14485"/>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36" name="Shape 16236"/>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4485" style="width:0.47998pt;height:793.08pt;position:absolute;mso-position-horizontal-relative:page;mso-position-horizontal:absolute;margin-left:570.96pt;mso-position-vertical-relative:page;margin-top:24.48pt;" coordsize="60,100721">
                <v:shape id="Shape 16237"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t xml:space="preserve">1.3.3 Lifelong Learning: Rebuilding Innovation Capacity </w:t>
      </w:r>
      <w:bookmarkEnd w:id="9"/>
    </w:p>
    <w:p w14:paraId="3BBD8599" w14:textId="77777777" w:rsidR="003C4A68" w:rsidRDefault="00000000">
      <w:pPr>
        <w:spacing w:after="119"/>
        <w:ind w:left="-5" w:right="-5"/>
      </w:pPr>
      <w:r>
        <w:t xml:space="preserve">Aether’s flat growth is, ultimately, an innovation problem. The Learning Organisation, by Senge (1990), asserts many firms which adapt and learn over time are uniquely positioned to recreate the customer value which new engine Aether has lost. Creating a learning culture requires structural investment: a dedicated L&amp;D budget (2 -3% of payroll is the technology sector benchmark), accessible digital platforms, protected development time, and not latching onto knowledge-sharing. According to the CIPD (2023), organizations with strong learning cultures sustain 30 -50% higher retention rates, directly responding to Aether's turnover crisis while reinstalling the innovative capability that sustains growth. But critically, Aether must build the customer </w:t>
      </w:r>
      <w:r>
        <w:lastRenderedPageBreak/>
        <w:t xml:space="preserve">experience competencies into its learning agenda and not just technical skills: if employees cannot be empowered to serve customers excellently, technology-savvy employees alone cannot reverse any such decline in satisfaction (WEF 2023). </w:t>
      </w:r>
    </w:p>
    <w:p w14:paraId="70BB22E9" w14:textId="77777777" w:rsidR="003C4A68" w:rsidRDefault="00000000">
      <w:pPr>
        <w:spacing w:after="352" w:line="259" w:lineRule="auto"/>
        <w:ind w:left="0" w:firstLine="0"/>
        <w:jc w:val="left"/>
      </w:pPr>
      <w:r>
        <w:t xml:space="preserve"> </w:t>
      </w:r>
    </w:p>
    <w:p w14:paraId="563726CD" w14:textId="77777777" w:rsidR="003C4A68" w:rsidRDefault="00000000">
      <w:pPr>
        <w:pStyle w:val="Heading3"/>
        <w:ind w:left="-5"/>
      </w:pPr>
      <w:bookmarkStart w:id="10" w:name="_Toc15793"/>
      <w:r>
        <w:t xml:space="preserve">1.3.4 Integration: Solving Aether's Three Problems Simultaneously </w:t>
      </w:r>
      <w:bookmarkEnd w:id="10"/>
    </w:p>
    <w:p w14:paraId="1CD85E84" w14:textId="77777777" w:rsidR="003C4A68" w:rsidRDefault="00000000">
      <w:pPr>
        <w:spacing w:after="64"/>
        <w:ind w:left="-5" w:right="-5"/>
      </w:pPr>
      <w:r>
        <w:t xml:space="preserve">The argument of this report is not that any one of those will save Aether Innovations but rather these are practices type that an integrated ecosystem and each supports one another. Massively dictionary, mutually supporting HR practises do not disconnected medications organised results better, and longer lasting (MacDuffie 1995). This integration is made explicit in Table 3. </w:t>
      </w:r>
    </w:p>
    <w:p w14:paraId="33AEB1D7" w14:textId="77777777" w:rsidR="003C4A68" w:rsidRDefault="00000000">
      <w:pPr>
        <w:spacing w:after="7" w:line="259" w:lineRule="auto"/>
        <w:ind w:left="-5"/>
        <w:jc w:val="left"/>
      </w:pPr>
      <w:r>
        <w:rPr>
          <w:rFonts w:ascii="Calibri" w:eastAsia="Calibri" w:hAnsi="Calibri" w:cs="Calibri"/>
          <w:noProof/>
          <w:sz w:val="22"/>
        </w:rPr>
        <mc:AlternateContent>
          <mc:Choice Requires="wpg">
            <w:drawing>
              <wp:anchor distT="0" distB="0" distL="114300" distR="114300" simplePos="0" relativeHeight="251674624" behindDoc="0" locked="0" layoutInCell="1" allowOverlap="1" wp14:anchorId="41B44F67" wp14:editId="3D56F810">
                <wp:simplePos x="0" y="0"/>
                <wp:positionH relativeFrom="page">
                  <wp:posOffset>304800</wp:posOffset>
                </wp:positionH>
                <wp:positionV relativeFrom="page">
                  <wp:posOffset>310896</wp:posOffset>
                </wp:positionV>
                <wp:extent cx="6096" cy="10072116"/>
                <wp:effectExtent l="0" t="0" r="0" b="0"/>
                <wp:wrapSquare wrapText="bothSides"/>
                <wp:docPr id="15295" name="Group 15295"/>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38" name="Shape 16238"/>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5295" style="width:0.48pt;height:793.08pt;position:absolute;mso-position-horizontal-relative:page;mso-position-horizontal:absolute;margin-left:24pt;mso-position-vertical-relative:page;margin-top:24.48pt;" coordsize="60,100721">
                <v:shape id="Shape 16239"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75648" behindDoc="0" locked="0" layoutInCell="1" allowOverlap="1" wp14:anchorId="4C7748E4" wp14:editId="17342CD2">
                <wp:simplePos x="0" y="0"/>
                <wp:positionH relativeFrom="page">
                  <wp:posOffset>7251193</wp:posOffset>
                </wp:positionH>
                <wp:positionV relativeFrom="page">
                  <wp:posOffset>310896</wp:posOffset>
                </wp:positionV>
                <wp:extent cx="6096" cy="10072116"/>
                <wp:effectExtent l="0" t="0" r="0" b="0"/>
                <wp:wrapSquare wrapText="bothSides"/>
                <wp:docPr id="15296" name="Group 15296"/>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40" name="Shape 16240"/>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5296" style="width:0.47998pt;height:793.08pt;position:absolute;mso-position-horizontal-relative:page;mso-position-horizontal:absolute;margin-left:570.96pt;mso-position-vertical-relative:page;margin-top:24.48pt;" coordsize="60,100721">
                <v:shape id="Shape 16241"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i/>
          <w:color w:val="0E2841"/>
          <w:sz w:val="18"/>
        </w:rPr>
        <w:t xml:space="preserve">Table 3: Talent Ecosystem Integration Against Aether Innovations' Three Core Business Problems </w:t>
      </w:r>
    </w:p>
    <w:tbl>
      <w:tblPr>
        <w:tblStyle w:val="TableGrid"/>
        <w:tblW w:w="9028" w:type="dxa"/>
        <w:tblInd w:w="-1" w:type="dxa"/>
        <w:tblCellMar>
          <w:top w:w="216" w:type="dxa"/>
          <w:left w:w="121" w:type="dxa"/>
          <w:bottom w:w="0" w:type="dxa"/>
          <w:right w:w="95" w:type="dxa"/>
        </w:tblCellMar>
        <w:tblLook w:val="04A0" w:firstRow="1" w:lastRow="0" w:firstColumn="1" w:lastColumn="0" w:noHBand="0" w:noVBand="1"/>
      </w:tblPr>
      <w:tblGrid>
        <w:gridCol w:w="2002"/>
        <w:gridCol w:w="2343"/>
        <w:gridCol w:w="2340"/>
        <w:gridCol w:w="2343"/>
      </w:tblGrid>
      <w:tr w:rsidR="003C4A68" w14:paraId="6BF08DE3" w14:textId="77777777">
        <w:trPr>
          <w:trHeight w:val="1162"/>
        </w:trPr>
        <w:tc>
          <w:tcPr>
            <w:tcW w:w="2002" w:type="dxa"/>
            <w:tcBorders>
              <w:top w:val="single" w:sz="2" w:space="0" w:color="000000"/>
              <w:left w:val="single" w:sz="2" w:space="0" w:color="000000"/>
              <w:bottom w:val="single" w:sz="2" w:space="0" w:color="000000"/>
              <w:right w:val="single" w:sz="2" w:space="0" w:color="000000"/>
            </w:tcBorders>
          </w:tcPr>
          <w:p w14:paraId="4FE94E4F" w14:textId="77777777" w:rsidR="003C4A68" w:rsidRDefault="00000000">
            <w:pPr>
              <w:spacing w:after="0" w:line="259" w:lineRule="auto"/>
              <w:ind w:left="0" w:firstLine="0"/>
              <w:jc w:val="left"/>
            </w:pPr>
            <w:r>
              <w:rPr>
                <w:b/>
                <w:sz w:val="22"/>
              </w:rPr>
              <w:t>Practice</w:t>
            </w:r>
            <w:r>
              <w:t xml:space="preserve"> </w:t>
            </w:r>
          </w:p>
        </w:tc>
        <w:tc>
          <w:tcPr>
            <w:tcW w:w="2343" w:type="dxa"/>
            <w:tcBorders>
              <w:top w:val="single" w:sz="2" w:space="0" w:color="000000"/>
              <w:left w:val="single" w:sz="2" w:space="0" w:color="000000"/>
              <w:bottom w:val="single" w:sz="2" w:space="0" w:color="000000"/>
              <w:right w:val="single" w:sz="2" w:space="0" w:color="000000"/>
            </w:tcBorders>
          </w:tcPr>
          <w:p w14:paraId="446E184C" w14:textId="77777777" w:rsidR="003C4A68" w:rsidRDefault="00000000">
            <w:pPr>
              <w:spacing w:after="0" w:line="259" w:lineRule="auto"/>
              <w:ind w:left="0" w:firstLine="0"/>
              <w:jc w:val="left"/>
            </w:pPr>
            <w:r>
              <w:rPr>
                <w:b/>
                <w:sz w:val="22"/>
              </w:rPr>
              <w:t>Reduces Turnover</w:t>
            </w:r>
            <w:r>
              <w:t xml:space="preserve"> </w:t>
            </w:r>
          </w:p>
        </w:tc>
        <w:tc>
          <w:tcPr>
            <w:tcW w:w="2340" w:type="dxa"/>
            <w:tcBorders>
              <w:top w:val="single" w:sz="2" w:space="0" w:color="000000"/>
              <w:left w:val="single" w:sz="2" w:space="0" w:color="000000"/>
              <w:bottom w:val="single" w:sz="32" w:space="0" w:color="FFFFFF"/>
              <w:right w:val="single" w:sz="2" w:space="0" w:color="000000"/>
            </w:tcBorders>
          </w:tcPr>
          <w:p w14:paraId="4EA6EF27" w14:textId="77777777" w:rsidR="003C4A68" w:rsidRDefault="00000000">
            <w:pPr>
              <w:spacing w:after="0" w:line="259" w:lineRule="auto"/>
              <w:ind w:left="0" w:firstLine="0"/>
              <w:jc w:val="left"/>
            </w:pPr>
            <w:r>
              <w:rPr>
                <w:b/>
                <w:sz w:val="22"/>
              </w:rPr>
              <w:t>Restores Growth</w:t>
            </w:r>
            <w:r>
              <w:t xml:space="preserve"> </w:t>
            </w:r>
          </w:p>
        </w:tc>
        <w:tc>
          <w:tcPr>
            <w:tcW w:w="2343" w:type="dxa"/>
            <w:tcBorders>
              <w:top w:val="single" w:sz="2" w:space="0" w:color="000000"/>
              <w:left w:val="single" w:sz="2" w:space="0" w:color="000000"/>
              <w:bottom w:val="single" w:sz="32" w:space="0" w:color="FFFFFF"/>
              <w:right w:val="single" w:sz="2" w:space="0" w:color="000000"/>
            </w:tcBorders>
          </w:tcPr>
          <w:p w14:paraId="7531994F" w14:textId="77777777" w:rsidR="003C4A68" w:rsidRDefault="00000000">
            <w:pPr>
              <w:spacing w:after="118" w:line="259" w:lineRule="auto"/>
              <w:ind w:left="0" w:firstLine="0"/>
              <w:jc w:val="left"/>
            </w:pPr>
            <w:r>
              <w:rPr>
                <w:b/>
                <w:sz w:val="22"/>
              </w:rPr>
              <w:t xml:space="preserve">Improves Customer </w:t>
            </w:r>
          </w:p>
          <w:p w14:paraId="0AD36C5B" w14:textId="77777777" w:rsidR="003C4A68" w:rsidRDefault="00000000">
            <w:pPr>
              <w:spacing w:after="0" w:line="259" w:lineRule="auto"/>
              <w:ind w:left="0" w:firstLine="0"/>
              <w:jc w:val="left"/>
            </w:pPr>
            <w:r>
              <w:rPr>
                <w:b/>
                <w:sz w:val="22"/>
              </w:rPr>
              <w:t>Satisfaction</w:t>
            </w:r>
            <w:r>
              <w:t xml:space="preserve"> </w:t>
            </w:r>
          </w:p>
        </w:tc>
      </w:tr>
      <w:tr w:rsidR="003C4A68" w14:paraId="0813F1D5" w14:textId="77777777">
        <w:trPr>
          <w:trHeight w:val="1541"/>
        </w:trPr>
        <w:tc>
          <w:tcPr>
            <w:tcW w:w="2002" w:type="dxa"/>
            <w:tcBorders>
              <w:top w:val="single" w:sz="2" w:space="0" w:color="000000"/>
              <w:left w:val="single" w:sz="2" w:space="0" w:color="000000"/>
              <w:bottom w:val="single" w:sz="2" w:space="0" w:color="000000"/>
              <w:right w:val="single" w:sz="2" w:space="0" w:color="000000"/>
            </w:tcBorders>
          </w:tcPr>
          <w:p w14:paraId="06802B77" w14:textId="77777777" w:rsidR="003C4A68" w:rsidRDefault="00000000">
            <w:pPr>
              <w:spacing w:after="118" w:line="259" w:lineRule="auto"/>
              <w:ind w:left="0" w:firstLine="0"/>
              <w:jc w:val="left"/>
            </w:pPr>
            <w:r>
              <w:rPr>
                <w:sz w:val="22"/>
              </w:rPr>
              <w:t xml:space="preserve">Build-Dominant </w:t>
            </w:r>
          </w:p>
          <w:p w14:paraId="7E101A37" w14:textId="77777777" w:rsidR="003C4A68" w:rsidRDefault="00000000">
            <w:pPr>
              <w:spacing w:after="0" w:line="259" w:lineRule="auto"/>
              <w:ind w:left="0" w:firstLine="0"/>
              <w:jc w:val="left"/>
            </w:pPr>
            <w:r>
              <w:rPr>
                <w:sz w:val="22"/>
              </w:rPr>
              <w:t>Strategy + EVP</w:t>
            </w:r>
            <w:r>
              <w:t xml:space="preserve"> </w:t>
            </w:r>
          </w:p>
        </w:tc>
        <w:tc>
          <w:tcPr>
            <w:tcW w:w="2343" w:type="dxa"/>
            <w:tcBorders>
              <w:top w:val="single" w:sz="2" w:space="0" w:color="000000"/>
              <w:left w:val="single" w:sz="2" w:space="0" w:color="000000"/>
              <w:bottom w:val="single" w:sz="2" w:space="0" w:color="000000"/>
              <w:right w:val="single" w:sz="2" w:space="0" w:color="000000"/>
            </w:tcBorders>
          </w:tcPr>
          <w:p w14:paraId="4ACAB3B4" w14:textId="77777777" w:rsidR="003C4A68" w:rsidRDefault="00000000">
            <w:pPr>
              <w:spacing w:after="0" w:line="259" w:lineRule="auto"/>
              <w:ind w:left="0" w:firstLine="0"/>
              <w:jc w:val="left"/>
            </w:pPr>
            <w:r>
              <w:rPr>
                <w:sz w:val="22"/>
              </w:rPr>
              <w:t>Attracts aligned candidates; deepens embeddedness</w:t>
            </w:r>
            <w:r>
              <w:t xml:space="preserve"> </w:t>
            </w:r>
          </w:p>
        </w:tc>
        <w:tc>
          <w:tcPr>
            <w:tcW w:w="2340" w:type="dxa"/>
            <w:tcBorders>
              <w:top w:val="single" w:sz="32" w:space="0" w:color="FFFFFF"/>
              <w:left w:val="single" w:sz="2" w:space="0" w:color="000000"/>
              <w:bottom w:val="single" w:sz="32" w:space="0" w:color="FFFFFF"/>
              <w:right w:val="single" w:sz="2" w:space="0" w:color="000000"/>
            </w:tcBorders>
          </w:tcPr>
          <w:p w14:paraId="5D5CE6D1" w14:textId="77777777" w:rsidR="003C4A68" w:rsidRDefault="00000000">
            <w:pPr>
              <w:spacing w:after="0" w:line="259" w:lineRule="auto"/>
              <w:ind w:left="0" w:firstLine="0"/>
              <w:jc w:val="left"/>
            </w:pPr>
            <w:r>
              <w:rPr>
                <w:sz w:val="22"/>
              </w:rPr>
              <w:t>Builds firm-specific, growth-enabling capability</w:t>
            </w:r>
            <w:r>
              <w:t xml:space="preserve"> </w:t>
            </w:r>
          </w:p>
        </w:tc>
        <w:tc>
          <w:tcPr>
            <w:tcW w:w="2343" w:type="dxa"/>
            <w:tcBorders>
              <w:top w:val="single" w:sz="32" w:space="0" w:color="FFFFFF"/>
              <w:left w:val="single" w:sz="2" w:space="0" w:color="000000"/>
              <w:bottom w:val="single" w:sz="32" w:space="0" w:color="FFFFFF"/>
              <w:right w:val="single" w:sz="2" w:space="0" w:color="000000"/>
            </w:tcBorders>
          </w:tcPr>
          <w:p w14:paraId="500FC561" w14:textId="77777777" w:rsidR="003C4A68" w:rsidRDefault="00000000">
            <w:pPr>
              <w:spacing w:after="0" w:line="259" w:lineRule="auto"/>
              <w:ind w:left="0" w:firstLine="0"/>
              <w:jc w:val="left"/>
            </w:pPr>
            <w:r>
              <w:rPr>
                <w:sz w:val="22"/>
              </w:rPr>
              <w:t>Develops employees with deep client knowledge</w:t>
            </w:r>
            <w:r>
              <w:t xml:space="preserve"> </w:t>
            </w:r>
          </w:p>
        </w:tc>
      </w:tr>
      <w:tr w:rsidR="003C4A68" w14:paraId="7ED7AB7E" w14:textId="77777777">
        <w:trPr>
          <w:trHeight w:val="1538"/>
        </w:trPr>
        <w:tc>
          <w:tcPr>
            <w:tcW w:w="2002" w:type="dxa"/>
            <w:tcBorders>
              <w:top w:val="single" w:sz="2" w:space="0" w:color="000000"/>
              <w:left w:val="single" w:sz="2" w:space="0" w:color="000000"/>
              <w:bottom w:val="single" w:sz="32" w:space="0" w:color="FFFFFF"/>
              <w:right w:val="single" w:sz="2" w:space="0" w:color="000000"/>
            </w:tcBorders>
          </w:tcPr>
          <w:p w14:paraId="003138D2" w14:textId="77777777" w:rsidR="003C4A68" w:rsidRDefault="00000000">
            <w:pPr>
              <w:spacing w:after="0" w:line="259" w:lineRule="auto"/>
              <w:ind w:left="0" w:firstLine="0"/>
              <w:jc w:val="left"/>
            </w:pPr>
            <w:r>
              <w:rPr>
                <w:sz w:val="22"/>
              </w:rPr>
              <w:t>Mentorship</w:t>
            </w:r>
            <w:r>
              <w:t xml:space="preserve"> </w:t>
            </w:r>
          </w:p>
        </w:tc>
        <w:tc>
          <w:tcPr>
            <w:tcW w:w="2343" w:type="dxa"/>
            <w:tcBorders>
              <w:top w:val="single" w:sz="2" w:space="0" w:color="000000"/>
              <w:left w:val="single" w:sz="2" w:space="0" w:color="000000"/>
              <w:bottom w:val="single" w:sz="32" w:space="0" w:color="FFFFFF"/>
              <w:right w:val="single" w:sz="2" w:space="0" w:color="000000"/>
            </w:tcBorders>
          </w:tcPr>
          <w:p w14:paraId="7B5D8BDB" w14:textId="77777777" w:rsidR="003C4A68" w:rsidRDefault="00000000">
            <w:pPr>
              <w:spacing w:after="0" w:line="259" w:lineRule="auto"/>
              <w:ind w:left="0" w:firstLine="0"/>
              <w:jc w:val="left"/>
            </w:pPr>
            <w:r>
              <w:rPr>
                <w:sz w:val="22"/>
              </w:rPr>
              <w:t>Increases engagement and belonging</w:t>
            </w:r>
            <w:r>
              <w:t xml:space="preserve"> </w:t>
            </w:r>
          </w:p>
        </w:tc>
        <w:tc>
          <w:tcPr>
            <w:tcW w:w="2340" w:type="dxa"/>
            <w:tcBorders>
              <w:top w:val="single" w:sz="32" w:space="0" w:color="FFFFFF"/>
              <w:left w:val="single" w:sz="2" w:space="0" w:color="000000"/>
              <w:bottom w:val="single" w:sz="32" w:space="0" w:color="FFFFFF"/>
              <w:right w:val="single" w:sz="2" w:space="0" w:color="000000"/>
            </w:tcBorders>
          </w:tcPr>
          <w:p w14:paraId="4ECB39E9" w14:textId="77777777" w:rsidR="003C4A68" w:rsidRDefault="00000000">
            <w:pPr>
              <w:spacing w:after="0" w:line="259" w:lineRule="auto"/>
              <w:ind w:left="0" w:firstLine="0"/>
              <w:jc w:val="left"/>
            </w:pPr>
            <w:r>
              <w:rPr>
                <w:sz w:val="22"/>
              </w:rPr>
              <w:t>Transfers knowledge that fuels innovation</w:t>
            </w:r>
            <w:r>
              <w:t xml:space="preserve"> </w:t>
            </w:r>
          </w:p>
        </w:tc>
        <w:tc>
          <w:tcPr>
            <w:tcW w:w="2343" w:type="dxa"/>
            <w:tcBorders>
              <w:top w:val="single" w:sz="32" w:space="0" w:color="FFFFFF"/>
              <w:left w:val="single" w:sz="2" w:space="0" w:color="000000"/>
              <w:bottom w:val="single" w:sz="32" w:space="0" w:color="FFFFFF"/>
              <w:right w:val="single" w:sz="2" w:space="0" w:color="000000"/>
            </w:tcBorders>
          </w:tcPr>
          <w:p w14:paraId="65797057" w14:textId="77777777" w:rsidR="003C4A68" w:rsidRDefault="00000000">
            <w:pPr>
              <w:spacing w:after="0" w:line="259" w:lineRule="auto"/>
              <w:ind w:left="0" w:firstLine="0"/>
              <w:jc w:val="left"/>
            </w:pPr>
            <w:r>
              <w:rPr>
                <w:sz w:val="22"/>
              </w:rPr>
              <w:t>Preserves customer knowledge lost through attrition</w:t>
            </w:r>
            <w:r>
              <w:t xml:space="preserve"> </w:t>
            </w:r>
          </w:p>
        </w:tc>
      </w:tr>
      <w:tr w:rsidR="003C4A68" w14:paraId="048CD755" w14:textId="77777777">
        <w:trPr>
          <w:trHeight w:val="1541"/>
        </w:trPr>
        <w:tc>
          <w:tcPr>
            <w:tcW w:w="2002" w:type="dxa"/>
            <w:tcBorders>
              <w:top w:val="single" w:sz="32" w:space="0" w:color="FFFFFF"/>
              <w:left w:val="single" w:sz="2" w:space="0" w:color="000000"/>
              <w:bottom w:val="single" w:sz="32" w:space="0" w:color="FFFFFF"/>
              <w:right w:val="single" w:sz="2" w:space="0" w:color="000000"/>
            </w:tcBorders>
          </w:tcPr>
          <w:p w14:paraId="32DB0493" w14:textId="77777777" w:rsidR="003C4A68" w:rsidRDefault="00000000">
            <w:pPr>
              <w:spacing w:after="118" w:line="259" w:lineRule="auto"/>
              <w:ind w:left="0" w:firstLine="0"/>
              <w:jc w:val="left"/>
            </w:pPr>
            <w:r>
              <w:rPr>
                <w:sz w:val="22"/>
              </w:rPr>
              <w:t xml:space="preserve">HiPo Leadership </w:t>
            </w:r>
          </w:p>
          <w:p w14:paraId="174B425D" w14:textId="77777777" w:rsidR="003C4A68" w:rsidRDefault="00000000">
            <w:pPr>
              <w:spacing w:after="0" w:line="259" w:lineRule="auto"/>
              <w:ind w:left="0" w:firstLine="0"/>
              <w:jc w:val="left"/>
            </w:pPr>
            <w:r>
              <w:rPr>
                <w:sz w:val="22"/>
              </w:rPr>
              <w:t>Pathways</w:t>
            </w:r>
            <w:r>
              <w:t xml:space="preserve"> </w:t>
            </w:r>
          </w:p>
        </w:tc>
        <w:tc>
          <w:tcPr>
            <w:tcW w:w="2343" w:type="dxa"/>
            <w:tcBorders>
              <w:top w:val="single" w:sz="32" w:space="0" w:color="FFFFFF"/>
              <w:left w:val="single" w:sz="2" w:space="0" w:color="000000"/>
              <w:bottom w:val="single" w:sz="32" w:space="0" w:color="FFFFFF"/>
              <w:right w:val="single" w:sz="2" w:space="0" w:color="000000"/>
            </w:tcBorders>
          </w:tcPr>
          <w:p w14:paraId="3D3D9DC9" w14:textId="77777777" w:rsidR="003C4A68" w:rsidRDefault="00000000">
            <w:pPr>
              <w:spacing w:after="0" w:line="259" w:lineRule="auto"/>
              <w:ind w:left="0" w:firstLine="0"/>
              <w:jc w:val="left"/>
            </w:pPr>
            <w:r>
              <w:rPr>
                <w:sz w:val="22"/>
              </w:rPr>
              <w:t>Retains ambitious talent with visible progression</w:t>
            </w:r>
            <w:r>
              <w:t xml:space="preserve"> </w:t>
            </w:r>
          </w:p>
        </w:tc>
        <w:tc>
          <w:tcPr>
            <w:tcW w:w="2340" w:type="dxa"/>
            <w:tcBorders>
              <w:top w:val="single" w:sz="32" w:space="0" w:color="FFFFFF"/>
              <w:left w:val="single" w:sz="2" w:space="0" w:color="000000"/>
              <w:bottom w:val="single" w:sz="32" w:space="0" w:color="FFFFFF"/>
              <w:right w:val="single" w:sz="2" w:space="0" w:color="000000"/>
            </w:tcBorders>
          </w:tcPr>
          <w:p w14:paraId="7FDB041A" w14:textId="77777777" w:rsidR="003C4A68" w:rsidRDefault="00000000">
            <w:pPr>
              <w:spacing w:after="0" w:line="259" w:lineRule="auto"/>
              <w:ind w:left="0" w:firstLine="0"/>
              <w:jc w:val="left"/>
            </w:pPr>
            <w:r>
              <w:rPr>
                <w:sz w:val="22"/>
              </w:rPr>
              <w:t>Develops leaders who drive commercial growth</w:t>
            </w:r>
            <w:r>
              <w:t xml:space="preserve"> </w:t>
            </w:r>
          </w:p>
        </w:tc>
        <w:tc>
          <w:tcPr>
            <w:tcW w:w="2343" w:type="dxa"/>
            <w:tcBorders>
              <w:top w:val="single" w:sz="32" w:space="0" w:color="FFFFFF"/>
              <w:left w:val="single" w:sz="2" w:space="0" w:color="000000"/>
              <w:bottom w:val="single" w:sz="32" w:space="0" w:color="FFFFFF"/>
              <w:right w:val="single" w:sz="2" w:space="0" w:color="000000"/>
            </w:tcBorders>
          </w:tcPr>
          <w:p w14:paraId="103962B8" w14:textId="77777777" w:rsidR="003C4A68" w:rsidRDefault="00000000">
            <w:pPr>
              <w:spacing w:after="0" w:line="259" w:lineRule="auto"/>
              <w:ind w:left="0" w:right="305" w:firstLine="0"/>
            </w:pPr>
            <w:r>
              <w:rPr>
                <w:sz w:val="22"/>
              </w:rPr>
              <w:t xml:space="preserve">Creates </w:t>
            </w:r>
            <w:proofErr w:type="spellStart"/>
            <w:r>
              <w:rPr>
                <w:sz w:val="22"/>
              </w:rPr>
              <w:t>customeroriented</w:t>
            </w:r>
            <w:proofErr w:type="spellEnd"/>
            <w:r>
              <w:rPr>
                <w:sz w:val="22"/>
              </w:rPr>
              <w:t xml:space="preserve"> leaders at every level</w:t>
            </w:r>
            <w:r>
              <w:t xml:space="preserve"> </w:t>
            </w:r>
          </w:p>
        </w:tc>
      </w:tr>
      <w:tr w:rsidR="003C4A68" w14:paraId="62507C25" w14:textId="77777777">
        <w:trPr>
          <w:trHeight w:val="1511"/>
        </w:trPr>
        <w:tc>
          <w:tcPr>
            <w:tcW w:w="2002" w:type="dxa"/>
            <w:tcBorders>
              <w:top w:val="single" w:sz="32" w:space="0" w:color="FFFFFF"/>
              <w:left w:val="single" w:sz="2" w:space="0" w:color="000000"/>
              <w:bottom w:val="single" w:sz="2" w:space="0" w:color="000000"/>
              <w:right w:val="single" w:sz="2" w:space="0" w:color="000000"/>
            </w:tcBorders>
          </w:tcPr>
          <w:p w14:paraId="2A2D8AFB" w14:textId="77777777" w:rsidR="003C4A68" w:rsidRDefault="00000000">
            <w:pPr>
              <w:spacing w:after="0" w:line="259" w:lineRule="auto"/>
              <w:ind w:left="0" w:firstLine="0"/>
              <w:jc w:val="left"/>
            </w:pPr>
            <w:r>
              <w:rPr>
                <w:sz w:val="22"/>
              </w:rPr>
              <w:t>Lifelong Learning</w:t>
            </w:r>
            <w:r>
              <w:t xml:space="preserve"> </w:t>
            </w:r>
          </w:p>
        </w:tc>
        <w:tc>
          <w:tcPr>
            <w:tcW w:w="2343" w:type="dxa"/>
            <w:tcBorders>
              <w:top w:val="single" w:sz="32" w:space="0" w:color="FFFFFF"/>
              <w:left w:val="single" w:sz="2" w:space="0" w:color="000000"/>
              <w:bottom w:val="single" w:sz="2" w:space="0" w:color="000000"/>
              <w:right w:val="single" w:sz="2" w:space="0" w:color="000000"/>
            </w:tcBorders>
          </w:tcPr>
          <w:p w14:paraId="30399461" w14:textId="77777777" w:rsidR="003C4A68" w:rsidRDefault="00000000">
            <w:pPr>
              <w:spacing w:after="0" w:line="259" w:lineRule="auto"/>
              <w:ind w:left="0" w:firstLine="0"/>
              <w:jc w:val="left"/>
            </w:pPr>
            <w:r>
              <w:rPr>
                <w:sz w:val="22"/>
              </w:rPr>
              <w:t>Signals investment; increases loyalty</w:t>
            </w:r>
            <w:r>
              <w:t xml:space="preserve"> </w:t>
            </w:r>
          </w:p>
        </w:tc>
        <w:tc>
          <w:tcPr>
            <w:tcW w:w="2340" w:type="dxa"/>
            <w:tcBorders>
              <w:top w:val="single" w:sz="32" w:space="0" w:color="FFFFFF"/>
              <w:left w:val="single" w:sz="2" w:space="0" w:color="000000"/>
              <w:bottom w:val="single" w:sz="2" w:space="0" w:color="000000"/>
              <w:right w:val="single" w:sz="2" w:space="0" w:color="000000"/>
            </w:tcBorders>
          </w:tcPr>
          <w:p w14:paraId="2BFE14DF" w14:textId="77777777" w:rsidR="003C4A68" w:rsidRDefault="00000000">
            <w:pPr>
              <w:spacing w:after="0" w:line="259" w:lineRule="auto"/>
              <w:ind w:left="0" w:firstLine="0"/>
              <w:jc w:val="left"/>
            </w:pPr>
            <w:r>
              <w:rPr>
                <w:sz w:val="22"/>
              </w:rPr>
              <w:t>Rebuilds innovation and digital capability</w:t>
            </w:r>
            <w:r>
              <w:t xml:space="preserve"> </w:t>
            </w:r>
          </w:p>
        </w:tc>
        <w:tc>
          <w:tcPr>
            <w:tcW w:w="2343" w:type="dxa"/>
            <w:tcBorders>
              <w:top w:val="single" w:sz="32" w:space="0" w:color="FFFFFF"/>
              <w:left w:val="single" w:sz="2" w:space="0" w:color="000000"/>
              <w:bottom w:val="single" w:sz="2" w:space="0" w:color="000000"/>
              <w:right w:val="single" w:sz="2" w:space="0" w:color="000000"/>
            </w:tcBorders>
          </w:tcPr>
          <w:p w14:paraId="4D737B5D" w14:textId="77777777" w:rsidR="003C4A68" w:rsidRDefault="00000000">
            <w:pPr>
              <w:spacing w:after="0" w:line="259" w:lineRule="auto"/>
              <w:ind w:left="0" w:firstLine="0"/>
              <w:jc w:val="left"/>
            </w:pPr>
            <w:r>
              <w:rPr>
                <w:sz w:val="22"/>
              </w:rPr>
              <w:t>Equips employees to deliver excellent customer outcomes</w:t>
            </w:r>
            <w:r>
              <w:t xml:space="preserve"> </w:t>
            </w:r>
          </w:p>
        </w:tc>
      </w:tr>
    </w:tbl>
    <w:p w14:paraId="44B77DB8" w14:textId="77777777" w:rsidR="003C4A68" w:rsidRDefault="00000000">
      <w:pPr>
        <w:spacing w:after="121"/>
        <w:ind w:left="-5" w:right="-5"/>
      </w:pPr>
      <w:r>
        <w:lastRenderedPageBreak/>
        <w:t xml:space="preserve">When applied with organisational buy-in and sourced sponsorship from senior leadership, the talent ecosystem proposed here presents a credible, theory-based road map to reconstructing precisely the innovation, engagement and performance outcomes that Aether Innovations needs urgently (Kahn, 1990; Ulrich, 1997). </w:t>
      </w:r>
    </w:p>
    <w:p w14:paraId="4E5ED35C" w14:textId="77777777" w:rsidR="003C4A68" w:rsidRDefault="00000000">
      <w:pPr>
        <w:spacing w:after="311" w:line="259" w:lineRule="auto"/>
        <w:ind w:left="0" w:firstLine="0"/>
        <w:jc w:val="left"/>
      </w:pPr>
      <w:r>
        <w:t xml:space="preserve"> </w:t>
      </w:r>
    </w:p>
    <w:p w14:paraId="26DF5042" w14:textId="77777777" w:rsidR="003C4A68" w:rsidRDefault="00000000">
      <w:pPr>
        <w:spacing w:after="202" w:line="259" w:lineRule="auto"/>
        <w:ind w:left="0" w:firstLine="0"/>
        <w:jc w:val="left"/>
      </w:pPr>
      <w:r>
        <w:rPr>
          <w:b/>
          <w:sz w:val="32"/>
        </w:rPr>
        <w:t>Conclusion</w:t>
      </w:r>
      <w:r>
        <w:t xml:space="preserve"> </w:t>
      </w:r>
    </w:p>
    <w:p w14:paraId="6016B3AA" w14:textId="77777777" w:rsidR="003C4A68" w:rsidRDefault="00000000">
      <w:pPr>
        <w:spacing w:after="122"/>
        <w:ind w:left="-5" w:right="-5"/>
      </w:pPr>
      <w:r>
        <w:rPr>
          <w:rFonts w:ascii="Calibri" w:eastAsia="Calibri" w:hAnsi="Calibri" w:cs="Calibri"/>
          <w:noProof/>
          <w:sz w:val="22"/>
        </w:rPr>
        <mc:AlternateContent>
          <mc:Choice Requires="wpg">
            <w:drawing>
              <wp:anchor distT="0" distB="0" distL="114300" distR="114300" simplePos="0" relativeHeight="251676672" behindDoc="0" locked="0" layoutInCell="1" allowOverlap="1" wp14:anchorId="47A82D89" wp14:editId="19E7B1EB">
                <wp:simplePos x="0" y="0"/>
                <wp:positionH relativeFrom="page">
                  <wp:posOffset>304800</wp:posOffset>
                </wp:positionH>
                <wp:positionV relativeFrom="page">
                  <wp:posOffset>310896</wp:posOffset>
                </wp:positionV>
                <wp:extent cx="6096" cy="10072116"/>
                <wp:effectExtent l="0" t="0" r="0" b="0"/>
                <wp:wrapSquare wrapText="bothSides"/>
                <wp:docPr id="12802" name="Group 12802"/>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42" name="Shape 16242"/>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802" style="width:0.48pt;height:793.08pt;position:absolute;mso-position-horizontal-relative:page;mso-position-horizontal:absolute;margin-left:24pt;mso-position-vertical-relative:page;margin-top:24.48pt;" coordsize="60,100721">
                <v:shape id="Shape 16243"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77696" behindDoc="0" locked="0" layoutInCell="1" allowOverlap="1" wp14:anchorId="68A15358" wp14:editId="1007420B">
                <wp:simplePos x="0" y="0"/>
                <wp:positionH relativeFrom="page">
                  <wp:posOffset>7251193</wp:posOffset>
                </wp:positionH>
                <wp:positionV relativeFrom="page">
                  <wp:posOffset>310896</wp:posOffset>
                </wp:positionV>
                <wp:extent cx="6096" cy="10072116"/>
                <wp:effectExtent l="0" t="0" r="0" b="0"/>
                <wp:wrapSquare wrapText="bothSides"/>
                <wp:docPr id="12805" name="Group 12805"/>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44" name="Shape 16244"/>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805" style="width:0.47998pt;height:793.08pt;position:absolute;mso-position-horizontal-relative:page;mso-position-horizontal:absolute;margin-left:570.96pt;mso-position-vertical-relative:page;margin-top:24.48pt;" coordsize="60,100721">
                <v:shape id="Shape 16245"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t xml:space="preserve">Aether Innovations’ three core problems high staff turnover, stagnant growth and declining customer satisfaction each are symptoms of a damaged talent ecosystem, not operational failures by isolated departments within the company. This report has recommended a Build-dominant talent strategy, supported by an attractive EVP, structured mentorship, transparent leadership pathways and a progressive learning culture. Rooted in the Resource-Based View, Human Capital Theory and Strategic HRM scholarship, this integrated ecosystem does not merely palliate Aether’s symptoms. This approach addresses the root causes of these problems: a lack of people strategy that regards human capital, rather than customer or financial capital, as the organisation’s most valuable and irreplaceable competitive asset. </w:t>
      </w:r>
    </w:p>
    <w:p w14:paraId="61F769BB" w14:textId="77777777" w:rsidR="003C4A68" w:rsidRDefault="00000000">
      <w:pPr>
        <w:spacing w:after="235" w:line="259" w:lineRule="auto"/>
        <w:ind w:left="0" w:firstLine="0"/>
        <w:jc w:val="left"/>
      </w:pPr>
      <w:r>
        <w:t xml:space="preserve"> </w:t>
      </w:r>
    </w:p>
    <w:p w14:paraId="6BA01721" w14:textId="77777777" w:rsidR="003C4A68" w:rsidRDefault="00000000">
      <w:pPr>
        <w:spacing w:after="237" w:line="259" w:lineRule="auto"/>
        <w:ind w:left="0" w:firstLine="0"/>
        <w:jc w:val="left"/>
      </w:pPr>
      <w:r>
        <w:t xml:space="preserve"> </w:t>
      </w:r>
    </w:p>
    <w:p w14:paraId="77A431EA" w14:textId="77777777" w:rsidR="003C4A68" w:rsidRDefault="00000000">
      <w:pPr>
        <w:spacing w:after="235" w:line="259" w:lineRule="auto"/>
        <w:ind w:left="0" w:firstLine="0"/>
        <w:jc w:val="left"/>
      </w:pPr>
      <w:r>
        <w:t xml:space="preserve"> </w:t>
      </w:r>
    </w:p>
    <w:p w14:paraId="711BD19F" w14:textId="77777777" w:rsidR="003C4A68" w:rsidRDefault="00000000">
      <w:pPr>
        <w:spacing w:after="237" w:line="259" w:lineRule="auto"/>
        <w:ind w:left="0" w:firstLine="0"/>
        <w:jc w:val="left"/>
      </w:pPr>
      <w:r>
        <w:t xml:space="preserve"> </w:t>
      </w:r>
    </w:p>
    <w:p w14:paraId="5345A517" w14:textId="77777777" w:rsidR="003C4A68" w:rsidRDefault="00000000">
      <w:pPr>
        <w:spacing w:after="235" w:line="259" w:lineRule="auto"/>
        <w:ind w:left="0" w:firstLine="0"/>
        <w:jc w:val="left"/>
      </w:pPr>
      <w:r>
        <w:t xml:space="preserve"> </w:t>
      </w:r>
    </w:p>
    <w:p w14:paraId="31DB4596" w14:textId="77777777" w:rsidR="003C4A68" w:rsidRDefault="00000000">
      <w:pPr>
        <w:spacing w:after="237" w:line="259" w:lineRule="auto"/>
        <w:ind w:left="0" w:firstLine="0"/>
        <w:jc w:val="left"/>
      </w:pPr>
      <w:r>
        <w:t xml:space="preserve"> </w:t>
      </w:r>
    </w:p>
    <w:p w14:paraId="44096A5A" w14:textId="77777777" w:rsidR="003C4A68" w:rsidRDefault="00000000">
      <w:pPr>
        <w:spacing w:after="0" w:line="259" w:lineRule="auto"/>
        <w:ind w:left="0" w:firstLine="0"/>
        <w:jc w:val="left"/>
      </w:pPr>
      <w:r>
        <w:t xml:space="preserve"> </w:t>
      </w:r>
      <w:r>
        <w:br w:type="page"/>
      </w:r>
    </w:p>
    <w:p w14:paraId="3841D6E3" w14:textId="77777777" w:rsidR="003C4A68" w:rsidRDefault="00000000">
      <w:pPr>
        <w:pStyle w:val="Heading1"/>
        <w:spacing w:after="354"/>
        <w:ind w:left="-5"/>
      </w:pPr>
      <w:bookmarkStart w:id="11" w:name="_Toc15794"/>
      <w:r>
        <w:rPr>
          <w:sz w:val="40"/>
        </w:rPr>
        <w:lastRenderedPageBreak/>
        <w:t xml:space="preserve">Part 2: Personal Reflection </w:t>
      </w:r>
      <w:bookmarkEnd w:id="11"/>
    </w:p>
    <w:p w14:paraId="50DD9449" w14:textId="77777777" w:rsidR="003C4A68" w:rsidRDefault="00000000">
      <w:pPr>
        <w:pStyle w:val="Heading2"/>
        <w:ind w:left="-5"/>
      </w:pPr>
      <w:bookmarkStart w:id="12" w:name="_Toc15795"/>
      <w:r>
        <w:t xml:space="preserve">2.1 Reflective Learning Journey Using Gibbs' Reflective Cycle </w:t>
      </w:r>
      <w:bookmarkEnd w:id="12"/>
    </w:p>
    <w:p w14:paraId="5F8E9BD8" w14:textId="77777777" w:rsidR="003C4A68" w:rsidRDefault="00000000">
      <w:pPr>
        <w:spacing w:after="63"/>
        <w:ind w:left="-5" w:right="-5"/>
      </w:pPr>
      <w:r>
        <w:t xml:space="preserve">Gibbs' Reflective Cycle (1988) structures this reflection across six stages, summarised below. </w:t>
      </w:r>
    </w:p>
    <w:p w14:paraId="7CFD99D0" w14:textId="77777777" w:rsidR="003C4A68" w:rsidRDefault="00000000">
      <w:pPr>
        <w:spacing w:after="7" w:line="259" w:lineRule="auto"/>
        <w:ind w:left="-5"/>
        <w:jc w:val="left"/>
      </w:pPr>
      <w:r>
        <w:rPr>
          <w:rFonts w:ascii="Calibri" w:eastAsia="Calibri" w:hAnsi="Calibri" w:cs="Calibri"/>
          <w:noProof/>
          <w:sz w:val="22"/>
        </w:rPr>
        <mc:AlternateContent>
          <mc:Choice Requires="wpg">
            <w:drawing>
              <wp:anchor distT="0" distB="0" distL="114300" distR="114300" simplePos="0" relativeHeight="251678720" behindDoc="0" locked="0" layoutInCell="1" allowOverlap="1" wp14:anchorId="017D6921" wp14:editId="4336D541">
                <wp:simplePos x="0" y="0"/>
                <wp:positionH relativeFrom="page">
                  <wp:posOffset>304800</wp:posOffset>
                </wp:positionH>
                <wp:positionV relativeFrom="page">
                  <wp:posOffset>310896</wp:posOffset>
                </wp:positionV>
                <wp:extent cx="6096" cy="10072116"/>
                <wp:effectExtent l="0" t="0" r="0" b="0"/>
                <wp:wrapSquare wrapText="bothSides"/>
                <wp:docPr id="15191" name="Group 15191"/>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46" name="Shape 16246"/>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5191" style="width:0.48pt;height:793.08pt;position:absolute;mso-position-horizontal-relative:page;mso-position-horizontal:absolute;margin-left:24pt;mso-position-vertical-relative:page;margin-top:24.48pt;" coordsize="60,100721">
                <v:shape id="Shape 16247"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79744" behindDoc="0" locked="0" layoutInCell="1" allowOverlap="1" wp14:anchorId="299FF648" wp14:editId="78B7FB06">
                <wp:simplePos x="0" y="0"/>
                <wp:positionH relativeFrom="page">
                  <wp:posOffset>7251193</wp:posOffset>
                </wp:positionH>
                <wp:positionV relativeFrom="page">
                  <wp:posOffset>310896</wp:posOffset>
                </wp:positionV>
                <wp:extent cx="6096" cy="10072116"/>
                <wp:effectExtent l="0" t="0" r="0" b="0"/>
                <wp:wrapSquare wrapText="bothSides"/>
                <wp:docPr id="15192" name="Group 15192"/>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48" name="Shape 16248"/>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5192" style="width:0.47998pt;height:793.08pt;position:absolute;mso-position-horizontal-relative:page;mso-position-horizontal:absolute;margin-left:570.96pt;mso-position-vertical-relative:page;margin-top:24.48pt;" coordsize="60,100721">
                <v:shape id="Shape 16249"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i/>
          <w:color w:val="0E2841"/>
          <w:sz w:val="18"/>
        </w:rPr>
        <w:t xml:space="preserve">Table 4: Gibbs' Reflective Cycle Applied to HCM Module Learning (Gibbs, 1988) </w:t>
      </w:r>
    </w:p>
    <w:tbl>
      <w:tblPr>
        <w:tblStyle w:val="TableGrid"/>
        <w:tblW w:w="9028" w:type="dxa"/>
        <w:tblInd w:w="-1" w:type="dxa"/>
        <w:tblCellMar>
          <w:top w:w="215" w:type="dxa"/>
          <w:left w:w="121" w:type="dxa"/>
          <w:bottom w:w="0" w:type="dxa"/>
          <w:right w:w="61" w:type="dxa"/>
        </w:tblCellMar>
        <w:tblLook w:val="04A0" w:firstRow="1" w:lastRow="0" w:firstColumn="1" w:lastColumn="0" w:noHBand="0" w:noVBand="1"/>
      </w:tblPr>
      <w:tblGrid>
        <w:gridCol w:w="3001"/>
        <w:gridCol w:w="6027"/>
      </w:tblGrid>
      <w:tr w:rsidR="003C4A68" w14:paraId="4197DA19" w14:textId="77777777">
        <w:trPr>
          <w:trHeight w:val="781"/>
        </w:trPr>
        <w:tc>
          <w:tcPr>
            <w:tcW w:w="3001" w:type="dxa"/>
            <w:tcBorders>
              <w:top w:val="single" w:sz="2" w:space="0" w:color="000000"/>
              <w:left w:val="single" w:sz="2" w:space="0" w:color="000000"/>
              <w:bottom w:val="single" w:sz="32" w:space="0" w:color="FFFFFF"/>
              <w:right w:val="single" w:sz="2" w:space="0" w:color="000000"/>
            </w:tcBorders>
          </w:tcPr>
          <w:p w14:paraId="2802B36E" w14:textId="77777777" w:rsidR="003C4A68" w:rsidRDefault="00000000">
            <w:pPr>
              <w:spacing w:after="0" w:line="259" w:lineRule="auto"/>
              <w:ind w:left="0" w:firstLine="0"/>
              <w:jc w:val="left"/>
            </w:pPr>
            <w:r>
              <w:rPr>
                <w:b/>
                <w:sz w:val="22"/>
              </w:rPr>
              <w:t>Stage</w:t>
            </w:r>
            <w:r>
              <w:t xml:space="preserve"> </w:t>
            </w:r>
          </w:p>
        </w:tc>
        <w:tc>
          <w:tcPr>
            <w:tcW w:w="6027" w:type="dxa"/>
            <w:tcBorders>
              <w:top w:val="single" w:sz="2" w:space="0" w:color="000000"/>
              <w:left w:val="single" w:sz="2" w:space="0" w:color="000000"/>
              <w:bottom w:val="single" w:sz="32" w:space="0" w:color="FFFFFF"/>
              <w:right w:val="single" w:sz="2" w:space="0" w:color="000000"/>
            </w:tcBorders>
          </w:tcPr>
          <w:p w14:paraId="0AAA47F9" w14:textId="77777777" w:rsidR="003C4A68" w:rsidRDefault="00000000">
            <w:pPr>
              <w:spacing w:after="0" w:line="259" w:lineRule="auto"/>
              <w:ind w:left="0" w:firstLine="0"/>
              <w:jc w:val="left"/>
            </w:pPr>
            <w:r>
              <w:rPr>
                <w:b/>
                <w:sz w:val="22"/>
              </w:rPr>
              <w:t>Focus</w:t>
            </w:r>
            <w:r>
              <w:t xml:space="preserve"> </w:t>
            </w:r>
          </w:p>
        </w:tc>
      </w:tr>
      <w:tr w:rsidR="003C4A68" w14:paraId="6636ACA1" w14:textId="77777777">
        <w:trPr>
          <w:trHeight w:val="782"/>
        </w:trPr>
        <w:tc>
          <w:tcPr>
            <w:tcW w:w="3001" w:type="dxa"/>
            <w:tcBorders>
              <w:top w:val="single" w:sz="32" w:space="0" w:color="FFFFFF"/>
              <w:left w:val="single" w:sz="2" w:space="0" w:color="000000"/>
              <w:bottom w:val="single" w:sz="32" w:space="0" w:color="FFFFFF"/>
              <w:right w:val="single" w:sz="2" w:space="0" w:color="000000"/>
            </w:tcBorders>
          </w:tcPr>
          <w:p w14:paraId="7996C539" w14:textId="77777777" w:rsidR="003C4A68" w:rsidRDefault="00000000">
            <w:pPr>
              <w:spacing w:after="0" w:line="259" w:lineRule="auto"/>
              <w:ind w:left="0" w:firstLine="0"/>
              <w:jc w:val="left"/>
            </w:pPr>
            <w:r>
              <w:rPr>
                <w:sz w:val="22"/>
              </w:rPr>
              <w:t>1. Description</w:t>
            </w:r>
            <w:r>
              <w:t xml:space="preserve"> </w:t>
            </w:r>
          </w:p>
        </w:tc>
        <w:tc>
          <w:tcPr>
            <w:tcW w:w="6027" w:type="dxa"/>
            <w:tcBorders>
              <w:top w:val="single" w:sz="32" w:space="0" w:color="FFFFFF"/>
              <w:left w:val="single" w:sz="2" w:space="0" w:color="000000"/>
              <w:bottom w:val="single" w:sz="32" w:space="0" w:color="FFFFFF"/>
              <w:right w:val="single" w:sz="2" w:space="0" w:color="000000"/>
            </w:tcBorders>
          </w:tcPr>
          <w:p w14:paraId="28191B3D" w14:textId="77777777" w:rsidR="003C4A68" w:rsidRDefault="00000000">
            <w:pPr>
              <w:spacing w:after="0" w:line="259" w:lineRule="auto"/>
              <w:ind w:left="0" w:firstLine="0"/>
              <w:jc w:val="left"/>
            </w:pPr>
            <w:r>
              <w:rPr>
                <w:sz w:val="22"/>
              </w:rPr>
              <w:t>What happened during the HCM module</w:t>
            </w:r>
            <w:r>
              <w:t xml:space="preserve"> </w:t>
            </w:r>
          </w:p>
        </w:tc>
      </w:tr>
      <w:tr w:rsidR="003C4A68" w14:paraId="0B9FE502" w14:textId="77777777">
        <w:trPr>
          <w:trHeight w:val="780"/>
        </w:trPr>
        <w:tc>
          <w:tcPr>
            <w:tcW w:w="3001" w:type="dxa"/>
            <w:tcBorders>
              <w:top w:val="single" w:sz="32" w:space="0" w:color="FFFFFF"/>
              <w:left w:val="single" w:sz="2" w:space="0" w:color="000000"/>
              <w:bottom w:val="single" w:sz="32" w:space="0" w:color="FFFFFF"/>
              <w:right w:val="single" w:sz="2" w:space="0" w:color="000000"/>
            </w:tcBorders>
          </w:tcPr>
          <w:p w14:paraId="5A89828A" w14:textId="77777777" w:rsidR="003C4A68" w:rsidRDefault="00000000">
            <w:pPr>
              <w:spacing w:after="0" w:line="259" w:lineRule="auto"/>
              <w:ind w:left="0" w:firstLine="0"/>
              <w:jc w:val="left"/>
            </w:pPr>
            <w:r>
              <w:rPr>
                <w:sz w:val="22"/>
              </w:rPr>
              <w:t>2. Feelings</w:t>
            </w:r>
            <w:r>
              <w:t xml:space="preserve"> </w:t>
            </w:r>
          </w:p>
        </w:tc>
        <w:tc>
          <w:tcPr>
            <w:tcW w:w="6027" w:type="dxa"/>
            <w:tcBorders>
              <w:top w:val="single" w:sz="32" w:space="0" w:color="FFFFFF"/>
              <w:left w:val="single" w:sz="2" w:space="0" w:color="000000"/>
              <w:bottom w:val="single" w:sz="32" w:space="0" w:color="FFFFFF"/>
              <w:right w:val="single" w:sz="2" w:space="0" w:color="000000"/>
            </w:tcBorders>
          </w:tcPr>
          <w:p w14:paraId="6861D11B" w14:textId="77777777" w:rsidR="003C4A68" w:rsidRDefault="00000000">
            <w:pPr>
              <w:spacing w:after="0" w:line="259" w:lineRule="auto"/>
              <w:ind w:left="0" w:firstLine="0"/>
              <w:jc w:val="left"/>
            </w:pPr>
            <w:r>
              <w:rPr>
                <w:sz w:val="22"/>
              </w:rPr>
              <w:t>Emotional and cognitive response to learning</w:t>
            </w:r>
            <w:r>
              <w:t xml:space="preserve"> </w:t>
            </w:r>
          </w:p>
        </w:tc>
      </w:tr>
      <w:tr w:rsidR="003C4A68" w14:paraId="7BB8CA84" w14:textId="77777777">
        <w:trPr>
          <w:trHeight w:val="782"/>
        </w:trPr>
        <w:tc>
          <w:tcPr>
            <w:tcW w:w="3001" w:type="dxa"/>
            <w:tcBorders>
              <w:top w:val="single" w:sz="32" w:space="0" w:color="FFFFFF"/>
              <w:left w:val="single" w:sz="2" w:space="0" w:color="000000"/>
              <w:bottom w:val="single" w:sz="32" w:space="0" w:color="FFFFFF"/>
              <w:right w:val="single" w:sz="2" w:space="0" w:color="000000"/>
            </w:tcBorders>
          </w:tcPr>
          <w:p w14:paraId="10213C4C" w14:textId="77777777" w:rsidR="003C4A68" w:rsidRDefault="00000000">
            <w:pPr>
              <w:spacing w:after="0" w:line="259" w:lineRule="auto"/>
              <w:ind w:left="0" w:firstLine="0"/>
              <w:jc w:val="left"/>
            </w:pPr>
            <w:r>
              <w:rPr>
                <w:sz w:val="22"/>
              </w:rPr>
              <w:t>3. Evaluation</w:t>
            </w:r>
            <w:r>
              <w:t xml:space="preserve"> </w:t>
            </w:r>
          </w:p>
        </w:tc>
        <w:tc>
          <w:tcPr>
            <w:tcW w:w="6027" w:type="dxa"/>
            <w:tcBorders>
              <w:top w:val="single" w:sz="32" w:space="0" w:color="FFFFFF"/>
              <w:left w:val="single" w:sz="2" w:space="0" w:color="000000"/>
              <w:bottom w:val="single" w:sz="32" w:space="0" w:color="FFFFFF"/>
              <w:right w:val="single" w:sz="2" w:space="0" w:color="000000"/>
            </w:tcBorders>
          </w:tcPr>
          <w:p w14:paraId="6612D66C" w14:textId="77777777" w:rsidR="003C4A68" w:rsidRDefault="00000000">
            <w:pPr>
              <w:spacing w:after="0" w:line="259" w:lineRule="auto"/>
              <w:ind w:left="0" w:firstLine="0"/>
              <w:jc w:val="left"/>
            </w:pPr>
            <w:r>
              <w:rPr>
                <w:sz w:val="22"/>
              </w:rPr>
              <w:t>What was good or bad about the experience</w:t>
            </w:r>
            <w:r>
              <w:t xml:space="preserve"> </w:t>
            </w:r>
          </w:p>
        </w:tc>
      </w:tr>
      <w:tr w:rsidR="003C4A68" w14:paraId="2CAF6060" w14:textId="77777777">
        <w:trPr>
          <w:trHeight w:val="783"/>
        </w:trPr>
        <w:tc>
          <w:tcPr>
            <w:tcW w:w="3001" w:type="dxa"/>
            <w:tcBorders>
              <w:top w:val="single" w:sz="32" w:space="0" w:color="FFFFFF"/>
              <w:left w:val="single" w:sz="2" w:space="0" w:color="000000"/>
              <w:bottom w:val="single" w:sz="2" w:space="0" w:color="000000"/>
              <w:right w:val="single" w:sz="2" w:space="0" w:color="000000"/>
            </w:tcBorders>
          </w:tcPr>
          <w:p w14:paraId="7B3E2F9F" w14:textId="77777777" w:rsidR="003C4A68" w:rsidRDefault="00000000">
            <w:pPr>
              <w:spacing w:after="0" w:line="259" w:lineRule="auto"/>
              <w:ind w:left="0" w:firstLine="0"/>
              <w:jc w:val="left"/>
            </w:pPr>
            <w:r>
              <w:rPr>
                <w:sz w:val="22"/>
              </w:rPr>
              <w:t>4. Analysis</w:t>
            </w:r>
            <w:r>
              <w:t xml:space="preserve"> </w:t>
            </w:r>
          </w:p>
        </w:tc>
        <w:tc>
          <w:tcPr>
            <w:tcW w:w="6027" w:type="dxa"/>
            <w:tcBorders>
              <w:top w:val="single" w:sz="32" w:space="0" w:color="FFFFFF"/>
              <w:left w:val="single" w:sz="2" w:space="0" w:color="000000"/>
              <w:bottom w:val="single" w:sz="2" w:space="0" w:color="000000"/>
              <w:right w:val="single" w:sz="2" w:space="0" w:color="000000"/>
            </w:tcBorders>
          </w:tcPr>
          <w:p w14:paraId="1BB5E8C4" w14:textId="77777777" w:rsidR="003C4A68" w:rsidRDefault="00000000">
            <w:pPr>
              <w:spacing w:after="0" w:line="259" w:lineRule="auto"/>
              <w:ind w:left="0" w:firstLine="0"/>
              <w:jc w:val="left"/>
            </w:pPr>
            <w:r>
              <w:rPr>
                <w:sz w:val="22"/>
              </w:rPr>
              <w:t>Making sense of the experience through theory</w:t>
            </w:r>
            <w:r>
              <w:t xml:space="preserve"> </w:t>
            </w:r>
          </w:p>
        </w:tc>
      </w:tr>
      <w:tr w:rsidR="003C4A68" w14:paraId="1483C069" w14:textId="77777777">
        <w:trPr>
          <w:trHeight w:val="780"/>
        </w:trPr>
        <w:tc>
          <w:tcPr>
            <w:tcW w:w="3001" w:type="dxa"/>
            <w:tcBorders>
              <w:top w:val="single" w:sz="2" w:space="0" w:color="000000"/>
              <w:left w:val="single" w:sz="2" w:space="0" w:color="000000"/>
              <w:bottom w:val="single" w:sz="2" w:space="0" w:color="000000"/>
              <w:right w:val="single" w:sz="2" w:space="0" w:color="000000"/>
            </w:tcBorders>
          </w:tcPr>
          <w:p w14:paraId="5F110D0D" w14:textId="77777777" w:rsidR="003C4A68" w:rsidRDefault="00000000">
            <w:pPr>
              <w:spacing w:after="0" w:line="259" w:lineRule="auto"/>
              <w:ind w:left="0" w:firstLine="0"/>
              <w:jc w:val="left"/>
            </w:pPr>
            <w:r>
              <w:rPr>
                <w:sz w:val="22"/>
              </w:rPr>
              <w:t>5. Conclusion</w:t>
            </w:r>
            <w:r>
              <w:t xml:space="preserve"> </w:t>
            </w:r>
          </w:p>
        </w:tc>
        <w:tc>
          <w:tcPr>
            <w:tcW w:w="6027" w:type="dxa"/>
            <w:tcBorders>
              <w:top w:val="single" w:sz="2" w:space="0" w:color="000000"/>
              <w:left w:val="single" w:sz="2" w:space="0" w:color="000000"/>
              <w:bottom w:val="single" w:sz="2" w:space="0" w:color="000000"/>
              <w:right w:val="single" w:sz="2" w:space="0" w:color="000000"/>
            </w:tcBorders>
          </w:tcPr>
          <w:p w14:paraId="2C2EA52F" w14:textId="77777777" w:rsidR="003C4A68" w:rsidRDefault="00000000">
            <w:pPr>
              <w:spacing w:after="0" w:line="259" w:lineRule="auto"/>
              <w:ind w:left="0" w:firstLine="0"/>
              <w:jc w:val="left"/>
            </w:pPr>
            <w:r>
              <w:rPr>
                <w:sz w:val="22"/>
              </w:rPr>
              <w:t>What else could have been done differently</w:t>
            </w:r>
            <w:r>
              <w:t xml:space="preserve"> </w:t>
            </w:r>
          </w:p>
        </w:tc>
      </w:tr>
      <w:tr w:rsidR="003C4A68" w14:paraId="512F4EFA" w14:textId="77777777">
        <w:trPr>
          <w:trHeight w:val="1132"/>
        </w:trPr>
        <w:tc>
          <w:tcPr>
            <w:tcW w:w="3001" w:type="dxa"/>
            <w:tcBorders>
              <w:top w:val="single" w:sz="2" w:space="0" w:color="000000"/>
              <w:left w:val="single" w:sz="2" w:space="0" w:color="000000"/>
              <w:bottom w:val="single" w:sz="2" w:space="0" w:color="000000"/>
              <w:right w:val="single" w:sz="2" w:space="0" w:color="000000"/>
            </w:tcBorders>
          </w:tcPr>
          <w:p w14:paraId="1D7948CC" w14:textId="77777777" w:rsidR="003C4A68" w:rsidRDefault="00000000">
            <w:pPr>
              <w:spacing w:after="0" w:line="259" w:lineRule="auto"/>
              <w:ind w:left="0" w:firstLine="0"/>
              <w:jc w:val="left"/>
            </w:pPr>
            <w:r>
              <w:rPr>
                <w:sz w:val="22"/>
              </w:rPr>
              <w:t>6. Action Plan</w:t>
            </w:r>
            <w:r>
              <w:t xml:space="preserve"> </w:t>
            </w:r>
          </w:p>
        </w:tc>
        <w:tc>
          <w:tcPr>
            <w:tcW w:w="6027" w:type="dxa"/>
            <w:tcBorders>
              <w:top w:val="single" w:sz="2" w:space="0" w:color="000000"/>
              <w:left w:val="single" w:sz="2" w:space="0" w:color="000000"/>
              <w:bottom w:val="single" w:sz="2" w:space="0" w:color="000000"/>
              <w:right w:val="single" w:sz="2" w:space="0" w:color="000000"/>
            </w:tcBorders>
          </w:tcPr>
          <w:p w14:paraId="50EA8CFB" w14:textId="77777777" w:rsidR="003C4A68" w:rsidRDefault="00000000">
            <w:pPr>
              <w:spacing w:after="0" w:line="259" w:lineRule="auto"/>
              <w:ind w:left="0" w:firstLine="0"/>
              <w:jc w:val="left"/>
            </w:pPr>
            <w:r>
              <w:rPr>
                <w:sz w:val="22"/>
              </w:rPr>
              <w:t>Personal L&amp;D steps to cultivate innovation and growth mindset</w:t>
            </w:r>
            <w:r>
              <w:t xml:space="preserve"> </w:t>
            </w:r>
          </w:p>
        </w:tc>
      </w:tr>
    </w:tbl>
    <w:p w14:paraId="1EF5A5D6" w14:textId="77777777" w:rsidR="003C4A68" w:rsidRDefault="00000000">
      <w:pPr>
        <w:pStyle w:val="Heading2"/>
        <w:ind w:left="-5"/>
      </w:pPr>
      <w:bookmarkStart w:id="13" w:name="_Toc15796"/>
      <w:r>
        <w:t xml:space="preserve">Stage 1: Description - What Happened? </w:t>
      </w:r>
      <w:bookmarkEnd w:id="13"/>
    </w:p>
    <w:p w14:paraId="50E7D47D" w14:textId="77777777" w:rsidR="003C4A68" w:rsidRDefault="00000000">
      <w:pPr>
        <w:ind w:left="-5" w:right="-5"/>
      </w:pPr>
      <w:r>
        <w:t xml:space="preserve">The HCM module (LCMB7023) required applying Strategic HRM theory to Aether Innovations a 300-person technology company facing flat growth, high staff turnover, and falling customer satisfaction. For Part 1, I designed an integrated talent ecosystem drawing on the Resource-Based View (Barney, 1991), Human Capital Theory (Becker, 1964), the 4B sourcing model (Boudreau and Ramstad, 2007), mentorship frameworks (Clutterbuck, 2004; Chaudhuri and Ghosh, 2012), the 70-20-10 model (Lombardo and </w:t>
      </w:r>
      <w:r>
        <w:lastRenderedPageBreak/>
        <w:t xml:space="preserve">Eichinger, 1996), Senge's Learning Organisation (1990), and MacDuffie's (1995) bundling argument  connecting each explicitly to Aether's three business problems. </w:t>
      </w:r>
    </w:p>
    <w:p w14:paraId="68CF9FC4" w14:textId="77777777" w:rsidR="003C4A68" w:rsidRDefault="00000000">
      <w:pPr>
        <w:pStyle w:val="Heading2"/>
        <w:ind w:left="-5"/>
      </w:pPr>
      <w:bookmarkStart w:id="14" w:name="_Toc15797"/>
      <w:r>
        <w:t xml:space="preserve">Stage 2: Feelings - What Was I Thinking and Feeling? </w:t>
      </w:r>
      <w:bookmarkEnd w:id="14"/>
    </w:p>
    <w:p w14:paraId="003112AD" w14:textId="77777777" w:rsidR="003C4A68" w:rsidRDefault="00000000">
      <w:pPr>
        <w:spacing w:after="314"/>
        <w:ind w:left="-5" w:right="-5"/>
      </w:pPr>
      <w:r>
        <w:t xml:space="preserve">As an Electrical and Electronics Engineering graduate in SAP functional consulting, HRM theory initially felt remote. The Aether scenario changed this. Diagnosing three apparently separate problems turnover, flat growth, customer decline as one interconnected talent failure was analytically compelling. When Kahn's (1990) causal chain crystallised disengagement to attrition to knowledge loss to customer decline the assignment became a consultant's brief, not an essay. That reframing was the module's decisive turning point. </w:t>
      </w:r>
    </w:p>
    <w:p w14:paraId="75A61C9C" w14:textId="77777777" w:rsidR="003C4A68" w:rsidRDefault="00000000">
      <w:pPr>
        <w:pStyle w:val="Heading2"/>
        <w:ind w:left="-5"/>
      </w:pPr>
      <w:bookmarkStart w:id="15" w:name="_Toc15798"/>
      <w:r>
        <w:t xml:space="preserve">Stage 3: Evaluation - What Was Good and Bad? </w:t>
      </w:r>
      <w:bookmarkEnd w:id="15"/>
    </w:p>
    <w:p w14:paraId="00A47B7F" w14:textId="77777777" w:rsidR="003C4A68" w:rsidRDefault="00000000">
      <w:pPr>
        <w:spacing w:after="316"/>
        <w:ind w:left="-5" w:right="-5"/>
      </w:pPr>
      <w:r>
        <w:rPr>
          <w:rFonts w:ascii="Calibri" w:eastAsia="Calibri" w:hAnsi="Calibri" w:cs="Calibri"/>
          <w:noProof/>
          <w:sz w:val="22"/>
        </w:rPr>
        <mc:AlternateContent>
          <mc:Choice Requires="wpg">
            <w:drawing>
              <wp:anchor distT="0" distB="0" distL="114300" distR="114300" simplePos="0" relativeHeight="251680768" behindDoc="0" locked="0" layoutInCell="1" allowOverlap="1" wp14:anchorId="45261156" wp14:editId="6073E955">
                <wp:simplePos x="0" y="0"/>
                <wp:positionH relativeFrom="page">
                  <wp:posOffset>304800</wp:posOffset>
                </wp:positionH>
                <wp:positionV relativeFrom="page">
                  <wp:posOffset>310896</wp:posOffset>
                </wp:positionV>
                <wp:extent cx="6096" cy="10072116"/>
                <wp:effectExtent l="0" t="0" r="0" b="0"/>
                <wp:wrapSquare wrapText="bothSides"/>
                <wp:docPr id="13758" name="Group 13758"/>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50" name="Shape 16250"/>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3758" style="width:0.48pt;height:793.08pt;position:absolute;mso-position-horizontal-relative:page;mso-position-horizontal:absolute;margin-left:24pt;mso-position-vertical-relative:page;margin-top:24.48pt;" coordsize="60,100721">
                <v:shape id="Shape 16251"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81792" behindDoc="0" locked="0" layoutInCell="1" allowOverlap="1" wp14:anchorId="59CB3A98" wp14:editId="6493B574">
                <wp:simplePos x="0" y="0"/>
                <wp:positionH relativeFrom="page">
                  <wp:posOffset>7251193</wp:posOffset>
                </wp:positionH>
                <wp:positionV relativeFrom="page">
                  <wp:posOffset>310896</wp:posOffset>
                </wp:positionV>
                <wp:extent cx="6096" cy="10072116"/>
                <wp:effectExtent l="0" t="0" r="0" b="0"/>
                <wp:wrapSquare wrapText="bothSides"/>
                <wp:docPr id="13759" name="Group 13759"/>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52" name="Shape 16252"/>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3759" style="width:0.47998pt;height:793.08pt;position:absolute;mso-position-horizontal-relative:page;mso-position-horizontal:absolute;margin-left:570.96pt;mso-position-vertical-relative:page;margin-top:24.48pt;" coordsize="60,100721">
                <v:shape id="Shape 16253"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t xml:space="preserve">The most valuable insight was integration: that bundled talent practices produce outcomes no isolated intervention can achieve (MacDuffie, 1995; Armstrong and Taylor, 2020). Showing how mentorship, HiPo pathways, and lifelong learning jointly resolve all three of Aether's problems was the report's strongest contribution. The greatest challenge was critical writing at Level 7 for instance, acknowledging that the Build-dominant strategy presupposes organisational stability that Aether in crisis may lack, a limitation deserving deeper interrogation. </w:t>
      </w:r>
    </w:p>
    <w:p w14:paraId="41226B83" w14:textId="77777777" w:rsidR="003C4A68" w:rsidRDefault="00000000">
      <w:pPr>
        <w:pStyle w:val="Heading2"/>
        <w:ind w:left="-5"/>
      </w:pPr>
      <w:bookmarkStart w:id="16" w:name="_Toc15799"/>
      <w:r>
        <w:t xml:space="preserve">Stage 4: </w:t>
      </w:r>
      <w:proofErr w:type="spellStart"/>
      <w:r>
        <w:t>Analyze</w:t>
      </w:r>
      <w:proofErr w:type="spellEnd"/>
      <w:r>
        <w:t xml:space="preserve"> What Does This Mean? </w:t>
      </w:r>
      <w:bookmarkEnd w:id="16"/>
    </w:p>
    <w:p w14:paraId="60835928" w14:textId="77777777" w:rsidR="003C4A68" w:rsidRDefault="00000000">
      <w:pPr>
        <w:spacing w:after="316"/>
        <w:ind w:left="-5" w:right="-5"/>
      </w:pPr>
      <w:r>
        <w:t xml:space="preserve">The frameworks from Part 1 more directly shape my own development. Investing in SAP or strategic management: Becker's (1964) Human Capital Law is an economic necessity of life. The 70-20-10 model (Lombardo and Eichinger, 1996) reveals a personal imbalance with very strong experiential learning (70%) through SAP projects but lack of investment in the social 20% mentoring, networks and the formal 10%, until now this MBA. In both directions, the same EVP logic that applies to Aether applies to me: mixing technical depth with HRM literacy is a professional proposition that few SAP consultants can match. </w:t>
      </w:r>
    </w:p>
    <w:p w14:paraId="2A002D4C" w14:textId="77777777" w:rsidR="003C4A68" w:rsidRDefault="00000000">
      <w:pPr>
        <w:pStyle w:val="Heading2"/>
        <w:spacing w:after="46" w:line="361" w:lineRule="auto"/>
        <w:ind w:left="-5"/>
      </w:pPr>
      <w:bookmarkStart w:id="17" w:name="_Toc15800"/>
      <w:r>
        <w:lastRenderedPageBreak/>
        <w:t xml:space="preserve">Step 5: Wrap What Are Some Other Things I Could Have Done? </w:t>
      </w:r>
      <w:bookmarkEnd w:id="17"/>
    </w:p>
    <w:p w14:paraId="63D68750" w14:textId="77777777" w:rsidR="003C4A68" w:rsidRDefault="00000000">
      <w:pPr>
        <w:spacing w:after="312"/>
        <w:ind w:left="-5" w:right="-5"/>
      </w:pPr>
      <w:r>
        <w:t xml:space="preserve">Connecting with primary journal sources earlier would have fine-tuned the critical analysis in Part 1. More directly, I could have drawn on my SAP consulting experience; one key consultant leaving mid-project creates the perfect knowledge-attrition dynamic that I diagnosed at Aether, creating an opportunity for richer reflection consistent with Schon's (1983) reflective practitioner model. </w:t>
      </w:r>
    </w:p>
    <w:p w14:paraId="3811E593" w14:textId="77777777" w:rsidR="003C4A68" w:rsidRDefault="00000000">
      <w:pPr>
        <w:pStyle w:val="Heading2"/>
        <w:ind w:left="-5"/>
      </w:pPr>
      <w:bookmarkStart w:id="18" w:name="_Toc15801"/>
      <w:r>
        <w:t xml:space="preserve">Stage 6: Action Plan Fostering Innovation and Growth Mindset </w:t>
      </w:r>
      <w:bookmarkEnd w:id="18"/>
    </w:p>
    <w:p w14:paraId="21A10641" w14:textId="77777777" w:rsidR="003C4A68" w:rsidRDefault="00000000">
      <w:pPr>
        <w:spacing w:after="314"/>
        <w:ind w:left="-5" w:right="-5"/>
      </w:pPr>
      <w:r>
        <w:rPr>
          <w:rFonts w:ascii="Calibri" w:eastAsia="Calibri" w:hAnsi="Calibri" w:cs="Calibri"/>
          <w:noProof/>
          <w:sz w:val="22"/>
        </w:rPr>
        <mc:AlternateContent>
          <mc:Choice Requires="wpg">
            <w:drawing>
              <wp:anchor distT="0" distB="0" distL="114300" distR="114300" simplePos="0" relativeHeight="251682816" behindDoc="0" locked="0" layoutInCell="1" allowOverlap="1" wp14:anchorId="11A513FC" wp14:editId="04FC7328">
                <wp:simplePos x="0" y="0"/>
                <wp:positionH relativeFrom="page">
                  <wp:posOffset>304800</wp:posOffset>
                </wp:positionH>
                <wp:positionV relativeFrom="page">
                  <wp:posOffset>310896</wp:posOffset>
                </wp:positionV>
                <wp:extent cx="6096" cy="10072116"/>
                <wp:effectExtent l="0" t="0" r="0" b="0"/>
                <wp:wrapSquare wrapText="bothSides"/>
                <wp:docPr id="12915" name="Group 12915"/>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54" name="Shape 16254"/>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915" style="width:0.48pt;height:793.08pt;position:absolute;mso-position-horizontal-relative:page;mso-position-horizontal:absolute;margin-left:24pt;mso-position-vertical-relative:page;margin-top:24.48pt;" coordsize="60,100721">
                <v:shape id="Shape 16255"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83840" behindDoc="0" locked="0" layoutInCell="1" allowOverlap="1" wp14:anchorId="63DA7961" wp14:editId="4F6F72C0">
                <wp:simplePos x="0" y="0"/>
                <wp:positionH relativeFrom="page">
                  <wp:posOffset>7251193</wp:posOffset>
                </wp:positionH>
                <wp:positionV relativeFrom="page">
                  <wp:posOffset>310896</wp:posOffset>
                </wp:positionV>
                <wp:extent cx="6096" cy="10072116"/>
                <wp:effectExtent l="0" t="0" r="0" b="0"/>
                <wp:wrapSquare wrapText="bothSides"/>
                <wp:docPr id="12916" name="Group 12916"/>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56" name="Shape 16256"/>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916" style="width:0.47998pt;height:793.08pt;position:absolute;mso-position-horizontal-relative:page;mso-position-horizontal:absolute;margin-left:570.96pt;mso-position-vertical-relative:page;margin-top:24.48pt;" coordsize="60,100721">
                <v:shape id="Shape 16257"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t xml:space="preserve">From Part 1’s wisdom, I pledge four actions. let’s start with applying the 70-20-10 model to myself: pursuing SAP assignments that give me courageous stretch (70%); looking for a Capgemini mentor who can be my bridge between technical and people leadership (20%); treating this MBA as there for applied learning rather than as credential (10%). Second, to apply for affiliate membership of CIPD, generating an HRM network to complement my SAP specialism just as Aether would benefit from the cross-functional collaboration I'm proposing above. Third, focus five systematic hours on development each week (following Senge’s (1990) learning organisation principles). Fourth, using this module’s integrated thinking thread linking people practices to commercial outcomes for every client engagement. </w:t>
      </w:r>
    </w:p>
    <w:p w14:paraId="3979BAE3" w14:textId="77777777" w:rsidR="003C4A68" w:rsidRDefault="00000000">
      <w:pPr>
        <w:pStyle w:val="Heading2"/>
        <w:spacing w:after="46" w:line="361" w:lineRule="auto"/>
        <w:ind w:left="-5"/>
      </w:pPr>
      <w:bookmarkStart w:id="19" w:name="_Toc15802"/>
      <w:r>
        <w:t xml:space="preserve">2.2 How to Remain Relevant in a Profession Transformed by AI </w:t>
      </w:r>
      <w:bookmarkEnd w:id="19"/>
    </w:p>
    <w:p w14:paraId="0E03770D" w14:textId="77777777" w:rsidR="003C4A68" w:rsidRDefault="00000000">
      <w:pPr>
        <w:spacing w:after="119"/>
        <w:ind w:left="-5" w:right="-5"/>
      </w:pPr>
      <w:r>
        <w:t xml:space="preserve">Autor (2015) argues that automation replaces routine, codifiable tasks yet cannot imitate complex judgement, contextual sensitivity or interpersonal nuance. In SAP consulting, AI can write test scripts for future systems and automate configuration of those but cannot reconnoitre a client’s culture, navigate stakeholder politics or translate technical capability into business strategy. Those activities define my worth, and they are beyond the grasp of A.I. </w:t>
      </w:r>
    </w:p>
    <w:p w14:paraId="35FAE65F" w14:textId="77777777" w:rsidR="003C4A68" w:rsidRDefault="00000000">
      <w:pPr>
        <w:ind w:left="-5" w:right="-5"/>
      </w:pPr>
      <w:r>
        <w:t xml:space="preserve">My method is intentional co-production: using AI for research, analysis and documentation while developing uniquely human skills. (2023) predicts: most resilient </w:t>
      </w:r>
      <w:r>
        <w:lastRenderedPageBreak/>
        <w:t xml:space="preserve">professionals will view AI as a force-multiplier rather than a threat. The HRM dimension is in some ways an obvious extension: decisions about employees’ careers and wellbeing have moral weight that algorithms simply cannot take on. Professionals who can couple technology fluency with ethical reasoning and people-centric leadership, will therefore be in disproportionate demand during digital transformation. </w:t>
      </w:r>
    </w:p>
    <w:p w14:paraId="75648A46" w14:textId="77777777" w:rsidR="003C4A68" w:rsidRDefault="00000000">
      <w:pPr>
        <w:spacing w:after="392"/>
        <w:ind w:left="-5" w:right="-5"/>
      </w:pPr>
      <w:r>
        <w:t xml:space="preserve">With my engineering background, SAP expertise, and MBA-level strategic management capabilities I place myself bang in the middle of precisely that intersection. </w:t>
      </w:r>
    </w:p>
    <w:p w14:paraId="2D198F60" w14:textId="77777777" w:rsidR="003C4A68" w:rsidRDefault="00000000">
      <w:pPr>
        <w:pStyle w:val="Heading1"/>
        <w:spacing w:after="223"/>
        <w:ind w:left="-5"/>
      </w:pPr>
      <w:bookmarkStart w:id="20" w:name="_Toc15803"/>
      <w:r>
        <w:rPr>
          <w:sz w:val="36"/>
        </w:rPr>
        <w:t xml:space="preserve">Conclusion </w:t>
      </w:r>
      <w:bookmarkEnd w:id="20"/>
    </w:p>
    <w:p w14:paraId="489E17BD" w14:textId="77777777" w:rsidR="003C4A68" w:rsidRDefault="00000000">
      <w:pPr>
        <w:spacing w:after="122"/>
        <w:ind w:left="-5" w:right="-5"/>
      </w:pPr>
      <w:r>
        <w:t>This explanation has mapped Gibbs' Reflective Cycle used in this reflection to the frameworks learnt during the HCM module with my professional development. I am personally applying this blueprint from research through the 70-20-10 model, CIPD engagement &amp; mentorship for sourcing mentorship and HiPo pathways in an Aether Innovations Build-dominant input for the talent ecosystem. The AI debate reaffirms that agility and distinctly human discretion are the standout</w:t>
      </w:r>
      <w:r>
        <w:rPr>
          <w:rFonts w:ascii="MS Gothic" w:eastAsia="MS Gothic" w:hAnsi="MS Gothic" w:cs="MS Gothic"/>
        </w:rPr>
        <w:t xml:space="preserve"> </w:t>
      </w:r>
      <w:r>
        <w:t xml:space="preserve">outcomes for job health going forward. </w:t>
      </w:r>
    </w:p>
    <w:p w14:paraId="74017A89" w14:textId="77777777" w:rsidR="003C4A68" w:rsidRDefault="00000000">
      <w:pPr>
        <w:spacing w:after="508" w:line="259" w:lineRule="auto"/>
        <w:ind w:left="0" w:firstLine="0"/>
        <w:jc w:val="left"/>
      </w:pPr>
      <w:r>
        <w:t xml:space="preserve"> </w:t>
      </w:r>
    </w:p>
    <w:p w14:paraId="765220F8" w14:textId="77777777" w:rsidR="000A270A" w:rsidRDefault="000A270A">
      <w:pPr>
        <w:spacing w:after="508" w:line="259" w:lineRule="auto"/>
        <w:ind w:left="0" w:firstLine="0"/>
        <w:jc w:val="left"/>
      </w:pPr>
    </w:p>
    <w:p w14:paraId="556C6595" w14:textId="77777777" w:rsidR="000A270A" w:rsidRDefault="000A270A">
      <w:pPr>
        <w:spacing w:after="508" w:line="259" w:lineRule="auto"/>
        <w:ind w:left="0" w:firstLine="0"/>
        <w:jc w:val="left"/>
      </w:pPr>
    </w:p>
    <w:p w14:paraId="60F84570" w14:textId="77777777" w:rsidR="000A270A" w:rsidRDefault="000A270A">
      <w:pPr>
        <w:spacing w:after="508" w:line="259" w:lineRule="auto"/>
        <w:ind w:left="0" w:firstLine="0"/>
        <w:jc w:val="left"/>
      </w:pPr>
    </w:p>
    <w:p w14:paraId="086FA50A" w14:textId="77777777" w:rsidR="000A270A" w:rsidRDefault="000A270A">
      <w:pPr>
        <w:spacing w:after="508" w:line="259" w:lineRule="auto"/>
        <w:ind w:left="0" w:firstLine="0"/>
        <w:jc w:val="left"/>
      </w:pPr>
    </w:p>
    <w:p w14:paraId="5134D18D" w14:textId="77777777" w:rsidR="000A270A" w:rsidRDefault="000A270A">
      <w:pPr>
        <w:spacing w:after="508" w:line="259" w:lineRule="auto"/>
        <w:ind w:left="0" w:firstLine="0"/>
        <w:jc w:val="left"/>
      </w:pPr>
    </w:p>
    <w:p w14:paraId="0E07E2B0" w14:textId="77777777" w:rsidR="000A270A" w:rsidRDefault="000A270A">
      <w:pPr>
        <w:spacing w:after="508" w:line="259" w:lineRule="auto"/>
        <w:ind w:left="0" w:firstLine="0"/>
        <w:jc w:val="left"/>
      </w:pPr>
    </w:p>
    <w:p w14:paraId="348EB21B" w14:textId="77777777" w:rsidR="000A270A" w:rsidRDefault="000A270A">
      <w:pPr>
        <w:spacing w:after="508" w:line="259" w:lineRule="auto"/>
        <w:ind w:left="0" w:firstLine="0"/>
        <w:jc w:val="left"/>
      </w:pPr>
    </w:p>
    <w:p w14:paraId="72DBFEF3" w14:textId="77777777" w:rsidR="000A270A" w:rsidRDefault="000A270A">
      <w:pPr>
        <w:spacing w:after="508" w:line="259" w:lineRule="auto"/>
        <w:ind w:left="0" w:firstLine="0"/>
        <w:jc w:val="left"/>
      </w:pPr>
    </w:p>
    <w:p w14:paraId="77C6C18B" w14:textId="77777777" w:rsidR="003C4A68" w:rsidRDefault="00000000">
      <w:pPr>
        <w:pStyle w:val="Heading1"/>
        <w:spacing w:after="223"/>
        <w:ind w:left="-5"/>
      </w:pPr>
      <w:bookmarkStart w:id="21" w:name="_Toc15804"/>
      <w:r>
        <w:rPr>
          <w:sz w:val="36"/>
        </w:rPr>
        <w:t xml:space="preserve">Reference List </w:t>
      </w:r>
      <w:bookmarkEnd w:id="21"/>
    </w:p>
    <w:p w14:paraId="1EFBE15E" w14:textId="77777777" w:rsidR="003C4A68" w:rsidRDefault="00000000">
      <w:pPr>
        <w:numPr>
          <w:ilvl w:val="0"/>
          <w:numId w:val="1"/>
        </w:numPr>
        <w:spacing w:after="135"/>
        <w:ind w:right="-5" w:hanging="360"/>
      </w:pPr>
      <w:r>
        <w:rPr>
          <w:rFonts w:ascii="Calibri" w:eastAsia="Calibri" w:hAnsi="Calibri" w:cs="Calibri"/>
          <w:noProof/>
          <w:sz w:val="22"/>
        </w:rPr>
        <mc:AlternateContent>
          <mc:Choice Requires="wpg">
            <w:drawing>
              <wp:anchor distT="0" distB="0" distL="114300" distR="114300" simplePos="0" relativeHeight="251684864" behindDoc="0" locked="0" layoutInCell="1" allowOverlap="1" wp14:anchorId="01921AE7" wp14:editId="5D1EB9A7">
                <wp:simplePos x="0" y="0"/>
                <wp:positionH relativeFrom="page">
                  <wp:posOffset>304800</wp:posOffset>
                </wp:positionH>
                <wp:positionV relativeFrom="page">
                  <wp:posOffset>310896</wp:posOffset>
                </wp:positionV>
                <wp:extent cx="6096" cy="10072116"/>
                <wp:effectExtent l="0" t="0" r="0" b="0"/>
                <wp:wrapSquare wrapText="bothSides"/>
                <wp:docPr id="13532" name="Group 13532"/>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58" name="Shape 16258"/>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3532" style="width:0.48pt;height:793.08pt;position:absolute;mso-position-horizontal-relative:page;mso-position-horizontal:absolute;margin-left:24pt;mso-position-vertical-relative:page;margin-top:24.48pt;" coordsize="60,100721">
                <v:shape id="Shape 16259"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85888" behindDoc="0" locked="0" layoutInCell="1" allowOverlap="1" wp14:anchorId="7EC51C2C" wp14:editId="6AD6CDDA">
                <wp:simplePos x="0" y="0"/>
                <wp:positionH relativeFrom="page">
                  <wp:posOffset>7251193</wp:posOffset>
                </wp:positionH>
                <wp:positionV relativeFrom="page">
                  <wp:posOffset>310896</wp:posOffset>
                </wp:positionV>
                <wp:extent cx="6096" cy="10072116"/>
                <wp:effectExtent l="0" t="0" r="0" b="0"/>
                <wp:wrapSquare wrapText="bothSides"/>
                <wp:docPr id="13533" name="Group 13533"/>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60" name="Shape 16260"/>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3533" style="width:0.47998pt;height:793.08pt;position:absolute;mso-position-horizontal-relative:page;mso-position-horizontal:absolute;margin-left:570.96pt;mso-position-vertical-relative:page;margin-top:24.48pt;" coordsize="60,100721">
                <v:shape id="Shape 16261"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t xml:space="preserve">Armstrong, M. and Taylor, S. (2020) Armstrong's Handbook of Human Resource Management Practice. 15th </w:t>
      </w:r>
      <w:proofErr w:type="spellStart"/>
      <w:r>
        <w:t>edn</w:t>
      </w:r>
      <w:proofErr w:type="spellEnd"/>
      <w:r>
        <w:t xml:space="preserve">. London: Kogan Page. </w:t>
      </w:r>
    </w:p>
    <w:p w14:paraId="40018DF8" w14:textId="77777777" w:rsidR="003C4A68" w:rsidRDefault="00000000">
      <w:pPr>
        <w:numPr>
          <w:ilvl w:val="0"/>
          <w:numId w:val="1"/>
        </w:numPr>
        <w:spacing w:after="138"/>
        <w:ind w:right="-5" w:hanging="360"/>
      </w:pPr>
      <w:r>
        <w:t xml:space="preserve">Autor, D.H. (2015) 'Why Are There Still So Many Jobs? The History and Future of Workplace Automation', Journal of Economic Perspectives, 29(3), pp. 3-30. </w:t>
      </w:r>
    </w:p>
    <w:p w14:paraId="16B02D20" w14:textId="77777777" w:rsidR="003C4A68" w:rsidRDefault="00000000">
      <w:pPr>
        <w:numPr>
          <w:ilvl w:val="0"/>
          <w:numId w:val="1"/>
        </w:numPr>
        <w:spacing w:after="138"/>
        <w:ind w:right="-5" w:hanging="360"/>
      </w:pPr>
      <w:r>
        <w:t xml:space="preserve">Barney, J. (1991) 'Firm Resources and Sustained Competitive Advantage', Journal of Management, 17(1), pp. 99 -120. </w:t>
      </w:r>
    </w:p>
    <w:p w14:paraId="7FBFE9C8" w14:textId="77777777" w:rsidR="003C4A68" w:rsidRDefault="00000000">
      <w:pPr>
        <w:numPr>
          <w:ilvl w:val="0"/>
          <w:numId w:val="1"/>
        </w:numPr>
        <w:spacing w:after="136"/>
        <w:ind w:right="-5" w:hanging="360"/>
      </w:pPr>
      <w:r>
        <w:t xml:space="preserve">Becker, G.S. (1964) Human Capital: A Theoretical and Empirical Analysis. New York: Columbia University Press. </w:t>
      </w:r>
    </w:p>
    <w:p w14:paraId="0078909A" w14:textId="77777777" w:rsidR="003C4A68" w:rsidRDefault="00000000">
      <w:pPr>
        <w:numPr>
          <w:ilvl w:val="0"/>
          <w:numId w:val="1"/>
        </w:numPr>
        <w:spacing w:after="135"/>
        <w:ind w:right="-5" w:hanging="360"/>
      </w:pPr>
      <w:r>
        <w:t xml:space="preserve">Boudreau, J.W. and Ramstad, P.M. (2007) Beyond HR: The New Science of Human Capital. Boston, MA: Harvard Business School Press. </w:t>
      </w:r>
    </w:p>
    <w:p w14:paraId="2C5009A3" w14:textId="77777777" w:rsidR="003C4A68" w:rsidRDefault="00000000">
      <w:pPr>
        <w:numPr>
          <w:ilvl w:val="0"/>
          <w:numId w:val="1"/>
        </w:numPr>
        <w:spacing w:after="138"/>
        <w:ind w:right="-5" w:hanging="360"/>
      </w:pPr>
      <w:r>
        <w:t xml:space="preserve">Cappelli, P. (2008) Talent on Demand: Managing Talent in an Age of Uncertainty. Boston, MA: Harvard Business School Press. </w:t>
      </w:r>
    </w:p>
    <w:p w14:paraId="158E73B5" w14:textId="77777777" w:rsidR="003C4A68" w:rsidRDefault="00000000">
      <w:pPr>
        <w:numPr>
          <w:ilvl w:val="0"/>
          <w:numId w:val="1"/>
        </w:numPr>
        <w:ind w:right="-5" w:hanging="360"/>
      </w:pPr>
      <w:r>
        <w:t xml:space="preserve">Cappelli, P. and Keller, J.R. (2014) 'Talent Management: Conceptual Approaches and Practical Challenges', Annual Review of Organizational Psychology and Organizational </w:t>
      </w:r>
      <w:proofErr w:type="spellStart"/>
      <w:r>
        <w:t>Behavior</w:t>
      </w:r>
      <w:proofErr w:type="spellEnd"/>
      <w:r>
        <w:t xml:space="preserve">, 1, pp. 305 -331. </w:t>
      </w:r>
    </w:p>
    <w:p w14:paraId="14F99C4B" w14:textId="77777777" w:rsidR="003C4A68" w:rsidRDefault="003C4A68">
      <w:pPr>
        <w:sectPr w:rsidR="003C4A68">
          <w:headerReference w:type="even" r:id="rId8"/>
          <w:headerReference w:type="default" r:id="rId9"/>
          <w:footerReference w:type="even" r:id="rId10"/>
          <w:footerReference w:type="default" r:id="rId11"/>
          <w:headerReference w:type="first" r:id="rId12"/>
          <w:footerReference w:type="first" r:id="rId13"/>
          <w:pgSz w:w="11906" w:h="16838"/>
          <w:pgMar w:top="1471" w:right="1435" w:bottom="1625" w:left="1440" w:header="480" w:footer="478" w:gutter="0"/>
          <w:cols w:space="720"/>
        </w:sectPr>
      </w:pPr>
    </w:p>
    <w:p w14:paraId="46EDA78D" w14:textId="77777777" w:rsidR="003C4A68" w:rsidRDefault="003C4A68">
      <w:pPr>
        <w:spacing w:after="0" w:line="259" w:lineRule="auto"/>
        <w:ind w:left="-1440" w:right="10466" w:firstLine="0"/>
        <w:jc w:val="left"/>
      </w:pPr>
    </w:p>
    <w:tbl>
      <w:tblPr>
        <w:tblStyle w:val="TableGrid"/>
        <w:tblW w:w="10939" w:type="dxa"/>
        <w:tblInd w:w="-955" w:type="dxa"/>
        <w:tblCellMar>
          <w:top w:w="0" w:type="dxa"/>
          <w:left w:w="0" w:type="dxa"/>
          <w:bottom w:w="223" w:type="dxa"/>
          <w:right w:w="183" w:type="dxa"/>
        </w:tblCellMar>
        <w:tblLook w:val="04A0" w:firstRow="1" w:lastRow="0" w:firstColumn="1" w:lastColumn="0" w:noHBand="0" w:noVBand="1"/>
      </w:tblPr>
      <w:tblGrid>
        <w:gridCol w:w="1676"/>
        <w:gridCol w:w="9263"/>
      </w:tblGrid>
      <w:tr w:rsidR="003C4A68" w14:paraId="1C70E3ED" w14:textId="77777777">
        <w:trPr>
          <w:trHeight w:val="15871"/>
        </w:trPr>
        <w:tc>
          <w:tcPr>
            <w:tcW w:w="1676" w:type="dxa"/>
            <w:tcBorders>
              <w:top w:val="single" w:sz="4" w:space="0" w:color="000000"/>
              <w:left w:val="single" w:sz="4" w:space="0" w:color="000000"/>
              <w:bottom w:val="single" w:sz="4" w:space="0" w:color="000000"/>
              <w:right w:val="nil"/>
            </w:tcBorders>
            <w:vAlign w:val="bottom"/>
          </w:tcPr>
          <w:p w14:paraId="26419431" w14:textId="77777777" w:rsidR="003C4A68" w:rsidRDefault="00000000">
            <w:pPr>
              <w:spacing w:after="1039" w:line="259" w:lineRule="auto"/>
              <w:ind w:left="1316" w:firstLine="0"/>
              <w:jc w:val="left"/>
            </w:pPr>
            <w:r>
              <w:rPr>
                <w:rFonts w:ascii="Segoe UI Symbol" w:eastAsia="Segoe UI Symbol" w:hAnsi="Segoe UI Symbol" w:cs="Segoe UI Symbol"/>
              </w:rPr>
              <w:lastRenderedPageBreak/>
              <w:t>•</w:t>
            </w:r>
            <w:r>
              <w:t xml:space="preserve"> </w:t>
            </w:r>
          </w:p>
          <w:p w14:paraId="3CDEF45E" w14:textId="77777777" w:rsidR="003C4A68" w:rsidRDefault="00000000">
            <w:pPr>
              <w:spacing w:after="626" w:line="259" w:lineRule="auto"/>
              <w:ind w:left="1316" w:firstLine="0"/>
              <w:jc w:val="left"/>
            </w:pPr>
            <w:r>
              <w:rPr>
                <w:rFonts w:ascii="Segoe UI Symbol" w:eastAsia="Segoe UI Symbol" w:hAnsi="Segoe UI Symbol" w:cs="Segoe UI Symbol"/>
              </w:rPr>
              <w:t>•</w:t>
            </w:r>
            <w:r>
              <w:t xml:space="preserve"> </w:t>
            </w:r>
          </w:p>
          <w:p w14:paraId="50518873" w14:textId="77777777" w:rsidR="003C4A68" w:rsidRDefault="00000000">
            <w:pPr>
              <w:spacing w:after="626" w:line="259" w:lineRule="auto"/>
              <w:ind w:left="1316" w:firstLine="0"/>
              <w:jc w:val="left"/>
            </w:pPr>
            <w:r>
              <w:rPr>
                <w:rFonts w:ascii="Segoe UI Symbol" w:eastAsia="Segoe UI Symbol" w:hAnsi="Segoe UI Symbol" w:cs="Segoe UI Symbol"/>
              </w:rPr>
              <w:t>•</w:t>
            </w:r>
            <w:r>
              <w:t xml:space="preserve"> </w:t>
            </w:r>
          </w:p>
          <w:p w14:paraId="62EC767F" w14:textId="77777777" w:rsidR="003C4A68" w:rsidRDefault="00000000">
            <w:pPr>
              <w:spacing w:after="624" w:line="259" w:lineRule="auto"/>
              <w:ind w:left="1316" w:firstLine="0"/>
              <w:jc w:val="left"/>
            </w:pPr>
            <w:r>
              <w:rPr>
                <w:rFonts w:ascii="Segoe UI Symbol" w:eastAsia="Segoe UI Symbol" w:hAnsi="Segoe UI Symbol" w:cs="Segoe UI Symbol"/>
              </w:rPr>
              <w:t>•</w:t>
            </w:r>
            <w:r>
              <w:t xml:space="preserve"> </w:t>
            </w:r>
          </w:p>
          <w:p w14:paraId="248AD45C" w14:textId="77777777" w:rsidR="003C4A68" w:rsidRDefault="00000000">
            <w:pPr>
              <w:spacing w:after="1041" w:line="259" w:lineRule="auto"/>
              <w:ind w:left="1316" w:firstLine="0"/>
              <w:jc w:val="left"/>
            </w:pPr>
            <w:r>
              <w:rPr>
                <w:rFonts w:ascii="Segoe UI Symbol" w:eastAsia="Segoe UI Symbol" w:hAnsi="Segoe UI Symbol" w:cs="Segoe UI Symbol"/>
              </w:rPr>
              <w:t>•</w:t>
            </w:r>
            <w:r>
              <w:t xml:space="preserve"> </w:t>
            </w:r>
          </w:p>
          <w:p w14:paraId="7D018850" w14:textId="77777777" w:rsidR="003C4A68" w:rsidRDefault="00000000">
            <w:pPr>
              <w:spacing w:after="624" w:line="259" w:lineRule="auto"/>
              <w:ind w:left="1316" w:firstLine="0"/>
              <w:jc w:val="left"/>
            </w:pPr>
            <w:r>
              <w:rPr>
                <w:rFonts w:ascii="Segoe UI Symbol" w:eastAsia="Segoe UI Symbol" w:hAnsi="Segoe UI Symbol" w:cs="Segoe UI Symbol"/>
              </w:rPr>
              <w:t>•</w:t>
            </w:r>
            <w:r>
              <w:t xml:space="preserve"> </w:t>
            </w:r>
          </w:p>
          <w:p w14:paraId="3ED75C6C" w14:textId="77777777" w:rsidR="003C4A68" w:rsidRDefault="00000000">
            <w:pPr>
              <w:spacing w:after="1454" w:line="259" w:lineRule="auto"/>
              <w:ind w:left="1316" w:firstLine="0"/>
              <w:jc w:val="left"/>
            </w:pPr>
            <w:r>
              <w:rPr>
                <w:rFonts w:ascii="Segoe UI Symbol" w:eastAsia="Segoe UI Symbol" w:hAnsi="Segoe UI Symbol" w:cs="Segoe UI Symbol"/>
              </w:rPr>
              <w:t>•</w:t>
            </w:r>
            <w:r>
              <w:t xml:space="preserve"> </w:t>
            </w:r>
          </w:p>
          <w:p w14:paraId="670182B5" w14:textId="77777777" w:rsidR="003C4A68" w:rsidRDefault="00000000">
            <w:pPr>
              <w:spacing w:after="626" w:line="259" w:lineRule="auto"/>
              <w:ind w:left="1316" w:firstLine="0"/>
              <w:jc w:val="left"/>
            </w:pPr>
            <w:r>
              <w:rPr>
                <w:rFonts w:ascii="Segoe UI Symbol" w:eastAsia="Segoe UI Symbol" w:hAnsi="Segoe UI Symbol" w:cs="Segoe UI Symbol"/>
              </w:rPr>
              <w:t>•</w:t>
            </w:r>
            <w:r>
              <w:t xml:space="preserve"> </w:t>
            </w:r>
          </w:p>
          <w:p w14:paraId="4000540A" w14:textId="77777777" w:rsidR="003C4A68" w:rsidRDefault="00000000">
            <w:pPr>
              <w:spacing w:after="624" w:line="259" w:lineRule="auto"/>
              <w:ind w:left="1316" w:firstLine="0"/>
              <w:jc w:val="left"/>
            </w:pPr>
            <w:r>
              <w:rPr>
                <w:rFonts w:ascii="Segoe UI Symbol" w:eastAsia="Segoe UI Symbol" w:hAnsi="Segoe UI Symbol" w:cs="Segoe UI Symbol"/>
              </w:rPr>
              <w:t>•</w:t>
            </w:r>
            <w:r>
              <w:t xml:space="preserve"> </w:t>
            </w:r>
          </w:p>
          <w:p w14:paraId="67A4C7E4" w14:textId="77777777" w:rsidR="003C4A68" w:rsidRDefault="00000000">
            <w:pPr>
              <w:spacing w:after="627" w:line="259" w:lineRule="auto"/>
              <w:ind w:left="1316" w:firstLine="0"/>
              <w:jc w:val="left"/>
            </w:pPr>
            <w:r>
              <w:rPr>
                <w:rFonts w:ascii="Segoe UI Symbol" w:eastAsia="Segoe UI Symbol" w:hAnsi="Segoe UI Symbol" w:cs="Segoe UI Symbol"/>
              </w:rPr>
              <w:t>•</w:t>
            </w:r>
            <w:r>
              <w:t xml:space="preserve"> </w:t>
            </w:r>
          </w:p>
          <w:p w14:paraId="379561E0" w14:textId="77777777" w:rsidR="003C4A68" w:rsidRDefault="00000000">
            <w:pPr>
              <w:spacing w:after="626" w:line="259" w:lineRule="auto"/>
              <w:ind w:left="1316" w:firstLine="0"/>
              <w:jc w:val="left"/>
            </w:pPr>
            <w:r>
              <w:rPr>
                <w:rFonts w:ascii="Segoe UI Symbol" w:eastAsia="Segoe UI Symbol" w:hAnsi="Segoe UI Symbol" w:cs="Segoe UI Symbol"/>
              </w:rPr>
              <w:t>•</w:t>
            </w:r>
            <w:r>
              <w:t xml:space="preserve"> </w:t>
            </w:r>
          </w:p>
          <w:p w14:paraId="78D8A55D" w14:textId="77777777" w:rsidR="003C4A68" w:rsidRDefault="00000000">
            <w:pPr>
              <w:spacing w:after="623" w:line="259" w:lineRule="auto"/>
              <w:ind w:left="1316" w:firstLine="0"/>
              <w:jc w:val="left"/>
            </w:pPr>
            <w:r>
              <w:rPr>
                <w:rFonts w:ascii="Segoe UI Symbol" w:eastAsia="Segoe UI Symbol" w:hAnsi="Segoe UI Symbol" w:cs="Segoe UI Symbol"/>
              </w:rPr>
              <w:t>•</w:t>
            </w:r>
            <w:r>
              <w:t xml:space="preserve"> </w:t>
            </w:r>
          </w:p>
          <w:p w14:paraId="2A4CDC91" w14:textId="77777777" w:rsidR="003C4A68" w:rsidRDefault="00000000">
            <w:pPr>
              <w:spacing w:after="830" w:line="259" w:lineRule="auto"/>
              <w:ind w:left="1316" w:firstLine="0"/>
              <w:jc w:val="left"/>
            </w:pPr>
            <w:r>
              <w:rPr>
                <w:rFonts w:ascii="Segoe UI Symbol" w:eastAsia="Segoe UI Symbol" w:hAnsi="Segoe UI Symbol" w:cs="Segoe UI Symbol"/>
              </w:rPr>
              <w:lastRenderedPageBreak/>
              <w:t>•</w:t>
            </w:r>
            <w:r>
              <w:t xml:space="preserve"> </w:t>
            </w:r>
          </w:p>
          <w:p w14:paraId="61B68336" w14:textId="77777777" w:rsidR="003C4A68" w:rsidRDefault="00000000">
            <w:pPr>
              <w:spacing w:after="0" w:line="259" w:lineRule="auto"/>
              <w:ind w:left="485" w:firstLine="0"/>
              <w:jc w:val="center"/>
            </w:pPr>
            <w:r>
              <w:t xml:space="preserve"> </w:t>
            </w:r>
          </w:p>
        </w:tc>
        <w:tc>
          <w:tcPr>
            <w:tcW w:w="9264" w:type="dxa"/>
            <w:tcBorders>
              <w:top w:val="single" w:sz="4" w:space="0" w:color="000000"/>
              <w:left w:val="nil"/>
              <w:bottom w:val="single" w:sz="4" w:space="0" w:color="000000"/>
              <w:right w:val="single" w:sz="4" w:space="0" w:color="000000"/>
            </w:tcBorders>
            <w:vAlign w:val="bottom"/>
          </w:tcPr>
          <w:p w14:paraId="31D494F8" w14:textId="77777777" w:rsidR="003C4A68" w:rsidRDefault="00000000">
            <w:pPr>
              <w:spacing w:after="136"/>
              <w:ind w:left="0" w:right="781" w:firstLine="0"/>
            </w:pPr>
            <w:r>
              <w:lastRenderedPageBreak/>
              <w:t xml:space="preserve">Chaudhuri, S. and Ghosh, R. (2012) 'Reverse Mentoring: A Social Exchange Tool for Keeping the Boomers Engaged and Millennials Committed', Human Resource Development Review, 11(1), pp. 55-76. </w:t>
            </w:r>
          </w:p>
          <w:p w14:paraId="4363CC94" w14:textId="77777777" w:rsidR="003C4A68" w:rsidRDefault="00000000">
            <w:pPr>
              <w:spacing w:after="139" w:line="359" w:lineRule="auto"/>
              <w:ind w:left="0" w:firstLine="0"/>
            </w:pPr>
            <w:r>
              <w:t xml:space="preserve">CIPD (2023) Resourcing and Talent Planning Survey. London: Chartered Institute of Personnel and Development. </w:t>
            </w:r>
          </w:p>
          <w:p w14:paraId="66AC257A" w14:textId="77777777" w:rsidR="003C4A68" w:rsidRDefault="00000000">
            <w:pPr>
              <w:spacing w:after="139" w:line="359" w:lineRule="auto"/>
              <w:ind w:left="0" w:firstLine="0"/>
            </w:pPr>
            <w:r>
              <w:t xml:space="preserve">Clutterbuck, D. (2004) Everyone Needs a Mentor: Fostering Talent in Your Organisation. 4th </w:t>
            </w:r>
            <w:proofErr w:type="spellStart"/>
            <w:r>
              <w:t>edn</w:t>
            </w:r>
            <w:proofErr w:type="spellEnd"/>
            <w:r>
              <w:t xml:space="preserve">. London: CIPD. </w:t>
            </w:r>
          </w:p>
          <w:p w14:paraId="75269FBF" w14:textId="77777777" w:rsidR="003C4A68" w:rsidRDefault="00000000">
            <w:pPr>
              <w:spacing w:after="136"/>
              <w:ind w:left="0" w:firstLine="0"/>
            </w:pPr>
            <w:r>
              <w:t xml:space="preserve">Gibbs, G. (1988) Learning by Doing: A Guide to Teaching and Learning Methods. Oxford: Further Education Unit, Oxford Polytechnic. </w:t>
            </w:r>
          </w:p>
          <w:p w14:paraId="65CB47D6" w14:textId="77777777" w:rsidR="003C4A68" w:rsidRDefault="00000000">
            <w:pPr>
              <w:spacing w:after="138"/>
              <w:ind w:left="0" w:right="770" w:firstLine="0"/>
            </w:pPr>
            <w:r>
              <w:t xml:space="preserve">Kahn, W.A. (1990) 'Psychological Conditions of Personal Engagement and Disengagement at Work', Academy of Management Journal, 33(4), pp. 692724. </w:t>
            </w:r>
          </w:p>
          <w:p w14:paraId="428FDAD9" w14:textId="77777777" w:rsidR="003C4A68" w:rsidRDefault="00000000">
            <w:pPr>
              <w:spacing w:after="137" w:line="359" w:lineRule="auto"/>
              <w:ind w:left="0" w:firstLine="0"/>
              <w:jc w:val="left"/>
            </w:pPr>
            <w:r>
              <w:t xml:space="preserve">Lombardo, M.M. and Eichinger, R.W. (1996) The Career Architect Development Planner. Minneapolis, MN: </w:t>
            </w:r>
            <w:proofErr w:type="spellStart"/>
            <w:r>
              <w:t>Lominger</w:t>
            </w:r>
            <w:proofErr w:type="spellEnd"/>
            <w:r>
              <w:t xml:space="preserve">. </w:t>
            </w:r>
          </w:p>
          <w:p w14:paraId="23CB8536" w14:textId="77777777" w:rsidR="003C4A68" w:rsidRDefault="00000000">
            <w:pPr>
              <w:spacing w:after="138"/>
              <w:ind w:left="0" w:right="770" w:firstLine="0"/>
            </w:pPr>
            <w:r>
              <w:t xml:space="preserve">MacDuffie, J.P. (1995) 'Human Resource Bundles and Manufacturing Performance: Organizational Logic and Flexible Production Systems in the World Auto Industry', Industrial and Labor Relations Review, 48(2), pp. 197221. </w:t>
            </w:r>
          </w:p>
          <w:p w14:paraId="51C21BF1" w14:textId="77777777" w:rsidR="003C4A68" w:rsidRDefault="00000000">
            <w:pPr>
              <w:spacing w:after="115" w:line="259" w:lineRule="auto"/>
              <w:ind w:left="0" w:firstLine="0"/>
              <w:jc w:val="left"/>
            </w:pPr>
            <w:r>
              <w:t xml:space="preserve">Michaels, E., Handfield-Jones, H. and Axelrod, B. (2001) The War for Talent. </w:t>
            </w:r>
          </w:p>
          <w:p w14:paraId="1EB6D6A7" w14:textId="77777777" w:rsidR="003C4A68" w:rsidRDefault="00000000">
            <w:pPr>
              <w:spacing w:after="254" w:line="259" w:lineRule="auto"/>
              <w:ind w:left="0" w:firstLine="0"/>
              <w:jc w:val="left"/>
            </w:pPr>
            <w:r>
              <w:t xml:space="preserve">Boston, MA: Harvard Business School Press. </w:t>
            </w:r>
          </w:p>
          <w:p w14:paraId="67557FEF" w14:textId="77777777" w:rsidR="003C4A68" w:rsidRDefault="00000000">
            <w:pPr>
              <w:spacing w:after="137" w:line="359" w:lineRule="auto"/>
              <w:ind w:left="0" w:firstLine="0"/>
            </w:pPr>
            <w:proofErr w:type="spellStart"/>
            <w:r>
              <w:t>Minchington</w:t>
            </w:r>
            <w:proofErr w:type="spellEnd"/>
            <w:r>
              <w:t xml:space="preserve">, B. (2010) Employer Brand Leadership: A Global Perspective. </w:t>
            </w:r>
            <w:proofErr w:type="spellStart"/>
            <w:r>
              <w:t>Torrensville</w:t>
            </w:r>
            <w:proofErr w:type="spellEnd"/>
            <w:r>
              <w:t xml:space="preserve">: Collective Learning Australia. </w:t>
            </w:r>
          </w:p>
          <w:p w14:paraId="5619E7AA" w14:textId="77777777" w:rsidR="003C4A68" w:rsidRDefault="00000000">
            <w:pPr>
              <w:spacing w:after="134" w:line="362" w:lineRule="auto"/>
              <w:ind w:left="0" w:firstLine="0"/>
            </w:pPr>
            <w:r>
              <w:t xml:space="preserve">Rousseau, D.M. (1989) 'Psychological and Implied Contracts in Organizations', Employee Responsibilities and Rights Journal, 2(2), pp. 121 -139. </w:t>
            </w:r>
          </w:p>
          <w:p w14:paraId="3AD9378E" w14:textId="77777777" w:rsidR="003C4A68" w:rsidRDefault="00000000">
            <w:pPr>
              <w:spacing w:after="139" w:line="359" w:lineRule="auto"/>
              <w:ind w:left="0" w:firstLine="0"/>
            </w:pPr>
            <w:r>
              <w:t xml:space="preserve">Schon, D.A. (1983) The Reflective Practitioner: How Professionals Think in Action. New York: Basic Books. </w:t>
            </w:r>
          </w:p>
          <w:p w14:paraId="3A351169" w14:textId="77777777" w:rsidR="003C4A68" w:rsidRDefault="00000000">
            <w:pPr>
              <w:spacing w:after="137" w:line="359" w:lineRule="auto"/>
              <w:ind w:left="0" w:firstLine="0"/>
            </w:pPr>
            <w:r>
              <w:t xml:space="preserve">Senge, P.M. (1990) The Fifth Discipline: The Art and Practice of the Learning Organization. New York: Doubleday. </w:t>
            </w:r>
          </w:p>
          <w:p w14:paraId="20E9C648" w14:textId="77777777" w:rsidR="003C4A68" w:rsidRDefault="00000000">
            <w:pPr>
              <w:spacing w:after="67" w:line="361" w:lineRule="auto"/>
              <w:ind w:left="0" w:right="100" w:firstLine="0"/>
            </w:pPr>
            <w:r>
              <w:t xml:space="preserve">Ulrich, D. (1997) Human Resource Champions: The Next Agenda for Adding Value and Delivering Results. Boston, MA: Harvard Business School Press. </w:t>
            </w:r>
          </w:p>
          <w:p w14:paraId="43688987" w14:textId="77777777" w:rsidR="003C4A68" w:rsidRDefault="00000000">
            <w:pPr>
              <w:spacing w:after="0" w:line="259" w:lineRule="auto"/>
              <w:ind w:left="3661" w:firstLine="0"/>
              <w:jc w:val="left"/>
            </w:pPr>
            <w:r>
              <w:rPr>
                <w:color w:val="156082"/>
              </w:rPr>
              <w:t xml:space="preserve">15 </w:t>
            </w:r>
          </w:p>
        </w:tc>
      </w:tr>
    </w:tbl>
    <w:p w14:paraId="31E4B372" w14:textId="77777777" w:rsidR="003C4A68" w:rsidRDefault="003C4A68">
      <w:pPr>
        <w:spacing w:after="0" w:line="259" w:lineRule="auto"/>
        <w:ind w:left="-1440" w:right="10466" w:firstLine="0"/>
        <w:jc w:val="left"/>
      </w:pPr>
    </w:p>
    <w:tbl>
      <w:tblPr>
        <w:tblStyle w:val="TableGrid"/>
        <w:tblW w:w="10939" w:type="dxa"/>
        <w:tblInd w:w="-955" w:type="dxa"/>
        <w:tblCellMar>
          <w:top w:w="0" w:type="dxa"/>
          <w:left w:w="0" w:type="dxa"/>
          <w:bottom w:w="223" w:type="dxa"/>
          <w:right w:w="183" w:type="dxa"/>
        </w:tblCellMar>
        <w:tblLook w:val="04A0" w:firstRow="1" w:lastRow="0" w:firstColumn="1" w:lastColumn="0" w:noHBand="0" w:noVBand="1"/>
      </w:tblPr>
      <w:tblGrid>
        <w:gridCol w:w="1676"/>
        <w:gridCol w:w="9263"/>
      </w:tblGrid>
      <w:tr w:rsidR="003C4A68" w14:paraId="6A5914AB" w14:textId="77777777">
        <w:trPr>
          <w:trHeight w:val="15871"/>
        </w:trPr>
        <w:tc>
          <w:tcPr>
            <w:tcW w:w="1676" w:type="dxa"/>
            <w:tcBorders>
              <w:top w:val="single" w:sz="4" w:space="0" w:color="000000"/>
              <w:left w:val="single" w:sz="4" w:space="0" w:color="000000"/>
              <w:bottom w:val="single" w:sz="4" w:space="0" w:color="000000"/>
              <w:right w:val="nil"/>
            </w:tcBorders>
            <w:vAlign w:val="bottom"/>
          </w:tcPr>
          <w:p w14:paraId="2DC4E6AB" w14:textId="77777777" w:rsidR="003C4A68" w:rsidRDefault="00000000">
            <w:pPr>
              <w:spacing w:after="604" w:line="259" w:lineRule="auto"/>
              <w:ind w:left="0" w:right="67" w:firstLine="0"/>
              <w:jc w:val="right"/>
            </w:pPr>
            <w:r>
              <w:rPr>
                <w:rFonts w:ascii="Segoe UI Symbol" w:eastAsia="Segoe UI Symbol" w:hAnsi="Segoe UI Symbol" w:cs="Segoe UI Symbol"/>
              </w:rPr>
              <w:lastRenderedPageBreak/>
              <w:t>•</w:t>
            </w:r>
            <w:r>
              <w:t xml:space="preserve"> </w:t>
            </w:r>
          </w:p>
          <w:p w14:paraId="75D2082F" w14:textId="77777777" w:rsidR="003C4A68" w:rsidRDefault="00000000">
            <w:pPr>
              <w:spacing w:after="235" w:line="259" w:lineRule="auto"/>
              <w:ind w:left="1316" w:firstLine="0"/>
              <w:jc w:val="left"/>
            </w:pPr>
            <w:r>
              <w:t xml:space="preserve"> </w:t>
            </w:r>
          </w:p>
          <w:p w14:paraId="1590D9A7" w14:textId="77777777" w:rsidR="003C4A68" w:rsidRDefault="00000000">
            <w:pPr>
              <w:spacing w:after="12621" w:line="259" w:lineRule="auto"/>
              <w:ind w:left="485" w:firstLine="0"/>
              <w:jc w:val="center"/>
            </w:pPr>
            <w:r>
              <w:lastRenderedPageBreak/>
              <w:t xml:space="preserve"> </w:t>
            </w:r>
          </w:p>
          <w:p w14:paraId="70FAA8C4" w14:textId="77777777" w:rsidR="003C4A68" w:rsidRDefault="00000000">
            <w:pPr>
              <w:spacing w:after="0" w:line="259" w:lineRule="auto"/>
              <w:ind w:left="485" w:firstLine="0"/>
              <w:jc w:val="center"/>
            </w:pPr>
            <w:r>
              <w:t xml:space="preserve"> </w:t>
            </w:r>
          </w:p>
        </w:tc>
        <w:tc>
          <w:tcPr>
            <w:tcW w:w="9264" w:type="dxa"/>
            <w:tcBorders>
              <w:top w:val="single" w:sz="4" w:space="0" w:color="000000"/>
              <w:left w:val="nil"/>
              <w:bottom w:val="single" w:sz="4" w:space="0" w:color="000000"/>
              <w:right w:val="single" w:sz="4" w:space="0" w:color="000000"/>
            </w:tcBorders>
            <w:vAlign w:val="bottom"/>
          </w:tcPr>
          <w:p w14:paraId="5B2963E2" w14:textId="77777777" w:rsidR="003C4A68" w:rsidRDefault="00000000">
            <w:pPr>
              <w:spacing w:after="13298" w:line="359" w:lineRule="auto"/>
              <w:ind w:left="0" w:firstLine="0"/>
            </w:pPr>
            <w:r>
              <w:lastRenderedPageBreak/>
              <w:t xml:space="preserve">World Economic Forum (2023) The Future of Jobs Report 2023. Geneva: World Economic Forum. </w:t>
            </w:r>
          </w:p>
          <w:p w14:paraId="5DE9B888" w14:textId="77777777" w:rsidR="003C4A68" w:rsidRDefault="00000000">
            <w:pPr>
              <w:spacing w:after="0" w:line="259" w:lineRule="auto"/>
              <w:ind w:left="3661" w:firstLine="0"/>
              <w:jc w:val="left"/>
            </w:pPr>
            <w:r>
              <w:rPr>
                <w:color w:val="156082"/>
              </w:rPr>
              <w:lastRenderedPageBreak/>
              <w:t xml:space="preserve">16 </w:t>
            </w:r>
          </w:p>
        </w:tc>
      </w:tr>
    </w:tbl>
    <w:p w14:paraId="767AC719" w14:textId="77777777" w:rsidR="00FD32D3" w:rsidRDefault="00FD32D3"/>
    <w:sectPr w:rsidR="00FD32D3">
      <w:headerReference w:type="even" r:id="rId14"/>
      <w:headerReference w:type="default" r:id="rId15"/>
      <w:footerReference w:type="even" r:id="rId16"/>
      <w:footerReference w:type="default" r:id="rId17"/>
      <w:headerReference w:type="first" r:id="rId18"/>
      <w:footerReference w:type="first" r:id="rId19"/>
      <w:pgSz w:w="11906" w:h="16838"/>
      <w:pgMar w:top="485" w:right="1440" w:bottom="482"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6F4E5B" w14:textId="77777777" w:rsidR="00FD32D3" w:rsidRDefault="00FD32D3">
      <w:pPr>
        <w:spacing w:after="0" w:line="240" w:lineRule="auto"/>
      </w:pPr>
      <w:r>
        <w:separator/>
      </w:r>
    </w:p>
  </w:endnote>
  <w:endnote w:type="continuationSeparator" w:id="0">
    <w:p w14:paraId="206D1C06" w14:textId="77777777" w:rsidR="00FD32D3" w:rsidRDefault="00FD32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63BFEE" w14:textId="77777777" w:rsidR="003C4A68" w:rsidRDefault="00000000">
    <w:pPr>
      <w:spacing w:after="0" w:line="259" w:lineRule="auto"/>
      <w:ind w:left="0" w:right="7" w:firstLine="0"/>
      <w:jc w:val="center"/>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61F2A423" wp14:editId="348FCF52">
              <wp:simplePos x="0" y="0"/>
              <wp:positionH relativeFrom="page">
                <wp:posOffset>304800</wp:posOffset>
              </wp:positionH>
              <wp:positionV relativeFrom="page">
                <wp:posOffset>10383012</wp:posOffset>
              </wp:positionV>
              <wp:extent cx="6952488" cy="6096"/>
              <wp:effectExtent l="0" t="0" r="0" b="0"/>
              <wp:wrapSquare wrapText="bothSides"/>
              <wp:docPr id="15435" name="Group 15435"/>
              <wp:cNvGraphicFramePr/>
              <a:graphic xmlns:a="http://schemas.openxmlformats.org/drawingml/2006/main">
                <a:graphicData uri="http://schemas.microsoft.com/office/word/2010/wordprocessingGroup">
                  <wpg:wgp>
                    <wpg:cNvGrpSpPr/>
                    <wpg:grpSpPr>
                      <a:xfrm>
                        <a:off x="0" y="0"/>
                        <a:ext cx="6952488" cy="6096"/>
                        <a:chOff x="0" y="0"/>
                        <a:chExt cx="6952488" cy="6096"/>
                      </a:xfrm>
                    </wpg:grpSpPr>
                    <wps:wsp>
                      <wps:cNvPr id="16292" name="Shape 16292"/>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93" name="Shape 16293"/>
                      <wps:cNvSpPr/>
                      <wps:spPr>
                        <a:xfrm>
                          <a:off x="6096" y="0"/>
                          <a:ext cx="6940296" cy="9144"/>
                        </a:xfrm>
                        <a:custGeom>
                          <a:avLst/>
                          <a:gdLst/>
                          <a:ahLst/>
                          <a:cxnLst/>
                          <a:rect l="0" t="0" r="0" b="0"/>
                          <a:pathLst>
                            <a:path w="6940296" h="9144">
                              <a:moveTo>
                                <a:pt x="0" y="0"/>
                              </a:moveTo>
                              <a:lnTo>
                                <a:pt x="6940296" y="0"/>
                              </a:lnTo>
                              <a:lnTo>
                                <a:pt x="694029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94" name="Shape 16294"/>
                      <wps:cNvSpPr/>
                      <wps:spPr>
                        <a:xfrm>
                          <a:off x="6946393"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5435" style="width:547.44pt;height:0.47998pt;position:absolute;mso-position-horizontal-relative:page;mso-position-horizontal:absolute;margin-left:24pt;mso-position-vertical-relative:page;margin-top:817.56pt;" coordsize="69524,60">
              <v:shape id="Shape 16295" style="position:absolute;width:91;height:91;left:0;top:0;" coordsize="9144,9144" path="m0,0l9144,0l9144,9144l0,9144l0,0">
                <v:stroke weight="0pt" endcap="flat" joinstyle="miter" miterlimit="10" on="false" color="#000000" opacity="0"/>
                <v:fill on="true" color="#000000"/>
              </v:shape>
              <v:shape id="Shape 16296" style="position:absolute;width:69402;height:91;left:60;top:0;" coordsize="6940296,9144" path="m0,0l6940296,0l6940296,9144l0,9144l0,0">
                <v:stroke weight="0pt" endcap="flat" joinstyle="miter" miterlimit="10" on="false" color="#000000" opacity="0"/>
                <v:fill on="true" color="#000000"/>
              </v:shape>
              <v:shape id="Shape 16297" style="position:absolute;width:91;height:91;left:69463;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rPr>
        <w:color w:val="156082"/>
      </w:rPr>
      <w:t>1</w:t>
    </w:r>
    <w:r>
      <w:rPr>
        <w:color w:val="156082"/>
      </w:rPr>
      <w:fldChar w:fldCharType="end"/>
    </w:r>
    <w:r>
      <w:rPr>
        <w:color w:val="156082"/>
      </w:rPr>
      <w:t xml:space="preserve"> </w:t>
    </w:r>
  </w:p>
  <w:p w14:paraId="7FC6C62E" w14:textId="77777777" w:rsidR="003C4A68" w:rsidRDefault="00000000">
    <w:pPr>
      <w:spacing w:after="0" w:line="259" w:lineRule="auto"/>
      <w:ind w:lef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A42DA9" w14:textId="77777777" w:rsidR="003C4A68" w:rsidRDefault="00000000">
    <w:pPr>
      <w:spacing w:after="0" w:line="259" w:lineRule="auto"/>
      <w:ind w:left="0" w:right="7" w:firstLine="0"/>
      <w:jc w:val="center"/>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0C115941" wp14:editId="1099CBA3">
              <wp:simplePos x="0" y="0"/>
              <wp:positionH relativeFrom="page">
                <wp:posOffset>304800</wp:posOffset>
              </wp:positionH>
              <wp:positionV relativeFrom="page">
                <wp:posOffset>10383012</wp:posOffset>
              </wp:positionV>
              <wp:extent cx="6952488" cy="6096"/>
              <wp:effectExtent l="0" t="0" r="0" b="0"/>
              <wp:wrapSquare wrapText="bothSides"/>
              <wp:docPr id="15413" name="Group 15413"/>
              <wp:cNvGraphicFramePr/>
              <a:graphic xmlns:a="http://schemas.openxmlformats.org/drawingml/2006/main">
                <a:graphicData uri="http://schemas.microsoft.com/office/word/2010/wordprocessingGroup">
                  <wpg:wgp>
                    <wpg:cNvGrpSpPr/>
                    <wpg:grpSpPr>
                      <a:xfrm>
                        <a:off x="0" y="0"/>
                        <a:ext cx="6952488" cy="6096"/>
                        <a:chOff x="0" y="0"/>
                        <a:chExt cx="6952488" cy="6096"/>
                      </a:xfrm>
                    </wpg:grpSpPr>
                    <wps:wsp>
                      <wps:cNvPr id="16286" name="Shape 16286"/>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87" name="Shape 16287"/>
                      <wps:cNvSpPr/>
                      <wps:spPr>
                        <a:xfrm>
                          <a:off x="6096" y="0"/>
                          <a:ext cx="6940296" cy="9144"/>
                        </a:xfrm>
                        <a:custGeom>
                          <a:avLst/>
                          <a:gdLst/>
                          <a:ahLst/>
                          <a:cxnLst/>
                          <a:rect l="0" t="0" r="0" b="0"/>
                          <a:pathLst>
                            <a:path w="6940296" h="9144">
                              <a:moveTo>
                                <a:pt x="0" y="0"/>
                              </a:moveTo>
                              <a:lnTo>
                                <a:pt x="6940296" y="0"/>
                              </a:lnTo>
                              <a:lnTo>
                                <a:pt x="694029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88" name="Shape 16288"/>
                      <wps:cNvSpPr/>
                      <wps:spPr>
                        <a:xfrm>
                          <a:off x="6946393"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5413" style="width:547.44pt;height:0.47998pt;position:absolute;mso-position-horizontal-relative:page;mso-position-horizontal:absolute;margin-left:24pt;mso-position-vertical-relative:page;margin-top:817.56pt;" coordsize="69524,60">
              <v:shape id="Shape 16289" style="position:absolute;width:91;height:91;left:0;top:0;" coordsize="9144,9144" path="m0,0l9144,0l9144,9144l0,9144l0,0">
                <v:stroke weight="0pt" endcap="flat" joinstyle="miter" miterlimit="10" on="false" color="#000000" opacity="0"/>
                <v:fill on="true" color="#000000"/>
              </v:shape>
              <v:shape id="Shape 16290" style="position:absolute;width:69402;height:91;left:60;top:0;" coordsize="6940296,9144" path="m0,0l6940296,0l6940296,9144l0,9144l0,0">
                <v:stroke weight="0pt" endcap="flat" joinstyle="miter" miterlimit="10" on="false" color="#000000" opacity="0"/>
                <v:fill on="true" color="#000000"/>
              </v:shape>
              <v:shape id="Shape 16291" style="position:absolute;width:91;height:91;left:69463;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rPr>
        <w:color w:val="156082"/>
      </w:rPr>
      <w:t>1</w:t>
    </w:r>
    <w:r>
      <w:rPr>
        <w:color w:val="156082"/>
      </w:rPr>
      <w:fldChar w:fldCharType="end"/>
    </w:r>
    <w:r>
      <w:rPr>
        <w:color w:val="156082"/>
      </w:rPr>
      <w:t xml:space="preserve"> </w:t>
    </w:r>
  </w:p>
  <w:p w14:paraId="48786E7B" w14:textId="77777777" w:rsidR="003C4A68" w:rsidRDefault="00000000">
    <w:pPr>
      <w:spacing w:after="0" w:line="259" w:lineRule="auto"/>
      <w:ind w:lef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1159CA" w14:textId="77777777" w:rsidR="003C4A68" w:rsidRDefault="00000000">
    <w:pPr>
      <w:spacing w:after="0" w:line="259" w:lineRule="auto"/>
      <w:ind w:left="0" w:right="7" w:firstLine="0"/>
      <w:jc w:val="center"/>
    </w:pPr>
    <w:r>
      <w:rPr>
        <w:rFonts w:ascii="Calibri" w:eastAsia="Calibri" w:hAnsi="Calibri" w:cs="Calibri"/>
        <w:noProof/>
        <w:sz w:val="22"/>
      </w:rPr>
      <mc:AlternateContent>
        <mc:Choice Requires="wpg">
          <w:drawing>
            <wp:anchor distT="0" distB="0" distL="114300" distR="114300" simplePos="0" relativeHeight="251663360" behindDoc="0" locked="0" layoutInCell="1" allowOverlap="1" wp14:anchorId="18F44122" wp14:editId="6D7369A6">
              <wp:simplePos x="0" y="0"/>
              <wp:positionH relativeFrom="page">
                <wp:posOffset>304800</wp:posOffset>
              </wp:positionH>
              <wp:positionV relativeFrom="page">
                <wp:posOffset>10383012</wp:posOffset>
              </wp:positionV>
              <wp:extent cx="6952488" cy="6096"/>
              <wp:effectExtent l="0" t="0" r="0" b="0"/>
              <wp:wrapSquare wrapText="bothSides"/>
              <wp:docPr id="15391" name="Group 15391"/>
              <wp:cNvGraphicFramePr/>
              <a:graphic xmlns:a="http://schemas.openxmlformats.org/drawingml/2006/main">
                <a:graphicData uri="http://schemas.microsoft.com/office/word/2010/wordprocessingGroup">
                  <wpg:wgp>
                    <wpg:cNvGrpSpPr/>
                    <wpg:grpSpPr>
                      <a:xfrm>
                        <a:off x="0" y="0"/>
                        <a:ext cx="6952488" cy="6096"/>
                        <a:chOff x="0" y="0"/>
                        <a:chExt cx="6952488" cy="6096"/>
                      </a:xfrm>
                    </wpg:grpSpPr>
                    <wps:wsp>
                      <wps:cNvPr id="16280" name="Shape 16280"/>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81" name="Shape 16281"/>
                      <wps:cNvSpPr/>
                      <wps:spPr>
                        <a:xfrm>
                          <a:off x="6096" y="0"/>
                          <a:ext cx="6940296" cy="9144"/>
                        </a:xfrm>
                        <a:custGeom>
                          <a:avLst/>
                          <a:gdLst/>
                          <a:ahLst/>
                          <a:cxnLst/>
                          <a:rect l="0" t="0" r="0" b="0"/>
                          <a:pathLst>
                            <a:path w="6940296" h="9144">
                              <a:moveTo>
                                <a:pt x="0" y="0"/>
                              </a:moveTo>
                              <a:lnTo>
                                <a:pt x="6940296" y="0"/>
                              </a:lnTo>
                              <a:lnTo>
                                <a:pt x="694029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82" name="Shape 16282"/>
                      <wps:cNvSpPr/>
                      <wps:spPr>
                        <a:xfrm>
                          <a:off x="6946393"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5391" style="width:547.44pt;height:0.47998pt;position:absolute;mso-position-horizontal-relative:page;mso-position-horizontal:absolute;margin-left:24pt;mso-position-vertical-relative:page;margin-top:817.56pt;" coordsize="69524,60">
              <v:shape id="Shape 16283" style="position:absolute;width:91;height:91;left:0;top:0;" coordsize="9144,9144" path="m0,0l9144,0l9144,9144l0,9144l0,0">
                <v:stroke weight="0pt" endcap="flat" joinstyle="miter" miterlimit="10" on="false" color="#000000" opacity="0"/>
                <v:fill on="true" color="#000000"/>
              </v:shape>
              <v:shape id="Shape 16284" style="position:absolute;width:69402;height:91;left:60;top:0;" coordsize="6940296,9144" path="m0,0l6940296,0l6940296,9144l0,9144l0,0">
                <v:stroke weight="0pt" endcap="flat" joinstyle="miter" miterlimit="10" on="false" color="#000000" opacity="0"/>
                <v:fill on="true" color="#000000"/>
              </v:shape>
              <v:shape id="Shape 16285" style="position:absolute;width:91;height:91;left:69463;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rPr>
        <w:color w:val="156082"/>
      </w:rPr>
      <w:t>1</w:t>
    </w:r>
    <w:r>
      <w:rPr>
        <w:color w:val="156082"/>
      </w:rPr>
      <w:fldChar w:fldCharType="end"/>
    </w:r>
    <w:r>
      <w:rPr>
        <w:color w:val="156082"/>
      </w:rPr>
      <w:t xml:space="preserve"> </w:t>
    </w:r>
  </w:p>
  <w:p w14:paraId="49AE5115" w14:textId="77777777" w:rsidR="003C4A68" w:rsidRDefault="00000000">
    <w:pPr>
      <w:spacing w:after="0" w:line="259" w:lineRule="auto"/>
      <w:ind w:left="0" w:firstLine="0"/>
      <w:jc w:val="left"/>
    </w:pPr>
    <w: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E9691C" w14:textId="77777777" w:rsidR="003C4A68" w:rsidRDefault="003C4A68">
    <w:pPr>
      <w:spacing w:after="160" w:line="259" w:lineRule="auto"/>
      <w:ind w:lef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0A9593" w14:textId="77777777" w:rsidR="003C4A68" w:rsidRDefault="003C4A68">
    <w:pPr>
      <w:spacing w:after="160" w:line="259" w:lineRule="auto"/>
      <w:ind w:left="0"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E50A6D" w14:textId="77777777" w:rsidR="003C4A68" w:rsidRDefault="003C4A68">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5ECBC0" w14:textId="77777777" w:rsidR="00FD32D3" w:rsidRDefault="00FD32D3">
      <w:pPr>
        <w:spacing w:after="0" w:line="240" w:lineRule="auto"/>
      </w:pPr>
      <w:r>
        <w:separator/>
      </w:r>
    </w:p>
  </w:footnote>
  <w:footnote w:type="continuationSeparator" w:id="0">
    <w:p w14:paraId="13D5EA52" w14:textId="77777777" w:rsidR="00FD32D3" w:rsidRDefault="00FD32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B0121E" w14:textId="77777777" w:rsidR="003C4A68" w:rsidRDefault="00000000">
    <w:pPr>
      <w:spacing w:after="0" w:line="259" w:lineRule="auto"/>
      <w:ind w:left="-1440" w:right="10472"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120BF165" wp14:editId="6F386962">
              <wp:simplePos x="0" y="0"/>
              <wp:positionH relativeFrom="page">
                <wp:posOffset>304800</wp:posOffset>
              </wp:positionH>
              <wp:positionV relativeFrom="page">
                <wp:posOffset>304800</wp:posOffset>
              </wp:positionV>
              <wp:extent cx="6952488" cy="6096"/>
              <wp:effectExtent l="0" t="0" r="0" b="0"/>
              <wp:wrapSquare wrapText="bothSides"/>
              <wp:docPr id="15424" name="Group 15424"/>
              <wp:cNvGraphicFramePr/>
              <a:graphic xmlns:a="http://schemas.openxmlformats.org/drawingml/2006/main">
                <a:graphicData uri="http://schemas.microsoft.com/office/word/2010/wordprocessingGroup">
                  <wpg:wgp>
                    <wpg:cNvGrpSpPr/>
                    <wpg:grpSpPr>
                      <a:xfrm>
                        <a:off x="0" y="0"/>
                        <a:ext cx="6952488" cy="6096"/>
                        <a:chOff x="0" y="0"/>
                        <a:chExt cx="6952488" cy="6096"/>
                      </a:xfrm>
                    </wpg:grpSpPr>
                    <wps:wsp>
                      <wps:cNvPr id="16274" name="Shape 16274"/>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75" name="Shape 16275"/>
                      <wps:cNvSpPr/>
                      <wps:spPr>
                        <a:xfrm>
                          <a:off x="6096" y="0"/>
                          <a:ext cx="6940296" cy="9144"/>
                        </a:xfrm>
                        <a:custGeom>
                          <a:avLst/>
                          <a:gdLst/>
                          <a:ahLst/>
                          <a:cxnLst/>
                          <a:rect l="0" t="0" r="0" b="0"/>
                          <a:pathLst>
                            <a:path w="6940296" h="9144">
                              <a:moveTo>
                                <a:pt x="0" y="0"/>
                              </a:moveTo>
                              <a:lnTo>
                                <a:pt x="6940296" y="0"/>
                              </a:lnTo>
                              <a:lnTo>
                                <a:pt x="694029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76" name="Shape 16276"/>
                      <wps:cNvSpPr/>
                      <wps:spPr>
                        <a:xfrm>
                          <a:off x="6946393"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5424" style="width:547.44pt;height:0.47998pt;position:absolute;mso-position-horizontal-relative:page;mso-position-horizontal:absolute;margin-left:24pt;mso-position-vertical-relative:page;margin-top:24pt;" coordsize="69524,60">
              <v:shape id="Shape 16277" style="position:absolute;width:91;height:91;left:0;top:0;" coordsize="9144,9144" path="m0,0l9144,0l9144,9144l0,9144l0,0">
                <v:stroke weight="0pt" endcap="flat" joinstyle="miter" miterlimit="10" on="false" color="#000000" opacity="0"/>
                <v:fill on="true" color="#000000"/>
              </v:shape>
              <v:shape id="Shape 16278" style="position:absolute;width:69402;height:91;left:60;top:0;" coordsize="6940296,9144" path="m0,0l6940296,0l6940296,9144l0,9144l0,0">
                <v:stroke weight="0pt" endcap="flat" joinstyle="miter" miterlimit="10" on="false" color="#000000" opacity="0"/>
                <v:fill on="true" color="#000000"/>
              </v:shape>
              <v:shape id="Shape 16279" style="position:absolute;width:91;height:91;left:69463;top:0;" coordsize="9144,9144" path="m0,0l9144,0l9144,9144l0,9144l0,0">
                <v:stroke weight="0pt" endcap="flat" joinstyle="miter" miterlimit="10" on="false" color="#000000" opacity="0"/>
                <v:fill on="true" color="#000000"/>
              </v:shape>
              <w10:wrap type="squar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907210" w14:textId="77777777" w:rsidR="003C4A68" w:rsidRDefault="00000000">
    <w:pPr>
      <w:spacing w:after="0" w:line="259" w:lineRule="auto"/>
      <w:ind w:left="-1440" w:right="10472"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622FCF8F" wp14:editId="5F3A7DA2">
              <wp:simplePos x="0" y="0"/>
              <wp:positionH relativeFrom="page">
                <wp:posOffset>304800</wp:posOffset>
              </wp:positionH>
              <wp:positionV relativeFrom="page">
                <wp:posOffset>304800</wp:posOffset>
              </wp:positionV>
              <wp:extent cx="6952488" cy="6096"/>
              <wp:effectExtent l="0" t="0" r="0" b="0"/>
              <wp:wrapSquare wrapText="bothSides"/>
              <wp:docPr id="15402" name="Group 15402"/>
              <wp:cNvGraphicFramePr/>
              <a:graphic xmlns:a="http://schemas.openxmlformats.org/drawingml/2006/main">
                <a:graphicData uri="http://schemas.microsoft.com/office/word/2010/wordprocessingGroup">
                  <wpg:wgp>
                    <wpg:cNvGrpSpPr/>
                    <wpg:grpSpPr>
                      <a:xfrm>
                        <a:off x="0" y="0"/>
                        <a:ext cx="6952488" cy="6096"/>
                        <a:chOff x="0" y="0"/>
                        <a:chExt cx="6952488" cy="6096"/>
                      </a:xfrm>
                    </wpg:grpSpPr>
                    <wps:wsp>
                      <wps:cNvPr id="16268" name="Shape 16268"/>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69" name="Shape 16269"/>
                      <wps:cNvSpPr/>
                      <wps:spPr>
                        <a:xfrm>
                          <a:off x="6096" y="0"/>
                          <a:ext cx="6940296" cy="9144"/>
                        </a:xfrm>
                        <a:custGeom>
                          <a:avLst/>
                          <a:gdLst/>
                          <a:ahLst/>
                          <a:cxnLst/>
                          <a:rect l="0" t="0" r="0" b="0"/>
                          <a:pathLst>
                            <a:path w="6940296" h="9144">
                              <a:moveTo>
                                <a:pt x="0" y="0"/>
                              </a:moveTo>
                              <a:lnTo>
                                <a:pt x="6940296" y="0"/>
                              </a:lnTo>
                              <a:lnTo>
                                <a:pt x="694029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70" name="Shape 16270"/>
                      <wps:cNvSpPr/>
                      <wps:spPr>
                        <a:xfrm>
                          <a:off x="6946393"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5402" style="width:547.44pt;height:0.47998pt;position:absolute;mso-position-horizontal-relative:page;mso-position-horizontal:absolute;margin-left:24pt;mso-position-vertical-relative:page;margin-top:24pt;" coordsize="69524,60">
              <v:shape id="Shape 16271" style="position:absolute;width:91;height:91;left:0;top:0;" coordsize="9144,9144" path="m0,0l9144,0l9144,9144l0,9144l0,0">
                <v:stroke weight="0pt" endcap="flat" joinstyle="miter" miterlimit="10" on="false" color="#000000" opacity="0"/>
                <v:fill on="true" color="#000000"/>
              </v:shape>
              <v:shape id="Shape 16272" style="position:absolute;width:69402;height:91;left:60;top:0;" coordsize="6940296,9144" path="m0,0l6940296,0l6940296,9144l0,9144l0,0">
                <v:stroke weight="0pt" endcap="flat" joinstyle="miter" miterlimit="10" on="false" color="#000000" opacity="0"/>
                <v:fill on="true" color="#000000"/>
              </v:shape>
              <v:shape id="Shape 16273" style="position:absolute;width:91;height:91;left:69463;top:0;" coordsize="9144,9144" path="m0,0l9144,0l9144,9144l0,9144l0,0">
                <v:stroke weight="0pt" endcap="flat" joinstyle="miter" miterlimit="10" on="false" color="#000000" opacity="0"/>
                <v:fill on="true" color="#000000"/>
              </v:shape>
              <w10:wrap type="squar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231EA4" w14:textId="77777777" w:rsidR="003C4A68" w:rsidRDefault="00000000">
    <w:pPr>
      <w:spacing w:after="0" w:line="259" w:lineRule="auto"/>
      <w:ind w:left="-1440" w:right="10472"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7725E874" wp14:editId="0453ABD8">
              <wp:simplePos x="0" y="0"/>
              <wp:positionH relativeFrom="page">
                <wp:posOffset>304800</wp:posOffset>
              </wp:positionH>
              <wp:positionV relativeFrom="page">
                <wp:posOffset>304800</wp:posOffset>
              </wp:positionV>
              <wp:extent cx="6952488" cy="6096"/>
              <wp:effectExtent l="0" t="0" r="0" b="0"/>
              <wp:wrapSquare wrapText="bothSides"/>
              <wp:docPr id="15380" name="Group 15380"/>
              <wp:cNvGraphicFramePr/>
              <a:graphic xmlns:a="http://schemas.openxmlformats.org/drawingml/2006/main">
                <a:graphicData uri="http://schemas.microsoft.com/office/word/2010/wordprocessingGroup">
                  <wpg:wgp>
                    <wpg:cNvGrpSpPr/>
                    <wpg:grpSpPr>
                      <a:xfrm>
                        <a:off x="0" y="0"/>
                        <a:ext cx="6952488" cy="6096"/>
                        <a:chOff x="0" y="0"/>
                        <a:chExt cx="6952488" cy="6096"/>
                      </a:xfrm>
                    </wpg:grpSpPr>
                    <wps:wsp>
                      <wps:cNvPr id="16262" name="Shape 16262"/>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63" name="Shape 16263"/>
                      <wps:cNvSpPr/>
                      <wps:spPr>
                        <a:xfrm>
                          <a:off x="6096" y="0"/>
                          <a:ext cx="6940296" cy="9144"/>
                        </a:xfrm>
                        <a:custGeom>
                          <a:avLst/>
                          <a:gdLst/>
                          <a:ahLst/>
                          <a:cxnLst/>
                          <a:rect l="0" t="0" r="0" b="0"/>
                          <a:pathLst>
                            <a:path w="6940296" h="9144">
                              <a:moveTo>
                                <a:pt x="0" y="0"/>
                              </a:moveTo>
                              <a:lnTo>
                                <a:pt x="6940296" y="0"/>
                              </a:lnTo>
                              <a:lnTo>
                                <a:pt x="694029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64" name="Shape 16264"/>
                      <wps:cNvSpPr/>
                      <wps:spPr>
                        <a:xfrm>
                          <a:off x="6946393"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5380" style="width:547.44pt;height:0.47998pt;position:absolute;mso-position-horizontal-relative:page;mso-position-horizontal:absolute;margin-left:24pt;mso-position-vertical-relative:page;margin-top:24pt;" coordsize="69524,60">
              <v:shape id="Shape 16265" style="position:absolute;width:91;height:91;left:0;top:0;" coordsize="9144,9144" path="m0,0l9144,0l9144,9144l0,9144l0,0">
                <v:stroke weight="0pt" endcap="flat" joinstyle="miter" miterlimit="10" on="false" color="#000000" opacity="0"/>
                <v:fill on="true" color="#000000"/>
              </v:shape>
              <v:shape id="Shape 16266" style="position:absolute;width:69402;height:91;left:60;top:0;" coordsize="6940296,9144" path="m0,0l6940296,0l6940296,9144l0,9144l0,0">
                <v:stroke weight="0pt" endcap="flat" joinstyle="miter" miterlimit="10" on="false" color="#000000" opacity="0"/>
                <v:fill on="true" color="#000000"/>
              </v:shape>
              <v:shape id="Shape 16267" style="position:absolute;width:91;height:91;left:69463;top:0;" coordsize="9144,9144" path="m0,0l9144,0l9144,9144l0,9144l0,0">
                <v:stroke weight="0pt" endcap="flat" joinstyle="miter" miterlimit="10" on="false" color="#000000" opacity="0"/>
                <v:fill on="true" color="#000000"/>
              </v:shape>
              <w10:wrap type="square"/>
            </v:group>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22E3E8" w14:textId="77777777" w:rsidR="003C4A68" w:rsidRDefault="003C4A68">
    <w:pPr>
      <w:spacing w:after="160" w:line="259" w:lineRule="auto"/>
      <w:ind w:left="0" w:firstLine="0"/>
      <w:jc w:val="left"/>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79902C" w14:textId="77777777" w:rsidR="003C4A68" w:rsidRDefault="003C4A68">
    <w:pPr>
      <w:spacing w:after="160" w:line="259" w:lineRule="auto"/>
      <w:ind w:left="0" w:firstLine="0"/>
      <w:jc w:val="left"/>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5BF10B" w14:textId="77777777" w:rsidR="003C4A68" w:rsidRDefault="003C4A68">
    <w:pPr>
      <w:spacing w:after="160" w:line="259" w:lineRule="auto"/>
      <w:ind w:lef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120E76"/>
    <w:multiLevelType w:val="hybridMultilevel"/>
    <w:tmpl w:val="1D24795C"/>
    <w:lvl w:ilvl="0" w:tplc="2B688F6A">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8D8682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5BFC639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ACA32AE">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6BA6DB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D6F2BA1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FB9E6E0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9BE138E">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1708A7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19339695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4A68"/>
    <w:rsid w:val="000A270A"/>
    <w:rsid w:val="003B6627"/>
    <w:rsid w:val="003C4A68"/>
    <w:rsid w:val="00FD32D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8EC34"/>
  <w15:docId w15:val="{4F64FADD-6ED0-4DC9-AFAC-0ECCD762C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85" w:line="360" w:lineRule="auto"/>
      <w:ind w:left="10" w:hanging="10"/>
      <w:jc w:val="both"/>
    </w:pPr>
    <w:rPr>
      <w:rFonts w:ascii="Arial" w:eastAsia="Arial" w:hAnsi="Arial" w:cs="Arial"/>
      <w:color w:val="000000"/>
    </w:rPr>
  </w:style>
  <w:style w:type="paragraph" w:styleId="Heading1">
    <w:name w:val="heading 1"/>
    <w:next w:val="Normal"/>
    <w:link w:val="Heading1Char"/>
    <w:uiPriority w:val="9"/>
    <w:qFormat/>
    <w:pPr>
      <w:keepNext/>
      <w:keepLines/>
      <w:spacing w:after="201" w:line="259" w:lineRule="auto"/>
      <w:ind w:left="10" w:hanging="10"/>
      <w:outlineLvl w:val="0"/>
    </w:pPr>
    <w:rPr>
      <w:rFonts w:ascii="Arial" w:eastAsia="Arial" w:hAnsi="Arial" w:cs="Arial"/>
      <w:b/>
      <w:color w:val="0B769F"/>
      <w:sz w:val="32"/>
    </w:rPr>
  </w:style>
  <w:style w:type="paragraph" w:styleId="Heading2">
    <w:name w:val="heading 2"/>
    <w:next w:val="Normal"/>
    <w:link w:val="Heading2Char"/>
    <w:uiPriority w:val="9"/>
    <w:unhideWhenUsed/>
    <w:qFormat/>
    <w:pPr>
      <w:keepNext/>
      <w:keepLines/>
      <w:spacing w:after="201" w:line="259" w:lineRule="auto"/>
      <w:ind w:left="10" w:hanging="10"/>
      <w:outlineLvl w:val="1"/>
    </w:pPr>
    <w:rPr>
      <w:rFonts w:ascii="Arial" w:eastAsia="Arial" w:hAnsi="Arial" w:cs="Arial"/>
      <w:b/>
      <w:color w:val="0B769F"/>
      <w:sz w:val="32"/>
    </w:rPr>
  </w:style>
  <w:style w:type="paragraph" w:styleId="Heading3">
    <w:name w:val="heading 3"/>
    <w:next w:val="Normal"/>
    <w:link w:val="Heading3Char"/>
    <w:uiPriority w:val="9"/>
    <w:unhideWhenUsed/>
    <w:qFormat/>
    <w:pPr>
      <w:keepNext/>
      <w:keepLines/>
      <w:spacing w:after="221" w:line="259" w:lineRule="auto"/>
      <w:ind w:left="10" w:hanging="10"/>
      <w:outlineLvl w:val="2"/>
    </w:pPr>
    <w:rPr>
      <w:rFonts w:ascii="Arial" w:eastAsia="Arial" w:hAnsi="Arial" w:cs="Arial"/>
      <w:b/>
      <w:color w:val="0B769F"/>
      <w:sz w:val="28"/>
    </w:rPr>
  </w:style>
  <w:style w:type="paragraph" w:styleId="Heading4">
    <w:name w:val="heading 4"/>
    <w:next w:val="Normal"/>
    <w:link w:val="Heading4Char"/>
    <w:uiPriority w:val="9"/>
    <w:semiHidden/>
    <w:unhideWhenUsed/>
    <w:qFormat/>
    <w:pPr>
      <w:keepNext/>
      <w:keepLines/>
      <w:spacing w:after="221" w:line="259" w:lineRule="auto"/>
      <w:ind w:left="10" w:hanging="10"/>
      <w:outlineLvl w:val="3"/>
    </w:pPr>
    <w:rPr>
      <w:rFonts w:ascii="Arial" w:eastAsia="Arial" w:hAnsi="Arial" w:cs="Arial"/>
      <w:b/>
      <w:color w:val="0B769F"/>
      <w:sz w:val="28"/>
    </w:rPr>
  </w:style>
  <w:style w:type="paragraph" w:styleId="Heading5">
    <w:name w:val="heading 5"/>
    <w:next w:val="Normal"/>
    <w:link w:val="Heading5Char"/>
    <w:uiPriority w:val="9"/>
    <w:semiHidden/>
    <w:unhideWhenUsed/>
    <w:qFormat/>
    <w:pPr>
      <w:keepNext/>
      <w:keepLines/>
      <w:spacing w:after="221" w:line="259" w:lineRule="auto"/>
      <w:ind w:left="10" w:hanging="10"/>
      <w:outlineLvl w:val="4"/>
    </w:pPr>
    <w:rPr>
      <w:rFonts w:ascii="Arial" w:eastAsia="Arial" w:hAnsi="Arial" w:cs="Arial"/>
      <w:b/>
      <w:color w:val="0B769F"/>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B769F"/>
      <w:sz w:val="32"/>
    </w:rPr>
  </w:style>
  <w:style w:type="character" w:customStyle="1" w:styleId="Heading4Char">
    <w:name w:val="Heading 4 Char"/>
    <w:link w:val="Heading4"/>
    <w:rPr>
      <w:rFonts w:ascii="Arial" w:eastAsia="Arial" w:hAnsi="Arial" w:cs="Arial"/>
      <w:b/>
      <w:color w:val="0B769F"/>
      <w:sz w:val="28"/>
    </w:rPr>
  </w:style>
  <w:style w:type="character" w:customStyle="1" w:styleId="Heading5Char">
    <w:name w:val="Heading 5 Char"/>
    <w:link w:val="Heading5"/>
    <w:rPr>
      <w:rFonts w:ascii="Arial" w:eastAsia="Arial" w:hAnsi="Arial" w:cs="Arial"/>
      <w:b/>
      <w:color w:val="0B769F"/>
      <w:sz w:val="28"/>
    </w:rPr>
  </w:style>
  <w:style w:type="character" w:customStyle="1" w:styleId="Heading1Char">
    <w:name w:val="Heading 1 Char"/>
    <w:link w:val="Heading1"/>
    <w:rPr>
      <w:rFonts w:ascii="Arial" w:eastAsia="Arial" w:hAnsi="Arial" w:cs="Arial"/>
      <w:b/>
      <w:color w:val="0B769F"/>
      <w:sz w:val="32"/>
    </w:rPr>
  </w:style>
  <w:style w:type="character" w:customStyle="1" w:styleId="Heading3Char">
    <w:name w:val="Heading 3 Char"/>
    <w:link w:val="Heading3"/>
    <w:rPr>
      <w:rFonts w:ascii="Arial" w:eastAsia="Arial" w:hAnsi="Arial" w:cs="Arial"/>
      <w:b/>
      <w:color w:val="0B769F"/>
      <w:sz w:val="28"/>
    </w:rPr>
  </w:style>
  <w:style w:type="paragraph" w:styleId="TOC1">
    <w:name w:val="toc 1"/>
    <w:hidden/>
    <w:pPr>
      <w:spacing w:after="285" w:line="259" w:lineRule="auto"/>
      <w:ind w:left="25" w:right="20" w:hanging="10"/>
      <w:jc w:val="both"/>
    </w:pPr>
    <w:rPr>
      <w:rFonts w:ascii="Arial" w:eastAsia="Arial" w:hAnsi="Arial" w:cs="Arial"/>
      <w:color w:val="000000"/>
    </w:rPr>
  </w:style>
  <w:style w:type="paragraph" w:styleId="TOC2">
    <w:name w:val="toc 2"/>
    <w:hidden/>
    <w:pPr>
      <w:spacing w:after="285" w:line="259" w:lineRule="auto"/>
      <w:ind w:left="265" w:right="20" w:hanging="10"/>
      <w:jc w:val="both"/>
    </w:pPr>
    <w:rPr>
      <w:rFonts w:ascii="Arial" w:eastAsia="Arial" w:hAnsi="Arial" w:cs="Arial"/>
      <w:color w:val="000000"/>
    </w:rPr>
  </w:style>
  <w:style w:type="paragraph" w:styleId="TOC3">
    <w:name w:val="toc 3"/>
    <w:hidden/>
    <w:pPr>
      <w:spacing w:after="285" w:line="259" w:lineRule="auto"/>
      <w:ind w:left="505" w:right="20" w:hanging="10"/>
      <w:jc w:val="both"/>
    </w:pPr>
    <w:rPr>
      <w:rFonts w:ascii="Arial" w:eastAsia="Arial" w:hAnsi="Arial" w:cs="Arial"/>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eader" Target="header6.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header" Target="header3.xml"/><Relationship Id="rId17" Type="http://schemas.openxmlformats.org/officeDocument/2006/relationships/footer" Target="footer5.xml"/><Relationship Id="rId2" Type="http://schemas.openxmlformats.org/officeDocument/2006/relationships/styles" Target="styles.xml"/><Relationship Id="rId16" Type="http://schemas.openxmlformats.org/officeDocument/2006/relationships/footer" Target="footer4.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eader" Target="header5.xml"/><Relationship Id="rId10" Type="http://schemas.openxmlformats.org/officeDocument/2006/relationships/footer" Target="footer1.xml"/><Relationship Id="rId19" Type="http://schemas.openxmlformats.org/officeDocument/2006/relationships/footer" Target="footer6.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22</Pages>
  <Words>3599</Words>
  <Characters>20518</Characters>
  <Application>Microsoft Office Word</Application>
  <DocSecurity>0</DocSecurity>
  <Lines>170</Lines>
  <Paragraphs>48</Paragraphs>
  <ScaleCrop>false</ScaleCrop>
  <Company/>
  <LinksUpToDate>false</LinksUpToDate>
  <CharactersWithSpaces>24069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cp:lastModifiedBy>Sadhana Kumari</cp:lastModifiedBy>
  <cp:revision>2</cp:revision>
  <dcterms:created xsi:type="dcterms:W3CDTF">2026-03-19T11:09:00Z</dcterms:created>
  <dcterms:modified xsi:type="dcterms:W3CDTF">2026-03-19T11:09:00Z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f4a73b8e-ca31-4dad-a7df-161135df2207</vt:lpwstr>
  </property>
</Properties>
</file>