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rPr>
          <w:sz w:val="36"/>
        </w:rPr>
      </w:pPr>
      <w:r>
        <w:rPr>
          <w:sz w:val="36"/>
        </w:rPr>
        <w:t>AHAN 5007</w:t>
      </w:r>
    </w:p>
    <w:p>
      <w:pPr>
        <w:jc w:val="center"/>
        <w:rPr>
          <w:sz w:val="36"/>
        </w:rPr>
      </w:pPr>
    </w:p>
    <w:p>
      <w:pPr>
        <w:jc w:val="center"/>
        <w:rPr>
          <w:sz w:val="36"/>
        </w:rPr>
      </w:pPr>
      <w:r>
        <w:rPr>
          <w:sz w:val="36"/>
        </w:rPr>
        <w:t>Stephen Moyes</w:t>
      </w:r>
    </w:p>
    <w:p>
      <w:pPr>
        <w:jc w:val="center"/>
        <w:rPr>
          <w:sz w:val="36"/>
        </w:rPr>
      </w:pPr>
    </w:p>
    <w:p>
      <w:pPr>
        <w:jc w:val="center"/>
        <w:rPr>
          <w:sz w:val="36"/>
        </w:rPr>
      </w:pPr>
      <w:r>
        <w:rPr>
          <w:sz w:val="36"/>
        </w:rPr>
        <w:t>Student Number 1504278</w:t>
      </w:r>
    </w:p>
    <w:p>
      <w:pPr>
        <w:jc w:val="center"/>
        <w:rPr>
          <w:sz w:val="36"/>
        </w:rPr>
      </w:pPr>
    </w:p>
    <w:p>
      <w:pPr>
        <w:jc w:val="center"/>
        <w:rPr>
          <w:sz w:val="36"/>
        </w:rPr>
      </w:pPr>
      <w:r>
        <w:rPr>
          <w:sz w:val="36"/>
        </w:rPr>
        <w:t>Assignment 1 – Essay</w:t>
      </w:r>
    </w:p>
    <w:p>
      <w:pPr>
        <w:jc w:val="center"/>
        <w:rPr>
          <w:sz w:val="36"/>
        </w:rPr>
      </w:pPr>
    </w:p>
    <w:p>
      <w:pPr>
        <w:jc w:val="center"/>
        <w:rPr>
          <w:sz w:val="28"/>
          <w:b/>
        </w:rPr>
      </w:pPr>
      <w:r>
        <w:rPr>
          <w:sz w:val="36"/>
        </w:rPr>
        <w:t>23 March 2017</w:t>
      </w:r>
      <w:r>
        <w:rPr>
          <w:sz w:val="36"/>
        </w:rPr>
        <w:br w:type="page"/>
      </w:r>
      <w:r>
        <w:rPr>
          <w:sz w:val="26"/>
          <w:b/>
        </w:rPr>
        <w:t>How should anthropologists best investigate the body?</w:t>
      </w:r>
    </w:p>
    <w:p>
      <w:pPr>
        <w:rPr>
          <w:sz w:val="24"/>
        </w:rPr>
      </w:pPr>
    </w:p>
    <w:p>
      <w:pPr>
        <w:rPr>
          <w:sz w:val="24"/>
        </w:rPr>
      </w:pPr>
    </w:p>
    <w:p>
      <w:pPr>
        <w:spacing w:line="480" w:lineRule="auto"/>
        <w:rPr>
          <w:sz w:val="24"/>
        </w:rPr>
      </w:pPr>
      <w:r>
        <w:rPr>
          <w:sz w:val="24"/>
        </w:rPr>
        <w:t>An anthropological investigation of the body can be useful in illuminating many aspects of a culture. Since the way the body is perceived, used and governed may be largely a result of socio-cultural attitudes and beliefs, the anthropologist may be well placed, in focussing on the body and its place in the world, to widen knowledge those attitudes and beliefs. In examining and comparing some examples of body-focussed anthropology, as well as more ‘traditional’ ethnography, we may find that this may best be achieved by informing anthropology with ideas from other fields, such as philosophy, psychology and politics.</w:t>
      </w:r>
    </w:p>
    <w:p>
      <w:pPr>
        <w:spacing w:line="480" w:lineRule="auto"/>
        <w:rPr>
          <w:sz w:val="24"/>
        </w:rPr>
      </w:pPr>
    </w:p>
    <w:p>
      <w:pPr>
        <w:spacing w:line="480" w:lineRule="auto"/>
        <w:rPr>
          <w:sz w:val="24"/>
        </w:rPr>
      </w:pPr>
      <w:r>
        <w:rPr>
          <w:sz w:val="24"/>
        </w:rPr>
        <w:t>One way of viewing the human body, for anthropological research, is to consider Scheper-Hughes and Lock’s (1987) concept of ‘the three bodies’. The body is considered within three theoretical frameworks: the individual body, the social body and the body politic (p. 7). Considering these three viewpoints may provide a useful structure for examining some ethnographic examples.</w:t>
      </w:r>
    </w:p>
    <w:p>
      <w:pPr>
        <w:spacing w:line="480" w:lineRule="auto"/>
        <w:rPr>
          <w:sz w:val="24"/>
        </w:rPr>
      </w:pPr>
    </w:p>
    <w:p>
      <w:pPr>
        <w:spacing w:line="480" w:lineRule="auto"/>
        <w:rPr>
          <w:sz w:val="24"/>
        </w:rPr>
      </w:pPr>
      <w:r>
        <w:rPr>
          <w:sz w:val="24"/>
        </w:rPr>
        <w:t xml:space="preserve">The individual body is their term for what may commonly referred to as the self – the sense we have of being an individual person, separate from other individuals. The mind is considered in some way an entity in itself, which thinks, feels and controls the physical body. This apparent mind-body split is closely aligned with the philosophy of Rene Descartes, who saw the world in terms of dualities – mind/body, physical/psychological, disease/illness etcetera (p.10). </w:t>
      </w:r>
    </w:p>
    <w:p>
      <w:pPr>
        <w:spacing w:line="480" w:lineRule="auto"/>
        <w:rPr>
          <w:sz w:val="24"/>
        </w:rPr>
      </w:pPr>
    </w:p>
    <w:p>
      <w:pPr>
        <w:spacing w:line="480" w:lineRule="auto"/>
        <w:rPr>
          <w:sz w:val="24"/>
        </w:rPr>
      </w:pPr>
      <w:r>
        <w:rPr>
          <w:sz w:val="24"/>
        </w:rPr>
        <w:t xml:space="preserve">While this so-called Cartesian split has been largely abandoned in the social sciences, it appears to be still in evidence in the field of medicine. In her extensive ethnographic account of a artherosclerosis patients and medical practitioners treating them in a Dutch teaching hospital, </w:t>
      </w:r>
      <w:r>
        <w:rPr>
          <w:sz w:val="24"/>
          <w:i/>
        </w:rPr>
        <w:t>The Body Multiple</w:t>
      </w:r>
      <w:r>
        <w:rPr>
          <w:sz w:val="24"/>
        </w:rPr>
        <w:t xml:space="preserve"> (2002), Annemarie Mol finds that physicians are still focussed on the </w:t>
      </w:r>
      <w:r>
        <w:rPr>
          <w:sz w:val="24"/>
          <w:i/>
        </w:rPr>
        <w:t>disease</w:t>
      </w:r>
      <w:r>
        <w:rPr>
          <w:sz w:val="24"/>
        </w:rPr>
        <w:t xml:space="preserve">, seeing the body as a ‘machine to be fixed’, whereas patients are more concerned their </w:t>
      </w:r>
      <w:r>
        <w:rPr>
          <w:sz w:val="24"/>
          <w:i/>
        </w:rPr>
        <w:t>illness</w:t>
      </w:r>
      <w:r>
        <w:rPr>
          <w:sz w:val="24"/>
        </w:rPr>
        <w:t xml:space="preserve">, how it makes them feel and how it affects their lives. Among Mol’s interview subjects is Mr Gerritsen, a 62 year old man with painful legs, who is concerned that he will be unable to climb four flights of stairs to visit his daughter in hospital pp. 14-15). In describing this difficulty to the ethnographer, Mr Gerritsen reveals something of his emotional and social life. In this way, the anthropologist can uncover useful practical details about a patient’s life, which would be most likely be unavailable to doctors or other medical staff, who are more concerned with </w:t>
      </w:r>
      <w:r>
        <w:rPr>
          <w:sz w:val="24"/>
          <w:i/>
        </w:rPr>
        <w:t>doing</w:t>
      </w:r>
      <w:r>
        <w:rPr>
          <w:sz w:val="24"/>
        </w:rPr>
        <w:t xml:space="preserve"> things to the body. Mol regards these dichotomies – patient/illness, doctor/disease – as being the result of cultural influences, which she traces back to the 1950s, when, she claims, they were conceived along with “differentiations between race and culture, biological parenthood and kinship systems, sex and gender” in order to “create a space for the social sciences alongside biology” (p.21).</w:t>
      </w:r>
    </w:p>
    <w:p>
      <w:pPr>
        <w:spacing w:line="480" w:lineRule="auto"/>
        <w:rPr>
          <w:sz w:val="24"/>
        </w:rPr>
      </w:pPr>
    </w:p>
    <w:p>
      <w:pPr>
        <w:spacing w:line="480" w:lineRule="auto"/>
        <w:rPr>
          <w:sz w:val="24"/>
        </w:rPr>
      </w:pPr>
      <w:r>
        <w:rPr>
          <w:sz w:val="24"/>
        </w:rPr>
        <w:t xml:space="preserve">For some of its theoretical framework, Mol’s ethnography draws on ideas from philosophy, including Michel Foucault’s theory of </w:t>
      </w:r>
      <w:r>
        <w:rPr>
          <w:sz w:val="24"/>
          <w:i/>
        </w:rPr>
        <w:t>normalization</w:t>
      </w:r>
      <w:r>
        <w:rPr>
          <w:sz w:val="24"/>
        </w:rPr>
        <w:t xml:space="preserve"> (p.57). In </w:t>
      </w:r>
      <w:r>
        <w:rPr>
          <w:sz w:val="24"/>
          <w:i/>
        </w:rPr>
        <w:t>Discipline and Punishment</w:t>
      </w:r>
      <w:r>
        <w:rPr>
          <w:sz w:val="24"/>
        </w:rPr>
        <w:t xml:space="preserve"> (1977), Foucault describes how societies create normalised patterns of behaviour, which maintain hierarchies in prisons, schools, hospitals and other institutions, with minimal use of force. The patients Mol observed often behaved as if they were following instructions from the doctors, although there was no sign of actual coercion. They neither “oblige people to stay in bed and get better nor to get up and go to work again. Instead, they set the standards of normality” (Mol, p.57).</w:t>
      </w:r>
    </w:p>
    <w:p>
      <w:pPr>
        <w:spacing w:line="480" w:lineRule="auto"/>
        <w:rPr>
          <w:sz w:val="24"/>
        </w:rPr>
      </w:pPr>
    </w:p>
    <w:p>
      <w:pPr>
        <w:spacing w:line="480" w:lineRule="auto"/>
        <w:rPr>
          <w:sz w:val="24"/>
        </w:rPr>
      </w:pPr>
      <w:r>
        <w:rPr>
          <w:sz w:val="24"/>
        </w:rPr>
        <w:t>By examining Mol’s work from a philosophical perspective, we can see that anthropology can demonstrate how hospital culture can embody elements of both Cartesian phenomenology and Foucaultian post-structuralism.</w:t>
      </w:r>
    </w:p>
    <w:p>
      <w:pPr>
        <w:spacing w:line="480" w:lineRule="auto"/>
        <w:rPr>
          <w:sz w:val="24"/>
        </w:rPr>
      </w:pPr>
    </w:p>
    <w:p>
      <w:pPr>
        <w:spacing w:line="480" w:lineRule="auto"/>
        <w:rPr>
          <w:sz w:val="24"/>
        </w:rPr>
      </w:pPr>
      <w:r>
        <w:rPr>
          <w:sz w:val="24"/>
        </w:rPr>
        <w:t>The second of Scheper-Hughes and Lock’s three bodies, the social body, may have more immediately obvious relevance for anthropologists, since it considers ways in which cultural meaning to bodies. Anthropology has often concerned itself with symbolism, particularly the symbolic significance of bodies (1987, 18-20).</w:t>
      </w:r>
    </w:p>
    <w:p>
      <w:pPr>
        <w:spacing w:line="480" w:lineRule="auto"/>
        <w:rPr>
          <w:sz w:val="24"/>
        </w:rPr>
      </w:pPr>
    </w:p>
    <w:p>
      <w:pPr>
        <w:spacing w:line="480" w:lineRule="auto"/>
        <w:rPr>
          <w:sz w:val="24"/>
        </w:rPr>
      </w:pPr>
      <w:r>
        <w:rPr>
          <w:sz w:val="24"/>
        </w:rPr>
        <w:t xml:space="preserve">Of particular interest to anthropologists is the common metaphor of a healthy body representing a healthy society and unhealthy bodies indicating the opposite (20). Mary Douglas, in </w:t>
      </w:r>
      <w:r>
        <w:rPr>
          <w:sz w:val="24"/>
          <w:i/>
        </w:rPr>
        <w:t>Purity and Danger</w:t>
      </w:r>
      <w:r>
        <w:rPr>
          <w:sz w:val="24"/>
        </w:rPr>
        <w:t xml:space="preserve"> (1984), examines attitudes to dirt, which she famously describes a “matter out of place”,  a phrase which she traces back to the philosopher and psychologist William James (p. 166). Although Douglas’s work is essentially anthropological, is significant that she was apparently influenced by philosophy and psychology. The out-of-place matter Douglas concerns herself with is often that which comes from the body, whether human or non-human. Blood, saliva, faeces, nail clippings and other bodily materials are perfectly acceptable, or ignored, while within the boundaries of the bodies that produce them, become ‘waste products’ when separated from their source and seen as disgusting and/or unhealthy.</w:t>
      </w:r>
    </w:p>
    <w:p>
      <w:pPr>
        <w:spacing w:line="480" w:lineRule="auto"/>
        <w:rPr>
          <w:sz w:val="24"/>
        </w:rPr>
      </w:pPr>
    </w:p>
    <w:p>
      <w:pPr>
        <w:spacing w:line="480" w:lineRule="auto"/>
        <w:rPr>
          <w:sz w:val="24"/>
        </w:rPr>
      </w:pPr>
      <w:r>
        <w:rPr>
          <w:sz w:val="24"/>
        </w:rPr>
        <w:t>Douglas finds that by focussing on attitudes and taboos surrounding matter out of place, we can learn much about cosmologies, power structures, gender and kinship relations, language and other aspects of a culture. Even a human body itself can be seen as a source of pollution, danger or immorality, if it finds itself in the wrong location. Douglas makes much of differences between ‘primitive’ and ‘modern’ cultures in ways that would be deemed unacceptable today, but many of her observations are still of interest today. Public nudity is considered unacceptable many cultures, but completely normal in others. Genders may be separated in religious settings. Refugees may find themselves unwelcome, purely on the basis of their ‘foreignness’.  Even though, as Douglas points out, when a body is seen as polluting, this is often because of what it symbolises (pp. 40-41), for the owner of that body, it can have a very real affect on their ability to live their life as they choose.</w:t>
      </w:r>
    </w:p>
    <w:p>
      <w:pPr>
        <w:spacing w:line="480" w:lineRule="auto"/>
        <w:rPr>
          <w:sz w:val="24"/>
        </w:rPr>
      </w:pPr>
    </w:p>
    <w:p>
      <w:pPr>
        <w:spacing w:line="480" w:lineRule="auto"/>
        <w:rPr>
          <w:sz w:val="24"/>
        </w:rPr>
      </w:pPr>
      <w:r>
        <w:rPr>
          <w:sz w:val="24"/>
        </w:rPr>
        <w:t>The third body described by Scheper-Hughes and Lock is the body politic, which they also use to represent poststructuralism. The notion of body politic seeks to identify and describe the ways in which the body is governed. This may be through custom, normalization, emotional manipulation, family pressure, religion, legislation, or even physical force. The ways in which bodies are controlled within societies is perhaps an area where anthropologists may be of greatest use in the present day. The ways in which societies regulate the individual body and the social body has huge influence on how individuals see themselves and how they relate to one another.</w:t>
      </w:r>
    </w:p>
    <w:p>
      <w:pPr>
        <w:spacing w:line="480" w:lineRule="auto"/>
        <w:rPr>
          <w:sz w:val="24"/>
        </w:rPr>
      </w:pPr>
    </w:p>
    <w:p>
      <w:pPr>
        <w:spacing w:line="480" w:lineRule="auto"/>
        <w:rPr>
          <w:sz w:val="24"/>
        </w:rPr>
      </w:pPr>
      <w:r>
        <w:rPr>
          <w:sz w:val="24"/>
        </w:rPr>
        <w:t xml:space="preserve">Ethnographic study can be particularly enlightening when it documents a culture in the process of change. Aihwa Ong’s ethnography of Malay women, </w:t>
      </w:r>
      <w:r>
        <w:rPr>
          <w:sz w:val="24"/>
          <w:i/>
        </w:rPr>
        <w:t>State Versus Islam</w:t>
      </w:r>
      <w:r>
        <w:rPr>
          <w:sz w:val="24"/>
        </w:rPr>
        <w:t xml:space="preserve"> (2009), looks at how competing social forces are shaping the lives of Malay peasant families, with particular focus on attitudes to women’s bodies. With this focus, Ong hopes to bring attention to sections of society she believes have been largely overlooked by previous sociological and anthropological studies, which have apparently concentrated on class differentiation and political aspects of Islamic revivalism.</w:t>
      </w:r>
    </w:p>
    <w:p>
      <w:pPr>
        <w:spacing w:line="480" w:lineRule="auto"/>
        <w:rPr>
          <w:sz w:val="24"/>
        </w:rPr>
      </w:pPr>
    </w:p>
    <w:p>
      <w:pPr>
        <w:spacing w:line="480" w:lineRule="auto"/>
        <w:rPr>
          <w:sz w:val="24"/>
        </w:rPr>
      </w:pPr>
      <w:r>
        <w:rPr>
          <w:sz w:val="24"/>
        </w:rPr>
        <w:t>According to Ong, control of women’s bodies, definitions of womanhood and family structures have become subjects of competition between the Islamic revivalists and the state, which is trying to resist the influence of Islam. Previously the state had encouraged women to become educated and work, and allowed a high degree of egalitarianism between the sexes (pp. 262-264). Women were free to choose when to get married and had access to the contraceptive pill and could control their own money. They could dress how they pleased and were in charge of their own bodies.</w:t>
      </w:r>
    </w:p>
    <w:p>
      <w:pPr>
        <w:spacing w:line="480" w:lineRule="auto"/>
        <w:rPr>
          <w:sz w:val="24"/>
        </w:rPr>
      </w:pPr>
    </w:p>
    <w:p>
      <w:pPr>
        <w:spacing w:line="480" w:lineRule="auto"/>
        <w:rPr>
          <w:sz w:val="24"/>
        </w:rPr>
      </w:pPr>
      <w:r>
        <w:rPr>
          <w:sz w:val="24"/>
        </w:rPr>
        <w:t>Growing tensions between state and religion have led to both of those forces to attempt to tighten control of the population, and women’s ability to control their own lives and bodies have been curtailed. They are being encouraged to adopt more traditional, Islamic ‘modest’ ways of dressing, become ‘housewives’ and have more children. It appears that the method of getting women to accept the changes is a clear example of normalisation. The growing influence of traditional Islamic values is not being enforced by legislation – the state actively disapproves – or by physical force, but by an increasingly pervasive kind of acceptance that this is the way society should be. As Foucault described, it is simply becoming the norm.</w:t>
      </w:r>
    </w:p>
    <w:p>
      <w:pPr>
        <w:spacing w:line="480" w:lineRule="auto"/>
        <w:rPr>
          <w:sz w:val="24"/>
        </w:rPr>
      </w:pPr>
    </w:p>
    <w:p>
      <w:pPr>
        <w:spacing w:line="480" w:lineRule="auto"/>
        <w:rPr>
          <w:sz w:val="24"/>
        </w:rPr>
      </w:pPr>
      <w:r>
        <w:rPr>
          <w:sz w:val="24"/>
        </w:rPr>
        <w:t>Ong’s work is another example of how, by focussing on the body, in this case specifically women’s bodies, an anthropologist’s work can bring attention to aspects of a society that may otherwise be overlooked. Changes in cultural attitudes towards Malay women’s bodies, and even to how they think about their own bodies, reflects changing relationships between religious and political life in Malaysia.</w:t>
      </w:r>
    </w:p>
    <w:p>
      <w:pPr>
        <w:spacing w:line="480" w:lineRule="auto"/>
        <w:rPr>
          <w:sz w:val="24"/>
        </w:rPr>
      </w:pPr>
    </w:p>
    <w:p>
      <w:pPr>
        <w:spacing w:line="480" w:lineRule="auto"/>
        <w:rPr>
          <w:sz w:val="24"/>
        </w:rPr>
      </w:pPr>
      <w:r>
        <w:rPr>
          <w:sz w:val="24"/>
        </w:rPr>
        <w:t>The examples of Mol, Douglas and Ong go some way to illustrating useful methodologies for anthropologists to investigate the body. Combining established ethnographic techniques, informed by theoretical frameworks, perhaps influenced by other disciplines – such as Foucault’s poststructuralist philosophy – important new ways of understanding the cultural significance of the body may emerge. Attitudes to the body are an indicator of cultural values, and anthropologists can play a useful role in widening knowledge and appreciation of this.</w:t>
      </w:r>
    </w:p>
    <w:p>
      <w:pPr>
        <w:spacing w:line="480" w:lineRule="auto"/>
        <w:rPr>
          <w:sz w:val="24"/>
        </w:rPr>
      </w:pPr>
    </w:p>
    <w:p>
      <w:pPr>
        <w:rPr>
          <w:sz w:val="24"/>
        </w:rPr>
      </w:pPr>
    </w:p>
    <w:p>
      <w:pPr>
        <w:jc w:val="center"/>
        <w:rPr>
          <w:sz w:val="28"/>
          <w:b/>
        </w:rPr>
      </w:pPr>
      <w:r>
        <w:rPr>
          <w:sz w:val="24"/>
        </w:rPr>
        <w:br w:type="page"/>
      </w:r>
      <w:r>
        <w:rPr>
          <w:sz w:val="28"/>
          <w:b/>
        </w:rPr>
        <w:t>References</w:t>
      </w:r>
    </w:p>
    <w:p>
      <w:pPr>
        <w:jc w:val="center"/>
        <w:rPr>
          <w:sz w:val="28"/>
          <w:b/>
        </w:rPr>
      </w:pPr>
    </w:p>
    <w:p>
      <w:pPr>
        <w:rPr>
          <w:sz w:val="24"/>
        </w:rPr>
      </w:pPr>
      <w:r>
        <w:rPr>
          <w:sz w:val="24"/>
        </w:rPr>
        <w:t xml:space="preserve">Douglas, M., (1984). </w:t>
      </w:r>
      <w:r>
        <w:rPr>
          <w:sz w:val="24"/>
          <w:i/>
        </w:rPr>
        <w:t>Purity and Danger: An Analysis of the Concepts of Pollution and Taboo.</w:t>
      </w:r>
      <w:r>
        <w:rPr>
          <w:sz w:val="24"/>
        </w:rPr>
        <w:t xml:space="preserve"> 5</w:t>
      </w:r>
      <w:r>
        <w:rPr>
          <w:sz w:val="24"/>
          <w:vertAlign w:val="superscript"/>
        </w:rPr>
        <w:t>th</w:t>
      </w:r>
      <w:r>
        <w:rPr>
          <w:sz w:val="24"/>
        </w:rPr>
        <w:t xml:space="preserve"> ed. New York: Routledge.</w:t>
      </w:r>
    </w:p>
    <w:p>
      <w:pPr>
        <w:rPr>
          <w:sz w:val="24"/>
        </w:rPr>
      </w:pPr>
    </w:p>
    <w:p>
      <w:pPr>
        <w:rPr>
          <w:sz w:val="24"/>
        </w:rPr>
      </w:pPr>
      <w:r>
        <w:rPr>
          <w:sz w:val="24"/>
        </w:rPr>
        <w:t xml:space="preserve">Foucault, M., (1977). </w:t>
      </w:r>
      <w:r>
        <w:rPr>
          <w:sz w:val="24"/>
          <w:i/>
        </w:rPr>
        <w:t>Discipline and Punish: The Birth of Prison.</w:t>
      </w:r>
      <w:r>
        <w:rPr>
          <w:sz w:val="24"/>
        </w:rPr>
        <w:t xml:space="preserve"> 2</w:t>
      </w:r>
      <w:r>
        <w:rPr>
          <w:sz w:val="24"/>
          <w:vertAlign w:val="superscript"/>
        </w:rPr>
        <w:t>nd</w:t>
      </w:r>
      <w:r>
        <w:rPr>
          <w:sz w:val="24"/>
        </w:rPr>
        <w:t xml:space="preserve"> ed. New York: Vintage Books.</w:t>
      </w:r>
    </w:p>
    <w:p>
      <w:pPr>
        <w:rPr>
          <w:sz w:val="24"/>
        </w:rPr>
      </w:pPr>
    </w:p>
    <w:p>
      <w:pPr>
        <w:rPr>
          <w:sz w:val="24"/>
        </w:rPr>
      </w:pPr>
      <w:r>
        <w:rPr>
          <w:sz w:val="24"/>
        </w:rPr>
        <w:t>Mol, A., (2002). The Body Multiple: Ontology in Medical Practice. 1st ed. Durham: Duke University Press.</w:t>
      </w:r>
    </w:p>
    <w:p>
      <w:pPr>
        <w:rPr>
          <w:sz w:val="24"/>
        </w:rPr>
      </w:pPr>
    </w:p>
    <w:p>
      <w:pPr>
        <w:rPr>
          <w:sz w:val="24"/>
        </w:rPr>
      </w:pPr>
      <w:r>
        <w:rPr>
          <w:sz w:val="24"/>
        </w:rPr>
        <w:t>Ong, A., (2009). State Versus Islam: Malay Families, Women's Bodies, and the Body Politic in Malaysia. American Ethnologist 17(2), pp. 258-276.</w:t>
      </w:r>
    </w:p>
    <w:p>
      <w:pPr>
        <w:rPr>
          <w:sz w:val="24"/>
        </w:rPr>
      </w:pPr>
    </w:p>
    <w:p>
      <w:pPr>
        <w:rPr>
          <w:sz w:val="24"/>
        </w:rPr>
      </w:pPr>
      <w:r>
        <w:rPr>
          <w:sz w:val="24"/>
        </w:rPr>
        <w:t xml:space="preserve">Scheper-Hughes, N. and Lock, M., (1987). The Mindful Body: A Prolegomenon to Future Work in Medical Anthropology. </w:t>
      </w:r>
      <w:r>
        <w:rPr>
          <w:sz w:val="24"/>
          <w:i/>
        </w:rPr>
        <w:t>Medical Anthropology Quarterly</w:t>
      </w:r>
      <w:r>
        <w:rPr>
          <w:sz w:val="24"/>
        </w:rPr>
        <w:t>, 1 (1), pp. 6-41.</w:t>
      </w: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50"/>
  <w:defaultTabStop w:val="720"/>
  <w:hyphenationZone w:val="360"/>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2018-03-19T18:19:36Z</dcterms:created>
  <dcterms:modified xsi:type="dcterms:W3CDTF">2018-03-23T23:48:01Z</dcterms:modified>
</cp:coreProperties>
</file>