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34374" w14:textId="77777777" w:rsidR="00AE3A67" w:rsidRDefault="00AE3A67" w:rsidP="000114E9">
      <w:pPr>
        <w:jc w:val="center"/>
        <w:rPr>
          <w:b/>
          <w:bCs/>
          <w:u w:val="single"/>
          <w:lang w:val="en-GB"/>
        </w:rPr>
      </w:pPr>
    </w:p>
    <w:p w14:paraId="6821D9DF" w14:textId="77777777" w:rsidR="00AE3A67" w:rsidRDefault="00AE3A67" w:rsidP="00AE3A67">
      <w:pPr>
        <w:spacing w:before="212"/>
        <w:jc w:val="center"/>
        <w:rPr>
          <w:rFonts w:ascii="Arial"/>
          <w:b/>
          <w:sz w:val="56"/>
        </w:rPr>
      </w:pPr>
      <w:r>
        <w:rPr>
          <w:rFonts w:ascii="Arial"/>
          <w:b/>
          <w:noProof/>
          <w:sz w:val="56"/>
        </w:rPr>
        <w:drawing>
          <wp:inline distT="0" distB="0" distL="0" distR="0" wp14:anchorId="50F3E381" wp14:editId="376B9E36">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2581D1E7" w14:textId="77777777" w:rsidR="00AE3A67" w:rsidRDefault="00AE3A67" w:rsidP="00AE3A67">
      <w:pPr>
        <w:spacing w:before="212"/>
        <w:rPr>
          <w:rFonts w:ascii="Arial"/>
          <w:b/>
          <w:sz w:val="48"/>
          <w:szCs w:val="48"/>
        </w:rPr>
      </w:pPr>
      <w:r w:rsidRPr="00DD5969">
        <w:rPr>
          <w:rFonts w:ascii="Arial"/>
          <w:b/>
          <w:sz w:val="48"/>
          <w:szCs w:val="48"/>
        </w:rPr>
        <w:t>MODULE CODE:</w:t>
      </w:r>
      <w:r>
        <w:rPr>
          <w:rFonts w:ascii="Arial"/>
          <w:b/>
          <w:sz w:val="48"/>
          <w:szCs w:val="48"/>
        </w:rPr>
        <w:t xml:space="preserve"> </w:t>
      </w:r>
      <w:r w:rsidRPr="003908C2">
        <w:rPr>
          <w:rFonts w:ascii="Arial"/>
          <w:b/>
          <w:sz w:val="48"/>
          <w:szCs w:val="48"/>
        </w:rPr>
        <w:t>ECDE7002</w:t>
      </w:r>
    </w:p>
    <w:p w14:paraId="005E4F68" w14:textId="77777777" w:rsidR="00AE3A67" w:rsidRDefault="00AE3A67" w:rsidP="00AE3A67">
      <w:pPr>
        <w:spacing w:before="212"/>
        <w:rPr>
          <w:rFonts w:ascii="Arial"/>
          <w:b/>
          <w:sz w:val="48"/>
          <w:szCs w:val="48"/>
        </w:rPr>
      </w:pPr>
    </w:p>
    <w:p w14:paraId="3D18FD02" w14:textId="77777777" w:rsidR="00AE3A67" w:rsidRPr="00DD5969" w:rsidRDefault="00AE3A67" w:rsidP="00AE3A67">
      <w:pPr>
        <w:spacing w:before="212"/>
        <w:rPr>
          <w:rFonts w:ascii="Arial"/>
          <w:b/>
          <w:sz w:val="48"/>
          <w:szCs w:val="48"/>
        </w:rPr>
      </w:pPr>
      <w:r>
        <w:rPr>
          <w:rFonts w:ascii="Arial"/>
          <w:b/>
          <w:sz w:val="48"/>
          <w:szCs w:val="48"/>
        </w:rPr>
        <w:t>ASSESSMENT COMPONENT: 1</w:t>
      </w:r>
    </w:p>
    <w:p w14:paraId="02AF005C" w14:textId="77777777" w:rsidR="00AE3A67" w:rsidRDefault="00AE3A67" w:rsidP="00AE3A67">
      <w:pPr>
        <w:spacing w:before="7"/>
        <w:jc w:val="center"/>
        <w:rPr>
          <w:rFonts w:ascii="Arial"/>
          <w:b/>
          <w:sz w:val="44"/>
        </w:rPr>
      </w:pPr>
    </w:p>
    <w:p w14:paraId="0EAD87FE" w14:textId="77777777" w:rsidR="00AE3A67" w:rsidRPr="00DD5969" w:rsidRDefault="00AE3A67" w:rsidP="00AE3A67">
      <w:pPr>
        <w:spacing w:before="3"/>
        <w:rPr>
          <w:rFonts w:ascii="Arial"/>
          <w:b/>
          <w:sz w:val="48"/>
          <w:szCs w:val="48"/>
        </w:rPr>
      </w:pPr>
      <w:r w:rsidRPr="00DD5969">
        <w:rPr>
          <w:rFonts w:ascii="Arial"/>
          <w:b/>
          <w:sz w:val="48"/>
          <w:szCs w:val="48"/>
        </w:rPr>
        <w:t>STUDENT NAME:</w:t>
      </w:r>
      <w:r>
        <w:rPr>
          <w:rFonts w:ascii="Arial"/>
          <w:b/>
          <w:sz w:val="48"/>
          <w:szCs w:val="48"/>
        </w:rPr>
        <w:t xml:space="preserve"> Joanne Purchase</w:t>
      </w:r>
    </w:p>
    <w:p w14:paraId="3246C217" w14:textId="77777777" w:rsidR="00AE3A67" w:rsidRPr="00DD5969" w:rsidRDefault="00AE3A67" w:rsidP="00AE3A67">
      <w:pPr>
        <w:spacing w:before="3"/>
        <w:rPr>
          <w:rFonts w:ascii="Arial"/>
          <w:b/>
          <w:sz w:val="48"/>
          <w:szCs w:val="48"/>
        </w:rPr>
      </w:pPr>
    </w:p>
    <w:p w14:paraId="5F90BA47" w14:textId="77777777" w:rsidR="00AE3A67" w:rsidRPr="00DD5969" w:rsidRDefault="00AE3A67" w:rsidP="00AE3A67">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2419261</w:t>
      </w:r>
    </w:p>
    <w:p w14:paraId="4E473266" w14:textId="77777777" w:rsidR="00AE3A67" w:rsidRDefault="00AE3A67" w:rsidP="00AE3A67">
      <w:pPr>
        <w:rPr>
          <w:rFonts w:ascii="Arial"/>
          <w:b/>
          <w:sz w:val="47"/>
        </w:rPr>
      </w:pPr>
    </w:p>
    <w:p w14:paraId="1C654F85" w14:textId="77777777" w:rsidR="00AE3A67" w:rsidRPr="00192D3C" w:rsidRDefault="00AE3A67" w:rsidP="00AE3A67">
      <w:pPr>
        <w:ind w:left="100"/>
        <w:jc w:val="center"/>
        <w:rPr>
          <w:rFonts w:ascii="Arial"/>
          <w:b/>
          <w:sz w:val="47"/>
        </w:rPr>
      </w:pPr>
    </w:p>
    <w:p w14:paraId="75A85A55" w14:textId="77777777" w:rsidR="00AE3A67" w:rsidRDefault="00AE3A67" w:rsidP="00AE3A67">
      <w:pPr>
        <w:ind w:left="100"/>
        <w:rPr>
          <w:rFonts w:ascii="Arial"/>
          <w:b/>
          <w:sz w:val="47"/>
        </w:rPr>
      </w:pPr>
    </w:p>
    <w:p w14:paraId="569E77D9" w14:textId="77777777" w:rsidR="00AE3A67" w:rsidRDefault="00AE3A67" w:rsidP="00AE3A67">
      <w:pPr>
        <w:ind w:left="100"/>
        <w:rPr>
          <w:rFonts w:ascii="Arial"/>
          <w:b/>
          <w:sz w:val="47"/>
        </w:rPr>
      </w:pPr>
    </w:p>
    <w:p w14:paraId="18689B2C" w14:textId="77777777" w:rsidR="00AE3A67" w:rsidRPr="00192D3C" w:rsidRDefault="00AE3A67" w:rsidP="00AE3A67">
      <w:pPr>
        <w:ind w:left="100"/>
        <w:rPr>
          <w:rFonts w:ascii="Arial"/>
          <w:b/>
          <w:sz w:val="47"/>
        </w:rPr>
      </w:pPr>
      <w:r w:rsidRPr="00192D3C">
        <w:rPr>
          <w:rFonts w:ascii="Arial"/>
          <w:b/>
          <w:sz w:val="47"/>
        </w:rPr>
        <w:t>Doctorate in Education (EdD)</w:t>
      </w:r>
    </w:p>
    <w:p w14:paraId="0015AA93" w14:textId="77777777" w:rsidR="00AE3A67" w:rsidRPr="00192D3C" w:rsidRDefault="00AE3A67" w:rsidP="00AE3A67">
      <w:pPr>
        <w:jc w:val="center"/>
        <w:rPr>
          <w:rFonts w:ascii="Arial"/>
          <w:b/>
          <w:sz w:val="40"/>
        </w:rPr>
      </w:pPr>
    </w:p>
    <w:p w14:paraId="5A3D76BC" w14:textId="77777777" w:rsidR="00AE3A67" w:rsidRPr="00E243A8" w:rsidRDefault="00AE3A67" w:rsidP="00AE3A67">
      <w:pPr>
        <w:rPr>
          <w:b/>
          <w:bCs/>
          <w:sz w:val="32"/>
          <w:szCs w:val="32"/>
          <w:u w:val="single"/>
        </w:rPr>
      </w:pPr>
      <w:r w:rsidRPr="00E243A8">
        <w:rPr>
          <w:b/>
          <w:bCs/>
          <w:sz w:val="32"/>
          <w:szCs w:val="32"/>
          <w:u w:val="single"/>
        </w:rPr>
        <w:t>AI Acknowledgement</w:t>
      </w:r>
    </w:p>
    <w:p w14:paraId="0300E005" w14:textId="77777777" w:rsidR="00AE3A67" w:rsidRDefault="00AE3A67" w:rsidP="00AE3A67"/>
    <w:p w14:paraId="539ED923" w14:textId="77777777" w:rsidR="00AE3A67" w:rsidRDefault="00AE3A67" w:rsidP="00AE3A67">
      <w:r w:rsidRPr="00E243A8">
        <w:t xml:space="preserve">I confirm that I have not used any AI tools in the research and creation of this assignment. </w:t>
      </w:r>
    </w:p>
    <w:p w14:paraId="0FFCEBD6" w14:textId="77777777" w:rsidR="00AE3A67" w:rsidRDefault="00AE3A67" w:rsidP="00AE3A67">
      <w:r w:rsidRPr="00E243A8">
        <w:t xml:space="preserve">I confirm that I have not presented any AI generated materials as my own work. </w:t>
      </w:r>
    </w:p>
    <w:p w14:paraId="74F02C3B" w14:textId="77777777" w:rsidR="00AE3A67" w:rsidRPr="00E243A8" w:rsidRDefault="00AE3A67" w:rsidP="00AE3A67">
      <w:r w:rsidRPr="00E243A8">
        <w:t xml:space="preserve">I confirm </w:t>
      </w:r>
      <w:r>
        <w:t xml:space="preserve">that </w:t>
      </w:r>
      <w:r w:rsidRPr="00E243A8">
        <w:t>I have copies of my drafts, notes, and other resources I used, which I may be asked to provide in evidence.</w:t>
      </w:r>
    </w:p>
    <w:p w14:paraId="3CDDDC2E" w14:textId="77777777" w:rsidR="00AE3A67" w:rsidRDefault="00AE3A67" w:rsidP="00AE3A67"/>
    <w:p w14:paraId="26549738" w14:textId="77777777" w:rsidR="00AE3A67" w:rsidRPr="00C2550A" w:rsidRDefault="00AE3A67" w:rsidP="00AE3A67">
      <w:pPr>
        <w:rPr>
          <w:b/>
          <w:bCs/>
        </w:rPr>
      </w:pPr>
      <w:r w:rsidRPr="00C2550A">
        <w:rPr>
          <w:b/>
          <w:bCs/>
        </w:rPr>
        <w:t>OR:</w:t>
      </w:r>
    </w:p>
    <w:p w14:paraId="163A1643" w14:textId="77777777" w:rsidR="00AE3A67" w:rsidRDefault="00AE3A67" w:rsidP="00AE3A67"/>
    <w:p w14:paraId="4D74D6CA" w14:textId="77777777" w:rsidR="00AE3A67" w:rsidRPr="00BC1B22" w:rsidRDefault="00AE3A67" w:rsidP="00AE3A67">
      <w:pPr>
        <w:rPr>
          <w:b/>
          <w:bCs/>
        </w:rPr>
      </w:pPr>
      <w:r w:rsidRPr="00BC1B22">
        <w:rPr>
          <w:b/>
          <w:bCs/>
        </w:rPr>
        <w:t xml:space="preserve">I acknowledge the use of [AI Tool] [(AI Tool </w:t>
      </w:r>
      <w:proofErr w:type="spellStart"/>
      <w:r w:rsidRPr="00BC1B22">
        <w:rPr>
          <w:b/>
          <w:bCs/>
        </w:rPr>
        <w:t>url</w:t>
      </w:r>
      <w:proofErr w:type="spellEnd"/>
      <w:r w:rsidRPr="00BC1B22">
        <w:rPr>
          <w:b/>
          <w:bCs/>
        </w:rPr>
        <w:t xml:space="preserve">)] on [Date] to [Purpose my work]. I used the prompt(s): </w:t>
      </w:r>
    </w:p>
    <w:p w14:paraId="1660E40B" w14:textId="77777777" w:rsidR="00AE3A67" w:rsidRPr="00DD5969" w:rsidRDefault="00AE3A67" w:rsidP="00AE3A67">
      <w:r w:rsidRPr="00DD5969">
        <w:t xml:space="preserve">1. [Prompt] </w:t>
      </w:r>
      <w:r>
        <w:t xml:space="preserve">Check the structure of my academic writing </w:t>
      </w:r>
    </w:p>
    <w:p w14:paraId="1E19399D" w14:textId="01252B63" w:rsidR="00AE3A67" w:rsidRPr="00DD5969" w:rsidRDefault="00AE3A67" w:rsidP="00AE3A67">
      <w:r w:rsidRPr="00DD5969">
        <w:t xml:space="preserve">2. [Prompt] </w:t>
      </w:r>
      <w:r>
        <w:t xml:space="preserve">check </w:t>
      </w:r>
      <w:r w:rsidR="00BC1B22">
        <w:t xml:space="preserve">that </w:t>
      </w:r>
      <w:r>
        <w:t xml:space="preserve">my citations and reference list </w:t>
      </w:r>
      <w:r w:rsidR="00175256">
        <w:t>match</w:t>
      </w:r>
    </w:p>
    <w:p w14:paraId="48C3F7AE" w14:textId="77777777" w:rsidR="00AE3A67" w:rsidRPr="00DD5969" w:rsidRDefault="00AE3A67" w:rsidP="00AE3A67">
      <w:r w:rsidRPr="00DD5969">
        <w:t xml:space="preserve">3. [Prompt] </w:t>
      </w:r>
      <w:r>
        <w:t xml:space="preserve">Give me feedback according to the assessment brief </w:t>
      </w:r>
    </w:p>
    <w:p w14:paraId="2101982B" w14:textId="77777777" w:rsidR="00AE3A67" w:rsidRDefault="00AE3A67" w:rsidP="00AE3A67">
      <w:r w:rsidRPr="00DD5969">
        <w:t xml:space="preserve">I confirm that I have not presented any AI generated text as my own work. </w:t>
      </w:r>
    </w:p>
    <w:p w14:paraId="553767D0" w14:textId="77777777" w:rsidR="00AE3A67" w:rsidRDefault="00AE3A67" w:rsidP="00AE3A67">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49966743" w14:textId="77777777" w:rsidR="00AE3A67" w:rsidRDefault="00AE3A67" w:rsidP="00AE3A67"/>
    <w:p w14:paraId="2A0440DF" w14:textId="77777777" w:rsidR="00AE3A67" w:rsidRDefault="00AE3A67" w:rsidP="00AE3A67"/>
    <w:p w14:paraId="00396217" w14:textId="77777777" w:rsidR="00AE3A67" w:rsidRDefault="00AE3A67" w:rsidP="00AE3A67"/>
    <w:p w14:paraId="3474ACE0" w14:textId="77777777" w:rsidR="00AE3A67" w:rsidRDefault="00AE3A67" w:rsidP="00AE3A67"/>
    <w:p w14:paraId="7B18E0C5" w14:textId="77777777" w:rsidR="00AE3A67" w:rsidRDefault="00AE3A67" w:rsidP="00AE3A67"/>
    <w:p w14:paraId="0473D42A" w14:textId="77777777" w:rsidR="00AE3A67" w:rsidRDefault="00AE3A67" w:rsidP="00AE3A67"/>
    <w:p w14:paraId="6A9F06A1" w14:textId="77777777" w:rsidR="00AE3A67" w:rsidRPr="00C2550A" w:rsidRDefault="00AE3A67" w:rsidP="00AE3A67">
      <w:r>
        <w:t>Please r</w:t>
      </w:r>
      <w:r w:rsidRPr="00C2550A">
        <w:t>efer to the next page for examples.</w:t>
      </w:r>
    </w:p>
    <w:p w14:paraId="71CE313E" w14:textId="77777777" w:rsidR="00AE3A67" w:rsidRPr="00C2550A" w:rsidRDefault="00AE3A67" w:rsidP="00AE3A67">
      <w:r w:rsidRPr="00C2550A">
        <w:t>Prior to submission of your assignment, please delete any information</w:t>
      </w:r>
      <w:r>
        <w:t xml:space="preserve"> on these pages</w:t>
      </w:r>
      <w:r w:rsidRPr="00C2550A">
        <w:t xml:space="preserve"> that is not relevant to your submission</w:t>
      </w:r>
      <w:r>
        <w:t>, including the examples given below.</w:t>
      </w:r>
    </w:p>
    <w:p w14:paraId="0E4400CD" w14:textId="77777777" w:rsidR="00AE3A67" w:rsidRDefault="00AE3A67" w:rsidP="00AE3A67"/>
    <w:p w14:paraId="61DF73E4" w14:textId="77777777" w:rsidR="00AE3A67" w:rsidRPr="00E10797" w:rsidRDefault="00AE3A67" w:rsidP="00AE3A67">
      <w:pPr>
        <w:rPr>
          <w:b/>
          <w:bCs/>
          <w:u w:val="single"/>
        </w:rPr>
      </w:pPr>
      <w:r w:rsidRPr="00E10797">
        <w:rPr>
          <w:b/>
          <w:bCs/>
          <w:u w:val="single"/>
        </w:rPr>
        <w:t>Examples of AI statements</w:t>
      </w:r>
    </w:p>
    <w:p w14:paraId="546DCD3D" w14:textId="77777777" w:rsidR="00AE3A67" w:rsidRPr="00DD5969" w:rsidRDefault="00AE3A67" w:rsidP="00AE3A67">
      <w:pPr>
        <w:rPr>
          <w:sz w:val="16"/>
          <w:szCs w:val="16"/>
        </w:rPr>
      </w:pPr>
      <w:r w:rsidRPr="00DD5969">
        <w:rPr>
          <w:b/>
          <w:bCs/>
          <w:sz w:val="16"/>
          <w:szCs w:val="16"/>
        </w:rPr>
        <w:t xml:space="preserve">Example 1: </w:t>
      </w:r>
    </w:p>
    <w:p w14:paraId="13678E15" w14:textId="77777777" w:rsidR="00AE3A67" w:rsidRPr="00DD5969" w:rsidRDefault="00AE3A67" w:rsidP="00AE3A67">
      <w:pPr>
        <w:rPr>
          <w:sz w:val="16"/>
          <w:szCs w:val="16"/>
        </w:rPr>
      </w:pPr>
      <w:r w:rsidRPr="00DD5969">
        <w:rPr>
          <w:sz w:val="16"/>
          <w:szCs w:val="16"/>
        </w:rPr>
        <w:t xml:space="preserve">I acknowledge the use of Grammarly (https://www.grammarly.com/) on 10 February 2024 to check my work using the prompt(s): </w:t>
      </w:r>
    </w:p>
    <w:p w14:paraId="06C264D8" w14:textId="77777777" w:rsidR="00AE3A67" w:rsidRPr="00DD5969" w:rsidRDefault="00AE3A67" w:rsidP="00AE3A67">
      <w:pPr>
        <w:rPr>
          <w:sz w:val="16"/>
          <w:szCs w:val="16"/>
        </w:rPr>
      </w:pPr>
      <w:r w:rsidRPr="00DD5969">
        <w:rPr>
          <w:sz w:val="16"/>
          <w:szCs w:val="16"/>
        </w:rPr>
        <w:t xml:space="preserve">1. Please check the following text for readability, grammar and syntax. </w:t>
      </w:r>
    </w:p>
    <w:p w14:paraId="6AA36232" w14:textId="77777777" w:rsidR="00AE3A67" w:rsidRPr="00DD5969" w:rsidRDefault="00AE3A67" w:rsidP="00AE3A67">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18FB0D0E" w14:textId="77777777" w:rsidR="00AE3A67" w:rsidRPr="00DD5969" w:rsidRDefault="00AE3A67" w:rsidP="00AE3A67">
      <w:pPr>
        <w:rPr>
          <w:sz w:val="16"/>
          <w:szCs w:val="16"/>
        </w:rPr>
      </w:pPr>
      <w:r w:rsidRPr="00DD5969">
        <w:rPr>
          <w:b/>
          <w:bCs/>
          <w:sz w:val="16"/>
          <w:szCs w:val="16"/>
        </w:rPr>
        <w:t xml:space="preserve">Example 2: </w:t>
      </w:r>
    </w:p>
    <w:p w14:paraId="72309359" w14:textId="77777777" w:rsidR="00AE3A67" w:rsidRPr="00DD5969" w:rsidRDefault="00AE3A67" w:rsidP="00AE3A67">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7 March 2024 to support my research using the prompt(s): </w:t>
      </w:r>
    </w:p>
    <w:p w14:paraId="4C919F30" w14:textId="77777777" w:rsidR="00AE3A67" w:rsidRPr="00DD5969" w:rsidRDefault="00AE3A67" w:rsidP="00AE3A67">
      <w:pPr>
        <w:rPr>
          <w:sz w:val="16"/>
          <w:szCs w:val="16"/>
        </w:rPr>
      </w:pPr>
      <w:r w:rsidRPr="00DD5969">
        <w:rPr>
          <w:sz w:val="16"/>
          <w:szCs w:val="16"/>
        </w:rPr>
        <w:t xml:space="preserve">1. Please provide me with materials on the biology of the liver. </w:t>
      </w:r>
    </w:p>
    <w:p w14:paraId="0994D6F9" w14:textId="77777777" w:rsidR="00AE3A67" w:rsidRPr="00DD5969" w:rsidRDefault="00AE3A67" w:rsidP="00AE3A67">
      <w:pPr>
        <w:rPr>
          <w:sz w:val="16"/>
          <w:szCs w:val="16"/>
        </w:rPr>
      </w:pPr>
      <w:r w:rsidRPr="00DD5969">
        <w:rPr>
          <w:sz w:val="16"/>
          <w:szCs w:val="16"/>
        </w:rPr>
        <w:t xml:space="preserve">2. Please provide me with materials on liver cells. </w:t>
      </w:r>
    </w:p>
    <w:p w14:paraId="2E07BC77" w14:textId="77777777" w:rsidR="00AE3A67" w:rsidRPr="00DD5969" w:rsidRDefault="00AE3A67" w:rsidP="00AE3A67">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79D5E8EF" w14:textId="77777777" w:rsidR="00AE3A67" w:rsidRPr="00DD5969" w:rsidRDefault="00AE3A67" w:rsidP="00AE3A67">
      <w:pPr>
        <w:rPr>
          <w:sz w:val="16"/>
          <w:szCs w:val="16"/>
        </w:rPr>
      </w:pPr>
      <w:r w:rsidRPr="00DD5969">
        <w:rPr>
          <w:b/>
          <w:bCs/>
          <w:sz w:val="16"/>
          <w:szCs w:val="16"/>
        </w:rPr>
        <w:t xml:space="preserve">Example 3: </w:t>
      </w:r>
    </w:p>
    <w:p w14:paraId="1E561283" w14:textId="77777777" w:rsidR="00AE3A67" w:rsidRPr="00DD5969" w:rsidRDefault="00AE3A67" w:rsidP="00AE3A67">
      <w:pPr>
        <w:rPr>
          <w:sz w:val="16"/>
          <w:szCs w:val="16"/>
        </w:rPr>
      </w:pPr>
      <w:r w:rsidRPr="00DD5969">
        <w:rPr>
          <w:sz w:val="16"/>
          <w:szCs w:val="16"/>
        </w:rPr>
        <w:t xml:space="preserve">I acknowledge the use of ChatGPT (https://chatgpt.com/) on 13 April 2024 to write my notes into submission format using the prompt(s): </w:t>
      </w:r>
    </w:p>
    <w:p w14:paraId="6710DE77" w14:textId="77777777" w:rsidR="00AE3A67" w:rsidRPr="00DD5969" w:rsidRDefault="00AE3A67" w:rsidP="00AE3A67">
      <w:pPr>
        <w:rPr>
          <w:sz w:val="16"/>
          <w:szCs w:val="16"/>
        </w:rPr>
      </w:pPr>
      <w:r w:rsidRPr="00DD5969">
        <w:rPr>
          <w:sz w:val="16"/>
          <w:szCs w:val="16"/>
        </w:rPr>
        <w:t xml:space="preserve">1. Please write up these bullet points as an essay paragraph at university level. </w:t>
      </w:r>
    </w:p>
    <w:p w14:paraId="0D3361E3" w14:textId="77777777" w:rsidR="00AE3A67" w:rsidRPr="00DD5969" w:rsidRDefault="00AE3A67" w:rsidP="00AE3A67">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073EEF1A" w14:textId="77777777" w:rsidR="00AE3A67" w:rsidRDefault="00AE3A67" w:rsidP="00AE3A67">
      <w:pPr>
        <w:rPr>
          <w:b/>
          <w:bCs/>
          <w:sz w:val="16"/>
          <w:szCs w:val="16"/>
          <w:u w:val="single"/>
        </w:rPr>
      </w:pPr>
    </w:p>
    <w:p w14:paraId="14675D50" w14:textId="77777777" w:rsidR="00AE3A67" w:rsidRPr="00DD5969" w:rsidRDefault="00AE3A67" w:rsidP="00AE3A67">
      <w:pPr>
        <w:rPr>
          <w:b/>
          <w:bCs/>
          <w:sz w:val="16"/>
          <w:szCs w:val="16"/>
          <w:u w:val="single"/>
        </w:rPr>
      </w:pPr>
      <w:r w:rsidRPr="00DD5969">
        <w:rPr>
          <w:b/>
          <w:bCs/>
          <w:sz w:val="16"/>
          <w:szCs w:val="16"/>
        </w:rPr>
        <w:t>Example 4</w:t>
      </w:r>
      <w:r>
        <w:rPr>
          <w:b/>
          <w:bCs/>
          <w:sz w:val="16"/>
          <w:szCs w:val="16"/>
        </w:rPr>
        <w:t xml:space="preserve"> </w:t>
      </w:r>
      <w:r w:rsidRPr="002F243A">
        <w:rPr>
          <w:b/>
          <w:bCs/>
          <w:sz w:val="16"/>
          <w:szCs w:val="16"/>
        </w:rPr>
        <w:t>-</w:t>
      </w:r>
      <w:r w:rsidRPr="00DD5969">
        <w:rPr>
          <w:b/>
          <w:bCs/>
          <w:sz w:val="16"/>
          <w:szCs w:val="16"/>
        </w:rPr>
        <w:t xml:space="preserve"> </w:t>
      </w:r>
      <w:r>
        <w:rPr>
          <w:b/>
          <w:bCs/>
          <w:sz w:val="16"/>
          <w:szCs w:val="16"/>
        </w:rPr>
        <w:t>a</w:t>
      </w:r>
      <w:r w:rsidRPr="00DD5969">
        <w:rPr>
          <w:b/>
          <w:bCs/>
          <w:sz w:val="16"/>
          <w:szCs w:val="16"/>
        </w:rPr>
        <w:t>cknowledgement of the use of multiple AI tools</w:t>
      </w:r>
      <w:r>
        <w:rPr>
          <w:b/>
          <w:bCs/>
          <w:sz w:val="16"/>
          <w:szCs w:val="16"/>
        </w:rPr>
        <w:t>:</w:t>
      </w:r>
      <w:r w:rsidRPr="00DD5969">
        <w:rPr>
          <w:b/>
          <w:bCs/>
          <w:sz w:val="16"/>
          <w:szCs w:val="16"/>
          <w:u w:val="single"/>
        </w:rPr>
        <w:t xml:space="preserve"> </w:t>
      </w:r>
    </w:p>
    <w:p w14:paraId="5C7387A0" w14:textId="77777777" w:rsidR="00AE3A67" w:rsidRPr="00DD5969" w:rsidRDefault="00AE3A67" w:rsidP="00AE3A67">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28 June 2024 to support my research using the prompt(s): </w:t>
      </w:r>
    </w:p>
    <w:p w14:paraId="5726DC7E" w14:textId="77777777" w:rsidR="00AE3A67" w:rsidRPr="00DD5969" w:rsidRDefault="00AE3A67" w:rsidP="00AE3A67">
      <w:pPr>
        <w:rPr>
          <w:sz w:val="16"/>
          <w:szCs w:val="16"/>
        </w:rPr>
      </w:pPr>
      <w:r w:rsidRPr="00DD5969">
        <w:rPr>
          <w:sz w:val="16"/>
          <w:szCs w:val="16"/>
        </w:rPr>
        <w:t xml:space="preserve">1. Please provide me with materials on the American Civil War. </w:t>
      </w:r>
    </w:p>
    <w:p w14:paraId="08E59FAC" w14:textId="77777777" w:rsidR="00AE3A67" w:rsidRPr="00DD5969" w:rsidRDefault="00AE3A67" w:rsidP="00AE3A67">
      <w:pPr>
        <w:rPr>
          <w:sz w:val="16"/>
          <w:szCs w:val="16"/>
        </w:rPr>
      </w:pPr>
      <w:r w:rsidRPr="00DD5969">
        <w:rPr>
          <w:sz w:val="16"/>
          <w:szCs w:val="16"/>
        </w:rPr>
        <w:t xml:space="preserve">2. Please provide me with materials on the reception of Gone with the Wind. </w:t>
      </w:r>
    </w:p>
    <w:p w14:paraId="6C2B516A" w14:textId="77777777" w:rsidR="00AE3A67" w:rsidRPr="00DD5969" w:rsidRDefault="00AE3A67" w:rsidP="00AE3A67">
      <w:pPr>
        <w:rPr>
          <w:sz w:val="16"/>
          <w:szCs w:val="16"/>
        </w:rPr>
      </w:pPr>
      <w:r w:rsidRPr="00DD5969">
        <w:rPr>
          <w:sz w:val="16"/>
          <w:szCs w:val="16"/>
        </w:rPr>
        <w:t xml:space="preserve">I confirm that I have not presented any AI generated text as my own work. I confirm </w:t>
      </w:r>
      <w:r>
        <w:rPr>
          <w:sz w:val="16"/>
          <w:szCs w:val="16"/>
        </w:rPr>
        <w:t xml:space="preserve">that </w:t>
      </w:r>
      <w:r w:rsidRPr="00DD5969">
        <w:rPr>
          <w:sz w:val="16"/>
          <w:szCs w:val="16"/>
        </w:rPr>
        <w:t xml:space="preserve">I have copies of my drafts, notes, and other resources I used before, and after the use of AI tools which I may be asked to provide in evidence. </w:t>
      </w:r>
    </w:p>
    <w:p w14:paraId="54DF37BB" w14:textId="77777777" w:rsidR="00AE3A67" w:rsidRPr="00DD5969" w:rsidRDefault="00AE3A67" w:rsidP="00AE3A67">
      <w:pPr>
        <w:rPr>
          <w:sz w:val="16"/>
          <w:szCs w:val="16"/>
        </w:rPr>
      </w:pPr>
      <w:r w:rsidRPr="00DD5969">
        <w:rPr>
          <w:sz w:val="16"/>
          <w:szCs w:val="16"/>
        </w:rPr>
        <w:t xml:space="preserve">I acknowledge the use of Adobe Express (https://www.adobe.com/express/) on 24 June 2024 to edit photographic material: </w:t>
      </w:r>
    </w:p>
    <w:p w14:paraId="1269F440" w14:textId="77777777" w:rsidR="00AE3A67" w:rsidRPr="00DD5969" w:rsidRDefault="00AE3A67" w:rsidP="00AE3A67">
      <w:pPr>
        <w:rPr>
          <w:sz w:val="16"/>
          <w:szCs w:val="16"/>
        </w:rPr>
      </w:pPr>
      <w:r w:rsidRPr="00DD5969">
        <w:rPr>
          <w:sz w:val="16"/>
          <w:szCs w:val="16"/>
        </w:rPr>
        <w:t xml:space="preserve">1. Remove background from Figure 1. </w:t>
      </w:r>
    </w:p>
    <w:p w14:paraId="05CC03A2" w14:textId="77777777" w:rsidR="00AE3A67" w:rsidRDefault="00AE3A67" w:rsidP="00AE3A67">
      <w:pPr>
        <w:rPr>
          <w:sz w:val="16"/>
          <w:szCs w:val="16"/>
        </w:rPr>
      </w:pPr>
      <w:r w:rsidRPr="00DD5969">
        <w:rPr>
          <w:sz w:val="16"/>
          <w:szCs w:val="16"/>
        </w:rPr>
        <w:t>I confirm that I have not presented any AI generated materials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7EB42328" w14:textId="77777777" w:rsidR="00AE3A67" w:rsidRPr="00DD5969" w:rsidRDefault="00AE3A67" w:rsidP="00AE3A67">
      <w:pPr>
        <w:rPr>
          <w:sz w:val="16"/>
          <w:szCs w:val="16"/>
        </w:rPr>
      </w:pPr>
    </w:p>
    <w:p w14:paraId="5FB5B668" w14:textId="77777777" w:rsidR="00AE3A67" w:rsidRDefault="00AE3A67" w:rsidP="00AE3A67">
      <w:pPr>
        <w:rPr>
          <w:sz w:val="16"/>
          <w:szCs w:val="16"/>
        </w:rPr>
      </w:pPr>
    </w:p>
    <w:p w14:paraId="59239DCE" w14:textId="77777777" w:rsidR="00AE3A67" w:rsidRDefault="00AE3A67" w:rsidP="00AE3A67">
      <w:pPr>
        <w:rPr>
          <w:sz w:val="16"/>
          <w:szCs w:val="16"/>
        </w:rPr>
      </w:pPr>
    </w:p>
    <w:p w14:paraId="3FA2EB18" w14:textId="77777777" w:rsidR="00AE3A67" w:rsidRDefault="00AE3A67" w:rsidP="000114E9">
      <w:pPr>
        <w:jc w:val="center"/>
        <w:rPr>
          <w:b/>
          <w:bCs/>
          <w:u w:val="single"/>
          <w:lang w:val="en-GB"/>
        </w:rPr>
      </w:pPr>
    </w:p>
    <w:p w14:paraId="5D9FF7FB" w14:textId="05AFAD95" w:rsidR="00FA3366" w:rsidRPr="000114E9" w:rsidRDefault="00FA3366" w:rsidP="000114E9">
      <w:pPr>
        <w:jc w:val="center"/>
        <w:rPr>
          <w:b/>
          <w:bCs/>
          <w:u w:val="single"/>
          <w:lang w:val="en-GB"/>
        </w:rPr>
      </w:pPr>
      <w:r w:rsidRPr="000114E9">
        <w:rPr>
          <w:b/>
          <w:bCs/>
          <w:u w:val="single"/>
          <w:lang w:val="en-GB"/>
        </w:rPr>
        <w:t>Joanne Purchase</w:t>
      </w:r>
    </w:p>
    <w:p w14:paraId="7FD3D687" w14:textId="172A5C1B" w:rsidR="00FA3366" w:rsidRPr="000114E9" w:rsidRDefault="00FA3366" w:rsidP="000114E9">
      <w:pPr>
        <w:jc w:val="center"/>
        <w:rPr>
          <w:b/>
          <w:bCs/>
          <w:u w:val="single"/>
          <w:lang w:val="en-GB"/>
        </w:rPr>
      </w:pPr>
      <w:r w:rsidRPr="000114E9">
        <w:rPr>
          <w:b/>
          <w:bCs/>
          <w:u w:val="single"/>
          <w:lang w:val="en-GB"/>
        </w:rPr>
        <w:t>Component 1</w:t>
      </w:r>
    </w:p>
    <w:p w14:paraId="68B4733D" w14:textId="6C43B55B" w:rsidR="000114E9" w:rsidRPr="000114E9" w:rsidRDefault="000114E9" w:rsidP="000114E9">
      <w:pPr>
        <w:jc w:val="center"/>
        <w:rPr>
          <w:b/>
          <w:bCs/>
          <w:u w:val="single"/>
          <w:lang w:val="en-GB"/>
        </w:rPr>
      </w:pPr>
      <w:r w:rsidRPr="000114E9">
        <w:rPr>
          <w:b/>
          <w:bCs/>
          <w:u w:val="single"/>
          <w:lang w:val="en-GB"/>
        </w:rPr>
        <w:t>Introduction to research methods in education.</w:t>
      </w:r>
    </w:p>
    <w:p w14:paraId="5F1AC0B0" w14:textId="77777777" w:rsidR="00FA3366" w:rsidRDefault="00FA3366" w:rsidP="00F35226">
      <w:pPr>
        <w:rPr>
          <w:b/>
          <w:bCs/>
          <w:lang w:val="en-GB"/>
        </w:rPr>
      </w:pPr>
    </w:p>
    <w:p w14:paraId="62A3F130" w14:textId="5CF932B2" w:rsidR="00F35226" w:rsidRPr="00F35226" w:rsidRDefault="00F35226" w:rsidP="00F35226">
      <w:pPr>
        <w:rPr>
          <w:b/>
          <w:bCs/>
          <w:lang w:val="en-GB"/>
        </w:rPr>
      </w:pPr>
      <w:r w:rsidRPr="00F35226">
        <w:rPr>
          <w:b/>
          <w:bCs/>
          <w:lang w:val="en-GB"/>
        </w:rPr>
        <w:t>Introduction &amp; Rationale</w:t>
      </w:r>
    </w:p>
    <w:p w14:paraId="46689F78" w14:textId="77777777" w:rsidR="00F35226" w:rsidRPr="00F35226" w:rsidRDefault="00F35226" w:rsidP="00F35226">
      <w:pPr>
        <w:rPr>
          <w:lang w:val="en-GB"/>
        </w:rPr>
      </w:pPr>
      <w:r w:rsidRPr="00F35226">
        <w:rPr>
          <w:lang w:val="en-GB"/>
        </w:rPr>
        <w:t>In the evolving landscape of higher education (HE), the intersection of cultural background, gender identity, and access to institutional support services has emerged as a critical area of concern. International students, particularly those negotiating unfamiliar academic and social systems, often encounter layered challenges. Among these populations, male Chinese students with non-conforming gender identities experience a unique set of pressures. These students must navigate a Western academic environment while simultaneously managing cultural expectations from a collectivist home context. This dual negotiation can shape their willingness and ability to access support services, with implications for academic success, wellbeing, and belonging.</w:t>
      </w:r>
    </w:p>
    <w:p w14:paraId="36BAA10D" w14:textId="3F964E54" w:rsidR="00F35226" w:rsidRPr="00F35226" w:rsidRDefault="00F35226" w:rsidP="00F35226">
      <w:pPr>
        <w:rPr>
          <w:lang w:val="en-GB"/>
        </w:rPr>
      </w:pPr>
      <w:r w:rsidRPr="00F35226">
        <w:rPr>
          <w:lang w:val="en-GB"/>
        </w:rPr>
        <w:t xml:space="preserve">This topic holds personal and professional relevance. As HEIs strive to be more inclusive, there remains a tendency to generalise student needs, overlooking how identity intersections affect service engagement. The experiences of gender-nonconforming </w:t>
      </w:r>
      <w:r w:rsidR="00461885">
        <w:rPr>
          <w:lang w:val="en-GB"/>
        </w:rPr>
        <w:t xml:space="preserve">Chinese </w:t>
      </w:r>
      <w:r w:rsidRPr="00F35226">
        <w:rPr>
          <w:lang w:val="en-GB"/>
        </w:rPr>
        <w:t>international students are especially under-theorised in the literature (Chowdhury, 2014), despite increasing visibility of gender diversity in global education contexts.</w:t>
      </w:r>
      <w:r w:rsidR="0001041E">
        <w:rPr>
          <w:lang w:val="en-GB"/>
        </w:rPr>
        <w:t xml:space="preserve"> This holds true especially in Wales.</w:t>
      </w:r>
      <w:r w:rsidRPr="00F35226">
        <w:rPr>
          <w:lang w:val="en-GB"/>
        </w:rPr>
        <w:t xml:space="preserve"> Understanding these nuanced dynamics is essential for creating equitable support structures that reflect diverse student realities.</w:t>
      </w:r>
    </w:p>
    <w:p w14:paraId="30C13D20" w14:textId="77777777" w:rsidR="00F35226" w:rsidRPr="00F35226" w:rsidRDefault="00F35226" w:rsidP="00F35226">
      <w:pPr>
        <w:rPr>
          <w:lang w:val="en-GB"/>
        </w:rPr>
      </w:pPr>
      <w:r w:rsidRPr="00F35226">
        <w:rPr>
          <w:lang w:val="en-GB"/>
        </w:rPr>
        <w:t>This study proposes to explore how male Chinese students with non-conforming gender identities engage with university support services in a Welsh HEI, through a mixed methods approach. A combination of quantitative and qualitative data will offer insights into both patterns and meanings behind engagement behaviours. This work is situated within a growing call for inclusive, culturally responsive support in HE (Berger, 2015). It aims to inform institutional practices while contributing to a more representative body of educational research.</w:t>
      </w:r>
    </w:p>
    <w:p w14:paraId="0052C075" w14:textId="77777777" w:rsidR="00F35226" w:rsidRDefault="00F35226" w:rsidP="00F35226">
      <w:pPr>
        <w:rPr>
          <w:lang w:val="en-GB"/>
        </w:rPr>
      </w:pPr>
      <w:r w:rsidRPr="00F35226">
        <w:rPr>
          <w:lang w:val="en-GB"/>
        </w:rPr>
        <w:t>By amplifying voices at the margins, this research seeks not only to close an empirical gap but also to provoke reflection on how identity and culture intersect within support systems in internationalised university spaces.</w:t>
      </w:r>
    </w:p>
    <w:p w14:paraId="50C24088" w14:textId="77777777" w:rsidR="0001041E" w:rsidRDefault="0001041E" w:rsidP="00F35226">
      <w:pPr>
        <w:rPr>
          <w:lang w:val="en-GB"/>
        </w:rPr>
      </w:pPr>
    </w:p>
    <w:p w14:paraId="779D86D2" w14:textId="77777777" w:rsidR="0001041E" w:rsidRDefault="0001041E" w:rsidP="00F35226">
      <w:pPr>
        <w:rPr>
          <w:lang w:val="en-GB"/>
        </w:rPr>
      </w:pPr>
    </w:p>
    <w:p w14:paraId="451DDCA9" w14:textId="77777777" w:rsidR="0001041E" w:rsidRPr="00F35226" w:rsidRDefault="0001041E" w:rsidP="00F35226">
      <w:pPr>
        <w:rPr>
          <w:lang w:val="en-GB"/>
        </w:rPr>
      </w:pPr>
    </w:p>
    <w:p w14:paraId="0E4F47B1" w14:textId="77777777" w:rsidR="00105083" w:rsidRDefault="00105083"/>
    <w:p w14:paraId="127E0587" w14:textId="77777777" w:rsidR="00105083" w:rsidRDefault="00D911E4">
      <w:r>
        <w:t>Evaluating Positivist and Interpretivist Paradigms within a Mixed Methods Framework</w:t>
      </w:r>
    </w:p>
    <w:p w14:paraId="07A6D6AD" w14:textId="77777777" w:rsidR="00105083" w:rsidRDefault="00D911E4">
      <w:r>
        <w:t>To address the research questions exploring how male Chinese students with non-conforming gender identities access and engage with university support services in a Welsh HEI, it is essential to critically evaluate research paradigms that could underpin this mixed methods enquiry. Traditionally, positivism has been associated with quantitative research due to its emphasis on objectivity, measurement, and generalizability (Clark, 1998; Crossan, 2003). Positivism values the systematic testing of hypotheses through statistical means, making it appropriate for the survey component of this research, which aims to assess patterns in students’ awareness and use of institutional support (Jebb, Ng &amp; Tay, 2021). However, critics argue that positivism may oversimplify the lived realities of marginalised groups by reducing complex, subjective phenomena into numeric trends (Clark, 1998; Chowdhury, 2014). While its deductive orientation can reveal "what" patterns exist (e.g., how many students access services or perceive them as effective), it is less suited to unearthing the nuanced, culturally mediated factors shaping such behaviours (Schachter &amp; Rich, 2011). Therefore, while positivism offers strengths for the quantitative aspect, it presents limitations when applied to the exploration of personal identity narratives central to this study.</w:t>
      </w:r>
    </w:p>
    <w:p w14:paraId="26865B07" w14:textId="77777777" w:rsidR="00105083" w:rsidRDefault="00D911E4">
      <w:r>
        <w:t>In contrast, interpretivism is rooted in understanding the subjective meanings that individuals ascribe to their experiences, which aligns with the qualitative component of this research (Scott, 2017; Chowdhury, 2014). This paradigm emphasises the contextual and social dimensions of phenomena, making it particularly appropriate for investigating how cultural factors and gender identity intersect within the experiences of male Chinese students (Schachter &amp; Rich, 2011; Berger, 2015). By privileging participants' voices through semi-structured interviews and focus groups, interpretivism enables the exploration of how students make sense of navigating university services in relation to their identities. However, interpretivism also faces critique for producing findings that are less generalizable due to smaller sample sizes and context-specific insights (Azungah, 2018; Kuczynski &amp; Daly, 2003). This limitation, though, is offset by the depth of understanding it affords, which is critical when researching underrepresented populations whose experiences are often under-theorised in the existing literature (Berger, 2015).</w:t>
      </w:r>
    </w:p>
    <w:p w14:paraId="0B5EED85" w14:textId="77777777" w:rsidR="00105083" w:rsidRDefault="00D911E4">
      <w:r>
        <w:t xml:space="preserve">Given the shortcomings of each paradigm in isolation, a pragmatic stance is adopted to bridge the gap between positivist and interpretivist approaches, allowing for a complementary and holistic research design (Johnson &amp; Onwuegbuzie, 2004; Cameron, 2011). Pragmatism supports methodological pluralism and aligns with the study’s intent to answer both “what” and “why” questions regarding male Chinese students’ engagement with HEI support services (McKim, 2017). As Cameron (2011) notes in the Five Ps Framework, pragmatism enables researchers to align paradigms to research purposes, participants, and practicalities. In this study, quantitative data will provide descriptive statistics on the extent of service usage, while qualitative data will contextualise these patterns through an exploration of cultural identity, gender norms, and personal narratives </w:t>
      </w:r>
      <w:r>
        <w:lastRenderedPageBreak/>
        <w:t>(Leech et al., 2010). This synthesis not only strengthens the credibility and validity of the findings but also aligns with calls for educational research to bridge the gap between theory and practice (Vanderlinde &amp; Van Braak, 2010; Delaney, 1997).</w:t>
      </w:r>
    </w:p>
    <w:p w14:paraId="53CAAFDA" w14:textId="77777777" w:rsidR="00105083" w:rsidRDefault="00D911E4">
      <w:r>
        <w:t>In summary, both positivist and interpretivist paradigms are integral to addressing the research questions. Positivism aids in identifying trends in service engagement, while interpretivism captures the deeper, culturally situated perspectives of the participants. A mixed methods framework underpinned by pragmatism enables this enquiry to leverage the strengths of both paradigms while mitigating their individual limitations, thus providing a comprehensive understanding of the target population's experiences within the Welsh HEI context.</w:t>
      </w:r>
    </w:p>
    <w:p w14:paraId="055CCAE8" w14:textId="77777777" w:rsidR="00A465EB" w:rsidRDefault="00A465EB"/>
    <w:p w14:paraId="21C9224D" w14:textId="77777777" w:rsidR="00105083" w:rsidRDefault="00D911E4">
      <w:r>
        <w:t>Selecting and Justifying Methods within a Mixed Methods Design</w:t>
      </w:r>
    </w:p>
    <w:p w14:paraId="3C35B139" w14:textId="77777777" w:rsidR="00105083" w:rsidRDefault="00D911E4">
      <w:r>
        <w:t>The methodological decisions in this study are directly informed by its underlying epistemological and ontological positions, which frame the selection and integration of qualitative and quantitative methods. Ontology, concerned with the nature of reality, and epistemology, focused on how we know and understand that reality, are central to aligning research design with the study’s objectives (Goertz &amp; Mahoney, 2012; Breukers &amp; Hoekstra, 2004). In this inquiry, the ontological assumption acknowledges that the experiences of male Chinese students with non-conforming gender identities are both socially constructed and influenced by cultural narratives within the university context. Epistemologically, this necessitates a dual approach—one that captures both the objective patterns of behaviour and the subjective interpretations of those behaviours (Ejnavarzala, 2019; Cameron, 2011).</w:t>
      </w:r>
    </w:p>
    <w:p w14:paraId="72DCBBF5" w14:textId="77777777" w:rsidR="00105083" w:rsidRDefault="00D911E4">
      <w:r>
        <w:t>The interpretivist ontology, which posits that reality is multiple and context-dependent, underpins the selection of semi-structured interviews and focus groups for the qualitative strand. These methods allow participants to construct and share meanings related to their identities and experiences of accessing university support services (Chowdhury, 2014; Scott, 2017). Semi-structured interviews enable the exploration of individual narratives, offering flexibility to probe into cultural and identity-related tensions (Kuczynski &amp; Daly, 2003; Berger, 2015). Focus groups, comprising 3–5 participants, are specifically chosen to foster discussion around shared experiences and cultural discourses, while being small enough to support minority voices in a safe and inclusive environment (Wilson, 1997; Hauser et al., 1997). Participants will be recruited through purposive sampling strategies, engaging university-based cultural societies, international student networks, and LGBTQ+ support groups to ensure a diverse and relevant sample (Scott, 2017; Berger, 2015). Qualitative data will be analysed using thematic analysis to identify recurring themes, personal narratives, and culturally embedded meanings that shape participants’ interactions with institutional support structures (Flick, 2018; Berger, 2015).</w:t>
      </w:r>
    </w:p>
    <w:p w14:paraId="1923A78F" w14:textId="77777777" w:rsidR="00105083" w:rsidRDefault="00D911E4">
      <w:r>
        <w:t xml:space="preserve">Conversely, the positivist ontology assumes that there is a single, observable reality that can be measured and explained through objective data collection (Clark, 1998; Goertz &amp; </w:t>
      </w:r>
      <w:r>
        <w:lastRenderedPageBreak/>
        <w:t>Mahoney, 2012). This informs the inclusion of a Likert-scale survey designed to quantify students’ awareness, usage, and perceptions of support services (Jebb et al., 2021; Tanujaya et al., 2022). The survey aligns with a positivist epistemology, which seeks to generate generalisable knowledge through standardised, replicable methods (Crossan, 2003; Cameron, 2011). By capturing numerical data from a broader population of male Chinese students, the survey will address the need for measurable insights related to the first research question on patterns of service engagement. The resulting quantitative data will be analysed using descriptive statistical methods to identify trends and highlight areas of consistency or concern across the sample.</w:t>
      </w:r>
    </w:p>
    <w:p w14:paraId="07DFCEAD" w14:textId="296BD9D8" w:rsidR="00105083" w:rsidRDefault="00A465EB">
      <w:r>
        <w:t xml:space="preserve">Although purely qualitative or quantitative designs were considered, both presented epistemological and ontological limitations in addressing the full complexity of the research issue (McKim, 2017; Chowdhury, 2014). </w:t>
      </w:r>
      <w:r w:rsidR="00D911E4">
        <w:t>A purely qualitative design may have lacked generalisability, limiting its potential to inform institutional policy, while a strictly quantitative approach risked overlooking the nuanced, culturally embedded factors influencing students’ behaviours (Berger, 2015; Schachter &amp; Rich, 2011). Pragmatism—which allows for epistemological flexibility—was therefore adopted, facilitating the integration of both paradigms to serve the research purpose (Johnson &amp; Onwuegbuzie, 2004; Cameron, 2011). Pragmatism prioritises actionable knowledge and is well-suited to addressing both the "what" and "why" embedded in the research questions, making it the most appropriate philosophical stance for this mixed methods enquiry (Creswell &amp; Creswell, 2017; Ejnavarzala, 2019). However, it is important to acknowledge assumptions inherent in the study. One such assumption is that students will be comfortable sharing sensitive aspects of their identity in a research setting. This may not always hold true, particularly in group formats like focus groups. Additionally, linguistic and cultural nuances may affect the interpretation of both survey responses and interview narratives.</w:t>
      </w:r>
    </w:p>
    <w:p w14:paraId="30087F64" w14:textId="3BC4971D" w:rsidR="00105083" w:rsidRDefault="00D911E4">
      <w:r>
        <w:t xml:space="preserve">In summary, this study’s ontology and epistemology directly </w:t>
      </w:r>
      <w:r w:rsidR="008E5383">
        <w:t>informs</w:t>
      </w:r>
      <w:r>
        <w:t xml:space="preserve"> its methodological </w:t>
      </w:r>
      <w:r w:rsidR="00A465EB">
        <w:t>diversity</w:t>
      </w:r>
      <w:r>
        <w:t xml:space="preserve">, ensuring that both objective patterns and subjective narratives are systematically captured and analysed. </w:t>
      </w:r>
      <w:r w:rsidR="00A465EB">
        <w:t>The complementarity of these methods, based on distinct philosophical traditions, enhances the study's ability to provide both theoretical insights and practical recommendations for HEI.</w:t>
      </w:r>
    </w:p>
    <w:p w14:paraId="5209C7D0" w14:textId="77777777" w:rsidR="00105083" w:rsidRDefault="00D911E4">
      <w:r>
        <w:t>Integration and Complementarity of Methods in Practice</w:t>
      </w:r>
    </w:p>
    <w:p w14:paraId="5C434BC1" w14:textId="6528E861" w:rsidR="00105083" w:rsidRDefault="00A465EB">
      <w:r>
        <w:t xml:space="preserve">The complementarity of the selected methods enhances the research's validity and addresses potential limitations inherent in using a single method. </w:t>
      </w:r>
      <w:r w:rsidR="00D911E4">
        <w:t xml:space="preserve">As Johnson and Onwuegbuzie (2004) argue, mixed methods design </w:t>
      </w:r>
      <w:r>
        <w:t>allows</w:t>
      </w:r>
      <w:r w:rsidR="00D911E4">
        <w:t xml:space="preserve"> researchers to “offset the weaknesses of one method with the strengths of another.” In this enquiry, the survey data will provide a broad understanding of service engagement patterns, while the qualitative findings will add depth, illuminating the underlying socio-cultural and identity-related factors shaping those trends (Creswell &amp; Creswell, 2017; McKim, 2017). Moreover, this combination supports triangulation, enhancing credibility by cross-verifying findings through both qualitative narratives and quantitative measures (Leech et al., 2010). However, blending interpretivist and positivist approaches is not without challenges. </w:t>
      </w:r>
      <w:r w:rsidR="00D911E4">
        <w:lastRenderedPageBreak/>
        <w:t xml:space="preserve">Scholars highlight potential difficulties such as philosophical incompatibilities between paradigms and the complexities of integrating data meaningfully during the analysis phase (Clark, 1998; Cameron, 2011). Nevertheless, adopting a pragmatic orientation enables the prioritisation of the research questions over philosophical rigidity (Cameron, 2011), ensuring the inquiry remains responsive to both the institutional and personal dimensions of the student experience. </w:t>
      </w:r>
      <w:r>
        <w:t>This pragmatic approach ultimately maximizes the utility and impact of the research, providing insights relevant to higher education practice and policy (Delaney, 1997; Vanderlinde &amp; Van Braak, 2010).</w:t>
      </w:r>
    </w:p>
    <w:p w14:paraId="1CBE191C" w14:textId="6D67BD22" w:rsidR="00105083" w:rsidRDefault="00D911E4">
      <w:r>
        <w:t>Ethical Considerations in Researching Gender Identity within Cross-Cultural Contexts</w:t>
      </w:r>
    </w:p>
    <w:p w14:paraId="43D61386" w14:textId="77777777" w:rsidR="00105083" w:rsidRDefault="00D911E4">
      <w:r>
        <w:t>Researching gender identity within a cross-cultural context, particularly involving male Chinese students with non-conforming gender identities, demands a robust ethical framework underpinned by both professional guidelines and inclusive practice principles. This study adheres to the British Educational Research Association (BERA) Ethical Guidelines (2024) to ensure participant dignity, wellbeing, and safety at every stage. Due to the cultural stigma surrounding non-conforming gender identities in many East Asian contexts, ethical sensitivity is paramount (Hauser et al., 1997; Gray, 2018). Core considerations include anonymity, voluntary informed consent, emotional safeguarding, and power dynamics within research settings (Flick, 2018; Agee, 2018).</w:t>
      </w:r>
    </w:p>
    <w:p w14:paraId="06B7D90B" w14:textId="45AC1730" w:rsidR="00105083" w:rsidRDefault="00D911E4">
      <w:r>
        <w:t xml:space="preserve">Voluntary informed consent is especially crucial given the potential power imbalances inherent in university-based research. Participants may feel pressured to comply due to cultural respect for authority or institutional affiliation. </w:t>
      </w:r>
      <w:r w:rsidR="00A465EB">
        <w:t xml:space="preserve">To mitigate this, clear, accessible participant information sheets will be provided, including multilingual support, if necessary, to ensure linguistic diversity and comprehension (Session 25.03.25). </w:t>
      </w:r>
      <w:r>
        <w:t>The right to withdraw will be emphasised repeatedly, and consent will be treated as an ongoing process. Researchers will be trained to identify non-verbal cues of discomfort, acknowledging that emotional expression may vary cross-culturally (Gray, 2018; BERA, 2024).</w:t>
      </w:r>
    </w:p>
    <w:p w14:paraId="560E3AE9" w14:textId="06D30F9E" w:rsidR="00105083" w:rsidRDefault="00D911E4">
      <w:r>
        <w:t xml:space="preserve">The use of focus groups introduces both benefits and ethical complexities. While group settings can foster community and mutual validation, they may also risk breaching confidentiality—especially within tightly knit cultural communities (Wilson, 1997; Hauser et al., 1997). </w:t>
      </w:r>
      <w:r w:rsidR="00A465EB">
        <w:t xml:space="preserve">To address this, participants will establish ground rules regarding respect and confidentiality, and an alternative one-on-one interview option will be provided. </w:t>
      </w:r>
      <w:r>
        <w:t xml:space="preserve">This aligns with inclusive research practices that </w:t>
      </w:r>
      <w:r w:rsidR="008E5383">
        <w:t>prioritize</w:t>
      </w:r>
      <w:r>
        <w:t xml:space="preserve"> participant </w:t>
      </w:r>
      <w:r w:rsidR="008E5383">
        <w:t>agencies</w:t>
      </w:r>
      <w:r>
        <w:t xml:space="preserve"> and methodological flexibility (Session 25.03.25). Furthermore, sessions will be designed to minimise power dynamics—such as through peer-led facilitation or culturally sensitive moderation—to support a power-conscious research environment.</w:t>
      </w:r>
    </w:p>
    <w:p w14:paraId="7AF6D428" w14:textId="77777777" w:rsidR="00105083" w:rsidRDefault="00D911E4">
      <w:r>
        <w:t xml:space="preserve">In addition to protecting participants, the research also incorporates a reflexive and positional approach. As noted in the session on unconscious bias, researchers bring their own cultural assumptions, which can influence how data is interpreted (Michael &amp; Samuel, 2012). Strategies such as reflexive journaling and critical peer debriefs will be employed to monitor and challenge implicit biases, including affinity bias, contrast effect, and gender </w:t>
      </w:r>
      <w:r>
        <w:lastRenderedPageBreak/>
        <w:t>stereotyping. This ensures that findings are not only ethically gathered but also interpreted through an inclusive, critically self-aware lens (Session 25.03.25; Flick, 2023).</w:t>
      </w:r>
    </w:p>
    <w:p w14:paraId="6A3608BA" w14:textId="277EADC1" w:rsidR="00105083" w:rsidRDefault="00D911E4">
      <w:r>
        <w:t xml:space="preserve">Data will be securely managed in accordance with the UK Data Protection Act (2018) and GDPR standards. </w:t>
      </w:r>
      <w:r w:rsidR="00A465EB">
        <w:t>Aliases</w:t>
      </w:r>
      <w:r>
        <w:t xml:space="preserve"> will be used, and survey data will be collected via encrypted platforms like Qualtrics to ensure digital confidentiality (Jebb et al., 2021). Post-interview, participants will receive signposting to relevant university support services, including mental health and LGBTQ+ support.</w:t>
      </w:r>
    </w:p>
    <w:p w14:paraId="35F9ADB3" w14:textId="33A1330A" w:rsidR="00105083" w:rsidRDefault="00A465EB">
      <w:r>
        <w:t xml:space="preserve">Finally, this ethical and inclusive research design is also a significant institution. </w:t>
      </w:r>
      <w:r w:rsidR="00D911E4">
        <w:t>By embedding inclusive practice—such as diverse participation, accessible communication, and transparent research relationships—the study models how universities can adapt their own support structures. Insights gained may inform staff training, counselling provision, and culturally competent service delivery, directly contributing to institutional goals of equity and inclusion (Vanderlinde &amp; Van Braak, 2010; Delaney, 1997).</w:t>
      </w:r>
    </w:p>
    <w:p w14:paraId="4689759B" w14:textId="26D047EC" w:rsidR="00105083" w:rsidRDefault="00D911E4">
      <w:r>
        <w:t xml:space="preserve">Lastly, researcher wellbeing and reflexivity are crucial, particularly when exploring sensitive, potentially distressing topics. The researcher must remain self-aware of their own positionality and biases, which may influence data collection or interpretation (Berger, 2015; Flick, 2023). Additionally, conducting emotionally charged interviews requires strategies for managing personal stress and ethical supervision to ensure emotional resilience and protect against secondary trauma (BERA, 2024). </w:t>
      </w:r>
      <w:r w:rsidR="00A465EB">
        <w:t>The ethical framework employed in this inquiry is intended to enhance the safety, dignity, and rights of both participants and the researcher while fostering mutual understanding and trust.</w:t>
      </w:r>
    </w:p>
    <w:p w14:paraId="253414B4" w14:textId="17CD57CE" w:rsidR="00105083" w:rsidRDefault="00D911E4">
      <w:r>
        <w:t>Strengths and Limitations of a Mixed Methods Approach</w:t>
      </w:r>
    </w:p>
    <w:p w14:paraId="5A0B034C" w14:textId="28BEE4E2" w:rsidR="00105083" w:rsidRDefault="00A465EB">
      <w:r>
        <w:t xml:space="preserve">The adoption of a mixed methods design in this study provides a powerful framework for addressing the research questions in both broad and broad perspectives. </w:t>
      </w:r>
      <w:r w:rsidR="00D911E4">
        <w:t xml:space="preserve">One of the most compelling strengths of this approach lies in its ability to facilitate </w:t>
      </w:r>
      <w:r w:rsidR="008E5383">
        <w:t xml:space="preserve">triangulation, </w:t>
      </w:r>
      <w:r w:rsidR="00D911E4">
        <w:t>allowing the convergence of quantitative trends and qualitative insights to enhance the overall credibility and trustworthiness of findings (Leech et al., 2010; McKim, 2017). While the survey data will capture broad patterns in students’ awareness and use of university support services, the qualitative methods—semi-structured interviews and focus groups—will provide culturally nuanced, context-rich narratives that illuminate how identity, culture, and perception influence engagement with these services (Schachter &amp; Rich, 2011; Berger, 2015).</w:t>
      </w:r>
    </w:p>
    <w:p w14:paraId="738A6681" w14:textId="1A4CD90F" w:rsidR="00105083" w:rsidRDefault="008A4A50">
      <w:r>
        <w:t xml:space="preserve">Another crucial advantage of a mixed method approach is its practical application to institutional policy and professional practice. </w:t>
      </w:r>
      <w:r w:rsidR="00D911E4">
        <w:t xml:space="preserve">Quantitative findings will yield generalisable data that can inform strategic decisions regarding service accessibility, communication, and outreach. Simultaneously, qualitative insights will expose underlying social, cultural, and emotional barriers, often invisible in numerical data. These findings can directly inform the development of inclusive staff training programmes, focused on cultural competence, gender diversity, and unconscious bias. For example, workshops might be co-designed with </w:t>
      </w:r>
      <w:r w:rsidR="00D911E4">
        <w:lastRenderedPageBreak/>
        <w:t>student representatives and include lived experience testimonies to ensure authenticity and impact. Additionally, institutional responses may include revisions to communication materials, ensuring multilingual accessibility, and implementing peer mentoring programmes to support culturally aligned pathways into service engagement.</w:t>
      </w:r>
    </w:p>
    <w:p w14:paraId="1F8B5249" w14:textId="5CE274FB" w:rsidR="00105083" w:rsidRDefault="008A4A50">
      <w:r>
        <w:t xml:space="preserve">Critically, this approach aligns with comprehensive research practice by accommodating diverse modes of communication and communication. </w:t>
      </w:r>
      <w:r w:rsidR="00D911E4">
        <w:t>Offering both surveys and in-depth interviews empowers participants to choose the format that best reflects their comfort and identity. This flexibility upholds the principles of representation and agency while addressing potential language and cultural barriers (Session 25.03.25). Moreover, by embedding participant choice and reflexivity into the research process, the study reflects a power-conscious design, which can serve as a model for institutional research or student feedback mechanisms.</w:t>
      </w:r>
    </w:p>
    <w:p w14:paraId="3EE071E4" w14:textId="77777777" w:rsidR="00105083" w:rsidRDefault="00D911E4">
      <w:r>
        <w:t>Despite these strengths, the mixed methods approach introduces several challenges. Philosophically, tensions can arise when integrating positivist and interpretivist paradigms, as each is grounded in different assumptions about knowledge and meaning (Clark, 1998; Chowdhury, 2014). These paradigmatic differences can complicate data integration during analysis and interpretation. To navigate this, the study adopts a pragmatic stance, focusing on the research questions and outcomes rather than rigid philosophical alignment (Cameron, 2011; Creswell &amp; Creswell, 2017). This enables a balanced treatment of both data strands, where contradictions are examined for insight rather than treated as methodological flaws.</w:t>
      </w:r>
    </w:p>
    <w:p w14:paraId="437E1A95" w14:textId="7040223B" w:rsidR="00105083" w:rsidRDefault="00247CE9">
      <w:r>
        <w:t xml:space="preserve">From a practical point of view, mixed </w:t>
      </w:r>
      <w:r w:rsidR="00B65DF1">
        <w:t>methods of</w:t>
      </w:r>
      <w:r>
        <w:t xml:space="preserve"> research is more </w:t>
      </w:r>
      <w:r w:rsidR="00B65DF1">
        <w:t>resource intensive</w:t>
      </w:r>
      <w:r>
        <w:t xml:space="preserve">. </w:t>
      </w:r>
      <w:r w:rsidR="00D911E4">
        <w:t xml:space="preserve">It requires time, technological support, and ethical oversight, particularly when recruiting from a niche and potentially vulnerable population. To mitigate these challenges, the research will implement inclusive recruitment strategies, provide participants with autonomy over their mode of participation, and maintain an ongoing feedback loop to refine tools and methods. </w:t>
      </w:r>
      <w:r w:rsidR="00B65DF1">
        <w:t>This ensures that practical constraints do not hinder ethical obligations or data quality (Flick, 2018; BERA, 2024).</w:t>
      </w:r>
    </w:p>
    <w:p w14:paraId="57CEAF67" w14:textId="73132643" w:rsidR="00105083" w:rsidRDefault="00D911E4">
      <w:r>
        <w:t xml:space="preserve">Additionally, researcher reflexivity is integral when engaging with sensitive topics and marginalised populations. </w:t>
      </w:r>
      <w:r w:rsidR="00B65DF1">
        <w:t xml:space="preserve">Unconscious bias, such as assumptions regarding gender expression or cultural engagement with support services, can shape data interpretation in subtle yet significant ways (Michael &amp; Samuel, 2012). </w:t>
      </w:r>
      <w:r>
        <w:t>To address this, the study incorporates reflexive journaling, supervisory consultation, and transparent analytic memos to document decisions and assumptions. These strategies aim to protect the authenticity of participant voices while maintaining rigour and ethical accountability (Berger, 2015; Flick, 2023).</w:t>
      </w:r>
    </w:p>
    <w:p w14:paraId="2F2BE420" w14:textId="77777777" w:rsidR="00105083" w:rsidRDefault="00D911E4">
      <w:r>
        <w:t xml:space="preserve">In summary, while a mixed methods approach presents both philosophical and logistical complexities, it offers significant strengths in terms of validity, inclusivity, and real-world relevance. This study not only contributes to theoretical understanding but also generates actionable, practice-informed knowledge. Its findings can support HEIs in developing more </w:t>
      </w:r>
      <w:r>
        <w:lastRenderedPageBreak/>
        <w:t>culturally responsive and accessible support systems, with wider applicability for institutions aiming to improve engagement with minoritised student populations across diverse educational settings.</w:t>
      </w:r>
    </w:p>
    <w:p w14:paraId="41DB7412" w14:textId="77777777" w:rsidR="00105083" w:rsidRDefault="00105083"/>
    <w:p w14:paraId="1B00A537" w14:textId="77777777" w:rsidR="00105083" w:rsidRDefault="00D911E4">
      <w:r>
        <w:t>Additionally, researcher reflexivity is essential when working with sensitive topics and underrepresented populations. Unconscious bias—such as affinity bias, contrast bias, or assumptions shaped by cultural positioning—can affect data interpretation and researcher-participant dynamics (Michael &amp; Samuel, 2012; Session 25.03.25). Reflexive journaling and supervisory check-ins will be integrated throughout the project to support ethical awareness, critical self-examination, and inclusive interpretation of findings (Berger, 2015; Flick, 2023).</w:t>
      </w:r>
    </w:p>
    <w:p w14:paraId="02CEFE2F" w14:textId="77777777" w:rsidR="00105083" w:rsidRDefault="00D911E4">
      <w:r>
        <w:t>In summary, while a mixed methods approach presents certain philosophical and logistical complexities, it offers substantial strengths in terms of validity, inclusivity, and impact. Through a carefully integrated design and reflexive practice, the study not only enhances methodological rigour but also offers practical value—informing institutional strategies to better support international students with diverse gender identities. This approach thus contributes to both academic knowledge and systemic change in higher education environments.</w:t>
      </w:r>
    </w:p>
    <w:p w14:paraId="59FA0453" w14:textId="77777777" w:rsidR="00105083" w:rsidRDefault="00D911E4">
      <w:r>
        <w:t>Researcher Reflexivity and Positionality</w:t>
      </w:r>
      <w:r>
        <w:br/>
        <w:t>In alignment with inclusive research practice (Session 25.03.25), it is critical to acknowledge the role of the researcher’s positionality in shaping both the design and interpretation of this study. As a researcher operating within a Western academic context, I bring a set of cultural norms, assumptions, and potentially subconscious biases that may influence how data is collected, interpreted, and presented (Michael &amp; Samuel, 2012). Reflexivity requires me to remain critically aware of how factors such as gender, ethnicity, language, and academic background may affect rapport with participants and the framing of research questions. This is particularly important when researching marginalised populations, where power dynamics may shape what participants feel safe to disclose. Throughout the research process, I will engage in reflexive journaling, regularly interrogating my assumptions and decision-making to mitigate the influence of affinity bias, contrast bias, and other forms of unconscious bias (Session 25.03.25). By doing so, I aim to uphold the integrity of the research and ensure participants' voices are authentically represented.</w:t>
      </w:r>
    </w:p>
    <w:p w14:paraId="4162020B" w14:textId="77777777" w:rsidR="00105083" w:rsidRPr="00E577AF" w:rsidRDefault="00D911E4">
      <w:pPr>
        <w:rPr>
          <w:b/>
          <w:bCs/>
        </w:rPr>
      </w:pPr>
      <w:r w:rsidRPr="00E577AF">
        <w:rPr>
          <w:b/>
          <w:bCs/>
        </w:rPr>
        <w:t>Conclusion</w:t>
      </w:r>
    </w:p>
    <w:p w14:paraId="67F53723" w14:textId="77777777" w:rsidR="00105083" w:rsidRDefault="00D911E4">
      <w:r>
        <w:t xml:space="preserve">This study has critically explored and justified the use of a mixed methods approach to investigate how male Chinese students with non-conforming gender identities perceive and engage with university support services in a Welsh higher education institution. In doing so, the paper has evaluated the merits of both positivist and interpretivist paradigms, demonstrating that neither paradigm, when used in isolation, could fully capture the </w:t>
      </w:r>
      <w:r>
        <w:lastRenderedPageBreak/>
        <w:t>complex, intersectional nature of the research topic. While positivism offers the strength of generalizable, statistical insights into service awareness and engagement patterns, interpretivism facilitates a deeper, culturally grounded understanding of students’ lived experiences (Clark, 1998; Chowdhury, 2014; Berger, 2015). A pragmatic stance has been adopted to reconcile these epistemological differences and ensure that the enquiry remains focused on addressing both “what” and “why” questions central to the research aims (Johnson &amp; Onwuegbuzie, 2004; Cameron, 2011).</w:t>
      </w:r>
    </w:p>
    <w:p w14:paraId="45511D12" w14:textId="77777777" w:rsidR="00105083" w:rsidRDefault="00D911E4">
      <w:r>
        <w:t>The selection of semi-structured interviews and focus groups for the qualitative strand aligns well with the interpretivist underpinnings of this study, supporting the exploration of subjective narratives and cultural identity conflicts. Complementing this, a Likert-scale survey aligned to positivist principles provides measurable insights into broader engagement patterns with institutional support services (Jebb et al., 2021; Tanujaya et al., 2022). Together, these methods allow for triangulation and enhance the validity and depth of the findings (Leech et al., 2010; McKim, 2017).</w:t>
      </w:r>
    </w:p>
    <w:p w14:paraId="53D50FD5" w14:textId="77777777" w:rsidR="00105083" w:rsidRDefault="00D911E4">
      <w:r>
        <w:t>The paper has also foregrounded key ethical considerations, particularly in relation to safeguarding participants’ anonymity, cultural sensitivity, and emotional wellbeing (BERA, 2024; Flick, 2018). Given the sensitivity of researching non-conforming gender identities within international student populations, the research design prioritises participant autonomy, reflexivity, and respect for cultural diversity (Berger, 2015).</w:t>
      </w:r>
    </w:p>
    <w:p w14:paraId="2FCD457B" w14:textId="29328D65" w:rsidR="00105083" w:rsidRDefault="00D911E4">
      <w:r>
        <w:t xml:space="preserve">In conclusion, this study provides a robust framework for understanding how cultural and identity-related factors influence male Chinese students' access to university support services. The insights generated will not only contribute to the academic discourse on identity and cross-cultural adaptation but also inform practical, evidence-based strategies to enhance inclusivity within HEIs (Vanderlinde &amp; Van Braak, 2010; Delaney, 1997). Future research could expand on this enquiry by exploring other international student populations or adopting a longitudinal approach </w:t>
      </w:r>
      <w:r w:rsidR="0003493B">
        <w:t>in assessing</w:t>
      </w:r>
      <w:r>
        <w:t xml:space="preserve"> the impact of institutional changes on student engagement and wellbeing.</w:t>
      </w:r>
    </w:p>
    <w:p w14:paraId="18AEE3A9" w14:textId="77777777" w:rsidR="001A1957" w:rsidRDefault="001A1957"/>
    <w:p w14:paraId="7A0B9732" w14:textId="77777777" w:rsidR="001A1957" w:rsidRDefault="001A1957"/>
    <w:p w14:paraId="0695FFBF" w14:textId="77777777" w:rsidR="001A1957" w:rsidRDefault="001A1957"/>
    <w:p w14:paraId="42B5EFDE" w14:textId="77777777" w:rsidR="001A1957" w:rsidRDefault="001A1957"/>
    <w:p w14:paraId="54AED074" w14:textId="77777777" w:rsidR="001A1957" w:rsidRDefault="001A1957"/>
    <w:p w14:paraId="320B67F7" w14:textId="77777777" w:rsidR="001A1957" w:rsidRDefault="001A1957"/>
    <w:p w14:paraId="6F411AE9" w14:textId="77777777" w:rsidR="001A1957" w:rsidRDefault="001A1957"/>
    <w:p w14:paraId="78F93A06" w14:textId="77777777" w:rsidR="0003493B" w:rsidRDefault="0003493B"/>
    <w:p w14:paraId="40651E01" w14:textId="6DCAB66E" w:rsidR="0003493B" w:rsidRPr="0003493B" w:rsidRDefault="0003493B">
      <w:pPr>
        <w:rPr>
          <w:b/>
          <w:bCs/>
        </w:rPr>
      </w:pPr>
      <w:r w:rsidRPr="0003493B">
        <w:rPr>
          <w:b/>
          <w:bCs/>
        </w:rPr>
        <w:lastRenderedPageBreak/>
        <w:t xml:space="preserve">References </w:t>
      </w:r>
    </w:p>
    <w:p w14:paraId="3845807C" w14:textId="77777777" w:rsidR="0003493B" w:rsidRPr="0003493B" w:rsidRDefault="0003493B" w:rsidP="0003493B">
      <w:pPr>
        <w:rPr>
          <w:lang w:val="en-GB"/>
        </w:rPr>
      </w:pPr>
      <w:r w:rsidRPr="0003493B">
        <w:rPr>
          <w:lang w:val="en-GB"/>
        </w:rPr>
        <w:t xml:space="preserve">Agee, J. (2018) </w:t>
      </w:r>
      <w:r w:rsidRPr="0003493B">
        <w:rPr>
          <w:i/>
          <w:iCs/>
          <w:lang w:val="en-GB"/>
        </w:rPr>
        <w:t>Negotiating identity through reflexive inquiry: The researcher’s role in the construction of meaning</w:t>
      </w:r>
      <w:r w:rsidRPr="0003493B">
        <w:rPr>
          <w:lang w:val="en-GB"/>
        </w:rPr>
        <w:t>. New York: Routledge.</w:t>
      </w:r>
    </w:p>
    <w:p w14:paraId="5D5ED915" w14:textId="77777777" w:rsidR="0003493B" w:rsidRPr="0003493B" w:rsidRDefault="0003493B" w:rsidP="0003493B">
      <w:pPr>
        <w:rPr>
          <w:lang w:val="en-GB"/>
        </w:rPr>
      </w:pPr>
      <w:proofErr w:type="spellStart"/>
      <w:r w:rsidRPr="0003493B">
        <w:rPr>
          <w:lang w:val="en-GB"/>
        </w:rPr>
        <w:t>Azungah</w:t>
      </w:r>
      <w:proofErr w:type="spellEnd"/>
      <w:r w:rsidRPr="0003493B">
        <w:rPr>
          <w:lang w:val="en-GB"/>
        </w:rPr>
        <w:t xml:space="preserve">, T. (2018) ‘Qualitative research: deductive and inductive approaches to data analysis’, </w:t>
      </w:r>
      <w:r w:rsidRPr="0003493B">
        <w:rPr>
          <w:i/>
          <w:iCs/>
          <w:lang w:val="en-GB"/>
        </w:rPr>
        <w:t>Qualitative Research Journal</w:t>
      </w:r>
      <w:r w:rsidRPr="0003493B">
        <w:rPr>
          <w:lang w:val="en-GB"/>
        </w:rPr>
        <w:t>, 18(4), pp. 383–400. https://doi.org/10.1108/QRJ-D-18-00035</w:t>
      </w:r>
    </w:p>
    <w:p w14:paraId="1ABAD1C6" w14:textId="77777777" w:rsidR="0003493B" w:rsidRPr="0003493B" w:rsidRDefault="0003493B" w:rsidP="0003493B">
      <w:pPr>
        <w:rPr>
          <w:lang w:val="en-GB"/>
        </w:rPr>
      </w:pPr>
      <w:r w:rsidRPr="0003493B">
        <w:rPr>
          <w:lang w:val="en-GB"/>
        </w:rPr>
        <w:t xml:space="preserve">BERA (2024) </w:t>
      </w:r>
      <w:r w:rsidRPr="0003493B">
        <w:rPr>
          <w:i/>
          <w:iCs/>
          <w:lang w:val="en-GB"/>
        </w:rPr>
        <w:t>Ethical Guidelines for Educational Research</w:t>
      </w:r>
      <w:r w:rsidRPr="0003493B">
        <w:rPr>
          <w:lang w:val="en-GB"/>
        </w:rPr>
        <w:t xml:space="preserve">. 5th </w:t>
      </w:r>
      <w:proofErr w:type="spellStart"/>
      <w:r w:rsidRPr="0003493B">
        <w:rPr>
          <w:lang w:val="en-GB"/>
        </w:rPr>
        <w:t>edn</w:t>
      </w:r>
      <w:proofErr w:type="spellEnd"/>
      <w:r w:rsidRPr="0003493B">
        <w:rPr>
          <w:lang w:val="en-GB"/>
        </w:rPr>
        <w:t>. London: British Educational Research Association.</w:t>
      </w:r>
    </w:p>
    <w:p w14:paraId="0C0E55ED" w14:textId="77777777" w:rsidR="0003493B" w:rsidRPr="0003493B" w:rsidRDefault="0003493B" w:rsidP="0003493B">
      <w:pPr>
        <w:rPr>
          <w:lang w:val="en-GB"/>
        </w:rPr>
      </w:pPr>
      <w:r w:rsidRPr="0003493B">
        <w:rPr>
          <w:lang w:val="en-GB"/>
        </w:rPr>
        <w:t xml:space="preserve">Berger, R. (2015) ‘Now I see it, now I don’t: Researcher’s position and reflexivity in qualitative research’, </w:t>
      </w:r>
      <w:r w:rsidRPr="0003493B">
        <w:rPr>
          <w:i/>
          <w:iCs/>
          <w:lang w:val="en-GB"/>
        </w:rPr>
        <w:t>Qualitative Research</w:t>
      </w:r>
      <w:r w:rsidRPr="0003493B">
        <w:rPr>
          <w:lang w:val="en-GB"/>
        </w:rPr>
        <w:t>, 15(2), pp. 219–234. https://doi.org/10.1177/1468794112468475</w:t>
      </w:r>
    </w:p>
    <w:p w14:paraId="1D031308" w14:textId="77777777" w:rsidR="0003493B" w:rsidRPr="0003493B" w:rsidRDefault="0003493B" w:rsidP="0003493B">
      <w:pPr>
        <w:rPr>
          <w:lang w:val="en-GB"/>
        </w:rPr>
      </w:pPr>
      <w:proofErr w:type="spellStart"/>
      <w:r w:rsidRPr="0003493B">
        <w:rPr>
          <w:lang w:val="en-GB"/>
        </w:rPr>
        <w:t>Breukers</w:t>
      </w:r>
      <w:proofErr w:type="spellEnd"/>
      <w:r w:rsidRPr="0003493B">
        <w:rPr>
          <w:lang w:val="en-GB"/>
        </w:rPr>
        <w:t xml:space="preserve">, S. and Hoekstra, F. (2004) ‘Institutional capacity building for sustainable development’, </w:t>
      </w:r>
      <w:r w:rsidRPr="0003493B">
        <w:rPr>
          <w:i/>
          <w:iCs/>
          <w:lang w:val="en-GB"/>
        </w:rPr>
        <w:t>Environmental Policy and Governance</w:t>
      </w:r>
      <w:r w:rsidRPr="0003493B">
        <w:rPr>
          <w:lang w:val="en-GB"/>
        </w:rPr>
        <w:t>, 14(4), pp. 273–289. https://doi.org/10.1002/eet.356</w:t>
      </w:r>
    </w:p>
    <w:p w14:paraId="19FDDAA6" w14:textId="77777777" w:rsidR="0003493B" w:rsidRPr="0003493B" w:rsidRDefault="0003493B" w:rsidP="0003493B">
      <w:pPr>
        <w:rPr>
          <w:lang w:val="en-GB"/>
        </w:rPr>
      </w:pPr>
      <w:r w:rsidRPr="0003493B">
        <w:rPr>
          <w:lang w:val="en-GB"/>
        </w:rPr>
        <w:t xml:space="preserve">Cameron, R. (2011) ‘Mixed methods research: The five Ps framework’, </w:t>
      </w:r>
      <w:r w:rsidRPr="0003493B">
        <w:rPr>
          <w:i/>
          <w:iCs/>
          <w:lang w:val="en-GB"/>
        </w:rPr>
        <w:t>The Electronic Journal of Business Research Methods</w:t>
      </w:r>
      <w:r w:rsidRPr="0003493B">
        <w:rPr>
          <w:lang w:val="en-GB"/>
        </w:rPr>
        <w:t>, 9(2), pp. 96–108.</w:t>
      </w:r>
    </w:p>
    <w:p w14:paraId="3AB9C362" w14:textId="77777777" w:rsidR="0003493B" w:rsidRPr="0003493B" w:rsidRDefault="0003493B" w:rsidP="0003493B">
      <w:pPr>
        <w:rPr>
          <w:lang w:val="en-GB"/>
        </w:rPr>
      </w:pPr>
      <w:r w:rsidRPr="0003493B">
        <w:rPr>
          <w:lang w:val="en-GB"/>
        </w:rPr>
        <w:t xml:space="preserve">Chowdhury, R. (2014) ‘Problematizing ‘expertise’ in transnational higher education: The case of a UK–Bangladesh partnership’, </w:t>
      </w:r>
      <w:r w:rsidRPr="0003493B">
        <w:rPr>
          <w:i/>
          <w:iCs/>
          <w:lang w:val="en-GB"/>
        </w:rPr>
        <w:t>Teaching in Higher Education</w:t>
      </w:r>
      <w:r w:rsidRPr="0003493B">
        <w:rPr>
          <w:lang w:val="en-GB"/>
        </w:rPr>
        <w:t>, 19(3), pp. 286–297. https://doi.org/10.1080/13562517.2013.860106</w:t>
      </w:r>
    </w:p>
    <w:p w14:paraId="03895F78" w14:textId="77777777" w:rsidR="0003493B" w:rsidRPr="0003493B" w:rsidRDefault="0003493B" w:rsidP="0003493B">
      <w:pPr>
        <w:rPr>
          <w:lang w:val="en-GB"/>
        </w:rPr>
      </w:pPr>
      <w:r w:rsidRPr="0003493B">
        <w:rPr>
          <w:lang w:val="en-GB"/>
        </w:rPr>
        <w:t xml:space="preserve">Clark, A. (1998) ‘The qualitative-quantitative debate: Moving from positivism and confrontation to post-positivism and reconciliation’, </w:t>
      </w:r>
      <w:r w:rsidRPr="0003493B">
        <w:rPr>
          <w:i/>
          <w:iCs/>
          <w:lang w:val="en-GB"/>
        </w:rPr>
        <w:t>Journal of Advanced Nursing</w:t>
      </w:r>
      <w:r w:rsidRPr="0003493B">
        <w:rPr>
          <w:lang w:val="en-GB"/>
        </w:rPr>
        <w:t>, 27(6), pp. 1242–1249. https://doi.org/10.1046/j.1365-2648.1998.00651.x</w:t>
      </w:r>
    </w:p>
    <w:p w14:paraId="48204267" w14:textId="77777777" w:rsidR="0003493B" w:rsidRPr="0003493B" w:rsidRDefault="0003493B" w:rsidP="0003493B">
      <w:pPr>
        <w:rPr>
          <w:lang w:val="en-GB"/>
        </w:rPr>
      </w:pPr>
      <w:r w:rsidRPr="0003493B">
        <w:rPr>
          <w:lang w:val="en-GB"/>
        </w:rPr>
        <w:t xml:space="preserve">Creswell, J.W. and Creswell, J.D. (2017) </w:t>
      </w:r>
      <w:r w:rsidRPr="0003493B">
        <w:rPr>
          <w:i/>
          <w:iCs/>
          <w:lang w:val="en-GB"/>
        </w:rPr>
        <w:t>Research Design: Qualitative, Quantitative, and Mixed Methods Approaches</w:t>
      </w:r>
      <w:r w:rsidRPr="0003493B">
        <w:rPr>
          <w:lang w:val="en-GB"/>
        </w:rPr>
        <w:t xml:space="preserve">. 5th </w:t>
      </w:r>
      <w:proofErr w:type="spellStart"/>
      <w:r w:rsidRPr="0003493B">
        <w:rPr>
          <w:lang w:val="en-GB"/>
        </w:rPr>
        <w:t>edn</w:t>
      </w:r>
      <w:proofErr w:type="spellEnd"/>
      <w:r w:rsidRPr="0003493B">
        <w:rPr>
          <w:lang w:val="en-GB"/>
        </w:rPr>
        <w:t>. London: SAGE Publications.</w:t>
      </w:r>
    </w:p>
    <w:p w14:paraId="18A05205" w14:textId="77777777" w:rsidR="0003493B" w:rsidRPr="0003493B" w:rsidRDefault="0003493B" w:rsidP="0003493B">
      <w:pPr>
        <w:rPr>
          <w:lang w:val="en-GB"/>
        </w:rPr>
      </w:pPr>
      <w:r w:rsidRPr="0003493B">
        <w:rPr>
          <w:lang w:val="en-GB"/>
        </w:rPr>
        <w:t xml:space="preserve">Crossan, F. (2003) ‘Research philosophy: Towards an understanding’, </w:t>
      </w:r>
      <w:r w:rsidRPr="0003493B">
        <w:rPr>
          <w:i/>
          <w:iCs/>
          <w:lang w:val="en-GB"/>
        </w:rPr>
        <w:t>Nurse Researcher</w:t>
      </w:r>
      <w:r w:rsidRPr="0003493B">
        <w:rPr>
          <w:lang w:val="en-GB"/>
        </w:rPr>
        <w:t>, 11(1), pp. 46–55. https://doi.org/10.7748/nr2003.10.11.1.46.c5914</w:t>
      </w:r>
    </w:p>
    <w:p w14:paraId="5977532C" w14:textId="77777777" w:rsidR="0003493B" w:rsidRPr="0003493B" w:rsidRDefault="0003493B" w:rsidP="0003493B">
      <w:pPr>
        <w:rPr>
          <w:lang w:val="en-GB"/>
        </w:rPr>
      </w:pPr>
      <w:r w:rsidRPr="0003493B">
        <w:rPr>
          <w:lang w:val="en-GB"/>
        </w:rPr>
        <w:t xml:space="preserve">Delaney, L. (1997) ‘Policy implementation and the integration of services in higher education’, </w:t>
      </w:r>
      <w:r w:rsidRPr="0003493B">
        <w:rPr>
          <w:i/>
          <w:iCs/>
          <w:lang w:val="en-GB"/>
        </w:rPr>
        <w:t>Higher Education Management</w:t>
      </w:r>
      <w:r w:rsidRPr="0003493B">
        <w:rPr>
          <w:lang w:val="en-GB"/>
        </w:rPr>
        <w:t>, 9(2), pp. 91–102.</w:t>
      </w:r>
    </w:p>
    <w:p w14:paraId="51BE9227" w14:textId="77777777" w:rsidR="0003493B" w:rsidRPr="0003493B" w:rsidRDefault="0003493B" w:rsidP="0003493B">
      <w:pPr>
        <w:rPr>
          <w:lang w:val="en-GB"/>
        </w:rPr>
      </w:pPr>
      <w:proofErr w:type="spellStart"/>
      <w:r w:rsidRPr="0003493B">
        <w:rPr>
          <w:lang w:val="en-GB"/>
        </w:rPr>
        <w:t>Ejnavarzala</w:t>
      </w:r>
      <w:proofErr w:type="spellEnd"/>
      <w:r w:rsidRPr="0003493B">
        <w:rPr>
          <w:lang w:val="en-GB"/>
        </w:rPr>
        <w:t xml:space="preserve">, H. (2019) ‘Intersections of epistemology and methodology in social research’, </w:t>
      </w:r>
      <w:r w:rsidRPr="0003493B">
        <w:rPr>
          <w:i/>
          <w:iCs/>
          <w:lang w:val="en-GB"/>
        </w:rPr>
        <w:t>Journal of Social Research Methodology</w:t>
      </w:r>
      <w:r w:rsidRPr="0003493B">
        <w:rPr>
          <w:lang w:val="en-GB"/>
        </w:rPr>
        <w:t>, 14(1), pp. 54–69.</w:t>
      </w:r>
    </w:p>
    <w:p w14:paraId="16F9D3D6" w14:textId="77777777" w:rsidR="0003493B" w:rsidRPr="0003493B" w:rsidRDefault="0003493B" w:rsidP="0003493B">
      <w:pPr>
        <w:rPr>
          <w:lang w:val="en-GB"/>
        </w:rPr>
      </w:pPr>
      <w:r w:rsidRPr="0003493B">
        <w:rPr>
          <w:lang w:val="en-GB"/>
        </w:rPr>
        <w:t xml:space="preserve">Flick, U. (2018) </w:t>
      </w:r>
      <w:r w:rsidRPr="0003493B">
        <w:rPr>
          <w:i/>
          <w:iCs/>
          <w:lang w:val="en-GB"/>
        </w:rPr>
        <w:t>An Introduction to Qualitative Research</w:t>
      </w:r>
      <w:r w:rsidRPr="0003493B">
        <w:rPr>
          <w:lang w:val="en-GB"/>
        </w:rPr>
        <w:t xml:space="preserve">. 6th </w:t>
      </w:r>
      <w:proofErr w:type="spellStart"/>
      <w:r w:rsidRPr="0003493B">
        <w:rPr>
          <w:lang w:val="en-GB"/>
        </w:rPr>
        <w:t>edn</w:t>
      </w:r>
      <w:proofErr w:type="spellEnd"/>
      <w:r w:rsidRPr="0003493B">
        <w:rPr>
          <w:lang w:val="en-GB"/>
        </w:rPr>
        <w:t>. London: SAGE Publications.</w:t>
      </w:r>
    </w:p>
    <w:p w14:paraId="09408147" w14:textId="77777777" w:rsidR="0003493B" w:rsidRPr="0003493B" w:rsidRDefault="0003493B" w:rsidP="0003493B">
      <w:pPr>
        <w:rPr>
          <w:lang w:val="en-GB"/>
        </w:rPr>
      </w:pPr>
      <w:r w:rsidRPr="0003493B">
        <w:rPr>
          <w:lang w:val="en-GB"/>
        </w:rPr>
        <w:t xml:space="preserve">Flick, U. (2023) </w:t>
      </w:r>
      <w:r w:rsidRPr="0003493B">
        <w:rPr>
          <w:i/>
          <w:iCs/>
          <w:lang w:val="en-GB"/>
        </w:rPr>
        <w:t>Managing Quality in Qualitative Research</w:t>
      </w:r>
      <w:r w:rsidRPr="0003493B">
        <w:rPr>
          <w:lang w:val="en-GB"/>
        </w:rPr>
        <w:t xml:space="preserve">. 2nd </w:t>
      </w:r>
      <w:proofErr w:type="spellStart"/>
      <w:r w:rsidRPr="0003493B">
        <w:rPr>
          <w:lang w:val="en-GB"/>
        </w:rPr>
        <w:t>edn</w:t>
      </w:r>
      <w:proofErr w:type="spellEnd"/>
      <w:r w:rsidRPr="0003493B">
        <w:rPr>
          <w:lang w:val="en-GB"/>
        </w:rPr>
        <w:t>. London: SAGE Publications.</w:t>
      </w:r>
    </w:p>
    <w:p w14:paraId="0AAC2DAE" w14:textId="77777777" w:rsidR="0003493B" w:rsidRPr="0003493B" w:rsidRDefault="0003493B" w:rsidP="0003493B">
      <w:pPr>
        <w:rPr>
          <w:lang w:val="en-GB"/>
        </w:rPr>
      </w:pPr>
      <w:r w:rsidRPr="0003493B">
        <w:rPr>
          <w:lang w:val="en-GB"/>
        </w:rPr>
        <w:lastRenderedPageBreak/>
        <w:t xml:space="preserve">Goertz, G. and Mahoney, J. (2012) </w:t>
      </w:r>
      <w:r w:rsidRPr="0003493B">
        <w:rPr>
          <w:i/>
          <w:iCs/>
          <w:lang w:val="en-GB"/>
        </w:rPr>
        <w:t>A Tale of Two Cultures: Qualitative and Quantitative Research in the Social Sciences</w:t>
      </w:r>
      <w:r w:rsidRPr="0003493B">
        <w:rPr>
          <w:lang w:val="en-GB"/>
        </w:rPr>
        <w:t>. Princeton: Princeton University Press.</w:t>
      </w:r>
    </w:p>
    <w:p w14:paraId="0A61181F" w14:textId="77777777" w:rsidR="0003493B" w:rsidRPr="0003493B" w:rsidRDefault="0003493B" w:rsidP="0003493B">
      <w:pPr>
        <w:rPr>
          <w:lang w:val="en-GB"/>
        </w:rPr>
      </w:pPr>
      <w:r w:rsidRPr="0003493B">
        <w:rPr>
          <w:lang w:val="en-GB"/>
        </w:rPr>
        <w:t xml:space="preserve">Gray, D.E. (2018) </w:t>
      </w:r>
      <w:r w:rsidRPr="0003493B">
        <w:rPr>
          <w:i/>
          <w:iCs/>
          <w:lang w:val="en-GB"/>
        </w:rPr>
        <w:t>Doing Research in the Real World</w:t>
      </w:r>
      <w:r w:rsidRPr="0003493B">
        <w:rPr>
          <w:lang w:val="en-GB"/>
        </w:rPr>
        <w:t xml:space="preserve">. 4th </w:t>
      </w:r>
      <w:proofErr w:type="spellStart"/>
      <w:r w:rsidRPr="0003493B">
        <w:rPr>
          <w:lang w:val="en-GB"/>
        </w:rPr>
        <w:t>edn</w:t>
      </w:r>
      <w:proofErr w:type="spellEnd"/>
      <w:r w:rsidRPr="0003493B">
        <w:rPr>
          <w:lang w:val="en-GB"/>
        </w:rPr>
        <w:t>. London: SAGE Publications.</w:t>
      </w:r>
    </w:p>
    <w:p w14:paraId="49E721AC" w14:textId="77777777" w:rsidR="0003493B" w:rsidRPr="0003493B" w:rsidRDefault="0003493B" w:rsidP="0003493B">
      <w:pPr>
        <w:rPr>
          <w:lang w:val="en-GB"/>
        </w:rPr>
      </w:pPr>
      <w:r w:rsidRPr="0003493B">
        <w:rPr>
          <w:lang w:val="en-GB"/>
        </w:rPr>
        <w:t xml:space="preserve">Hauser, R.M., Simmons, S.J. and Pager, D. (1997) ‘Ethical issues in the study of social inequality’, </w:t>
      </w:r>
      <w:r w:rsidRPr="0003493B">
        <w:rPr>
          <w:i/>
          <w:iCs/>
          <w:lang w:val="en-GB"/>
        </w:rPr>
        <w:t>Ethics and Social Welfare</w:t>
      </w:r>
      <w:r w:rsidRPr="0003493B">
        <w:rPr>
          <w:lang w:val="en-GB"/>
        </w:rPr>
        <w:t>, 5(1), pp. 59–73.</w:t>
      </w:r>
    </w:p>
    <w:p w14:paraId="4303971B" w14:textId="77777777" w:rsidR="0003493B" w:rsidRPr="0003493B" w:rsidRDefault="0003493B" w:rsidP="0003493B">
      <w:pPr>
        <w:rPr>
          <w:lang w:val="en-GB"/>
        </w:rPr>
      </w:pPr>
      <w:r w:rsidRPr="0003493B">
        <w:rPr>
          <w:lang w:val="en-GB"/>
        </w:rPr>
        <w:t xml:space="preserve">Jebb, A.T., Ng, V. and Tay, L. (2021) ‘A review of Likert scale development and reporting practices in academic research’, </w:t>
      </w:r>
      <w:r w:rsidRPr="0003493B">
        <w:rPr>
          <w:i/>
          <w:iCs/>
          <w:lang w:val="en-GB"/>
        </w:rPr>
        <w:t>Journal of Personality Assessment</w:t>
      </w:r>
      <w:r w:rsidRPr="0003493B">
        <w:rPr>
          <w:lang w:val="en-GB"/>
        </w:rPr>
        <w:t>, 103(1), pp. 31–43. https://doi.org/10.1080/00223891.2020.1722412</w:t>
      </w:r>
    </w:p>
    <w:p w14:paraId="7BC8B58E" w14:textId="77777777" w:rsidR="0003493B" w:rsidRPr="0003493B" w:rsidRDefault="0003493B" w:rsidP="0003493B">
      <w:pPr>
        <w:rPr>
          <w:lang w:val="en-GB"/>
        </w:rPr>
      </w:pPr>
      <w:r w:rsidRPr="0003493B">
        <w:rPr>
          <w:lang w:val="en-GB"/>
        </w:rPr>
        <w:t xml:space="preserve">Johnson, R.B. and Onwuegbuzie, A.J. (2004) ‘Mixed methods research: A research paradigm whose time has come’, </w:t>
      </w:r>
      <w:r w:rsidRPr="0003493B">
        <w:rPr>
          <w:i/>
          <w:iCs/>
          <w:lang w:val="en-GB"/>
        </w:rPr>
        <w:t>Educational Researcher</w:t>
      </w:r>
      <w:r w:rsidRPr="0003493B">
        <w:rPr>
          <w:lang w:val="en-GB"/>
        </w:rPr>
        <w:t>, 33(7), pp. 14–26. https://doi.org/10.3102/0013189X033007014</w:t>
      </w:r>
    </w:p>
    <w:p w14:paraId="5DEA051E" w14:textId="77777777" w:rsidR="0003493B" w:rsidRPr="0003493B" w:rsidRDefault="0003493B" w:rsidP="0003493B">
      <w:pPr>
        <w:rPr>
          <w:lang w:val="en-GB"/>
        </w:rPr>
      </w:pPr>
      <w:r w:rsidRPr="0003493B">
        <w:rPr>
          <w:lang w:val="en-GB"/>
        </w:rPr>
        <w:t xml:space="preserve">Kuczynski, L. and Daly, K. (2003) ‘Qualitative methods for inductive inquiry’, in L. Kuczynski (ed.) </w:t>
      </w:r>
      <w:r w:rsidRPr="0003493B">
        <w:rPr>
          <w:i/>
          <w:iCs/>
          <w:lang w:val="en-GB"/>
        </w:rPr>
        <w:t>Handbook of Dynamics in Parent–Child Relations</w:t>
      </w:r>
      <w:r w:rsidRPr="0003493B">
        <w:rPr>
          <w:lang w:val="en-GB"/>
        </w:rPr>
        <w:t>. London: SAGE Publications, pp. 373–392.</w:t>
      </w:r>
    </w:p>
    <w:p w14:paraId="75D3258A" w14:textId="77777777" w:rsidR="0003493B" w:rsidRPr="0003493B" w:rsidRDefault="0003493B" w:rsidP="0003493B">
      <w:pPr>
        <w:rPr>
          <w:lang w:val="en-GB"/>
        </w:rPr>
      </w:pPr>
      <w:r w:rsidRPr="0003493B">
        <w:rPr>
          <w:lang w:val="en-GB"/>
        </w:rPr>
        <w:t xml:space="preserve">Leech, N.L., Dellinger, A.B., Brannagan, K.B. and Tanaka, H. (2010) ‘Evaluating mixed research studies: A mixed methods approach’, </w:t>
      </w:r>
      <w:r w:rsidRPr="0003493B">
        <w:rPr>
          <w:i/>
          <w:iCs/>
          <w:lang w:val="en-GB"/>
        </w:rPr>
        <w:t>Journal of Mixed Methods Research</w:t>
      </w:r>
      <w:r w:rsidRPr="0003493B">
        <w:rPr>
          <w:lang w:val="en-GB"/>
        </w:rPr>
        <w:t>, 4(1), pp. 17–31. https://doi.org/10.1177/1558689809345262</w:t>
      </w:r>
    </w:p>
    <w:p w14:paraId="40541093" w14:textId="77777777" w:rsidR="0003493B" w:rsidRPr="0003493B" w:rsidRDefault="0003493B" w:rsidP="0003493B">
      <w:pPr>
        <w:rPr>
          <w:lang w:val="en-GB"/>
        </w:rPr>
      </w:pPr>
      <w:r w:rsidRPr="0003493B">
        <w:rPr>
          <w:lang w:val="en-GB"/>
        </w:rPr>
        <w:t xml:space="preserve">McKim, C.A. (2017) ‘The value of mixed methods research: A mixed methods study’, </w:t>
      </w:r>
      <w:r w:rsidRPr="0003493B">
        <w:rPr>
          <w:i/>
          <w:iCs/>
          <w:lang w:val="en-GB"/>
        </w:rPr>
        <w:t>Journal of Mixed Methods Research</w:t>
      </w:r>
      <w:r w:rsidRPr="0003493B">
        <w:rPr>
          <w:lang w:val="en-GB"/>
        </w:rPr>
        <w:t>, 11(2), pp. 202–222. https://doi.org/10.1177/1558689815607096</w:t>
      </w:r>
    </w:p>
    <w:p w14:paraId="740CB18A" w14:textId="77777777" w:rsidR="0003493B" w:rsidRPr="0003493B" w:rsidRDefault="0003493B" w:rsidP="0003493B">
      <w:pPr>
        <w:rPr>
          <w:lang w:val="en-GB"/>
        </w:rPr>
      </w:pPr>
      <w:r w:rsidRPr="0003493B">
        <w:rPr>
          <w:lang w:val="en-GB"/>
        </w:rPr>
        <w:t xml:space="preserve">Michael, S. and Samuel, M. (2012) </w:t>
      </w:r>
      <w:r w:rsidRPr="0003493B">
        <w:rPr>
          <w:i/>
          <w:iCs/>
          <w:lang w:val="en-GB"/>
        </w:rPr>
        <w:t>Unconscious Bias in Academic Research: Theory and Practice</w:t>
      </w:r>
      <w:r w:rsidRPr="0003493B">
        <w:rPr>
          <w:lang w:val="en-GB"/>
        </w:rPr>
        <w:t>. Cape Town: Education Research Press.</w:t>
      </w:r>
    </w:p>
    <w:p w14:paraId="2603E8AE" w14:textId="77777777" w:rsidR="0003493B" w:rsidRPr="0003493B" w:rsidRDefault="0003493B" w:rsidP="0003493B">
      <w:pPr>
        <w:rPr>
          <w:lang w:val="en-GB"/>
        </w:rPr>
      </w:pPr>
      <w:r w:rsidRPr="0003493B">
        <w:rPr>
          <w:lang w:val="en-GB"/>
        </w:rPr>
        <w:t xml:space="preserve">Schachter, E.P. and Rich, Y. (2011) ‘Identity education: A conceptual framework for educational researchers and practitioners’, </w:t>
      </w:r>
      <w:r w:rsidRPr="0003493B">
        <w:rPr>
          <w:i/>
          <w:iCs/>
          <w:lang w:val="en-GB"/>
        </w:rPr>
        <w:t>Educational Psychologist</w:t>
      </w:r>
      <w:r w:rsidRPr="0003493B">
        <w:rPr>
          <w:lang w:val="en-GB"/>
        </w:rPr>
        <w:t>, 46(4), pp. 222–238. https://doi.org/10.1080/00461520.2011.614509</w:t>
      </w:r>
    </w:p>
    <w:p w14:paraId="7F022443" w14:textId="77777777" w:rsidR="0003493B" w:rsidRPr="0003493B" w:rsidRDefault="0003493B" w:rsidP="0003493B">
      <w:pPr>
        <w:rPr>
          <w:lang w:val="en-GB"/>
        </w:rPr>
      </w:pPr>
      <w:r w:rsidRPr="0003493B">
        <w:rPr>
          <w:lang w:val="en-GB"/>
        </w:rPr>
        <w:t xml:space="preserve">Scott, D. (2017) </w:t>
      </w:r>
      <w:r w:rsidRPr="0003493B">
        <w:rPr>
          <w:i/>
          <w:iCs/>
          <w:lang w:val="en-GB"/>
        </w:rPr>
        <w:t>Critical Essays on Knowledge and Politics in Higher Education</w:t>
      </w:r>
      <w:r w:rsidRPr="0003493B">
        <w:rPr>
          <w:lang w:val="en-GB"/>
        </w:rPr>
        <w:t>. Abingdon: Routledge.</w:t>
      </w:r>
    </w:p>
    <w:p w14:paraId="1036225E" w14:textId="77777777" w:rsidR="0003493B" w:rsidRPr="0003493B" w:rsidRDefault="0003493B" w:rsidP="0003493B">
      <w:pPr>
        <w:rPr>
          <w:lang w:val="en-GB"/>
        </w:rPr>
      </w:pPr>
      <w:r w:rsidRPr="0003493B">
        <w:rPr>
          <w:lang w:val="en-GB"/>
        </w:rPr>
        <w:t xml:space="preserve">Session 25.03.25 (2025) </w:t>
      </w:r>
      <w:r w:rsidRPr="0003493B">
        <w:rPr>
          <w:i/>
          <w:iCs/>
          <w:lang w:val="en-GB"/>
        </w:rPr>
        <w:t>Inclusive Research Methods and Ethical Practice</w:t>
      </w:r>
      <w:r w:rsidRPr="0003493B">
        <w:rPr>
          <w:lang w:val="en-GB"/>
        </w:rPr>
        <w:t>. ECDE7002 Lecture Notes, Cardiff University. Unpublished.</w:t>
      </w:r>
    </w:p>
    <w:p w14:paraId="07D125BA" w14:textId="77777777" w:rsidR="0003493B" w:rsidRPr="0003493B" w:rsidRDefault="0003493B" w:rsidP="0003493B">
      <w:pPr>
        <w:rPr>
          <w:lang w:val="en-GB"/>
        </w:rPr>
      </w:pPr>
      <w:proofErr w:type="spellStart"/>
      <w:r w:rsidRPr="0003493B">
        <w:rPr>
          <w:lang w:val="en-GB"/>
        </w:rPr>
        <w:t>Tanujaya</w:t>
      </w:r>
      <w:proofErr w:type="spellEnd"/>
      <w:r w:rsidRPr="0003493B">
        <w:rPr>
          <w:lang w:val="en-GB"/>
        </w:rPr>
        <w:t xml:space="preserve">, B., </w:t>
      </w:r>
      <w:proofErr w:type="spellStart"/>
      <w:r w:rsidRPr="0003493B">
        <w:rPr>
          <w:lang w:val="en-GB"/>
        </w:rPr>
        <w:t>Yuliati</w:t>
      </w:r>
      <w:proofErr w:type="spellEnd"/>
      <w:r w:rsidRPr="0003493B">
        <w:rPr>
          <w:lang w:val="en-GB"/>
        </w:rPr>
        <w:t xml:space="preserve">, L. and </w:t>
      </w:r>
      <w:proofErr w:type="spellStart"/>
      <w:r w:rsidRPr="0003493B">
        <w:rPr>
          <w:lang w:val="en-GB"/>
        </w:rPr>
        <w:t>Ardiansyah</w:t>
      </w:r>
      <w:proofErr w:type="spellEnd"/>
      <w:r w:rsidRPr="0003493B">
        <w:rPr>
          <w:lang w:val="en-GB"/>
        </w:rPr>
        <w:t xml:space="preserve">, M. (2022) ‘Survey design for educational research: Considerations and challenges’, </w:t>
      </w:r>
      <w:r w:rsidRPr="0003493B">
        <w:rPr>
          <w:i/>
          <w:iCs/>
          <w:lang w:val="en-GB"/>
        </w:rPr>
        <w:t>Journal of Educational Measurement and Evaluation</w:t>
      </w:r>
      <w:r w:rsidRPr="0003493B">
        <w:rPr>
          <w:lang w:val="en-GB"/>
        </w:rPr>
        <w:t>, 16(2), pp. 102–117.</w:t>
      </w:r>
    </w:p>
    <w:p w14:paraId="7DA0FF2C" w14:textId="77777777" w:rsidR="0003493B" w:rsidRPr="0003493B" w:rsidRDefault="0003493B" w:rsidP="0003493B">
      <w:pPr>
        <w:rPr>
          <w:lang w:val="en-GB"/>
        </w:rPr>
      </w:pPr>
      <w:r w:rsidRPr="0003493B">
        <w:rPr>
          <w:lang w:val="en-GB"/>
        </w:rPr>
        <w:t xml:space="preserve">Vanderlinde, R. and Van Braak, J. (2010) ‘The gap between educational research and practice: Views of teachers, school leaders, intermediaries and researchers’, </w:t>
      </w:r>
      <w:r w:rsidRPr="0003493B">
        <w:rPr>
          <w:i/>
          <w:iCs/>
          <w:lang w:val="en-GB"/>
        </w:rPr>
        <w:t xml:space="preserve">British </w:t>
      </w:r>
      <w:r w:rsidRPr="0003493B">
        <w:rPr>
          <w:i/>
          <w:iCs/>
          <w:lang w:val="en-GB"/>
        </w:rPr>
        <w:lastRenderedPageBreak/>
        <w:t>Educational Research Journal</w:t>
      </w:r>
      <w:r w:rsidRPr="0003493B">
        <w:rPr>
          <w:lang w:val="en-GB"/>
        </w:rPr>
        <w:t>, 36(2), pp. 299–316. https://doi.org/10.1080/01411920902919257</w:t>
      </w:r>
    </w:p>
    <w:p w14:paraId="246A3A70" w14:textId="77777777" w:rsidR="0003493B" w:rsidRDefault="0003493B" w:rsidP="0003493B">
      <w:pPr>
        <w:rPr>
          <w:lang w:val="en-GB"/>
        </w:rPr>
      </w:pPr>
      <w:r w:rsidRPr="0003493B">
        <w:rPr>
          <w:lang w:val="en-GB"/>
        </w:rPr>
        <w:t xml:space="preserve">Wilson, A.R. (1997) ‘Power and partnership: A critique of the discourse of adult education’, </w:t>
      </w:r>
      <w:r w:rsidRPr="0003493B">
        <w:rPr>
          <w:i/>
          <w:iCs/>
          <w:lang w:val="en-GB"/>
        </w:rPr>
        <w:t>Adult Education Quarterly</w:t>
      </w:r>
      <w:r w:rsidRPr="0003493B">
        <w:rPr>
          <w:lang w:val="en-GB"/>
        </w:rPr>
        <w:t>, 47(2), pp. 111–128.</w:t>
      </w:r>
    </w:p>
    <w:p w14:paraId="511C99CB" w14:textId="77777777" w:rsidR="008E5383" w:rsidRDefault="008E5383" w:rsidP="0003493B">
      <w:pPr>
        <w:rPr>
          <w:lang w:val="en-GB"/>
        </w:rPr>
      </w:pPr>
    </w:p>
    <w:p w14:paraId="5BB5E4D1" w14:textId="2B82E41E" w:rsidR="008E5383" w:rsidRPr="0003493B" w:rsidRDefault="008E5383" w:rsidP="0003493B">
      <w:pPr>
        <w:rPr>
          <w:lang w:val="en-GB"/>
        </w:rPr>
      </w:pPr>
      <w:r w:rsidRPr="008E5383">
        <w:t xml:space="preserve">ECDE7002 Session (2025) </w:t>
      </w:r>
      <w:r w:rsidRPr="008E5383">
        <w:rPr>
          <w:i/>
          <w:iCs/>
        </w:rPr>
        <w:t>Inclusive Research Methods and Ethical Practice</w:t>
      </w:r>
      <w:r w:rsidRPr="008E5383">
        <w:t>. Lecture delivered on 25 March. University of Wales Trinity Saint David. Unpublished.</w:t>
      </w:r>
    </w:p>
    <w:p w14:paraId="097A298D" w14:textId="77777777" w:rsidR="0003493B" w:rsidRDefault="0003493B"/>
    <w:p w14:paraId="70EF571F" w14:textId="77777777" w:rsidR="00105083" w:rsidRDefault="00105083"/>
    <w:p w14:paraId="28EE3F7E" w14:textId="77777777" w:rsidR="00105083" w:rsidRDefault="00105083"/>
    <w:p w14:paraId="570688BB" w14:textId="77777777" w:rsidR="00105083" w:rsidRDefault="00105083"/>
    <w:p w14:paraId="30B86479" w14:textId="77777777" w:rsidR="00105083" w:rsidRDefault="00105083"/>
    <w:sectPr w:rsidR="0010508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2743553">
    <w:abstractNumId w:val="8"/>
  </w:num>
  <w:num w:numId="2" w16cid:durableId="320620367">
    <w:abstractNumId w:val="6"/>
  </w:num>
  <w:num w:numId="3" w16cid:durableId="1942759466">
    <w:abstractNumId w:val="5"/>
  </w:num>
  <w:num w:numId="4" w16cid:durableId="651183058">
    <w:abstractNumId w:val="4"/>
  </w:num>
  <w:num w:numId="5" w16cid:durableId="594706189">
    <w:abstractNumId w:val="7"/>
  </w:num>
  <w:num w:numId="6" w16cid:durableId="1544631715">
    <w:abstractNumId w:val="3"/>
  </w:num>
  <w:num w:numId="7" w16cid:durableId="1899632111">
    <w:abstractNumId w:val="2"/>
  </w:num>
  <w:num w:numId="8" w16cid:durableId="773129535">
    <w:abstractNumId w:val="1"/>
  </w:num>
  <w:num w:numId="9" w16cid:durableId="352920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041E"/>
    <w:rsid w:val="000114E9"/>
    <w:rsid w:val="00034616"/>
    <w:rsid w:val="0003493B"/>
    <w:rsid w:val="0006063C"/>
    <w:rsid w:val="000D75B2"/>
    <w:rsid w:val="00105083"/>
    <w:rsid w:val="0015074B"/>
    <w:rsid w:val="00175256"/>
    <w:rsid w:val="001A1957"/>
    <w:rsid w:val="00247CE9"/>
    <w:rsid w:val="0029639D"/>
    <w:rsid w:val="00326F90"/>
    <w:rsid w:val="003B6BA5"/>
    <w:rsid w:val="00461885"/>
    <w:rsid w:val="00863DBC"/>
    <w:rsid w:val="008A4A50"/>
    <w:rsid w:val="008E5383"/>
    <w:rsid w:val="009841D6"/>
    <w:rsid w:val="00A465EB"/>
    <w:rsid w:val="00AA1D8D"/>
    <w:rsid w:val="00AE3A67"/>
    <w:rsid w:val="00B2267A"/>
    <w:rsid w:val="00B47730"/>
    <w:rsid w:val="00B65DF1"/>
    <w:rsid w:val="00BC1B22"/>
    <w:rsid w:val="00CB0664"/>
    <w:rsid w:val="00CB5ACB"/>
    <w:rsid w:val="00D911E4"/>
    <w:rsid w:val="00E577AF"/>
    <w:rsid w:val="00F35226"/>
    <w:rsid w:val="00FA336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375021"/>
  <w14:defaultImageDpi w14:val="300"/>
  <w15:docId w15:val="{C7CE6688-1B8E-4FC6-AD79-EA9204FD0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9575899">
      <w:bodyDiv w:val="1"/>
      <w:marLeft w:val="0"/>
      <w:marRight w:val="0"/>
      <w:marTop w:val="0"/>
      <w:marBottom w:val="0"/>
      <w:divBdr>
        <w:top w:val="none" w:sz="0" w:space="0" w:color="auto"/>
        <w:left w:val="none" w:sz="0" w:space="0" w:color="auto"/>
        <w:bottom w:val="none" w:sz="0" w:space="0" w:color="auto"/>
        <w:right w:val="none" w:sz="0" w:space="0" w:color="auto"/>
      </w:divBdr>
    </w:div>
    <w:div w:id="1250893545">
      <w:bodyDiv w:val="1"/>
      <w:marLeft w:val="0"/>
      <w:marRight w:val="0"/>
      <w:marTop w:val="0"/>
      <w:marBottom w:val="0"/>
      <w:divBdr>
        <w:top w:val="none" w:sz="0" w:space="0" w:color="auto"/>
        <w:left w:val="none" w:sz="0" w:space="0" w:color="auto"/>
        <w:bottom w:val="none" w:sz="0" w:space="0" w:color="auto"/>
        <w:right w:val="none" w:sz="0" w:space="0" w:color="auto"/>
      </w:divBdr>
    </w:div>
    <w:div w:id="1447504632">
      <w:bodyDiv w:val="1"/>
      <w:marLeft w:val="0"/>
      <w:marRight w:val="0"/>
      <w:marTop w:val="0"/>
      <w:marBottom w:val="0"/>
      <w:divBdr>
        <w:top w:val="none" w:sz="0" w:space="0" w:color="auto"/>
        <w:left w:val="none" w:sz="0" w:space="0" w:color="auto"/>
        <w:bottom w:val="none" w:sz="0" w:space="0" w:color="auto"/>
        <w:right w:val="none" w:sz="0" w:space="0" w:color="auto"/>
      </w:divBdr>
    </w:div>
    <w:div w:id="209952245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5372</Words>
  <Characters>30626</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35927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Purchase-Plumley</cp:lastModifiedBy>
  <cp:revision>14</cp:revision>
  <dcterms:created xsi:type="dcterms:W3CDTF">2025-05-01T08:30:00Z</dcterms:created>
  <dcterms:modified xsi:type="dcterms:W3CDTF">2025-05-01T10:21:00Z</dcterms:modified>
  <cp:category/>
</cp:coreProperties>
</file>