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95E93" w14:textId="40F52BEC" w:rsidR="00661E37" w:rsidRDefault="00661E37" w:rsidP="00661E37">
      <w:pPr>
        <w:jc w:val="center"/>
        <w:rPr>
          <w:b/>
          <w:bCs/>
          <w:sz w:val="32"/>
          <w:szCs w:val="32"/>
        </w:rPr>
      </w:pPr>
      <w:r>
        <w:rPr>
          <w:b/>
          <w:bCs/>
          <w:sz w:val="32"/>
          <w:szCs w:val="32"/>
        </w:rPr>
        <w:t>Student name: Ionut Pantiru</w:t>
      </w:r>
    </w:p>
    <w:p w14:paraId="7569A0F7" w14:textId="72384124" w:rsidR="00661E37" w:rsidRDefault="00661E37" w:rsidP="00661E37">
      <w:pPr>
        <w:jc w:val="center"/>
        <w:rPr>
          <w:b/>
          <w:bCs/>
          <w:sz w:val="32"/>
          <w:szCs w:val="32"/>
        </w:rPr>
      </w:pPr>
      <w:r>
        <w:rPr>
          <w:b/>
          <w:bCs/>
          <w:sz w:val="32"/>
          <w:szCs w:val="32"/>
        </w:rPr>
        <w:t>Student ID number: 2213443</w:t>
      </w:r>
    </w:p>
    <w:p w14:paraId="63F5F447" w14:textId="51C8634B" w:rsidR="00661E37" w:rsidRPr="00661E37" w:rsidRDefault="00661E37" w:rsidP="00661E37">
      <w:pPr>
        <w:jc w:val="center"/>
        <w:rPr>
          <w:b/>
          <w:bCs/>
          <w:sz w:val="32"/>
          <w:szCs w:val="32"/>
        </w:rPr>
      </w:pPr>
      <w:r>
        <w:rPr>
          <w:b/>
          <w:bCs/>
          <w:sz w:val="32"/>
          <w:szCs w:val="32"/>
        </w:rPr>
        <w:t>Module: Criminal Law</w:t>
      </w:r>
    </w:p>
    <w:p w14:paraId="1E5C1400" w14:textId="38E08763" w:rsidR="00661E37" w:rsidRDefault="00661E37" w:rsidP="00661E37">
      <w:pPr>
        <w:jc w:val="center"/>
        <w:rPr>
          <w:b/>
          <w:bCs/>
          <w:sz w:val="32"/>
          <w:szCs w:val="32"/>
        </w:rPr>
      </w:pPr>
      <w:r>
        <w:rPr>
          <w:b/>
          <w:bCs/>
          <w:sz w:val="32"/>
          <w:szCs w:val="32"/>
        </w:rPr>
        <w:t>Module Code: BMLW4005</w:t>
      </w:r>
    </w:p>
    <w:p w14:paraId="18B6BAE2" w14:textId="098CA80D" w:rsidR="00661E37" w:rsidRDefault="00661E37" w:rsidP="00661E37">
      <w:pPr>
        <w:jc w:val="center"/>
        <w:rPr>
          <w:b/>
          <w:bCs/>
          <w:sz w:val="32"/>
          <w:szCs w:val="32"/>
        </w:rPr>
      </w:pPr>
      <w:r>
        <w:rPr>
          <w:b/>
          <w:bCs/>
          <w:sz w:val="32"/>
          <w:szCs w:val="32"/>
        </w:rPr>
        <w:t>Lecturer: Laura Knight</w:t>
      </w:r>
    </w:p>
    <w:p w14:paraId="5636F006" w14:textId="157B4DB9" w:rsidR="00661E37" w:rsidRDefault="00661E37" w:rsidP="00661E37">
      <w:pPr>
        <w:jc w:val="center"/>
        <w:rPr>
          <w:b/>
          <w:bCs/>
          <w:sz w:val="32"/>
          <w:szCs w:val="32"/>
        </w:rPr>
      </w:pPr>
      <w:r>
        <w:rPr>
          <w:b/>
          <w:bCs/>
          <w:sz w:val="32"/>
          <w:szCs w:val="32"/>
        </w:rPr>
        <w:t>Assignment Title: Scenario question</w:t>
      </w:r>
    </w:p>
    <w:p w14:paraId="2EE6C50A" w14:textId="109C648C" w:rsidR="00661E37" w:rsidRDefault="00661E37" w:rsidP="00661E37">
      <w:pPr>
        <w:jc w:val="center"/>
        <w:rPr>
          <w:b/>
          <w:bCs/>
          <w:sz w:val="32"/>
          <w:szCs w:val="32"/>
        </w:rPr>
      </w:pPr>
      <w:r>
        <w:rPr>
          <w:b/>
          <w:bCs/>
          <w:sz w:val="32"/>
          <w:szCs w:val="32"/>
        </w:rPr>
        <w:t>Word count: 1500</w:t>
      </w:r>
    </w:p>
    <w:p w14:paraId="7DC43C98" w14:textId="6C559238" w:rsidR="00661E37" w:rsidRDefault="00661E37">
      <w:pPr>
        <w:rPr>
          <w:b/>
          <w:bCs/>
          <w:sz w:val="32"/>
          <w:szCs w:val="32"/>
        </w:rPr>
      </w:pPr>
    </w:p>
    <w:p w14:paraId="29D76A0D" w14:textId="480C4A5E" w:rsidR="00661E37" w:rsidRDefault="00661E37">
      <w:pPr>
        <w:rPr>
          <w:b/>
          <w:bCs/>
          <w:sz w:val="32"/>
          <w:szCs w:val="32"/>
        </w:rPr>
      </w:pPr>
    </w:p>
    <w:p w14:paraId="1A8DC33B" w14:textId="4B87620F" w:rsidR="00661E37" w:rsidRDefault="00661E37">
      <w:pPr>
        <w:rPr>
          <w:b/>
          <w:bCs/>
          <w:sz w:val="32"/>
          <w:szCs w:val="32"/>
        </w:rPr>
      </w:pPr>
    </w:p>
    <w:p w14:paraId="23C9B90F" w14:textId="0CCD459A" w:rsidR="00661E37" w:rsidRDefault="00661E37">
      <w:pPr>
        <w:rPr>
          <w:b/>
          <w:bCs/>
          <w:sz w:val="32"/>
          <w:szCs w:val="32"/>
        </w:rPr>
      </w:pPr>
    </w:p>
    <w:p w14:paraId="39F3CD8F" w14:textId="5921ABA8" w:rsidR="00661E37" w:rsidRDefault="00661E37">
      <w:pPr>
        <w:rPr>
          <w:b/>
          <w:bCs/>
          <w:sz w:val="32"/>
          <w:szCs w:val="32"/>
        </w:rPr>
      </w:pPr>
    </w:p>
    <w:p w14:paraId="7BC33B85" w14:textId="0BCF6850" w:rsidR="00661E37" w:rsidRDefault="00661E37">
      <w:pPr>
        <w:rPr>
          <w:b/>
          <w:bCs/>
          <w:sz w:val="32"/>
          <w:szCs w:val="32"/>
        </w:rPr>
      </w:pPr>
    </w:p>
    <w:p w14:paraId="2EE17671" w14:textId="1A899B6E" w:rsidR="00661E37" w:rsidRDefault="00661E37">
      <w:pPr>
        <w:rPr>
          <w:b/>
          <w:bCs/>
          <w:sz w:val="32"/>
          <w:szCs w:val="32"/>
        </w:rPr>
      </w:pPr>
    </w:p>
    <w:p w14:paraId="2C1C7E4A" w14:textId="5C25A09E" w:rsidR="00661E37" w:rsidRDefault="00661E37">
      <w:pPr>
        <w:rPr>
          <w:b/>
          <w:bCs/>
          <w:sz w:val="32"/>
          <w:szCs w:val="32"/>
        </w:rPr>
      </w:pPr>
    </w:p>
    <w:p w14:paraId="2A8FAF08" w14:textId="653A9361" w:rsidR="00661E37" w:rsidRDefault="00661E37">
      <w:pPr>
        <w:rPr>
          <w:b/>
          <w:bCs/>
          <w:sz w:val="32"/>
          <w:szCs w:val="32"/>
        </w:rPr>
      </w:pPr>
    </w:p>
    <w:p w14:paraId="1334E966" w14:textId="6FEABCE0" w:rsidR="00661E37" w:rsidRDefault="00661E37">
      <w:pPr>
        <w:rPr>
          <w:b/>
          <w:bCs/>
          <w:sz w:val="32"/>
          <w:szCs w:val="32"/>
        </w:rPr>
      </w:pPr>
    </w:p>
    <w:p w14:paraId="1B5CE0E0" w14:textId="552BC2D2" w:rsidR="00661E37" w:rsidRDefault="00661E37">
      <w:pPr>
        <w:rPr>
          <w:b/>
          <w:bCs/>
          <w:sz w:val="32"/>
          <w:szCs w:val="32"/>
        </w:rPr>
      </w:pPr>
    </w:p>
    <w:p w14:paraId="0ADDDD24" w14:textId="7C79624D" w:rsidR="00661E37" w:rsidRDefault="00661E37">
      <w:pPr>
        <w:rPr>
          <w:b/>
          <w:bCs/>
          <w:sz w:val="32"/>
          <w:szCs w:val="32"/>
        </w:rPr>
      </w:pPr>
    </w:p>
    <w:p w14:paraId="57BD14F7" w14:textId="366174E5" w:rsidR="00661E37" w:rsidRDefault="00661E37">
      <w:pPr>
        <w:rPr>
          <w:b/>
          <w:bCs/>
          <w:sz w:val="32"/>
          <w:szCs w:val="32"/>
        </w:rPr>
      </w:pPr>
    </w:p>
    <w:p w14:paraId="53CE41FE" w14:textId="2AC68E15" w:rsidR="00661E37" w:rsidRDefault="00661E37">
      <w:pPr>
        <w:rPr>
          <w:b/>
          <w:bCs/>
          <w:sz w:val="32"/>
          <w:szCs w:val="32"/>
        </w:rPr>
      </w:pPr>
    </w:p>
    <w:p w14:paraId="1E45892F" w14:textId="6CAC8379" w:rsidR="00661E37" w:rsidRDefault="00661E37">
      <w:pPr>
        <w:rPr>
          <w:b/>
          <w:bCs/>
          <w:sz w:val="32"/>
          <w:szCs w:val="32"/>
        </w:rPr>
      </w:pPr>
    </w:p>
    <w:p w14:paraId="313CAA06" w14:textId="7F5385C3" w:rsidR="00661E37" w:rsidRDefault="00661E37">
      <w:pPr>
        <w:rPr>
          <w:b/>
          <w:bCs/>
          <w:sz w:val="32"/>
          <w:szCs w:val="32"/>
        </w:rPr>
      </w:pPr>
    </w:p>
    <w:p w14:paraId="423F8506" w14:textId="77777777" w:rsidR="00661E37" w:rsidRDefault="00661E37">
      <w:pPr>
        <w:rPr>
          <w:b/>
          <w:bCs/>
          <w:sz w:val="32"/>
          <w:szCs w:val="32"/>
        </w:rPr>
      </w:pPr>
    </w:p>
    <w:p w14:paraId="59EE800F" w14:textId="6F4DFFD2" w:rsidR="00FD77C7" w:rsidRPr="00661E37" w:rsidRDefault="00FF1FB1" w:rsidP="00661E37">
      <w:pPr>
        <w:pStyle w:val="ListParagraph"/>
        <w:numPr>
          <w:ilvl w:val="0"/>
          <w:numId w:val="8"/>
        </w:numPr>
        <w:rPr>
          <w:b/>
          <w:bCs/>
          <w:sz w:val="32"/>
          <w:szCs w:val="32"/>
        </w:rPr>
      </w:pPr>
      <w:r w:rsidRPr="00661E37">
        <w:rPr>
          <w:b/>
          <w:bCs/>
          <w:sz w:val="32"/>
          <w:szCs w:val="32"/>
        </w:rPr>
        <w:lastRenderedPageBreak/>
        <w:t xml:space="preserve">Hadley’s offences </w:t>
      </w:r>
    </w:p>
    <w:p w14:paraId="3354810F" w14:textId="39A9D3FE" w:rsidR="00FF1FB1" w:rsidRPr="000C2F43" w:rsidRDefault="0010667D" w:rsidP="000C2F43">
      <w:pPr>
        <w:rPr>
          <w:sz w:val="24"/>
          <w:szCs w:val="24"/>
        </w:rPr>
      </w:pPr>
      <w:r>
        <w:rPr>
          <w:sz w:val="24"/>
          <w:szCs w:val="24"/>
        </w:rPr>
        <w:t>Considering Hadley’s actions, he would be criminally liable for three offences. He would be liable for criminal damage arising under section 1(1) of the Criminal Damage Act 1971</w:t>
      </w:r>
      <w:r w:rsidR="00125EDB">
        <w:rPr>
          <w:sz w:val="24"/>
          <w:szCs w:val="24"/>
        </w:rPr>
        <w:t xml:space="preserve"> (hereinafter ‘CDA’) for destroying property in </w:t>
      </w:r>
      <w:r w:rsidR="000C2F43">
        <w:rPr>
          <w:sz w:val="24"/>
          <w:szCs w:val="24"/>
        </w:rPr>
        <w:t>Ronan’s garden</w:t>
      </w:r>
      <w:r w:rsidR="00125EDB">
        <w:rPr>
          <w:sz w:val="24"/>
          <w:szCs w:val="24"/>
        </w:rPr>
        <w:t>. Furthermore, he would be criminally liable for arson under section 1(3) CDA 1971 due to the criminal damage caused by fire. Lastly, he would be criminally liable for burglary, both under section 9(1)(a) and s9(1)(b) Theft Act 1968 (hereinafter ‘TA’).</w:t>
      </w:r>
    </w:p>
    <w:p w14:paraId="755B4B08" w14:textId="28266FC5" w:rsidR="00FF1FB1" w:rsidRPr="00B63774" w:rsidRDefault="00965132" w:rsidP="00B63774">
      <w:pPr>
        <w:pStyle w:val="ListParagraph"/>
        <w:numPr>
          <w:ilvl w:val="0"/>
          <w:numId w:val="5"/>
        </w:numPr>
        <w:rPr>
          <w:i/>
          <w:iCs/>
          <w:sz w:val="28"/>
          <w:szCs w:val="28"/>
        </w:rPr>
      </w:pPr>
      <w:r>
        <w:rPr>
          <w:i/>
          <w:iCs/>
          <w:sz w:val="28"/>
          <w:szCs w:val="28"/>
        </w:rPr>
        <w:t>C</w:t>
      </w:r>
      <w:r w:rsidR="00FF1FB1" w:rsidRPr="00B63774">
        <w:rPr>
          <w:i/>
          <w:iCs/>
          <w:sz w:val="28"/>
          <w:szCs w:val="28"/>
        </w:rPr>
        <w:t xml:space="preserve">riminal damage </w:t>
      </w:r>
      <w:r>
        <w:rPr>
          <w:i/>
          <w:iCs/>
          <w:sz w:val="28"/>
          <w:szCs w:val="28"/>
        </w:rPr>
        <w:t>under s1(1) CDA 1971</w:t>
      </w:r>
    </w:p>
    <w:p w14:paraId="775735A5" w14:textId="705B0C36" w:rsidR="0010667D" w:rsidRDefault="0010667D" w:rsidP="00FF1FB1">
      <w:pPr>
        <w:rPr>
          <w:sz w:val="24"/>
          <w:szCs w:val="24"/>
        </w:rPr>
      </w:pPr>
      <w:r>
        <w:rPr>
          <w:sz w:val="24"/>
          <w:szCs w:val="24"/>
        </w:rPr>
        <w:t xml:space="preserve">In Hadley’s attempt to jump over Ronan’s fence, he has broken a bench in </w:t>
      </w:r>
      <w:proofErr w:type="gramStart"/>
      <w:r>
        <w:rPr>
          <w:sz w:val="24"/>
          <w:szCs w:val="24"/>
        </w:rPr>
        <w:t>Ronan’s garden</w:t>
      </w:r>
      <w:proofErr w:type="gramEnd"/>
      <w:r>
        <w:rPr>
          <w:sz w:val="24"/>
          <w:szCs w:val="24"/>
        </w:rPr>
        <w:t>. Destroying Ronan’s property would make Hadley criminally liable for the offense of criminal damage.</w:t>
      </w:r>
    </w:p>
    <w:p w14:paraId="65F565B1" w14:textId="41B0ED9A" w:rsidR="00125EDB" w:rsidRDefault="00FF1FB1" w:rsidP="00FF1FB1">
      <w:pPr>
        <w:rPr>
          <w:sz w:val="24"/>
          <w:szCs w:val="24"/>
        </w:rPr>
      </w:pPr>
      <w:r>
        <w:rPr>
          <w:sz w:val="24"/>
          <w:szCs w:val="24"/>
        </w:rPr>
        <w:t xml:space="preserve">Criminal dagame is defined in section 1(1) </w:t>
      </w:r>
      <w:r w:rsidR="00125EDB">
        <w:rPr>
          <w:sz w:val="24"/>
          <w:szCs w:val="24"/>
        </w:rPr>
        <w:t xml:space="preserve">CDA </w:t>
      </w:r>
      <w:r>
        <w:rPr>
          <w:sz w:val="24"/>
          <w:szCs w:val="24"/>
        </w:rPr>
        <w:t xml:space="preserve">1971 as </w:t>
      </w:r>
      <w:r w:rsidR="0010667D">
        <w:rPr>
          <w:sz w:val="24"/>
          <w:szCs w:val="24"/>
        </w:rPr>
        <w:t xml:space="preserve">‘a person who without lawful excuse destroys or damages any property belonging to another, intending to destroy or damage any such property, or being reckless as to whether any such property would be destroyed or damaged, shall be guilty of an offence’. </w:t>
      </w:r>
    </w:p>
    <w:p w14:paraId="7C778650" w14:textId="4B16B7D8" w:rsidR="0066082E" w:rsidRDefault="0066082E" w:rsidP="00FF1FB1">
      <w:pPr>
        <w:rPr>
          <w:sz w:val="24"/>
          <w:szCs w:val="24"/>
        </w:rPr>
      </w:pPr>
      <w:r>
        <w:rPr>
          <w:sz w:val="24"/>
          <w:szCs w:val="24"/>
        </w:rPr>
        <w:t>The elements of the offence are broken down into the following: (</w:t>
      </w:r>
      <w:proofErr w:type="spellStart"/>
      <w:r>
        <w:rPr>
          <w:sz w:val="24"/>
          <w:szCs w:val="24"/>
        </w:rPr>
        <w:t>i</w:t>
      </w:r>
      <w:proofErr w:type="spellEnd"/>
      <w:r>
        <w:rPr>
          <w:sz w:val="24"/>
          <w:szCs w:val="24"/>
        </w:rPr>
        <w:t>) there is property, (ii) that belongs to another, (iii) D’s conduct, (iv) destroys or damages the property, (v) D does not have a lawful excuse, and (vi) D intends or is reckless to destroying or damaging property.</w:t>
      </w:r>
    </w:p>
    <w:p w14:paraId="4197B7A7" w14:textId="43368367" w:rsidR="0066082E" w:rsidRDefault="0066082E" w:rsidP="00FF1FB1">
      <w:pPr>
        <w:rPr>
          <w:sz w:val="24"/>
          <w:szCs w:val="24"/>
        </w:rPr>
      </w:pPr>
      <w:r>
        <w:rPr>
          <w:sz w:val="24"/>
          <w:szCs w:val="24"/>
        </w:rPr>
        <w:t xml:space="preserve">The </w:t>
      </w:r>
      <w:r w:rsidRPr="000C2F43">
        <w:rPr>
          <w:i/>
          <w:iCs/>
          <w:sz w:val="24"/>
          <w:szCs w:val="24"/>
        </w:rPr>
        <w:t>actus reus</w:t>
      </w:r>
      <w:r>
        <w:rPr>
          <w:sz w:val="24"/>
          <w:szCs w:val="24"/>
        </w:rPr>
        <w:t xml:space="preserve"> of criminal damage under s</w:t>
      </w:r>
      <w:r w:rsidR="001C258B">
        <w:rPr>
          <w:sz w:val="24"/>
          <w:szCs w:val="24"/>
        </w:rPr>
        <w:t xml:space="preserve">1(1) is that the defendant </w:t>
      </w:r>
      <w:r w:rsidR="00EA7F33" w:rsidRPr="00EA7F33">
        <w:rPr>
          <w:sz w:val="24"/>
          <w:szCs w:val="24"/>
        </w:rPr>
        <w:t>destroys or damages property belonging to another without lawful excuse</w:t>
      </w:r>
      <w:r w:rsidR="001C258B">
        <w:rPr>
          <w:sz w:val="24"/>
          <w:szCs w:val="24"/>
        </w:rPr>
        <w:t xml:space="preserve">. Property is defined in s10(1) CDA 1971 as tangible items (real or personal), land, wild creatures that have been tamed, and creatures reduced to possession. </w:t>
      </w:r>
      <w:r w:rsidR="00EA7F33">
        <w:rPr>
          <w:sz w:val="24"/>
          <w:szCs w:val="24"/>
        </w:rPr>
        <w:t>The property in question is a wooden bench, a tangible item, thus satisfying the definition outlined in the CDA. Furthermore, the property must belong to another. The criteria for establishing to whom the property belongs is outlined in s10(1) CDA 1971</w:t>
      </w:r>
      <w:r w:rsidR="00674191">
        <w:rPr>
          <w:sz w:val="24"/>
          <w:szCs w:val="24"/>
        </w:rPr>
        <w:t xml:space="preserve"> – to have custody of it, to have any proprietary right or interest, or to have a charge on it</w:t>
      </w:r>
      <w:r w:rsidR="00EA7F33">
        <w:rPr>
          <w:sz w:val="24"/>
          <w:szCs w:val="24"/>
        </w:rPr>
        <w:t>. Considering the criteria outlined</w:t>
      </w:r>
      <w:r w:rsidR="00674191">
        <w:rPr>
          <w:sz w:val="24"/>
          <w:szCs w:val="24"/>
        </w:rPr>
        <w:t xml:space="preserve"> in s10(1) CDA</w:t>
      </w:r>
      <w:r w:rsidR="00EA7F33">
        <w:rPr>
          <w:sz w:val="24"/>
          <w:szCs w:val="24"/>
        </w:rPr>
        <w:t xml:space="preserve">, the bench does belong to Ronan as it is on his property, hence, he has custody of it, and it would </w:t>
      </w:r>
      <w:r w:rsidR="00674191">
        <w:rPr>
          <w:sz w:val="24"/>
          <w:szCs w:val="24"/>
        </w:rPr>
        <w:t>qualify as</w:t>
      </w:r>
      <w:r w:rsidR="00EA7F33">
        <w:rPr>
          <w:sz w:val="24"/>
          <w:szCs w:val="24"/>
        </w:rPr>
        <w:t xml:space="preserve"> property belonging to another.</w:t>
      </w:r>
      <w:r w:rsidR="00674191">
        <w:rPr>
          <w:sz w:val="24"/>
          <w:szCs w:val="24"/>
        </w:rPr>
        <w:t xml:space="preserve"> In Hadley’s attempt to jump over the fence, he destroyed the bench as it snapped in half, thus rendering the bench useless and not available for use </w:t>
      </w:r>
      <w:r w:rsidR="000C2F43">
        <w:rPr>
          <w:sz w:val="24"/>
          <w:szCs w:val="24"/>
        </w:rPr>
        <w:t>anymore and</w:t>
      </w:r>
      <w:r w:rsidR="00674191">
        <w:rPr>
          <w:sz w:val="24"/>
          <w:szCs w:val="24"/>
        </w:rPr>
        <w:t xml:space="preserve"> </w:t>
      </w:r>
      <w:r w:rsidR="000C2F43">
        <w:rPr>
          <w:sz w:val="24"/>
          <w:szCs w:val="24"/>
        </w:rPr>
        <w:t>destroyed</w:t>
      </w:r>
      <w:r w:rsidR="00674191">
        <w:rPr>
          <w:sz w:val="24"/>
          <w:szCs w:val="24"/>
        </w:rPr>
        <w:t>. Hadley does not have a lawful excuse under s5(2)(a) and s5(2)(b) CDA 1971.</w:t>
      </w:r>
    </w:p>
    <w:p w14:paraId="48BD5F89" w14:textId="3F5C5125" w:rsidR="00BA5DE1" w:rsidRDefault="00674191" w:rsidP="00FF1FB1">
      <w:pPr>
        <w:rPr>
          <w:sz w:val="24"/>
          <w:szCs w:val="24"/>
        </w:rPr>
      </w:pPr>
      <w:r>
        <w:rPr>
          <w:sz w:val="24"/>
          <w:szCs w:val="24"/>
        </w:rPr>
        <w:t xml:space="preserve">The </w:t>
      </w:r>
      <w:r w:rsidRPr="000C2F43">
        <w:rPr>
          <w:i/>
          <w:iCs/>
          <w:sz w:val="24"/>
          <w:szCs w:val="24"/>
        </w:rPr>
        <w:t>mens rea</w:t>
      </w:r>
      <w:r>
        <w:rPr>
          <w:sz w:val="24"/>
          <w:szCs w:val="24"/>
        </w:rPr>
        <w:t xml:space="preserve"> of criminal damage under s1(1) </w:t>
      </w:r>
      <w:r w:rsidR="00D9278F">
        <w:rPr>
          <w:sz w:val="24"/>
          <w:szCs w:val="24"/>
        </w:rPr>
        <w:t>CDA require</w:t>
      </w:r>
      <w:r w:rsidR="00187E7E">
        <w:rPr>
          <w:sz w:val="24"/>
          <w:szCs w:val="24"/>
        </w:rPr>
        <w:t>s</w:t>
      </w:r>
      <w:r w:rsidR="00D9278F">
        <w:rPr>
          <w:sz w:val="24"/>
          <w:szCs w:val="24"/>
        </w:rPr>
        <w:t xml:space="preserve"> intent to destroy or damage the </w:t>
      </w:r>
      <w:r w:rsidR="00187E7E">
        <w:rPr>
          <w:sz w:val="24"/>
          <w:szCs w:val="24"/>
        </w:rPr>
        <w:t>property or</w:t>
      </w:r>
      <w:r w:rsidR="00D9278F">
        <w:rPr>
          <w:sz w:val="24"/>
          <w:szCs w:val="24"/>
        </w:rPr>
        <w:t xml:space="preserve"> be reckless to </w:t>
      </w:r>
      <w:r w:rsidR="00187E7E">
        <w:rPr>
          <w:sz w:val="24"/>
          <w:szCs w:val="24"/>
        </w:rPr>
        <w:t>this and</w:t>
      </w:r>
      <w:r w:rsidR="00D9278F">
        <w:rPr>
          <w:sz w:val="24"/>
          <w:szCs w:val="24"/>
        </w:rPr>
        <w:t xml:space="preserve"> know to be reckless to the fact that the damage or destruction is to property belonging to another. Hadley jumped the fence without the </w:t>
      </w:r>
      <w:r w:rsidR="00187E7E">
        <w:rPr>
          <w:sz w:val="24"/>
          <w:szCs w:val="24"/>
        </w:rPr>
        <w:t>intention</w:t>
      </w:r>
      <w:r w:rsidR="00D9278F">
        <w:rPr>
          <w:sz w:val="24"/>
          <w:szCs w:val="24"/>
        </w:rPr>
        <w:t xml:space="preserve"> of causing any damage</w:t>
      </w:r>
      <w:r w:rsidR="00553929">
        <w:rPr>
          <w:sz w:val="24"/>
          <w:szCs w:val="24"/>
        </w:rPr>
        <w:t xml:space="preserve"> and it was not foreseeable that jumping the fence would result in criminal damage </w:t>
      </w:r>
      <w:r w:rsidR="00187E7E">
        <w:rPr>
          <w:sz w:val="24"/>
          <w:szCs w:val="24"/>
        </w:rPr>
        <w:t>to</w:t>
      </w:r>
      <w:r w:rsidR="00553929">
        <w:rPr>
          <w:sz w:val="24"/>
          <w:szCs w:val="24"/>
        </w:rPr>
        <w:t xml:space="preserve"> the bench</w:t>
      </w:r>
      <w:r w:rsidR="00D9278F">
        <w:rPr>
          <w:sz w:val="24"/>
          <w:szCs w:val="24"/>
        </w:rPr>
        <w:t xml:space="preserve">, hence he does not satisfy </w:t>
      </w:r>
      <w:r w:rsidR="00553929">
        <w:rPr>
          <w:sz w:val="24"/>
          <w:szCs w:val="24"/>
        </w:rPr>
        <w:t xml:space="preserve">the intent criteria. Nevertheless, Hadley can be subject to the recklessness test. </w:t>
      </w:r>
    </w:p>
    <w:p w14:paraId="38D9E4D1" w14:textId="53A1C132" w:rsidR="00553929" w:rsidRDefault="00553929" w:rsidP="00FF1FB1">
      <w:pPr>
        <w:rPr>
          <w:sz w:val="24"/>
          <w:szCs w:val="24"/>
        </w:rPr>
      </w:pPr>
      <w:r>
        <w:rPr>
          <w:sz w:val="24"/>
          <w:szCs w:val="24"/>
        </w:rPr>
        <w:t xml:space="preserve">The current recklessness test is outlined in </w:t>
      </w:r>
      <w:r w:rsidRPr="00553929">
        <w:rPr>
          <w:i/>
          <w:iCs/>
          <w:sz w:val="24"/>
          <w:szCs w:val="24"/>
        </w:rPr>
        <w:t>R v G &amp; R</w:t>
      </w:r>
      <w:r>
        <w:rPr>
          <w:sz w:val="24"/>
          <w:szCs w:val="24"/>
        </w:rPr>
        <w:t xml:space="preserve"> (2003) and is a subjective test.  A person acts recklessly if there is a circumstance where he is aware of a risk that it exists or </w:t>
      </w:r>
      <w:r>
        <w:rPr>
          <w:sz w:val="24"/>
          <w:szCs w:val="24"/>
        </w:rPr>
        <w:lastRenderedPageBreak/>
        <w:t xml:space="preserve">will exist; a result when he is aware of a risk that it will occur; and it is, in the circumstances known to him, unreasonable to take the risk. Hedley jumped the fence into an unknown garden in which he could not have known its outlay, thus it was bound that there is a risk of damaging property belonging to Ronan and unreasonable to take the risk. Nevertheless, Hadley took the risk and recklessly destroyed Ronan’s property. </w:t>
      </w:r>
    </w:p>
    <w:p w14:paraId="08A2EA19" w14:textId="2F7A608C" w:rsidR="00553929" w:rsidRDefault="00553929" w:rsidP="00FF1FB1">
      <w:pPr>
        <w:rPr>
          <w:sz w:val="24"/>
          <w:szCs w:val="24"/>
        </w:rPr>
      </w:pPr>
      <w:r>
        <w:rPr>
          <w:sz w:val="24"/>
          <w:szCs w:val="24"/>
        </w:rPr>
        <w:t xml:space="preserve">Moreover, Hadley must know or be reckless to the fact that the damage or destruction is to property belonging to another </w:t>
      </w:r>
      <w:r w:rsidR="00C04485">
        <w:rPr>
          <w:sz w:val="24"/>
          <w:szCs w:val="24"/>
        </w:rPr>
        <w:t>to</w:t>
      </w:r>
      <w:r>
        <w:rPr>
          <w:sz w:val="24"/>
          <w:szCs w:val="24"/>
        </w:rPr>
        <w:t xml:space="preserve"> satisfy the </w:t>
      </w:r>
      <w:r w:rsidRPr="00187E7E">
        <w:rPr>
          <w:i/>
          <w:iCs/>
          <w:sz w:val="24"/>
          <w:szCs w:val="24"/>
        </w:rPr>
        <w:t>mens rea</w:t>
      </w:r>
      <w:r>
        <w:rPr>
          <w:sz w:val="24"/>
          <w:szCs w:val="24"/>
        </w:rPr>
        <w:t xml:space="preserve"> criteria. Hadley knew he was going into Ronan’s property; hence he knew that if damage or destruction were to occur, it would be happening to Ronan’s property.</w:t>
      </w:r>
    </w:p>
    <w:p w14:paraId="04D6B168" w14:textId="548CCC8E" w:rsidR="00C04485" w:rsidRPr="00B63774" w:rsidRDefault="00965132" w:rsidP="00B63774">
      <w:pPr>
        <w:pStyle w:val="ListParagraph"/>
        <w:numPr>
          <w:ilvl w:val="0"/>
          <w:numId w:val="5"/>
        </w:numPr>
        <w:rPr>
          <w:i/>
          <w:iCs/>
          <w:sz w:val="28"/>
          <w:szCs w:val="28"/>
        </w:rPr>
      </w:pPr>
      <w:r>
        <w:rPr>
          <w:i/>
          <w:iCs/>
          <w:sz w:val="28"/>
          <w:szCs w:val="28"/>
        </w:rPr>
        <w:t>A</w:t>
      </w:r>
      <w:r w:rsidR="00C04485" w:rsidRPr="00B63774">
        <w:rPr>
          <w:i/>
          <w:iCs/>
          <w:sz w:val="28"/>
          <w:szCs w:val="28"/>
        </w:rPr>
        <w:t xml:space="preserve">rson </w:t>
      </w:r>
      <w:r>
        <w:rPr>
          <w:i/>
          <w:iCs/>
          <w:sz w:val="28"/>
          <w:szCs w:val="28"/>
        </w:rPr>
        <w:t>under s1(3) CDA 1971</w:t>
      </w:r>
    </w:p>
    <w:p w14:paraId="1BD35A0E" w14:textId="0CF3664E" w:rsidR="00FF1FB1" w:rsidRDefault="004A0FA6" w:rsidP="00FF1FB1">
      <w:pPr>
        <w:rPr>
          <w:sz w:val="24"/>
          <w:szCs w:val="24"/>
        </w:rPr>
      </w:pPr>
      <w:r>
        <w:rPr>
          <w:sz w:val="24"/>
          <w:szCs w:val="24"/>
        </w:rPr>
        <w:t xml:space="preserve">Hadley had set </w:t>
      </w:r>
      <w:r w:rsidR="00187E7E">
        <w:rPr>
          <w:sz w:val="24"/>
          <w:szCs w:val="24"/>
        </w:rPr>
        <w:t xml:space="preserve">fire </w:t>
      </w:r>
      <w:r>
        <w:rPr>
          <w:sz w:val="24"/>
          <w:szCs w:val="24"/>
        </w:rPr>
        <w:t xml:space="preserve">to the </w:t>
      </w:r>
      <w:r w:rsidR="00187E7E">
        <w:rPr>
          <w:sz w:val="24"/>
          <w:szCs w:val="24"/>
        </w:rPr>
        <w:t xml:space="preserve">bin </w:t>
      </w:r>
      <w:r>
        <w:rPr>
          <w:sz w:val="24"/>
          <w:szCs w:val="24"/>
        </w:rPr>
        <w:t xml:space="preserve">inside Ronan’s home with the intent of causing damage. For this, he could be liable for arson under section 1(3) CDA 1971. According to s1(3) an offence committed under this section by destroying or damaging property by fire shall be charged as arson. </w:t>
      </w:r>
    </w:p>
    <w:p w14:paraId="2667ED8E" w14:textId="0AC9973A" w:rsidR="004A0FA6" w:rsidRDefault="004A0FA6" w:rsidP="00FF1FB1">
      <w:pPr>
        <w:rPr>
          <w:sz w:val="24"/>
          <w:szCs w:val="24"/>
        </w:rPr>
      </w:pPr>
      <w:r>
        <w:rPr>
          <w:sz w:val="24"/>
          <w:szCs w:val="24"/>
        </w:rPr>
        <w:t xml:space="preserve">The same </w:t>
      </w:r>
      <w:r w:rsidRPr="004A0FA6">
        <w:rPr>
          <w:i/>
          <w:iCs/>
          <w:sz w:val="24"/>
          <w:szCs w:val="24"/>
        </w:rPr>
        <w:t>actus reus</w:t>
      </w:r>
      <w:r>
        <w:rPr>
          <w:sz w:val="24"/>
          <w:szCs w:val="24"/>
        </w:rPr>
        <w:t xml:space="preserve"> as s1(1) applies with the additional requirement of damage or destruction by fire. The </w:t>
      </w:r>
      <w:r w:rsidRPr="004A0FA6">
        <w:rPr>
          <w:i/>
          <w:iCs/>
          <w:sz w:val="24"/>
          <w:szCs w:val="24"/>
        </w:rPr>
        <w:t>mens rea</w:t>
      </w:r>
      <w:r>
        <w:rPr>
          <w:sz w:val="24"/>
          <w:szCs w:val="24"/>
        </w:rPr>
        <w:t xml:space="preserve"> also requires that the defendant intended or was reckless to damage or destruction by fire. Hadley has satisfied </w:t>
      </w:r>
      <w:r w:rsidR="00187E7E">
        <w:rPr>
          <w:sz w:val="24"/>
          <w:szCs w:val="24"/>
        </w:rPr>
        <w:t>all</w:t>
      </w:r>
      <w:r>
        <w:rPr>
          <w:sz w:val="24"/>
          <w:szCs w:val="24"/>
        </w:rPr>
        <w:t xml:space="preserve"> these requirements as he intentionally set fire to Ronan’s property with the intent of damaging it.</w:t>
      </w:r>
    </w:p>
    <w:p w14:paraId="15B904C2" w14:textId="4E6DBE90" w:rsidR="004A0FA6" w:rsidRPr="00B63774" w:rsidRDefault="004A0FA6" w:rsidP="00B63774">
      <w:pPr>
        <w:pStyle w:val="ListParagraph"/>
        <w:numPr>
          <w:ilvl w:val="0"/>
          <w:numId w:val="5"/>
        </w:numPr>
        <w:rPr>
          <w:i/>
          <w:iCs/>
          <w:sz w:val="28"/>
          <w:szCs w:val="28"/>
        </w:rPr>
      </w:pPr>
      <w:r w:rsidRPr="00B63774">
        <w:rPr>
          <w:i/>
          <w:iCs/>
          <w:sz w:val="28"/>
          <w:szCs w:val="28"/>
        </w:rPr>
        <w:t xml:space="preserve">Burglary </w:t>
      </w:r>
    </w:p>
    <w:p w14:paraId="6270D5F8" w14:textId="15A6E258" w:rsidR="004A0FA6" w:rsidRDefault="004A0FA6" w:rsidP="004A0FA6">
      <w:pPr>
        <w:rPr>
          <w:sz w:val="24"/>
          <w:szCs w:val="24"/>
        </w:rPr>
      </w:pPr>
      <w:r>
        <w:rPr>
          <w:sz w:val="24"/>
          <w:szCs w:val="24"/>
        </w:rPr>
        <w:t>Hadley entering Ronan’s house with the intent of stealing the trainers make</w:t>
      </w:r>
      <w:r w:rsidR="00187E7E">
        <w:rPr>
          <w:sz w:val="24"/>
          <w:szCs w:val="24"/>
        </w:rPr>
        <w:t>s</w:t>
      </w:r>
      <w:r>
        <w:rPr>
          <w:sz w:val="24"/>
          <w:szCs w:val="24"/>
        </w:rPr>
        <w:t xml:space="preserve"> him criminally liable for burglary under s9(1)(a) Theft Act (TA) 1968. The </w:t>
      </w:r>
      <w:r w:rsidRPr="00220ABD">
        <w:rPr>
          <w:i/>
          <w:iCs/>
          <w:sz w:val="24"/>
          <w:szCs w:val="24"/>
        </w:rPr>
        <w:t>actus reus</w:t>
      </w:r>
      <w:r>
        <w:rPr>
          <w:sz w:val="24"/>
          <w:szCs w:val="24"/>
        </w:rPr>
        <w:t xml:space="preserve"> requires that the defendant enters a building or part of a building as a trespasser. </w:t>
      </w:r>
    </w:p>
    <w:p w14:paraId="5FD61F0B" w14:textId="3ACCD73B" w:rsidR="00487804" w:rsidRDefault="00487804" w:rsidP="004A0FA6">
      <w:pPr>
        <w:rPr>
          <w:sz w:val="24"/>
          <w:szCs w:val="24"/>
        </w:rPr>
      </w:pPr>
      <w:r>
        <w:rPr>
          <w:sz w:val="24"/>
          <w:szCs w:val="24"/>
        </w:rPr>
        <w:t xml:space="preserve">Hadley clearly entered Ronan’s house as per </w:t>
      </w:r>
      <w:r w:rsidRPr="00187E7E">
        <w:rPr>
          <w:i/>
          <w:iCs/>
          <w:sz w:val="24"/>
          <w:szCs w:val="24"/>
        </w:rPr>
        <w:t>R v Collins</w:t>
      </w:r>
      <w:r>
        <w:rPr>
          <w:sz w:val="24"/>
          <w:szCs w:val="24"/>
        </w:rPr>
        <w:t xml:space="preserve"> (1973). The jury will find that Hadley did enter a standard house which falls under the criteria of a building. Furthermore, Hadley is a trespasser as he entered the house by opening the door through the cat flap which a guest in a home would not do.</w:t>
      </w:r>
    </w:p>
    <w:p w14:paraId="5F69C6E0" w14:textId="3E45FEA5" w:rsidR="00487804" w:rsidRDefault="00220ABD" w:rsidP="004A0FA6">
      <w:pPr>
        <w:rPr>
          <w:sz w:val="24"/>
          <w:szCs w:val="24"/>
        </w:rPr>
      </w:pPr>
      <w:r>
        <w:rPr>
          <w:sz w:val="24"/>
          <w:szCs w:val="24"/>
        </w:rPr>
        <w:t xml:space="preserve">The </w:t>
      </w:r>
      <w:r w:rsidRPr="00187E7E">
        <w:rPr>
          <w:i/>
          <w:iCs/>
          <w:sz w:val="24"/>
          <w:szCs w:val="24"/>
        </w:rPr>
        <w:t>mens rea</w:t>
      </w:r>
      <w:r>
        <w:rPr>
          <w:sz w:val="24"/>
          <w:szCs w:val="24"/>
        </w:rPr>
        <w:t xml:space="preserve"> requires that the defendant knew or is reckless regarding the facts and circumstances that made him a trespasser, and he knew or is reckless to the fact that the structure entered was a building, and he entered with one of the ulterior motives: to steal, inflict grievous bodily harm, or cause criminal damage. Hadley knew that he is a trespasser in a building as he forced his way into the Ronan’s house, and he went there with the intention of stealing the trainers; therefore, he satisfies the </w:t>
      </w:r>
      <w:r w:rsidRPr="00220ABD">
        <w:rPr>
          <w:i/>
          <w:iCs/>
          <w:sz w:val="24"/>
          <w:szCs w:val="24"/>
        </w:rPr>
        <w:t>mens rea</w:t>
      </w:r>
      <w:r>
        <w:rPr>
          <w:sz w:val="24"/>
          <w:szCs w:val="24"/>
        </w:rPr>
        <w:t xml:space="preserve"> and </w:t>
      </w:r>
      <w:r w:rsidRPr="00220ABD">
        <w:rPr>
          <w:i/>
          <w:iCs/>
          <w:sz w:val="24"/>
          <w:szCs w:val="24"/>
        </w:rPr>
        <w:t>actus reus</w:t>
      </w:r>
      <w:r>
        <w:rPr>
          <w:sz w:val="24"/>
          <w:szCs w:val="24"/>
        </w:rPr>
        <w:t xml:space="preserve"> of burglary and he is criminally liable. </w:t>
      </w:r>
    </w:p>
    <w:p w14:paraId="34F2A5BE" w14:textId="77914605" w:rsidR="00F1461B" w:rsidRDefault="00220ABD" w:rsidP="004A0FA6">
      <w:pPr>
        <w:rPr>
          <w:sz w:val="24"/>
          <w:szCs w:val="24"/>
        </w:rPr>
      </w:pPr>
      <w:r>
        <w:rPr>
          <w:sz w:val="24"/>
          <w:szCs w:val="24"/>
        </w:rPr>
        <w:t xml:space="preserve">Furthermore, Hadley is also liable under section 9(1)(b) TA 1968 which requires the defendant to attempt stealing or steal. Section 9(1)(b) has the same requirements for actus reus as s9(1)(a) which Hadley satisfies. </w:t>
      </w:r>
      <w:r w:rsidR="00F1461B">
        <w:rPr>
          <w:sz w:val="24"/>
          <w:szCs w:val="24"/>
        </w:rPr>
        <w:t xml:space="preserve">However, there is the extra element of stealing/attempting to steal or inflict/attempt to inflict on any person inside grievous bodily harm. Hadley steals Ronan’s watch, thus he satisfies the </w:t>
      </w:r>
      <w:r w:rsidR="00F1461B" w:rsidRPr="00F1461B">
        <w:rPr>
          <w:i/>
          <w:iCs/>
          <w:sz w:val="24"/>
          <w:szCs w:val="24"/>
        </w:rPr>
        <w:t>actus reus</w:t>
      </w:r>
      <w:r w:rsidR="00F1461B">
        <w:rPr>
          <w:sz w:val="24"/>
          <w:szCs w:val="24"/>
        </w:rPr>
        <w:t xml:space="preserve">. The </w:t>
      </w:r>
      <w:r w:rsidR="00F1461B" w:rsidRPr="00187E7E">
        <w:rPr>
          <w:i/>
          <w:iCs/>
          <w:sz w:val="24"/>
          <w:szCs w:val="24"/>
        </w:rPr>
        <w:t>mens rea</w:t>
      </w:r>
      <w:r w:rsidR="00F1461B">
        <w:rPr>
          <w:sz w:val="24"/>
          <w:szCs w:val="24"/>
        </w:rPr>
        <w:t xml:space="preserve"> also has the same requirements as s9(1)(a) but without the need to show that the defendant </w:t>
      </w:r>
      <w:r w:rsidR="00F1461B">
        <w:rPr>
          <w:sz w:val="24"/>
          <w:szCs w:val="24"/>
        </w:rPr>
        <w:lastRenderedPageBreak/>
        <w:t xml:space="preserve">intended to commit theft. Hadley must satisfy the </w:t>
      </w:r>
      <w:r w:rsidR="00F1461B" w:rsidRPr="00F1461B">
        <w:rPr>
          <w:i/>
          <w:iCs/>
          <w:sz w:val="24"/>
          <w:szCs w:val="24"/>
        </w:rPr>
        <w:t>mens rea</w:t>
      </w:r>
      <w:r w:rsidR="00F1461B">
        <w:rPr>
          <w:sz w:val="24"/>
          <w:szCs w:val="24"/>
        </w:rPr>
        <w:t xml:space="preserve"> for theft by being dishonest with the intention to permanently deprive. Hadley has forcibly taken Ronan’s watch from his home with the intent to permanently keep it.</w:t>
      </w:r>
    </w:p>
    <w:p w14:paraId="26A8FEBC" w14:textId="6CC2EC23" w:rsidR="00B63774" w:rsidRDefault="00F1461B" w:rsidP="00B63774">
      <w:pPr>
        <w:rPr>
          <w:sz w:val="24"/>
          <w:szCs w:val="24"/>
        </w:rPr>
      </w:pPr>
      <w:r>
        <w:rPr>
          <w:sz w:val="24"/>
          <w:szCs w:val="24"/>
        </w:rPr>
        <w:t>Overall, Hadley is criminally liable for criminal damage under s1(1) and s1(3) CDA, and burglary under s9(1)(a) and (b) TA.</w:t>
      </w:r>
    </w:p>
    <w:p w14:paraId="0CE9EE1C" w14:textId="6356B362" w:rsidR="00B63774" w:rsidRPr="00B63774" w:rsidRDefault="00B63774" w:rsidP="00B63774">
      <w:pPr>
        <w:pStyle w:val="ListParagraph"/>
        <w:numPr>
          <w:ilvl w:val="0"/>
          <w:numId w:val="2"/>
        </w:numPr>
        <w:rPr>
          <w:b/>
          <w:bCs/>
          <w:sz w:val="32"/>
          <w:szCs w:val="32"/>
        </w:rPr>
      </w:pPr>
      <w:r w:rsidRPr="00B63774">
        <w:rPr>
          <w:b/>
          <w:bCs/>
          <w:sz w:val="32"/>
          <w:szCs w:val="32"/>
        </w:rPr>
        <w:t>Defences for Freya</w:t>
      </w:r>
    </w:p>
    <w:p w14:paraId="102CB469" w14:textId="40F485EE" w:rsidR="00B63774" w:rsidRDefault="00B63774" w:rsidP="00B63774">
      <w:pPr>
        <w:rPr>
          <w:sz w:val="24"/>
          <w:szCs w:val="24"/>
        </w:rPr>
      </w:pPr>
      <w:r>
        <w:rPr>
          <w:sz w:val="24"/>
          <w:szCs w:val="24"/>
        </w:rPr>
        <w:t xml:space="preserve">Freya could be criminally liable for actual bodily harm under section 47 of the Offences Against the Person Act 1861. If Freya is to rely on either the defence of automatism or intoxication, the </w:t>
      </w:r>
      <w:r w:rsidRPr="006A7ABC">
        <w:rPr>
          <w:i/>
          <w:iCs/>
          <w:sz w:val="24"/>
          <w:szCs w:val="24"/>
        </w:rPr>
        <w:t>mens rea</w:t>
      </w:r>
      <w:r>
        <w:rPr>
          <w:sz w:val="24"/>
          <w:szCs w:val="24"/>
        </w:rPr>
        <w:t xml:space="preserve"> of s47 must be disputed. </w:t>
      </w:r>
      <w:r w:rsidR="006A7ABC">
        <w:rPr>
          <w:sz w:val="24"/>
          <w:szCs w:val="24"/>
        </w:rPr>
        <w:t xml:space="preserve">The </w:t>
      </w:r>
      <w:r w:rsidR="006A7ABC" w:rsidRPr="006A7ABC">
        <w:rPr>
          <w:i/>
          <w:iCs/>
          <w:sz w:val="24"/>
          <w:szCs w:val="24"/>
        </w:rPr>
        <w:t>mens rea</w:t>
      </w:r>
      <w:r w:rsidR="006A7ABC">
        <w:rPr>
          <w:sz w:val="24"/>
          <w:szCs w:val="24"/>
        </w:rPr>
        <w:t xml:space="preserve"> of s47 requires intent or recklessness as to the assault or battery.</w:t>
      </w:r>
    </w:p>
    <w:p w14:paraId="7FE903F4" w14:textId="6B76046B" w:rsidR="006A7ABC" w:rsidRDefault="006A7ABC" w:rsidP="006A7ABC">
      <w:pPr>
        <w:rPr>
          <w:sz w:val="24"/>
          <w:szCs w:val="24"/>
        </w:rPr>
      </w:pPr>
      <w:r>
        <w:rPr>
          <w:sz w:val="24"/>
          <w:szCs w:val="24"/>
        </w:rPr>
        <w:t>The defence of automatism can be relied on where there is involuntary conduct where the source of the involuntariness is not internal, such as disease, but external. A successful defence is a complete defence which results in no criminal liability.</w:t>
      </w:r>
    </w:p>
    <w:p w14:paraId="29947189" w14:textId="65E545F9" w:rsidR="006A7ABC" w:rsidRDefault="006A7ABC" w:rsidP="006A7ABC">
      <w:pPr>
        <w:rPr>
          <w:sz w:val="24"/>
          <w:szCs w:val="24"/>
        </w:rPr>
      </w:pPr>
      <w:r>
        <w:rPr>
          <w:sz w:val="24"/>
          <w:szCs w:val="24"/>
        </w:rPr>
        <w:t>The elements of the defence are an external factor which results in involuntary conduct by the defendant where the defendant is not at fault.</w:t>
      </w:r>
    </w:p>
    <w:p w14:paraId="27BA58AB" w14:textId="18AA7389" w:rsidR="006A7ABC" w:rsidRDefault="006A7ABC" w:rsidP="006A7ABC">
      <w:pPr>
        <w:rPr>
          <w:sz w:val="24"/>
          <w:szCs w:val="24"/>
        </w:rPr>
      </w:pPr>
      <w:r>
        <w:rPr>
          <w:sz w:val="24"/>
          <w:szCs w:val="24"/>
        </w:rPr>
        <w:t xml:space="preserve">The external factor must be the reason for the inability to control one’s actions. Freya would not be able to rely on her epilepsy as per </w:t>
      </w:r>
      <w:r w:rsidRPr="006A7ABC">
        <w:rPr>
          <w:i/>
          <w:iCs/>
          <w:sz w:val="24"/>
          <w:szCs w:val="24"/>
        </w:rPr>
        <w:t>Bratty v A-G for NI</w:t>
      </w:r>
      <w:r>
        <w:rPr>
          <w:sz w:val="24"/>
          <w:szCs w:val="24"/>
        </w:rPr>
        <w:t xml:space="preserve"> (1963) where the jury was directed to consider insanity in the presence of epilepsy. Freya’s alcohol consumption can be considered as an external factor as the ABH was committed under the influence of an external substance. </w:t>
      </w:r>
    </w:p>
    <w:p w14:paraId="5E1F02FE" w14:textId="2A354C4D" w:rsidR="006A7ABC" w:rsidRDefault="006A7ABC" w:rsidP="006A7ABC">
      <w:pPr>
        <w:rPr>
          <w:sz w:val="24"/>
          <w:szCs w:val="24"/>
        </w:rPr>
      </w:pPr>
      <w:r>
        <w:rPr>
          <w:sz w:val="24"/>
          <w:szCs w:val="24"/>
        </w:rPr>
        <w:t xml:space="preserve">The involuntary conduct must be a complete loss of control, as Lord Taylor CJ has stated in </w:t>
      </w:r>
      <w:r w:rsidRPr="006A7ABC">
        <w:rPr>
          <w:i/>
          <w:iCs/>
          <w:sz w:val="24"/>
          <w:szCs w:val="24"/>
        </w:rPr>
        <w:t>A-G Ref (No 2 of 1992)</w:t>
      </w:r>
      <w:r>
        <w:rPr>
          <w:sz w:val="24"/>
          <w:szCs w:val="24"/>
        </w:rPr>
        <w:t xml:space="preserve"> [1993] that “impaired, reduced or partial control is not enough”. </w:t>
      </w:r>
      <w:r w:rsidR="006B799B">
        <w:rPr>
          <w:sz w:val="24"/>
          <w:szCs w:val="24"/>
        </w:rPr>
        <w:t>Freya does not seem to be in control of her actions as she is heavily intoxicated and vomiting which would cause one to lose control of their actions.</w:t>
      </w:r>
    </w:p>
    <w:p w14:paraId="59BCE07E" w14:textId="59F66DB0" w:rsidR="006B799B" w:rsidRDefault="006B799B" w:rsidP="006A7ABC">
      <w:pPr>
        <w:rPr>
          <w:sz w:val="24"/>
          <w:szCs w:val="24"/>
        </w:rPr>
      </w:pPr>
      <w:r>
        <w:rPr>
          <w:sz w:val="24"/>
          <w:szCs w:val="24"/>
        </w:rPr>
        <w:t xml:space="preserve">Lastly, the defendant must not be at fault for the conduct. </w:t>
      </w:r>
      <w:r w:rsidRPr="006B799B">
        <w:rPr>
          <w:i/>
          <w:iCs/>
          <w:sz w:val="24"/>
          <w:szCs w:val="24"/>
        </w:rPr>
        <w:t>R v Quick</w:t>
      </w:r>
      <w:r>
        <w:rPr>
          <w:sz w:val="24"/>
          <w:szCs w:val="24"/>
        </w:rPr>
        <w:t xml:space="preserve"> (1973) has established that self-induced automatism cannot be a defence to crimes of basic intent. Freya consumed high amounts of alcohol voluntarily and has committed a basic intent crime, thus, she cannot rely in the defence of automatism. </w:t>
      </w:r>
    </w:p>
    <w:p w14:paraId="5D6C9A0F" w14:textId="466A056C" w:rsidR="006B799B" w:rsidRPr="006B799B" w:rsidRDefault="00965132" w:rsidP="006B799B">
      <w:pPr>
        <w:rPr>
          <w:sz w:val="24"/>
          <w:szCs w:val="24"/>
        </w:rPr>
      </w:pPr>
      <w:r>
        <w:rPr>
          <w:sz w:val="24"/>
          <w:szCs w:val="24"/>
        </w:rPr>
        <w:t xml:space="preserve">In terms of intoxication, the defence </w:t>
      </w:r>
      <w:r w:rsidR="006B799B">
        <w:rPr>
          <w:sz w:val="24"/>
          <w:szCs w:val="24"/>
        </w:rPr>
        <w:t>cannot be used freely as a defence due to public policy of preventing people under influence to avoid criminal liability when they are at fault. It is</w:t>
      </w:r>
      <w:r>
        <w:rPr>
          <w:sz w:val="24"/>
          <w:szCs w:val="24"/>
        </w:rPr>
        <w:t>, for this reason,</w:t>
      </w:r>
      <w:r w:rsidR="006B799B">
        <w:rPr>
          <w:sz w:val="24"/>
          <w:szCs w:val="24"/>
        </w:rPr>
        <w:t xml:space="preserve"> </w:t>
      </w:r>
      <w:r w:rsidR="006B799B" w:rsidRPr="00CE5BF7">
        <w:rPr>
          <w:i/>
          <w:iCs/>
          <w:sz w:val="24"/>
          <w:szCs w:val="24"/>
        </w:rPr>
        <w:t>DPP v Majewski</w:t>
      </w:r>
      <w:r w:rsidR="006B799B">
        <w:rPr>
          <w:sz w:val="24"/>
          <w:szCs w:val="24"/>
        </w:rPr>
        <w:t xml:space="preserve"> established that voluntary intoxication cannot be used as a defence to basic intent crime (</w:t>
      </w:r>
      <w:proofErr w:type="gramStart"/>
      <w:r w:rsidR="006B799B">
        <w:rPr>
          <w:sz w:val="24"/>
          <w:szCs w:val="24"/>
        </w:rPr>
        <w:t>i.e.</w:t>
      </w:r>
      <w:proofErr w:type="gramEnd"/>
      <w:r w:rsidR="006B799B">
        <w:rPr>
          <w:sz w:val="24"/>
          <w:szCs w:val="24"/>
        </w:rPr>
        <w:t xml:space="preserve"> ABH under s47). Overall, Freya cannot rely on the defence of intoxication as her intoxication was voluntary and she committed a basic intent crime.</w:t>
      </w:r>
    </w:p>
    <w:p w14:paraId="5E212A7C" w14:textId="1008B0F2" w:rsidR="006A7ABC" w:rsidRDefault="006A7ABC" w:rsidP="006A7ABC">
      <w:pPr>
        <w:rPr>
          <w:sz w:val="24"/>
          <w:szCs w:val="24"/>
        </w:rPr>
      </w:pPr>
    </w:p>
    <w:p w14:paraId="3878EAD6" w14:textId="11D5F30E" w:rsidR="00C823F4" w:rsidRDefault="00C823F4" w:rsidP="006A7ABC">
      <w:pPr>
        <w:rPr>
          <w:sz w:val="24"/>
          <w:szCs w:val="24"/>
        </w:rPr>
      </w:pPr>
    </w:p>
    <w:p w14:paraId="57DA155C" w14:textId="647249E1" w:rsidR="00C823F4" w:rsidRDefault="00C823F4" w:rsidP="006A7ABC">
      <w:pPr>
        <w:rPr>
          <w:sz w:val="24"/>
          <w:szCs w:val="24"/>
        </w:rPr>
      </w:pPr>
    </w:p>
    <w:p w14:paraId="0F892651" w14:textId="1B8FA248" w:rsidR="00C823F4" w:rsidRDefault="00C823F4" w:rsidP="006A7ABC">
      <w:pPr>
        <w:rPr>
          <w:sz w:val="24"/>
          <w:szCs w:val="24"/>
        </w:rPr>
      </w:pPr>
    </w:p>
    <w:p w14:paraId="7051681D" w14:textId="19CA5B32" w:rsidR="00C823F4" w:rsidRPr="00C823F4" w:rsidRDefault="00C823F4" w:rsidP="006A7ABC">
      <w:pPr>
        <w:rPr>
          <w:b/>
          <w:bCs/>
          <w:sz w:val="32"/>
          <w:szCs w:val="32"/>
        </w:rPr>
      </w:pPr>
      <w:r w:rsidRPr="00C823F4">
        <w:rPr>
          <w:b/>
          <w:bCs/>
          <w:sz w:val="32"/>
          <w:szCs w:val="32"/>
        </w:rPr>
        <w:lastRenderedPageBreak/>
        <w:t>Bibliography</w:t>
      </w:r>
    </w:p>
    <w:p w14:paraId="07AE1D21" w14:textId="77777777" w:rsidR="00C823F4" w:rsidRDefault="00C823F4" w:rsidP="00C823F4">
      <w:pPr>
        <w:rPr>
          <w:rFonts w:cstheme="minorHAnsi"/>
          <w:sz w:val="24"/>
          <w:szCs w:val="24"/>
        </w:rPr>
      </w:pPr>
      <w:r>
        <w:rPr>
          <w:rFonts w:cstheme="minorHAnsi"/>
          <w:sz w:val="24"/>
          <w:szCs w:val="24"/>
        </w:rPr>
        <w:t>A-G Ref (No 2 of 1992) [1993]</w:t>
      </w:r>
    </w:p>
    <w:p w14:paraId="3DA03E0D" w14:textId="77777777" w:rsidR="00C823F4" w:rsidRDefault="00C823F4" w:rsidP="00C823F4">
      <w:pPr>
        <w:rPr>
          <w:rFonts w:cstheme="minorHAnsi"/>
          <w:sz w:val="24"/>
          <w:szCs w:val="24"/>
        </w:rPr>
      </w:pPr>
      <w:r>
        <w:rPr>
          <w:rFonts w:cstheme="minorHAnsi"/>
          <w:sz w:val="24"/>
          <w:szCs w:val="24"/>
        </w:rPr>
        <w:t xml:space="preserve">Bratty v A-G for Northern Ireland (1963) </w:t>
      </w:r>
    </w:p>
    <w:p w14:paraId="47794201" w14:textId="77777777" w:rsidR="00C823F4" w:rsidRDefault="00C823F4" w:rsidP="00C823F4">
      <w:pPr>
        <w:rPr>
          <w:rFonts w:cstheme="minorHAnsi"/>
          <w:sz w:val="24"/>
          <w:szCs w:val="24"/>
        </w:rPr>
      </w:pPr>
      <w:r>
        <w:rPr>
          <w:rFonts w:cstheme="minorHAnsi"/>
          <w:sz w:val="24"/>
          <w:szCs w:val="24"/>
        </w:rPr>
        <w:t xml:space="preserve">Criminal Damage Act 1971 </w:t>
      </w:r>
    </w:p>
    <w:p w14:paraId="11E5EC92" w14:textId="77777777" w:rsidR="00C823F4" w:rsidRDefault="00C823F4" w:rsidP="00C823F4">
      <w:pPr>
        <w:rPr>
          <w:rFonts w:cstheme="minorHAnsi"/>
          <w:sz w:val="24"/>
          <w:szCs w:val="24"/>
        </w:rPr>
      </w:pPr>
      <w:r>
        <w:rPr>
          <w:rFonts w:cstheme="minorHAnsi"/>
          <w:sz w:val="24"/>
          <w:szCs w:val="24"/>
        </w:rPr>
        <w:t>DPP v Majewski (1977)</w:t>
      </w:r>
    </w:p>
    <w:p w14:paraId="3CB1461A" w14:textId="77777777" w:rsidR="00C823F4" w:rsidRPr="00717EA0" w:rsidRDefault="00C823F4" w:rsidP="00C823F4">
      <w:pPr>
        <w:rPr>
          <w:rFonts w:cstheme="minorHAnsi"/>
          <w:sz w:val="24"/>
          <w:szCs w:val="24"/>
        </w:rPr>
      </w:pPr>
      <w:r>
        <w:rPr>
          <w:rFonts w:cstheme="minorHAnsi"/>
          <w:sz w:val="24"/>
          <w:szCs w:val="24"/>
        </w:rPr>
        <w:t>Offences Against the Person Act 1861</w:t>
      </w:r>
    </w:p>
    <w:p w14:paraId="77DB1B99" w14:textId="77777777" w:rsidR="00C823F4" w:rsidRDefault="00C823F4" w:rsidP="00C823F4">
      <w:pPr>
        <w:rPr>
          <w:rFonts w:cstheme="minorHAnsi"/>
          <w:sz w:val="24"/>
          <w:szCs w:val="24"/>
        </w:rPr>
      </w:pPr>
      <w:r>
        <w:rPr>
          <w:rFonts w:cstheme="minorHAnsi"/>
          <w:sz w:val="24"/>
          <w:szCs w:val="24"/>
        </w:rPr>
        <w:t xml:space="preserve">R v Collins (1993) </w:t>
      </w:r>
    </w:p>
    <w:p w14:paraId="2BBEB9B7" w14:textId="77777777" w:rsidR="00C823F4" w:rsidRDefault="00C823F4" w:rsidP="00C823F4">
      <w:pPr>
        <w:rPr>
          <w:rFonts w:cstheme="minorHAnsi"/>
          <w:sz w:val="24"/>
          <w:szCs w:val="24"/>
        </w:rPr>
      </w:pPr>
      <w:r>
        <w:rPr>
          <w:rFonts w:cstheme="minorHAnsi"/>
          <w:sz w:val="24"/>
          <w:szCs w:val="24"/>
        </w:rPr>
        <w:t>R v G &amp; R (2003)</w:t>
      </w:r>
    </w:p>
    <w:p w14:paraId="4EE76225" w14:textId="77777777" w:rsidR="00C823F4" w:rsidRDefault="00C823F4" w:rsidP="00C823F4">
      <w:pPr>
        <w:rPr>
          <w:rFonts w:cstheme="minorHAnsi"/>
          <w:sz w:val="24"/>
          <w:szCs w:val="24"/>
        </w:rPr>
      </w:pPr>
      <w:r>
        <w:rPr>
          <w:rFonts w:cstheme="minorHAnsi"/>
          <w:sz w:val="24"/>
          <w:szCs w:val="24"/>
        </w:rPr>
        <w:t xml:space="preserve">R v Quick (1973) </w:t>
      </w:r>
    </w:p>
    <w:p w14:paraId="1DACF5EB" w14:textId="77777777" w:rsidR="00C823F4" w:rsidRDefault="00C823F4" w:rsidP="00C823F4">
      <w:pPr>
        <w:rPr>
          <w:rFonts w:cstheme="minorHAnsi"/>
          <w:sz w:val="24"/>
          <w:szCs w:val="24"/>
        </w:rPr>
      </w:pPr>
      <w:r>
        <w:rPr>
          <w:rFonts w:cstheme="minorHAnsi"/>
          <w:sz w:val="24"/>
          <w:szCs w:val="24"/>
        </w:rPr>
        <w:t xml:space="preserve">Theft Act 1968 </w:t>
      </w:r>
    </w:p>
    <w:p w14:paraId="03195420" w14:textId="77777777" w:rsidR="00C823F4" w:rsidRPr="006A7ABC" w:rsidRDefault="00C823F4" w:rsidP="006A7ABC">
      <w:pPr>
        <w:rPr>
          <w:sz w:val="24"/>
          <w:szCs w:val="24"/>
        </w:rPr>
      </w:pPr>
    </w:p>
    <w:sectPr w:rsidR="00C823F4" w:rsidRPr="006A7ABC" w:rsidSect="00661E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14E8B"/>
    <w:multiLevelType w:val="hybridMultilevel"/>
    <w:tmpl w:val="99BEA134"/>
    <w:lvl w:ilvl="0" w:tplc="9BA214E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AE37C7"/>
    <w:multiLevelType w:val="hybridMultilevel"/>
    <w:tmpl w:val="A16ADCBE"/>
    <w:lvl w:ilvl="0" w:tplc="08090017">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977890"/>
    <w:multiLevelType w:val="hybridMultilevel"/>
    <w:tmpl w:val="EE7213C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AE40D7"/>
    <w:multiLevelType w:val="hybridMultilevel"/>
    <w:tmpl w:val="3BA0DE5A"/>
    <w:lvl w:ilvl="0" w:tplc="862E1A2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84626B"/>
    <w:multiLevelType w:val="hybridMultilevel"/>
    <w:tmpl w:val="2C24C400"/>
    <w:lvl w:ilvl="0" w:tplc="FFFFFFFF">
      <w:start w:val="1"/>
      <w:numFmt w:val="lowerLetter"/>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AD317CA"/>
    <w:multiLevelType w:val="hybridMultilevel"/>
    <w:tmpl w:val="40205C58"/>
    <w:lvl w:ilvl="0" w:tplc="D9B22D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FE3D4D"/>
    <w:multiLevelType w:val="hybridMultilevel"/>
    <w:tmpl w:val="44DC3B5A"/>
    <w:lvl w:ilvl="0" w:tplc="97AAFE4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986F4D"/>
    <w:multiLevelType w:val="hybridMultilevel"/>
    <w:tmpl w:val="3702AF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47379">
    <w:abstractNumId w:val="3"/>
  </w:num>
  <w:num w:numId="2" w16cid:durableId="1900944542">
    <w:abstractNumId w:val="7"/>
  </w:num>
  <w:num w:numId="3" w16cid:durableId="2115392374">
    <w:abstractNumId w:val="1"/>
  </w:num>
  <w:num w:numId="4" w16cid:durableId="2104448500">
    <w:abstractNumId w:val="4"/>
  </w:num>
  <w:num w:numId="5" w16cid:durableId="1353797192">
    <w:abstractNumId w:val="5"/>
  </w:num>
  <w:num w:numId="6" w16cid:durableId="168522204">
    <w:abstractNumId w:val="0"/>
  </w:num>
  <w:num w:numId="7" w16cid:durableId="565725447">
    <w:abstractNumId w:val="6"/>
  </w:num>
  <w:num w:numId="8" w16cid:durableId="4710993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E48"/>
    <w:rsid w:val="000C2F43"/>
    <w:rsid w:val="0010667D"/>
    <w:rsid w:val="00125EDB"/>
    <w:rsid w:val="00187E7E"/>
    <w:rsid w:val="001C258B"/>
    <w:rsid w:val="00220ABD"/>
    <w:rsid w:val="00487804"/>
    <w:rsid w:val="004A0FA6"/>
    <w:rsid w:val="00553929"/>
    <w:rsid w:val="0066082E"/>
    <w:rsid w:val="00661E37"/>
    <w:rsid w:val="00674191"/>
    <w:rsid w:val="006A7ABC"/>
    <w:rsid w:val="006B799B"/>
    <w:rsid w:val="00965132"/>
    <w:rsid w:val="00967F45"/>
    <w:rsid w:val="00B35E48"/>
    <w:rsid w:val="00B63774"/>
    <w:rsid w:val="00BA5DE1"/>
    <w:rsid w:val="00C04485"/>
    <w:rsid w:val="00C823F4"/>
    <w:rsid w:val="00CE5BF7"/>
    <w:rsid w:val="00D9278F"/>
    <w:rsid w:val="00EA7F33"/>
    <w:rsid w:val="00F1461B"/>
    <w:rsid w:val="00FD77C7"/>
    <w:rsid w:val="00FF1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F62AF"/>
  <w15:chartTrackingRefBased/>
  <w15:docId w15:val="{28AEC1DD-A703-47AF-B657-CDA4DCB4B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1FB1"/>
    <w:pPr>
      <w:ind w:left="720"/>
      <w:contextualSpacing/>
    </w:pPr>
  </w:style>
  <w:style w:type="paragraph" w:styleId="NoSpacing">
    <w:name w:val="No Spacing"/>
    <w:link w:val="NoSpacingChar"/>
    <w:uiPriority w:val="1"/>
    <w:qFormat/>
    <w:rsid w:val="00661E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1E3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TotalTime>
  <Pages>5</Pages>
  <Words>1364</Words>
  <Characters>7781</Characters>
  <Application>Microsoft Office Word</Application>
  <DocSecurity>0</DocSecurity>
  <Lines>598</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Pantiru (2213443)</dc:creator>
  <cp:keywords/>
  <dc:description/>
  <cp:lastModifiedBy>Ionut Pantiru (2213443)</cp:lastModifiedBy>
  <cp:revision>7</cp:revision>
  <dcterms:created xsi:type="dcterms:W3CDTF">2023-01-07T15:54:00Z</dcterms:created>
  <dcterms:modified xsi:type="dcterms:W3CDTF">2023-01-12T21:37:00Z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c22ff4ca7a7bb6a90581fad345687959b53813dd23576b42e75b07a9a6c67475</vt:lpwstr>
  </property>
</Properties>
</file>