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footnotes.xml" ContentType="application/vnd.openxmlformats-officedocument.wordprocessingml.footnot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w:rsidR="0EA37639" w:rsidP="26FBFCE6" w:rsidRDefault="0EA37639" w14:paraId="54732384" w14:textId="77BAFDE8">
      <w:pPr>
        <w:pStyle w:val="Heading1"/>
      </w:pPr>
      <w:r w:rsidR="64BCAD51">
        <w:rPr/>
        <w:t>In</w:t>
      </w:r>
      <w:r w:rsidR="155A5875">
        <w:rPr/>
        <w:t>to</w:t>
      </w:r>
      <w:r w:rsidR="64BCAD51">
        <w:rPr/>
        <w:t xml:space="preserve"> The Field - </w:t>
      </w:r>
      <w:r w:rsidR="0F80D68E">
        <w:rPr/>
        <w:t>Field Journal</w:t>
      </w:r>
    </w:p>
    <w:p xmlns:wp14="http://schemas.microsoft.com/office/word/2010/wordml" w:rsidP="6ABA5AC9" wp14:paraId="2C078E63" wp14:textId="45955053">
      <w:pPr>
        <w:pStyle w:val="Heading2"/>
        <w:rPr>
          <w:rStyle w:val="Emphasis"/>
          <w:b w:val="1"/>
          <w:bCs w:val="1"/>
          <w:u w:val="single"/>
        </w:rPr>
      </w:pPr>
      <w:bookmarkStart w:name="_Int_6DDnVAsv" w:id="1905645982"/>
      <w:r w:rsidRPr="6ABA5AC9" w:rsidR="1C07E919">
        <w:rPr>
          <w:b w:val="1"/>
          <w:bCs w:val="1"/>
          <w:u w:val="single"/>
        </w:rPr>
        <w:t>Llanllyr</w:t>
      </w:r>
      <w:r w:rsidRPr="6ABA5AC9" w:rsidR="1C07E919">
        <w:rPr>
          <w:b w:val="1"/>
          <w:bCs w:val="1"/>
          <w:u w:val="single"/>
        </w:rPr>
        <w:t xml:space="preserve"> – The Site</w:t>
      </w:r>
      <w:bookmarkEnd w:id="1905645982"/>
    </w:p>
    <w:p w:rsidR="2E95610E" w:rsidP="2E95610E" w:rsidRDefault="2E95610E" w14:paraId="4F23478D" w14:textId="76689677">
      <w:pPr>
        <w:pStyle w:val="Normal"/>
      </w:pPr>
      <w:r w:rsidR="5DDEC781">
        <w:rPr/>
        <w:t>Llanllyr</w:t>
      </w:r>
      <w:r w:rsidR="5DDEC781">
        <w:rPr/>
        <w:t xml:space="preserve"> sits in the middle of a valley caused by glacial movement after the last ice age. </w:t>
      </w:r>
      <w:r w:rsidR="161D164F">
        <w:rPr/>
        <w:t>It is likely that during the Neolithic period, the site would have been a lake with marshy areas,</w:t>
      </w:r>
      <w:r w:rsidR="4EDF973E">
        <w:rPr/>
        <w:t xml:space="preserve"> and islands,</w:t>
      </w:r>
      <w:r w:rsidR="161D164F">
        <w:rPr/>
        <w:t xml:space="preserve"> shown by the differing vegetations at differing elevations</w:t>
      </w:r>
      <w:r w:rsidRPr="021D0F1A">
        <w:rPr>
          <w:rStyle w:val="FootnoteReference"/>
        </w:rPr>
        <w:footnoteReference w:id="542"/>
      </w:r>
      <w:r w:rsidR="161D164F">
        <w:rPr/>
        <w:t xml:space="preserve">. On high areas, there is only </w:t>
      </w:r>
      <w:r w:rsidR="6F8D24A5">
        <w:rPr/>
        <w:t xml:space="preserve">grass, </w:t>
      </w:r>
      <w:r w:rsidR="6F8D24A5">
        <w:rPr/>
        <w:t>whereas</w:t>
      </w:r>
      <w:r w:rsidR="6F8D24A5">
        <w:rPr/>
        <w:t xml:space="preserve"> there are reeds in the lower areas. On t</w:t>
      </w:r>
      <w:r w:rsidR="2C446CE1">
        <w:rPr/>
        <w:t xml:space="preserve">he higher</w:t>
      </w:r>
      <w:r w:rsidR="6F8D24A5">
        <w:rPr/>
        <w:t xml:space="preserve"> areas, there is</w:t>
      </w:r>
      <w:r w:rsidR="156C62CA">
        <w:rPr/>
        <w:t xml:space="preserve"> </w:t>
      </w:r>
      <w:r w:rsidR="6F8D24A5">
        <w:rPr/>
        <w:t xml:space="preserve">evidence of animal activity, such as molehills, which </w:t>
      </w:r>
      <w:r w:rsidR="6F8D24A5">
        <w:rPr/>
        <w:t>indicates</w:t>
      </w:r>
      <w:r w:rsidR="6F8D24A5">
        <w:rPr/>
        <w:t xml:space="preserve"> that the</w:t>
      </w:r>
      <w:r w:rsidR="2EC3CDD3">
        <w:rPr/>
        <w:t>y</w:t>
      </w:r>
      <w:r w:rsidR="6F8D24A5">
        <w:rPr/>
        <w:t xml:space="preserve"> have a dryer soil than the surrounding area.</w:t>
      </w:r>
      <w:r w:rsidR="78B01197">
        <w:rPr/>
        <w:t xml:space="preserve"> Trenches</w:t>
      </w:r>
      <w:r w:rsidR="78B01197">
        <w:rPr/>
        <w:t xml:space="preserve"> dug in previous years have yielded items from the Neolithic period, such as burn marks and flint. However, the finds are not exclusive to the Neolithic period, with a</w:t>
      </w:r>
      <w:r w:rsidR="07A108C1">
        <w:rPr/>
        <w:t xml:space="preserve"> piece of oak from a much later period being found in a test pit. The test pits at </w:t>
      </w:r>
      <w:r w:rsidR="07A108C1">
        <w:rPr/>
        <w:t>Llanllyr</w:t>
      </w:r>
      <w:r w:rsidR="07A108C1">
        <w:rPr/>
        <w:t xml:space="preserve"> are one meter by one meter test pits, which are </w:t>
      </w:r>
      <w:r w:rsidR="07A108C1">
        <w:rPr/>
        <w:t>ap</w:t>
      </w:r>
      <w:r w:rsidR="0A5E6EBC">
        <w:rPr/>
        <w:t>propriate for</w:t>
      </w:r>
      <w:r w:rsidR="0A5E6EBC">
        <w:rPr/>
        <w:t xml:space="preserve"> a Neolithic site, but not </w:t>
      </w:r>
      <w:r w:rsidR="0A5E6EBC">
        <w:rPr/>
        <w:t>appropriate for</w:t>
      </w:r>
      <w:r w:rsidR="0A5E6EBC">
        <w:rPr/>
        <w:t xml:space="preserve"> sites with later periods or structures, as these small pits would not cover the area</w:t>
      </w:r>
      <w:r w:rsidR="5C489221">
        <w:rPr/>
        <w:t xml:space="preserve"> </w:t>
      </w:r>
      <w:r w:rsidR="5C489221">
        <w:rPr/>
        <w:t xml:space="preserve">properly</w:t>
      </w:r>
      <w:r w:rsidRPr="021D0F1A">
        <w:rPr>
          <w:rStyle w:val="FootnoteReference"/>
        </w:rPr>
        <w:footnoteReference w:id="29837"/>
      </w:r>
      <w:r w:rsidR="5C489221">
        <w:rPr/>
        <w:t xml:space="preserve">.</w:t>
      </w: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1162F215" wp14:editId="263D6CBC">
                <wp:extent cx="5943600" cy="2390775"/>
                <wp:effectExtent l="19050" t="0" r="19050" b="28575"/>
                <wp:docPr xmlns:wp="http://schemas.openxmlformats.org/drawingml/2006/wordprocessingDrawing" id="1020069905" name="Group 4"/>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5943600" cy="2390775"/>
                          <a:chOff x="0" y="0"/>
                          <a:chExt cx="5943600" cy="2390775"/>
                        </a:xfrm>
                      </wpg:grpSpPr>
                      <pic:pic xmlns:pic="http://schemas.openxmlformats.org/drawingml/2006/picture">
                        <pic:nvPicPr>
                          <pic:cNvPr id="1" name="Picture 1"/>
                          <pic:cNvPicPr>
                            <a:picLocks noChangeAspect="1"/>
                          </pic:cNvPicPr>
                        </pic:nvPicPr>
                        <pic:blipFill>
                          <a:blip xmlns:r="http://schemas.openxmlformats.org/officeDocument/2006/relationships" r:embed="R711ec281c5054551"/>
                          <a:stretch>
                            <a:fillRect/>
                          </a:stretch>
                        </pic:blipFill>
                        <pic:spPr>
                          <a:xfrm>
                            <a:off x="0" y="0"/>
                            <a:ext cx="5943600" cy="2390775"/>
                          </a:xfrm>
                          <a:prstGeom prst="rect">
                            <a:avLst/>
                          </a:prstGeom>
                        </pic:spPr>
                      </pic:pic>
                      <wps:wsp xmlns:wps="http://schemas.microsoft.com/office/word/2010/wordprocessingShape">
                        <wps:cNvPr id="3" name="Rectangle 3"/>
                        <wps:cNvSpPr/>
                        <wps:spPr>
                          <a:xfrm>
                            <a:off x="0" y="9525"/>
                            <a:ext cx="5934075" cy="2381250"/>
                          </a:xfrm>
                          <a:prstGeom prst="rect">
                            <a:avLst/>
                          </a:prstGeom>
                          <a:noFill/>
                          <a:ln w="28575">
                            <a:solidFill>
                              <a:schemeClr val="accent1">
                                <a:lumMod val="75000"/>
                              </a:schemeClr>
                            </a:solidFill>
                          </a:ln>
                        </wps:spPr>
                        <wps:style>
                          <a:lnRef idx="2">
                            <a:schemeClr val="accent1">
                              <a:shade val="50000"/>
                            </a:schemeClr>
                          </a:lnRef>
                          <a:fillRef idx="1">
                            <a:schemeClr val="accent1"/>
                          </a:fillRef>
                          <a:effectRef idx="0">
                            <a:scrgbClr r="0" g="0" b="0"/>
                          </a:effectRef>
                          <a:fontRef idx="minor">
                            <a:schemeClr val="lt1"/>
                          </a:fontRef>
                        </wps:style>
                        <wps:bodyPr anchor="ctr"/>
                      </wps:wsp>
                      <wps:wsp xmlns:wps="http://schemas.microsoft.com/office/word/2010/wordprocessingShape">
                        <wps:cNvPr id="4" name="Rectangle 4"/>
                        <wps:cNvSpPr/>
                        <wps:spPr>
                          <a:xfrm>
                            <a:off x="47625" y="2133600"/>
                            <a:ext cx="1057275" cy="228600"/>
                          </a:xfrm>
                          <a:prstGeom prst="rect">
                            <a:avLst/>
                          </a:prstGeom>
                          <a:solidFill>
                            <a:schemeClr val="lt1"/>
                          </a:solidFill>
                          <a:ln>
                            <a:solidFill>
                              <a:srgbClr val="000000"/>
                            </a:solidFill>
                          </a:ln>
                        </wps:spPr>
                        <wps:txbx>
                          <w:txbxContent>
                            <w:p w:rsidR="00E3623C" w:rsidP="00E3623C" w:rsidRDefault="00E3623C">
                              <w:pPr>
                                <w:rPr>
                                  <w:rFonts w:ascii="Calibri" w:hAnsi="Calibri" w:cs="Calibri"/>
                                  <w:color w:val="000000"/>
                                  <w:kern w:val="0"/>
                                  <w14:ligatures xmlns:w14="http://schemas.microsoft.com/office/word/2010/wordml" w14:val="none"/>
                                </w:rPr>
                              </w:pPr>
                              <w:r>
                                <w:rPr>
                                  <w:rFonts w:ascii="Calibri" w:hAnsi="Calibri" w:cs="Calibri"/>
                                  <w:color w:val="000000"/>
                                </w:rPr>
                                <w:t>Llanllyr site</w:t>
                              </w:r>
                            </w:p>
                          </w:txbxContent>
                        </wps:txbx>
                        <wps:bodyPr anchor="t"/>
                      </wps:wsp>
                    </wpg:wgp>
                  </a:graphicData>
                </a:graphic>
              </wp:inline>
            </w:drawing>
          </mc:Choice>
          <mc:Fallback/>
        </mc:AlternateContent>
      </w:r>
      <w:r w:rsidRPr="515A441A">
        <w:rPr>
          <w:rStyle w:val="FootnoteReference"/>
        </w:rPr>
        <w:footnoteReference w:id="20825"/>
      </w:r>
    </w:p>
    <w:p w:rsidR="1C07E919" w:rsidP="6ABA5AC9" w:rsidRDefault="1C07E919" w14:paraId="4406C917" w14:textId="2BD41989">
      <w:pPr>
        <w:pStyle w:val="Normal"/>
        <w:rPr>
          <w:color w:val="0F4761" w:themeColor="accent1" w:themeTint="FF" w:themeShade="BF"/>
          <w:sz w:val="28"/>
          <w:szCs w:val="28"/>
        </w:rPr>
      </w:pPr>
      <w:r w:rsidRPr="6ABA5AC9" w:rsidR="1C07E919">
        <w:rPr>
          <w:color w:val="0F4761" w:themeColor="accent1" w:themeTint="FF" w:themeShade="BF"/>
          <w:sz w:val="28"/>
          <w:szCs w:val="28"/>
          <w:u w:val="single"/>
        </w:rPr>
        <w:t>Flint</w:t>
      </w:r>
    </w:p>
    <w:p w:rsidR="2E95610E" w:rsidP="2E95610E" w:rsidRDefault="2E95610E" w14:paraId="7E149DB6" w14:textId="0E97A988">
      <w:pPr>
        <w:pStyle w:val="Normal"/>
      </w:pPr>
      <w:bookmarkStart w:name="_Int_yjalEetR" w:id="1596984907"/>
      <w:r w:rsidR="508FC38C">
        <w:rPr/>
        <w:t>The majority of</w:t>
      </w:r>
      <w:bookmarkEnd w:id="1596984907"/>
      <w:r w:rsidR="508FC38C">
        <w:rPr/>
        <w:t xml:space="preserve"> flint found at </w:t>
      </w:r>
      <w:r w:rsidR="508FC38C">
        <w:rPr/>
        <w:t>Llanllyr</w:t>
      </w:r>
      <w:r w:rsidR="508FC38C">
        <w:rPr/>
        <w:t xml:space="preserve"> has been flint flakes, </w:t>
      </w:r>
      <w:r w:rsidR="623E20B0">
        <w:rPr/>
        <w:t xml:space="preserve">which have </w:t>
      </w:r>
      <w:r w:rsidR="508FC38C">
        <w:rPr/>
        <w:t xml:space="preserve">broken off larger nodules of flint </w:t>
      </w:r>
      <w:r w:rsidR="508FC38C">
        <w:rPr/>
        <w:t>in the process of knapping</w:t>
      </w:r>
      <w:r w:rsidR="508FC38C">
        <w:rPr/>
        <w:t xml:space="preserve">, where the nodule is </w:t>
      </w:r>
      <w:r w:rsidR="02EBAE18">
        <w:rPr/>
        <w:t>struck by another stone made of a harder material</w:t>
      </w:r>
      <w:r w:rsidR="0136AC61">
        <w:rPr/>
        <w:t>, such as granite,</w:t>
      </w:r>
      <w:r w:rsidR="02EBAE18">
        <w:rPr/>
        <w:t xml:space="preserve"> to create a tool or flat stone</w:t>
      </w:r>
      <w:r w:rsidRPr="4236E724">
        <w:rPr>
          <w:rStyle w:val="FootnoteReference"/>
        </w:rPr>
        <w:footnoteReference w:id="23957"/>
      </w:r>
      <w:r w:rsidR="02EBAE18">
        <w:rPr/>
        <w:t xml:space="preserve">. </w:t>
      </w:r>
      <w:r w:rsidR="5ECE44E8">
        <w:rPr/>
        <w:t xml:space="preserve">This process can also be done with smaller pebbles of flint. </w:t>
      </w:r>
      <w:r w:rsidR="47F729AD">
        <w:rPr/>
        <w:t xml:space="preserve">There has also been a broad range of colours of flint found at the site, some of which being white, amber, grey, and red. </w:t>
      </w:r>
      <w:r w:rsidR="069C0EDF">
        <w:rPr/>
        <w:t xml:space="preserve">Engaging with our sample in our Sediments and Soils lecture was beneficial for seeing all the several types of flint as most of the larger rocks in our sample were all flint of varying sizes, shapes, and colours. </w:t>
      </w:r>
      <w:r w:rsidR="2A75CAEB">
        <w:rPr/>
        <w:t>This was also an opportunity to see complete pebbles of flint and larger flakes. I found that a unique characteristic to flint was the slight translucency it has</w:t>
      </w:r>
      <w:r w:rsidR="5CD1B576">
        <w:rPr/>
        <w:t xml:space="preserve">, which was useful when trying to distinguish between flint in the trenches and other rocks, such as white quartz and bedrock.</w:t>
      </w:r>
      <w:r w:rsidR="5CD1B576">
        <w:rPr/>
        <w:t xml:space="preserve"> </w:t>
      </w:r>
    </w:p>
    <w:p w:rsidR="56F68192" w:rsidP="4236E724" w:rsidRDefault="56F68192" w14:paraId="0AC467A9" w14:textId="2B113D5A">
      <w:pPr>
        <w:pStyle w:val="Normal"/>
      </w:pPr>
      <w:r w:rsidR="4C8534C8">
        <w:rPr/>
        <w:t>Flint is a siliceous material with the chemical formula of SiO</w:t>
      </w:r>
      <w:r w:rsidRPr="4236E724" w:rsidR="54000E91">
        <w:rPr>
          <w:sz w:val="16"/>
          <w:szCs w:val="16"/>
        </w:rPr>
        <w:t>2</w:t>
      </w:r>
      <w:r w:rsidRPr="4236E724" w:rsidR="43F346E1">
        <w:rPr>
          <w:sz w:val="24"/>
          <w:szCs w:val="24"/>
        </w:rPr>
        <w:t xml:space="preserve">, </w:t>
      </w:r>
      <w:r w:rsidRPr="4236E724" w:rsidR="54000E91">
        <w:rPr>
          <w:sz w:val="24"/>
          <w:szCs w:val="24"/>
        </w:rPr>
        <w:t>is a form of quartz</w:t>
      </w:r>
      <w:r w:rsidRPr="4236E724" w:rsidR="4A3FBB07">
        <w:rPr>
          <w:sz w:val="24"/>
          <w:szCs w:val="24"/>
        </w:rPr>
        <w:t>, and can be found alongside formed chalk</w:t>
      </w:r>
      <w:r w:rsidRPr="4236E724">
        <w:rPr>
          <w:rStyle w:val="FootnoteReference"/>
          <w:sz w:val="24"/>
          <w:szCs w:val="24"/>
        </w:rPr>
        <w:footnoteReference w:id="22187"/>
      </w:r>
      <w:r w:rsidRPr="4236E724" w:rsidR="4A3FBB07">
        <w:rPr>
          <w:sz w:val="24"/>
          <w:szCs w:val="24"/>
        </w:rPr>
        <w:t xml:space="preserve">. </w:t>
      </w:r>
      <w:r w:rsidRPr="4236E724" w:rsidR="3CF0C1B5">
        <w:rPr>
          <w:sz w:val="24"/>
          <w:szCs w:val="24"/>
        </w:rPr>
        <w:t>The atoms form a repeating unit of SiO</w:t>
      </w:r>
      <w:r w:rsidRPr="4236E724" w:rsidR="3CF0C1B5">
        <w:rPr>
          <w:sz w:val="16"/>
          <w:szCs w:val="16"/>
        </w:rPr>
        <w:t xml:space="preserve">2 </w:t>
      </w:r>
      <w:r w:rsidRPr="4236E724" w:rsidR="3CF0C1B5">
        <w:rPr>
          <w:sz w:val="24"/>
          <w:szCs w:val="24"/>
        </w:rPr>
        <w:t xml:space="preserve">in a tetrahedral formation, and in the case of flint, </w:t>
      </w:r>
      <w:r w:rsidRPr="4236E724" w:rsidR="12A21D4C">
        <w:rPr>
          <w:sz w:val="24"/>
          <w:szCs w:val="24"/>
        </w:rPr>
        <w:t>is cryptocrystalline</w:t>
      </w:r>
      <w:r w:rsidRPr="4236E724">
        <w:rPr>
          <w:rStyle w:val="FootnoteReference"/>
          <w:sz w:val="24"/>
          <w:szCs w:val="24"/>
        </w:rPr>
        <w:footnoteReference w:id="26931"/>
      </w:r>
      <w:r w:rsidRPr="4236E724" w:rsidR="12A21D4C">
        <w:rPr>
          <w:sz w:val="24"/>
          <w:szCs w:val="24"/>
        </w:rPr>
        <w:t>, meaning that its crysta</w:t>
      </w:r>
      <w:r w:rsidRPr="4236E724" w:rsidR="6278C88C">
        <w:rPr>
          <w:sz w:val="24"/>
          <w:szCs w:val="24"/>
        </w:rPr>
        <w:t>l</w:t>
      </w:r>
      <w:r w:rsidRPr="4236E724" w:rsidR="12A21D4C">
        <w:rPr>
          <w:sz w:val="24"/>
          <w:szCs w:val="24"/>
        </w:rPr>
        <w:t>line structure is only reve</w:t>
      </w:r>
      <w:r w:rsidRPr="4236E724" w:rsidR="49755267">
        <w:rPr>
          <w:sz w:val="24"/>
          <w:szCs w:val="24"/>
        </w:rPr>
        <w:t>aled microsc</w:t>
      </w:r>
      <w:r w:rsidRPr="4236E724" w:rsidR="49755267">
        <w:rPr>
          <w:sz w:val="24"/>
          <w:szCs w:val="24"/>
        </w:rPr>
        <w:t>opically</w:t>
      </w:r>
      <w:r w:rsidRPr="4236E724">
        <w:rPr>
          <w:rStyle w:val="FootnoteReference"/>
          <w:sz w:val="24"/>
          <w:szCs w:val="24"/>
        </w:rPr>
        <w:footnoteReference w:id="26592"/>
      </w:r>
      <w:r w:rsidRPr="4236E724" w:rsidR="49755267">
        <w:rPr>
          <w:sz w:val="24"/>
          <w:szCs w:val="24"/>
        </w:rPr>
        <w:t xml:space="preserve">. </w:t>
      </w:r>
      <w:r w:rsidR="6D486101">
        <w:drawing>
          <wp:anchor distT="0" distB="0" distL="114300" distR="114300" simplePos="0" relativeHeight="251658240" behindDoc="0" locked="0" layoutInCell="1" allowOverlap="1" wp14:editId="2058B756" wp14:anchorId="3BDCC687">
            <wp:simplePos x="0" y="0"/>
            <wp:positionH relativeFrom="column">
              <wp:align>left</wp:align>
            </wp:positionH>
            <wp:positionV relativeFrom="paragraph">
              <wp:posOffset>0</wp:posOffset>
            </wp:positionV>
            <wp:extent cx="1665641" cy="1222538"/>
            <wp:effectExtent l="0" t="0" r="0" b="0"/>
            <wp:wrapSquare wrapText="bothSides"/>
            <wp:docPr id="1062932041" name="" title=""/>
            <wp:cNvGraphicFramePr>
              <a:graphicFrameLocks noChangeAspect="1"/>
            </wp:cNvGraphicFramePr>
            <a:graphic>
              <a:graphicData uri="http://schemas.openxmlformats.org/drawingml/2006/picture">
                <pic:pic>
                  <pic:nvPicPr>
                    <pic:cNvPr id="0" name=""/>
                    <pic:cNvPicPr/>
                  </pic:nvPicPr>
                  <pic:blipFill>
                    <a:blip r:embed="R3b4cf6afd414405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665641" cy="1222538"/>
                    </a:xfrm>
                    <a:prstGeom prst="rect">
                      <a:avLst/>
                    </a:prstGeom>
                  </pic:spPr>
                </pic:pic>
              </a:graphicData>
            </a:graphic>
            <wp14:sizeRelH relativeFrom="page">
              <wp14:pctWidth>0</wp14:pctWidth>
            </wp14:sizeRelH>
            <wp14:sizeRelV relativeFrom="page">
              <wp14:pctHeight>0</wp14:pctHeight>
            </wp14:sizeRelV>
          </wp:anchor>
        </w:drawing>
      </w:r>
    </w:p>
    <w:p w:rsidR="016BEACA" w:rsidP="6ABA5AC9" w:rsidRDefault="016BEACA" w14:paraId="0687571B" w14:textId="1DA69B73">
      <w:pPr>
        <w:pStyle w:val="Heading3"/>
        <w:rPr>
          <w:u w:val="single"/>
        </w:rPr>
      </w:pPr>
      <w:r w:rsidRPr="6ABA5AC9" w:rsidR="016BEACA">
        <w:rPr>
          <w:u w:val="single"/>
        </w:rPr>
        <w:t>Surveying Equipment</w:t>
      </w:r>
    </w:p>
    <w:p w:rsidR="1C07E919" w:rsidP="6ABA5AC9" w:rsidRDefault="1C07E919" w14:paraId="08BFAF7C" w14:textId="357555E9">
      <w:pPr>
        <w:pStyle w:val="Normal"/>
        <w:rPr>
          <w:rFonts w:ascii="Aptos" w:hAnsi="Aptos" w:eastAsia="Aptos" w:cs="Aptos" w:asciiTheme="minorAscii" w:hAnsiTheme="minorAscii" w:eastAsiaTheme="minorAscii" w:cstheme="minorAscii"/>
          <w:sz w:val="24"/>
          <w:szCs w:val="24"/>
        </w:rPr>
      </w:pPr>
      <w:r w:rsidRPr="6ABA5AC9" w:rsidR="016BEACA">
        <w:rPr>
          <w:sz w:val="24"/>
          <w:szCs w:val="24"/>
        </w:rPr>
        <w:t xml:space="preserve">The surveying equipment was used at each trench. Each corner of the trench was measured using a staff to </w:t>
      </w:r>
      <w:r w:rsidRPr="6ABA5AC9" w:rsidR="016BEACA">
        <w:rPr>
          <w:sz w:val="24"/>
          <w:szCs w:val="24"/>
        </w:rPr>
        <w:t>determine</w:t>
      </w:r>
      <w:r w:rsidRPr="6ABA5AC9" w:rsidR="016BEACA">
        <w:rPr>
          <w:sz w:val="24"/>
          <w:szCs w:val="24"/>
        </w:rPr>
        <w:t xml:space="preserve"> their height </w:t>
      </w:r>
      <w:r w:rsidRPr="6ABA5AC9" w:rsidR="016BEACA">
        <w:rPr>
          <w:sz w:val="24"/>
          <w:szCs w:val="24"/>
        </w:rPr>
        <w:t>relative</w:t>
      </w:r>
      <w:r w:rsidRPr="6ABA5AC9" w:rsidR="016BEACA">
        <w:rPr>
          <w:sz w:val="24"/>
          <w:szCs w:val="24"/>
        </w:rPr>
        <w:t xml:space="preserve"> to a control point, which at </w:t>
      </w:r>
      <w:r w:rsidRPr="6ABA5AC9" w:rsidR="016BEACA">
        <w:rPr>
          <w:sz w:val="24"/>
          <w:szCs w:val="24"/>
        </w:rPr>
        <w:t>Llanllyr</w:t>
      </w:r>
      <w:r w:rsidRPr="6ABA5AC9" w:rsidR="016BEACA">
        <w:rPr>
          <w:sz w:val="24"/>
          <w:szCs w:val="24"/>
        </w:rPr>
        <w:t xml:space="preserve"> was the top of a concrete post. The same equipment was used in the trenches for each o</w:t>
      </w:r>
      <w:r w:rsidRPr="6ABA5AC9" w:rsidR="4E92FE7A">
        <w:rPr>
          <w:sz w:val="24"/>
          <w:szCs w:val="24"/>
        </w:rPr>
        <w:t xml:space="preserve">f the flints found </w:t>
      </w:r>
      <w:r w:rsidRPr="6ABA5AC9" w:rsidR="6623BFE0">
        <w:rPr>
          <w:sz w:val="24"/>
          <w:szCs w:val="24"/>
        </w:rPr>
        <w:t>t</w:t>
      </w:r>
      <w:r w:rsidRPr="6ABA5AC9" w:rsidR="4E92FE7A">
        <w:rPr>
          <w:sz w:val="24"/>
          <w:szCs w:val="24"/>
        </w:rPr>
        <w:t xml:space="preserve">o measure their depth, also </w:t>
      </w:r>
      <w:r w:rsidRPr="6ABA5AC9" w:rsidR="4E92FE7A">
        <w:rPr>
          <w:sz w:val="24"/>
          <w:szCs w:val="24"/>
        </w:rPr>
        <w:t>relative</w:t>
      </w:r>
      <w:r w:rsidRPr="6ABA5AC9" w:rsidR="4E92FE7A">
        <w:rPr>
          <w:sz w:val="24"/>
          <w:szCs w:val="24"/>
        </w:rPr>
        <w:t xml:space="preserve"> to the same point. The recording of the depth aids in the interpretation of the context in which the flint is found. </w:t>
      </w:r>
      <w:r w:rsidRPr="6ABA5AC9" w:rsidR="44FC0B9E">
        <w:rPr>
          <w:sz w:val="24"/>
          <w:szCs w:val="24"/>
        </w:rPr>
        <w:t xml:space="preserve">A second control </w:t>
      </w:r>
      <w:r w:rsidRPr="6ABA5AC9" w:rsidR="44FC0B9E">
        <w:rPr>
          <w:rFonts w:ascii="Aptos" w:hAnsi="Aptos" w:eastAsia="Aptos" w:cs="Aptos" w:asciiTheme="minorAscii" w:hAnsiTheme="minorAscii" w:eastAsiaTheme="minorAscii" w:cstheme="minorAscii"/>
          <w:sz w:val="24"/>
          <w:szCs w:val="24"/>
        </w:rPr>
        <w:t>point behind the surveyor was also used to ensure accuracy.</w:t>
      </w:r>
    </w:p>
    <w:p w:rsidR="1C07E919" w:rsidP="4236E724" w:rsidRDefault="1C07E919" w14:paraId="1931AA1E" w14:textId="3A7DC88A">
      <w:pPr>
        <w:pStyle w:val="Normal"/>
      </w:pPr>
      <w:r w:rsidRPr="26FBFCE6" w:rsidR="1C07E919">
        <w:rPr>
          <w:rFonts w:ascii="Aptos" w:hAnsi="Aptos" w:eastAsia="Aptos" w:cs="Aptos" w:asciiTheme="minorAscii" w:hAnsiTheme="minorAscii" w:eastAsiaTheme="minorAscii" w:cstheme="minorAscii"/>
          <w:color w:val="0F4761" w:themeColor="accent1" w:themeTint="FF" w:themeShade="BF"/>
          <w:sz w:val="28"/>
          <w:szCs w:val="28"/>
          <w:u w:val="single"/>
        </w:rPr>
        <w:t>Recording in the Trenches</w:t>
      </w:r>
    </w:p>
    <w:p w:rsidR="1C07E919" w:rsidP="4236E724" w:rsidRDefault="1C07E919" w14:paraId="6FB3853F" w14:textId="4F0D9B14">
      <w:pPr>
        <w:pStyle w:val="Normal"/>
      </w:pPr>
      <w:r w:rsidR="1A5A2690">
        <w:rPr/>
        <w:t xml:space="preserve">Recording finds in the trenches was done using trench plans, artefact records, a small finds register, and context sheets. </w:t>
      </w:r>
      <w:r w:rsidR="19CCFACB">
        <w:rPr/>
        <w:t xml:space="preserve">The trench plan was used to mark where finds in the trench were found, including their x and y </w:t>
      </w:r>
      <w:r w:rsidR="584B88A4">
        <w:rPr/>
        <w:t xml:space="preserve">coordinates</w:t>
      </w:r>
      <w:r w:rsidR="584B88A4">
        <w:rPr/>
        <w:t xml:space="preserve"> </w:t>
      </w:r>
      <w:r w:rsidR="19CCFACB">
        <w:rPr/>
        <w:t xml:space="preserve">based on an origin in one of the corners of the trench, and their</w:t>
      </w:r>
      <w:r w:rsidR="1919DABF">
        <w:rPr/>
        <w:t xml:space="preserve"> </w:t>
      </w:r>
      <w:r w:rsidR="19CCFACB">
        <w:rPr/>
        <w:t xml:space="preserve">z coordinate based on the control point at the top of the concrete pillar. </w:t>
      </w:r>
      <w:r w:rsidR="5923E100">
        <w:rPr/>
        <w:t xml:space="preserve">This was done to see if there was a pattern in the positions of the finds, which in the case of the Trench 10s, there was, </w:t>
      </w:r>
      <w:r w:rsidR="5923E100">
        <w:rPr/>
        <w:t>indicating</w:t>
      </w:r>
      <w:r w:rsidR="5923E100">
        <w:rPr/>
        <w:t xml:space="preserve"> a spread from an origin point, which may </w:t>
      </w:r>
      <w:r w:rsidR="5923E100">
        <w:rPr/>
        <w:t>indicate</w:t>
      </w:r>
      <w:r w:rsidR="5923E100">
        <w:rPr/>
        <w:t xml:space="preserve"> where a person </w:t>
      </w:r>
      <w:r w:rsidR="59282562">
        <w:rPr/>
        <w:t xml:space="preserve">was positioned whilst knapping. Separate trench plans were used for different contexts, in the event something was found in a different context, such as in the clay layer. </w:t>
      </w:r>
      <w:r w:rsidR="2B096E46">
        <w:rPr/>
        <w:t>These contexts were numbered, starting from one. The arte</w:t>
      </w:r>
      <w:r w:rsidR="7D3A79A1">
        <w:rPr/>
        <w:t xml:space="preserve">fact record made a note of the type of find and its material, its description, collection method, location, size, and small finds number. The coordinates, small finds number, and description were repeated in the small finds record. </w:t>
      </w:r>
      <w:r w:rsidR="1E7595AA">
        <w:rPr/>
        <w:t xml:space="preserve">Context sheets, where </w:t>
      </w:r>
      <w:r w:rsidR="1E7595AA">
        <w:rPr/>
        <w:t>required</w:t>
      </w:r>
      <w:r w:rsidR="1E7595AA">
        <w:rPr/>
        <w:t xml:space="preserve">, described the different sediments in the trench. </w:t>
      </w:r>
      <w:r w:rsidR="6ED3CA43">
        <w:rPr/>
        <w:t xml:space="preserve">This was important for later </w:t>
      </w:r>
      <w:r w:rsidR="1200D910">
        <w:rPr/>
        <w:t xml:space="preserve">discussion of the site, where the contexts in which the artefacts were found combined with their context in relation to each other could present a theory </w:t>
      </w:r>
      <w:r w:rsidR="4A7A69B6">
        <w:rPr/>
        <w:t xml:space="preserve">for the site. </w:t>
      </w:r>
      <w:r w:rsidR="64C63952">
        <w:rPr/>
        <w:t>Additionally, the contexts could be used for chronological evidence as samples could be dated</w:t>
      </w:r>
      <w:r w:rsidRPr="4236E724">
        <w:rPr>
          <w:rStyle w:val="FootnoteReference"/>
        </w:rPr>
        <w:footnoteReference w:id="24903"/>
      </w:r>
      <w:r w:rsidR="64C63952">
        <w:rPr/>
        <w:t xml:space="preserve">. </w:t>
      </w:r>
      <w:r w:rsidR="6D486101">
        <w:drawing>
          <wp:anchor distT="0" distB="0" distL="114300" distR="114300" simplePos="0" relativeHeight="251658240" behindDoc="0" locked="0" layoutInCell="1" allowOverlap="1" wp14:editId="63B346FA" wp14:anchorId="01E61FFB">
            <wp:simplePos x="0" y="0"/>
            <wp:positionH relativeFrom="column">
              <wp:align>right</wp:align>
            </wp:positionH>
            <wp:positionV relativeFrom="paragraph">
              <wp:posOffset>0</wp:posOffset>
            </wp:positionV>
            <wp:extent cx="1742336" cy="2658233"/>
            <wp:effectExtent l="0" t="0" r="0" b="0"/>
            <wp:wrapSquare wrapText="bothSides"/>
            <wp:docPr id="1900811880" name="" title=""/>
            <wp:cNvGraphicFramePr>
              <a:graphicFrameLocks noChangeAspect="1"/>
            </wp:cNvGraphicFramePr>
            <a:graphic>
              <a:graphicData uri="http://schemas.openxmlformats.org/drawingml/2006/picture">
                <pic:pic>
                  <pic:nvPicPr>
                    <pic:cNvPr id="0" name=""/>
                    <pic:cNvPicPr/>
                  </pic:nvPicPr>
                  <pic:blipFill>
                    <a:blip r:embed="R7ad2102403f64a5e">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742336" cy="2658233"/>
                    </a:xfrm>
                    <a:prstGeom prst="rect">
                      <a:avLst/>
                    </a:prstGeom>
                  </pic:spPr>
                </pic:pic>
              </a:graphicData>
            </a:graphic>
            <wp14:sizeRelH relativeFrom="page">
              <wp14:pctWidth>0</wp14:pctWidth>
            </wp14:sizeRelH>
            <wp14:sizeRelV relativeFrom="page">
              <wp14:pctHeight>0</wp14:pctHeight>
            </wp14:sizeRelV>
          </wp:anchor>
        </w:drawing>
      </w:r>
    </w:p>
    <w:p w:rsidR="1C07E919" w:rsidP="6ABA5AC9" w:rsidRDefault="1C07E919" w14:paraId="706F67F3" w14:textId="67E65D8D">
      <w:pPr>
        <w:pStyle w:val="Heading3"/>
        <w:rPr>
          <w:rStyle w:val="Emphasis"/>
          <w:sz w:val="28"/>
          <w:szCs w:val="28"/>
          <w:u w:val="single"/>
        </w:rPr>
      </w:pPr>
      <w:r w:rsidRPr="6ABA5AC9" w:rsidR="1C07E919">
        <w:rPr>
          <w:u w:val="single"/>
        </w:rPr>
        <w:t>Sediments and Soils</w:t>
      </w:r>
    </w:p>
    <w:p w:rsidR="2E95610E" w:rsidP="2E95610E" w:rsidRDefault="2E95610E" w14:paraId="07C200D6" w14:textId="1829ABD0">
      <w:pPr>
        <w:pStyle w:val="Normal"/>
      </w:pPr>
      <w:r w:rsidR="14036EF6">
        <w:rPr/>
        <w:t xml:space="preserve"> A sediment is “particulate matter carried by water or wind and deposited on the land surface of seabed</w:t>
      </w:r>
      <w:r w:rsidR="0E8FD35E">
        <w:rPr/>
        <w:t>,”</w:t>
      </w:r>
      <w:r w:rsidRPr="4236E724">
        <w:rPr>
          <w:rStyle w:val="FootnoteReference"/>
        </w:rPr>
        <w:footnoteReference w:id="12571"/>
      </w:r>
      <w:r w:rsidR="14036EF6">
        <w:rPr/>
        <w:t xml:space="preserve"> </w:t>
      </w:r>
      <w:r w:rsidR="14036EF6">
        <w:rPr/>
        <w:t xml:space="preserve">whereas</w:t>
      </w:r>
      <w:r w:rsidR="14036EF6">
        <w:rPr/>
        <w:t xml:space="preserve"> a soil is </w:t>
      </w:r>
      <w:r w:rsidR="45172E5A">
        <w:rPr/>
        <w:t>“the upper layer of earth in which plants grow</w:t>
      </w:r>
      <w:r w:rsidR="45172E5A">
        <w:rPr/>
        <w:t>.”</w:t>
      </w:r>
      <w:r w:rsidRPr="4236E724">
        <w:rPr>
          <w:rStyle w:val="FootnoteReference"/>
        </w:rPr>
        <w:footnoteReference w:id="2538"/>
      </w:r>
      <w:r w:rsidR="46CE222B">
        <w:rPr/>
        <w:t xml:space="preserve"> Sediments are layers of particulate that have been moved into an area by some means, </w:t>
      </w:r>
      <w:r w:rsidR="46CE222B">
        <w:rPr/>
        <w:t>whereas</w:t>
      </w:r>
      <w:r w:rsidR="46CE222B">
        <w:rPr/>
        <w:t xml:space="preserve"> soil forms upon those sediments.</w:t>
      </w:r>
    </w:p>
    <w:p w:rsidR="2E95610E" w:rsidP="2E95610E" w:rsidRDefault="2E95610E" w14:paraId="0236CD3B" w14:textId="4C77F2EE">
      <w:pPr>
        <w:pStyle w:val="Normal"/>
      </w:pPr>
      <w:r w:rsidR="666FAF5A">
        <w:rPr/>
        <w:t xml:space="preserve"> </w:t>
      </w:r>
      <w:r w:rsidR="1B2DDA77">
        <w:rPr/>
        <w:t xml:space="preserve">We practised </w:t>
      </w:r>
      <w:r w:rsidR="1B2DDA77">
        <w:rPr/>
        <w:t>observing</w:t>
      </w:r>
      <w:r w:rsidR="1B2DDA77">
        <w:rPr/>
        <w:t xml:space="preserve"> and describing </w:t>
      </w:r>
      <w:bookmarkStart w:name="_Int_bgMaaxWH" w:id="151213396"/>
      <w:r w:rsidR="1B2DDA77">
        <w:rPr/>
        <w:t>different types</w:t>
      </w:r>
      <w:bookmarkEnd w:id="151213396"/>
      <w:r w:rsidR="1B2DDA77">
        <w:rPr/>
        <w:t xml:space="preserve"> of sediment from previously collected samples, which helped in solidifying the differences between sediment and soil, as well as being useful for later context sheets. </w:t>
      </w:r>
      <w:r w:rsidR="6AFC95AC">
        <w:drawing>
          <wp:anchor distT="0" distB="0" distL="114300" distR="114300" simplePos="0" relativeHeight="251658240" behindDoc="0" locked="0" layoutInCell="1" allowOverlap="1" wp14:editId="1502B77C" wp14:anchorId="492E8410">
            <wp:simplePos x="0" y="0"/>
            <wp:positionH relativeFrom="column">
              <wp:align>left</wp:align>
            </wp:positionH>
            <wp:positionV relativeFrom="paragraph">
              <wp:posOffset>0</wp:posOffset>
            </wp:positionV>
            <wp:extent cx="1857508" cy="2570032"/>
            <wp:effectExtent l="0" t="0" r="0" b="0"/>
            <wp:wrapSquare wrapText="bothSides"/>
            <wp:docPr id="1794938284" name="" title=""/>
            <wp:cNvGraphicFramePr>
              <a:graphicFrameLocks noChangeAspect="1"/>
            </wp:cNvGraphicFramePr>
            <a:graphic>
              <a:graphicData uri="http://schemas.openxmlformats.org/drawingml/2006/picture">
                <pic:pic>
                  <pic:nvPicPr>
                    <pic:cNvPr id="0" name=""/>
                    <pic:cNvPicPr/>
                  </pic:nvPicPr>
                  <pic:blipFill>
                    <a:blip r:embed="R954460edc71d480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857508" cy="2570032"/>
                    </a:xfrm>
                    <a:prstGeom prst="rect">
                      <a:avLst/>
                    </a:prstGeom>
                  </pic:spPr>
                </pic:pic>
              </a:graphicData>
            </a:graphic>
            <wp14:sizeRelH relativeFrom="page">
              <wp14:pctWidth>0</wp14:pctWidth>
            </wp14:sizeRelH>
            <wp14:sizeRelV relativeFrom="page">
              <wp14:pctHeight>0</wp14:pctHeight>
            </wp14:sizeRelV>
          </wp:anchor>
        </w:drawing>
      </w:r>
    </w:p>
    <w:p w:rsidR="6A52B159" w:rsidP="6ABA5AC9" w:rsidRDefault="6A52B159" w14:paraId="77292116" w14:textId="422F5EEB">
      <w:pPr>
        <w:pStyle w:val="Heading3"/>
        <w:rPr>
          <w:u w:val="single"/>
        </w:rPr>
      </w:pPr>
      <w:r w:rsidRPr="6ABA5AC9" w:rsidR="6A52B159">
        <w:rPr>
          <w:u w:val="single"/>
        </w:rPr>
        <w:t>Trench 13</w:t>
      </w:r>
    </w:p>
    <w:p w:rsidR="79C570DE" w:rsidP="2E95610E" w:rsidRDefault="79C570DE" w14:paraId="6DE5F1A3" w14:textId="51BFECBD">
      <w:pPr>
        <w:pStyle w:val="Normal"/>
      </w:pPr>
      <w:r w:rsidR="6333F259">
        <w:rPr/>
        <w:t>Trench 13</w:t>
      </w:r>
      <w:r w:rsidR="7EBE7319">
        <w:rPr/>
        <w:t xml:space="preserve">, a </w:t>
      </w:r>
      <w:r w:rsidR="0AF78AE1">
        <w:rPr/>
        <w:t>2m</w:t>
      </w:r>
      <w:r w:rsidR="7EBE7319">
        <w:rPr/>
        <w:t xml:space="preserve"> </w:t>
      </w:r>
      <w:r w:rsidR="7EBE7319">
        <w:rPr/>
        <w:t xml:space="preserve">by </w:t>
      </w:r>
      <w:r w:rsidR="5FA29DDF">
        <w:rPr/>
        <w:t>5m</w:t>
      </w:r>
      <w:r w:rsidR="7EBE7319">
        <w:rPr/>
        <w:t xml:space="preserve"> trench,</w:t>
      </w:r>
      <w:r w:rsidR="6333F259">
        <w:rPr/>
        <w:t xml:space="preserve"> </w:t>
      </w:r>
      <w:r w:rsidR="6333F259">
        <w:rPr/>
        <w:t xml:space="preserve">was </w:t>
      </w:r>
      <w:r w:rsidR="6333F259">
        <w:rPr/>
        <w:t>put in</w:t>
      </w:r>
      <w:r w:rsidR="6333F259">
        <w:rPr/>
        <w:t xml:space="preserve"> perpendicular to Trench 10, but off the mound</w:t>
      </w:r>
      <w:r w:rsidR="5F824B15">
        <w:rPr/>
        <w:t>, facing North.</w:t>
      </w:r>
      <w:r w:rsidR="6333F259">
        <w:rPr/>
        <w:t xml:space="preserve"> </w:t>
      </w:r>
      <w:r w:rsidR="6333F259">
        <w:rPr/>
        <w:t xml:space="preserve">The </w:t>
      </w:r>
      <w:r w:rsidR="72EBE699">
        <w:rPr/>
        <w:t>area was chosen due to the variety in vegetation, with a dry grassy area surrounded by a wet, reedy area</w:t>
      </w:r>
      <w:r w:rsidR="324831E3">
        <w:rPr/>
        <w:t xml:space="preserve">, </w:t>
      </w:r>
      <w:r w:rsidR="324831E3">
        <w:rPr/>
        <w:t>indicating</w:t>
      </w:r>
      <w:r w:rsidR="324831E3">
        <w:rPr/>
        <w:t xml:space="preserve"> that it may have been an island in the Neolithic period</w:t>
      </w:r>
      <w:r w:rsidR="324831E3">
        <w:rPr/>
        <w:t xml:space="preserve">. </w:t>
      </w:r>
      <w:r w:rsidR="0FC936EA">
        <w:rPr/>
        <w:t xml:space="preserve">The edges of the trench were marked out using the Pythagorean theorem, using the knowledge that 3^2 plus 4^2 </w:t>
      </w:r>
      <w:r w:rsidR="619C68D5">
        <w:rPr/>
        <w:t xml:space="preserve">is 5^2. </w:t>
      </w:r>
      <w:r w:rsidR="3B711B08">
        <w:rPr/>
        <w:t xml:space="preserve">A measuring tape is drawn out to </w:t>
      </w:r>
      <w:r w:rsidR="436F95A7">
        <w:rPr/>
        <w:t>5m</w:t>
      </w:r>
      <w:r w:rsidR="3B711B08">
        <w:rPr/>
        <w:t xml:space="preserve">, and a nail put in at the </w:t>
      </w:r>
      <w:r w:rsidR="04E1BB9D">
        <w:rPr/>
        <w:t>3m</w:t>
      </w:r>
      <w:r w:rsidR="3B711B08">
        <w:rPr/>
        <w:t xml:space="preserve"> mark. At this nail, another measuring tape is drawn out to</w:t>
      </w:r>
      <w:r w:rsidR="4A4C9AE4">
        <w:rPr/>
        <w:t xml:space="preserve"> 4m </w:t>
      </w:r>
      <w:r w:rsidR="3B711B08">
        <w:rPr/>
        <w:t xml:space="preserve">perpendicular to the </w:t>
      </w:r>
      <w:r w:rsidR="3195E308">
        <w:rPr/>
        <w:t>5m</w:t>
      </w:r>
      <w:r w:rsidR="3B711B08">
        <w:rPr/>
        <w:t xml:space="preserve"> measuring tape. </w:t>
      </w:r>
      <w:r w:rsidR="3B711B08">
        <w:rPr/>
        <w:t>When these tapes are at a right angle to each othe</w:t>
      </w:r>
      <w:r w:rsidR="30D9604D">
        <w:rPr/>
        <w:t>r, the distance between the ends of them will be</w:t>
      </w:r>
      <w:r w:rsidR="50703D9F">
        <w:rPr/>
        <w:t xml:space="preserve"> 5m</w:t>
      </w:r>
      <w:r w:rsidR="58C079F9">
        <w:rPr/>
        <w:t xml:space="preserve"> and can be marked with nails wh</w:t>
      </w:r>
      <w:r w:rsidR="58C079F9">
        <w:rPr/>
        <w:t>en they are.</w:t>
      </w:r>
      <w:r w:rsidR="30D9604D">
        <w:rPr/>
        <w:t xml:space="preserve"> </w:t>
      </w:r>
      <w:r w:rsidR="6DC87BD0">
        <w:rPr/>
        <w:t>This process is repeate</w:t>
      </w:r>
      <w:r w:rsidR="6DC87BD0">
        <w:rPr/>
        <w:t>d for all four edge</w:t>
      </w:r>
      <w:r w:rsidR="6DC87BD0">
        <w:rPr/>
        <w:t>s of the</w:t>
      </w:r>
      <w:r w:rsidR="6DC87BD0">
        <w:rPr/>
        <w:t xml:space="preserve"> trench; however, this will result in </w:t>
      </w:r>
      <w:r w:rsidR="561BB639">
        <w:rPr/>
        <w:t>4m</w:t>
      </w:r>
      <w:r w:rsidR="6DC87BD0">
        <w:rPr/>
        <w:t xml:space="preserve"> by </w:t>
      </w:r>
      <w:r w:rsidR="268468EC">
        <w:rPr/>
        <w:t>5m</w:t>
      </w:r>
      <w:r w:rsidR="6DC87BD0">
        <w:rPr/>
        <w:t xml:space="preserve"> trench, so nails are put in at the </w:t>
      </w:r>
      <w:r w:rsidR="32002168">
        <w:rPr/>
        <w:t>2m</w:t>
      </w:r>
      <w:r w:rsidR="6DC87BD0">
        <w:rPr/>
        <w:t xml:space="preserve"> mark to make the trench the desired </w:t>
      </w:r>
      <w:r w:rsidR="2281DB1C">
        <w:rPr/>
        <w:t>2m</w:t>
      </w:r>
      <w:r w:rsidR="6DC87BD0">
        <w:rPr/>
        <w:t xml:space="preserve"> by </w:t>
      </w:r>
      <w:r w:rsidR="4F779566">
        <w:rPr/>
        <w:t>5m</w:t>
      </w:r>
      <w:r w:rsidR="6DC87BD0">
        <w:rPr/>
        <w:t>.</w:t>
      </w:r>
      <w:r w:rsidR="44AF7526">
        <w:rPr/>
        <w:t xml:space="preserve"> </w:t>
      </w:r>
      <w:r w:rsidR="7BED540C">
        <w:drawing>
          <wp:anchor distT="0" distB="0" distL="114300" distR="114300" simplePos="0" relativeHeight="251658240" behindDoc="0" locked="0" layoutInCell="1" allowOverlap="1" wp14:editId="115256B5" wp14:anchorId="473AC854">
            <wp:simplePos x="0" y="0"/>
            <wp:positionH relativeFrom="column">
              <wp:align>right</wp:align>
            </wp:positionH>
            <wp:positionV relativeFrom="paragraph">
              <wp:posOffset>0</wp:posOffset>
            </wp:positionV>
            <wp:extent cx="2387509" cy="2108201"/>
            <wp:effectExtent l="0" t="0" r="0" b="0"/>
            <wp:wrapSquare wrapText="bothSides"/>
            <wp:docPr id="283039360" name="" title=""/>
            <wp:cNvGraphicFramePr>
              <a:graphicFrameLocks noChangeAspect="1"/>
            </wp:cNvGraphicFramePr>
            <a:graphic>
              <a:graphicData uri="http://schemas.openxmlformats.org/drawingml/2006/picture">
                <pic:pic>
                  <pic:nvPicPr>
                    <pic:cNvPr id="0" name=""/>
                    <pic:cNvPicPr/>
                  </pic:nvPicPr>
                  <pic:blipFill>
                    <a:blip r:embed="R0838d4590bc6414e">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387509" cy="2108201"/>
                    </a:xfrm>
                    <a:prstGeom prst="rect">
                      <a:avLst/>
                    </a:prstGeom>
                  </pic:spPr>
                </pic:pic>
              </a:graphicData>
            </a:graphic>
            <wp14:sizeRelH relativeFrom="page">
              <wp14:pctWidth>0</wp14:pctWidth>
            </wp14:sizeRelH>
            <wp14:sizeRelV relativeFrom="page">
              <wp14:pctHeight>0</wp14:pctHeight>
            </wp14:sizeRelV>
          </wp:anchor>
        </w:drawing>
      </w:r>
    </w:p>
    <w:p w:rsidR="0CA9884A" w:rsidP="7BED540C" w:rsidRDefault="0CA9884A" w14:paraId="64E873C0" w14:textId="5470E151">
      <w:pPr>
        <w:pStyle w:val="Normal"/>
        <w:suppressLineNumbers w:val="0"/>
        <w:bidi w:val="0"/>
        <w:spacing w:before="0" w:beforeAutospacing="off" w:after="160" w:afterAutospacing="off" w:line="279" w:lineRule="auto"/>
        <w:ind/>
      </w:pPr>
      <w:r w:rsidR="377099DD">
        <w:rPr/>
        <w:t xml:space="preserve">The trench </w:t>
      </w:r>
      <w:r w:rsidR="5FB769EA">
        <w:rPr/>
        <w:t xml:space="preserve">was then </w:t>
      </w:r>
      <w:r w:rsidR="5FB769EA">
        <w:rPr/>
        <w:t>deturfed</w:t>
      </w:r>
      <w:r w:rsidR="5FB769EA">
        <w:rPr/>
        <w:t xml:space="preserve"> - with the intention to </w:t>
      </w:r>
      <w:bookmarkStart w:name="_Int_xGf2OtFL" w:id="865891680"/>
      <w:r w:rsidR="5FB769EA">
        <w:rPr/>
        <w:t>returf</w:t>
      </w:r>
      <w:bookmarkEnd w:id="865891680"/>
      <w:r w:rsidR="5FB769EA">
        <w:rPr/>
        <w:t xml:space="preserve"> at the end of the dig</w:t>
      </w:r>
      <w:r w:rsidR="2CFE0AFE">
        <w:rPr/>
        <w:t xml:space="preserve"> – and </w:t>
      </w:r>
      <w:r w:rsidR="4F241496">
        <w:rPr/>
        <w:t xml:space="preserve">a mattock used to remove the first few </w:t>
      </w:r>
      <w:r w:rsidR="44256BBE">
        <w:rPr/>
        <w:t>centimet</w:t>
      </w:r>
      <w:r w:rsidR="5F6608D6">
        <w:rPr/>
        <w:t>er</w:t>
      </w:r>
      <w:r w:rsidR="44256BBE">
        <w:rPr/>
        <w:t>s</w:t>
      </w:r>
      <w:r w:rsidR="4F241496">
        <w:rPr/>
        <w:t xml:space="preserve"> of soil to reach the level at which the finds were expected to be found. </w:t>
      </w:r>
      <w:r w:rsidR="14D2E3E8">
        <w:rPr/>
        <w:t>2cm</w:t>
      </w:r>
      <w:r w:rsidR="4D45CAB3">
        <w:rPr/>
        <w:t xml:space="preserve"> spits were then taken with </w:t>
      </w:r>
      <w:r w:rsidR="57F9A154">
        <w:rPr/>
        <w:t>trowelling</w:t>
      </w:r>
      <w:r w:rsidR="4D45CAB3">
        <w:rPr/>
        <w:t xml:space="preserve"> and the loose sieved to ensure no finds may have accidentally been brought up with the </w:t>
      </w:r>
      <w:r w:rsidR="28B75C7C">
        <w:rPr/>
        <w:t>trowelling</w:t>
      </w:r>
      <w:r w:rsidR="4D45CAB3">
        <w:rPr/>
        <w:t xml:space="preserve">. After a few passes of </w:t>
      </w:r>
      <w:r w:rsidR="6A17650F">
        <w:rPr/>
        <w:t>trowelling</w:t>
      </w:r>
      <w:r w:rsidR="4D45CAB3">
        <w:rPr/>
        <w:t xml:space="preserve">, it became </w:t>
      </w:r>
      <w:r w:rsidR="4D45CAB3">
        <w:rPr/>
        <w:t>evident</w:t>
      </w:r>
      <w:r w:rsidR="4D45CAB3">
        <w:rPr/>
        <w:t xml:space="preserve"> that clay was </w:t>
      </w:r>
      <w:r w:rsidR="5F1C7EA1">
        <w:rPr/>
        <w:t>becoming more visible at the north side, which we</w:t>
      </w:r>
      <w:r w:rsidR="4B6BC761">
        <w:rPr/>
        <w:t xml:space="preserve"> </w:t>
      </w:r>
      <w:r w:rsidR="5F1C7EA1">
        <w:rPr/>
        <w:t xml:space="preserve">hypothesised might have been due to the </w:t>
      </w:r>
      <w:r w:rsidR="1FB671EC">
        <w:rPr/>
        <w:t xml:space="preserve">small the mound </w:t>
      </w:r>
      <w:r w:rsidR="61AAF080">
        <w:rPr/>
        <w:t xml:space="preserve">in the area we were digging. </w:t>
      </w:r>
      <w:r w:rsidR="2C04A132">
        <w:rPr/>
        <w:t xml:space="preserve">As the clay became more revealed with further trowelling, it began to show signs of bioturbation, </w:t>
      </w:r>
      <w:r w:rsidR="0D93BAD2">
        <w:rPr/>
        <w:t>in which the sedimentary layer is disturbed by organisms</w:t>
      </w:r>
      <w:r w:rsidRPr="2E95610E">
        <w:rPr>
          <w:rStyle w:val="FootnoteReference"/>
        </w:rPr>
        <w:footnoteReference w:id="10158"/>
      </w:r>
      <w:r w:rsidR="0D93BAD2">
        <w:rPr/>
        <w:t xml:space="preserve">, with the lack of visible footprints </w:t>
      </w:r>
      <w:r w:rsidR="0D93BAD2">
        <w:rPr/>
        <w:t>indicating</w:t>
      </w:r>
      <w:r w:rsidR="0D93BAD2">
        <w:rPr/>
        <w:t xml:space="preserve"> that it was </w:t>
      </w:r>
      <w:bookmarkStart w:name="_Int_Ht0yhR5S" w:id="1272578868"/>
      <w:r w:rsidR="0D93BAD2">
        <w:rPr/>
        <w:t>likely due</w:t>
      </w:r>
      <w:bookmarkEnd w:id="1272578868"/>
      <w:r w:rsidR="0D93BAD2">
        <w:rPr/>
        <w:t xml:space="preserve"> to roots or burrowing</w:t>
      </w:r>
      <w:r w:rsidR="0D93BAD2">
        <w:rPr/>
        <w:t>.</w:t>
      </w:r>
      <w:r w:rsidR="52EC01F0">
        <w:rPr/>
        <w:t xml:space="preserve"> </w:t>
      </w:r>
    </w:p>
    <w:p w:rsidR="10E4FC49" w:rsidP="2E95610E" w:rsidRDefault="10E4FC49" w14:paraId="20EEFD64" w14:textId="268593FF">
      <w:pPr>
        <w:pStyle w:val="Normal"/>
      </w:pPr>
      <w:r w:rsidR="10E4FC49">
        <w:rPr/>
        <w:t xml:space="preserve">One flint was found in this trench, with a rounded edge and flat edge, </w:t>
      </w:r>
      <w:r w:rsidR="47A7BD13">
        <w:rPr/>
        <w:t xml:space="preserve">which suggested it could be the end of a pebble that has flaked off in the knapping process. A trench plan was </w:t>
      </w:r>
      <w:r w:rsidR="47A7BD13">
        <w:rPr/>
        <w:t>required</w:t>
      </w:r>
      <w:r w:rsidR="47A7BD13">
        <w:rPr/>
        <w:t xml:space="preserve"> for the trench </w:t>
      </w:r>
      <w:r w:rsidR="0DAA8225">
        <w:rPr/>
        <w:t>to</w:t>
      </w:r>
      <w:r w:rsidR="47A7BD13">
        <w:rPr/>
        <w:t xml:space="preserve"> mark where the flint had been found </w:t>
      </w:r>
      <w:r w:rsidR="536A0D26">
        <w:rPr/>
        <w:t>in relation to the southwestern corner of the trench,</w:t>
      </w:r>
      <w:r w:rsidR="476A94D5">
        <w:rPr/>
        <w:t xml:space="preserve"> </w:t>
      </w:r>
      <w:r w:rsidR="536A0D26">
        <w:rPr/>
        <w:t xml:space="preserve">its depth </w:t>
      </w:r>
      <w:r w:rsidR="536A0D26">
        <w:rPr/>
        <w:t>relative</w:t>
      </w:r>
      <w:r w:rsidR="536A0D26">
        <w:rPr/>
        <w:t xml:space="preserve"> to the control point</w:t>
      </w:r>
      <w:r w:rsidR="1BB058DC">
        <w:rPr/>
        <w:t xml:space="preserve">, and its small finds number of SF69. </w:t>
      </w:r>
    </w:p>
    <w:p w:rsidR="2F2EEAA3" w:rsidP="2E95610E" w:rsidRDefault="2F2EEAA3" w14:paraId="107B508C" w14:textId="3AD418D2">
      <w:pPr>
        <w:pStyle w:val="Normal"/>
      </w:pPr>
      <w:r w:rsidR="0C1CFBEC">
        <w:rPr/>
        <w:t xml:space="preserve">The group cleared Trench 13 to the clay layer, and one member stayed to put in a test pit which would aid in understanding the landscape of the area. </w:t>
      </w:r>
      <w:r w:rsidR="0F003108">
        <w:rPr/>
        <w:t xml:space="preserve">Two </w:t>
      </w:r>
      <w:r w:rsidR="0F003108">
        <w:rPr/>
        <w:t>additional</w:t>
      </w:r>
      <w:r w:rsidR="0F003108">
        <w:rPr/>
        <w:t xml:space="preserve"> organic layers were found beneath the first clay layer, alternating with a second clay layer and a gravel layer. Samples of the organic layer were taken to date them. It is possible that the first clay layer is not the same layer </w:t>
      </w:r>
      <w:r w:rsidR="387E7A34">
        <w:rPr/>
        <w:t xml:space="preserve">where finds have been found in other trenches, and that the trench must be dug deeper </w:t>
      </w:r>
      <w:r w:rsidR="2D0DA914">
        <w:rPr/>
        <w:t>to</w:t>
      </w:r>
      <w:r w:rsidR="387E7A34">
        <w:rPr/>
        <w:t xml:space="preserve"> reach the layer that would have been present during the desired period.</w:t>
      </w:r>
      <w:r w:rsidR="4CF4C55B">
        <w:rPr/>
        <w:t xml:space="preserve"> </w:t>
      </w:r>
      <w:r w:rsidR="20DBD1ED">
        <w:drawing>
          <wp:anchor distT="0" distB="0" distL="114300" distR="114300" simplePos="0" relativeHeight="251658240" behindDoc="0" locked="0" layoutInCell="1" allowOverlap="1" wp14:editId="7128FB6F" wp14:anchorId="55B21E14">
            <wp:simplePos x="0" y="0"/>
            <wp:positionH relativeFrom="column">
              <wp:align>left</wp:align>
            </wp:positionH>
            <wp:positionV relativeFrom="paragraph">
              <wp:posOffset>0</wp:posOffset>
            </wp:positionV>
            <wp:extent cx="1636014" cy="2135716"/>
            <wp:effectExtent l="0" t="0" r="0" b="0"/>
            <wp:wrapSquare wrapText="bothSides"/>
            <wp:docPr id="551277037" name="" title=""/>
            <wp:cNvGraphicFramePr>
              <a:graphicFrameLocks noChangeAspect="1"/>
            </wp:cNvGraphicFramePr>
            <a:graphic>
              <a:graphicData uri="http://schemas.openxmlformats.org/drawingml/2006/picture">
                <pic:pic>
                  <pic:nvPicPr>
                    <pic:cNvPr id="0" name=""/>
                    <pic:cNvPicPr/>
                  </pic:nvPicPr>
                  <pic:blipFill>
                    <a:blip r:embed="Ra1998b614171499b">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636014" cy="2135716"/>
                    </a:xfrm>
                    <a:prstGeom prst="rect">
                      <a:avLst/>
                    </a:prstGeom>
                  </pic:spPr>
                </pic:pic>
              </a:graphicData>
            </a:graphic>
            <wp14:sizeRelH relativeFrom="page">
              <wp14:pctWidth>0</wp14:pctWidth>
            </wp14:sizeRelH>
            <wp14:sizeRelV relativeFrom="page">
              <wp14:pctHeight>0</wp14:pctHeight>
            </wp14:sizeRelV>
          </wp:anchor>
        </w:drawing>
      </w:r>
    </w:p>
    <w:p w:rsidR="6A6BBEBF" w:rsidP="6ABA5AC9" w:rsidRDefault="6A6BBEBF" w14:paraId="47E06D50" w14:textId="6083C75F">
      <w:pPr>
        <w:pStyle w:val="Heading3"/>
        <w:rPr>
          <w:u w:val="single"/>
        </w:rPr>
      </w:pPr>
      <w:r w:rsidRPr="6ABA5AC9" w:rsidR="6A6BBEBF">
        <w:rPr>
          <w:u w:val="single"/>
        </w:rPr>
        <w:t>Trench 16</w:t>
      </w:r>
    </w:p>
    <w:p w:rsidR="6A6BBEBF" w:rsidP="2E95610E" w:rsidRDefault="6A6BBEBF" w14:paraId="504B49AF" w14:textId="3FB685DC">
      <w:pPr>
        <w:pStyle w:val="Normal"/>
      </w:pPr>
      <w:r w:rsidR="6A6BBEBF">
        <w:rPr/>
        <w:t>Trench 16</w:t>
      </w:r>
      <w:r w:rsidR="08164FAE">
        <w:rPr/>
        <w:t>, a</w:t>
      </w:r>
      <w:r w:rsidR="02BCD1C0">
        <w:rPr/>
        <w:t xml:space="preserve"> 2m </w:t>
      </w:r>
      <w:r w:rsidR="08164FAE">
        <w:rPr/>
        <w:t xml:space="preserve">by </w:t>
      </w:r>
      <w:r w:rsidR="2E325920">
        <w:rPr/>
        <w:t>6m</w:t>
      </w:r>
      <w:r w:rsidR="08164FAE">
        <w:rPr/>
        <w:t xml:space="preserve"> trench,</w:t>
      </w:r>
      <w:r w:rsidR="6A6BBEBF">
        <w:rPr/>
        <w:t xml:space="preserve"> was opened on Mound 2, perpendicular to Trench 10S, at the southern end of the mound. This meant all four directions of the mound had been dug, with the northern and eastern trenches being dug in </w:t>
      </w:r>
      <w:r w:rsidR="173734EF">
        <w:rPr/>
        <w:t xml:space="preserve">prior years. </w:t>
      </w:r>
      <w:r w:rsidR="07FAF3E0">
        <w:rPr/>
        <w:t xml:space="preserve">The Pythagorean theorem was used in the same way to ensure right angles and perpendicular edges to the trench. </w:t>
      </w:r>
      <w:r w:rsidR="29D13F7D">
        <w:rPr/>
        <w:t xml:space="preserve">The same process was followed, with the trench being </w:t>
      </w:r>
      <w:r w:rsidR="29D13F7D">
        <w:rPr/>
        <w:t>deturfed</w:t>
      </w:r>
      <w:r w:rsidR="29D13F7D">
        <w:rPr/>
        <w:t xml:space="preserve"> and then </w:t>
      </w:r>
      <w:r w:rsidR="29D13F7D">
        <w:rPr/>
        <w:t>mattocked</w:t>
      </w:r>
      <w:r w:rsidR="29D13F7D">
        <w:rPr/>
        <w:t xml:space="preserve"> to remove the first few </w:t>
      </w:r>
      <w:r w:rsidR="29D13F7D">
        <w:rPr/>
        <w:t>centimet</w:t>
      </w:r>
      <w:r w:rsidR="37D39CA3">
        <w:rPr/>
        <w:t>er</w:t>
      </w:r>
      <w:r w:rsidR="29D13F7D">
        <w:rPr/>
        <w:t>s</w:t>
      </w:r>
      <w:r w:rsidR="29D13F7D">
        <w:rPr/>
        <w:t xml:space="preserve"> of topsoil before trowelling began</w:t>
      </w:r>
      <w:r w:rsidR="331ED888">
        <w:rPr/>
        <w:t xml:space="preserve">, with the trowelled loose being sieved. </w:t>
      </w:r>
    </w:p>
    <w:p w:rsidR="611B02C2" w:rsidP="2E95610E" w:rsidRDefault="611B02C2" w14:paraId="3C3DB803" w14:textId="37E3E072">
      <w:pPr>
        <w:pStyle w:val="Normal"/>
      </w:pPr>
      <w:r w:rsidR="3CEDF6D2">
        <w:rPr/>
        <w:t xml:space="preserve">Two flints were found in this trench, the first discovered by sieving, and the second (that I!) found in context within the trench. </w:t>
      </w:r>
      <w:r w:rsidR="38734004">
        <w:rPr/>
        <w:t xml:space="preserve">Both appear to be flint flakes, with the first having a rounded edge to it and the second being an uneven shape. </w:t>
      </w:r>
      <w:r w:rsidR="1865C4F2">
        <w:rPr/>
        <w:t xml:space="preserve">SF112 and SF114 were both amber, broken flakes from the context 16001. </w:t>
      </w:r>
    </w:p>
    <w:p w:rsidR="0D455726" w:rsidP="2E95610E" w:rsidRDefault="0D455726" w14:paraId="67FAD619" w14:textId="331E0145">
      <w:pPr>
        <w:pStyle w:val="Normal"/>
      </w:pPr>
      <w:r w:rsidR="67BEFB75">
        <w:rPr/>
        <w:t>Trowelling was stopped due to rain causing the soil to stick to the bottom of our wellies, which may have interfered with the archaeology.</w:t>
      </w:r>
      <w:r w:rsidR="67BEFB75">
        <w:rPr/>
        <w:t xml:space="preserve"> </w:t>
      </w:r>
      <w:r w:rsidR="2D07DB04">
        <w:rPr/>
        <w:t xml:space="preserve">The clay layer was not reached before the decision was made to backfill the trench, so a tarp was placed down on the bottom before it was filled with the intention for it to be reopened next year. </w:t>
      </w:r>
    </w:p>
    <w:p w:rsidR="7BED540C" w:rsidP="7BED540C" w:rsidRDefault="7BED540C" w14:paraId="575552B8" w14:textId="577AB28C">
      <w:pPr>
        <w:pStyle w:val="Normal"/>
      </w:pPr>
      <w:r w:rsidR="29EB7C5F">
        <w:drawing>
          <wp:inline wp14:editId="72BCD3F3" wp14:anchorId="513718B3">
            <wp:extent cx="1901049" cy="2167467"/>
            <wp:effectExtent l="0" t="0" r="0" b="0"/>
            <wp:docPr id="727150520" name="" title=""/>
            <wp:cNvGraphicFramePr>
              <a:graphicFrameLocks noChangeAspect="1"/>
            </wp:cNvGraphicFramePr>
            <a:graphic>
              <a:graphicData uri="http://schemas.openxmlformats.org/drawingml/2006/picture">
                <pic:pic>
                  <pic:nvPicPr>
                    <pic:cNvPr id="0" name=""/>
                    <pic:cNvPicPr/>
                  </pic:nvPicPr>
                  <pic:blipFill>
                    <a:blip r:embed="R84daea00eb6e4267">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901049" cy="2167467"/>
                    </a:xfrm>
                    <a:prstGeom prst="rect">
                      <a:avLst/>
                    </a:prstGeom>
                  </pic:spPr>
                </pic:pic>
              </a:graphicData>
            </a:graphic>
          </wp:inline>
        </w:drawing>
      </w:r>
    </w:p>
    <w:p w:rsidR="7BED540C" w:rsidP="7BED540C" w:rsidRDefault="7BED540C" w14:paraId="3B4D6743" w14:textId="4266746B">
      <w:pPr>
        <w:pStyle w:val="Normal"/>
        <w:rPr>
          <w:color w:val="0F4761" w:themeColor="accent1" w:themeTint="FF" w:themeShade="BF"/>
          <w:sz w:val="28"/>
          <w:szCs w:val="28"/>
          <w:u w:val="single"/>
        </w:rPr>
      </w:pPr>
    </w:p>
    <w:p w:rsidR="7BED540C" w:rsidP="26FBFCE6" w:rsidRDefault="7BED540C" w14:paraId="4A9D88C2" w14:textId="0B58D821">
      <w:pPr>
        <w:pStyle w:val="Heading2"/>
      </w:pPr>
      <w:r w:rsidR="6B929555">
        <w:rPr/>
        <w:t>Conclusion</w:t>
      </w:r>
    </w:p>
    <w:p w:rsidR="6B929555" w:rsidP="26FBFCE6" w:rsidRDefault="6B929555" w14:paraId="05B52CF7" w14:textId="3E13C340">
      <w:pPr>
        <w:pStyle w:val="Normal"/>
      </w:pPr>
      <w:r w:rsidR="6B929555">
        <w:rPr/>
        <w:t>Trench 13 yielded little in terms of artefact evidence, with only one piece of flint being found, but is likely to yield context evidence with the analysis of the samples taken from t</w:t>
      </w:r>
      <w:r w:rsidR="0630B1AB">
        <w:rPr/>
        <w:t xml:space="preserve">he trench. Trench 16 had to be closed too early to </w:t>
      </w:r>
      <w:r w:rsidR="0630B1AB">
        <w:rPr/>
        <w:t>determine</w:t>
      </w:r>
      <w:r w:rsidR="0630B1AB">
        <w:rPr/>
        <w:t xml:space="preserve"> how helpful the evidence that may come out of it will be and will </w:t>
      </w:r>
      <w:r w:rsidR="7602260B">
        <w:rPr/>
        <w:t>yield</w:t>
      </w:r>
      <w:r w:rsidR="0630B1AB">
        <w:rPr/>
        <w:t xml:space="preserve"> better results once reopened. </w:t>
      </w:r>
      <w:r w:rsidR="4B77DC9A">
        <w:rPr/>
        <w:t xml:space="preserve">Overall, I found the experience to be a fun one and it has </w:t>
      </w:r>
      <w:bookmarkStart w:name="_Int_oHQ55IY6" w:id="1011442416"/>
      <w:r w:rsidR="4B77DC9A">
        <w:rPr/>
        <w:t>definitely solidified</w:t>
      </w:r>
      <w:bookmarkEnd w:id="1011442416"/>
      <w:r w:rsidR="4B77DC9A">
        <w:rPr/>
        <w:t xml:space="preserve"> the fact that I enjoy archaeology, however, in future I am inclined to try to do archaeology </w:t>
      </w:r>
      <w:r w:rsidR="265DF87D">
        <w:rPr/>
        <w:t>some</w:t>
      </w:r>
      <w:r w:rsidR="4B77DC9A">
        <w:rPr/>
        <w:t xml:space="preserve">where </w:t>
      </w:r>
      <w:r w:rsidR="70AA2E7D">
        <w:rPr/>
        <w:t xml:space="preserve">outside of </w:t>
      </w:r>
      <w:r w:rsidR="4B77DC9A">
        <w:rPr/>
        <w:t>Wales</w:t>
      </w:r>
      <w:r w:rsidR="4E3D4E89">
        <w:rPr/>
        <w:t xml:space="preserve"> as I like being warm, dry, and not muddy.</w:t>
      </w:r>
    </w:p>
    <w:p w:rsidR="7BED540C" w:rsidP="7BED540C" w:rsidRDefault="7BED540C" w14:paraId="6A6800A1" w14:textId="28C1A95C">
      <w:pPr>
        <w:pStyle w:val="Normal"/>
        <w:rPr>
          <w:color w:val="0F4761" w:themeColor="accent1" w:themeTint="FF" w:themeShade="BF"/>
          <w:sz w:val="28"/>
          <w:szCs w:val="28"/>
          <w:u w:val="single"/>
        </w:rPr>
      </w:pPr>
    </w:p>
    <w:p w:rsidR="7BED540C" w:rsidP="7BED540C" w:rsidRDefault="7BED540C" w14:paraId="0D69FA63" w14:textId="0E6C51CB">
      <w:pPr>
        <w:pStyle w:val="Normal"/>
        <w:rPr>
          <w:color w:val="0F4761" w:themeColor="accent1" w:themeTint="FF" w:themeShade="BF"/>
          <w:sz w:val="28"/>
          <w:szCs w:val="28"/>
          <w:u w:val="single"/>
        </w:rPr>
      </w:pPr>
    </w:p>
    <w:p w:rsidR="7BED540C" w:rsidP="7BED540C" w:rsidRDefault="7BED540C" w14:paraId="34F28782" w14:textId="42F0E71A">
      <w:pPr>
        <w:pStyle w:val="Normal"/>
        <w:rPr>
          <w:color w:val="0F4761" w:themeColor="accent1" w:themeTint="FF" w:themeShade="BF"/>
          <w:sz w:val="28"/>
          <w:szCs w:val="28"/>
          <w:u w:val="single"/>
        </w:rPr>
      </w:pPr>
    </w:p>
    <w:p w:rsidR="70B18A38" w:rsidP="515A441A" w:rsidRDefault="70B18A38" w14:paraId="1925F20E" w14:textId="1220DE09">
      <w:pPr>
        <w:pStyle w:val="Normal"/>
        <w:rPr>
          <w:color w:val="0F4761" w:themeColor="accent1" w:themeTint="FF" w:themeShade="BF"/>
          <w:sz w:val="28"/>
          <w:szCs w:val="28"/>
          <w:u w:val="single"/>
        </w:rPr>
      </w:pPr>
      <w:r w:rsidRPr="26FBFCE6" w:rsidR="54237586">
        <w:rPr>
          <w:color w:val="0F4761" w:themeColor="accent1" w:themeTint="FF" w:themeShade="BF"/>
          <w:sz w:val="28"/>
          <w:szCs w:val="28"/>
          <w:u w:val="single"/>
        </w:rPr>
        <w:t>B</w:t>
      </w:r>
      <w:r w:rsidRPr="26FBFCE6" w:rsidR="5D839786">
        <w:rPr>
          <w:color w:val="0F4761" w:themeColor="accent1" w:themeTint="FF" w:themeShade="BF"/>
          <w:sz w:val="28"/>
          <w:szCs w:val="28"/>
          <w:u w:val="single"/>
        </w:rPr>
        <w:t>ibliography</w:t>
      </w:r>
    </w:p>
    <w:p w:rsidR="19F37C00" w:rsidP="021D0F1A" w:rsidRDefault="19F37C00" w14:paraId="32D3C184" w14:textId="6E49F2DA">
      <w:pPr>
        <w:pStyle w:val="Normal"/>
        <w:rPr>
          <w:color w:val="auto"/>
          <w:sz w:val="24"/>
          <w:szCs w:val="24"/>
          <w:u w:val="none"/>
        </w:rPr>
      </w:pPr>
      <w:r w:rsidRPr="021D0F1A" w:rsidR="19F37C00">
        <w:rPr>
          <w:color w:val="auto"/>
          <w:sz w:val="24"/>
          <w:szCs w:val="24"/>
          <w:u w:val="none"/>
        </w:rPr>
        <w:t>Bates, M. (2024, April</w:t>
      </w:r>
      <w:r w:rsidRPr="021D0F1A" w:rsidR="30CC31E1">
        <w:rPr>
          <w:color w:val="auto"/>
          <w:sz w:val="24"/>
          <w:szCs w:val="24"/>
          <w:u w:val="none"/>
        </w:rPr>
        <w:t xml:space="preserve"> 9</w:t>
      </w:r>
      <w:r w:rsidRPr="021D0F1A" w:rsidR="30CC31E1">
        <w:rPr>
          <w:color w:val="auto"/>
          <w:sz w:val="24"/>
          <w:szCs w:val="24"/>
          <w:u w:val="none"/>
          <w:vertAlign w:val="superscript"/>
        </w:rPr>
        <w:t>th</w:t>
      </w:r>
      <w:r w:rsidRPr="021D0F1A" w:rsidR="30CC31E1">
        <w:rPr>
          <w:color w:val="auto"/>
          <w:sz w:val="24"/>
          <w:szCs w:val="24"/>
          <w:u w:val="none"/>
        </w:rPr>
        <w:t xml:space="preserve">). </w:t>
      </w:r>
      <w:r w:rsidRPr="021D0F1A" w:rsidR="30CC31E1">
        <w:rPr>
          <w:i w:val="1"/>
          <w:iCs w:val="1"/>
          <w:color w:val="auto"/>
          <w:sz w:val="24"/>
          <w:szCs w:val="24"/>
          <w:u w:val="none"/>
        </w:rPr>
        <w:t xml:space="preserve">FIELDWORK AND EXCAVATION intro to project 2022 </w:t>
      </w:r>
      <w:r w:rsidRPr="021D0F1A" w:rsidR="30CC31E1">
        <w:rPr>
          <w:i w:val="0"/>
          <w:iCs w:val="0"/>
          <w:color w:val="auto"/>
          <w:sz w:val="24"/>
          <w:szCs w:val="24"/>
          <w:u w:val="none"/>
        </w:rPr>
        <w:t>[PowerPoint Slides].</w:t>
      </w:r>
    </w:p>
    <w:p w:rsidR="4F2F2901" w:rsidP="7BED540C" w:rsidRDefault="4F2F2901" w14:paraId="56044AA3" w14:textId="06C0E6D0">
      <w:pPr>
        <w:pStyle w:val="Normal"/>
        <w:spacing w:before="0" w:beforeAutospacing="off" w:after="0" w:afterAutospacing="off" w:line="480" w:lineRule="auto"/>
        <w:ind/>
        <w:rPr>
          <w:rFonts w:ascii="Aptos" w:hAnsi="Aptos" w:eastAsia="Aptos" w:cs="Aptos" w:asciiTheme="minorAscii" w:hAnsiTheme="minorAscii" w:eastAsiaTheme="minorAscii" w:cstheme="minorAscii"/>
          <w:noProof w:val="0"/>
          <w:sz w:val="24"/>
          <w:szCs w:val="24"/>
          <w:lang w:val="en-GB"/>
        </w:rPr>
      </w:pPr>
      <w:r w:rsidRPr="5114BD29" w:rsidR="2F11E090">
        <w:rPr>
          <w:color w:val="auto"/>
          <w:sz w:val="24"/>
          <w:szCs w:val="24"/>
          <w:u w:val="none"/>
        </w:rPr>
        <w:t>Google. (</w:t>
      </w:r>
      <w:r w:rsidRPr="5114BD29" w:rsidR="2F11E090">
        <w:rPr>
          <w:color w:val="auto"/>
          <w:sz w:val="24"/>
          <w:szCs w:val="24"/>
          <w:u w:val="none"/>
        </w:rPr>
        <w:t>n.d</w:t>
      </w:r>
      <w:r w:rsidRPr="5114BD29" w:rsidR="2F11E090">
        <w:rPr>
          <w:color w:val="auto"/>
          <w:sz w:val="24"/>
          <w:szCs w:val="24"/>
          <w:u w:val="none"/>
        </w:rPr>
        <w:t>). [</w:t>
      </w:r>
      <w:r w:rsidRPr="5114BD29" w:rsidR="2F11E090">
        <w:rPr>
          <w:color w:val="auto"/>
          <w:sz w:val="24"/>
          <w:szCs w:val="24"/>
          <w:u w:val="none"/>
        </w:rPr>
        <w:t>Llanllyr</w:t>
      </w:r>
      <w:r w:rsidRPr="5114BD29" w:rsidR="2F11E090">
        <w:rPr>
          <w:color w:val="auto"/>
          <w:sz w:val="24"/>
          <w:szCs w:val="24"/>
          <w:u w:val="none"/>
        </w:rPr>
        <w:t xml:space="preserve"> </w:t>
      </w:r>
      <w:r w:rsidRPr="5114BD29" w:rsidR="2F11E090">
        <w:rPr>
          <w:color w:val="auto"/>
          <w:sz w:val="24"/>
          <w:szCs w:val="24"/>
          <w:u w:val="none"/>
        </w:rPr>
        <w:t>S</w:t>
      </w:r>
      <w:r w:rsidRPr="5114BD29" w:rsidR="3C9F6597">
        <w:rPr>
          <w:color w:val="auto"/>
          <w:sz w:val="24"/>
          <w:szCs w:val="24"/>
          <w:u w:val="none"/>
        </w:rPr>
        <w:t>i</w:t>
      </w:r>
      <w:r w:rsidRPr="5114BD29" w:rsidR="2F11E090">
        <w:rPr>
          <w:color w:val="auto"/>
          <w:sz w:val="24"/>
          <w:szCs w:val="24"/>
          <w:u w:val="none"/>
        </w:rPr>
        <w:t>te</w:t>
      </w:r>
      <w:r w:rsidRPr="5114BD29" w:rsidR="2F11E090">
        <w:rPr>
          <w:color w:val="auto"/>
          <w:sz w:val="24"/>
          <w:szCs w:val="24"/>
          <w:u w:val="none"/>
        </w:rPr>
        <w:t xml:space="preserve">]. Retrieved 5th </w:t>
      </w:r>
      <w:r w:rsidRPr="5114BD29" w:rsidR="454E43F1">
        <w:rPr>
          <w:color w:val="auto"/>
          <w:sz w:val="24"/>
          <w:szCs w:val="24"/>
          <w:u w:val="none"/>
        </w:rPr>
        <w:t>May</w:t>
      </w:r>
      <w:r w:rsidRPr="5114BD29" w:rsidR="2F11E090">
        <w:rPr>
          <w:color w:val="auto"/>
          <w:sz w:val="24"/>
          <w:szCs w:val="24"/>
          <w:u w:val="none"/>
        </w:rPr>
        <w:t xml:space="preserve"> 2024, from </w:t>
      </w:r>
      <w:hyperlink r:id="Re1fc44ca0e654851">
        <w:r w:rsidRPr="5114BD29" w:rsidR="59BCCF5B">
          <w:rPr>
            <w:rStyle w:val="Hyperlink"/>
          </w:rPr>
          <w:t>https://www.google.co.uk/maps/@52.180863,-4.1355367,697m/data=!3m1!1e3?entry=ttu</w:t>
        </w:r>
      </w:hyperlink>
    </w:p>
    <w:p w:rsidR="4F2F2901" w:rsidP="7BED540C" w:rsidRDefault="4F2F2901" w14:paraId="6B200DBA" w14:textId="47489D0B">
      <w:pPr>
        <w:pStyle w:val="Normal"/>
        <w:spacing w:before="0" w:beforeAutospacing="off" w:after="0" w:afterAutospacing="off" w:line="480" w:lineRule="auto"/>
        <w:ind/>
        <w:rPr>
          <w:rFonts w:ascii="Aptos" w:hAnsi="Aptos" w:eastAsia="Aptos" w:cs="Aptos" w:asciiTheme="minorAscii" w:hAnsiTheme="minorAscii" w:eastAsiaTheme="minorAscii" w:cstheme="minorAscii"/>
          <w:noProof w:val="0"/>
          <w:sz w:val="24"/>
          <w:szCs w:val="24"/>
          <w:lang w:val="en-GB"/>
        </w:rPr>
      </w:pPr>
      <w:r w:rsidRPr="26FBFCE6" w:rsidR="59BCCF5B">
        <w:rPr>
          <w:rFonts w:ascii="Aptos" w:hAnsi="Aptos" w:eastAsia="Aptos" w:cs="Aptos" w:asciiTheme="minorAscii" w:hAnsiTheme="minorAscii" w:eastAsiaTheme="minorAscii" w:cstheme="minorAscii"/>
          <w:noProof w:val="0"/>
          <w:sz w:val="24"/>
          <w:szCs w:val="24"/>
          <w:lang w:val="en-GB"/>
        </w:rPr>
        <w:t xml:space="preserve">Greene, K., &amp; Moore, T. (2010). </w:t>
      </w:r>
      <w:bookmarkStart w:name="_Int_cCUGneHI" w:id="620228214"/>
      <w:r w:rsidRPr="26FBFCE6" w:rsidR="59BCCF5B">
        <w:rPr>
          <w:rFonts w:ascii="Aptos" w:hAnsi="Aptos" w:eastAsia="Aptos" w:cs="Aptos" w:asciiTheme="minorAscii" w:hAnsiTheme="minorAscii" w:eastAsiaTheme="minorAscii" w:cstheme="minorAscii"/>
          <w:i w:val="1"/>
          <w:iCs w:val="1"/>
          <w:noProof w:val="0"/>
          <w:sz w:val="24"/>
          <w:szCs w:val="24"/>
          <w:lang w:val="en-GB"/>
        </w:rPr>
        <w:t>Archaeology :</w:t>
      </w:r>
      <w:bookmarkEnd w:id="620228214"/>
      <w:r w:rsidRPr="26FBFCE6" w:rsidR="59BCCF5B">
        <w:rPr>
          <w:rFonts w:ascii="Aptos" w:hAnsi="Aptos" w:eastAsia="Aptos" w:cs="Aptos" w:asciiTheme="minorAscii" w:hAnsiTheme="minorAscii" w:eastAsiaTheme="minorAscii" w:cstheme="minorAscii"/>
          <w:i w:val="1"/>
          <w:iCs w:val="1"/>
          <w:noProof w:val="0"/>
          <w:sz w:val="24"/>
          <w:szCs w:val="24"/>
          <w:lang w:val="en-GB"/>
        </w:rPr>
        <w:t xml:space="preserve"> an introduction</w:t>
      </w:r>
      <w:r w:rsidRPr="26FBFCE6" w:rsidR="59BCCF5B">
        <w:rPr>
          <w:rFonts w:ascii="Aptos" w:hAnsi="Aptos" w:eastAsia="Aptos" w:cs="Aptos" w:asciiTheme="minorAscii" w:hAnsiTheme="minorAscii" w:eastAsiaTheme="minorAscii" w:cstheme="minorAscii"/>
          <w:noProof w:val="0"/>
          <w:sz w:val="24"/>
          <w:szCs w:val="24"/>
          <w:lang w:val="en-GB"/>
        </w:rPr>
        <w:t xml:space="preserve"> (5th ed.). Routledge.</w:t>
      </w:r>
    </w:p>
    <w:p w:rsidR="4F2F2901" w:rsidP="1676387F" w:rsidRDefault="4F2F2901" w14:paraId="18788326" w14:textId="3D467DD1">
      <w:pPr>
        <w:spacing w:before="0" w:beforeAutospacing="off" w:after="0" w:afterAutospacing="off" w:line="480" w:lineRule="auto"/>
        <w:ind w:left="720" w:right="0" w:hanging="720"/>
      </w:pPr>
      <w:r w:rsidRPr="479B2BF9" w:rsidR="4F2F2901">
        <w:rPr>
          <w:rFonts w:ascii="Aptos" w:hAnsi="Aptos" w:eastAsia="Aptos" w:cs="Aptos" w:asciiTheme="minorAscii" w:hAnsiTheme="minorAscii" w:eastAsiaTheme="minorAscii" w:cstheme="minorAscii"/>
          <w:noProof w:val="0"/>
          <w:sz w:val="24"/>
          <w:szCs w:val="24"/>
          <w:lang w:val="en-GB"/>
        </w:rPr>
        <w:t xml:space="preserve">Jurkowska, A., &amp; </w:t>
      </w:r>
      <w:r w:rsidRPr="479B2BF9" w:rsidR="4F2F2901">
        <w:rPr>
          <w:rFonts w:ascii="Aptos" w:hAnsi="Aptos" w:eastAsia="Aptos" w:cs="Aptos" w:asciiTheme="minorAscii" w:hAnsiTheme="minorAscii" w:eastAsiaTheme="minorAscii" w:cstheme="minorAscii"/>
          <w:noProof w:val="0"/>
          <w:sz w:val="24"/>
          <w:szCs w:val="24"/>
          <w:lang w:val="en-GB"/>
        </w:rPr>
        <w:t>Świerczewska-Gładysz</w:t>
      </w:r>
      <w:r w:rsidRPr="479B2BF9" w:rsidR="4F2F2901">
        <w:rPr>
          <w:rFonts w:ascii="Aptos" w:hAnsi="Aptos" w:eastAsia="Aptos" w:cs="Aptos" w:asciiTheme="minorAscii" w:hAnsiTheme="minorAscii" w:eastAsiaTheme="minorAscii" w:cstheme="minorAscii"/>
          <w:noProof w:val="0"/>
          <w:sz w:val="24"/>
          <w:szCs w:val="24"/>
          <w:lang w:val="en-GB"/>
        </w:rPr>
        <w:t xml:space="preserve">, E. (2020). Evolution of Late Cretaceous Si cycling reflected in the formation of siliceous nodules (flints and cherts). </w:t>
      </w:r>
      <w:r w:rsidRPr="479B2BF9" w:rsidR="4F2F2901">
        <w:rPr>
          <w:rFonts w:ascii="Aptos" w:hAnsi="Aptos" w:eastAsia="Aptos" w:cs="Aptos" w:asciiTheme="minorAscii" w:hAnsiTheme="minorAscii" w:eastAsiaTheme="minorAscii" w:cstheme="minorAscii"/>
          <w:i w:val="1"/>
          <w:iCs w:val="1"/>
          <w:noProof w:val="0"/>
          <w:sz w:val="24"/>
          <w:szCs w:val="24"/>
          <w:lang w:val="en-GB"/>
        </w:rPr>
        <w:t>Global and Planetary Change</w:t>
      </w:r>
      <w:r w:rsidRPr="479B2BF9" w:rsidR="4F2F2901">
        <w:rPr>
          <w:rFonts w:ascii="Aptos" w:hAnsi="Aptos" w:eastAsia="Aptos" w:cs="Aptos" w:asciiTheme="minorAscii" w:hAnsiTheme="minorAscii" w:eastAsiaTheme="minorAscii" w:cstheme="minorAscii"/>
          <w:noProof w:val="0"/>
          <w:sz w:val="24"/>
          <w:szCs w:val="24"/>
          <w:lang w:val="en-GB"/>
        </w:rPr>
        <w:t xml:space="preserve">, </w:t>
      </w:r>
      <w:r w:rsidRPr="479B2BF9" w:rsidR="4F2F2901">
        <w:rPr>
          <w:rFonts w:ascii="Aptos" w:hAnsi="Aptos" w:eastAsia="Aptos" w:cs="Aptos" w:asciiTheme="minorAscii" w:hAnsiTheme="minorAscii" w:eastAsiaTheme="minorAscii" w:cstheme="minorAscii"/>
          <w:i w:val="1"/>
          <w:iCs w:val="1"/>
          <w:noProof w:val="0"/>
          <w:sz w:val="24"/>
          <w:szCs w:val="24"/>
          <w:lang w:val="en-GB"/>
        </w:rPr>
        <w:t>195</w:t>
      </w:r>
      <w:r w:rsidRPr="479B2BF9" w:rsidR="4F2F2901">
        <w:rPr>
          <w:rFonts w:ascii="Aptos" w:hAnsi="Aptos" w:eastAsia="Aptos" w:cs="Aptos" w:asciiTheme="minorAscii" w:hAnsiTheme="minorAscii" w:eastAsiaTheme="minorAscii" w:cstheme="minorAscii"/>
          <w:noProof w:val="0"/>
          <w:sz w:val="24"/>
          <w:szCs w:val="24"/>
          <w:lang w:val="en-GB"/>
        </w:rPr>
        <w:t xml:space="preserve">, 103334. </w:t>
      </w:r>
      <w:hyperlink r:id="Re3e511d2b25d4f7e">
        <w:r w:rsidRPr="479B2BF9" w:rsidR="4F2F2901">
          <w:rPr>
            <w:rStyle w:val="Hyperlink"/>
            <w:rFonts w:ascii="Aptos" w:hAnsi="Aptos" w:eastAsia="Aptos" w:cs="Aptos" w:asciiTheme="minorAscii" w:hAnsiTheme="minorAscii" w:eastAsiaTheme="minorAscii" w:cstheme="minorAscii"/>
            <w:noProof w:val="0"/>
            <w:lang w:val="en-GB"/>
          </w:rPr>
          <w:t>https://doi.org/10.1016/j.gloplacha.2020.103334</w:t>
        </w:r>
      </w:hyperlink>
    </w:p>
    <w:p w:rsidR="4F2F2901" w:rsidP="1676387F" w:rsidRDefault="4F2F2901" w14:paraId="6D70EAA3" w14:textId="2917AB27">
      <w:pPr>
        <w:spacing w:before="0" w:beforeAutospacing="off" w:after="0" w:afterAutospacing="off" w:line="480" w:lineRule="auto"/>
        <w:ind w:left="720" w:right="0" w:hanging="720"/>
      </w:pPr>
      <w:r w:rsidRPr="479B2BF9" w:rsidR="4F2F2901">
        <w:rPr>
          <w:rFonts w:ascii="Aptos" w:hAnsi="Aptos" w:eastAsia="Aptos" w:cs="Aptos" w:asciiTheme="minorAscii" w:hAnsiTheme="minorAscii" w:eastAsiaTheme="minorAscii" w:cstheme="minorAscii"/>
          <w:i w:val="1"/>
          <w:iCs w:val="1"/>
          <w:noProof w:val="0"/>
          <w:sz w:val="24"/>
          <w:szCs w:val="24"/>
          <w:lang w:val="en-GB"/>
        </w:rPr>
        <w:t>Quartz</w:t>
      </w:r>
      <w:r w:rsidRPr="479B2BF9" w:rsidR="4F2F2901">
        <w:rPr>
          <w:rFonts w:ascii="Aptos" w:hAnsi="Aptos" w:eastAsia="Aptos" w:cs="Aptos" w:asciiTheme="minorAscii" w:hAnsiTheme="minorAscii" w:eastAsiaTheme="minorAscii" w:cstheme="minorAscii"/>
          <w:noProof w:val="0"/>
          <w:sz w:val="24"/>
          <w:szCs w:val="24"/>
          <w:lang w:val="en-GB"/>
        </w:rPr>
        <w:t xml:space="preserve">. (2013, March 4). Earth Sciences Museum. </w:t>
      </w:r>
      <w:hyperlink r:id="R3abb8c1759554afe">
        <w:r w:rsidRPr="479B2BF9" w:rsidR="4F2F2901">
          <w:rPr>
            <w:rStyle w:val="Hyperlink"/>
            <w:rFonts w:ascii="Aptos" w:hAnsi="Aptos" w:eastAsia="Aptos" w:cs="Aptos" w:asciiTheme="minorAscii" w:hAnsiTheme="minorAscii" w:eastAsiaTheme="minorAscii" w:cstheme="minorAscii"/>
            <w:noProof w:val="0"/>
            <w:lang w:val="en-GB"/>
          </w:rPr>
          <w:t>https://uwaterloo.ca/earth-sciences-museum/resources/detailed-rocks-and-minerals-articles/quartz</w:t>
        </w:r>
      </w:hyperlink>
    </w:p>
    <w:p w:rsidR="4F2F2901" w:rsidP="1676387F" w:rsidRDefault="4F2F2901" w14:paraId="1BCFE560" w14:textId="086C2339">
      <w:pPr>
        <w:spacing w:before="0" w:beforeAutospacing="off" w:after="0" w:afterAutospacing="off" w:line="480" w:lineRule="auto"/>
        <w:ind w:left="720" w:right="0" w:hanging="720"/>
      </w:pPr>
      <w:r w:rsidRPr="479B2BF9" w:rsidR="4F2F2901">
        <w:rPr>
          <w:rFonts w:ascii="Aptos" w:hAnsi="Aptos" w:eastAsia="Aptos" w:cs="Aptos" w:asciiTheme="minorAscii" w:hAnsiTheme="minorAscii" w:eastAsiaTheme="minorAscii" w:cstheme="minorAscii"/>
          <w:noProof w:val="0"/>
          <w:sz w:val="24"/>
          <w:szCs w:val="24"/>
          <w:lang w:val="en-GB"/>
        </w:rPr>
        <w:t xml:space="preserve">Stevenson, A. (2011). </w:t>
      </w:r>
      <w:r w:rsidRPr="479B2BF9" w:rsidR="4F2F2901">
        <w:rPr>
          <w:rFonts w:ascii="Aptos" w:hAnsi="Aptos" w:eastAsia="Aptos" w:cs="Aptos" w:asciiTheme="minorAscii" w:hAnsiTheme="minorAscii" w:eastAsiaTheme="minorAscii" w:cstheme="minorAscii"/>
          <w:i w:val="1"/>
          <w:iCs w:val="1"/>
          <w:noProof w:val="0"/>
          <w:sz w:val="24"/>
          <w:szCs w:val="24"/>
          <w:lang w:val="en-GB"/>
        </w:rPr>
        <w:t>Oxford English dictionary.</w:t>
      </w:r>
      <w:r w:rsidRPr="479B2BF9" w:rsidR="4F2F2901">
        <w:rPr>
          <w:rFonts w:ascii="Aptos" w:hAnsi="Aptos" w:eastAsia="Aptos" w:cs="Aptos" w:asciiTheme="minorAscii" w:hAnsiTheme="minorAscii" w:eastAsiaTheme="minorAscii" w:cstheme="minorAscii"/>
          <w:noProof w:val="0"/>
          <w:sz w:val="24"/>
          <w:szCs w:val="24"/>
          <w:lang w:val="en-GB"/>
        </w:rPr>
        <w:t xml:space="preserve"> Oxford University Press.</w:t>
      </w:r>
    </w:p>
    <w:p w:rsidR="1676387F" w:rsidP="1676387F" w:rsidRDefault="1676387F" w14:paraId="3D22009A" w14:textId="779E4FD7">
      <w:pPr>
        <w:pStyle w:val="Normal"/>
        <w:rPr>
          <w:color w:val="auto"/>
          <w:sz w:val="24"/>
          <w:szCs w:val="24"/>
          <w:u w:val="none"/>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notes.xml><?xml version="1.0" encoding="utf-8"?>
<w:footnotes xmlns:w14="http://schemas.microsoft.com/office/word/2010/wordml" xmlns:w="http://schemas.openxmlformats.org/wordprocessingml/2006/main">
  <w:footnote w:type="separator" w:id="-1">
    <w:p w:rsidR="2E95610E" w:rsidRDefault="2E95610E" w14:paraId="2B2C3B4E" w14:textId="1E28CFD4">
      <w:pPr>
        <w:spacing w:after="0" w:line="240" w:lineRule="auto"/>
      </w:pPr>
      <w:r>
        <w:separator/>
      </w:r>
    </w:p>
  </w:footnote>
  <w:footnote w:type="continuationSeparator" w:id="0">
    <w:p w:rsidR="2E95610E" w:rsidRDefault="2E95610E" w14:paraId="0C5BBFB8" w14:textId="2DC73A2F">
      <w:pPr>
        <w:spacing w:after="0" w:line="240" w:lineRule="auto"/>
      </w:pPr>
      <w:r>
        <w:continuationSeparator/>
      </w:r>
    </w:p>
  </w:footnote>
  <w:footnote w:id="10158">
    <w:p w:rsidR="2E95610E" w:rsidP="2E95610E" w:rsidRDefault="2E95610E" w14:paraId="148BBB8A" w14:textId="2C5E7C7C">
      <w:pPr>
        <w:pStyle w:val="FootnoteText"/>
        <w:bidi w:val="0"/>
        <w:rPr>
          <w:noProof w:val="0"/>
          <w:lang w:val="en-GB"/>
        </w:rPr>
      </w:pPr>
      <w:r w:rsidRPr="2E95610E">
        <w:rPr>
          <w:rStyle w:val="FootnoteReference"/>
        </w:rPr>
        <w:footnoteRef/>
      </w:r>
      <w:r w:rsidRPr="4236E724" w:rsidR="4236E724">
        <w:rPr>
          <w:rFonts w:ascii="Arial" w:hAnsi="Arial" w:eastAsia="Arial" w:cs="Arial"/>
          <w:noProof w:val="0"/>
          <w:sz w:val="24"/>
          <w:szCs w:val="24"/>
          <w:lang w:val="en-GB"/>
        </w:rPr>
        <w:t>(Stevenson, 2011)</w:t>
      </w:r>
    </w:p>
  </w:footnote>
  <w:footnote w:id="23957">
    <w:p w:rsidR="4236E724" w:rsidP="4236E724" w:rsidRDefault="4236E724" w14:paraId="7E248799" w14:textId="18AEC19C">
      <w:pPr>
        <w:pStyle w:val="FootnoteText"/>
        <w:bidi w:val="0"/>
        <w:rPr>
          <w:noProof w:val="0"/>
          <w:lang w:val="en-GB"/>
        </w:rPr>
      </w:pPr>
      <w:r w:rsidRPr="4236E724">
        <w:rPr>
          <w:rStyle w:val="FootnoteReference"/>
        </w:rPr>
        <w:footnoteRef/>
      </w:r>
      <w:r w:rsidR="4236E724">
        <w:rPr/>
        <w:t xml:space="preserve"> </w:t>
      </w:r>
      <w:r w:rsidRPr="4236E724" w:rsidR="4236E724">
        <w:rPr>
          <w:rFonts w:ascii="Arial" w:hAnsi="Arial" w:eastAsia="Arial" w:cs="Arial"/>
          <w:noProof w:val="0"/>
          <w:sz w:val="24"/>
          <w:szCs w:val="24"/>
          <w:lang w:val="en-GB"/>
        </w:rPr>
        <w:t>(Stevenson, 2011)</w:t>
      </w:r>
    </w:p>
  </w:footnote>
  <w:footnote w:id="26592">
    <w:p w:rsidR="4236E724" w:rsidP="4236E724" w:rsidRDefault="4236E724" w14:paraId="130CB71F" w14:textId="13829E78">
      <w:pPr>
        <w:pStyle w:val="FootnoteText"/>
        <w:bidi w:val="0"/>
        <w:rPr>
          <w:noProof w:val="0"/>
          <w:lang w:val="en-GB"/>
        </w:rPr>
      </w:pPr>
      <w:r w:rsidRPr="4236E724">
        <w:rPr>
          <w:rStyle w:val="FootnoteReference"/>
        </w:rPr>
        <w:footnoteRef/>
      </w:r>
      <w:r w:rsidR="4236E724">
        <w:rPr/>
        <w:t xml:space="preserve"> </w:t>
      </w:r>
      <w:r w:rsidRPr="4236E724" w:rsidR="4236E724">
        <w:rPr>
          <w:rFonts w:ascii="Arial" w:hAnsi="Arial" w:eastAsia="Arial" w:cs="Arial"/>
          <w:noProof w:val="0"/>
          <w:sz w:val="24"/>
          <w:szCs w:val="24"/>
          <w:lang w:val="en-GB"/>
        </w:rPr>
        <w:t>(Stevenson, 2011)</w:t>
      </w:r>
    </w:p>
  </w:footnote>
  <w:footnote w:id="26931">
    <w:p w:rsidR="4236E724" w:rsidP="4236E724" w:rsidRDefault="4236E724" w14:paraId="1C5EBBCD" w14:textId="175BF98D">
      <w:pPr>
        <w:pStyle w:val="FootnoteText"/>
        <w:bidi w:val="0"/>
      </w:pPr>
      <w:r w:rsidRPr="4236E724">
        <w:rPr>
          <w:rStyle w:val="FootnoteReference"/>
        </w:rPr>
        <w:footnoteRef/>
      </w:r>
      <w:r w:rsidRPr="1676387F" w:rsidR="1676387F">
        <w:rPr>
          <w:rFonts w:ascii="Arial" w:hAnsi="Arial" w:eastAsia="Arial" w:cs="Arial"/>
          <w:noProof w:val="0"/>
          <w:sz w:val="24"/>
          <w:szCs w:val="24"/>
          <w:lang w:val="en-GB"/>
        </w:rPr>
        <w:t>(</w:t>
      </w:r>
      <w:r w:rsidRPr="1676387F" w:rsidR="1676387F">
        <w:rPr>
          <w:rFonts w:ascii="Arial" w:hAnsi="Arial" w:eastAsia="Arial" w:cs="Arial"/>
          <w:i w:val="1"/>
          <w:iCs w:val="1"/>
          <w:noProof w:val="0"/>
          <w:sz w:val="24"/>
          <w:szCs w:val="24"/>
          <w:lang w:val="en-GB"/>
        </w:rPr>
        <w:t>Quartz</w:t>
      </w:r>
      <w:r w:rsidRPr="1676387F" w:rsidR="1676387F">
        <w:rPr>
          <w:rFonts w:ascii="Arial" w:hAnsi="Arial" w:eastAsia="Arial" w:cs="Arial"/>
          <w:noProof w:val="0"/>
          <w:sz w:val="24"/>
          <w:szCs w:val="24"/>
          <w:lang w:val="en-GB"/>
        </w:rPr>
        <w:t>, 2013)</w:t>
      </w:r>
      <w:r w:rsidR="1676387F">
        <w:rPr/>
        <w:t xml:space="preserve"> </w:t>
      </w:r>
    </w:p>
  </w:footnote>
  <w:footnote w:id="22187">
    <w:p w:rsidR="4236E724" w:rsidP="4236E724" w:rsidRDefault="4236E724" w14:paraId="2F989DB3" w14:textId="0B7203BF">
      <w:pPr>
        <w:pStyle w:val="FootnoteText"/>
        <w:bidi w:val="0"/>
      </w:pPr>
      <w:r w:rsidRPr="4236E724">
        <w:rPr>
          <w:rStyle w:val="FootnoteReference"/>
        </w:rPr>
        <w:footnoteRef/>
      </w:r>
      <w:r w:rsidRPr="1676387F" w:rsidR="1676387F">
        <w:rPr>
          <w:rFonts w:ascii="Arial" w:hAnsi="Arial" w:eastAsia="Arial" w:cs="Arial"/>
          <w:noProof w:val="0"/>
          <w:sz w:val="24"/>
          <w:szCs w:val="24"/>
          <w:lang w:val="en-GB"/>
        </w:rPr>
        <w:t>(Jurkowska &amp; Świerczewska-Gładysz, 2020)</w:t>
      </w:r>
      <w:r w:rsidR="1676387F">
        <w:rPr/>
        <w:t xml:space="preserve"> </w:t>
      </w:r>
    </w:p>
  </w:footnote>
  <w:footnote w:id="24903">
    <w:p w:rsidR="4236E724" w:rsidP="4236E724" w:rsidRDefault="4236E724" w14:paraId="0BAFB329" w14:textId="72EAF1C4">
      <w:pPr>
        <w:pStyle w:val="FootnoteText"/>
        <w:bidi w:val="0"/>
      </w:pPr>
      <w:r w:rsidRPr="4236E724">
        <w:rPr>
          <w:rStyle w:val="FootnoteReference"/>
        </w:rPr>
        <w:footnoteRef/>
      </w:r>
      <w:r w:rsidRPr="1676387F" w:rsidR="1676387F">
        <w:rPr>
          <w:rFonts w:ascii="Arial" w:hAnsi="Arial" w:eastAsia="Arial" w:cs="Arial"/>
          <w:noProof w:val="0"/>
          <w:sz w:val="24"/>
          <w:szCs w:val="24"/>
          <w:lang w:val="en-GB"/>
        </w:rPr>
        <w:t>(Greene &amp; Moore, 2010)</w:t>
      </w:r>
      <w:r w:rsidR="1676387F">
        <w:rPr/>
        <w:t xml:space="preserve"> </w:t>
      </w:r>
    </w:p>
  </w:footnote>
  <w:footnote w:id="12571">
    <w:p w:rsidR="4236E724" w:rsidP="4236E724" w:rsidRDefault="4236E724" w14:paraId="5868C8F0" w14:textId="695C73C7">
      <w:pPr>
        <w:pStyle w:val="FootnoteText"/>
        <w:bidi w:val="0"/>
      </w:pPr>
      <w:r w:rsidRPr="4236E724">
        <w:rPr>
          <w:rStyle w:val="FootnoteReference"/>
        </w:rPr>
        <w:footnoteRef/>
      </w:r>
      <w:r w:rsidRPr="1676387F" w:rsidR="1676387F">
        <w:rPr>
          <w:rFonts w:ascii="Arial" w:hAnsi="Arial" w:eastAsia="Arial" w:cs="Arial"/>
          <w:noProof w:val="0"/>
          <w:sz w:val="24"/>
          <w:szCs w:val="24"/>
          <w:lang w:val="en-GB"/>
        </w:rPr>
        <w:t>(Stevenson, 2011)</w:t>
      </w:r>
      <w:r w:rsidR="1676387F">
        <w:rPr/>
        <w:t xml:space="preserve"> </w:t>
      </w:r>
    </w:p>
  </w:footnote>
  <w:footnote w:id="2538">
    <w:p w:rsidR="4236E724" w:rsidP="4236E724" w:rsidRDefault="4236E724" w14:paraId="7B68C46C" w14:textId="6F4DE429">
      <w:pPr>
        <w:pStyle w:val="FootnoteText"/>
        <w:bidi w:val="0"/>
      </w:pPr>
      <w:r w:rsidRPr="4236E724">
        <w:rPr>
          <w:rStyle w:val="FootnoteReference"/>
        </w:rPr>
        <w:footnoteRef/>
      </w:r>
      <w:r w:rsidRPr="1676387F" w:rsidR="1676387F">
        <w:rPr>
          <w:rFonts w:ascii="Arial" w:hAnsi="Arial" w:eastAsia="Arial" w:cs="Arial"/>
          <w:noProof w:val="0"/>
          <w:sz w:val="24"/>
          <w:szCs w:val="24"/>
          <w:lang w:val="en-GB"/>
        </w:rPr>
        <w:t>(Stevenson, 2011)</w:t>
      </w:r>
      <w:r w:rsidR="1676387F">
        <w:rPr/>
        <w:t xml:space="preserve"> </w:t>
      </w:r>
    </w:p>
  </w:footnote>
  <w:footnote w:id="20825">
    <w:p w:rsidR="515A441A" w:rsidP="515A441A" w:rsidRDefault="515A441A" w14:paraId="4E609C09" w14:textId="287DAFC8">
      <w:pPr>
        <w:pStyle w:val="FootnoteText"/>
        <w:bidi w:val="0"/>
      </w:pPr>
      <w:r w:rsidRPr="515A441A">
        <w:rPr>
          <w:rStyle w:val="FootnoteReference"/>
        </w:rPr>
        <w:footnoteRef/>
      </w:r>
      <w:r w:rsidR="515A441A">
        <w:rPr/>
        <w:t xml:space="preserve"> (Google, n.d)</w:t>
      </w:r>
    </w:p>
  </w:footnote>
  <w:footnote w:id="542">
    <w:p w:rsidR="021D0F1A" w:rsidP="021D0F1A" w:rsidRDefault="021D0F1A" w14:paraId="7D35DBE2" w14:textId="141D7EFB">
      <w:pPr>
        <w:pStyle w:val="FootnoteText"/>
        <w:bidi w:val="0"/>
      </w:pPr>
      <w:r w:rsidRPr="021D0F1A">
        <w:rPr>
          <w:rStyle w:val="FootnoteReference"/>
        </w:rPr>
        <w:footnoteRef/>
      </w:r>
      <w:r w:rsidR="021D0F1A">
        <w:rPr/>
        <w:t xml:space="preserve"> (Bates, 2024)</w:t>
      </w:r>
    </w:p>
  </w:footnote>
  <w:footnote w:id="29837">
    <w:p w:rsidR="021D0F1A" w:rsidP="021D0F1A" w:rsidRDefault="021D0F1A" w14:paraId="036EBBFD" w14:textId="0452378D">
      <w:pPr>
        <w:pStyle w:val="FootnoteText"/>
        <w:bidi w:val="0"/>
      </w:pPr>
      <w:r w:rsidRPr="021D0F1A">
        <w:rPr>
          <w:rStyle w:val="FootnoteReference"/>
        </w:rPr>
        <w:footnoteRef/>
      </w:r>
      <w:r w:rsidR="021D0F1A">
        <w:rPr/>
        <w:t xml:space="preserve"> (Bates, 2024)</w:t>
      </w:r>
    </w:p>
    <w:p w:rsidR="021D0F1A" w:rsidP="021D0F1A" w:rsidRDefault="021D0F1A" w14:paraId="57759ED5" w14:textId="53F9C5DB">
      <w:pPr>
        <w:pStyle w:val="FootnoteText"/>
        <w:bidi w:val="0"/>
      </w:pPr>
    </w:p>
  </w:footnote>
</w:footnotes>
</file>

<file path=word/intelligence2.xml><?xml version="1.0" encoding="utf-8"?>
<int2:intelligence xmlns:int2="http://schemas.microsoft.com/office/intelligence/2020/intelligence">
  <int2:observations>
    <int2:textHash int2:hashCode="a626sVdqnQawb3" int2:id="fBeRUUQA">
      <int2:state int2:type="AugLoop_Text_Critique" int2:value="Rejected"/>
    </int2:textHash>
    <int2:textHash int2:hashCode="wJmkKlVVglzbUN" int2:id="pKSGfgHt">
      <int2:state int2:type="AugLoop_Text_Critique" int2:value="Rejected"/>
    </int2:textHash>
    <int2:textHash int2:hashCode="kuku5Ek2vmv0CX" int2:id="Ok4Dtbaw">
      <int2:state int2:type="AugLoop_Text_Critique" int2:value="Rejected"/>
    </int2:textHash>
    <int2:textHash int2:hashCode="sIbibH9ZxNJcdB" int2:id="11bHyWwy">
      <int2:state int2:type="AugLoop_Text_Critique" int2:value="Rejected"/>
    </int2:textHash>
    <int2:textHash int2:hashCode="sOPBodPvdPT0Iq" int2:id="hZkznlCc">
      <int2:state int2:type="AugLoop_Text_Critique" int2:value="Rejected"/>
    </int2:textHash>
    <int2:textHash int2:hashCode="khRR4UDooEJAOh" int2:id="EmuiTLD2">
      <int2:state int2:type="AugLoop_Text_Critique" int2:value="Rejected"/>
    </int2:textHash>
    <int2:textHash int2:hashCode="hkAvYqzEFnEjVH" int2:id="75SuJ1Gh">
      <int2:state int2:type="AugLoop_Text_Critique" int2:value="Rejected"/>
    </int2:textHash>
    <int2:textHash int2:hashCode="t5UoFjYC5JB630" int2:id="ct0cRB1z">
      <int2:state int2:type="AugLoop_Text_Critique" int2:value="Rejected"/>
    </int2:textHash>
    <int2:textHash int2:hashCode="QKFi2uph82thrS" int2:id="St5nT1C2">
      <int2:state int2:type="AugLoop_Text_Critique" int2:value="Rejected"/>
    </int2:textHash>
    <int2:bookmark int2:bookmarkName="_Int_bgMaaxWH" int2:invalidationBookmarkName="" int2:hashCode="waH4Rjwlr2owYL" int2:id="ETcE3GNA">
      <int2:state int2:type="AugLoop_Text_Critique" int2:value="Rejected"/>
    </int2:bookmark>
    <int2:bookmark int2:bookmarkName="_Int_Ht0yhR5S" int2:invalidationBookmarkName="" int2:hashCode="7+2TW6W864t0q2" int2:id="vDkUARcw">
      <int2:state int2:type="AugLoop_Text_Critique" int2:value="Rejected"/>
    </int2:bookmark>
    <int2:bookmark int2:bookmarkName="_Int_cCUGneHI" int2:invalidationBookmarkName="" int2:hashCode="no7NWbtQViaKiS" int2:id="ZfZmQChR">
      <int2:state int2:type="AugLoop_Text_Critique" int2:value="Rejected"/>
    </int2:bookmark>
    <int2:bookmark int2:bookmarkName="_Int_xGf2OtFL" int2:invalidationBookmarkName="" int2:hashCode="IKljlK4s15DddS" int2:id="bHotN6sC">
      <int2:state int2:type="AugLoop_Text_Critique" int2:value="Rejected"/>
    </int2:bookmark>
    <int2:bookmark int2:bookmarkName="_Int_oHQ55IY6" int2:invalidationBookmarkName="" int2:hashCode="R9/LRJ8wMqdX/k" int2:id="sf7fMnHe">
      <int2:state int2:type="AugLoop_Text_Critique" int2:value="Rejected"/>
    </int2:bookmark>
    <int2:bookmark int2:bookmarkName="_Int_yjalEetR" int2:invalidationBookmarkName="" int2:hashCode="pZGmU5Q5PUeaBE" int2:id="s0Z4Cp8d">
      <int2:state int2:type="AugLoop_Text_Critique" int2:value="Rejected"/>
    </int2:bookmark>
    <int2:bookmark int2:bookmarkName="_Int_6DDnVAsv" int2:invalidationBookmarkName="" int2:hashCode="LQgUwW2TDnEYY0" int2:id="1JjdxiIk">
      <int2:state int2:type="WordDesignerSuggestedImageAnnotation" int2:value="Review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footnotePr>
    <w:footnote w:id="-1"/>
    <w:footnote w:id="0"/>
  </w:foot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4302B30"/>
    <w:rsid w:val="007E8A4D"/>
    <w:rsid w:val="00916EE6"/>
    <w:rsid w:val="00EB3814"/>
    <w:rsid w:val="0136AC61"/>
    <w:rsid w:val="0153C80E"/>
    <w:rsid w:val="016BEACA"/>
    <w:rsid w:val="021D0F1A"/>
    <w:rsid w:val="025A5B7C"/>
    <w:rsid w:val="028DA161"/>
    <w:rsid w:val="0295EAF1"/>
    <w:rsid w:val="02BCD1C0"/>
    <w:rsid w:val="02EBAE18"/>
    <w:rsid w:val="03106FA8"/>
    <w:rsid w:val="0312F929"/>
    <w:rsid w:val="033F3478"/>
    <w:rsid w:val="039C9E0B"/>
    <w:rsid w:val="04042F5E"/>
    <w:rsid w:val="043C3F32"/>
    <w:rsid w:val="044DD009"/>
    <w:rsid w:val="046C5AE6"/>
    <w:rsid w:val="04E1BB9D"/>
    <w:rsid w:val="0564E009"/>
    <w:rsid w:val="058FFE1D"/>
    <w:rsid w:val="05E349A6"/>
    <w:rsid w:val="0630B1AB"/>
    <w:rsid w:val="069C0EDF"/>
    <w:rsid w:val="07561FA6"/>
    <w:rsid w:val="075CCBE5"/>
    <w:rsid w:val="07898E39"/>
    <w:rsid w:val="07A108C1"/>
    <w:rsid w:val="07FAF3E0"/>
    <w:rsid w:val="08070EFA"/>
    <w:rsid w:val="08164FAE"/>
    <w:rsid w:val="085EBEF0"/>
    <w:rsid w:val="091506E1"/>
    <w:rsid w:val="09425892"/>
    <w:rsid w:val="096CE2CE"/>
    <w:rsid w:val="0A5E6EBC"/>
    <w:rsid w:val="0ADE28F3"/>
    <w:rsid w:val="0AF78AE1"/>
    <w:rsid w:val="0B0AEB1A"/>
    <w:rsid w:val="0BE67169"/>
    <w:rsid w:val="0C1CFBEC"/>
    <w:rsid w:val="0CA9884A"/>
    <w:rsid w:val="0CB9DB6F"/>
    <w:rsid w:val="0D0B6F16"/>
    <w:rsid w:val="0D0EA452"/>
    <w:rsid w:val="0D2A3B5E"/>
    <w:rsid w:val="0D455726"/>
    <w:rsid w:val="0D8A85A9"/>
    <w:rsid w:val="0D93BAD2"/>
    <w:rsid w:val="0DAA8225"/>
    <w:rsid w:val="0E8E3777"/>
    <w:rsid w:val="0E8FD35E"/>
    <w:rsid w:val="0EA37639"/>
    <w:rsid w:val="0F003108"/>
    <w:rsid w:val="0F80D68E"/>
    <w:rsid w:val="0F8E3CBA"/>
    <w:rsid w:val="0FC936EA"/>
    <w:rsid w:val="0FF17C31"/>
    <w:rsid w:val="108776C4"/>
    <w:rsid w:val="10E4FC49"/>
    <w:rsid w:val="1103AE2B"/>
    <w:rsid w:val="118D4C92"/>
    <w:rsid w:val="11A59330"/>
    <w:rsid w:val="1200D910"/>
    <w:rsid w:val="12A21D4C"/>
    <w:rsid w:val="14036EF6"/>
    <w:rsid w:val="144F05F3"/>
    <w:rsid w:val="14B3F661"/>
    <w:rsid w:val="14D2E3E8"/>
    <w:rsid w:val="155A5875"/>
    <w:rsid w:val="156C62CA"/>
    <w:rsid w:val="15C63D8B"/>
    <w:rsid w:val="161D164F"/>
    <w:rsid w:val="162C15B4"/>
    <w:rsid w:val="1650EE54"/>
    <w:rsid w:val="16559E69"/>
    <w:rsid w:val="1676387F"/>
    <w:rsid w:val="1718F17C"/>
    <w:rsid w:val="173734EF"/>
    <w:rsid w:val="17CFFFC4"/>
    <w:rsid w:val="1807E32B"/>
    <w:rsid w:val="1865C4F2"/>
    <w:rsid w:val="18A17180"/>
    <w:rsid w:val="18ADE306"/>
    <w:rsid w:val="1919DABF"/>
    <w:rsid w:val="19391905"/>
    <w:rsid w:val="197B0CA5"/>
    <w:rsid w:val="19B6C05E"/>
    <w:rsid w:val="19CCFACB"/>
    <w:rsid w:val="19ECE0BE"/>
    <w:rsid w:val="19F37C00"/>
    <w:rsid w:val="1A302E35"/>
    <w:rsid w:val="1A5A2690"/>
    <w:rsid w:val="1A6FCF36"/>
    <w:rsid w:val="1AB73050"/>
    <w:rsid w:val="1AF066D9"/>
    <w:rsid w:val="1B2DDA77"/>
    <w:rsid w:val="1B6BF530"/>
    <w:rsid w:val="1BB058DC"/>
    <w:rsid w:val="1BDBC174"/>
    <w:rsid w:val="1C07E919"/>
    <w:rsid w:val="1C3A2AD4"/>
    <w:rsid w:val="1C3C090C"/>
    <w:rsid w:val="1C8D1FB0"/>
    <w:rsid w:val="1D352D86"/>
    <w:rsid w:val="1D420720"/>
    <w:rsid w:val="1D6AB7B4"/>
    <w:rsid w:val="1D8DC5B6"/>
    <w:rsid w:val="1DB91DB9"/>
    <w:rsid w:val="1E7595AA"/>
    <w:rsid w:val="1F47CC9F"/>
    <w:rsid w:val="1FB671EC"/>
    <w:rsid w:val="20999492"/>
    <w:rsid w:val="20A25876"/>
    <w:rsid w:val="20BFA420"/>
    <w:rsid w:val="20DBD1ED"/>
    <w:rsid w:val="20F00639"/>
    <w:rsid w:val="219F37FE"/>
    <w:rsid w:val="2281DB1C"/>
    <w:rsid w:val="228BD69A"/>
    <w:rsid w:val="22C0833E"/>
    <w:rsid w:val="22D9E446"/>
    <w:rsid w:val="2374C242"/>
    <w:rsid w:val="2417D87D"/>
    <w:rsid w:val="24B347F5"/>
    <w:rsid w:val="24C36DA3"/>
    <w:rsid w:val="25193521"/>
    <w:rsid w:val="26020777"/>
    <w:rsid w:val="265DF87D"/>
    <w:rsid w:val="2681CA0A"/>
    <w:rsid w:val="268468EC"/>
    <w:rsid w:val="26864B56"/>
    <w:rsid w:val="26B8DB62"/>
    <w:rsid w:val="26F8338D"/>
    <w:rsid w:val="26FBFCE6"/>
    <w:rsid w:val="271CA1C3"/>
    <w:rsid w:val="274B1371"/>
    <w:rsid w:val="279C6EC1"/>
    <w:rsid w:val="27AA2868"/>
    <w:rsid w:val="27F75543"/>
    <w:rsid w:val="28537937"/>
    <w:rsid w:val="2863AE0F"/>
    <w:rsid w:val="28B75C7C"/>
    <w:rsid w:val="28EF45DA"/>
    <w:rsid w:val="29674A3D"/>
    <w:rsid w:val="298C4E2D"/>
    <w:rsid w:val="29D13F7D"/>
    <w:rsid w:val="29EB7C5F"/>
    <w:rsid w:val="2A00F39C"/>
    <w:rsid w:val="2A75CAEB"/>
    <w:rsid w:val="2AB523CD"/>
    <w:rsid w:val="2B096E46"/>
    <w:rsid w:val="2B59BC79"/>
    <w:rsid w:val="2BC020DC"/>
    <w:rsid w:val="2C04A132"/>
    <w:rsid w:val="2C446CE1"/>
    <w:rsid w:val="2CB1F2B7"/>
    <w:rsid w:val="2CF58CDA"/>
    <w:rsid w:val="2CFE0AFE"/>
    <w:rsid w:val="2D07DB04"/>
    <w:rsid w:val="2D0DA914"/>
    <w:rsid w:val="2DC0BD99"/>
    <w:rsid w:val="2DC975C5"/>
    <w:rsid w:val="2E1527AB"/>
    <w:rsid w:val="2E325920"/>
    <w:rsid w:val="2E868944"/>
    <w:rsid w:val="2E95610E"/>
    <w:rsid w:val="2EB9C736"/>
    <w:rsid w:val="2EC3CDD3"/>
    <w:rsid w:val="2F11E090"/>
    <w:rsid w:val="2F18E790"/>
    <w:rsid w:val="2F2EEAA3"/>
    <w:rsid w:val="2FB359CD"/>
    <w:rsid w:val="3007AD66"/>
    <w:rsid w:val="309BA6B0"/>
    <w:rsid w:val="30CC31E1"/>
    <w:rsid w:val="30D9604D"/>
    <w:rsid w:val="314C3293"/>
    <w:rsid w:val="3151FCF8"/>
    <w:rsid w:val="316C9A81"/>
    <w:rsid w:val="3195E308"/>
    <w:rsid w:val="32002168"/>
    <w:rsid w:val="324831E3"/>
    <w:rsid w:val="32C1A987"/>
    <w:rsid w:val="331ED888"/>
    <w:rsid w:val="3371F8EB"/>
    <w:rsid w:val="33D8B1D5"/>
    <w:rsid w:val="34302B30"/>
    <w:rsid w:val="3448ACA8"/>
    <w:rsid w:val="34BD4A17"/>
    <w:rsid w:val="34FC935A"/>
    <w:rsid w:val="350B9D4A"/>
    <w:rsid w:val="35D3BD04"/>
    <w:rsid w:val="36060C46"/>
    <w:rsid w:val="36B435BC"/>
    <w:rsid w:val="3758F4BE"/>
    <w:rsid w:val="376F8D65"/>
    <w:rsid w:val="377099DD"/>
    <w:rsid w:val="37739840"/>
    <w:rsid w:val="37CDD38A"/>
    <w:rsid w:val="37D39CA3"/>
    <w:rsid w:val="380789FA"/>
    <w:rsid w:val="38734004"/>
    <w:rsid w:val="387E7A34"/>
    <w:rsid w:val="395091F4"/>
    <w:rsid w:val="39BEC049"/>
    <w:rsid w:val="3A319A3D"/>
    <w:rsid w:val="3B561A2F"/>
    <w:rsid w:val="3B711B08"/>
    <w:rsid w:val="3B9C2D11"/>
    <w:rsid w:val="3BA87E5E"/>
    <w:rsid w:val="3C42FE88"/>
    <w:rsid w:val="3C9F6597"/>
    <w:rsid w:val="3CC7FC6B"/>
    <w:rsid w:val="3CEDF6D2"/>
    <w:rsid w:val="3CF0C1B5"/>
    <w:rsid w:val="3D02D618"/>
    <w:rsid w:val="3D15AB98"/>
    <w:rsid w:val="3E5696E4"/>
    <w:rsid w:val="3E90EC5C"/>
    <w:rsid w:val="3EA44B67"/>
    <w:rsid w:val="4004A8D3"/>
    <w:rsid w:val="40C51455"/>
    <w:rsid w:val="412C971D"/>
    <w:rsid w:val="41450FD9"/>
    <w:rsid w:val="421989FF"/>
    <w:rsid w:val="4236E724"/>
    <w:rsid w:val="4276813E"/>
    <w:rsid w:val="427AA4F6"/>
    <w:rsid w:val="42C8677E"/>
    <w:rsid w:val="43085BA7"/>
    <w:rsid w:val="436F95A7"/>
    <w:rsid w:val="43A7BD58"/>
    <w:rsid w:val="43F346E1"/>
    <w:rsid w:val="43FD7800"/>
    <w:rsid w:val="44256BBE"/>
    <w:rsid w:val="44460CBC"/>
    <w:rsid w:val="444A62C6"/>
    <w:rsid w:val="444E106D"/>
    <w:rsid w:val="44AF7526"/>
    <w:rsid w:val="44FC0B9E"/>
    <w:rsid w:val="45172E5A"/>
    <w:rsid w:val="454E43F1"/>
    <w:rsid w:val="458B4A97"/>
    <w:rsid w:val="45BE02E7"/>
    <w:rsid w:val="462116E7"/>
    <w:rsid w:val="4663EFF6"/>
    <w:rsid w:val="46CE222B"/>
    <w:rsid w:val="46E85000"/>
    <w:rsid w:val="46F4261B"/>
    <w:rsid w:val="476A94D5"/>
    <w:rsid w:val="479B2BF9"/>
    <w:rsid w:val="47A7BD13"/>
    <w:rsid w:val="47F729AD"/>
    <w:rsid w:val="4909AB44"/>
    <w:rsid w:val="4928FDE1"/>
    <w:rsid w:val="49755267"/>
    <w:rsid w:val="497FD6F4"/>
    <w:rsid w:val="4A3FBB07"/>
    <w:rsid w:val="4A4C9AE4"/>
    <w:rsid w:val="4A7A69B6"/>
    <w:rsid w:val="4AB28B8B"/>
    <w:rsid w:val="4B08A42F"/>
    <w:rsid w:val="4B6BC761"/>
    <w:rsid w:val="4B77DC9A"/>
    <w:rsid w:val="4B97EC87"/>
    <w:rsid w:val="4C300FAE"/>
    <w:rsid w:val="4C8534C8"/>
    <w:rsid w:val="4CE4996B"/>
    <w:rsid w:val="4CEB1961"/>
    <w:rsid w:val="4CF3DACD"/>
    <w:rsid w:val="4CF4C55B"/>
    <w:rsid w:val="4D45CAB3"/>
    <w:rsid w:val="4DBC3281"/>
    <w:rsid w:val="4DD0AB0A"/>
    <w:rsid w:val="4DF60545"/>
    <w:rsid w:val="4E3D4E89"/>
    <w:rsid w:val="4E54244A"/>
    <w:rsid w:val="4E92FE7A"/>
    <w:rsid w:val="4EB8F4A2"/>
    <w:rsid w:val="4EDF973E"/>
    <w:rsid w:val="4F241496"/>
    <w:rsid w:val="4F2F2901"/>
    <w:rsid w:val="4F438A5D"/>
    <w:rsid w:val="4F779566"/>
    <w:rsid w:val="5007D746"/>
    <w:rsid w:val="5064F506"/>
    <w:rsid w:val="506B2267"/>
    <w:rsid w:val="50703D9F"/>
    <w:rsid w:val="508FC38C"/>
    <w:rsid w:val="5114BD29"/>
    <w:rsid w:val="515A441A"/>
    <w:rsid w:val="51F09564"/>
    <w:rsid w:val="5214F9B3"/>
    <w:rsid w:val="52337261"/>
    <w:rsid w:val="525E6453"/>
    <w:rsid w:val="52B6775D"/>
    <w:rsid w:val="52EC01F0"/>
    <w:rsid w:val="536A0D26"/>
    <w:rsid w:val="53A8010E"/>
    <w:rsid w:val="54000E91"/>
    <w:rsid w:val="54237586"/>
    <w:rsid w:val="543FEC8E"/>
    <w:rsid w:val="54973056"/>
    <w:rsid w:val="556A17F5"/>
    <w:rsid w:val="55DBBCEF"/>
    <w:rsid w:val="561BB639"/>
    <w:rsid w:val="5635861D"/>
    <w:rsid w:val="56C0271E"/>
    <w:rsid w:val="56F68192"/>
    <w:rsid w:val="57AB3ED0"/>
    <w:rsid w:val="57D3A8CB"/>
    <w:rsid w:val="57E38EFF"/>
    <w:rsid w:val="57F9A154"/>
    <w:rsid w:val="584B88A4"/>
    <w:rsid w:val="585D4732"/>
    <w:rsid w:val="58801537"/>
    <w:rsid w:val="58A83471"/>
    <w:rsid w:val="58B4E431"/>
    <w:rsid w:val="58C079F9"/>
    <w:rsid w:val="58FF0B83"/>
    <w:rsid w:val="59135DB1"/>
    <w:rsid w:val="5923E100"/>
    <w:rsid w:val="59282562"/>
    <w:rsid w:val="59B95FE9"/>
    <w:rsid w:val="59BCCF5B"/>
    <w:rsid w:val="5A123FF0"/>
    <w:rsid w:val="5A88CC9B"/>
    <w:rsid w:val="5AA3F996"/>
    <w:rsid w:val="5B139027"/>
    <w:rsid w:val="5B816E43"/>
    <w:rsid w:val="5C27F9AF"/>
    <w:rsid w:val="5C489221"/>
    <w:rsid w:val="5C7EAFF3"/>
    <w:rsid w:val="5CD1B576"/>
    <w:rsid w:val="5D839786"/>
    <w:rsid w:val="5D962291"/>
    <w:rsid w:val="5DDEC781"/>
    <w:rsid w:val="5EAE85CC"/>
    <w:rsid w:val="5EC62012"/>
    <w:rsid w:val="5ECE44E8"/>
    <w:rsid w:val="5EDB747B"/>
    <w:rsid w:val="5EEA11C9"/>
    <w:rsid w:val="5EFB2BDD"/>
    <w:rsid w:val="5F1C7EA1"/>
    <w:rsid w:val="5F6608D6"/>
    <w:rsid w:val="5F705214"/>
    <w:rsid w:val="5F824B15"/>
    <w:rsid w:val="5FA29DDF"/>
    <w:rsid w:val="5FB1D642"/>
    <w:rsid w:val="5FB769EA"/>
    <w:rsid w:val="5FDEBAB0"/>
    <w:rsid w:val="611B02C2"/>
    <w:rsid w:val="61291410"/>
    <w:rsid w:val="619C68D5"/>
    <w:rsid w:val="61AAF080"/>
    <w:rsid w:val="61B14719"/>
    <w:rsid w:val="620EA6B4"/>
    <w:rsid w:val="6223BFF4"/>
    <w:rsid w:val="623E20B0"/>
    <w:rsid w:val="6278C88C"/>
    <w:rsid w:val="62C9416F"/>
    <w:rsid w:val="6333F259"/>
    <w:rsid w:val="641FC48A"/>
    <w:rsid w:val="6443C337"/>
    <w:rsid w:val="64676503"/>
    <w:rsid w:val="64BCAD51"/>
    <w:rsid w:val="64C63952"/>
    <w:rsid w:val="64E270B5"/>
    <w:rsid w:val="64F7735E"/>
    <w:rsid w:val="6510AFC6"/>
    <w:rsid w:val="65201DDF"/>
    <w:rsid w:val="6623BFE0"/>
    <w:rsid w:val="666A774E"/>
    <w:rsid w:val="666FAF5A"/>
    <w:rsid w:val="66E4CECB"/>
    <w:rsid w:val="6757654C"/>
    <w:rsid w:val="67BEFB75"/>
    <w:rsid w:val="6828E50E"/>
    <w:rsid w:val="686E8F74"/>
    <w:rsid w:val="688853B7"/>
    <w:rsid w:val="68C214DE"/>
    <w:rsid w:val="695FD36D"/>
    <w:rsid w:val="6A17650F"/>
    <w:rsid w:val="6A4ECE49"/>
    <w:rsid w:val="6A52B159"/>
    <w:rsid w:val="6A6BBEBF"/>
    <w:rsid w:val="6A76117D"/>
    <w:rsid w:val="6A831C01"/>
    <w:rsid w:val="6ABA5AC9"/>
    <w:rsid w:val="6AFC95AC"/>
    <w:rsid w:val="6B2C1059"/>
    <w:rsid w:val="6B929555"/>
    <w:rsid w:val="6B96C948"/>
    <w:rsid w:val="6C3C9E26"/>
    <w:rsid w:val="6C4D6CA3"/>
    <w:rsid w:val="6D486101"/>
    <w:rsid w:val="6D642980"/>
    <w:rsid w:val="6D7AF98B"/>
    <w:rsid w:val="6D92302C"/>
    <w:rsid w:val="6D958601"/>
    <w:rsid w:val="6DC419C5"/>
    <w:rsid w:val="6DC87BD0"/>
    <w:rsid w:val="6E46AF58"/>
    <w:rsid w:val="6E9718AC"/>
    <w:rsid w:val="6ED3CA43"/>
    <w:rsid w:val="6EFE63A7"/>
    <w:rsid w:val="6F4C211A"/>
    <w:rsid w:val="6F8D24A5"/>
    <w:rsid w:val="6F91F9D1"/>
    <w:rsid w:val="6FE2C405"/>
    <w:rsid w:val="701F54FB"/>
    <w:rsid w:val="70460B12"/>
    <w:rsid w:val="70AA2E7D"/>
    <w:rsid w:val="70B18A38"/>
    <w:rsid w:val="714B0841"/>
    <w:rsid w:val="7212B98F"/>
    <w:rsid w:val="72369452"/>
    <w:rsid w:val="7246AF1F"/>
    <w:rsid w:val="725B0C2F"/>
    <w:rsid w:val="727D9706"/>
    <w:rsid w:val="72EBE699"/>
    <w:rsid w:val="754B1A0D"/>
    <w:rsid w:val="7602260B"/>
    <w:rsid w:val="76C3E641"/>
    <w:rsid w:val="773EBA94"/>
    <w:rsid w:val="775AD1CB"/>
    <w:rsid w:val="78B01197"/>
    <w:rsid w:val="7981B26F"/>
    <w:rsid w:val="79C570DE"/>
    <w:rsid w:val="7A222D61"/>
    <w:rsid w:val="7B2258B4"/>
    <w:rsid w:val="7BAAB482"/>
    <w:rsid w:val="7BED540C"/>
    <w:rsid w:val="7BFBF89A"/>
    <w:rsid w:val="7C3A126A"/>
    <w:rsid w:val="7CB8A55E"/>
    <w:rsid w:val="7D24C977"/>
    <w:rsid w:val="7D3A79A1"/>
    <w:rsid w:val="7D56315F"/>
    <w:rsid w:val="7DADFC18"/>
    <w:rsid w:val="7E0D734C"/>
    <w:rsid w:val="7E2D71B7"/>
    <w:rsid w:val="7EA46781"/>
    <w:rsid w:val="7EBE7319"/>
    <w:rsid w:val="7EE055E9"/>
    <w:rsid w:val="7EF59E84"/>
    <w:rsid w:val="7F1DC554"/>
    <w:rsid w:val="7F2A0DBF"/>
    <w:rsid w:val="7F56D9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302B30"/>
  <w15:chartTrackingRefBased/>
  <w15:docId w15:val="{90C13035-809E-4C9C-9C05-6C6052E8A6D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2E95610E"/>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2E95610E"/>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2E95610E"/>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2E95610E"/>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2E95610E"/>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2E95610E"/>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2E95610E"/>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2E95610E"/>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2E95610E"/>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2E95610E"/>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2E95610E"/>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2E95610E"/>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2E95610E"/>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2E95610E"/>
    <w:rPr>
      <w:i w:val="1"/>
      <w:iCs w:val="1"/>
      <w:color w:val="0F4761" w:themeColor="accent1" w:themeTint="FF" w:themeShade="BF"/>
    </w:rPr>
    <w:pP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2E95610E"/>
    <w:pPr>
      <w:spacing/>
      <w:ind w:left="720"/>
      <w:contextualSpacing/>
    </w:pPr>
  </w:style>
  <w:style w:type="paragraph" w:styleId="TOC1">
    <w:uiPriority w:val="39"/>
    <w:name w:val="toc 1"/>
    <w:basedOn w:val="Normal"/>
    <w:next w:val="Normal"/>
    <w:unhideWhenUsed/>
    <w:rsid w:val="2E95610E"/>
    <w:pPr>
      <w:spacing w:after="100"/>
    </w:pPr>
  </w:style>
  <w:style w:type="paragraph" w:styleId="TOC2">
    <w:uiPriority w:val="39"/>
    <w:name w:val="toc 2"/>
    <w:basedOn w:val="Normal"/>
    <w:next w:val="Normal"/>
    <w:unhideWhenUsed/>
    <w:rsid w:val="2E95610E"/>
    <w:pPr>
      <w:spacing w:after="100"/>
      <w:ind w:left="220"/>
    </w:pPr>
  </w:style>
  <w:style w:type="paragraph" w:styleId="TOC3">
    <w:uiPriority w:val="39"/>
    <w:name w:val="toc 3"/>
    <w:basedOn w:val="Normal"/>
    <w:next w:val="Normal"/>
    <w:unhideWhenUsed/>
    <w:rsid w:val="2E95610E"/>
    <w:pPr>
      <w:spacing w:after="100"/>
      <w:ind w:left="440"/>
    </w:pPr>
  </w:style>
  <w:style w:type="paragraph" w:styleId="TOC4">
    <w:uiPriority w:val="39"/>
    <w:name w:val="toc 4"/>
    <w:basedOn w:val="Normal"/>
    <w:next w:val="Normal"/>
    <w:unhideWhenUsed/>
    <w:rsid w:val="2E95610E"/>
    <w:pPr>
      <w:spacing w:after="100"/>
      <w:ind w:left="660"/>
    </w:pPr>
  </w:style>
  <w:style w:type="paragraph" w:styleId="TOC5">
    <w:uiPriority w:val="39"/>
    <w:name w:val="toc 5"/>
    <w:basedOn w:val="Normal"/>
    <w:next w:val="Normal"/>
    <w:unhideWhenUsed/>
    <w:rsid w:val="2E95610E"/>
    <w:pPr>
      <w:spacing w:after="100"/>
      <w:ind w:left="880"/>
    </w:pPr>
  </w:style>
  <w:style w:type="paragraph" w:styleId="TOC6">
    <w:uiPriority w:val="39"/>
    <w:name w:val="toc 6"/>
    <w:basedOn w:val="Normal"/>
    <w:next w:val="Normal"/>
    <w:unhideWhenUsed/>
    <w:rsid w:val="2E95610E"/>
    <w:pPr>
      <w:spacing w:after="100"/>
      <w:ind w:left="1100"/>
    </w:pPr>
  </w:style>
  <w:style w:type="paragraph" w:styleId="TOC7">
    <w:uiPriority w:val="39"/>
    <w:name w:val="toc 7"/>
    <w:basedOn w:val="Normal"/>
    <w:next w:val="Normal"/>
    <w:unhideWhenUsed/>
    <w:rsid w:val="2E95610E"/>
    <w:pPr>
      <w:spacing w:after="100"/>
      <w:ind w:left="1320"/>
    </w:pPr>
  </w:style>
  <w:style w:type="paragraph" w:styleId="TOC8">
    <w:uiPriority w:val="39"/>
    <w:name w:val="toc 8"/>
    <w:basedOn w:val="Normal"/>
    <w:next w:val="Normal"/>
    <w:unhideWhenUsed/>
    <w:rsid w:val="2E95610E"/>
    <w:pPr>
      <w:spacing w:after="100"/>
      <w:ind w:left="1540"/>
    </w:pPr>
  </w:style>
  <w:style w:type="paragraph" w:styleId="TOC9">
    <w:uiPriority w:val="39"/>
    <w:name w:val="toc 9"/>
    <w:basedOn w:val="Normal"/>
    <w:next w:val="Normal"/>
    <w:unhideWhenUsed/>
    <w:rsid w:val="2E95610E"/>
    <w:pPr>
      <w:spacing w:after="100"/>
      <w:ind w:left="1760"/>
    </w:pPr>
  </w:style>
  <w:style w:type="paragraph" w:styleId="EndnoteText">
    <w:uiPriority w:val="99"/>
    <w:name w:val="endnote text"/>
    <w:basedOn w:val="Normal"/>
    <w:semiHidden/>
    <w:unhideWhenUsed/>
    <w:link w:val="EndnoteTextChar"/>
    <w:rsid w:val="2E95610E"/>
    <w:rPr>
      <w:sz w:val="20"/>
      <w:szCs w:val="20"/>
    </w:rPr>
    <w:pPr>
      <w:spacing w:after="0" w:line="240" w:lineRule="auto"/>
    </w:pPr>
  </w:style>
  <w:style w:type="paragraph" w:styleId="Footer">
    <w:uiPriority w:val="99"/>
    <w:name w:val="footer"/>
    <w:basedOn w:val="Normal"/>
    <w:unhideWhenUsed/>
    <w:link w:val="FooterChar"/>
    <w:rsid w:val="2E95610E"/>
    <w:pPr>
      <w:tabs>
        <w:tab w:val="center" w:leader="none" w:pos="4680"/>
        <w:tab w:val="right" w:leader="none" w:pos="9360"/>
      </w:tabs>
      <w:spacing w:after="0" w:line="240" w:lineRule="auto"/>
    </w:pPr>
  </w:style>
  <w:style w:type="paragraph" w:styleId="FootnoteText">
    <w:uiPriority w:val="99"/>
    <w:name w:val="footnote text"/>
    <w:basedOn w:val="Normal"/>
    <w:semiHidden/>
    <w:unhideWhenUsed/>
    <w:link w:val="FootnoteTextChar"/>
    <w:rsid w:val="2E95610E"/>
    <w:rPr>
      <w:sz w:val="20"/>
      <w:szCs w:val="20"/>
    </w:rPr>
    <w:pPr>
      <w:spacing w:after="0" w:line="240" w:lineRule="auto"/>
    </w:pPr>
  </w:style>
  <w:style w:type="paragraph" w:styleId="Header">
    <w:uiPriority w:val="99"/>
    <w:name w:val="header"/>
    <w:basedOn w:val="Normal"/>
    <w:unhideWhenUsed/>
    <w:link w:val="HeaderChar"/>
    <w:rsid w:val="2E95610E"/>
    <w:pPr>
      <w:tabs>
        <w:tab w:val="center" w:leader="none" w:pos="4680"/>
        <w:tab w:val="right" w:leader="none" w:pos="9360"/>
      </w:tabs>
      <w:spacing w:after="0" w:line="240" w:lineRule="auto"/>
    </w:pPr>
  </w:style>
  <w:style xmlns:w14="http://schemas.microsoft.com/office/word/2010/wordml" xmlns:mc="http://schemas.openxmlformats.org/markup-compatibility/2006" xmlns:w="http://schemas.openxmlformats.org/wordprocessingml/2006/main" w:type="character" w:styleId="FootnoteReference" mc:Ignorable="w14">
    <w:basedOn xmlns:w="http://schemas.openxmlformats.org/wordprocessingml/2006/main" w:val="DefaultParagraphFont"/>
    <w:name xmlns:w="http://schemas.openxmlformats.org/wordprocessingml/2006/main" w:val="foot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FootnoteTextChar" w:customStyle="1" mc:Ignorable="w14">
    <w:name xmlns:w="http://schemas.openxmlformats.org/wordprocessingml/2006/main" w:val="Footnote Text Char"/>
    <w:basedOn xmlns:w="http://schemas.openxmlformats.org/wordprocessingml/2006/main" w:val="DefaultParagraphFont"/>
    <w:link xmlns:w="http://schemas.openxmlformats.org/wordprocessingml/2006/main" w:val="FootnoteText"/>
    <w:rPr xmlns:w="http://schemas.openxmlformats.org/wordprocessingml/2006/main">
      <w:sz w:val="20"/>
      <w:szCs w:val="20"/>
    </w:rPr>
    <w:semiHidden xmlns:w="http://schemas.openxmlformats.org/wordprocessingml/2006/main"/>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Emphasis" mc:Ignorable="w14">
    <w:name xmlns:w="http://schemas.openxmlformats.org/wordprocessingml/2006/main" w:val="Emphasis"/>
    <w:basedOn xmlns:w="http://schemas.openxmlformats.org/wordprocessingml/2006/main" w:val="DefaultParagraphFont"/>
    <w:uiPriority xmlns:w="http://schemas.openxmlformats.org/wordprocessingml/2006/main" w:val="20"/>
    <w:qFormat xmlns:w="http://schemas.openxmlformats.org/wordprocessingml/2006/main"/>
    <w:rPr xmlns:w="http://schemas.openxmlformats.org/wordprocessingml/2006/main">
      <w:i/>
      <w:iCs/>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footnotes" Target="footnotes.xml" Id="R2be7229d33044171" /><Relationship Type="http://schemas.microsoft.com/office/2020/10/relationships/intelligence" Target="intelligence2.xml" Id="R7a755dff61e3426c" /><Relationship Type="http://schemas.openxmlformats.org/officeDocument/2006/relationships/image" Target="/media/image.png" Id="R711ec281c5054551" /><Relationship Type="http://schemas.openxmlformats.org/officeDocument/2006/relationships/hyperlink" Target="https://doi.org/10.1016/j.gloplacha.2020.103334" TargetMode="External" Id="Re3e511d2b25d4f7e" /><Relationship Type="http://schemas.openxmlformats.org/officeDocument/2006/relationships/hyperlink" Target="https://uwaterloo.ca/earth-sciences-museum/resources/detailed-rocks-and-minerals-articles/quartz" TargetMode="External" Id="R3abb8c1759554afe" /><Relationship Type="http://schemas.openxmlformats.org/officeDocument/2006/relationships/image" Target="/media/imaged.png" Id="R0838d4590bc6414e" /><Relationship Type="http://schemas.openxmlformats.org/officeDocument/2006/relationships/image" Target="/media/image3.png" Id="R3b4cf6afd4144059" /><Relationship Type="http://schemas.openxmlformats.org/officeDocument/2006/relationships/image" Target="/media/image4.png" Id="R7ad2102403f64a5e" /><Relationship Type="http://schemas.openxmlformats.org/officeDocument/2006/relationships/image" Target="/media/image5.png" Id="Ra1998b614171499b" /><Relationship Type="http://schemas.openxmlformats.org/officeDocument/2006/relationships/image" Target="/media/image6.png" Id="R954460edc71d4802" /><Relationship Type="http://schemas.openxmlformats.org/officeDocument/2006/relationships/hyperlink" Target="https://www.google.co.uk/maps/@52.180863,-4.1355367,697m/data=!3m1!1e3?entry=ttu" TargetMode="External" Id="Re1fc44ca0e654851" /><Relationship Type="http://schemas.openxmlformats.org/officeDocument/2006/relationships/image" Target="/media/image8.png" Id="R84daea00eb6e426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2024-05-05T14:09:57.0236164Z</dcterms:created>
  <dcterms:modified xsi:type="dcterms:W3CDTF">2024-05-08T20:37:27.4148549Z</dcterms:modified>
  <dc:creator>Lukas O'Sullivan (2305567)</dc:creator>
  <lastModifiedBy>Lukas O'Sullivan (2305567)</lastModifiedBy>
</coreProperties>
</file>