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6337640B"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244E5851" w14:textId="77777777" w:rsidR="00660FD3" w:rsidRPr="00016335" w:rsidRDefault="00660FD3" w:rsidP="00660FD3">
            <w:pPr>
              <w:ind w:right="-957"/>
              <w:rPr>
                <w:rFonts w:ascii="Times New Roman" w:hAnsi="Times New Roman" w:cs="Times New Roman"/>
                <w:b/>
                <w:sz w:val="44"/>
                <w:szCs w:val="22"/>
              </w:rPr>
            </w:pPr>
            <w:r w:rsidRPr="00016335">
              <w:rPr>
                <w:rFonts w:ascii="Times New Roman" w:hAnsi="Times New Roman" w:cs="Times New Roman"/>
                <w:b/>
                <w:sz w:val="44"/>
                <w:szCs w:val="22"/>
              </w:rPr>
              <w:t xml:space="preserve">Learner’s name: Zara Morgan </w:t>
            </w:r>
          </w:p>
          <w:p w14:paraId="6C9ED439" w14:textId="77777777" w:rsidR="00660FD3" w:rsidRPr="00016335" w:rsidRDefault="00660FD3" w:rsidP="00660FD3">
            <w:pPr>
              <w:ind w:right="-957"/>
              <w:rPr>
                <w:rFonts w:ascii="Times New Roman" w:hAnsi="Times New Roman" w:cs="Times New Roman"/>
                <w:b/>
                <w:sz w:val="44"/>
                <w:szCs w:val="22"/>
              </w:rPr>
            </w:pPr>
          </w:p>
          <w:p w14:paraId="2440736A" w14:textId="77777777" w:rsidR="00660FD3" w:rsidRPr="00016335" w:rsidRDefault="00660FD3" w:rsidP="00660FD3">
            <w:pPr>
              <w:ind w:right="-957"/>
              <w:rPr>
                <w:sz w:val="18"/>
                <w:szCs w:val="22"/>
              </w:rPr>
            </w:pPr>
            <w:r w:rsidRPr="00016335">
              <w:rPr>
                <w:rFonts w:ascii="Times New Roman" w:hAnsi="Times New Roman" w:cs="Times New Roman"/>
                <w:b/>
                <w:sz w:val="44"/>
                <w:szCs w:val="22"/>
              </w:rPr>
              <w:t>Email address: zara.morgan@swansea.gov.uk</w:t>
            </w:r>
          </w:p>
          <w:p w14:paraId="579861C7" w14:textId="77777777" w:rsidR="00660FD3" w:rsidRPr="00016335" w:rsidRDefault="00660FD3" w:rsidP="00660FD3">
            <w:pPr>
              <w:ind w:right="-957"/>
              <w:rPr>
                <w:rFonts w:ascii="Times New Roman" w:hAnsi="Times New Roman" w:cs="Times New Roman"/>
                <w:b/>
                <w:sz w:val="44"/>
                <w:szCs w:val="22"/>
              </w:rPr>
            </w:pPr>
          </w:p>
          <w:p w14:paraId="622FD17A" w14:textId="0BEBF8F2" w:rsidR="0085230E" w:rsidRDefault="00660FD3" w:rsidP="00660FD3">
            <w:pPr>
              <w:overflowPunct/>
              <w:autoSpaceDE/>
              <w:autoSpaceDN/>
              <w:adjustRightInd/>
              <w:ind w:right="-957"/>
              <w:textAlignment w:val="auto"/>
              <w:rPr>
                <w:rFonts w:ascii="Times New Roman" w:hAnsi="Times New Roman" w:cs="Times New Roman"/>
                <w:b/>
                <w:sz w:val="36"/>
                <w:szCs w:val="14"/>
              </w:rPr>
            </w:pPr>
            <w:r w:rsidRPr="00016335">
              <w:rPr>
                <w:rFonts w:ascii="Times New Roman" w:hAnsi="Times New Roman" w:cs="Times New Roman"/>
                <w:b/>
                <w:sz w:val="36"/>
                <w:szCs w:val="14"/>
              </w:rPr>
              <w:t>Learner’s University Registration Number: 0300288</w:t>
            </w:r>
          </w:p>
          <w:p w14:paraId="36D7A864" w14:textId="77777777" w:rsidR="00660FD3" w:rsidRPr="005D3F07" w:rsidRDefault="00660FD3" w:rsidP="00660FD3">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2AE477DC">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17415E41" w:rsidR="00C77FA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w:t>
            </w:r>
          </w:p>
          <w:p w14:paraId="393AE3DE" w14:textId="77777777" w:rsidR="008564F2" w:rsidRDefault="008564F2" w:rsidP="00FC5520">
            <w:pPr>
              <w:rPr>
                <w:sz w:val="24"/>
                <w:szCs w:val="24"/>
              </w:rPr>
            </w:pPr>
          </w:p>
          <w:p w14:paraId="14668395" w14:textId="65ECA762" w:rsidR="00BC3637" w:rsidRPr="00411585" w:rsidRDefault="00BC3637" w:rsidP="00BC3637">
            <w:pPr>
              <w:rPr>
                <w:sz w:val="24"/>
                <w:szCs w:val="24"/>
              </w:rPr>
            </w:pPr>
            <w:r w:rsidRPr="00411585">
              <w:rPr>
                <w:sz w:val="24"/>
                <w:szCs w:val="24"/>
                <w:lang w:val="en-US"/>
              </w:rPr>
              <w:t>My practice in the Looked After Children team is guided by key legislation including the Social Services and Well-being (Wales) Act 2014</w:t>
            </w:r>
            <w:r w:rsidRPr="00411585">
              <w:rPr>
                <w:sz w:val="24"/>
                <w:szCs w:val="24"/>
              </w:rPr>
              <w:t xml:space="preserve"> (SSWBA)</w:t>
            </w:r>
            <w:r w:rsidRPr="00411585">
              <w:rPr>
                <w:sz w:val="24"/>
                <w:szCs w:val="24"/>
                <w:lang w:val="en-US"/>
              </w:rPr>
              <w:t>, particularly Part 6, which outlines duties for looked-after children (Welsh Government, 2014</w:t>
            </w:r>
            <w:r w:rsidRPr="00411585">
              <w:rPr>
                <w:sz w:val="24"/>
                <w:szCs w:val="24"/>
              </w:rPr>
              <w:t xml:space="preserve">. Part 7 of the Act underpins safeguarding responsibilities, placing the child’s safety and well-being at the heart of all decision-making. </w:t>
            </w:r>
            <w:r w:rsidRPr="00411585">
              <w:rPr>
                <w:sz w:val="24"/>
                <w:szCs w:val="24"/>
                <w:lang w:val="en-US"/>
              </w:rPr>
              <w:t>This is supported by the Children Act 1989 and Children Act 2004, which remain central to safeguarding and care planning (UK Government, 1989; UK Government, 2004). Locally, the Wales Safeguarding Procedures and the Rights of Children and Young Persons (Wales) Measure 2011 reinforce a child-centred, rights-based approach (Social Care Wales, 2019</w:t>
            </w:r>
            <w:r w:rsidRPr="00411585">
              <w:rPr>
                <w:sz w:val="24"/>
                <w:szCs w:val="24"/>
              </w:rPr>
              <w:t xml:space="preserve">) </w:t>
            </w:r>
            <w:r w:rsidRPr="00411585">
              <w:rPr>
                <w:sz w:val="24"/>
                <w:szCs w:val="24"/>
                <w:lang w:val="en-US"/>
              </w:rPr>
              <w:t>Globally, the United Nations Convention on the Rights of the Child (UNCRC) underpins our commitment to promoting children's rights to safety, family life, and participation in decisions affecting them (United Nations, 1989).</w:t>
            </w:r>
          </w:p>
          <w:p w14:paraId="7AB16248" w14:textId="77777777" w:rsidR="0065222A" w:rsidRPr="00411585" w:rsidRDefault="0065222A" w:rsidP="00FC5520">
            <w:pPr>
              <w:rPr>
                <w:sz w:val="24"/>
                <w:szCs w:val="24"/>
              </w:rPr>
            </w:pPr>
          </w:p>
          <w:p w14:paraId="24EB7116" w14:textId="77777777" w:rsidR="0065222A" w:rsidRPr="00411585" w:rsidRDefault="0065222A" w:rsidP="0065222A">
            <w:pPr>
              <w:rPr>
                <w:sz w:val="24"/>
                <w:szCs w:val="24"/>
              </w:rPr>
            </w:pPr>
            <w:r w:rsidRPr="00411585">
              <w:rPr>
                <w:sz w:val="24"/>
                <w:szCs w:val="24"/>
              </w:rPr>
              <w:t>As a newly qualified social worker in the LAC team, I encountered a complex safeguarding case involving twin siblings placed in kinship care following concerns of parental substance misuse, domestic violence, and chronic neglect. This reflective essay explores the safeguarding risks, ethical dilemmas, and professional responses involved, framed within the context of local legislation such as the SSWBA and the Children Act 1989, and the Children Act 2004. As well as global policy frameworks including the United Nations Convention on the Rights of the Child (UNCRC). It also considers the role of trauma-informed practice and attachment theory, which highlights the importance of stable, secure relationships in a child’s emotional development. The essay explores the challenges of balancing child protection with family preservation within a regulated foster care arrangement, where legal compliance may conflict with the child’s need for continuity and emotional security.</w:t>
            </w:r>
          </w:p>
          <w:p w14:paraId="633A813B" w14:textId="77777777" w:rsidR="0065222A" w:rsidRPr="00411585" w:rsidRDefault="0065222A" w:rsidP="0065222A">
            <w:pPr>
              <w:rPr>
                <w:sz w:val="24"/>
                <w:szCs w:val="24"/>
              </w:rPr>
            </w:pPr>
          </w:p>
          <w:p w14:paraId="775E209F" w14:textId="2EF40A43" w:rsidR="0065222A" w:rsidRPr="00411585" w:rsidRDefault="0065222A" w:rsidP="0065222A">
            <w:pPr>
              <w:rPr>
                <w:sz w:val="24"/>
                <w:szCs w:val="24"/>
              </w:rPr>
            </w:pPr>
            <w:r w:rsidRPr="00411585">
              <w:rPr>
                <w:sz w:val="24"/>
                <w:szCs w:val="24"/>
              </w:rPr>
              <w:lastRenderedPageBreak/>
              <w:t>Twin brothers, aged nine, were placed with their paternal aunt following a Section 47 investigation under the Children Act 1989 at the age of 18 months, due to significant harm concerns. Their parents had a history of alcohol and substance misuse, and the home environment was characterised by domestic violence and lack of supervision. The children were placed on the child protection register for neglect. Proceedings led to a full care order being issued and a plan for long-term foster care. They presented with emotional dysregulation, hypervigilance, and developmental delays, all indicators of complex trauma.</w:t>
            </w:r>
          </w:p>
          <w:p w14:paraId="740759DE" w14:textId="77777777" w:rsidR="00FD5B63" w:rsidRPr="00411585" w:rsidRDefault="00FD5B63" w:rsidP="0065222A">
            <w:pPr>
              <w:rPr>
                <w:sz w:val="24"/>
                <w:szCs w:val="24"/>
              </w:rPr>
            </w:pPr>
          </w:p>
          <w:p w14:paraId="71166679" w14:textId="25CECE6B" w:rsidR="0065222A" w:rsidRPr="00411585" w:rsidRDefault="0065222A" w:rsidP="0065222A">
            <w:pPr>
              <w:rPr>
                <w:sz w:val="24"/>
                <w:szCs w:val="24"/>
              </w:rPr>
            </w:pPr>
            <w:r w:rsidRPr="00411585">
              <w:rPr>
                <w:sz w:val="24"/>
                <w:szCs w:val="24"/>
              </w:rPr>
              <w:t>The twin brothers were placed with their paternal aunt under a kinship care arrangement in line with the SSWBA, which promotes family focused care and co-production. Kinship care is often a preferred arrangement when safe to do so, as it supports attachment, emotional stability, and cultural continuity. For the twins, remaining within their family network maintained their connection to familiar people, language, and community. This approach aligns with Welsh initiatives such as the Active Offer and More Than Just Words, which support</w:t>
            </w:r>
            <w:r w:rsidR="00A96244" w:rsidRPr="00411585">
              <w:rPr>
                <w:sz w:val="24"/>
                <w:szCs w:val="24"/>
              </w:rPr>
              <w:t>s</w:t>
            </w:r>
            <w:r w:rsidRPr="00411585">
              <w:rPr>
                <w:sz w:val="24"/>
                <w:szCs w:val="24"/>
              </w:rPr>
              <w:t xml:space="preserve"> care that respects people’s language and culture (Welsh Government, 2022) During time, the aunt and her support network appeared committed to keeping the boys safe, making kinship care a suitable option. This is consistent with Welsh Government guidance, which highlights the importance of assessing the strengths and capacity of family and community networks when considering kinship placements (Social Care Wales, 2025a).</w:t>
            </w:r>
          </w:p>
          <w:p w14:paraId="4EF43D68" w14:textId="77777777" w:rsidR="00D929CE" w:rsidRPr="00411585" w:rsidRDefault="00D929CE" w:rsidP="0065222A">
            <w:pPr>
              <w:rPr>
                <w:sz w:val="24"/>
                <w:szCs w:val="24"/>
              </w:rPr>
            </w:pPr>
          </w:p>
          <w:p w14:paraId="036633C3" w14:textId="77777777" w:rsidR="0065222A" w:rsidRPr="00411585" w:rsidRDefault="0065222A" w:rsidP="0065222A">
            <w:pPr>
              <w:rPr>
                <w:sz w:val="24"/>
                <w:szCs w:val="24"/>
              </w:rPr>
            </w:pPr>
            <w:r w:rsidRPr="00411585">
              <w:rPr>
                <w:sz w:val="24"/>
                <w:szCs w:val="24"/>
              </w:rPr>
              <w:t>The aunt had been the full-time foster carer and sole caregiver for the twin boys since they were 18 months old. They lived in a three-bedroom housing association property located in a suburban area recognised as highly deprived by the Welsh Index of Multiple Deprivation (Welsh Government, 2025). This context is important, as area-level deprivation can impact access to services, community safety, and overall wellbeing. Families living in deprived areas may face higher levels of stress, limited social support, and reduced access to health, education, and recreational resources, all of which can influence parenting capacity and children's outcomes (Feldman, 2019).</w:t>
            </w:r>
          </w:p>
          <w:p w14:paraId="7E91DF80" w14:textId="77777777" w:rsidR="00D929CE" w:rsidRPr="00411585" w:rsidRDefault="00D929CE" w:rsidP="0065222A">
            <w:pPr>
              <w:rPr>
                <w:sz w:val="24"/>
                <w:szCs w:val="24"/>
              </w:rPr>
            </w:pPr>
          </w:p>
          <w:p w14:paraId="02DC6070" w14:textId="77777777" w:rsidR="0065222A" w:rsidRPr="00411585" w:rsidRDefault="0065222A" w:rsidP="0065222A">
            <w:pPr>
              <w:rPr>
                <w:sz w:val="24"/>
                <w:szCs w:val="24"/>
              </w:rPr>
            </w:pPr>
            <w:r w:rsidRPr="00411585">
              <w:rPr>
                <w:sz w:val="24"/>
                <w:szCs w:val="24"/>
              </w:rPr>
              <w:t>Although kinship care is supported under Welsh policy, it presents unique challenges (Children in Wales, 2014).  A safeguarding concern emerged following a serious allegation: the aunt, a family and friends foster carer registered with the local authority, was reported to have used cocaine during an after-party at their home while the children were present. The allegations raised serious concerns about the suitability of the friends and family placement.</w:t>
            </w:r>
          </w:p>
          <w:p w14:paraId="61D52CD0" w14:textId="77777777" w:rsidR="00322E76" w:rsidRPr="00411585" w:rsidRDefault="00322E76" w:rsidP="0065222A">
            <w:pPr>
              <w:rPr>
                <w:sz w:val="24"/>
                <w:szCs w:val="24"/>
              </w:rPr>
            </w:pPr>
          </w:p>
          <w:p w14:paraId="5395BFA2" w14:textId="77777777" w:rsidR="00322E76" w:rsidRPr="00411585" w:rsidRDefault="00322E76" w:rsidP="00322E76">
            <w:pPr>
              <w:rPr>
                <w:sz w:val="24"/>
                <w:szCs w:val="24"/>
              </w:rPr>
            </w:pPr>
            <w:r w:rsidRPr="00411585">
              <w:rPr>
                <w:sz w:val="24"/>
                <w:szCs w:val="24"/>
              </w:rPr>
              <w:t>The case was managed under the Children Act 1989, with a Section 47 investigation initiated due to the risk of significant harm. A strategy discussion was held in line with the All-Wales Child Protection Procedures (Safeguarding Wales, 2023). Alongside this, a Care Standards assessment was initiated to review the aunt’s capacity to continue as a formal foster carer, in line with the Fostering Services (Wales) Regulations 2019, which govern the approval, review, and deregistration of foster carers (Welsh Government, 2019b).</w:t>
            </w:r>
          </w:p>
          <w:p w14:paraId="417FFF3D" w14:textId="77777777" w:rsidR="00322E76" w:rsidRPr="00411585" w:rsidRDefault="00322E76" w:rsidP="00322E76">
            <w:pPr>
              <w:rPr>
                <w:sz w:val="24"/>
                <w:szCs w:val="24"/>
              </w:rPr>
            </w:pPr>
          </w:p>
          <w:p w14:paraId="32E579E0" w14:textId="77777777" w:rsidR="00322E76" w:rsidRPr="00411585" w:rsidRDefault="00322E76" w:rsidP="00322E76">
            <w:pPr>
              <w:rPr>
                <w:sz w:val="24"/>
                <w:szCs w:val="24"/>
              </w:rPr>
            </w:pPr>
            <w:r w:rsidRPr="00411585">
              <w:rPr>
                <w:sz w:val="24"/>
                <w:szCs w:val="24"/>
              </w:rPr>
              <w:t xml:space="preserve">In parallel, a needs assessment was triggered to identify the specific needs of the boys. As the allocated social worker, it was my responsibility to undertake this assessment, ensuring that their emotional, developmental, and safeguarding needs were fully considered. This </w:t>
            </w:r>
            <w:r w:rsidRPr="00411585">
              <w:rPr>
                <w:sz w:val="24"/>
                <w:szCs w:val="24"/>
              </w:rPr>
              <w:lastRenderedPageBreak/>
              <w:t>process was essential in informing the overall care planning and ensuring that any recommendations were child-centred and evidence-based.</w:t>
            </w:r>
          </w:p>
          <w:p w14:paraId="61A04444" w14:textId="77777777" w:rsidR="00322E76" w:rsidRPr="00411585" w:rsidRDefault="00322E76" w:rsidP="00322E76">
            <w:pPr>
              <w:rPr>
                <w:sz w:val="24"/>
                <w:szCs w:val="24"/>
              </w:rPr>
            </w:pPr>
          </w:p>
          <w:p w14:paraId="28815FEB" w14:textId="77777777" w:rsidR="00322E76" w:rsidRPr="00411585" w:rsidRDefault="00322E76" w:rsidP="00322E76">
            <w:pPr>
              <w:rPr>
                <w:sz w:val="24"/>
                <w:szCs w:val="24"/>
              </w:rPr>
            </w:pPr>
            <w:r w:rsidRPr="00411585">
              <w:rPr>
                <w:sz w:val="24"/>
                <w:szCs w:val="24"/>
              </w:rPr>
              <w:t>The twins had already experienced multiple Adverse Childhood Experiences (ACEs), including exposure to violence, neglect, and substance misuse. Their trauma responses included aggression, withdrawal, and over-compliance. Applying trauma-informed practice meant prioritising emotional safety, building trust, and avoiding punitive responses. I used relational techniques and the Signs of Safety framework to engage the children and carer in collaborative safety planning.</w:t>
            </w:r>
          </w:p>
          <w:p w14:paraId="185B0EBE" w14:textId="77777777" w:rsidR="00322E76" w:rsidRPr="00411585" w:rsidRDefault="00322E76" w:rsidP="00322E76">
            <w:pPr>
              <w:rPr>
                <w:sz w:val="24"/>
                <w:szCs w:val="24"/>
              </w:rPr>
            </w:pPr>
          </w:p>
          <w:p w14:paraId="0649702C" w14:textId="77777777" w:rsidR="00322E76" w:rsidRPr="00411585" w:rsidRDefault="00322E76" w:rsidP="00322E76">
            <w:pPr>
              <w:rPr>
                <w:sz w:val="24"/>
                <w:szCs w:val="24"/>
              </w:rPr>
            </w:pPr>
            <w:r w:rsidRPr="00411585">
              <w:rPr>
                <w:sz w:val="24"/>
                <w:szCs w:val="24"/>
              </w:rPr>
              <w:t>The Signs of Safety model, adopted by the local authority, promotes a strengths-based, collaborative approach to safeguarding (Turnell and Edwards, 1999). I used tools such as the “Three Houses” to explore the twins’ worries, wishes, and strengths. This helped them articulate their experiences and participate meaningfully in planning (Duncan, 2019) to inform intervention, manage risk to develop an assessment analysis.</w:t>
            </w:r>
          </w:p>
          <w:p w14:paraId="628D282C" w14:textId="77777777" w:rsidR="00DA7505" w:rsidRPr="00411585" w:rsidRDefault="00DA7505" w:rsidP="00322E76">
            <w:pPr>
              <w:rPr>
                <w:sz w:val="24"/>
                <w:szCs w:val="24"/>
              </w:rPr>
            </w:pPr>
          </w:p>
          <w:p w14:paraId="4A610B7F" w14:textId="77777777" w:rsidR="00322E76" w:rsidRPr="00411585" w:rsidRDefault="00322E76" w:rsidP="00322E76">
            <w:pPr>
              <w:rPr>
                <w:sz w:val="24"/>
                <w:szCs w:val="24"/>
              </w:rPr>
            </w:pPr>
            <w:r w:rsidRPr="00411585">
              <w:rPr>
                <w:sz w:val="24"/>
                <w:szCs w:val="24"/>
              </w:rPr>
              <w:t>Mapping the safety network revealed significant gaps in support for the carer. In response, I facilitated a multi-agency meeting involving education, health, and specialist services to ensure a coordinated approach. This collaborative effort aligned with the principles of the SSWBA, which emphasises co-production and partnership working. Through this process, I demonstrated my commitment to working collaboratively to strive for better outcomes and consistency for the children (SSWBA,2014, s.6).</w:t>
            </w:r>
          </w:p>
          <w:p w14:paraId="603A5CA1" w14:textId="77777777" w:rsidR="00322E76" w:rsidRPr="00411585" w:rsidRDefault="00322E76" w:rsidP="00322E76">
            <w:pPr>
              <w:rPr>
                <w:sz w:val="24"/>
                <w:szCs w:val="24"/>
              </w:rPr>
            </w:pPr>
          </w:p>
          <w:p w14:paraId="0802D3DE" w14:textId="77777777" w:rsidR="00322E76" w:rsidRPr="00411585" w:rsidRDefault="00322E76" w:rsidP="00322E76">
            <w:pPr>
              <w:rPr>
                <w:sz w:val="24"/>
                <w:szCs w:val="24"/>
              </w:rPr>
            </w:pPr>
            <w:r w:rsidRPr="00411585">
              <w:rPr>
                <w:sz w:val="24"/>
                <w:szCs w:val="24"/>
              </w:rPr>
              <w:t>Initially, the aunt and her extended family support network were actively engaging with professionals and appeared committed to working collaboratively to keep the boys safe and maintain their placement within the home. However, as interventions progressed, including direct work with the children, police involvement, and unannounced visits, it became evident that the aunt, along with her family and friends who were part of the safety network, were not adhering to the agreed safety plan.</w:t>
            </w:r>
          </w:p>
          <w:p w14:paraId="3AEE4788" w14:textId="77777777" w:rsidR="00645F83" w:rsidRPr="00411585" w:rsidRDefault="00645F83" w:rsidP="00322E76">
            <w:pPr>
              <w:rPr>
                <w:sz w:val="24"/>
                <w:szCs w:val="24"/>
              </w:rPr>
            </w:pPr>
          </w:p>
          <w:p w14:paraId="4831ACD8" w14:textId="77777777" w:rsidR="00645F83" w:rsidRPr="00411585" w:rsidRDefault="00645F83" w:rsidP="00645F83">
            <w:pPr>
              <w:rPr>
                <w:sz w:val="24"/>
                <w:szCs w:val="24"/>
              </w:rPr>
            </w:pPr>
            <w:r w:rsidRPr="00411585">
              <w:rPr>
                <w:sz w:val="24"/>
                <w:szCs w:val="24"/>
              </w:rPr>
              <w:t>Furthermore, they were not being transparent with professionals, which undermined the safeguarding arrangements and raised serious concerns about the reliability of the support network and the overall safety of the placement. This dilemma involved truth and transparency. The carer was found to have breached safety plans and encouraged the children to lie. This undermined trust and raised concerns about emotional manipulation. Yet, I also recognised that her actions may have stemmed from fear of losing the children, not malicious intent. This required me to hold compassion and accountability in tension.</w:t>
            </w:r>
          </w:p>
          <w:p w14:paraId="34C0A64C" w14:textId="77777777" w:rsidR="00645F83" w:rsidRPr="00411585" w:rsidRDefault="00645F83" w:rsidP="00645F83">
            <w:pPr>
              <w:rPr>
                <w:sz w:val="24"/>
                <w:szCs w:val="24"/>
              </w:rPr>
            </w:pPr>
          </w:p>
          <w:p w14:paraId="0E7F6426" w14:textId="67D5EB56" w:rsidR="00645F83" w:rsidRPr="00411585" w:rsidRDefault="00645F83" w:rsidP="00322E76">
            <w:pPr>
              <w:rPr>
                <w:sz w:val="24"/>
                <w:szCs w:val="24"/>
              </w:rPr>
            </w:pPr>
            <w:r w:rsidRPr="00411585">
              <w:rPr>
                <w:sz w:val="24"/>
                <w:szCs w:val="24"/>
              </w:rPr>
              <w:t>This situation however raised a challenging ethical question: Was it appropriate to allow the children to remain in a foster care placement that failed to meet the expected standards of “good enough” care. Foster Carers are expected to provide high-quality, consistent, and child-centred support that enables children to achieve their personal outcomes, going beyond the minimum threshold of “good enough” care (Welsh Government, 2019a). Although no direct harm had occurred at that point, the quality of care and parenting was inconsistent, emotionally unsafe, and increasingly concerning (</w:t>
            </w:r>
            <w:proofErr w:type="spellStart"/>
            <w:r w:rsidRPr="00411585">
              <w:rPr>
                <w:sz w:val="24"/>
                <w:szCs w:val="24"/>
              </w:rPr>
              <w:t>Chodura</w:t>
            </w:r>
            <w:proofErr w:type="spellEnd"/>
            <w:r w:rsidRPr="00411585">
              <w:rPr>
                <w:sz w:val="24"/>
                <w:szCs w:val="24"/>
              </w:rPr>
              <w:t xml:space="preserve"> et al., 2021). The Aunt repeated failure to follow the agreed safety plans, her reluctance to engage </w:t>
            </w:r>
            <w:r w:rsidRPr="00411585">
              <w:rPr>
                <w:sz w:val="24"/>
                <w:szCs w:val="24"/>
              </w:rPr>
              <w:lastRenderedPageBreak/>
              <w:t>transparently with professionals, and emerging concerns around alcohol and substance misuse contributed to a growing sense of unease (</w:t>
            </w:r>
            <w:proofErr w:type="spellStart"/>
            <w:r w:rsidRPr="00411585">
              <w:rPr>
                <w:sz w:val="24"/>
                <w:szCs w:val="24"/>
              </w:rPr>
              <w:t>Chodura</w:t>
            </w:r>
            <w:proofErr w:type="spellEnd"/>
            <w:r w:rsidRPr="00411585">
              <w:rPr>
                <w:sz w:val="24"/>
                <w:szCs w:val="24"/>
              </w:rPr>
              <w:t xml:space="preserve"> et al., 2021).</w:t>
            </w:r>
          </w:p>
          <w:p w14:paraId="69A139AE" w14:textId="77777777" w:rsidR="00DA7505" w:rsidRPr="00411585" w:rsidRDefault="00DA7505" w:rsidP="00322E76">
            <w:pPr>
              <w:rPr>
                <w:sz w:val="24"/>
                <w:szCs w:val="24"/>
              </w:rPr>
            </w:pPr>
          </w:p>
          <w:p w14:paraId="6F869F1F" w14:textId="27CFCABB" w:rsidR="00322E76" w:rsidRPr="00411585" w:rsidRDefault="00322E76" w:rsidP="00322E76">
            <w:pPr>
              <w:rPr>
                <w:sz w:val="24"/>
                <w:szCs w:val="24"/>
              </w:rPr>
            </w:pPr>
            <w:r w:rsidRPr="00411585">
              <w:rPr>
                <w:sz w:val="24"/>
                <w:szCs w:val="24"/>
              </w:rPr>
              <w:t>The twins had lived with their aunt for seven years and, in their eyes, she was their mother. Removing them from her care following allegations of substance misuse felt like yet another disruption to their primary attachment. Research shows that kinship care often provides greater emotional stability and continuity for children than non-relative foster care, reducing trauma associated with removal and promoting better mental health outcomes (Rubin et al., 2008; Winokur et al., 2014).</w:t>
            </w:r>
          </w:p>
          <w:p w14:paraId="64CA2C7D" w14:textId="77777777" w:rsidR="00391D4D" w:rsidRPr="00411585" w:rsidRDefault="00391D4D" w:rsidP="00322E76">
            <w:pPr>
              <w:rPr>
                <w:sz w:val="24"/>
                <w:szCs w:val="24"/>
              </w:rPr>
            </w:pPr>
          </w:p>
          <w:p w14:paraId="1EEC5A85" w14:textId="77777777" w:rsidR="00391D4D" w:rsidRPr="00411585" w:rsidRDefault="00391D4D" w:rsidP="00391D4D">
            <w:pPr>
              <w:rPr>
                <w:sz w:val="24"/>
                <w:szCs w:val="24"/>
              </w:rPr>
            </w:pPr>
            <w:r w:rsidRPr="00411585">
              <w:rPr>
                <w:sz w:val="24"/>
                <w:szCs w:val="24"/>
              </w:rPr>
              <w:t xml:space="preserve">My assessment demonstrated that, while there was a risk of harm due to the aunt’s substance misuse and lifestyle (e.g. parties), aunt was able to meet the boys’ basic care needs and provided them with love and a strong emotional bond. This supports existing evidence that, even in challenging circumstances, kinship carers can offer children a sense of safety, attachment, and emotional security factors that are essential for achieving positive outcomes for children (Welsh Government, 2025b; Welsh Government, 2024). </w:t>
            </w:r>
          </w:p>
          <w:p w14:paraId="4421DE7C" w14:textId="77777777" w:rsidR="00322E76" w:rsidRPr="00411585" w:rsidRDefault="00322E76" w:rsidP="00322E76">
            <w:pPr>
              <w:rPr>
                <w:sz w:val="24"/>
                <w:szCs w:val="24"/>
              </w:rPr>
            </w:pPr>
          </w:p>
          <w:p w14:paraId="1A93604D" w14:textId="77777777" w:rsidR="00322E76" w:rsidRPr="00411585" w:rsidRDefault="00322E76" w:rsidP="00322E76">
            <w:pPr>
              <w:rPr>
                <w:sz w:val="24"/>
                <w:szCs w:val="24"/>
              </w:rPr>
            </w:pPr>
            <w:r w:rsidRPr="00411585">
              <w:rPr>
                <w:sz w:val="24"/>
                <w:szCs w:val="24"/>
              </w:rPr>
              <w:t xml:space="preserve">During the enquiry and assessment process, I advocated for maintaining the placement with the children’s aunt, recognising the importance of continuity, attachment, and the emotional stability that long-term care can offer. While safeguarding concerns were present, the strength of the boys’ emotional bond with their aunt was a significant protective factor. </w:t>
            </w:r>
            <w:proofErr w:type="gramStart"/>
            <w:r w:rsidRPr="00411585">
              <w:rPr>
                <w:sz w:val="24"/>
                <w:szCs w:val="24"/>
              </w:rPr>
              <w:t>In light of</w:t>
            </w:r>
            <w:proofErr w:type="gramEnd"/>
            <w:r w:rsidRPr="00411585">
              <w:rPr>
                <w:sz w:val="24"/>
                <w:szCs w:val="24"/>
              </w:rPr>
              <w:t xml:space="preserve"> this, I requested additional time for the aunt to engage with support services and demonstrate positive change (Welsh Government, 2024).</w:t>
            </w:r>
          </w:p>
          <w:p w14:paraId="425C8F46" w14:textId="77777777" w:rsidR="00322E76" w:rsidRPr="00411585" w:rsidRDefault="00322E76" w:rsidP="00322E76">
            <w:pPr>
              <w:rPr>
                <w:sz w:val="24"/>
                <w:szCs w:val="24"/>
              </w:rPr>
            </w:pPr>
          </w:p>
          <w:p w14:paraId="578516F7" w14:textId="74C199C3" w:rsidR="00322E76" w:rsidRPr="00411585" w:rsidRDefault="00322E76" w:rsidP="00322E76">
            <w:pPr>
              <w:rPr>
                <w:sz w:val="24"/>
                <w:szCs w:val="24"/>
              </w:rPr>
            </w:pPr>
            <w:r w:rsidRPr="00411585">
              <w:rPr>
                <w:sz w:val="24"/>
                <w:szCs w:val="24"/>
              </w:rPr>
              <w:t>These measures were implemented in line with the principles of the S</w:t>
            </w:r>
            <w:r w:rsidR="00DA7505" w:rsidRPr="00411585">
              <w:rPr>
                <w:sz w:val="24"/>
                <w:szCs w:val="24"/>
              </w:rPr>
              <w:t>SWBA</w:t>
            </w:r>
            <w:r w:rsidRPr="00411585">
              <w:rPr>
                <w:sz w:val="24"/>
                <w:szCs w:val="24"/>
              </w:rPr>
              <w:t xml:space="preserve"> Act 2014, which promotes a strengths-based, person-centred approach to safeguarding. They were also supported by the Welsh Government’s Substance Misuse Delivery Plan (Welsh Government, 2019</w:t>
            </w:r>
            <w:r w:rsidR="00595847" w:rsidRPr="00411585">
              <w:rPr>
                <w:sz w:val="24"/>
                <w:szCs w:val="24"/>
              </w:rPr>
              <w:t>). This</w:t>
            </w:r>
            <w:r w:rsidRPr="00411585">
              <w:rPr>
                <w:sz w:val="24"/>
                <w:szCs w:val="24"/>
              </w:rPr>
              <w:t xml:space="preserve"> approach aimed to keep the children within their family network while managing safeguarding concerns through closer professional involvement and multi-agency collaboration. It aligned with the Social Services and Well-being (Wales) Act 2014, particularly its emphasis on co-production, well-being, and safeguarding (Welsh Government, 2014). The Wales Safeguarding Procedures (Social Care Wales, 2019) supported the practical application of safeguarding duties, while the National Multi-Agency Practice Framework for Children’s Services (Welsh Government, 2025b) provided guidance for coordinated intervention and planning.</w:t>
            </w:r>
          </w:p>
          <w:p w14:paraId="14DAD5F9" w14:textId="77777777" w:rsidR="00322E76" w:rsidRPr="00411585" w:rsidRDefault="00322E76" w:rsidP="00322E76">
            <w:pPr>
              <w:rPr>
                <w:sz w:val="24"/>
                <w:szCs w:val="24"/>
              </w:rPr>
            </w:pPr>
          </w:p>
          <w:p w14:paraId="27CEEB9B" w14:textId="77777777" w:rsidR="00322E76" w:rsidRPr="00411585" w:rsidRDefault="00322E76" w:rsidP="00322E76">
            <w:pPr>
              <w:rPr>
                <w:sz w:val="24"/>
                <w:szCs w:val="24"/>
              </w:rPr>
            </w:pPr>
            <w:r w:rsidRPr="00411585">
              <w:rPr>
                <w:sz w:val="24"/>
                <w:szCs w:val="24"/>
              </w:rPr>
              <w:t>Additionally, the Rights of Children and Young Persons (Wales) Measure 2011 and the United Nations Convention on the Rights of the Child (UNCRC) (United Nations, 1989) reinforced a child-centred, rights-based approach throughout the safeguarding process. These frameworks support strengths-based practice that prioritises family preservation where it is safe and appropriate, while also recognising the child’s right to safety, stability, and family life.</w:t>
            </w:r>
          </w:p>
          <w:p w14:paraId="43F10A36" w14:textId="77777777" w:rsidR="00322E76" w:rsidRPr="00411585" w:rsidRDefault="00322E76" w:rsidP="00322E76">
            <w:pPr>
              <w:rPr>
                <w:sz w:val="24"/>
                <w:szCs w:val="24"/>
              </w:rPr>
            </w:pPr>
          </w:p>
          <w:p w14:paraId="48316609" w14:textId="77777777" w:rsidR="00322E76" w:rsidRPr="00411585" w:rsidRDefault="00322E76" w:rsidP="00322E76">
            <w:pPr>
              <w:rPr>
                <w:sz w:val="24"/>
                <w:szCs w:val="24"/>
              </w:rPr>
            </w:pPr>
            <w:r w:rsidRPr="00411585">
              <w:rPr>
                <w:sz w:val="24"/>
                <w:szCs w:val="24"/>
              </w:rPr>
              <w:t xml:space="preserve">To ensure the children’s voices were meaningfully heard, I requested independent advocacy under the Social Services and Well-being (Wales) Act 2014 (SSWWA). The Act places a duty on local authorities to support individuals in expressing their views, wishes, and </w:t>
            </w:r>
            <w:r w:rsidRPr="00411585">
              <w:rPr>
                <w:sz w:val="24"/>
                <w:szCs w:val="24"/>
              </w:rPr>
              <w:lastRenderedPageBreak/>
              <w:t>feelings, particularly when decisions are being made about their care and support needs (Welsh Government, 2019). This ensured that the children were active participants in the process, in line with the principles of co-production and rights-based safeguarding.</w:t>
            </w:r>
          </w:p>
          <w:p w14:paraId="0C0174AE" w14:textId="77777777" w:rsidR="00481474" w:rsidRPr="00411585" w:rsidRDefault="00481474" w:rsidP="00322E76">
            <w:pPr>
              <w:rPr>
                <w:sz w:val="24"/>
                <w:szCs w:val="24"/>
              </w:rPr>
            </w:pPr>
          </w:p>
          <w:p w14:paraId="2A24411C" w14:textId="77777777" w:rsidR="00322E76" w:rsidRPr="00411585" w:rsidRDefault="00322E76" w:rsidP="00322E76">
            <w:pPr>
              <w:rPr>
                <w:sz w:val="24"/>
                <w:szCs w:val="24"/>
              </w:rPr>
            </w:pPr>
            <w:r w:rsidRPr="00411585">
              <w:rPr>
                <w:sz w:val="24"/>
                <w:szCs w:val="24"/>
              </w:rPr>
              <w:t>Despite being presented with a complex case and somewhat conflicting assessment, I exercised professional judgement to navigate the situation. In line with the SSWBA, I considered the children’s well-being as paramount and applied a rights-based, person-centred approach to decision-making. The Act places a duty on practitioners to safeguard and promote the well-being of children, while also recognising the importance of family and community support networks (Social Care Wales, 2025).</w:t>
            </w:r>
          </w:p>
          <w:p w14:paraId="47FE55DD" w14:textId="77777777" w:rsidR="00481474" w:rsidRPr="00411585" w:rsidRDefault="00481474" w:rsidP="00322E76">
            <w:pPr>
              <w:rPr>
                <w:sz w:val="24"/>
                <w:szCs w:val="24"/>
              </w:rPr>
            </w:pPr>
          </w:p>
          <w:p w14:paraId="229327F8" w14:textId="77777777" w:rsidR="003F59A6" w:rsidRPr="00411585" w:rsidRDefault="00322E76" w:rsidP="00481474">
            <w:pPr>
              <w:rPr>
                <w:sz w:val="24"/>
                <w:szCs w:val="24"/>
              </w:rPr>
            </w:pPr>
            <w:r w:rsidRPr="00411585">
              <w:rPr>
                <w:sz w:val="24"/>
                <w:szCs w:val="24"/>
              </w:rPr>
              <w:t>I worked collaboratively with the fostering team and with key agencies, including health and education professionals, in line with the National Multi-Agency Practice Framework for Children’s Services (Welsh Government, 2025b), which emphasises the importance of shared decision-making and coordinated safeguarding responses. Through multi-agency meetings and information sharing, we were able to build a fuller picture of the family’s strengths and risks.</w:t>
            </w:r>
            <w:r w:rsidR="00481474" w:rsidRPr="00411585">
              <w:rPr>
                <w:sz w:val="24"/>
                <w:szCs w:val="24"/>
              </w:rPr>
              <w:t xml:space="preserve"> </w:t>
            </w:r>
          </w:p>
          <w:p w14:paraId="4AC65CA2" w14:textId="77777777" w:rsidR="003F59A6" w:rsidRPr="00411585" w:rsidRDefault="003F59A6" w:rsidP="00481474">
            <w:pPr>
              <w:rPr>
                <w:sz w:val="24"/>
                <w:szCs w:val="24"/>
              </w:rPr>
            </w:pPr>
          </w:p>
          <w:p w14:paraId="4BE2A0D8" w14:textId="15555550" w:rsidR="00322E76" w:rsidRPr="00411585" w:rsidRDefault="00481474" w:rsidP="00322E76">
            <w:pPr>
              <w:rPr>
                <w:sz w:val="24"/>
                <w:szCs w:val="24"/>
              </w:rPr>
            </w:pPr>
            <w:r w:rsidRPr="00411585">
              <w:rPr>
                <w:sz w:val="24"/>
                <w:szCs w:val="24"/>
              </w:rPr>
              <w:t>I also reflected on the power dynamics present within the multi-agency context. As a newly qualified social worker, I was aware of the influence held by more senior professionals and specialist teams, particularly during the Care Standards assessment. These dynamics had the potential to shape outcomes in ways that did not fully reflect the lived experiences or strengths of the family. By facilitating collaborative discussions and advocating for the boys’ voices and rights, I aimed to challenge hierarchical decision-making and promote inclusive, child-centred practice.</w:t>
            </w:r>
          </w:p>
          <w:p w14:paraId="4EE3AF88" w14:textId="77777777" w:rsidR="00322E76" w:rsidRPr="00411585" w:rsidRDefault="00322E76" w:rsidP="00322E76">
            <w:pPr>
              <w:rPr>
                <w:sz w:val="24"/>
                <w:szCs w:val="24"/>
              </w:rPr>
            </w:pPr>
          </w:p>
          <w:p w14:paraId="504157DC" w14:textId="7587219B" w:rsidR="00322E76" w:rsidRPr="00411585" w:rsidRDefault="00322E76" w:rsidP="00322E76">
            <w:pPr>
              <w:rPr>
                <w:sz w:val="24"/>
                <w:szCs w:val="24"/>
              </w:rPr>
            </w:pPr>
            <w:r w:rsidRPr="00411585">
              <w:rPr>
                <w:sz w:val="24"/>
                <w:szCs w:val="24"/>
              </w:rPr>
              <w:t>To guide my</w:t>
            </w:r>
            <w:r w:rsidR="00595847" w:rsidRPr="00411585">
              <w:rPr>
                <w:sz w:val="24"/>
                <w:szCs w:val="24"/>
              </w:rPr>
              <w:t xml:space="preserve"> interventions and </w:t>
            </w:r>
            <w:r w:rsidRPr="00411585">
              <w:rPr>
                <w:sz w:val="24"/>
                <w:szCs w:val="24"/>
              </w:rPr>
              <w:t>analysis, I applied the Signs of Safety framework, a strengths-based, solution-focused model that supports collaborative engagement with families to assess risk and build safety plans (Turnell and Edwards, 1999). This approach helped me to identify protective factors within the family network and to involve the aunt in developing a realistic safety plan that addressed concerns while recognising her commitment to the children (Turnell and Edwards, 1999).</w:t>
            </w:r>
          </w:p>
          <w:p w14:paraId="0DE651FA" w14:textId="77777777" w:rsidR="004A6D8C" w:rsidRPr="00411585" w:rsidRDefault="004A6D8C" w:rsidP="004A6D8C">
            <w:pPr>
              <w:rPr>
                <w:sz w:val="24"/>
                <w:szCs w:val="24"/>
              </w:rPr>
            </w:pPr>
          </w:p>
          <w:p w14:paraId="57E38D68" w14:textId="2E68D147" w:rsidR="004A6D8C" w:rsidRPr="00411585" w:rsidRDefault="004A6D8C" w:rsidP="004A6D8C">
            <w:pPr>
              <w:rPr>
                <w:sz w:val="24"/>
                <w:szCs w:val="24"/>
              </w:rPr>
            </w:pPr>
            <w:r w:rsidRPr="00411585">
              <w:rPr>
                <w:sz w:val="24"/>
                <w:szCs w:val="24"/>
              </w:rPr>
              <w:t>It was also important to consider their Attachments and re traumatisation, we had already removed the boys from their birth parents due to similar safeguarding concerns, including substance misuse. This led to further reflection: by allowing them to remain in this placement, were we exposing them to continued risk and an intergenerational cycle? Or, conversely, by removing them, were we disrupting a secure attachment and potentially causing emotional harm? (Sciarrino, Hernandez and Davidtz, 2018). These tensions underscored the complexity of safeguarding decisions and the need to balance relational stability with professional accountability (McDermott et al., 2024).</w:t>
            </w:r>
          </w:p>
          <w:p w14:paraId="05E81CA6" w14:textId="77777777" w:rsidR="004A6D8C" w:rsidRPr="00411585" w:rsidRDefault="004A6D8C" w:rsidP="00322E76">
            <w:pPr>
              <w:rPr>
                <w:sz w:val="24"/>
                <w:szCs w:val="24"/>
              </w:rPr>
            </w:pPr>
          </w:p>
          <w:p w14:paraId="75D46125" w14:textId="77777777" w:rsidR="00322E76" w:rsidRPr="00411585" w:rsidRDefault="00322E76" w:rsidP="00322E76">
            <w:pPr>
              <w:rPr>
                <w:sz w:val="24"/>
                <w:szCs w:val="24"/>
              </w:rPr>
            </w:pPr>
            <w:r w:rsidRPr="00411585">
              <w:rPr>
                <w:sz w:val="24"/>
                <w:szCs w:val="24"/>
              </w:rPr>
              <w:t xml:space="preserve">Although the information gathered was at times conflicting, grounding my recommendations in legislation and a strengths-based approach ensured that the boys’ well-being remained central to the decision-making process. Drawing on evidence and multi-agency input, I </w:t>
            </w:r>
            <w:r w:rsidRPr="00411585">
              <w:rPr>
                <w:sz w:val="24"/>
                <w:szCs w:val="24"/>
              </w:rPr>
              <w:lastRenderedPageBreak/>
              <w:t>delivered a robust analytical assessment and made clear recommendations for the boys to remain in their aunt’s care, supported by a strengthened safety network.</w:t>
            </w:r>
          </w:p>
          <w:p w14:paraId="4CB981A2" w14:textId="77777777" w:rsidR="00666A53" w:rsidRPr="00411585" w:rsidRDefault="00666A53" w:rsidP="00322E76">
            <w:pPr>
              <w:rPr>
                <w:sz w:val="24"/>
                <w:szCs w:val="24"/>
              </w:rPr>
            </w:pPr>
          </w:p>
          <w:p w14:paraId="6F9FBA8E" w14:textId="49473B44" w:rsidR="00322E76" w:rsidRPr="00411585" w:rsidRDefault="00322E76" w:rsidP="00322E76">
            <w:pPr>
              <w:rPr>
                <w:sz w:val="24"/>
                <w:szCs w:val="24"/>
              </w:rPr>
            </w:pPr>
            <w:r w:rsidRPr="00411585">
              <w:rPr>
                <w:sz w:val="24"/>
                <w:szCs w:val="24"/>
              </w:rPr>
              <w:t>While my recommendations were firmly entrenched in safeguarding principles and aligned with the SSWBA, particularly its emphasis on co-production and collaboration (SSWWA 2014, s.6), However, they were ultimately overridden by the outcome of the Care Standards assessment. This highlighted the complexities of multi-agency decision-making, where differing professional perspectives and regulatory frameworks can lead to divergent outcomes.</w:t>
            </w:r>
          </w:p>
          <w:p w14:paraId="6BEA61B4" w14:textId="77777777" w:rsidR="00322E76" w:rsidRPr="00411585" w:rsidRDefault="00322E76" w:rsidP="00322E76">
            <w:pPr>
              <w:rPr>
                <w:sz w:val="24"/>
                <w:szCs w:val="24"/>
              </w:rPr>
            </w:pPr>
          </w:p>
          <w:p w14:paraId="5DC4CC00" w14:textId="6340345B" w:rsidR="00322E76" w:rsidRPr="00411585" w:rsidRDefault="00322E76" w:rsidP="00322E76">
            <w:pPr>
              <w:rPr>
                <w:sz w:val="24"/>
                <w:szCs w:val="24"/>
              </w:rPr>
            </w:pPr>
            <w:r w:rsidRPr="00411585">
              <w:rPr>
                <w:sz w:val="24"/>
                <w:szCs w:val="24"/>
              </w:rPr>
              <w:t>The assessments identified persistent breaches, risks and dishonesty. The aunt was subsequently deregistered, leaving the LAC team in a position where the carer was no longer approved and did not hold parental responsibility. Once a carer is deregistered, they are no longer legally permitted to care for children under fostering arrangements, even if they are relatives (Welsh Government, 2019b). This legal constraint directly influenced the decision to remove the children, despite the strength of their emotional bond with the carer. Ultimately, the twins were removed from their paternal aunt’s care.</w:t>
            </w:r>
          </w:p>
          <w:p w14:paraId="4616F7D1" w14:textId="77777777" w:rsidR="00322E76" w:rsidRPr="00411585" w:rsidRDefault="00322E76" w:rsidP="00322E76">
            <w:pPr>
              <w:rPr>
                <w:sz w:val="24"/>
                <w:szCs w:val="24"/>
              </w:rPr>
            </w:pPr>
          </w:p>
          <w:p w14:paraId="61D303EC" w14:textId="77777777" w:rsidR="00322E76" w:rsidRPr="00411585" w:rsidRDefault="00322E76" w:rsidP="00322E76">
            <w:pPr>
              <w:rPr>
                <w:sz w:val="24"/>
                <w:szCs w:val="24"/>
              </w:rPr>
            </w:pPr>
            <w:r w:rsidRPr="00411585">
              <w:rPr>
                <w:sz w:val="24"/>
                <w:szCs w:val="24"/>
              </w:rPr>
              <w:t>This raised a fundamental ethical concern: Are kinship carers held to a higher standard than birth parents, and is that fair to the children, who have a right to family life? Article 8 of the Human Rights Act 1998 protects the right to respect for private and family life, including maintaining relationships with close family members such as siblings, grandparents, and aunts (Human Rights Act 1998). The Children Act 1989 also emphasises that children are best cared for within their family networks unless intervention is necessary to safeguard their welfare (Children Act 1989).</w:t>
            </w:r>
          </w:p>
          <w:p w14:paraId="7316EDCF" w14:textId="77777777" w:rsidR="005E4E00" w:rsidRPr="00411585" w:rsidRDefault="005E4E00" w:rsidP="00322E76">
            <w:pPr>
              <w:rPr>
                <w:sz w:val="24"/>
                <w:szCs w:val="24"/>
              </w:rPr>
            </w:pPr>
          </w:p>
          <w:p w14:paraId="774A7276" w14:textId="77777777" w:rsidR="00322E76" w:rsidRPr="00411585" w:rsidRDefault="00322E76" w:rsidP="00322E76">
            <w:pPr>
              <w:rPr>
                <w:sz w:val="24"/>
                <w:szCs w:val="24"/>
              </w:rPr>
            </w:pPr>
            <w:r w:rsidRPr="00411585">
              <w:rPr>
                <w:sz w:val="24"/>
                <w:szCs w:val="24"/>
              </w:rPr>
              <w:t>This situation led me to question whether the threshold for significant harm would have been met had she been their birth parent. Under Section 31 of the Children Act 1989, a care order can only be made if the child is suffering or likely to suffer significant harm due to the care they are receiving or because they are beyond parental control (Children Act 1989).</w:t>
            </w:r>
          </w:p>
          <w:p w14:paraId="1BC375EE" w14:textId="77777777" w:rsidR="005E4E00" w:rsidRPr="00411585" w:rsidRDefault="005E4E00" w:rsidP="00322E76">
            <w:pPr>
              <w:rPr>
                <w:sz w:val="24"/>
                <w:szCs w:val="24"/>
              </w:rPr>
            </w:pPr>
          </w:p>
          <w:p w14:paraId="7E161120" w14:textId="77777777" w:rsidR="00322E76" w:rsidRPr="00411585" w:rsidRDefault="00322E76" w:rsidP="00322E76">
            <w:pPr>
              <w:rPr>
                <w:sz w:val="24"/>
                <w:szCs w:val="24"/>
              </w:rPr>
            </w:pPr>
            <w:r w:rsidRPr="00411585">
              <w:rPr>
                <w:sz w:val="24"/>
                <w:szCs w:val="24"/>
              </w:rPr>
              <w:t>I also considered the wider pressures on the foster care system in Wales, such as placement shortages and increasing demand, which can influence decision-making. Despite these systemic challenges, I remained focused on the individual needs and safety of the children, grounding my assessment in the principles of the Act and the Code of Professional Practice for Social Care (Social Care Wales, 2017; Welsh Government, 2025a).</w:t>
            </w:r>
          </w:p>
          <w:p w14:paraId="7C21181A" w14:textId="77777777" w:rsidR="005E4E00" w:rsidRPr="00411585" w:rsidRDefault="005E4E00" w:rsidP="00322E76">
            <w:pPr>
              <w:rPr>
                <w:sz w:val="24"/>
                <w:szCs w:val="24"/>
              </w:rPr>
            </w:pPr>
          </w:p>
          <w:p w14:paraId="2F9BE6FF" w14:textId="7E943E5B" w:rsidR="00322E76" w:rsidRPr="00411585" w:rsidRDefault="00322E76" w:rsidP="00322E76">
            <w:pPr>
              <w:rPr>
                <w:sz w:val="24"/>
                <w:szCs w:val="24"/>
              </w:rPr>
            </w:pPr>
            <w:r w:rsidRPr="00411585">
              <w:rPr>
                <w:sz w:val="24"/>
                <w:szCs w:val="24"/>
              </w:rPr>
              <w:t>To support my assessment and analysis, I utilised supervision to reflect on the complexities of the case and applied the Signs of Safety model to structure my thinking. This strengths-based, collaborative approach helped me assess both risk and protective factors. Supervision also provided a safe space to explore the ethical dilemmas I encountered. I often found myself asking: Could we have done anything differently?  Did we do the right thing? Could I have advocated differently? These reflective questions are central to ethical social work practice, where decisions are rarely straightforward and often leave a lingering sense of unease after making a difficult choice.</w:t>
            </w:r>
          </w:p>
          <w:p w14:paraId="1451FB08" w14:textId="77777777" w:rsidR="005E4E00" w:rsidRPr="00411585" w:rsidRDefault="005E4E00" w:rsidP="00322E76">
            <w:pPr>
              <w:rPr>
                <w:sz w:val="24"/>
                <w:szCs w:val="24"/>
              </w:rPr>
            </w:pPr>
          </w:p>
          <w:p w14:paraId="0AF98D8C" w14:textId="77777777" w:rsidR="00322E76" w:rsidRPr="00411585" w:rsidRDefault="00322E76" w:rsidP="00322E76">
            <w:pPr>
              <w:rPr>
                <w:sz w:val="24"/>
                <w:szCs w:val="24"/>
              </w:rPr>
            </w:pPr>
            <w:r w:rsidRPr="00411585">
              <w:rPr>
                <w:sz w:val="24"/>
                <w:szCs w:val="24"/>
              </w:rPr>
              <w:lastRenderedPageBreak/>
              <w:t>By using theory, legislation, and reflective thinking, I was able to balance different risks and protect the children’s rights. This experience strengthened my belief in the value of building strong relationships with children and families and showed me how important supervision is when facing difficult decisions. Supervision helps social workers reflect on their practice and manage the emotional demands of the role, recognised by Social Care Wales and the Regulation and Inspection of Social Care (Wales) Act 2016.  Carrying out thorough assessments and working closely with other professionals are also key to making safe and informed safe decisions that prioritise the child’s best interests. (Welsh Government, 2025b).</w:t>
            </w:r>
          </w:p>
          <w:p w14:paraId="53B1B6C2" w14:textId="77777777" w:rsidR="00F01897" w:rsidRPr="00411585" w:rsidRDefault="00F01897" w:rsidP="00E771E5">
            <w:pPr>
              <w:rPr>
                <w:sz w:val="24"/>
                <w:szCs w:val="24"/>
              </w:rPr>
            </w:pPr>
          </w:p>
          <w:p w14:paraId="7A34F8CC" w14:textId="7D2A1D44" w:rsidR="00E771E5" w:rsidRPr="00411585" w:rsidRDefault="00E771E5" w:rsidP="00E771E5">
            <w:pPr>
              <w:rPr>
                <w:sz w:val="24"/>
                <w:szCs w:val="24"/>
              </w:rPr>
            </w:pPr>
            <w:r w:rsidRPr="00411585">
              <w:rPr>
                <w:sz w:val="24"/>
                <w:szCs w:val="24"/>
              </w:rPr>
              <w:t>Trauma-informed theory recognises that early adversity can disrupt attachment, emotional regulation, and cognitive development (SAMHSA, 2014). The Trauma-Informed Wales Framework (Social Care Wales, 2023) outlines four principles: realisation, recognition, response, and resistance to re-traumatisation. These principles guided my approach to working with the twins and their carer. This theory also shaped my professional reflection. I recognised the importance of supervision and peer support in managing the emotional demands and safeguarding dilemmas, helping to prevent burnout and maintain professional resilience.</w:t>
            </w:r>
          </w:p>
          <w:p w14:paraId="718A961D" w14:textId="77777777" w:rsidR="003C194C" w:rsidRPr="00411585" w:rsidRDefault="003C194C" w:rsidP="00E771E5">
            <w:pPr>
              <w:rPr>
                <w:sz w:val="24"/>
                <w:szCs w:val="24"/>
              </w:rPr>
            </w:pPr>
          </w:p>
          <w:p w14:paraId="7F3555A2" w14:textId="77777777" w:rsidR="003C194C" w:rsidRPr="00411585" w:rsidRDefault="003C194C" w:rsidP="00E771E5">
            <w:pPr>
              <w:rPr>
                <w:sz w:val="24"/>
                <w:szCs w:val="24"/>
              </w:rPr>
            </w:pPr>
          </w:p>
          <w:p w14:paraId="1FE6D403" w14:textId="77777777" w:rsidR="00E771E5" w:rsidRPr="00411585" w:rsidRDefault="00E771E5" w:rsidP="00E771E5">
            <w:pPr>
              <w:rPr>
                <w:sz w:val="24"/>
                <w:szCs w:val="24"/>
              </w:rPr>
            </w:pPr>
            <w:r w:rsidRPr="00411585">
              <w:rPr>
                <w:sz w:val="24"/>
                <w:szCs w:val="24"/>
              </w:rPr>
              <w:t>As of 31 March 2024, there were 7,198 children looked after by local authorities in Wales (Welsh Government. (2025), reflecting a continued year-on-year increase in the number of children entering care. This continued rise puts substantial pressure on the foster care system, which is already experiencing significant strain due to a shortage of foster carers and limited resources (Social Care Wales, 2024). A key factor at the forefront of this dilemma was the limited availability of suitable placements, which raised the possibility of relocating the twins out of area. This posed significant ethical challenges, including potential disruption to their education, separation from familiar surroundings, and the risk of splitting the siblings. These concerns had to be carefully weighed against safeguarding risks and the long-term stability of their current placement.</w:t>
            </w:r>
          </w:p>
          <w:p w14:paraId="383463F8" w14:textId="77777777" w:rsidR="00543D93" w:rsidRPr="00411585" w:rsidRDefault="00543D93" w:rsidP="00E771E5">
            <w:pPr>
              <w:rPr>
                <w:sz w:val="24"/>
                <w:szCs w:val="24"/>
              </w:rPr>
            </w:pPr>
          </w:p>
          <w:p w14:paraId="645823CC" w14:textId="2E803894" w:rsidR="00047E61" w:rsidRPr="00411585" w:rsidRDefault="00E771E5" w:rsidP="00E771E5">
            <w:pPr>
              <w:rPr>
                <w:sz w:val="24"/>
                <w:szCs w:val="24"/>
              </w:rPr>
            </w:pPr>
            <w:r w:rsidRPr="00411585">
              <w:rPr>
                <w:sz w:val="24"/>
                <w:szCs w:val="24"/>
              </w:rPr>
              <w:t>This case presented multiple ethical dilemmas that challenged my professional judgement and emotional resilience. The most significant tension lay in balancing the rights and emotional needs of the children with the legal and professional standards imposed on the carer, who was also a registered foster carer. This dilemma was shaped by the requirements of the Regulated Fostering Services (Service Providers and Responsible Individuals) (Wales) Regulations 2019 (Welsh Government, 2019b), which set out the standards for foster carer approval and deregistration.</w:t>
            </w:r>
          </w:p>
          <w:p w14:paraId="500E6420" w14:textId="77777777" w:rsidR="0084160C" w:rsidRPr="00411585" w:rsidRDefault="0084160C" w:rsidP="00E771E5">
            <w:pPr>
              <w:rPr>
                <w:sz w:val="24"/>
                <w:szCs w:val="24"/>
              </w:rPr>
            </w:pPr>
          </w:p>
          <w:p w14:paraId="2628FBC6" w14:textId="4DE2F623" w:rsidR="0084160C" w:rsidRPr="00411585" w:rsidRDefault="0084160C" w:rsidP="00E771E5">
            <w:pPr>
              <w:rPr>
                <w:sz w:val="24"/>
                <w:szCs w:val="24"/>
              </w:rPr>
            </w:pPr>
            <w:r w:rsidRPr="00411585">
              <w:rPr>
                <w:sz w:val="24"/>
                <w:szCs w:val="24"/>
              </w:rPr>
              <w:t>Professionals are expected to uphold a higher standard of care in foster placements than we might in birth family settings, particularly when the local authority has corporate parenting responsibilities. This created a tension between legal thresholds and professional expectations, and required careful consideration of the children’s rights, emotional wellbeing, and long-term stability. This dilemma reinforced the importance of professional curiosity, reflective supervision, and ethical reasoning in safeguarding practice. It also highlighted the limitations of relying solely on statutory thresholds when assessing risk in complex family arrangements.</w:t>
            </w:r>
          </w:p>
          <w:p w14:paraId="152BA74F" w14:textId="77777777" w:rsidR="00543D93" w:rsidRPr="00411585" w:rsidRDefault="00543D93" w:rsidP="00E771E5">
            <w:pPr>
              <w:rPr>
                <w:sz w:val="24"/>
                <w:szCs w:val="24"/>
              </w:rPr>
            </w:pPr>
          </w:p>
          <w:p w14:paraId="09390137" w14:textId="5B5598B0" w:rsidR="00E771E5" w:rsidRPr="00411585" w:rsidRDefault="00E771E5" w:rsidP="00E771E5">
            <w:pPr>
              <w:rPr>
                <w:sz w:val="24"/>
                <w:szCs w:val="24"/>
              </w:rPr>
            </w:pPr>
            <w:r w:rsidRPr="00411585">
              <w:rPr>
                <w:sz w:val="24"/>
                <w:szCs w:val="24"/>
              </w:rPr>
              <w:t>At the same time, the S</w:t>
            </w:r>
            <w:r w:rsidR="00543D93" w:rsidRPr="00411585">
              <w:rPr>
                <w:sz w:val="24"/>
                <w:szCs w:val="24"/>
              </w:rPr>
              <w:t>SWBA</w:t>
            </w:r>
            <w:r w:rsidRPr="00411585">
              <w:rPr>
                <w:sz w:val="24"/>
                <w:szCs w:val="24"/>
              </w:rPr>
              <w:t xml:space="preserve"> (Welsh Government, 2014) and the United Nations Convention on the Rights of the Child (UNCRC) (United Nations, 1989) emphasis on the importance of promoting children's wellbeing, emotional stability, and their right to family life. These frameworks highlight the ethical complexity of safeguarding decisions, where legal compliance must be balanced with relational and rights-based practice.</w:t>
            </w:r>
          </w:p>
          <w:p w14:paraId="0A38CEF4" w14:textId="77777777" w:rsidR="00543D93" w:rsidRPr="00411585" w:rsidRDefault="00543D93" w:rsidP="00E771E5">
            <w:pPr>
              <w:rPr>
                <w:sz w:val="24"/>
                <w:szCs w:val="24"/>
              </w:rPr>
            </w:pPr>
          </w:p>
          <w:p w14:paraId="6AF061A3" w14:textId="77777777" w:rsidR="00E771E5" w:rsidRPr="00411585" w:rsidRDefault="00E771E5" w:rsidP="00E771E5">
            <w:pPr>
              <w:rPr>
                <w:sz w:val="24"/>
                <w:szCs w:val="24"/>
              </w:rPr>
            </w:pPr>
            <w:r w:rsidRPr="00411585">
              <w:rPr>
                <w:sz w:val="24"/>
                <w:szCs w:val="24"/>
              </w:rPr>
              <w:t>Drawing on the Code of Professional Practice for Social Care (Social Care Wales, 2017), I analysed the available information, considered the implications of different options, and made an evidence-informed decision that balanced risk with the potential for positive outcomes. This required me to justify my professional judgement, particularly where there were differing views among professionals involved in the case (Welsh Government, 2021).</w:t>
            </w:r>
          </w:p>
          <w:p w14:paraId="764B70B8" w14:textId="77777777" w:rsidR="00543D93" w:rsidRPr="00411585" w:rsidRDefault="00543D93" w:rsidP="00E771E5">
            <w:pPr>
              <w:rPr>
                <w:sz w:val="24"/>
                <w:szCs w:val="24"/>
              </w:rPr>
            </w:pPr>
          </w:p>
          <w:p w14:paraId="22DE8F12" w14:textId="77777777" w:rsidR="00E771E5" w:rsidRPr="00411585" w:rsidRDefault="00E771E5" w:rsidP="00E771E5">
            <w:pPr>
              <w:rPr>
                <w:sz w:val="24"/>
                <w:szCs w:val="24"/>
              </w:rPr>
            </w:pPr>
            <w:r w:rsidRPr="00411585">
              <w:rPr>
                <w:sz w:val="24"/>
                <w:szCs w:val="24"/>
              </w:rPr>
              <w:t>I also applied the SSWBA, which promotes a strengths-based, person-centred approach, and emphasises well-being, co-production, and integrated care planning. Additionally, the Rights of Children and Young Persons (Wales) Measure 2011 reinforced the importance of having due regard to the UNCRC, ensuring that the boys’ rights were central to all decision-making processes (Welsh Government, 2011).</w:t>
            </w:r>
          </w:p>
          <w:p w14:paraId="6836749C" w14:textId="77777777" w:rsidR="0084160C" w:rsidRPr="00411585" w:rsidRDefault="0084160C" w:rsidP="00E771E5">
            <w:pPr>
              <w:rPr>
                <w:sz w:val="24"/>
                <w:szCs w:val="24"/>
              </w:rPr>
            </w:pPr>
          </w:p>
          <w:p w14:paraId="4F236BE5" w14:textId="77777777" w:rsidR="00E771E5" w:rsidRPr="00411585" w:rsidRDefault="00E771E5" w:rsidP="00E771E5">
            <w:pPr>
              <w:rPr>
                <w:sz w:val="24"/>
                <w:szCs w:val="24"/>
              </w:rPr>
            </w:pPr>
            <w:r w:rsidRPr="00411585">
              <w:rPr>
                <w:sz w:val="24"/>
                <w:szCs w:val="24"/>
              </w:rPr>
              <w:t>By integrating legislation, professional standards, and evidence-based frameworks, I was able to make a balanced and defensible decision that prioritised the children’s safety and well-being, while also recognising and supporting the family’s capacity to care.</w:t>
            </w:r>
          </w:p>
          <w:p w14:paraId="605C4163" w14:textId="77777777" w:rsidR="00543D93" w:rsidRPr="00411585" w:rsidRDefault="00543D93" w:rsidP="00E771E5">
            <w:pPr>
              <w:rPr>
                <w:sz w:val="24"/>
                <w:szCs w:val="24"/>
              </w:rPr>
            </w:pPr>
          </w:p>
          <w:p w14:paraId="1C99A177" w14:textId="77777777" w:rsidR="00E771E5" w:rsidRPr="00411585" w:rsidRDefault="00E771E5" w:rsidP="00E771E5">
            <w:pPr>
              <w:rPr>
                <w:sz w:val="24"/>
                <w:szCs w:val="24"/>
              </w:rPr>
            </w:pPr>
            <w:r w:rsidRPr="00411585">
              <w:rPr>
                <w:sz w:val="24"/>
                <w:szCs w:val="24"/>
              </w:rPr>
              <w:t>Anti-oppressive practice involves recognising and challenging structural inequalities that affect service users. In this case, I was mindful of the potential for kinship carers to be marginalised within the fostering system, particularly when compared to formal foster carers. I used a strengths-based approach to highlight the aunt’s protective capacity and the boys’ attachment to her, resisting deficit-based narratives.</w:t>
            </w:r>
          </w:p>
          <w:p w14:paraId="0875F97E" w14:textId="77777777" w:rsidR="009F4DCF" w:rsidRPr="00411585" w:rsidRDefault="009F4DCF" w:rsidP="00E771E5">
            <w:pPr>
              <w:rPr>
                <w:sz w:val="24"/>
                <w:szCs w:val="24"/>
              </w:rPr>
            </w:pPr>
          </w:p>
          <w:p w14:paraId="4CD40BC6" w14:textId="77777777" w:rsidR="00E771E5" w:rsidRPr="00411585" w:rsidRDefault="00E771E5" w:rsidP="00E771E5">
            <w:pPr>
              <w:rPr>
                <w:sz w:val="24"/>
                <w:szCs w:val="24"/>
              </w:rPr>
            </w:pPr>
            <w:r w:rsidRPr="00411585">
              <w:rPr>
                <w:sz w:val="24"/>
                <w:szCs w:val="24"/>
              </w:rPr>
              <w:t>Balancing this ethical dilemma with the potential for harm, alongside the implications of entering the foster care system, was deeply challenging. Evidence suggests that children placed in kinship care experience fewer behavioural problems and more stable placements than those in traditional foster care (Jedwab et al., 2020). Yet kinship carers often receive less support and face stricter scrutiny, which may inadvertently disadvantage the children they care for (Hallett et al., 2021).</w:t>
            </w:r>
          </w:p>
          <w:p w14:paraId="6D24B869" w14:textId="77777777" w:rsidR="0084160C" w:rsidRPr="00411585" w:rsidRDefault="0084160C" w:rsidP="00E771E5">
            <w:pPr>
              <w:rPr>
                <w:sz w:val="24"/>
                <w:szCs w:val="24"/>
              </w:rPr>
            </w:pPr>
          </w:p>
          <w:p w14:paraId="7DD497F2" w14:textId="77777777" w:rsidR="00E771E5" w:rsidRPr="00411585" w:rsidRDefault="00E771E5" w:rsidP="00E771E5">
            <w:pPr>
              <w:rPr>
                <w:sz w:val="24"/>
                <w:szCs w:val="24"/>
              </w:rPr>
            </w:pPr>
            <w:r w:rsidRPr="00411585">
              <w:rPr>
                <w:sz w:val="24"/>
                <w:szCs w:val="24"/>
              </w:rPr>
              <w:t>The lack of a clear care plan for the boys, due to the carer’s lack of parental responsibility added another layer of complexity. The law did not offer a straightforward solution, and I had to navigate grey areas where professional judgement, child welfare, and legal frameworks intersected. The carer’s deregistration under foster care regulations meant she could no longer legally care for the children, despite their strong emotional bond. This legal constraint forced a decision that felt emotionally and ethically uncomfortable. I found myself torn between procedural compliance and relational ethics, between what the law required and what felt right for the children (Gray et al., 2016).</w:t>
            </w:r>
          </w:p>
          <w:p w14:paraId="2FADC5A7" w14:textId="77777777" w:rsidR="00543D93" w:rsidRPr="00411585" w:rsidRDefault="00543D93" w:rsidP="00E771E5">
            <w:pPr>
              <w:rPr>
                <w:sz w:val="24"/>
                <w:szCs w:val="24"/>
              </w:rPr>
            </w:pPr>
          </w:p>
          <w:p w14:paraId="2981AF82" w14:textId="77777777" w:rsidR="00D05C68" w:rsidRPr="00411585" w:rsidRDefault="00D05C68" w:rsidP="00D05C68">
            <w:pPr>
              <w:rPr>
                <w:sz w:val="24"/>
                <w:szCs w:val="24"/>
              </w:rPr>
            </w:pPr>
            <w:r w:rsidRPr="00411585">
              <w:rPr>
                <w:sz w:val="24"/>
                <w:szCs w:val="24"/>
              </w:rPr>
              <w:lastRenderedPageBreak/>
              <w:t>Despite this, I was able to uphold ethical practice and remain child-focused, even when the final decision did not reflect my professional judgement. This experience reinforced the importance of professional resilience, and the need to advocate for children’s rights and well-being in line with the Social Care Wales Code of Professional Practice (Social Care Wales, 2017).</w:t>
            </w:r>
          </w:p>
          <w:p w14:paraId="3656582E" w14:textId="77777777" w:rsidR="00D05C68" w:rsidRPr="00411585" w:rsidRDefault="00D05C68" w:rsidP="00E771E5">
            <w:pPr>
              <w:rPr>
                <w:sz w:val="24"/>
                <w:szCs w:val="24"/>
              </w:rPr>
            </w:pPr>
          </w:p>
          <w:p w14:paraId="5FD62A21" w14:textId="77777777" w:rsidR="00E771E5" w:rsidRPr="00411585" w:rsidRDefault="00E771E5" w:rsidP="00E771E5">
            <w:pPr>
              <w:rPr>
                <w:sz w:val="24"/>
                <w:szCs w:val="24"/>
              </w:rPr>
            </w:pPr>
            <w:r w:rsidRPr="00411585">
              <w:rPr>
                <w:sz w:val="24"/>
                <w:szCs w:val="24"/>
              </w:rPr>
              <w:t>This tension is not uncommon in child protection practice. Social workers frequently navigate complex ethical dilemmas where legalities conflict with relational and value-based approaches. The emphasis on procedural compliance can sometimes overshadow the importance of maintaining attachments and emotional stability for children (Murphy &amp; Murphy, 2024). The deregistration process, while necessary in some cases, can result in abrupt placement changes that disrupt secure relationships and compromise children's wellbeing, particularly in kinship care arrangements (Gibbs et al., 2022).</w:t>
            </w:r>
          </w:p>
          <w:p w14:paraId="4B4B622D" w14:textId="77777777" w:rsidR="00543D93" w:rsidRPr="00411585" w:rsidRDefault="00543D93" w:rsidP="00E771E5">
            <w:pPr>
              <w:rPr>
                <w:sz w:val="24"/>
                <w:szCs w:val="24"/>
              </w:rPr>
            </w:pPr>
          </w:p>
          <w:p w14:paraId="361B20B6" w14:textId="77777777" w:rsidR="00E771E5" w:rsidRPr="00411585" w:rsidRDefault="00E771E5" w:rsidP="00E771E5">
            <w:pPr>
              <w:rPr>
                <w:sz w:val="24"/>
                <w:szCs w:val="24"/>
              </w:rPr>
            </w:pPr>
            <w:r w:rsidRPr="00411585">
              <w:rPr>
                <w:sz w:val="24"/>
                <w:szCs w:val="24"/>
              </w:rPr>
              <w:t>I analysed the available information, considered the implications of different options, and made an evidence-informed decision that balanced risk with the potential for positive outcomes. This required me to justify my professional judgement, particularly when there were differing views among professionals involved in the case. I was mindful not to others views, or let personal views or past experiences influence my practice, ensuring my decisions aligned with the SSWBA), which promotes a person-centred, rights-based approach and requires practitioners to act with integrity, impartiality, and in the best interests of individuals (Social Care Wales, 2017; Social Care Wales, 2025).</w:t>
            </w:r>
          </w:p>
          <w:p w14:paraId="1A26F8E9" w14:textId="77777777" w:rsidR="00A1442F" w:rsidRPr="00411585" w:rsidRDefault="00A1442F" w:rsidP="00E771E5">
            <w:pPr>
              <w:rPr>
                <w:sz w:val="24"/>
                <w:szCs w:val="24"/>
              </w:rPr>
            </w:pPr>
          </w:p>
          <w:p w14:paraId="49C2AF19" w14:textId="77777777" w:rsidR="00E771E5" w:rsidRPr="00411585" w:rsidRDefault="00E771E5" w:rsidP="00E771E5">
            <w:pPr>
              <w:rPr>
                <w:sz w:val="24"/>
                <w:szCs w:val="24"/>
              </w:rPr>
            </w:pPr>
            <w:r w:rsidRPr="00411585">
              <w:rPr>
                <w:sz w:val="24"/>
                <w:szCs w:val="24"/>
              </w:rPr>
              <w:t>Brammer (2020) highlights the importance of recognising and reflecting on personal values, as they can influence social work practice. He notes that decisions are often shaped by a combination of personal and professional values, which can sometimes conflict with those of others. In my experience, there was a noticeable difference in perspective between myself and the supervising social worker, which, on reflection, may have stemmed from our individual value systems. Conflicts like this are common in practice. However, it is essential to ensure that personal values and experiences do not ultimately drive decision-making or professional conduct. Social Work England (2020) also emphasises that while respecting others’ values is important, this should not extend to views that may cause harm.</w:t>
            </w:r>
          </w:p>
          <w:p w14:paraId="4E179806" w14:textId="77777777" w:rsidR="00E771E5" w:rsidRPr="00411585" w:rsidRDefault="00E771E5" w:rsidP="00E771E5">
            <w:pPr>
              <w:rPr>
                <w:sz w:val="24"/>
                <w:szCs w:val="24"/>
              </w:rPr>
            </w:pPr>
          </w:p>
          <w:p w14:paraId="39CEE5C3" w14:textId="77777777" w:rsidR="00E771E5" w:rsidRPr="00411585" w:rsidRDefault="00E771E5" w:rsidP="00E771E5">
            <w:pPr>
              <w:rPr>
                <w:sz w:val="24"/>
                <w:szCs w:val="24"/>
              </w:rPr>
            </w:pPr>
            <w:r w:rsidRPr="00411585">
              <w:rPr>
                <w:sz w:val="24"/>
                <w:szCs w:val="24"/>
              </w:rPr>
              <w:t>Additionally, I used trauma-informed principles, as outlined in the Trauma-Informed Wales Framework (Welsh Government, 2025), to understand the impact of adverse childhood experiences (ACEs) on the children and their caregiver. This involved being sensitive to the effects of trauma, avoiding re-traumatisation, and promoting resilience through respectful, empathetic, and relationship-based practice.</w:t>
            </w:r>
          </w:p>
          <w:p w14:paraId="65FDACD7" w14:textId="77777777" w:rsidR="00A1442F" w:rsidRPr="00411585" w:rsidRDefault="00A1442F" w:rsidP="00E771E5">
            <w:pPr>
              <w:rPr>
                <w:sz w:val="24"/>
                <w:szCs w:val="24"/>
              </w:rPr>
            </w:pPr>
          </w:p>
          <w:p w14:paraId="51514EB1" w14:textId="77777777" w:rsidR="00E771E5" w:rsidRPr="00411585" w:rsidRDefault="00E771E5" w:rsidP="00E771E5">
            <w:pPr>
              <w:rPr>
                <w:sz w:val="24"/>
                <w:szCs w:val="24"/>
              </w:rPr>
            </w:pPr>
            <w:r w:rsidRPr="00411585">
              <w:rPr>
                <w:sz w:val="24"/>
                <w:szCs w:val="24"/>
              </w:rPr>
              <w:t>I drew on attachment theory, developed by John Bowlby and Mary Ainsworth, which highlights the importance of secure emotional bonds between children and their caregivers as a foundation for healthy development. The theory suggests that the quality of these early relationships can significantly influence long-term emotional and social outcomes (Bretherton, 1992; BASW, 2023).</w:t>
            </w:r>
          </w:p>
          <w:p w14:paraId="1C0E77B7" w14:textId="77777777" w:rsidR="00E771E5" w:rsidRPr="00411585" w:rsidRDefault="00E771E5" w:rsidP="00E771E5">
            <w:pPr>
              <w:rPr>
                <w:sz w:val="24"/>
                <w:szCs w:val="24"/>
              </w:rPr>
            </w:pPr>
          </w:p>
          <w:p w14:paraId="0C3475BE" w14:textId="359B7193" w:rsidR="00322E76" w:rsidRPr="00411585" w:rsidRDefault="00E771E5" w:rsidP="0065222A">
            <w:pPr>
              <w:rPr>
                <w:sz w:val="24"/>
                <w:szCs w:val="24"/>
              </w:rPr>
            </w:pPr>
            <w:r w:rsidRPr="00411585">
              <w:rPr>
                <w:sz w:val="24"/>
                <w:szCs w:val="24"/>
              </w:rPr>
              <w:lastRenderedPageBreak/>
              <w:t>I also applied systems theory, which views individuals as part of interconnected systems, such as families, communities, and professional networks, where changes in one part of the system can affect the whole (Maclean &amp; Harrison, 2015). This perspective helped me assess how the dynamics between the family and professionals influenced the boys’ outcomes and informed my recommendations (Maclean &amp; Harrison, 2015; Uzonwanne, 2016).</w:t>
            </w:r>
          </w:p>
          <w:p w14:paraId="3D5ACCD7" w14:textId="77777777" w:rsidR="00BF4057" w:rsidRPr="00411585" w:rsidRDefault="00BF4057" w:rsidP="00FC5520">
            <w:pPr>
              <w:rPr>
                <w:sz w:val="24"/>
                <w:szCs w:val="24"/>
              </w:rPr>
            </w:pPr>
          </w:p>
          <w:p w14:paraId="5F712986" w14:textId="77777777" w:rsidR="00BF4057" w:rsidRPr="00411585" w:rsidRDefault="00BF4057" w:rsidP="00BF4057">
            <w:pPr>
              <w:rPr>
                <w:sz w:val="24"/>
                <w:szCs w:val="24"/>
              </w:rPr>
            </w:pPr>
            <w:r w:rsidRPr="00411585">
              <w:rPr>
                <w:sz w:val="24"/>
                <w:szCs w:val="24"/>
              </w:rPr>
              <w:t>This case has profoundly shaped my understanding of safeguarding in complex family arrangements. I learned the importance of professional curiosity, even when harm is unclear, we must act. That legal framework doesn’t always offer ethical clarity, especially when carers fall between parental and professional roles. The value of multi-agency collaboration and reflective supervision in navigating uncertainty. That 'good enough' care sometimes replaces ideal outcomes when perfection isn’t possible. I continue to reflect on whether removal was the right decision. The children lost a maternal figure, but they gained safety and stability. This tension is at the heart of social work.</w:t>
            </w:r>
            <w:r w:rsidRPr="00411585">
              <w:rPr>
                <w:sz w:val="24"/>
                <w:szCs w:val="24"/>
              </w:rPr>
              <w:br/>
            </w:r>
            <w:r w:rsidRPr="00411585">
              <w:rPr>
                <w:sz w:val="24"/>
                <w:szCs w:val="24"/>
              </w:rPr>
              <w:br/>
              <w:t>Safeguarding in foster care needs a careful, trauma-informed, and legally sound approach. This case study shows how emotionally and ethically complex it can be to work with Looked After Children in Wales. The SSWBA out the legal duty for local authorities to protect and support the well-being of children in their care, including those living with relatives or foster carers (SSWWA, Part 6). Trauma-informed practice, as promoted by Social Care Wales, highlights the need to understand how adverse childhood experiences affect children and to use this understanding in all aspects of care and decision-making (Social Care Wales, 2023).</w:t>
            </w:r>
          </w:p>
          <w:p w14:paraId="115B92D3" w14:textId="10919DAE" w:rsidR="00FC5520" w:rsidRPr="008564F2" w:rsidRDefault="00FC5520" w:rsidP="00FC5520">
            <w:pPr>
              <w:rPr>
                <w:sz w:val="24"/>
                <w:szCs w:val="24"/>
              </w:rPr>
            </w:pPr>
            <w:r w:rsidRPr="008564F2">
              <w:rPr>
                <w:sz w:val="24"/>
                <w:szCs w:val="24"/>
              </w:rPr>
              <w:t xml:space="preserve"> </w:t>
            </w:r>
          </w:p>
          <w:p w14:paraId="3D1C8E3A" w14:textId="77777777" w:rsidR="00FC5520" w:rsidRPr="00FC5520" w:rsidRDefault="00FC5520" w:rsidP="00FC5520">
            <w:pPr>
              <w:rPr>
                <w:sz w:val="24"/>
                <w:szCs w:val="24"/>
              </w:rPr>
            </w:pPr>
          </w:p>
          <w:p w14:paraId="011C6460" w14:textId="2D8FFBFB" w:rsidR="00FC5520" w:rsidRPr="00FC5520" w:rsidRDefault="00FC5520" w:rsidP="00FC5520">
            <w:pPr>
              <w:rPr>
                <w:sz w:val="24"/>
                <w:szCs w:val="24"/>
              </w:rPr>
            </w:pPr>
            <w:r w:rsidRPr="00FC5520">
              <w:rPr>
                <w:sz w:val="24"/>
                <w:szCs w:val="24"/>
              </w:rPr>
              <w:t>Word Count 4</w:t>
            </w:r>
            <w:r w:rsidR="00A1442F">
              <w:rPr>
                <w:sz w:val="24"/>
                <w:szCs w:val="24"/>
              </w:rPr>
              <w:t>33</w:t>
            </w:r>
            <w:r w:rsidR="00411585">
              <w:rPr>
                <w:sz w:val="24"/>
                <w:szCs w:val="24"/>
              </w:rPr>
              <w:t>5</w:t>
            </w:r>
          </w:p>
          <w:p w14:paraId="0AA66BE6" w14:textId="77777777" w:rsidR="00FC5520" w:rsidRDefault="00FC5520">
            <w:pPr>
              <w:jc w:val="both"/>
              <w:rPr>
                <w:sz w:val="24"/>
                <w:szCs w:val="24"/>
              </w:rPr>
            </w:pPr>
          </w:p>
          <w:p w14:paraId="720BAD1B" w14:textId="77777777" w:rsidR="007B1E03" w:rsidRPr="007B1E03" w:rsidRDefault="007B1E03">
            <w:pPr>
              <w:jc w:val="both"/>
              <w:rPr>
                <w:sz w:val="28"/>
                <w:szCs w:val="28"/>
              </w:rPr>
            </w:pPr>
          </w:p>
          <w:p w14:paraId="20370495" w14:textId="1DF33B94" w:rsidR="00D3203C" w:rsidRPr="007B1E03"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B1E03">
              <w:rPr>
                <w:i/>
                <w:sz w:val="24"/>
                <w:szCs w:val="24"/>
              </w:rPr>
              <w:t xml:space="preserve">. </w:t>
            </w:r>
          </w:p>
          <w:p w14:paraId="12DC2F24" w14:textId="24094196" w:rsidR="00D3203C" w:rsidRDefault="00D3203C" w:rsidP="00FF7EBB">
            <w:pPr>
              <w:jc w:val="both"/>
              <w:rPr>
                <w:i/>
                <w:sz w:val="24"/>
                <w:szCs w:val="24"/>
              </w:rPr>
            </w:pPr>
          </w:p>
          <w:p w14:paraId="1225D23D" w14:textId="1A5ED32E" w:rsidR="00D3203C" w:rsidRDefault="00FC5520" w:rsidP="00FF7EBB">
            <w:pPr>
              <w:jc w:val="both"/>
              <w:rPr>
                <w:i/>
                <w:sz w:val="24"/>
                <w:szCs w:val="24"/>
              </w:rPr>
            </w:pPr>
            <w:bookmarkStart w:id="0" w:name="_Hlk210785219"/>
            <w:r>
              <w:rPr>
                <w:i/>
                <w:sz w:val="24"/>
                <w:szCs w:val="24"/>
              </w:rPr>
              <w:t>References</w:t>
            </w:r>
          </w:p>
          <w:p w14:paraId="7C0B70F8" w14:textId="77777777" w:rsidR="00FC5520" w:rsidRDefault="00FC5520" w:rsidP="00FF7EBB">
            <w:pPr>
              <w:jc w:val="both"/>
              <w:rPr>
                <w:i/>
                <w:sz w:val="24"/>
                <w:szCs w:val="24"/>
              </w:rPr>
            </w:pPr>
          </w:p>
          <w:p w14:paraId="058869C4" w14:textId="77777777" w:rsidR="00FC5520" w:rsidRPr="00FC5520" w:rsidRDefault="00FC5520" w:rsidP="00FC5520">
            <w:pPr>
              <w:rPr>
                <w:sz w:val="24"/>
                <w:szCs w:val="24"/>
              </w:rPr>
            </w:pPr>
            <w:r w:rsidRPr="00FC5520">
              <w:rPr>
                <w:sz w:val="24"/>
                <w:szCs w:val="24"/>
              </w:rPr>
              <w:t xml:space="preserve">Brandon, M., Lewis, A. and Thoburn, J. (1996) ‘The Children Act definition of “significant harm” – interpretations in practice’, </w:t>
            </w:r>
            <w:r w:rsidRPr="00FC5520">
              <w:rPr>
                <w:i/>
                <w:sz w:val="24"/>
                <w:szCs w:val="24"/>
              </w:rPr>
              <w:t>Health and Social Care in the Community</w:t>
            </w:r>
            <w:r w:rsidRPr="00FC5520">
              <w:rPr>
                <w:sz w:val="24"/>
                <w:szCs w:val="24"/>
              </w:rPr>
              <w:t>, 4(1), pp. 11–20. Available at: https://doi.org/10.1111/j.1365-2524.1996.tb00043.x</w:t>
            </w:r>
          </w:p>
          <w:p w14:paraId="682DFA52" w14:textId="77777777" w:rsidR="00E07AD3" w:rsidRPr="003C4E19" w:rsidRDefault="00E07AD3" w:rsidP="00E07AD3">
            <w:pPr>
              <w:spacing w:line="360" w:lineRule="auto"/>
              <w:jc w:val="both"/>
              <w:rPr>
                <w:sz w:val="24"/>
                <w:szCs w:val="24"/>
              </w:rPr>
            </w:pPr>
          </w:p>
          <w:p w14:paraId="46E91399" w14:textId="77777777" w:rsidR="00E07AD3" w:rsidRPr="003C4E19" w:rsidRDefault="00E07AD3" w:rsidP="00E07AD3">
            <w:pPr>
              <w:spacing w:line="360" w:lineRule="auto"/>
              <w:jc w:val="both"/>
              <w:rPr>
                <w:sz w:val="24"/>
                <w:szCs w:val="24"/>
              </w:rPr>
            </w:pPr>
            <w:r w:rsidRPr="003C4E19">
              <w:rPr>
                <w:sz w:val="24"/>
                <w:szCs w:val="24"/>
              </w:rPr>
              <w:t xml:space="preserve">Brammer, A. (2020). </w:t>
            </w:r>
            <w:r w:rsidRPr="003C4E19">
              <w:rPr>
                <w:i/>
                <w:sz w:val="24"/>
                <w:szCs w:val="24"/>
              </w:rPr>
              <w:t>Social Work Law</w:t>
            </w:r>
            <w:r w:rsidRPr="003C4E19">
              <w:rPr>
                <w:sz w:val="24"/>
                <w:szCs w:val="24"/>
              </w:rPr>
              <w:t xml:space="preserve"> (5</w:t>
            </w:r>
            <w:r w:rsidRPr="003C4E19">
              <w:rPr>
                <w:sz w:val="24"/>
                <w:szCs w:val="24"/>
                <w:vertAlign w:val="superscript"/>
              </w:rPr>
              <w:t>th</w:t>
            </w:r>
            <w:r w:rsidRPr="003C4E19">
              <w:rPr>
                <w:sz w:val="24"/>
                <w:szCs w:val="24"/>
              </w:rPr>
              <w:t xml:space="preserve"> ed.). Pearson. </w:t>
            </w:r>
          </w:p>
          <w:p w14:paraId="413D4FDF" w14:textId="77777777" w:rsidR="00E07AD3" w:rsidRDefault="00E07AD3" w:rsidP="00FC5520">
            <w:pPr>
              <w:rPr>
                <w:sz w:val="24"/>
                <w:szCs w:val="24"/>
              </w:rPr>
            </w:pPr>
          </w:p>
          <w:p w14:paraId="5D4E2A31" w14:textId="0BF4FACE" w:rsidR="00FC5520" w:rsidRPr="00FC5520" w:rsidRDefault="00FC5520" w:rsidP="00FC5520">
            <w:pPr>
              <w:rPr>
                <w:sz w:val="24"/>
                <w:szCs w:val="24"/>
              </w:rPr>
            </w:pPr>
            <w:r w:rsidRPr="00FC5520">
              <w:rPr>
                <w:sz w:val="24"/>
                <w:szCs w:val="24"/>
              </w:rPr>
              <w:t xml:space="preserve">Bretherton, I. (1992). </w:t>
            </w:r>
            <w:r w:rsidRPr="00FC5520">
              <w:rPr>
                <w:i/>
                <w:sz w:val="24"/>
                <w:szCs w:val="24"/>
              </w:rPr>
              <w:t>The Origins of Attachment Theory: John Bowlby and Mary Ainsworth</w:t>
            </w:r>
            <w:r w:rsidRPr="00FC5520">
              <w:rPr>
                <w:sz w:val="24"/>
                <w:szCs w:val="24"/>
              </w:rPr>
              <w:t>. Developmental Psychology, 28(5), 759–775. Available at: www.researchgate.net</w:t>
            </w:r>
          </w:p>
          <w:p w14:paraId="5097F6F7" w14:textId="77777777" w:rsidR="00FC5520" w:rsidRDefault="00FC5520" w:rsidP="00FC5520">
            <w:pPr>
              <w:rPr>
                <w:sz w:val="24"/>
                <w:szCs w:val="24"/>
              </w:rPr>
            </w:pPr>
          </w:p>
          <w:p w14:paraId="1AB5772A" w14:textId="372CE69D" w:rsidR="00FC5520" w:rsidRPr="00FC5520" w:rsidRDefault="00FC5520" w:rsidP="00FC5520">
            <w:pPr>
              <w:rPr>
                <w:sz w:val="24"/>
                <w:szCs w:val="24"/>
              </w:rPr>
            </w:pPr>
            <w:r w:rsidRPr="00FC5520">
              <w:rPr>
                <w:sz w:val="24"/>
                <w:szCs w:val="24"/>
              </w:rPr>
              <w:t>Children Act 1989, c.41. Available at: https://www.legislation.gov.uk/ukpga/1989/41/contents (Accessed: 7 October 2025).</w:t>
            </w:r>
          </w:p>
          <w:p w14:paraId="674F26F0" w14:textId="77777777" w:rsidR="00FC5520" w:rsidRDefault="00FC5520" w:rsidP="00FC5520">
            <w:pPr>
              <w:rPr>
                <w:sz w:val="24"/>
                <w:szCs w:val="24"/>
              </w:rPr>
            </w:pPr>
          </w:p>
          <w:p w14:paraId="3EA9462C" w14:textId="70EA4B14" w:rsidR="00FC5520" w:rsidRPr="00FC5520" w:rsidRDefault="00FC5520" w:rsidP="00FC5520">
            <w:pPr>
              <w:rPr>
                <w:sz w:val="24"/>
                <w:szCs w:val="24"/>
              </w:rPr>
            </w:pPr>
            <w:r w:rsidRPr="00FC5520">
              <w:rPr>
                <w:sz w:val="24"/>
                <w:szCs w:val="24"/>
              </w:rPr>
              <w:lastRenderedPageBreak/>
              <w:t xml:space="preserve">Children in Wales. (2014). </w:t>
            </w:r>
            <w:r w:rsidRPr="00FC5520">
              <w:rPr>
                <w:i/>
                <w:sz w:val="24"/>
                <w:szCs w:val="24"/>
              </w:rPr>
              <w:t>Kinship Care Guide for Wales: Children cared for by family or friends</w:t>
            </w:r>
            <w:r w:rsidRPr="00FC5520">
              <w:rPr>
                <w:sz w:val="24"/>
                <w:szCs w:val="24"/>
              </w:rPr>
              <w:t>. Cardiff: Children in Wales. Available at: https://cysur.wales/media/aqldjhwv/wales-kinship-care-guide-english-web.pdf (Accessed: 7 October 2025).</w:t>
            </w:r>
          </w:p>
          <w:p w14:paraId="25582F4C" w14:textId="77777777" w:rsidR="00FC5520" w:rsidRDefault="00FC5520" w:rsidP="00FC5520">
            <w:pPr>
              <w:rPr>
                <w:sz w:val="24"/>
                <w:szCs w:val="24"/>
              </w:rPr>
            </w:pPr>
          </w:p>
          <w:p w14:paraId="7EF5DD7F" w14:textId="6295BBF2" w:rsidR="00FC5520" w:rsidRPr="00FC5520" w:rsidRDefault="00FC5520" w:rsidP="00FC5520">
            <w:pPr>
              <w:rPr>
                <w:sz w:val="24"/>
                <w:szCs w:val="24"/>
              </w:rPr>
            </w:pPr>
            <w:proofErr w:type="spellStart"/>
            <w:r w:rsidRPr="00FC5520">
              <w:rPr>
                <w:sz w:val="24"/>
                <w:szCs w:val="24"/>
              </w:rPr>
              <w:t>Chodura</w:t>
            </w:r>
            <w:proofErr w:type="spellEnd"/>
            <w:r w:rsidRPr="00FC5520">
              <w:rPr>
                <w:sz w:val="24"/>
                <w:szCs w:val="24"/>
              </w:rPr>
              <w:t xml:space="preserve">, S., Lohaus, A., </w:t>
            </w:r>
            <w:proofErr w:type="spellStart"/>
            <w:r w:rsidRPr="00FC5520">
              <w:rPr>
                <w:sz w:val="24"/>
                <w:szCs w:val="24"/>
              </w:rPr>
              <w:t>Symanzik</w:t>
            </w:r>
            <w:proofErr w:type="spellEnd"/>
            <w:r w:rsidRPr="00FC5520">
              <w:rPr>
                <w:sz w:val="24"/>
                <w:szCs w:val="24"/>
              </w:rPr>
              <w:t xml:space="preserve">, T., Heinrichs, N. and Konrad, K. (2021) ‘Foster parents’ parenting and the social-emotional development and adaptive functioning of children in foster care: A PRISMA-guided literature review and meta-analysis’, </w:t>
            </w:r>
            <w:r w:rsidRPr="00FC5520">
              <w:rPr>
                <w:i/>
                <w:sz w:val="24"/>
                <w:szCs w:val="24"/>
              </w:rPr>
              <w:t>Clinical Child and Family Psychology Review</w:t>
            </w:r>
            <w:r w:rsidRPr="00FC5520">
              <w:rPr>
                <w:sz w:val="24"/>
                <w:szCs w:val="24"/>
              </w:rPr>
              <w:t>, 24, pp. 326–347. Available at: https://link.springer.com/article/10.1007/s10567-020-00336-y (Accessed: 8 October 2025).</w:t>
            </w:r>
          </w:p>
          <w:p w14:paraId="0A9C3460" w14:textId="77777777" w:rsidR="00FC5520" w:rsidRDefault="00FC5520" w:rsidP="00FC5520">
            <w:pPr>
              <w:rPr>
                <w:sz w:val="24"/>
                <w:szCs w:val="24"/>
              </w:rPr>
            </w:pPr>
          </w:p>
          <w:p w14:paraId="393F5756" w14:textId="5A5BB0D8" w:rsidR="00FC5520" w:rsidRPr="00FC5520" w:rsidRDefault="00FC5520" w:rsidP="00FC5520">
            <w:pPr>
              <w:rPr>
                <w:sz w:val="24"/>
                <w:szCs w:val="24"/>
              </w:rPr>
            </w:pPr>
            <w:r w:rsidRPr="00FC5520">
              <w:rPr>
                <w:sz w:val="24"/>
                <w:szCs w:val="24"/>
              </w:rPr>
              <w:t xml:space="preserve">Duncan, M. (2019) </w:t>
            </w:r>
            <w:r w:rsidRPr="00FC5520">
              <w:rPr>
                <w:i/>
                <w:sz w:val="24"/>
                <w:szCs w:val="24"/>
              </w:rPr>
              <w:t>Participation in Child Protection: Theorizing Children’s Perspectives</w:t>
            </w:r>
            <w:r w:rsidRPr="00FC5520">
              <w:rPr>
                <w:sz w:val="24"/>
                <w:szCs w:val="24"/>
              </w:rPr>
              <w:t>. Cham: Palgrave Macmillan. Available at: https://doi.org/10.1007/978-3-319-93824-0 (Accessed: 8 October 2025).</w:t>
            </w:r>
          </w:p>
          <w:p w14:paraId="072CBD02" w14:textId="77777777" w:rsidR="00FC5520" w:rsidRDefault="00FC5520" w:rsidP="00FC5520">
            <w:pPr>
              <w:rPr>
                <w:sz w:val="24"/>
                <w:szCs w:val="24"/>
              </w:rPr>
            </w:pPr>
          </w:p>
          <w:p w14:paraId="4AF94F95" w14:textId="77777777" w:rsidR="006C5AB1" w:rsidRPr="00DB0F86" w:rsidRDefault="006C5AB1" w:rsidP="006C5AB1">
            <w:pPr>
              <w:rPr>
                <w:sz w:val="24"/>
                <w:szCs w:val="24"/>
              </w:rPr>
            </w:pPr>
            <w:r w:rsidRPr="00DB0F86">
              <w:rPr>
                <w:sz w:val="24"/>
                <w:szCs w:val="24"/>
              </w:rPr>
              <w:t xml:space="preserve">Feldman, G. (2019) </w:t>
            </w:r>
            <w:r w:rsidRPr="00DB0F86">
              <w:rPr>
                <w:i/>
                <w:iCs/>
                <w:sz w:val="24"/>
                <w:szCs w:val="24"/>
              </w:rPr>
              <w:t>Towards a relational approach to poverty in social work: Research and practice considerations</w:t>
            </w:r>
            <w:r w:rsidRPr="00DB0F86">
              <w:rPr>
                <w:sz w:val="24"/>
                <w:szCs w:val="24"/>
              </w:rPr>
              <w:t>. British Journal of Social Work, 49(7), pp. 1705–1722. Available at: https://doi.org/10.1093/bjsw/bcy111 (Accessed: 5 October 2025).</w:t>
            </w:r>
          </w:p>
          <w:p w14:paraId="20251DEA" w14:textId="77777777" w:rsidR="006C5AB1" w:rsidRDefault="006C5AB1" w:rsidP="00FC5520">
            <w:pPr>
              <w:rPr>
                <w:sz w:val="24"/>
                <w:szCs w:val="24"/>
              </w:rPr>
            </w:pPr>
          </w:p>
          <w:p w14:paraId="4E063E01" w14:textId="431B3E2B" w:rsidR="00FC5520" w:rsidRPr="00FC5520" w:rsidRDefault="00FC5520" w:rsidP="00FC5520">
            <w:pPr>
              <w:rPr>
                <w:sz w:val="24"/>
                <w:szCs w:val="24"/>
              </w:rPr>
            </w:pPr>
            <w:r w:rsidRPr="00FC5520">
              <w:rPr>
                <w:sz w:val="24"/>
                <w:szCs w:val="24"/>
              </w:rPr>
              <w:t xml:space="preserve">Gibbs, D.J., Ansong, D., Brevard, K.C., Childs, S. and Francis, A.M. (2022) ‘Improving parenting competency and permanency awareness for kinship foster parents through in-service licensure training’, </w:t>
            </w:r>
            <w:r w:rsidRPr="00FC5520">
              <w:rPr>
                <w:i/>
                <w:sz w:val="24"/>
                <w:szCs w:val="24"/>
              </w:rPr>
              <w:t>Child and Adolescent Social Work Journal</w:t>
            </w:r>
            <w:r w:rsidRPr="00FC5520">
              <w:rPr>
                <w:sz w:val="24"/>
                <w:szCs w:val="24"/>
              </w:rPr>
              <w:t>, 39, pp. 595–606. Available at: https://doi.org/10.1007/s10560-022-00844-6</w:t>
            </w:r>
          </w:p>
          <w:p w14:paraId="6C6C1E4C" w14:textId="77777777" w:rsidR="00FC5520" w:rsidRDefault="00FC5520" w:rsidP="00FC5520">
            <w:pPr>
              <w:rPr>
                <w:sz w:val="24"/>
                <w:szCs w:val="24"/>
              </w:rPr>
            </w:pPr>
          </w:p>
          <w:p w14:paraId="60859C4E" w14:textId="2591FB8D" w:rsidR="00FC5520" w:rsidRPr="00FC5520" w:rsidRDefault="00FC5520" w:rsidP="00FC5520">
            <w:pPr>
              <w:rPr>
                <w:sz w:val="24"/>
                <w:szCs w:val="24"/>
              </w:rPr>
            </w:pPr>
            <w:r w:rsidRPr="00FC5520">
              <w:rPr>
                <w:sz w:val="24"/>
                <w:szCs w:val="24"/>
              </w:rPr>
              <w:t xml:space="preserve">Gray, M., Plath, D. and Webb, S.A. (2016) </w:t>
            </w:r>
            <w:r w:rsidRPr="00FC5520">
              <w:rPr>
                <w:i/>
                <w:sz w:val="24"/>
                <w:szCs w:val="24"/>
              </w:rPr>
              <w:t>Social Work Theories and Methods</w:t>
            </w:r>
            <w:r w:rsidRPr="00FC5520">
              <w:rPr>
                <w:sz w:val="24"/>
                <w:szCs w:val="24"/>
              </w:rPr>
              <w:t>. London: SAGE Publications.</w:t>
            </w:r>
          </w:p>
          <w:p w14:paraId="629072AD" w14:textId="77777777" w:rsidR="00FC5520" w:rsidRDefault="00FC5520" w:rsidP="00FC5520">
            <w:pPr>
              <w:rPr>
                <w:sz w:val="24"/>
                <w:szCs w:val="24"/>
              </w:rPr>
            </w:pPr>
          </w:p>
          <w:p w14:paraId="00CA446A" w14:textId="0B18CBA0" w:rsidR="00FC5520" w:rsidRDefault="00FC5520" w:rsidP="00FC5520">
            <w:pPr>
              <w:rPr>
                <w:sz w:val="24"/>
                <w:szCs w:val="24"/>
              </w:rPr>
            </w:pPr>
            <w:r w:rsidRPr="00FC5520">
              <w:rPr>
                <w:sz w:val="24"/>
                <w:szCs w:val="24"/>
              </w:rPr>
              <w:t xml:space="preserve">Hallett, N., Garstang, J. and Taylor, J. (2021) ‘Kinship care and child protection in high-income countries: A scoping review’, </w:t>
            </w:r>
            <w:r w:rsidRPr="00FC5520">
              <w:rPr>
                <w:i/>
                <w:sz w:val="24"/>
                <w:szCs w:val="24"/>
              </w:rPr>
              <w:t>Trauma, Violence, &amp; Abuse</w:t>
            </w:r>
            <w:r w:rsidRPr="00FC5520">
              <w:rPr>
                <w:sz w:val="24"/>
                <w:szCs w:val="24"/>
              </w:rPr>
              <w:t xml:space="preserve">, 24(2), pp. 632–645. Available at: </w:t>
            </w:r>
            <w:hyperlink r:id="rId11" w:history="1">
              <w:r w:rsidRPr="0036639D">
                <w:rPr>
                  <w:rStyle w:val="Hyperlink"/>
                  <w:sz w:val="24"/>
                  <w:szCs w:val="24"/>
                </w:rPr>
                <w:t>https://doi.org/10.1177/15248380211036073</w:t>
              </w:r>
            </w:hyperlink>
          </w:p>
          <w:p w14:paraId="6EB28780" w14:textId="77777777" w:rsidR="00FC5520" w:rsidRPr="00FC5520" w:rsidRDefault="00FC5520" w:rsidP="00FC5520">
            <w:pPr>
              <w:rPr>
                <w:sz w:val="24"/>
                <w:szCs w:val="24"/>
              </w:rPr>
            </w:pPr>
          </w:p>
          <w:p w14:paraId="6AAF5572" w14:textId="77777777" w:rsidR="00FC5520" w:rsidRDefault="00FC5520" w:rsidP="00FC5520">
            <w:pPr>
              <w:rPr>
                <w:sz w:val="24"/>
                <w:szCs w:val="24"/>
              </w:rPr>
            </w:pPr>
            <w:r w:rsidRPr="00FC5520">
              <w:rPr>
                <w:sz w:val="24"/>
                <w:szCs w:val="24"/>
              </w:rPr>
              <w:t>Human Rights Act 1998, c.42. Available at: https://www.legislation.gov.uk/ukpga/1998/42/contents (Accessed: 7 October 2025).</w:t>
            </w:r>
          </w:p>
          <w:p w14:paraId="5C9EC6BF" w14:textId="77777777" w:rsidR="00FC5520" w:rsidRPr="00FC5520" w:rsidRDefault="00FC5520" w:rsidP="00FC5520">
            <w:pPr>
              <w:rPr>
                <w:sz w:val="24"/>
                <w:szCs w:val="24"/>
              </w:rPr>
            </w:pPr>
          </w:p>
          <w:p w14:paraId="636DE66E" w14:textId="37789942" w:rsidR="00FC5520" w:rsidRDefault="00FC5520" w:rsidP="00FC5520">
            <w:pPr>
              <w:rPr>
                <w:sz w:val="24"/>
                <w:szCs w:val="24"/>
              </w:rPr>
            </w:pPr>
            <w:r w:rsidRPr="00FC5520">
              <w:rPr>
                <w:sz w:val="24"/>
                <w:szCs w:val="24"/>
              </w:rPr>
              <w:t xml:space="preserve">Jedwab, M., Xu, Y. and Shaw, T.V. (2020) ‘Kinship care first? Factors associated with placement moves in out-of-home care’, </w:t>
            </w:r>
            <w:r w:rsidRPr="00FC5520">
              <w:rPr>
                <w:i/>
                <w:sz w:val="24"/>
                <w:szCs w:val="24"/>
              </w:rPr>
              <w:t>Children and Youth Services Review</w:t>
            </w:r>
            <w:r w:rsidRPr="00FC5520">
              <w:rPr>
                <w:sz w:val="24"/>
                <w:szCs w:val="24"/>
              </w:rPr>
              <w:t xml:space="preserve">, 115, Article 105104. Available at: </w:t>
            </w:r>
            <w:hyperlink r:id="rId12" w:history="1">
              <w:r w:rsidRPr="0036639D">
                <w:rPr>
                  <w:rStyle w:val="Hyperlink"/>
                  <w:sz w:val="24"/>
                  <w:szCs w:val="24"/>
                </w:rPr>
                <w:t>https://doi.org/10.1016/j.childyouth.2020.105104</w:t>
              </w:r>
            </w:hyperlink>
          </w:p>
          <w:p w14:paraId="4C304B07" w14:textId="77777777" w:rsidR="00FC5520" w:rsidRPr="00FC5520" w:rsidRDefault="00FC5520" w:rsidP="00FC5520">
            <w:pPr>
              <w:rPr>
                <w:sz w:val="24"/>
                <w:szCs w:val="24"/>
              </w:rPr>
            </w:pPr>
          </w:p>
          <w:p w14:paraId="0A2E0479" w14:textId="77777777" w:rsidR="00FC5520" w:rsidRDefault="00FC5520" w:rsidP="00FC5520">
            <w:pPr>
              <w:rPr>
                <w:sz w:val="24"/>
                <w:szCs w:val="24"/>
              </w:rPr>
            </w:pPr>
            <w:r w:rsidRPr="00FC5520">
              <w:rPr>
                <w:sz w:val="24"/>
                <w:szCs w:val="24"/>
              </w:rPr>
              <w:t xml:space="preserve">McDermott, F., Brydon, K., Haynes, A. and Moon, F. (2024) </w:t>
            </w:r>
            <w:r w:rsidRPr="00FC5520">
              <w:rPr>
                <w:i/>
                <w:sz w:val="24"/>
                <w:szCs w:val="24"/>
              </w:rPr>
              <w:t>Complexity Theory for Social Work Practice</w:t>
            </w:r>
            <w:r w:rsidRPr="00FC5520">
              <w:rPr>
                <w:sz w:val="24"/>
                <w:szCs w:val="24"/>
              </w:rPr>
              <w:t>. Cham: Springer. Available at: https://link.springer.com/book/10.1007/978-3-031-38677-0 (Accessed: 8 October 2025).</w:t>
            </w:r>
          </w:p>
          <w:p w14:paraId="34504244" w14:textId="77777777" w:rsidR="00FC5520" w:rsidRPr="00FC5520" w:rsidRDefault="00FC5520" w:rsidP="00FC5520">
            <w:pPr>
              <w:rPr>
                <w:sz w:val="24"/>
                <w:szCs w:val="24"/>
              </w:rPr>
            </w:pPr>
          </w:p>
          <w:p w14:paraId="226E48C3" w14:textId="6AE72CA7" w:rsidR="00FC5520" w:rsidRDefault="00FC5520" w:rsidP="00FC5520">
            <w:pPr>
              <w:rPr>
                <w:sz w:val="24"/>
                <w:szCs w:val="24"/>
              </w:rPr>
            </w:pPr>
            <w:r w:rsidRPr="00FC5520">
              <w:rPr>
                <w:sz w:val="24"/>
                <w:szCs w:val="24"/>
              </w:rPr>
              <w:t xml:space="preserve">Rubin, D.M., Downes, K.J., O'Reilly, A.L.R. et al. (2008) ‘Impact of kinship care on </w:t>
            </w:r>
            <w:r w:rsidR="00DD393F" w:rsidRPr="00FC5520">
              <w:rPr>
                <w:sz w:val="24"/>
                <w:szCs w:val="24"/>
              </w:rPr>
              <w:t>behavioural</w:t>
            </w:r>
            <w:r w:rsidRPr="00FC5520">
              <w:rPr>
                <w:sz w:val="24"/>
                <w:szCs w:val="24"/>
              </w:rPr>
              <w:t xml:space="preserve"> well-being for children in out-of-home care’, </w:t>
            </w:r>
            <w:r w:rsidRPr="00FC5520">
              <w:rPr>
                <w:i/>
                <w:sz w:val="24"/>
                <w:szCs w:val="24"/>
              </w:rPr>
              <w:t xml:space="preserve">Archives of </w:t>
            </w:r>
            <w:r w:rsidR="00B91D4F" w:rsidRPr="00FC5520">
              <w:rPr>
                <w:i/>
                <w:sz w:val="24"/>
                <w:szCs w:val="24"/>
              </w:rPr>
              <w:t>Paediatrics</w:t>
            </w:r>
            <w:r w:rsidRPr="00FC5520">
              <w:rPr>
                <w:i/>
                <w:sz w:val="24"/>
                <w:szCs w:val="24"/>
              </w:rPr>
              <w:t xml:space="preserve"> &amp; Adolescent Medicine</w:t>
            </w:r>
            <w:r w:rsidRPr="00FC5520">
              <w:rPr>
                <w:sz w:val="24"/>
                <w:szCs w:val="24"/>
              </w:rPr>
              <w:t xml:space="preserve">, 162(6), pp. 550–556. Available at: </w:t>
            </w:r>
            <w:hyperlink r:id="rId13" w:history="1">
              <w:r w:rsidRPr="0036639D">
                <w:rPr>
                  <w:rStyle w:val="Hyperlink"/>
                  <w:sz w:val="24"/>
                  <w:szCs w:val="24"/>
                </w:rPr>
                <w:t>https://doi.org/10.1001/archpedi.162.6.550</w:t>
              </w:r>
            </w:hyperlink>
          </w:p>
          <w:p w14:paraId="6D8C7341" w14:textId="77777777" w:rsidR="00FC5520" w:rsidRPr="00FC5520" w:rsidRDefault="00FC5520" w:rsidP="00FC5520">
            <w:pPr>
              <w:rPr>
                <w:sz w:val="24"/>
                <w:szCs w:val="24"/>
              </w:rPr>
            </w:pPr>
          </w:p>
          <w:p w14:paraId="7BEA1A28" w14:textId="77777777" w:rsidR="00FC5520" w:rsidRDefault="00FC5520" w:rsidP="00FC5520">
            <w:pPr>
              <w:rPr>
                <w:sz w:val="24"/>
                <w:szCs w:val="24"/>
              </w:rPr>
            </w:pPr>
            <w:r w:rsidRPr="00FC5520">
              <w:rPr>
                <w:sz w:val="24"/>
                <w:szCs w:val="24"/>
              </w:rPr>
              <w:lastRenderedPageBreak/>
              <w:t xml:space="preserve">Sciarrino, N.A., Hernandez, T.E. and Davidtz, J. (2018) ‘Neglect and Attachment Insecurity’, in </w:t>
            </w:r>
            <w:r w:rsidRPr="00FC5520">
              <w:rPr>
                <w:i/>
                <w:sz w:val="24"/>
                <w:szCs w:val="24"/>
              </w:rPr>
              <w:t>Understanding Child Neglect</w:t>
            </w:r>
            <w:r w:rsidRPr="00FC5520">
              <w:rPr>
                <w:sz w:val="24"/>
                <w:szCs w:val="24"/>
              </w:rPr>
              <w:t>. SpringerBriefs in Psychology. Cham: Springer, pp. 19–24. Available at: https://link.springer.com/chapter/10.1007/978-3-319-74811-5_3 (Accessed: 8 October 2025).</w:t>
            </w:r>
          </w:p>
          <w:p w14:paraId="43F7786C" w14:textId="77777777" w:rsidR="00FC5520" w:rsidRPr="00FC5520" w:rsidRDefault="00FC5520" w:rsidP="00FC5520">
            <w:pPr>
              <w:rPr>
                <w:sz w:val="24"/>
                <w:szCs w:val="24"/>
              </w:rPr>
            </w:pPr>
          </w:p>
          <w:p w14:paraId="5EFA6F02" w14:textId="57D5CDAD" w:rsidR="00FC5520" w:rsidRDefault="00FC5520" w:rsidP="00FC5520">
            <w:pPr>
              <w:rPr>
                <w:sz w:val="24"/>
                <w:szCs w:val="24"/>
              </w:rPr>
            </w:pPr>
            <w:r w:rsidRPr="00FC5520">
              <w:rPr>
                <w:i/>
                <w:sz w:val="24"/>
                <w:szCs w:val="24"/>
              </w:rPr>
              <w:t>Social Care Wales (2017) Code of Professional Practice for Social Care</w:t>
            </w:r>
            <w:r w:rsidRPr="00FC5520">
              <w:rPr>
                <w:sz w:val="24"/>
                <w:szCs w:val="24"/>
              </w:rPr>
              <w:t xml:space="preserve">. Available at: </w:t>
            </w:r>
            <w:hyperlink r:id="rId14" w:history="1">
              <w:r w:rsidRPr="0036639D">
                <w:rPr>
                  <w:rStyle w:val="Hyperlink"/>
                  <w:sz w:val="24"/>
                  <w:szCs w:val="24"/>
                </w:rPr>
                <w:t>https://socialcare.wales/cms-assets/documents/Code-of-Professional-Practice-for-Social-Care-web-version.pdf</w:t>
              </w:r>
            </w:hyperlink>
          </w:p>
          <w:p w14:paraId="3551457B" w14:textId="77777777" w:rsidR="00FC5520" w:rsidRPr="00FC5520" w:rsidRDefault="00FC5520" w:rsidP="00FC5520">
            <w:pPr>
              <w:rPr>
                <w:sz w:val="24"/>
                <w:szCs w:val="24"/>
              </w:rPr>
            </w:pPr>
          </w:p>
          <w:p w14:paraId="488190F1" w14:textId="77777777" w:rsidR="00FC5520" w:rsidRPr="00FC5520" w:rsidRDefault="00FC5520" w:rsidP="00FC5520">
            <w:pPr>
              <w:rPr>
                <w:sz w:val="24"/>
                <w:szCs w:val="24"/>
              </w:rPr>
            </w:pPr>
            <w:r w:rsidRPr="00FC5520">
              <w:rPr>
                <w:i/>
                <w:sz w:val="24"/>
                <w:szCs w:val="24"/>
              </w:rPr>
              <w:t>Social Care Wales (2025) Assessing and meeting individual needs</w:t>
            </w:r>
            <w:r w:rsidRPr="00FC5520">
              <w:rPr>
                <w:sz w:val="24"/>
                <w:szCs w:val="24"/>
              </w:rPr>
              <w:t>. Available at: https://socialcare.wales/resources-guidance/information-and-learning-hub/learning-resources/social-services-and-well-being-wales-act-2014/assessing-and-meeting-individual-needs</w:t>
            </w:r>
          </w:p>
          <w:p w14:paraId="2DA25900" w14:textId="77777777" w:rsidR="00FC5520" w:rsidRPr="00FC5520" w:rsidRDefault="00FC5520" w:rsidP="00FC5520">
            <w:pPr>
              <w:rPr>
                <w:sz w:val="24"/>
                <w:szCs w:val="24"/>
              </w:rPr>
            </w:pPr>
            <w:r w:rsidRPr="00FC5520">
              <w:rPr>
                <w:i/>
                <w:sz w:val="24"/>
                <w:szCs w:val="24"/>
              </w:rPr>
              <w:t xml:space="preserve">Social Care Wales (2024) Understanding workforce shortages in the Welsh social care and </w:t>
            </w:r>
            <w:proofErr w:type="gramStart"/>
            <w:r w:rsidRPr="00FC5520">
              <w:rPr>
                <w:i/>
                <w:sz w:val="24"/>
                <w:szCs w:val="24"/>
              </w:rPr>
              <w:t>child care</w:t>
            </w:r>
            <w:proofErr w:type="gramEnd"/>
            <w:r w:rsidRPr="00FC5520">
              <w:rPr>
                <w:i/>
                <w:sz w:val="24"/>
                <w:szCs w:val="24"/>
              </w:rPr>
              <w:t xml:space="preserve"> sector</w:t>
            </w:r>
            <w:r w:rsidRPr="00FC5520">
              <w:rPr>
                <w:sz w:val="24"/>
                <w:szCs w:val="24"/>
              </w:rPr>
              <w:t>. Available at: https://insightcollective.socialcare.wales/whats-on/news-and-blogs/understanding-workforce-shortages-in-the-welsh-social-care-and-child-care-sector</w:t>
            </w:r>
          </w:p>
          <w:p w14:paraId="2BB259EA" w14:textId="77777777" w:rsidR="00FC5520" w:rsidRDefault="00FC5520" w:rsidP="00FC5520">
            <w:pPr>
              <w:rPr>
                <w:i/>
                <w:sz w:val="24"/>
                <w:szCs w:val="24"/>
              </w:rPr>
            </w:pPr>
          </w:p>
          <w:p w14:paraId="483D1A9C" w14:textId="7E12A0DE" w:rsidR="00FC5520" w:rsidRDefault="00FC5520" w:rsidP="00FC5520">
            <w:r w:rsidRPr="00FC5520">
              <w:rPr>
                <w:i/>
                <w:sz w:val="24"/>
                <w:szCs w:val="24"/>
              </w:rPr>
              <w:t xml:space="preserve">Social Services and Well-being (Wales) Act 2014, anaw 4. Available at: </w:t>
            </w:r>
            <w:hyperlink r:id="rId15" w:history="1">
              <w:r w:rsidRPr="0036639D">
                <w:rPr>
                  <w:rStyle w:val="Hyperlink"/>
                  <w:i/>
                  <w:sz w:val="24"/>
                  <w:szCs w:val="24"/>
                </w:rPr>
                <w:t>https://www.legislation.gov.uk/anaw/2014/4/contents</w:t>
              </w:r>
            </w:hyperlink>
          </w:p>
          <w:p w14:paraId="036027FC" w14:textId="77777777" w:rsidR="00E07AD3" w:rsidRDefault="00E07AD3" w:rsidP="00E07AD3">
            <w:pPr>
              <w:rPr>
                <w:i/>
                <w:sz w:val="24"/>
                <w:szCs w:val="24"/>
              </w:rPr>
            </w:pPr>
          </w:p>
          <w:p w14:paraId="6E68F341" w14:textId="31116518" w:rsidR="00E07AD3" w:rsidRPr="00E07AD3" w:rsidRDefault="00E07AD3" w:rsidP="00E07AD3">
            <w:pPr>
              <w:rPr>
                <w:i/>
                <w:sz w:val="24"/>
                <w:szCs w:val="24"/>
              </w:rPr>
            </w:pPr>
            <w:r w:rsidRPr="00E07AD3">
              <w:rPr>
                <w:i/>
                <w:sz w:val="24"/>
                <w:szCs w:val="24"/>
              </w:rPr>
              <w:t xml:space="preserve">Social Work England (2020) </w:t>
            </w:r>
            <w:r w:rsidRPr="00E07AD3">
              <w:rPr>
                <w:i/>
                <w:iCs/>
                <w:sz w:val="24"/>
                <w:szCs w:val="24"/>
              </w:rPr>
              <w:t>Ethics and values</w:t>
            </w:r>
            <w:r w:rsidRPr="00E07AD3">
              <w:rPr>
                <w:i/>
                <w:sz w:val="24"/>
                <w:szCs w:val="24"/>
              </w:rPr>
              <w:t xml:space="preserve">. Available at: </w:t>
            </w:r>
            <w:hyperlink r:id="rId16" w:tgtFrame="_blank" w:history="1">
              <w:r w:rsidRPr="00E07AD3">
                <w:rPr>
                  <w:rStyle w:val="Hyperlink"/>
                  <w:i/>
                  <w:sz w:val="24"/>
                  <w:szCs w:val="24"/>
                </w:rPr>
                <w:t>https://www.socialworkengland.org.uk/cpd/ethics-and-values</w:t>
              </w:r>
            </w:hyperlink>
            <w:r w:rsidRPr="00E07AD3">
              <w:rPr>
                <w:i/>
                <w:sz w:val="24"/>
                <w:szCs w:val="24"/>
              </w:rPr>
              <w:t xml:space="preserve"> </w:t>
            </w:r>
            <w:r w:rsidRPr="00FC5520">
              <w:rPr>
                <w:sz w:val="24"/>
                <w:szCs w:val="24"/>
              </w:rPr>
              <w:t>(Accessed: 8 October 2025)</w:t>
            </w:r>
            <w:r>
              <w:rPr>
                <w:sz w:val="24"/>
                <w:szCs w:val="24"/>
              </w:rPr>
              <w:t>.</w:t>
            </w:r>
          </w:p>
          <w:p w14:paraId="35A8C7E5" w14:textId="77777777" w:rsidR="00E07AD3" w:rsidRDefault="00E07AD3" w:rsidP="00FC5520">
            <w:pPr>
              <w:rPr>
                <w:i/>
                <w:sz w:val="24"/>
                <w:szCs w:val="24"/>
              </w:rPr>
            </w:pPr>
          </w:p>
          <w:p w14:paraId="7EC30183" w14:textId="77777777" w:rsidR="00FC5520" w:rsidRPr="00FC5520" w:rsidRDefault="00FC5520" w:rsidP="00FC5520">
            <w:pPr>
              <w:rPr>
                <w:sz w:val="24"/>
                <w:szCs w:val="24"/>
              </w:rPr>
            </w:pPr>
          </w:p>
          <w:p w14:paraId="6B32A2B1" w14:textId="1D03B224" w:rsidR="00FC5520" w:rsidRPr="00FC5520" w:rsidRDefault="00FC5520" w:rsidP="00FC5520">
            <w:pPr>
              <w:rPr>
                <w:sz w:val="24"/>
                <w:szCs w:val="24"/>
              </w:rPr>
            </w:pPr>
            <w:r w:rsidRPr="00FC5520">
              <w:rPr>
                <w:sz w:val="24"/>
                <w:szCs w:val="24"/>
              </w:rPr>
              <w:t xml:space="preserve">Substance Abuse and Mental Health Services Administration (SAMHSA) (2014) </w:t>
            </w:r>
            <w:r w:rsidRPr="00FC5520">
              <w:rPr>
                <w:i/>
                <w:sz w:val="24"/>
                <w:szCs w:val="24"/>
              </w:rPr>
              <w:t xml:space="preserve">Trauma-Informed Care in </w:t>
            </w:r>
            <w:r w:rsidR="00B91D4F" w:rsidRPr="00FC5520">
              <w:rPr>
                <w:i/>
                <w:sz w:val="24"/>
                <w:szCs w:val="24"/>
              </w:rPr>
              <w:t>Behavioural</w:t>
            </w:r>
            <w:r w:rsidRPr="00FC5520">
              <w:rPr>
                <w:i/>
                <w:sz w:val="24"/>
                <w:szCs w:val="24"/>
              </w:rPr>
              <w:t xml:space="preserve"> Health Services</w:t>
            </w:r>
            <w:r w:rsidRPr="00FC5520">
              <w:rPr>
                <w:sz w:val="24"/>
                <w:szCs w:val="24"/>
              </w:rPr>
              <w:t xml:space="preserve">. Treatment Improvement Protocol (TIP) Series 57. HHS Publication No. (SMA) 14-4816. Rockville, MD: SAMHSA. Available at: https://library.samhsa.gov/sites/default/files/sma14-4816.pdf </w:t>
            </w:r>
          </w:p>
          <w:p w14:paraId="75DB29DE" w14:textId="77777777" w:rsidR="00FC5520" w:rsidRDefault="00FC5520" w:rsidP="00FC5520">
            <w:pPr>
              <w:rPr>
                <w:sz w:val="24"/>
                <w:szCs w:val="24"/>
              </w:rPr>
            </w:pPr>
          </w:p>
          <w:p w14:paraId="475DD714" w14:textId="77777777" w:rsidR="00FC5520" w:rsidRDefault="00FC5520" w:rsidP="00FC5520">
            <w:pPr>
              <w:rPr>
                <w:i/>
                <w:sz w:val="24"/>
                <w:szCs w:val="24"/>
              </w:rPr>
            </w:pPr>
            <w:r w:rsidRPr="00FC5520">
              <w:rPr>
                <w:sz w:val="24"/>
                <w:szCs w:val="24"/>
              </w:rPr>
              <w:t xml:space="preserve">Turnell, A. and Edwards, S. (1999) </w:t>
            </w:r>
            <w:r w:rsidRPr="00FC5520">
              <w:rPr>
                <w:i/>
                <w:sz w:val="24"/>
                <w:szCs w:val="24"/>
              </w:rPr>
              <w:t xml:space="preserve">Signs of Safety: A Solution and Safety Oriented </w:t>
            </w:r>
          </w:p>
          <w:p w14:paraId="044BF7A8" w14:textId="77777777" w:rsidR="00FC5520" w:rsidRDefault="00FC5520" w:rsidP="00FC5520">
            <w:pPr>
              <w:rPr>
                <w:i/>
                <w:sz w:val="24"/>
                <w:szCs w:val="24"/>
              </w:rPr>
            </w:pPr>
          </w:p>
          <w:p w14:paraId="10986035" w14:textId="7610F9CC" w:rsidR="00FC5520" w:rsidRPr="00FC5520" w:rsidRDefault="00FC5520" w:rsidP="00FC5520">
            <w:pPr>
              <w:rPr>
                <w:sz w:val="24"/>
                <w:szCs w:val="24"/>
              </w:rPr>
            </w:pPr>
            <w:r w:rsidRPr="00FC5520">
              <w:rPr>
                <w:i/>
                <w:sz w:val="24"/>
                <w:szCs w:val="24"/>
              </w:rPr>
              <w:t>Approach to Child Protection Casework</w:t>
            </w:r>
            <w:r w:rsidRPr="00FC5520">
              <w:rPr>
                <w:sz w:val="24"/>
                <w:szCs w:val="24"/>
              </w:rPr>
              <w:t>. New York: W.W. Norton &amp; Company.</w:t>
            </w:r>
          </w:p>
          <w:p w14:paraId="5425A747" w14:textId="77777777" w:rsidR="00FC5520" w:rsidRDefault="00FC5520" w:rsidP="00FC5520">
            <w:pPr>
              <w:rPr>
                <w:sz w:val="24"/>
                <w:szCs w:val="24"/>
              </w:rPr>
            </w:pPr>
          </w:p>
          <w:p w14:paraId="40AF8721" w14:textId="716894E9" w:rsidR="00FC5520" w:rsidRPr="00FC5520" w:rsidRDefault="00FC5520" w:rsidP="00FC5520">
            <w:pPr>
              <w:rPr>
                <w:sz w:val="24"/>
                <w:szCs w:val="24"/>
              </w:rPr>
            </w:pPr>
            <w:r w:rsidRPr="00FC5520">
              <w:rPr>
                <w:sz w:val="24"/>
                <w:szCs w:val="24"/>
              </w:rPr>
              <w:t xml:space="preserve">United Nations (1989) </w:t>
            </w:r>
            <w:r w:rsidRPr="00FC5520">
              <w:rPr>
                <w:i/>
                <w:sz w:val="24"/>
                <w:szCs w:val="24"/>
              </w:rPr>
              <w:t>Convention on the Rights of the Child</w:t>
            </w:r>
            <w:r w:rsidRPr="00FC5520">
              <w:rPr>
                <w:sz w:val="24"/>
                <w:szCs w:val="24"/>
              </w:rPr>
              <w:t>. Treaty no. 27531. United Nations Treaty Series, 1577, pp. 3–178. Available at: https://treaties.un.org/doc/Treaties/1990/09/19900902%2003-14%20AM/Ch_IV_11p.pdf (Accessed: 7 October 2025).</w:t>
            </w:r>
          </w:p>
          <w:p w14:paraId="68A60309" w14:textId="77777777" w:rsidR="00FC5520" w:rsidRDefault="00FC5520" w:rsidP="00FC5520">
            <w:pPr>
              <w:rPr>
                <w:sz w:val="24"/>
                <w:szCs w:val="24"/>
              </w:rPr>
            </w:pPr>
          </w:p>
          <w:p w14:paraId="28DFC778" w14:textId="438F39B7" w:rsidR="00FC5520" w:rsidRDefault="00FC5520" w:rsidP="00FC5520">
            <w:pPr>
              <w:rPr>
                <w:sz w:val="24"/>
                <w:szCs w:val="24"/>
              </w:rPr>
            </w:pPr>
            <w:r w:rsidRPr="00FC5520">
              <w:rPr>
                <w:sz w:val="24"/>
                <w:szCs w:val="24"/>
              </w:rPr>
              <w:t xml:space="preserve">Uzonwanne, F. (2016) ‘Rational Model of Decision Making’, in Farazmand, A. (ed.) </w:t>
            </w:r>
            <w:r w:rsidRPr="00FC5520">
              <w:rPr>
                <w:i/>
                <w:sz w:val="24"/>
                <w:szCs w:val="24"/>
              </w:rPr>
              <w:t>Global Encyclopedia of Public Administration, Public Policy, and Governance</w:t>
            </w:r>
            <w:r w:rsidRPr="00FC5520">
              <w:rPr>
                <w:sz w:val="24"/>
                <w:szCs w:val="24"/>
              </w:rPr>
              <w:t>. Springer. Available at: ResearchGate</w:t>
            </w:r>
          </w:p>
          <w:p w14:paraId="05350500" w14:textId="77777777" w:rsidR="00FC5520" w:rsidRPr="00FC5520" w:rsidRDefault="00FC5520" w:rsidP="00FC5520">
            <w:pPr>
              <w:rPr>
                <w:sz w:val="24"/>
                <w:szCs w:val="24"/>
              </w:rPr>
            </w:pPr>
          </w:p>
          <w:p w14:paraId="2BF40F33" w14:textId="77777777" w:rsidR="00FC5520" w:rsidRPr="00FC5520" w:rsidRDefault="00FC5520" w:rsidP="00FC5520">
            <w:pPr>
              <w:rPr>
                <w:sz w:val="24"/>
                <w:szCs w:val="24"/>
              </w:rPr>
            </w:pPr>
            <w:r w:rsidRPr="00FC5520">
              <w:rPr>
                <w:sz w:val="24"/>
                <w:szCs w:val="24"/>
              </w:rPr>
              <w:t>Welsh Government (2014) Social Services and Well-being (Wales) Act 2014. Available at: https://www.legislation.gov.uk/anaw/2014/4 (Accessed: 7 October 2025).</w:t>
            </w:r>
          </w:p>
          <w:p w14:paraId="4CF7F1BE" w14:textId="77777777" w:rsidR="00FC5520" w:rsidRDefault="00FC5520" w:rsidP="00FC5520">
            <w:pPr>
              <w:rPr>
                <w:sz w:val="24"/>
                <w:szCs w:val="24"/>
              </w:rPr>
            </w:pPr>
            <w:r w:rsidRPr="00FC5520">
              <w:rPr>
                <w:sz w:val="24"/>
                <w:szCs w:val="24"/>
              </w:rPr>
              <w:lastRenderedPageBreak/>
              <w:t xml:space="preserve">Welsh Government (2019b) </w:t>
            </w:r>
            <w:r w:rsidRPr="00FC5520">
              <w:rPr>
                <w:i/>
                <w:sz w:val="24"/>
                <w:szCs w:val="24"/>
              </w:rPr>
              <w:t>The Regulated Fostering Services (Service Providers and Responsible Individuals) (Wales) Regulations 2019</w:t>
            </w:r>
            <w:r w:rsidRPr="00FC5520">
              <w:rPr>
                <w:sz w:val="24"/>
                <w:szCs w:val="24"/>
              </w:rPr>
              <w:t>. Available at: https://www.legislation.gov.uk/wsi/2019/169 (Accessed: 7 October 2025).</w:t>
            </w:r>
          </w:p>
          <w:p w14:paraId="5CE475D0" w14:textId="77777777" w:rsidR="00FC5520" w:rsidRPr="00FC5520" w:rsidRDefault="00FC5520" w:rsidP="00FC5520">
            <w:pPr>
              <w:rPr>
                <w:sz w:val="24"/>
                <w:szCs w:val="24"/>
              </w:rPr>
            </w:pPr>
          </w:p>
          <w:p w14:paraId="5F01D42C" w14:textId="77777777" w:rsidR="00FC5520" w:rsidRDefault="00FC5520" w:rsidP="00FC5520">
            <w:pPr>
              <w:rPr>
                <w:sz w:val="24"/>
                <w:szCs w:val="24"/>
              </w:rPr>
            </w:pPr>
            <w:r w:rsidRPr="00FC5520">
              <w:rPr>
                <w:sz w:val="24"/>
                <w:szCs w:val="24"/>
              </w:rPr>
              <w:t xml:space="preserve">Welsh Government (2021) </w:t>
            </w:r>
            <w:r w:rsidRPr="00FC5520">
              <w:rPr>
                <w:i/>
                <w:sz w:val="24"/>
                <w:szCs w:val="24"/>
              </w:rPr>
              <w:t>Making good decisions: Welsh Government guidance</w:t>
            </w:r>
            <w:r w:rsidRPr="00FC5520">
              <w:rPr>
                <w:sz w:val="24"/>
                <w:szCs w:val="24"/>
              </w:rPr>
              <w:t>. Available at: https://law.gov.wales/welsh-government-guidance-making-good-decisions (Accessed: 8 October 2025).</w:t>
            </w:r>
          </w:p>
          <w:p w14:paraId="67EF2B35" w14:textId="77777777" w:rsidR="00FC5520" w:rsidRPr="00FC5520" w:rsidRDefault="00FC5520" w:rsidP="00FC5520">
            <w:pPr>
              <w:rPr>
                <w:sz w:val="24"/>
                <w:szCs w:val="24"/>
              </w:rPr>
            </w:pPr>
          </w:p>
          <w:p w14:paraId="64358721" w14:textId="77777777" w:rsidR="00FC5520" w:rsidRDefault="00FC5520" w:rsidP="00FC5520">
            <w:pPr>
              <w:rPr>
                <w:sz w:val="24"/>
                <w:szCs w:val="24"/>
              </w:rPr>
            </w:pPr>
            <w:r w:rsidRPr="00FC5520">
              <w:rPr>
                <w:sz w:val="24"/>
                <w:szCs w:val="24"/>
              </w:rPr>
              <w:t xml:space="preserve">Welsh Government (2024) </w:t>
            </w:r>
            <w:r w:rsidRPr="00FC5520">
              <w:rPr>
                <w:i/>
                <w:sz w:val="24"/>
                <w:szCs w:val="24"/>
              </w:rPr>
              <w:t>Substance Misuse Treatment Framework for Children and Young People</w:t>
            </w:r>
            <w:r w:rsidRPr="00FC5520">
              <w:rPr>
                <w:sz w:val="24"/>
                <w:szCs w:val="24"/>
              </w:rPr>
              <w:t>. Available at: https://www.gov.wales/sites/default/files/publications/2024-07/substance-misuse-treatment-framework-for-children-and-young-people.pdf (Accessed: 8 October 2025).</w:t>
            </w:r>
          </w:p>
          <w:p w14:paraId="4914FDE2" w14:textId="77777777" w:rsidR="00FC5520" w:rsidRPr="00FC5520" w:rsidRDefault="00FC5520" w:rsidP="00FC5520">
            <w:pPr>
              <w:rPr>
                <w:sz w:val="24"/>
                <w:szCs w:val="24"/>
              </w:rPr>
            </w:pPr>
          </w:p>
          <w:p w14:paraId="748DF372" w14:textId="77777777" w:rsidR="00FC5520" w:rsidRDefault="00FC5520" w:rsidP="00FC5520">
            <w:pPr>
              <w:rPr>
                <w:sz w:val="24"/>
                <w:szCs w:val="24"/>
              </w:rPr>
            </w:pPr>
            <w:r w:rsidRPr="00FC5520">
              <w:rPr>
                <w:sz w:val="24"/>
                <w:szCs w:val="24"/>
              </w:rPr>
              <w:t xml:space="preserve">Welsh Government (2025a) </w:t>
            </w:r>
            <w:r w:rsidRPr="00FC5520">
              <w:rPr>
                <w:i/>
                <w:sz w:val="24"/>
                <w:szCs w:val="24"/>
              </w:rPr>
              <w:t>Improving adoption, fostering and kinship services</w:t>
            </w:r>
            <w:r w:rsidRPr="00FC5520">
              <w:rPr>
                <w:sz w:val="24"/>
                <w:szCs w:val="24"/>
              </w:rPr>
              <w:t>. Available at: https://www.gov.wales/improving-adoption-fostering-and-kinship-services (Accessed: 8 October 2025).</w:t>
            </w:r>
          </w:p>
          <w:p w14:paraId="0DC22D49" w14:textId="77777777" w:rsidR="00FC5520" w:rsidRPr="00FC5520" w:rsidRDefault="00FC5520" w:rsidP="00FC5520">
            <w:pPr>
              <w:rPr>
                <w:sz w:val="24"/>
                <w:szCs w:val="24"/>
              </w:rPr>
            </w:pPr>
          </w:p>
          <w:p w14:paraId="04C1634A" w14:textId="77777777" w:rsidR="00FC5520" w:rsidRDefault="00FC5520" w:rsidP="00FC5520">
            <w:pPr>
              <w:rPr>
                <w:sz w:val="24"/>
                <w:szCs w:val="24"/>
              </w:rPr>
            </w:pPr>
            <w:r w:rsidRPr="00FC5520">
              <w:rPr>
                <w:sz w:val="24"/>
                <w:szCs w:val="24"/>
              </w:rPr>
              <w:t xml:space="preserve">Welsh Government (2025b) </w:t>
            </w:r>
            <w:r w:rsidRPr="00FC5520">
              <w:rPr>
                <w:i/>
                <w:sz w:val="24"/>
                <w:szCs w:val="24"/>
              </w:rPr>
              <w:t>National multi-agency practice framework for children’s services</w:t>
            </w:r>
            <w:r w:rsidRPr="00FC5520">
              <w:rPr>
                <w:sz w:val="24"/>
                <w:szCs w:val="24"/>
              </w:rPr>
              <w:t>. Available at: https://www.gov.wales/national-multi-agency-practice-framework-childrens-services-html (Accessed: 8 October 2025).</w:t>
            </w:r>
          </w:p>
          <w:p w14:paraId="32D45B5A" w14:textId="77777777" w:rsidR="00FC5520" w:rsidRPr="00FC5520" w:rsidRDefault="00FC5520" w:rsidP="00FC5520">
            <w:pPr>
              <w:rPr>
                <w:sz w:val="24"/>
                <w:szCs w:val="24"/>
              </w:rPr>
            </w:pPr>
          </w:p>
          <w:p w14:paraId="0A0ABF90" w14:textId="77777777" w:rsidR="00FC5520" w:rsidRDefault="00FC5520" w:rsidP="00FC5520">
            <w:pPr>
              <w:rPr>
                <w:sz w:val="24"/>
                <w:szCs w:val="24"/>
              </w:rPr>
            </w:pPr>
            <w:r w:rsidRPr="00FC5520">
              <w:rPr>
                <w:sz w:val="24"/>
                <w:szCs w:val="24"/>
              </w:rPr>
              <w:t xml:space="preserve">Welsh Government (2019a) </w:t>
            </w:r>
            <w:r w:rsidRPr="00FC5520">
              <w:rPr>
                <w:i/>
                <w:sz w:val="24"/>
                <w:szCs w:val="24"/>
              </w:rPr>
              <w:t>Statutory guidance: Fostering services – guidance for providers and responsible individuals of regulated fostering services</w:t>
            </w:r>
            <w:r w:rsidRPr="00FC5520">
              <w:rPr>
                <w:sz w:val="24"/>
                <w:szCs w:val="24"/>
              </w:rPr>
              <w:t>. Cardiff: Welsh Government. Available at: https://www.gov.wales/sites/default/files/publications/2019-04/guidance-for-providers-and-responsible-individuals-of-regulated-fostering-services.pdf (Accessed: 8 October 2025).</w:t>
            </w:r>
          </w:p>
          <w:p w14:paraId="6D1CBB95" w14:textId="77777777" w:rsidR="00FC5520" w:rsidRPr="00FC5520" w:rsidRDefault="00FC5520" w:rsidP="00FC5520">
            <w:pPr>
              <w:rPr>
                <w:sz w:val="24"/>
                <w:szCs w:val="24"/>
              </w:rPr>
            </w:pPr>
          </w:p>
          <w:p w14:paraId="5963BB32" w14:textId="77777777" w:rsidR="00FC5520" w:rsidRPr="00FC5520" w:rsidRDefault="00FC5520" w:rsidP="00FC5520">
            <w:pPr>
              <w:rPr>
                <w:sz w:val="24"/>
                <w:szCs w:val="24"/>
              </w:rPr>
            </w:pPr>
            <w:r w:rsidRPr="00FC5520">
              <w:rPr>
                <w:sz w:val="24"/>
                <w:szCs w:val="24"/>
              </w:rPr>
              <w:t xml:space="preserve">Welsh Government (2025) </w:t>
            </w:r>
            <w:r w:rsidRPr="00FC5520">
              <w:rPr>
                <w:i/>
                <w:sz w:val="24"/>
                <w:szCs w:val="24"/>
              </w:rPr>
              <w:t>Children looked after by local authorities: April 2023 to March 2024 (official statistics in development)</w:t>
            </w:r>
            <w:r w:rsidRPr="00FC5520">
              <w:rPr>
                <w:sz w:val="24"/>
                <w:szCs w:val="24"/>
              </w:rPr>
              <w:t>. Available at: https://www.gov.wales/children-looked-after-local-authorities-april-2023-march-2024-official-statistics-development-html</w:t>
            </w:r>
          </w:p>
          <w:p w14:paraId="1AEB324D" w14:textId="77777777" w:rsidR="00FC5520" w:rsidRDefault="00FC5520" w:rsidP="00FC5520">
            <w:pPr>
              <w:rPr>
                <w:sz w:val="24"/>
                <w:szCs w:val="24"/>
              </w:rPr>
            </w:pPr>
          </w:p>
          <w:p w14:paraId="07E5B603" w14:textId="77777777" w:rsidR="00F42164" w:rsidRPr="00DB0F86" w:rsidRDefault="00F42164" w:rsidP="00F42164">
            <w:pPr>
              <w:rPr>
                <w:sz w:val="24"/>
                <w:szCs w:val="24"/>
              </w:rPr>
            </w:pPr>
            <w:r w:rsidRPr="00DB0F86">
              <w:rPr>
                <w:sz w:val="24"/>
                <w:szCs w:val="24"/>
              </w:rPr>
              <w:t xml:space="preserve">Welsh Government (2025) </w:t>
            </w:r>
            <w:r w:rsidRPr="00DB0F86">
              <w:rPr>
                <w:i/>
                <w:iCs/>
                <w:sz w:val="24"/>
                <w:szCs w:val="24"/>
              </w:rPr>
              <w:t>Welsh Index of Multiple Deprivation</w:t>
            </w:r>
            <w:r w:rsidRPr="00DB0F86">
              <w:rPr>
                <w:sz w:val="24"/>
                <w:szCs w:val="24"/>
              </w:rPr>
              <w:t xml:space="preserve">. Available at: </w:t>
            </w:r>
            <w:hyperlink r:id="rId17" w:tgtFrame="_blank" w:history="1">
              <w:r w:rsidRPr="00DB0F86">
                <w:rPr>
                  <w:rStyle w:val="Hyperlink"/>
                  <w:sz w:val="24"/>
                  <w:szCs w:val="24"/>
                </w:rPr>
                <w:t>https://www.gov.wales/welsh-index-multiple-deprivation</w:t>
              </w:r>
            </w:hyperlink>
            <w:r w:rsidRPr="00DB0F86">
              <w:rPr>
                <w:sz w:val="24"/>
                <w:szCs w:val="24"/>
              </w:rPr>
              <w:t xml:space="preserve"> (Accessed: 2 October 2025).</w:t>
            </w:r>
          </w:p>
          <w:p w14:paraId="6ECB4A13" w14:textId="77777777" w:rsidR="00F42164" w:rsidRDefault="00F42164" w:rsidP="00FC5520">
            <w:pPr>
              <w:rPr>
                <w:sz w:val="24"/>
                <w:szCs w:val="24"/>
              </w:rPr>
            </w:pPr>
          </w:p>
          <w:p w14:paraId="62115CBB" w14:textId="02553BFE" w:rsidR="00FC5520" w:rsidRPr="00FC5520" w:rsidRDefault="00FC5520" w:rsidP="00FC5520">
            <w:pPr>
              <w:rPr>
                <w:sz w:val="24"/>
                <w:szCs w:val="24"/>
              </w:rPr>
            </w:pPr>
            <w:r w:rsidRPr="00FC5520">
              <w:rPr>
                <w:sz w:val="24"/>
                <w:szCs w:val="24"/>
              </w:rPr>
              <w:t xml:space="preserve">Winokur, M., Holtan, A. and Batchelder, K.E. (2014) ‘Kinship care for the safety, permanency, and well-being of children removed from the home for maltreatment: A systematic review’, </w:t>
            </w:r>
            <w:r w:rsidRPr="00FC5520">
              <w:rPr>
                <w:i/>
                <w:sz w:val="24"/>
                <w:szCs w:val="24"/>
              </w:rPr>
              <w:t>Campbell Systematic Reviews</w:t>
            </w:r>
            <w:r w:rsidRPr="00FC5520">
              <w:rPr>
                <w:sz w:val="24"/>
                <w:szCs w:val="24"/>
              </w:rPr>
              <w:t>, 2014:2. Available at: https://doi.org/10.4073/csr.2014.2</w:t>
            </w:r>
          </w:p>
          <w:bookmarkEnd w:id="0"/>
          <w:p w14:paraId="5549A694" w14:textId="77777777" w:rsidR="00FC5520" w:rsidRDefault="00FC5520"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8"/>
      <w:footerReference w:type="default" r:id="rId1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004BCF" w14:textId="77777777" w:rsidR="00637187" w:rsidRDefault="00637187">
      <w:r>
        <w:separator/>
      </w:r>
    </w:p>
  </w:endnote>
  <w:endnote w:type="continuationSeparator" w:id="0">
    <w:p w14:paraId="44AB7294" w14:textId="77777777" w:rsidR="00637187" w:rsidRDefault="006371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785552" w14:textId="77777777" w:rsidR="00637187" w:rsidRDefault="00637187">
      <w:r>
        <w:separator/>
      </w:r>
    </w:p>
  </w:footnote>
  <w:footnote w:type="continuationSeparator" w:id="0">
    <w:p w14:paraId="37591857" w14:textId="77777777" w:rsidR="00637187" w:rsidRDefault="006371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67D0"/>
    <w:rsid w:val="00020EEC"/>
    <w:rsid w:val="0002440E"/>
    <w:rsid w:val="0002759A"/>
    <w:rsid w:val="00027B1F"/>
    <w:rsid w:val="0003088B"/>
    <w:rsid w:val="000325D9"/>
    <w:rsid w:val="000372B2"/>
    <w:rsid w:val="0004079F"/>
    <w:rsid w:val="00043543"/>
    <w:rsid w:val="00045B87"/>
    <w:rsid w:val="00045C07"/>
    <w:rsid w:val="00045C40"/>
    <w:rsid w:val="0004671C"/>
    <w:rsid w:val="00046861"/>
    <w:rsid w:val="00047E61"/>
    <w:rsid w:val="00054A07"/>
    <w:rsid w:val="00055D43"/>
    <w:rsid w:val="00056FAC"/>
    <w:rsid w:val="00057751"/>
    <w:rsid w:val="00062E39"/>
    <w:rsid w:val="00064063"/>
    <w:rsid w:val="0006581A"/>
    <w:rsid w:val="00074461"/>
    <w:rsid w:val="000766EC"/>
    <w:rsid w:val="00080E58"/>
    <w:rsid w:val="00083D99"/>
    <w:rsid w:val="000841BA"/>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1A73"/>
    <w:rsid w:val="000D2ED2"/>
    <w:rsid w:val="000D6653"/>
    <w:rsid w:val="000D7F33"/>
    <w:rsid w:val="000E0D51"/>
    <w:rsid w:val="000E26B0"/>
    <w:rsid w:val="000E37C2"/>
    <w:rsid w:val="000E38C3"/>
    <w:rsid w:val="000E5341"/>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796"/>
    <w:rsid w:val="00151DA6"/>
    <w:rsid w:val="0015272E"/>
    <w:rsid w:val="0015387A"/>
    <w:rsid w:val="001608C4"/>
    <w:rsid w:val="00164832"/>
    <w:rsid w:val="00171418"/>
    <w:rsid w:val="001772BF"/>
    <w:rsid w:val="001772DE"/>
    <w:rsid w:val="00185398"/>
    <w:rsid w:val="0019496C"/>
    <w:rsid w:val="001961CF"/>
    <w:rsid w:val="001A59BB"/>
    <w:rsid w:val="001A607E"/>
    <w:rsid w:val="001A6A51"/>
    <w:rsid w:val="001A79C4"/>
    <w:rsid w:val="001B331A"/>
    <w:rsid w:val="001C0237"/>
    <w:rsid w:val="001C0E74"/>
    <w:rsid w:val="001C1B22"/>
    <w:rsid w:val="001C4DB8"/>
    <w:rsid w:val="001C50B8"/>
    <w:rsid w:val="001C5C3E"/>
    <w:rsid w:val="001D229F"/>
    <w:rsid w:val="001E2EB6"/>
    <w:rsid w:val="001E537F"/>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AFC"/>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2D1A"/>
    <w:rsid w:val="002E6D17"/>
    <w:rsid w:val="002E7017"/>
    <w:rsid w:val="002E7F2C"/>
    <w:rsid w:val="002F1FC7"/>
    <w:rsid w:val="002F2185"/>
    <w:rsid w:val="002F4F6E"/>
    <w:rsid w:val="003015C3"/>
    <w:rsid w:val="00310324"/>
    <w:rsid w:val="003106DB"/>
    <w:rsid w:val="0031350A"/>
    <w:rsid w:val="00316815"/>
    <w:rsid w:val="003168CA"/>
    <w:rsid w:val="00320684"/>
    <w:rsid w:val="00321255"/>
    <w:rsid w:val="0032230D"/>
    <w:rsid w:val="00322A0B"/>
    <w:rsid w:val="00322E76"/>
    <w:rsid w:val="00330881"/>
    <w:rsid w:val="00331CD2"/>
    <w:rsid w:val="00332426"/>
    <w:rsid w:val="00332F8C"/>
    <w:rsid w:val="00335C41"/>
    <w:rsid w:val="00335FC5"/>
    <w:rsid w:val="0033771E"/>
    <w:rsid w:val="003377DD"/>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1D4D"/>
    <w:rsid w:val="00392F73"/>
    <w:rsid w:val="00393600"/>
    <w:rsid w:val="0039762B"/>
    <w:rsid w:val="003A0C37"/>
    <w:rsid w:val="003A1B6B"/>
    <w:rsid w:val="003A46C0"/>
    <w:rsid w:val="003A600E"/>
    <w:rsid w:val="003A6513"/>
    <w:rsid w:val="003B08B3"/>
    <w:rsid w:val="003B1300"/>
    <w:rsid w:val="003B16C7"/>
    <w:rsid w:val="003B29BC"/>
    <w:rsid w:val="003B3115"/>
    <w:rsid w:val="003C194C"/>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59A6"/>
    <w:rsid w:val="003F67A4"/>
    <w:rsid w:val="00400786"/>
    <w:rsid w:val="00401FDA"/>
    <w:rsid w:val="0040379C"/>
    <w:rsid w:val="004046F0"/>
    <w:rsid w:val="0040668F"/>
    <w:rsid w:val="00411585"/>
    <w:rsid w:val="00411EF7"/>
    <w:rsid w:val="00412677"/>
    <w:rsid w:val="004228BD"/>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9EA"/>
    <w:rsid w:val="00467F66"/>
    <w:rsid w:val="00470461"/>
    <w:rsid w:val="00470BB1"/>
    <w:rsid w:val="00473153"/>
    <w:rsid w:val="0047350F"/>
    <w:rsid w:val="004743AF"/>
    <w:rsid w:val="00474463"/>
    <w:rsid w:val="00481474"/>
    <w:rsid w:val="00482C17"/>
    <w:rsid w:val="00484CE3"/>
    <w:rsid w:val="004911B4"/>
    <w:rsid w:val="0049196A"/>
    <w:rsid w:val="004923DA"/>
    <w:rsid w:val="00492EEB"/>
    <w:rsid w:val="00493434"/>
    <w:rsid w:val="004968E2"/>
    <w:rsid w:val="004A2A49"/>
    <w:rsid w:val="004A5A64"/>
    <w:rsid w:val="004A648D"/>
    <w:rsid w:val="004A6D8C"/>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5612"/>
    <w:rsid w:val="00540EEC"/>
    <w:rsid w:val="005414F4"/>
    <w:rsid w:val="00543D93"/>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95847"/>
    <w:rsid w:val="005A1B4C"/>
    <w:rsid w:val="005A545C"/>
    <w:rsid w:val="005B271A"/>
    <w:rsid w:val="005B3A2D"/>
    <w:rsid w:val="005C1567"/>
    <w:rsid w:val="005C28D3"/>
    <w:rsid w:val="005C6CE5"/>
    <w:rsid w:val="005D3F07"/>
    <w:rsid w:val="005D4A1E"/>
    <w:rsid w:val="005D4F72"/>
    <w:rsid w:val="005D6820"/>
    <w:rsid w:val="005E02D0"/>
    <w:rsid w:val="005E13EA"/>
    <w:rsid w:val="005E17F1"/>
    <w:rsid w:val="005E4E00"/>
    <w:rsid w:val="005F64AA"/>
    <w:rsid w:val="005F7851"/>
    <w:rsid w:val="00606E27"/>
    <w:rsid w:val="006108C9"/>
    <w:rsid w:val="00614247"/>
    <w:rsid w:val="00614DF7"/>
    <w:rsid w:val="006179BB"/>
    <w:rsid w:val="0062158D"/>
    <w:rsid w:val="006223FD"/>
    <w:rsid w:val="00622FF4"/>
    <w:rsid w:val="006326D1"/>
    <w:rsid w:val="00632E0A"/>
    <w:rsid w:val="00633165"/>
    <w:rsid w:val="00634B6B"/>
    <w:rsid w:val="006363E4"/>
    <w:rsid w:val="00637187"/>
    <w:rsid w:val="006447DE"/>
    <w:rsid w:val="00644889"/>
    <w:rsid w:val="00645F83"/>
    <w:rsid w:val="00651A70"/>
    <w:rsid w:val="0065222A"/>
    <w:rsid w:val="0065276E"/>
    <w:rsid w:val="00654329"/>
    <w:rsid w:val="00654CEC"/>
    <w:rsid w:val="00655507"/>
    <w:rsid w:val="006579FD"/>
    <w:rsid w:val="00660FD3"/>
    <w:rsid w:val="006635E3"/>
    <w:rsid w:val="006669F3"/>
    <w:rsid w:val="00666A53"/>
    <w:rsid w:val="006712A7"/>
    <w:rsid w:val="00672CED"/>
    <w:rsid w:val="00674FC2"/>
    <w:rsid w:val="00676E35"/>
    <w:rsid w:val="00677E42"/>
    <w:rsid w:val="006804C7"/>
    <w:rsid w:val="00682334"/>
    <w:rsid w:val="00684732"/>
    <w:rsid w:val="00684B16"/>
    <w:rsid w:val="00685D21"/>
    <w:rsid w:val="00687016"/>
    <w:rsid w:val="006872A0"/>
    <w:rsid w:val="0069625A"/>
    <w:rsid w:val="00696A88"/>
    <w:rsid w:val="00696F65"/>
    <w:rsid w:val="00697572"/>
    <w:rsid w:val="006B4496"/>
    <w:rsid w:val="006B5E67"/>
    <w:rsid w:val="006B6612"/>
    <w:rsid w:val="006C2EB5"/>
    <w:rsid w:val="006C5AB1"/>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27E6B"/>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5468"/>
    <w:rsid w:val="0078112D"/>
    <w:rsid w:val="007872F2"/>
    <w:rsid w:val="007873F9"/>
    <w:rsid w:val="007908E0"/>
    <w:rsid w:val="00793EB3"/>
    <w:rsid w:val="00794205"/>
    <w:rsid w:val="0079422A"/>
    <w:rsid w:val="007A1F6A"/>
    <w:rsid w:val="007A628F"/>
    <w:rsid w:val="007B0DE3"/>
    <w:rsid w:val="007B1BFD"/>
    <w:rsid w:val="007B1E03"/>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6A3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60C"/>
    <w:rsid w:val="00841F9D"/>
    <w:rsid w:val="008420E1"/>
    <w:rsid w:val="00842F04"/>
    <w:rsid w:val="00844D98"/>
    <w:rsid w:val="00846D84"/>
    <w:rsid w:val="00847420"/>
    <w:rsid w:val="00850233"/>
    <w:rsid w:val="0085230E"/>
    <w:rsid w:val="008538E3"/>
    <w:rsid w:val="008550A1"/>
    <w:rsid w:val="008564F2"/>
    <w:rsid w:val="0085650C"/>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03F1"/>
    <w:rsid w:val="008A21B4"/>
    <w:rsid w:val="008B07DE"/>
    <w:rsid w:val="008B1309"/>
    <w:rsid w:val="008B28E7"/>
    <w:rsid w:val="008B5FCA"/>
    <w:rsid w:val="008B67F6"/>
    <w:rsid w:val="008C14C7"/>
    <w:rsid w:val="008C2FFB"/>
    <w:rsid w:val="008C633F"/>
    <w:rsid w:val="008C6EEA"/>
    <w:rsid w:val="008C7770"/>
    <w:rsid w:val="008C79C7"/>
    <w:rsid w:val="008D03B0"/>
    <w:rsid w:val="008D2150"/>
    <w:rsid w:val="008D50C6"/>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17838"/>
    <w:rsid w:val="00920E5B"/>
    <w:rsid w:val="00926436"/>
    <w:rsid w:val="00926C53"/>
    <w:rsid w:val="0093018C"/>
    <w:rsid w:val="0094495F"/>
    <w:rsid w:val="00946278"/>
    <w:rsid w:val="009544C0"/>
    <w:rsid w:val="00954FA4"/>
    <w:rsid w:val="00956AE9"/>
    <w:rsid w:val="00964CC6"/>
    <w:rsid w:val="00967BFA"/>
    <w:rsid w:val="00977D4D"/>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4DCF"/>
    <w:rsid w:val="009F6128"/>
    <w:rsid w:val="009F6801"/>
    <w:rsid w:val="00A00081"/>
    <w:rsid w:val="00A06422"/>
    <w:rsid w:val="00A10D56"/>
    <w:rsid w:val="00A12AAE"/>
    <w:rsid w:val="00A12F22"/>
    <w:rsid w:val="00A1442F"/>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4876"/>
    <w:rsid w:val="00A85039"/>
    <w:rsid w:val="00A906AA"/>
    <w:rsid w:val="00A94C5E"/>
    <w:rsid w:val="00A96244"/>
    <w:rsid w:val="00AA252C"/>
    <w:rsid w:val="00AA666E"/>
    <w:rsid w:val="00AA7960"/>
    <w:rsid w:val="00AB5518"/>
    <w:rsid w:val="00AC3A0E"/>
    <w:rsid w:val="00AC4A04"/>
    <w:rsid w:val="00AC4C49"/>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27C"/>
    <w:rsid w:val="00B15998"/>
    <w:rsid w:val="00B17FA0"/>
    <w:rsid w:val="00B2292C"/>
    <w:rsid w:val="00B22C3C"/>
    <w:rsid w:val="00B24344"/>
    <w:rsid w:val="00B26769"/>
    <w:rsid w:val="00B26972"/>
    <w:rsid w:val="00B2754B"/>
    <w:rsid w:val="00B31C91"/>
    <w:rsid w:val="00B32A8F"/>
    <w:rsid w:val="00B371AD"/>
    <w:rsid w:val="00B3747F"/>
    <w:rsid w:val="00B42E76"/>
    <w:rsid w:val="00B43194"/>
    <w:rsid w:val="00B436BF"/>
    <w:rsid w:val="00B47734"/>
    <w:rsid w:val="00B50FBA"/>
    <w:rsid w:val="00B558EB"/>
    <w:rsid w:val="00B577D3"/>
    <w:rsid w:val="00B60466"/>
    <w:rsid w:val="00B6548F"/>
    <w:rsid w:val="00B71A32"/>
    <w:rsid w:val="00B7502A"/>
    <w:rsid w:val="00B75593"/>
    <w:rsid w:val="00B77305"/>
    <w:rsid w:val="00B774BD"/>
    <w:rsid w:val="00B82CC2"/>
    <w:rsid w:val="00B84A89"/>
    <w:rsid w:val="00B91D4F"/>
    <w:rsid w:val="00B9256C"/>
    <w:rsid w:val="00B92BEF"/>
    <w:rsid w:val="00B94443"/>
    <w:rsid w:val="00B9689A"/>
    <w:rsid w:val="00B96C51"/>
    <w:rsid w:val="00B97056"/>
    <w:rsid w:val="00BA053E"/>
    <w:rsid w:val="00BA531E"/>
    <w:rsid w:val="00BA728B"/>
    <w:rsid w:val="00BB06CB"/>
    <w:rsid w:val="00BB261F"/>
    <w:rsid w:val="00BB2887"/>
    <w:rsid w:val="00BB3B56"/>
    <w:rsid w:val="00BB5EAA"/>
    <w:rsid w:val="00BB5F11"/>
    <w:rsid w:val="00BB6638"/>
    <w:rsid w:val="00BB7FD2"/>
    <w:rsid w:val="00BC04FA"/>
    <w:rsid w:val="00BC1C22"/>
    <w:rsid w:val="00BC3637"/>
    <w:rsid w:val="00BC460B"/>
    <w:rsid w:val="00BC4ED3"/>
    <w:rsid w:val="00BC5725"/>
    <w:rsid w:val="00BD30B1"/>
    <w:rsid w:val="00BE0F7B"/>
    <w:rsid w:val="00BE10C2"/>
    <w:rsid w:val="00BF0D6C"/>
    <w:rsid w:val="00BF4057"/>
    <w:rsid w:val="00C01D14"/>
    <w:rsid w:val="00C01D97"/>
    <w:rsid w:val="00C025B4"/>
    <w:rsid w:val="00C029EC"/>
    <w:rsid w:val="00C11AE9"/>
    <w:rsid w:val="00C161FD"/>
    <w:rsid w:val="00C17C9F"/>
    <w:rsid w:val="00C23F17"/>
    <w:rsid w:val="00C246F2"/>
    <w:rsid w:val="00C26D0D"/>
    <w:rsid w:val="00C27C95"/>
    <w:rsid w:val="00C300D2"/>
    <w:rsid w:val="00C3270F"/>
    <w:rsid w:val="00C3278B"/>
    <w:rsid w:val="00C33375"/>
    <w:rsid w:val="00C34C23"/>
    <w:rsid w:val="00C368FA"/>
    <w:rsid w:val="00C42005"/>
    <w:rsid w:val="00C42F6B"/>
    <w:rsid w:val="00C4664D"/>
    <w:rsid w:val="00C472AA"/>
    <w:rsid w:val="00C50A05"/>
    <w:rsid w:val="00C54AED"/>
    <w:rsid w:val="00C555FC"/>
    <w:rsid w:val="00C55E9B"/>
    <w:rsid w:val="00C56C90"/>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C68"/>
    <w:rsid w:val="00D07026"/>
    <w:rsid w:val="00D146AE"/>
    <w:rsid w:val="00D161B5"/>
    <w:rsid w:val="00D22C8F"/>
    <w:rsid w:val="00D25276"/>
    <w:rsid w:val="00D3203C"/>
    <w:rsid w:val="00D33491"/>
    <w:rsid w:val="00D3442D"/>
    <w:rsid w:val="00D36F00"/>
    <w:rsid w:val="00D4406F"/>
    <w:rsid w:val="00D44B67"/>
    <w:rsid w:val="00D44F8E"/>
    <w:rsid w:val="00D51FD5"/>
    <w:rsid w:val="00D55DE0"/>
    <w:rsid w:val="00D606D2"/>
    <w:rsid w:val="00D607EF"/>
    <w:rsid w:val="00D60F88"/>
    <w:rsid w:val="00D646BD"/>
    <w:rsid w:val="00D65558"/>
    <w:rsid w:val="00D71201"/>
    <w:rsid w:val="00D720C7"/>
    <w:rsid w:val="00D84841"/>
    <w:rsid w:val="00D876E6"/>
    <w:rsid w:val="00D90958"/>
    <w:rsid w:val="00D929CE"/>
    <w:rsid w:val="00D93496"/>
    <w:rsid w:val="00DA1025"/>
    <w:rsid w:val="00DA22EC"/>
    <w:rsid w:val="00DA5682"/>
    <w:rsid w:val="00DA5860"/>
    <w:rsid w:val="00DA5C0C"/>
    <w:rsid w:val="00DA7505"/>
    <w:rsid w:val="00DB2767"/>
    <w:rsid w:val="00DB7A6C"/>
    <w:rsid w:val="00DC1B10"/>
    <w:rsid w:val="00DC2924"/>
    <w:rsid w:val="00DC4729"/>
    <w:rsid w:val="00DD31C5"/>
    <w:rsid w:val="00DD393F"/>
    <w:rsid w:val="00DD5020"/>
    <w:rsid w:val="00DD63BE"/>
    <w:rsid w:val="00DE4296"/>
    <w:rsid w:val="00DF2469"/>
    <w:rsid w:val="00DF7899"/>
    <w:rsid w:val="00E0524C"/>
    <w:rsid w:val="00E07AD3"/>
    <w:rsid w:val="00E15751"/>
    <w:rsid w:val="00E17160"/>
    <w:rsid w:val="00E17D41"/>
    <w:rsid w:val="00E231D1"/>
    <w:rsid w:val="00E3273F"/>
    <w:rsid w:val="00E3288D"/>
    <w:rsid w:val="00E35112"/>
    <w:rsid w:val="00E35BEC"/>
    <w:rsid w:val="00E41A6A"/>
    <w:rsid w:val="00E426F0"/>
    <w:rsid w:val="00E50821"/>
    <w:rsid w:val="00E51F91"/>
    <w:rsid w:val="00E5498A"/>
    <w:rsid w:val="00E559CE"/>
    <w:rsid w:val="00E60F42"/>
    <w:rsid w:val="00E6746C"/>
    <w:rsid w:val="00E7086E"/>
    <w:rsid w:val="00E71248"/>
    <w:rsid w:val="00E73C41"/>
    <w:rsid w:val="00E75911"/>
    <w:rsid w:val="00E7598F"/>
    <w:rsid w:val="00E76F60"/>
    <w:rsid w:val="00E771E5"/>
    <w:rsid w:val="00E812B5"/>
    <w:rsid w:val="00E83D90"/>
    <w:rsid w:val="00E83F91"/>
    <w:rsid w:val="00E86299"/>
    <w:rsid w:val="00E9107A"/>
    <w:rsid w:val="00E91F62"/>
    <w:rsid w:val="00E929FD"/>
    <w:rsid w:val="00E93240"/>
    <w:rsid w:val="00E9479B"/>
    <w:rsid w:val="00E94E22"/>
    <w:rsid w:val="00E95C16"/>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897"/>
    <w:rsid w:val="00F01F92"/>
    <w:rsid w:val="00F030D4"/>
    <w:rsid w:val="00F04053"/>
    <w:rsid w:val="00F06573"/>
    <w:rsid w:val="00F10A08"/>
    <w:rsid w:val="00F15354"/>
    <w:rsid w:val="00F22AC5"/>
    <w:rsid w:val="00F254D1"/>
    <w:rsid w:val="00F32B82"/>
    <w:rsid w:val="00F34C86"/>
    <w:rsid w:val="00F4043E"/>
    <w:rsid w:val="00F40B07"/>
    <w:rsid w:val="00F41795"/>
    <w:rsid w:val="00F41BBC"/>
    <w:rsid w:val="00F42164"/>
    <w:rsid w:val="00F444F0"/>
    <w:rsid w:val="00F446FF"/>
    <w:rsid w:val="00F45521"/>
    <w:rsid w:val="00F50847"/>
    <w:rsid w:val="00F53F27"/>
    <w:rsid w:val="00F546D1"/>
    <w:rsid w:val="00F60281"/>
    <w:rsid w:val="00F66272"/>
    <w:rsid w:val="00F709C0"/>
    <w:rsid w:val="00F81FEC"/>
    <w:rsid w:val="00F8236A"/>
    <w:rsid w:val="00F927A1"/>
    <w:rsid w:val="00F92E4D"/>
    <w:rsid w:val="00F95D08"/>
    <w:rsid w:val="00FA1143"/>
    <w:rsid w:val="00FA23BD"/>
    <w:rsid w:val="00FA3764"/>
    <w:rsid w:val="00FA41C7"/>
    <w:rsid w:val="00FA4649"/>
    <w:rsid w:val="00FA4A79"/>
    <w:rsid w:val="00FA56ED"/>
    <w:rsid w:val="00FB05DD"/>
    <w:rsid w:val="00FB0F7C"/>
    <w:rsid w:val="00FB24EA"/>
    <w:rsid w:val="00FB5FA6"/>
    <w:rsid w:val="00FC0334"/>
    <w:rsid w:val="00FC1310"/>
    <w:rsid w:val="00FC2FF3"/>
    <w:rsid w:val="00FC3263"/>
    <w:rsid w:val="00FC51F9"/>
    <w:rsid w:val="00FC5520"/>
    <w:rsid w:val="00FC5B40"/>
    <w:rsid w:val="00FC5FF8"/>
    <w:rsid w:val="00FD271B"/>
    <w:rsid w:val="00FD3A20"/>
    <w:rsid w:val="00FD3D7C"/>
    <w:rsid w:val="00FD4F8F"/>
    <w:rsid w:val="00FD5B63"/>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AE477DC"/>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FC55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663730">
      <w:bodyDiv w:val="1"/>
      <w:marLeft w:val="0"/>
      <w:marRight w:val="0"/>
      <w:marTop w:val="0"/>
      <w:marBottom w:val="0"/>
      <w:divBdr>
        <w:top w:val="none" w:sz="0" w:space="0" w:color="auto"/>
        <w:left w:val="none" w:sz="0" w:space="0" w:color="auto"/>
        <w:bottom w:val="none" w:sz="0" w:space="0" w:color="auto"/>
        <w:right w:val="none" w:sz="0" w:space="0" w:color="auto"/>
      </w:divBdr>
    </w:div>
    <w:div w:id="113062600">
      <w:bodyDiv w:val="1"/>
      <w:marLeft w:val="0"/>
      <w:marRight w:val="0"/>
      <w:marTop w:val="0"/>
      <w:marBottom w:val="0"/>
      <w:divBdr>
        <w:top w:val="none" w:sz="0" w:space="0" w:color="auto"/>
        <w:left w:val="none" w:sz="0" w:space="0" w:color="auto"/>
        <w:bottom w:val="none" w:sz="0" w:space="0" w:color="auto"/>
        <w:right w:val="none" w:sz="0" w:space="0" w:color="auto"/>
      </w:divBdr>
    </w:div>
    <w:div w:id="126314378">
      <w:bodyDiv w:val="1"/>
      <w:marLeft w:val="0"/>
      <w:marRight w:val="0"/>
      <w:marTop w:val="0"/>
      <w:marBottom w:val="0"/>
      <w:divBdr>
        <w:top w:val="none" w:sz="0" w:space="0" w:color="auto"/>
        <w:left w:val="none" w:sz="0" w:space="0" w:color="auto"/>
        <w:bottom w:val="none" w:sz="0" w:space="0" w:color="auto"/>
        <w:right w:val="none" w:sz="0" w:space="0" w:color="auto"/>
      </w:divBdr>
      <w:divsChild>
        <w:div w:id="11542929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4514543">
      <w:bodyDiv w:val="1"/>
      <w:marLeft w:val="0"/>
      <w:marRight w:val="0"/>
      <w:marTop w:val="0"/>
      <w:marBottom w:val="0"/>
      <w:divBdr>
        <w:top w:val="none" w:sz="0" w:space="0" w:color="auto"/>
        <w:left w:val="none" w:sz="0" w:space="0" w:color="auto"/>
        <w:bottom w:val="none" w:sz="0" w:space="0" w:color="auto"/>
        <w:right w:val="none" w:sz="0" w:space="0" w:color="auto"/>
      </w:divBdr>
    </w:div>
    <w:div w:id="247495886">
      <w:bodyDiv w:val="1"/>
      <w:marLeft w:val="0"/>
      <w:marRight w:val="0"/>
      <w:marTop w:val="0"/>
      <w:marBottom w:val="0"/>
      <w:divBdr>
        <w:top w:val="none" w:sz="0" w:space="0" w:color="auto"/>
        <w:left w:val="none" w:sz="0" w:space="0" w:color="auto"/>
        <w:bottom w:val="none" w:sz="0" w:space="0" w:color="auto"/>
        <w:right w:val="none" w:sz="0" w:space="0" w:color="auto"/>
      </w:divBdr>
    </w:div>
    <w:div w:id="259922161">
      <w:bodyDiv w:val="1"/>
      <w:marLeft w:val="0"/>
      <w:marRight w:val="0"/>
      <w:marTop w:val="0"/>
      <w:marBottom w:val="0"/>
      <w:divBdr>
        <w:top w:val="none" w:sz="0" w:space="0" w:color="auto"/>
        <w:left w:val="none" w:sz="0" w:space="0" w:color="auto"/>
        <w:bottom w:val="none" w:sz="0" w:space="0" w:color="auto"/>
        <w:right w:val="none" w:sz="0" w:space="0" w:color="auto"/>
      </w:divBdr>
    </w:div>
    <w:div w:id="688916048">
      <w:bodyDiv w:val="1"/>
      <w:marLeft w:val="0"/>
      <w:marRight w:val="0"/>
      <w:marTop w:val="0"/>
      <w:marBottom w:val="0"/>
      <w:divBdr>
        <w:top w:val="none" w:sz="0" w:space="0" w:color="auto"/>
        <w:left w:val="none" w:sz="0" w:space="0" w:color="auto"/>
        <w:bottom w:val="none" w:sz="0" w:space="0" w:color="auto"/>
        <w:right w:val="none" w:sz="0" w:space="0" w:color="auto"/>
      </w:divBdr>
    </w:div>
    <w:div w:id="721518445">
      <w:bodyDiv w:val="1"/>
      <w:marLeft w:val="0"/>
      <w:marRight w:val="0"/>
      <w:marTop w:val="0"/>
      <w:marBottom w:val="0"/>
      <w:divBdr>
        <w:top w:val="none" w:sz="0" w:space="0" w:color="auto"/>
        <w:left w:val="none" w:sz="0" w:space="0" w:color="auto"/>
        <w:bottom w:val="none" w:sz="0" w:space="0" w:color="auto"/>
        <w:right w:val="none" w:sz="0" w:space="0" w:color="auto"/>
      </w:divBdr>
    </w:div>
    <w:div w:id="821509206">
      <w:bodyDiv w:val="1"/>
      <w:marLeft w:val="0"/>
      <w:marRight w:val="0"/>
      <w:marTop w:val="0"/>
      <w:marBottom w:val="0"/>
      <w:divBdr>
        <w:top w:val="none" w:sz="0" w:space="0" w:color="auto"/>
        <w:left w:val="none" w:sz="0" w:space="0" w:color="auto"/>
        <w:bottom w:val="none" w:sz="0" w:space="0" w:color="auto"/>
        <w:right w:val="none" w:sz="0" w:space="0" w:color="auto"/>
      </w:divBdr>
    </w:div>
    <w:div w:id="96084421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890414564">
      <w:bodyDiv w:val="1"/>
      <w:marLeft w:val="0"/>
      <w:marRight w:val="0"/>
      <w:marTop w:val="0"/>
      <w:marBottom w:val="0"/>
      <w:divBdr>
        <w:top w:val="none" w:sz="0" w:space="0" w:color="auto"/>
        <w:left w:val="none" w:sz="0" w:space="0" w:color="auto"/>
        <w:bottom w:val="none" w:sz="0" w:space="0" w:color="auto"/>
        <w:right w:val="none" w:sz="0" w:space="0" w:color="auto"/>
      </w:divBdr>
    </w:div>
    <w:div w:id="196164084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1636005">
      <w:bodyDiv w:val="1"/>
      <w:marLeft w:val="0"/>
      <w:marRight w:val="0"/>
      <w:marTop w:val="0"/>
      <w:marBottom w:val="0"/>
      <w:divBdr>
        <w:top w:val="none" w:sz="0" w:space="0" w:color="auto"/>
        <w:left w:val="none" w:sz="0" w:space="0" w:color="auto"/>
        <w:bottom w:val="none" w:sz="0" w:space="0" w:color="auto"/>
        <w:right w:val="none" w:sz="0" w:space="0" w:color="auto"/>
      </w:divBdr>
    </w:div>
    <w:div w:id="2133359562">
      <w:bodyDiv w:val="1"/>
      <w:marLeft w:val="0"/>
      <w:marRight w:val="0"/>
      <w:marTop w:val="0"/>
      <w:marBottom w:val="0"/>
      <w:divBdr>
        <w:top w:val="none" w:sz="0" w:space="0" w:color="auto"/>
        <w:left w:val="none" w:sz="0" w:space="0" w:color="auto"/>
        <w:bottom w:val="none" w:sz="0" w:space="0" w:color="auto"/>
        <w:right w:val="none" w:sz="0" w:space="0" w:color="auto"/>
      </w:divBdr>
      <w:divsChild>
        <w:div w:id="17580161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01/archpedi.162.6.55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doi.org/10.1016/j.childyouth.2020.105104" TargetMode="External"/><Relationship Id="rId17" Type="http://schemas.openxmlformats.org/officeDocument/2006/relationships/hyperlink" Target="https://www.gov.wales/welsh-index-multiple-deprivation" TargetMode="External"/><Relationship Id="rId2" Type="http://schemas.openxmlformats.org/officeDocument/2006/relationships/customXml" Target="../customXml/item2.xml"/><Relationship Id="rId16" Type="http://schemas.openxmlformats.org/officeDocument/2006/relationships/hyperlink" Target="https://www.socialworkengland.org.uk/cpd/ethics-and-valu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77/15248380211036073" TargetMode="External"/><Relationship Id="rId5" Type="http://schemas.openxmlformats.org/officeDocument/2006/relationships/styles" Target="styles.xml"/><Relationship Id="rId15" Type="http://schemas.openxmlformats.org/officeDocument/2006/relationships/hyperlink" Target="https://www.legislation.gov.uk/anaw/2014/4/contents" TargetMode="External"/><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ocialcare.wales/cms-assets/documents/Code-of-Professional-Practice-for-Social-Care-web-vers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0</TotalTime>
  <Pages>15</Pages>
  <Words>5949</Words>
  <Characters>33915</Characters>
  <Application>Microsoft Office Word</Application>
  <DocSecurity>0</DocSecurity>
  <Lines>282</Lines>
  <Paragraphs>79</Paragraphs>
  <ScaleCrop>false</ScaleCrop>
  <Company>Powys County Council</Company>
  <LinksUpToDate>false</LinksUpToDate>
  <CharactersWithSpaces>39785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Zara Morgan</cp:lastModifiedBy>
  <cp:revision>2</cp:revision>
  <cp:lastPrinted>2020-02-11T19:20:00Z</cp:lastPrinted>
  <dcterms:created xsi:type="dcterms:W3CDTF">2025-10-08T10:33:00Z</dcterms:created>
  <dcterms:modified xsi:type="dcterms:W3CDTF">2025-10-08T10:33:00Z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