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8B5609" w14:textId="5F85B6D1" w:rsidR="0055089B" w:rsidRPr="00586AFA" w:rsidRDefault="00A8068F" w:rsidP="00513CE6">
      <w:pPr>
        <w:spacing w:after="0" w:line="360" w:lineRule="auto"/>
        <w:jc w:val="center"/>
        <w:rPr>
          <w:rFonts w:ascii="Times New Roman" w:hAnsi="Times New Roman" w:cs="Times New Roman"/>
          <w:noProof/>
          <w:sz w:val="28"/>
          <w:szCs w:val="28"/>
        </w:rPr>
      </w:pPr>
      <w:r w:rsidRPr="00586AFA">
        <w:rPr>
          <w:rFonts w:ascii="Times New Roman" w:hAnsi="Times New Roman" w:cs="Times New Roman"/>
          <w:noProof/>
          <w:sz w:val="28"/>
          <w:szCs w:val="28"/>
        </w:rPr>
        <w:t>Reference for poster:</w:t>
      </w:r>
    </w:p>
    <w:p w14:paraId="78068448" w14:textId="77777777" w:rsidR="0030420B" w:rsidRPr="00586AFA" w:rsidRDefault="0030420B" w:rsidP="00513CE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437D9B1" w14:textId="77777777" w:rsidR="00513CE6" w:rsidRPr="00586AFA" w:rsidRDefault="00513CE6" w:rsidP="00513CE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DA7489E" w14:textId="77777777" w:rsidR="00513CE6" w:rsidRDefault="00513CE6" w:rsidP="00341ED6"/>
    <w:p w14:paraId="1599D621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 xml:space="preserve">Barnes, J (2015) </w:t>
      </w:r>
      <w:r w:rsidRPr="00586AFA">
        <w:rPr>
          <w:rFonts w:ascii="Times New Roman" w:hAnsi="Times New Roman" w:cs="Times New Roman"/>
          <w:i/>
          <w:iCs/>
          <w:sz w:val="24"/>
          <w:szCs w:val="24"/>
        </w:rPr>
        <w:t xml:space="preserve">Cross-Curricular learning 3-14, </w:t>
      </w:r>
      <w:r w:rsidRPr="00586AFA">
        <w:rPr>
          <w:rFonts w:ascii="Times New Roman" w:hAnsi="Times New Roman" w:cs="Times New Roman"/>
          <w:sz w:val="24"/>
          <w:szCs w:val="24"/>
        </w:rPr>
        <w:t>London: Sage Publications LTD</w:t>
      </w:r>
    </w:p>
    <w:p w14:paraId="49B865DD" w14:textId="77777777" w:rsidR="00513CE6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 xml:space="preserve">Didau, D. (2011) </w:t>
      </w:r>
      <w:r w:rsidRPr="00586AFA">
        <w:rPr>
          <w:rFonts w:ascii="Times New Roman" w:hAnsi="Times New Roman" w:cs="Times New Roman"/>
          <w:i/>
          <w:sz w:val="24"/>
          <w:szCs w:val="24"/>
        </w:rPr>
        <w:t xml:space="preserve">Is there a case for summative assessment? </w:t>
      </w:r>
      <w:r w:rsidRPr="00586AF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586AF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http://www.learningspy.co.uk/assessment/is-there-a-case-for-summative-assessment/</w:t>
        </w:r>
      </w:hyperlink>
      <w:r w:rsidRPr="00586AFA">
        <w:rPr>
          <w:rFonts w:ascii="Times New Roman" w:hAnsi="Times New Roman" w:cs="Times New Roman"/>
          <w:sz w:val="24"/>
          <w:szCs w:val="24"/>
        </w:rPr>
        <w:t xml:space="preserve"> [Accessed on the 03/12/2018].</w:t>
      </w:r>
    </w:p>
    <w:p w14:paraId="422899C4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 xml:space="preserve">Donaldson, G (2015) </w:t>
      </w:r>
      <w:r w:rsidRPr="00586AFA">
        <w:rPr>
          <w:rFonts w:ascii="Times New Roman" w:hAnsi="Times New Roman" w:cs="Times New Roman"/>
          <w:i/>
          <w:sz w:val="24"/>
          <w:szCs w:val="24"/>
        </w:rPr>
        <w:t>Successful futures.</w:t>
      </w:r>
      <w:r w:rsidRPr="00586AFA">
        <w:rPr>
          <w:rFonts w:ascii="Times New Roman" w:hAnsi="Times New Roman" w:cs="Times New Roman"/>
          <w:sz w:val="24"/>
          <w:szCs w:val="24"/>
        </w:rPr>
        <w:t xml:space="preserve"> Wales: Crown House publishing ltd</w:t>
      </w:r>
    </w:p>
    <w:p w14:paraId="2A9FBCCF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 xml:space="preserve">Hayes, D (2010) ‘The seductive charms of a cross-curricular approach’ </w:t>
      </w:r>
      <w:r w:rsidRPr="00586AFA">
        <w:rPr>
          <w:rFonts w:ascii="Times New Roman" w:hAnsi="Times New Roman" w:cs="Times New Roman"/>
          <w:i/>
          <w:sz w:val="24"/>
          <w:szCs w:val="24"/>
        </w:rPr>
        <w:t xml:space="preserve">Education 3-13, </w:t>
      </w:r>
      <w:r w:rsidRPr="00586AFA">
        <w:rPr>
          <w:rFonts w:ascii="Times New Roman" w:hAnsi="Times New Roman" w:cs="Times New Roman"/>
          <w:sz w:val="24"/>
          <w:szCs w:val="24"/>
        </w:rPr>
        <w:t>38(4), pp. 381-387. DOI: 10.1080/03004270903519238 [Accessed on 06/12/2018].</w:t>
      </w:r>
    </w:p>
    <w:p w14:paraId="4D1B2B6A" w14:textId="77777777" w:rsidR="00513CE6" w:rsidRPr="00870B7D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70B7D">
        <w:rPr>
          <w:rFonts w:ascii="Times New Roman" w:hAnsi="Times New Roman" w:cs="Times New Roman"/>
          <w:sz w:val="24"/>
          <w:szCs w:val="24"/>
        </w:rPr>
        <w:t xml:space="preserve">Haylock, D (2010) </w:t>
      </w:r>
      <w:r w:rsidRPr="00870B7D">
        <w:rPr>
          <w:rFonts w:ascii="Times New Roman" w:hAnsi="Times New Roman" w:cs="Times New Roman"/>
          <w:i/>
          <w:iCs/>
          <w:sz w:val="24"/>
          <w:szCs w:val="24"/>
        </w:rPr>
        <w:t xml:space="preserve">Mathematics explained for primary teachers, </w:t>
      </w:r>
      <w:r w:rsidRPr="00870B7D">
        <w:rPr>
          <w:rFonts w:ascii="Times New Roman" w:hAnsi="Times New Roman" w:cs="Times New Roman"/>
          <w:sz w:val="24"/>
          <w:szCs w:val="24"/>
        </w:rPr>
        <w:t>London, Sage</w:t>
      </w:r>
    </w:p>
    <w:p w14:paraId="265D4FA9" w14:textId="77777777" w:rsidR="00513CE6" w:rsidRPr="00586AFA" w:rsidRDefault="00513CE6" w:rsidP="00513CE6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>IMAGE-</w:t>
      </w:r>
      <w:r w:rsidRPr="00586AFA">
        <w:rPr>
          <w:rFonts w:ascii="Times New Roman" w:hAnsi="Times New Roman" w:cs="Times New Roman"/>
          <w:sz w:val="24"/>
          <w:szCs w:val="24"/>
        </w:rPr>
        <w:t xml:space="preserve"> http://uimagine.edu.au/qltonline/online-peer-assessment-an-honest-account-from-a-first-time-user/</w:t>
      </w:r>
    </w:p>
    <w:p w14:paraId="64C5CB2D" w14:textId="77777777" w:rsidR="00513CE6" w:rsidRPr="00586AFA" w:rsidRDefault="00513CE6" w:rsidP="00513CE6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 xml:space="preserve">IMAGE- </w:t>
      </w:r>
      <w:hyperlink r:id="rId8" w:history="1">
        <w:r w:rsidRPr="00586AFA">
          <w:rPr>
            <w:rStyle w:val="Hyperlink"/>
            <w:rFonts w:ascii="Times New Roman" w:hAnsi="Times New Roman" w:cs="Times New Roman"/>
            <w:sz w:val="24"/>
            <w:szCs w:val="24"/>
          </w:rPr>
          <w:t>https://teachingessentials.wordpress.com/2014/12/14/peer-assessment-starters/</w:t>
        </w:r>
      </w:hyperlink>
    </w:p>
    <w:p w14:paraId="131073D0" w14:textId="77777777" w:rsidR="00513CE6" w:rsidRPr="00586AFA" w:rsidRDefault="00513CE6" w:rsidP="00513CE6">
      <w:pPr>
        <w:pStyle w:val="ListParagraph"/>
        <w:numPr>
          <w:ilvl w:val="0"/>
          <w:numId w:val="3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 xml:space="preserve">IMAGE- </w:t>
      </w:r>
      <w:r w:rsidRPr="00586AFA">
        <w:rPr>
          <w:rFonts w:ascii="Times New Roman" w:hAnsi="Times New Roman" w:cs="Times New Roman"/>
          <w:sz w:val="24"/>
          <w:szCs w:val="24"/>
        </w:rPr>
        <w:t>https://www.classroomcapers.co.uk/self-assessment-faces-stamp-cc8025.html</w:t>
      </w:r>
    </w:p>
    <w:p w14:paraId="7937ACB4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 xml:space="preserve">Jones, Casey (2009) </w:t>
      </w:r>
      <w:r w:rsidRPr="00586AFA">
        <w:rPr>
          <w:rFonts w:ascii="Times New Roman" w:hAnsi="Times New Roman" w:cs="Times New Roman"/>
          <w:sz w:val="24"/>
          <w:szCs w:val="24"/>
        </w:rPr>
        <w:t>‘</w:t>
      </w:r>
      <w:r w:rsidRPr="00586AFA">
        <w:rPr>
          <w:rFonts w:ascii="Times New Roman" w:hAnsi="Times New Roman" w:cs="Times New Roman"/>
          <w:sz w:val="24"/>
          <w:szCs w:val="24"/>
        </w:rPr>
        <w:t>Interdisciplinary Approach - Advantages, Disadvantages, and the Future Benefits of Interdisciplinary Studies,</w:t>
      </w:r>
      <w:r w:rsidRPr="00586AFA">
        <w:rPr>
          <w:rFonts w:ascii="Times New Roman" w:hAnsi="Times New Roman" w:cs="Times New Roman"/>
          <w:sz w:val="24"/>
          <w:szCs w:val="24"/>
        </w:rPr>
        <w:t>’</w:t>
      </w:r>
      <w:r w:rsidRPr="00586AFA">
        <w:rPr>
          <w:rFonts w:ascii="Times New Roman" w:hAnsi="Times New Roman" w:cs="Times New Roman"/>
          <w:sz w:val="24"/>
          <w:szCs w:val="24"/>
        </w:rPr>
        <w:t xml:space="preserve"> </w:t>
      </w:r>
      <w:r w:rsidRPr="00586AFA">
        <w:rPr>
          <w:rFonts w:ascii="Times New Roman" w:hAnsi="Times New Roman" w:cs="Times New Roman"/>
          <w:i/>
          <w:sz w:val="24"/>
          <w:szCs w:val="24"/>
        </w:rPr>
        <w:t>ESSAI</w:t>
      </w:r>
      <w:r w:rsidRPr="00586AFA">
        <w:rPr>
          <w:rFonts w:ascii="Times New Roman" w:hAnsi="Times New Roman" w:cs="Times New Roman"/>
          <w:i/>
          <w:sz w:val="24"/>
          <w:szCs w:val="24"/>
        </w:rPr>
        <w:t>.</w:t>
      </w:r>
      <w:r w:rsidRPr="00586AFA">
        <w:rPr>
          <w:rFonts w:ascii="Times New Roman" w:hAnsi="Times New Roman" w:cs="Times New Roman"/>
          <w:sz w:val="24"/>
          <w:szCs w:val="24"/>
        </w:rPr>
        <w:t xml:space="preserve"> </w:t>
      </w:r>
      <w:r w:rsidRPr="00586AFA">
        <w:rPr>
          <w:rFonts w:ascii="Times New Roman" w:hAnsi="Times New Roman" w:cs="Times New Roman"/>
          <w:sz w:val="24"/>
          <w:szCs w:val="24"/>
        </w:rPr>
        <w:t xml:space="preserve"> 26 (7)</w:t>
      </w:r>
      <w:r w:rsidRPr="00586AFA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9" w:history="1">
        <w:r w:rsidRPr="00586AFA">
          <w:rPr>
            <w:rStyle w:val="Hyperlink"/>
            <w:rFonts w:ascii="Times New Roman" w:hAnsi="Times New Roman" w:cs="Times New Roman"/>
            <w:sz w:val="24"/>
            <w:szCs w:val="24"/>
          </w:rPr>
          <w:t>http://dc.cod.edu/essai/vol7/iss1/26</w:t>
        </w:r>
      </w:hyperlink>
    </w:p>
    <w:p w14:paraId="67E973CB" w14:textId="77777777" w:rsidR="00513CE6" w:rsidRPr="005E552C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870B7D">
        <w:rPr>
          <w:rFonts w:ascii="Times New Roman" w:hAnsi="Times New Roman" w:cs="Times New Roman"/>
          <w:sz w:val="24"/>
          <w:szCs w:val="24"/>
        </w:rPr>
        <w:t xml:space="preserve">Kerry, T (2011) </w:t>
      </w:r>
      <w:r w:rsidRPr="00870B7D">
        <w:rPr>
          <w:rFonts w:ascii="Times New Roman" w:hAnsi="Times New Roman" w:cs="Times New Roman"/>
          <w:i/>
          <w:sz w:val="24"/>
          <w:szCs w:val="24"/>
        </w:rPr>
        <w:t>Cross-curricular teaching in the primary school</w:t>
      </w:r>
      <w:r w:rsidRPr="00870B7D">
        <w:rPr>
          <w:rFonts w:ascii="Times New Roman" w:hAnsi="Times New Roman" w:cs="Times New Roman"/>
          <w:sz w:val="24"/>
          <w:szCs w:val="24"/>
        </w:rPr>
        <w:t>, Oxon, Routledge</w:t>
      </w:r>
    </w:p>
    <w:p w14:paraId="020C1D13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Style w:val="hlfld-contribauthor"/>
          <w:rFonts w:ascii="Times New Roman" w:hAnsi="Times New Roman" w:cs="Times New Roman"/>
          <w:color w:val="333333"/>
          <w:sz w:val="24"/>
          <w:szCs w:val="24"/>
        </w:rPr>
        <w:t>Marzano, </w:t>
      </w:r>
      <w:r w:rsidRPr="00586AFA">
        <w:rPr>
          <w:rStyle w:val="nlmgiven-names"/>
          <w:rFonts w:ascii="Times New Roman" w:hAnsi="Times New Roman" w:cs="Times New Roman"/>
          <w:color w:val="333333"/>
          <w:sz w:val="24"/>
          <w:szCs w:val="24"/>
        </w:rPr>
        <w:t>R. J.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586AFA">
        <w:rPr>
          <w:rStyle w:val="nlmyear"/>
          <w:rFonts w:ascii="Times New Roman" w:hAnsi="Times New Roman" w:cs="Times New Roman"/>
          <w:color w:val="333333"/>
          <w:sz w:val="24"/>
          <w:szCs w:val="24"/>
        </w:rPr>
        <w:t>1991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 </w:t>
      </w:r>
      <w:r w:rsidRPr="00586AFA">
        <w:rPr>
          <w:rStyle w:val="nlmarticle-title"/>
          <w:rFonts w:ascii="Times New Roman" w:hAnsi="Times New Roman" w:cs="Times New Roman"/>
          <w:color w:val="333333"/>
          <w:sz w:val="24"/>
          <w:szCs w:val="24"/>
        </w:rPr>
        <w:t>Fostering thinking across the curriculum through knowledge restructuring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 </w:t>
      </w:r>
      <w:r w:rsidRPr="00586AFA">
        <w:rPr>
          <w:rFonts w:ascii="Times New Roman" w:hAnsi="Times New Roman" w:cs="Times New Roman"/>
          <w:i/>
          <w:iCs/>
          <w:color w:val="333333"/>
          <w:sz w:val="24"/>
          <w:szCs w:val="24"/>
        </w:rPr>
        <w:t>Journal of Reading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34(7): </w:t>
      </w:r>
      <w:r w:rsidRPr="00586AFA">
        <w:rPr>
          <w:rStyle w:val="nlmfpage"/>
          <w:rFonts w:ascii="Times New Roman" w:hAnsi="Times New Roman" w:cs="Times New Roman"/>
          <w:color w:val="333333"/>
          <w:sz w:val="24"/>
          <w:szCs w:val="24"/>
        </w:rPr>
        <w:t>518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–</w:t>
      </w:r>
      <w:r w:rsidRPr="00586AFA">
        <w:rPr>
          <w:rStyle w:val="nlmlpage"/>
          <w:rFonts w:ascii="Times New Roman" w:hAnsi="Times New Roman" w:cs="Times New Roman"/>
          <w:color w:val="333333"/>
          <w:sz w:val="24"/>
          <w:szCs w:val="24"/>
        </w:rPr>
        <w:t>525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</w:p>
    <w:p w14:paraId="25C40BB7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Style w:val="hlfld-contribauthor"/>
          <w:rFonts w:ascii="Times New Roman" w:hAnsi="Times New Roman" w:cs="Times New Roman"/>
          <w:color w:val="333333"/>
          <w:sz w:val="24"/>
          <w:szCs w:val="24"/>
        </w:rPr>
        <w:t>Solomon, </w:t>
      </w:r>
      <w:r w:rsidRPr="00586AFA">
        <w:rPr>
          <w:rStyle w:val="nlmgiven-names"/>
          <w:rFonts w:ascii="Times New Roman" w:hAnsi="Times New Roman" w:cs="Times New Roman"/>
          <w:color w:val="333333"/>
          <w:sz w:val="24"/>
          <w:szCs w:val="24"/>
        </w:rPr>
        <w:t>G.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586AFA">
        <w:rPr>
          <w:rStyle w:val="nlmyear"/>
          <w:rFonts w:ascii="Times New Roman" w:hAnsi="Times New Roman" w:cs="Times New Roman"/>
          <w:color w:val="333333"/>
          <w:sz w:val="24"/>
          <w:szCs w:val="24"/>
        </w:rPr>
        <w:t>2003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 </w:t>
      </w:r>
      <w:r w:rsidRPr="00586AFA">
        <w:rPr>
          <w:rStyle w:val="nlmarticle-title"/>
          <w:rFonts w:ascii="Times New Roman" w:hAnsi="Times New Roman" w:cs="Times New Roman"/>
          <w:color w:val="333333"/>
          <w:sz w:val="24"/>
          <w:szCs w:val="24"/>
        </w:rPr>
        <w:t>Project-based learning: A primer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 </w:t>
      </w:r>
      <w:r w:rsidRPr="00586AFA">
        <w:rPr>
          <w:rFonts w:ascii="Times New Roman" w:hAnsi="Times New Roman" w:cs="Times New Roman"/>
          <w:i/>
          <w:iCs/>
          <w:color w:val="333333"/>
          <w:sz w:val="24"/>
          <w:szCs w:val="24"/>
        </w:rPr>
        <w:t>Technology and Learning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23(6): </w:t>
      </w:r>
      <w:r w:rsidRPr="00586AFA">
        <w:rPr>
          <w:rStyle w:val="nlmfpage"/>
          <w:rFonts w:ascii="Times New Roman" w:hAnsi="Times New Roman" w:cs="Times New Roman"/>
          <w:color w:val="333333"/>
          <w:sz w:val="24"/>
          <w:szCs w:val="24"/>
        </w:rPr>
        <w:t>20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–</w:t>
      </w:r>
      <w:r w:rsidRPr="00586AFA">
        <w:rPr>
          <w:rStyle w:val="nlmlpage"/>
          <w:rFonts w:ascii="Times New Roman" w:hAnsi="Times New Roman" w:cs="Times New Roman"/>
          <w:color w:val="333333"/>
          <w:sz w:val="24"/>
          <w:szCs w:val="24"/>
        </w:rPr>
        <w:t>30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</w:p>
    <w:p w14:paraId="6D022C98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Style w:val="doilink"/>
          <w:rFonts w:ascii="Times New Roman" w:hAnsi="Times New Roman" w:cs="Times New Roman"/>
          <w:sz w:val="24"/>
          <w:szCs w:val="24"/>
        </w:rPr>
      </w:pPr>
      <w:proofErr w:type="spellStart"/>
      <w:r w:rsidRPr="00586AFA">
        <w:rPr>
          <w:rStyle w:val="author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Stavroula</w:t>
      </w:r>
      <w:proofErr w:type="spellEnd"/>
      <w:r w:rsidRPr="00586AFA">
        <w:rPr>
          <w:rStyle w:val="author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Kaldi, </w:t>
      </w:r>
      <w:proofErr w:type="spellStart"/>
      <w:r w:rsidRPr="00586AFA">
        <w:rPr>
          <w:rStyle w:val="author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Diamanto</w:t>
      </w:r>
      <w:proofErr w:type="spellEnd"/>
      <w:r w:rsidRPr="00586AFA">
        <w:rPr>
          <w:rStyle w:val="author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586AFA">
        <w:rPr>
          <w:rStyle w:val="author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Filippatou</w:t>
      </w:r>
      <w:proofErr w:type="spellEnd"/>
      <w:r w:rsidRPr="00586AFA">
        <w:rPr>
          <w:rStyle w:val="author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&amp; Christos </w:t>
      </w:r>
      <w:proofErr w:type="spellStart"/>
      <w:r w:rsidRPr="00586AFA">
        <w:rPr>
          <w:rStyle w:val="author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Govaris</w:t>
      </w:r>
      <w:proofErr w:type="spellEnd"/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586AFA">
        <w:rPr>
          <w:rStyle w:val="Date1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(2011)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586AFA">
        <w:rPr>
          <w:rStyle w:val="arttitl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Project-based learning in primary schools: effects on pupils' learning and attitudes,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586AFA">
        <w:rPr>
          <w:rStyle w:val="serialtitl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Education 3-13,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586AFA">
        <w:rPr>
          <w:rStyle w:val="volumeissu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39:1,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586AFA">
        <w:rPr>
          <w:rStyle w:val="pagerang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35-47,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586AFA">
        <w:rPr>
          <w:rStyle w:val="doilink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DOI: </w:t>
      </w:r>
      <w:hyperlink r:id="rId10" w:history="1">
        <w:r w:rsidRPr="00586AFA">
          <w:rPr>
            <w:rStyle w:val="Hyperlink"/>
            <w:rFonts w:ascii="Times New Roman" w:hAnsi="Times New Roman" w:cs="Times New Roman"/>
            <w:color w:val="333333"/>
            <w:sz w:val="24"/>
            <w:szCs w:val="24"/>
          </w:rPr>
          <w:t>10.1080/03004270903179538</w:t>
        </w:r>
      </w:hyperlink>
    </w:p>
    <w:p w14:paraId="0775AE25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Weimer, M (2009) ‘Problem based learning: Benefits and Risks, ’</w:t>
      </w:r>
      <w:r w:rsidRPr="00586AFA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Faculty focus.’ </w:t>
      </w:r>
      <w:r w:rsidRPr="00586AF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Available at: </w:t>
      </w:r>
      <w:hyperlink r:id="rId11" w:history="1">
        <w:r w:rsidRPr="00586AFA">
          <w:rPr>
            <w:rStyle w:val="Hyperlink"/>
            <w:rFonts w:ascii="Times New Roman" w:hAnsi="Times New Roman" w:cs="Times New Roman"/>
            <w:sz w:val="24"/>
            <w:szCs w:val="24"/>
          </w:rPr>
          <w:t>https://www.facultyfocus.com/articles/effective-teaching-strategies/problem-based-learning-benefits-and-risks/</w:t>
        </w:r>
      </w:hyperlink>
      <w:r w:rsidRPr="00586AF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 [Accessed: 12.12.2018]</w:t>
      </w:r>
    </w:p>
    <w:p w14:paraId="48A67CB6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586AFA">
        <w:rPr>
          <w:rFonts w:ascii="Times New Roman" w:hAnsi="Times New Roman" w:cs="Times New Roman"/>
          <w:sz w:val="24"/>
          <w:szCs w:val="24"/>
        </w:rPr>
        <w:lastRenderedPageBreak/>
        <w:t xml:space="preserve">Welsh Assembly Government (2017) </w:t>
      </w:r>
      <w:r w:rsidRPr="00586AFA">
        <w:rPr>
          <w:rFonts w:ascii="Times New Roman" w:hAnsi="Times New Roman" w:cs="Times New Roman"/>
          <w:i/>
          <w:sz w:val="24"/>
          <w:szCs w:val="24"/>
        </w:rPr>
        <w:t xml:space="preserve">Professional QS Standards, Wales </w:t>
      </w:r>
      <w:r w:rsidRPr="00586AFA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12" w:history="1">
        <w:r w:rsidRPr="00586AFA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http://learning.gov.wales/docs/learningwales/publications/170901-professional-standards-for-teaching-and-leadership-en.pdf</w:t>
        </w:r>
      </w:hyperlink>
      <w:r w:rsidRPr="00586AFA">
        <w:rPr>
          <w:rStyle w:val="Hyperlink"/>
          <w:rFonts w:ascii="Times New Roman" w:hAnsi="Times New Roman" w:cs="Times New Roman"/>
          <w:sz w:val="24"/>
          <w:szCs w:val="24"/>
        </w:rPr>
        <w:t>. [Accessed 12/12/2018]</w:t>
      </w:r>
    </w:p>
    <w:p w14:paraId="360B1F98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 xml:space="preserve">Welsh Government (2014a) </w:t>
      </w:r>
      <w:r w:rsidRPr="00586AFA">
        <w:rPr>
          <w:rFonts w:ascii="Times New Roman" w:hAnsi="Times New Roman" w:cs="Times New Roman"/>
          <w:i/>
          <w:sz w:val="24"/>
          <w:szCs w:val="24"/>
        </w:rPr>
        <w:t>Literacy and Numeracy framework,</w:t>
      </w:r>
      <w:r w:rsidRPr="00586AFA">
        <w:rPr>
          <w:rFonts w:ascii="Times New Roman" w:hAnsi="Times New Roman" w:cs="Times New Roman"/>
          <w:sz w:val="24"/>
          <w:szCs w:val="24"/>
        </w:rPr>
        <w:t xml:space="preserve"> Cardiff: Crown. Available at: </w:t>
      </w:r>
      <w:hyperlink r:id="rId13" w:history="1">
        <w:r w:rsidRPr="00586AF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http://learning.gov.wales/resources/browse-all/nlnf/?lang=en</w:t>
        </w:r>
      </w:hyperlink>
      <w:r w:rsidRPr="00586AFA">
        <w:rPr>
          <w:rFonts w:ascii="Times New Roman" w:hAnsi="Times New Roman" w:cs="Times New Roman"/>
          <w:sz w:val="24"/>
          <w:szCs w:val="24"/>
        </w:rPr>
        <w:t>. [Accessed: 06/12/2008]</w:t>
      </w:r>
    </w:p>
    <w:p w14:paraId="63C7DD03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>Welsh Government (2018)</w:t>
      </w:r>
      <w:r w:rsidRPr="00586AFA">
        <w:rPr>
          <w:rFonts w:ascii="Times New Roman" w:hAnsi="Times New Roman" w:cs="Times New Roman"/>
          <w:i/>
          <w:sz w:val="24"/>
          <w:szCs w:val="24"/>
        </w:rPr>
        <w:t xml:space="preserve"> Digital competence framework, </w:t>
      </w:r>
      <w:r w:rsidRPr="00586AFA">
        <w:rPr>
          <w:rFonts w:ascii="Times New Roman" w:hAnsi="Times New Roman" w:cs="Times New Roman"/>
          <w:sz w:val="24"/>
          <w:szCs w:val="24"/>
        </w:rPr>
        <w:t xml:space="preserve">Cardiff: Crown. Available at: </w:t>
      </w:r>
      <w:hyperlink r:id="rId14" w:history="1">
        <w:r w:rsidRPr="00586AF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http://learning.gov.wales/resources/browse-all/digital-competence-framework/?lang=en</w:t>
        </w:r>
      </w:hyperlink>
      <w:r w:rsidRPr="00586AFA">
        <w:rPr>
          <w:rFonts w:ascii="Times New Roman" w:hAnsi="Times New Roman" w:cs="Times New Roman"/>
          <w:sz w:val="24"/>
          <w:szCs w:val="24"/>
        </w:rPr>
        <w:t>. [Accessed: 06/12/2018]</w:t>
      </w:r>
    </w:p>
    <w:p w14:paraId="0576B148" w14:textId="77777777" w:rsidR="00513CE6" w:rsidRPr="00586AFA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Style w:val="hlfld-contribauthor"/>
          <w:rFonts w:ascii="Times New Roman" w:hAnsi="Times New Roman" w:cs="Times New Roman"/>
          <w:color w:val="333333"/>
          <w:sz w:val="24"/>
          <w:szCs w:val="24"/>
        </w:rPr>
        <w:t>Westwood, </w:t>
      </w:r>
      <w:r w:rsidRPr="00586AFA">
        <w:rPr>
          <w:rStyle w:val="nlmgiven-names"/>
          <w:rFonts w:ascii="Times New Roman" w:hAnsi="Times New Roman" w:cs="Times New Roman"/>
          <w:color w:val="333333"/>
          <w:sz w:val="24"/>
          <w:szCs w:val="24"/>
        </w:rPr>
        <w:t>P.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586AFA">
        <w:rPr>
          <w:rStyle w:val="nlmyear"/>
          <w:rFonts w:ascii="Times New Roman" w:hAnsi="Times New Roman" w:cs="Times New Roman"/>
          <w:color w:val="333333"/>
          <w:sz w:val="24"/>
          <w:szCs w:val="24"/>
        </w:rPr>
        <w:t>2006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 </w:t>
      </w:r>
      <w:r w:rsidRPr="00586AFA">
        <w:rPr>
          <w:rFonts w:ascii="Times New Roman" w:hAnsi="Times New Roman" w:cs="Times New Roman"/>
          <w:i/>
          <w:iCs/>
          <w:color w:val="333333"/>
          <w:sz w:val="24"/>
          <w:szCs w:val="24"/>
        </w:rPr>
        <w:t>Teaching and learning difficulties: Cross-curricular perspectives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 </w:t>
      </w:r>
      <w:r w:rsidRPr="00586AFA">
        <w:rPr>
          <w:rStyle w:val="nlmpublisher-loc"/>
          <w:rFonts w:ascii="Times New Roman" w:hAnsi="Times New Roman" w:cs="Times New Roman"/>
          <w:color w:val="333333"/>
          <w:sz w:val="24"/>
          <w:szCs w:val="24"/>
        </w:rPr>
        <w:t>Victoria, Australia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: </w:t>
      </w:r>
      <w:r w:rsidRPr="00586AFA">
        <w:rPr>
          <w:rStyle w:val="nlmpublisher-name"/>
          <w:rFonts w:ascii="Times New Roman" w:hAnsi="Times New Roman" w:cs="Times New Roman"/>
          <w:color w:val="333333"/>
          <w:sz w:val="24"/>
          <w:szCs w:val="24"/>
        </w:rPr>
        <w:t>ACER</w:t>
      </w:r>
      <w:r w:rsidRPr="00586AF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</w:p>
    <w:p w14:paraId="357BCDEE" w14:textId="6997F4D5" w:rsidR="00513CE6" w:rsidRDefault="00513CE6" w:rsidP="00513CE6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586AFA">
        <w:rPr>
          <w:rFonts w:ascii="Times New Roman" w:hAnsi="Times New Roman" w:cs="Times New Roman"/>
          <w:sz w:val="24"/>
          <w:szCs w:val="24"/>
        </w:rPr>
        <w:t xml:space="preserve">William (2008) </w:t>
      </w:r>
      <w:r w:rsidRPr="00586AFA">
        <w:rPr>
          <w:rFonts w:ascii="Times New Roman" w:hAnsi="Times New Roman" w:cs="Times New Roman"/>
          <w:i/>
          <w:sz w:val="24"/>
          <w:szCs w:val="24"/>
        </w:rPr>
        <w:t xml:space="preserve">Self and peer assessment. </w:t>
      </w:r>
      <w:r w:rsidRPr="00586AFA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586AFA">
          <w:rPr>
            <w:rStyle w:val="Hyperlink"/>
            <w:rFonts w:ascii="Times New Roman" w:hAnsi="Times New Roman" w:cs="Times New Roman"/>
            <w:sz w:val="24"/>
            <w:szCs w:val="24"/>
          </w:rPr>
          <w:t>https://education.gov.scot/improvement/practice-exemplars/Dylan%20Wiliam%20-%20Self%20and%20peer%20assessment</w:t>
        </w:r>
      </w:hyperlink>
      <w:r w:rsidRPr="00586AFA">
        <w:rPr>
          <w:rFonts w:ascii="Times New Roman" w:hAnsi="Times New Roman" w:cs="Times New Roman"/>
          <w:sz w:val="24"/>
          <w:szCs w:val="24"/>
        </w:rPr>
        <w:t>. [Last accessed: 12/12/2018]</w:t>
      </w:r>
    </w:p>
    <w:p w14:paraId="05987343" w14:textId="1477FCBA" w:rsidR="00513CE6" w:rsidRDefault="00513CE6" w:rsidP="00513CE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A2731A1" w14:textId="2CA7C0F6" w:rsidR="00513CE6" w:rsidRDefault="00513CE6" w:rsidP="00513CE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AA25E2E" w14:textId="460A4669" w:rsidR="00513CE6" w:rsidRDefault="00513CE6" w:rsidP="00513CE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</w:t>
      </w:r>
      <w:r w:rsidR="000F084E">
        <w:rPr>
          <w:rFonts w:ascii="Times New Roman" w:hAnsi="Times New Roman" w:cs="Times New Roman"/>
          <w:sz w:val="24"/>
          <w:szCs w:val="24"/>
        </w:rPr>
        <w:t>ix</w:t>
      </w:r>
      <w:r w:rsidR="00261FCA">
        <w:rPr>
          <w:rFonts w:ascii="Times New Roman" w:hAnsi="Times New Roman" w:cs="Times New Roman"/>
          <w:sz w:val="24"/>
          <w:szCs w:val="24"/>
        </w:rPr>
        <w:t xml:space="preserve"> 1</w:t>
      </w:r>
    </w:p>
    <w:p w14:paraId="0BB009F1" w14:textId="6C697E98" w:rsidR="000F084E" w:rsidRDefault="00786F34" w:rsidP="00513CE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11D775D" wp14:editId="22747BC1">
            <wp:extent cx="1318260" cy="131826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8260" cy="1318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5D26C8" w14:textId="02A5806E" w:rsidR="001C2EE9" w:rsidRDefault="001C2EE9" w:rsidP="00513CE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C9F1589" w14:textId="77777777" w:rsidR="00C03E65" w:rsidRDefault="001C2EE9" w:rsidP="00513CE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Appendix 2</w:t>
      </w:r>
    </w:p>
    <w:p w14:paraId="27EB724C" w14:textId="640FC901" w:rsidR="001C2EE9" w:rsidRPr="00513CE6" w:rsidRDefault="000F084E" w:rsidP="00513CE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9E746AA" wp14:editId="59AA747F">
            <wp:extent cx="1333500" cy="1333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3500" cy="1333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C2EE9" w:rsidRPr="00513CE6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BEA350" w14:textId="77777777" w:rsidR="00586AFA" w:rsidRDefault="00586AFA" w:rsidP="00586AFA">
      <w:pPr>
        <w:spacing w:after="0" w:line="240" w:lineRule="auto"/>
      </w:pPr>
      <w:r>
        <w:separator/>
      </w:r>
    </w:p>
  </w:endnote>
  <w:endnote w:type="continuationSeparator" w:id="0">
    <w:p w14:paraId="67338AE1" w14:textId="77777777" w:rsidR="00586AFA" w:rsidRDefault="00586AFA" w:rsidP="00586A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304753" w14:textId="77777777" w:rsidR="00586AFA" w:rsidRDefault="00586AFA" w:rsidP="00586AFA">
      <w:pPr>
        <w:spacing w:after="0" w:line="240" w:lineRule="auto"/>
      </w:pPr>
      <w:r>
        <w:separator/>
      </w:r>
    </w:p>
  </w:footnote>
  <w:footnote w:type="continuationSeparator" w:id="0">
    <w:p w14:paraId="286117BC" w14:textId="77777777" w:rsidR="00586AFA" w:rsidRDefault="00586AFA" w:rsidP="00586A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197F7" w14:textId="1E99B59A" w:rsidR="00586AFA" w:rsidRDefault="00586AFA">
    <w:pPr>
      <w:pStyle w:val="Header"/>
    </w:pPr>
    <w:r>
      <w:t>1601688</w:t>
    </w:r>
    <w:r>
      <w:tab/>
    </w:r>
    <w:r>
      <w:tab/>
      <w:t>ECAD 60</w:t>
    </w:r>
    <w:r w:rsidR="00785A5F">
      <w:t>12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C62272"/>
    <w:multiLevelType w:val="hybridMultilevel"/>
    <w:tmpl w:val="054C88C0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AF0F01"/>
    <w:multiLevelType w:val="hybridMultilevel"/>
    <w:tmpl w:val="89921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446206"/>
    <w:multiLevelType w:val="hybridMultilevel"/>
    <w:tmpl w:val="E9D650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089B"/>
    <w:rsid w:val="00071825"/>
    <w:rsid w:val="000F084E"/>
    <w:rsid w:val="0010130C"/>
    <w:rsid w:val="00105B26"/>
    <w:rsid w:val="001466A1"/>
    <w:rsid w:val="001C2EE9"/>
    <w:rsid w:val="001C7E7E"/>
    <w:rsid w:val="00261FCA"/>
    <w:rsid w:val="0026252C"/>
    <w:rsid w:val="0030420B"/>
    <w:rsid w:val="00304780"/>
    <w:rsid w:val="00341ED6"/>
    <w:rsid w:val="003711CB"/>
    <w:rsid w:val="003E66CF"/>
    <w:rsid w:val="00414200"/>
    <w:rsid w:val="00513CE6"/>
    <w:rsid w:val="00521DC2"/>
    <w:rsid w:val="0055089B"/>
    <w:rsid w:val="00581A85"/>
    <w:rsid w:val="00586AFA"/>
    <w:rsid w:val="005A781B"/>
    <w:rsid w:val="005E552C"/>
    <w:rsid w:val="006D6BE1"/>
    <w:rsid w:val="0074120A"/>
    <w:rsid w:val="00785A5F"/>
    <w:rsid w:val="00786F34"/>
    <w:rsid w:val="00880B8F"/>
    <w:rsid w:val="00892DFE"/>
    <w:rsid w:val="00972095"/>
    <w:rsid w:val="009C038C"/>
    <w:rsid w:val="00A8068F"/>
    <w:rsid w:val="00A823CC"/>
    <w:rsid w:val="00B402D4"/>
    <w:rsid w:val="00B57FDC"/>
    <w:rsid w:val="00C03E65"/>
    <w:rsid w:val="00CC18A2"/>
    <w:rsid w:val="00D27E11"/>
    <w:rsid w:val="00D531B4"/>
    <w:rsid w:val="00D80EBF"/>
    <w:rsid w:val="00DC20C0"/>
    <w:rsid w:val="00DD0BEA"/>
    <w:rsid w:val="00DE1C0E"/>
    <w:rsid w:val="00EB42B1"/>
    <w:rsid w:val="00F478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781C9"/>
  <w15:chartTrackingRefBased/>
  <w15:docId w15:val="{A29317EC-C384-4EF8-A3B9-1D5D76C88A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lfld-contribauthor">
    <w:name w:val="hlfld-contribauthor"/>
    <w:basedOn w:val="DefaultParagraphFont"/>
    <w:rsid w:val="00A8068F"/>
  </w:style>
  <w:style w:type="character" w:customStyle="1" w:styleId="nlmgiven-names">
    <w:name w:val="nlm_given-names"/>
    <w:basedOn w:val="DefaultParagraphFont"/>
    <w:rsid w:val="00A8068F"/>
  </w:style>
  <w:style w:type="character" w:customStyle="1" w:styleId="nlmyear">
    <w:name w:val="nlm_year"/>
    <w:basedOn w:val="DefaultParagraphFont"/>
    <w:rsid w:val="00A8068F"/>
  </w:style>
  <w:style w:type="character" w:customStyle="1" w:styleId="nlmpublisher-loc">
    <w:name w:val="nlm_publisher-loc"/>
    <w:basedOn w:val="DefaultParagraphFont"/>
    <w:rsid w:val="00A8068F"/>
  </w:style>
  <w:style w:type="character" w:customStyle="1" w:styleId="nlmpublisher-name">
    <w:name w:val="nlm_publisher-name"/>
    <w:basedOn w:val="DefaultParagraphFont"/>
    <w:rsid w:val="00A8068F"/>
  </w:style>
  <w:style w:type="paragraph" w:styleId="ListParagraph">
    <w:name w:val="List Paragraph"/>
    <w:basedOn w:val="Normal"/>
    <w:uiPriority w:val="34"/>
    <w:qFormat/>
    <w:rsid w:val="00A8068F"/>
    <w:pPr>
      <w:ind w:left="720"/>
      <w:contextualSpacing/>
    </w:pPr>
  </w:style>
  <w:style w:type="character" w:customStyle="1" w:styleId="authors">
    <w:name w:val="authors"/>
    <w:basedOn w:val="DefaultParagraphFont"/>
    <w:rsid w:val="009C038C"/>
  </w:style>
  <w:style w:type="character" w:customStyle="1" w:styleId="Date1">
    <w:name w:val="Date1"/>
    <w:basedOn w:val="DefaultParagraphFont"/>
    <w:rsid w:val="009C038C"/>
  </w:style>
  <w:style w:type="character" w:customStyle="1" w:styleId="arttitle">
    <w:name w:val="art_title"/>
    <w:basedOn w:val="DefaultParagraphFont"/>
    <w:rsid w:val="009C038C"/>
  </w:style>
  <w:style w:type="character" w:customStyle="1" w:styleId="serialtitle">
    <w:name w:val="serial_title"/>
    <w:basedOn w:val="DefaultParagraphFont"/>
    <w:rsid w:val="009C038C"/>
  </w:style>
  <w:style w:type="character" w:customStyle="1" w:styleId="volumeissue">
    <w:name w:val="volume_issue"/>
    <w:basedOn w:val="DefaultParagraphFont"/>
    <w:rsid w:val="009C038C"/>
  </w:style>
  <w:style w:type="character" w:customStyle="1" w:styleId="pagerange">
    <w:name w:val="page_range"/>
    <w:basedOn w:val="DefaultParagraphFont"/>
    <w:rsid w:val="009C038C"/>
  </w:style>
  <w:style w:type="character" w:customStyle="1" w:styleId="doilink">
    <w:name w:val="doi_link"/>
    <w:basedOn w:val="DefaultParagraphFont"/>
    <w:rsid w:val="009C038C"/>
  </w:style>
  <w:style w:type="character" w:styleId="Hyperlink">
    <w:name w:val="Hyperlink"/>
    <w:basedOn w:val="DefaultParagraphFont"/>
    <w:uiPriority w:val="99"/>
    <w:unhideWhenUsed/>
    <w:rsid w:val="009C038C"/>
    <w:rPr>
      <w:color w:val="0000FF"/>
      <w:u w:val="single"/>
    </w:rPr>
  </w:style>
  <w:style w:type="character" w:customStyle="1" w:styleId="nlmarticle-title">
    <w:name w:val="nlm_article-title"/>
    <w:basedOn w:val="DefaultParagraphFont"/>
    <w:rsid w:val="009C038C"/>
  </w:style>
  <w:style w:type="character" w:customStyle="1" w:styleId="nlmfpage">
    <w:name w:val="nlm_fpage"/>
    <w:basedOn w:val="DefaultParagraphFont"/>
    <w:rsid w:val="009C038C"/>
  </w:style>
  <w:style w:type="character" w:customStyle="1" w:styleId="nlmlpage">
    <w:name w:val="nlm_lpage"/>
    <w:basedOn w:val="DefaultParagraphFont"/>
    <w:rsid w:val="009C038C"/>
  </w:style>
  <w:style w:type="character" w:styleId="UnresolvedMention">
    <w:name w:val="Unresolved Mention"/>
    <w:basedOn w:val="DefaultParagraphFont"/>
    <w:uiPriority w:val="99"/>
    <w:semiHidden/>
    <w:unhideWhenUsed/>
    <w:rsid w:val="00B402D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23C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86A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6AFA"/>
  </w:style>
  <w:style w:type="paragraph" w:styleId="Footer">
    <w:name w:val="footer"/>
    <w:basedOn w:val="Normal"/>
    <w:link w:val="FooterChar"/>
    <w:uiPriority w:val="99"/>
    <w:unhideWhenUsed/>
    <w:rsid w:val="00586A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6A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eachingessentials.wordpress.com/2014/12/14/peer-assessment-starters/" TargetMode="External"/><Relationship Id="rId13" Type="http://schemas.openxmlformats.org/officeDocument/2006/relationships/hyperlink" Target="http://learning.gov.wales/resources/browse-all/nlnf/?lang=en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learningspy.co.uk/assessment/is-there-a-case-for-summative-assessment/" TargetMode="External"/><Relationship Id="rId12" Type="http://schemas.openxmlformats.org/officeDocument/2006/relationships/hyperlink" Target="http://learning.gov.wales/docs/learningwales/publications/170901-professional-standards-for-teaching-and-leadership-en.pdf" TargetMode="External"/><Relationship Id="rId17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image" Target="media/image1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acultyfocus.com/articles/effective-teaching-strategies/problem-based-learning-benefits-and-risk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ducation.gov.scot/improvement/practice-exemplars/Dylan%20Wiliam%20-%20Self%20and%20peer%20assessment" TargetMode="External"/><Relationship Id="rId10" Type="http://schemas.openxmlformats.org/officeDocument/2006/relationships/hyperlink" Target="https://doi.org/10.1080/03004270903179538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dc.cod.edu/essai/vol7/iss1/26" TargetMode="External"/><Relationship Id="rId14" Type="http://schemas.openxmlformats.org/officeDocument/2006/relationships/hyperlink" Target="http://learning.gov.wales/resources/browse-all/digital-competence-framework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206</TotalTime>
  <Pages>2</Pages>
  <Words>539</Words>
  <Characters>3074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kerrie williams</dc:creator>
  <cp:keywords/>
  <dc:description/>
  <cp:lastModifiedBy>kerrie williams</cp:lastModifiedBy>
  <cp:revision>40</cp:revision>
  <dcterms:created xsi:type="dcterms:W3CDTF">2018-12-13T21:55:00Z</dcterms:created>
  <dcterms:modified xsi:type="dcterms:W3CDTF">2018-12-14T23:49:00Z</dcterms:modified>
</cp:coreProperties>
</file>