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D32EDC" w14:textId="016E75EC" w:rsidR="00FF6CA7" w:rsidRDefault="002C6492" w:rsidP="002C6492">
      <w:pPr>
        <w:pStyle w:val="Heading1"/>
      </w:pPr>
      <w:r>
        <w:t>Literature Review</w:t>
      </w:r>
    </w:p>
    <w:p w14:paraId="05AE9536" w14:textId="0CAEE487" w:rsidR="00876024" w:rsidRPr="00876024" w:rsidRDefault="00876024" w:rsidP="00876024">
      <w:r>
        <w:t xml:space="preserve">This literature review surveys the research around Karl Barth’s theological exegetical lectures in the period </w:t>
      </w:r>
      <w:r w:rsidR="00C433B5">
        <w:t xml:space="preserve">after </w:t>
      </w:r>
      <w:r>
        <w:t xml:space="preserve">the publication of his second </w:t>
      </w:r>
      <w:r>
        <w:rPr>
          <w:i/>
          <w:iCs/>
        </w:rPr>
        <w:t>Romans</w:t>
      </w:r>
      <w:r>
        <w:t xml:space="preserve"> commentary through until the publication of the </w:t>
      </w:r>
      <w:r>
        <w:rPr>
          <w:i/>
        </w:rPr>
        <w:t xml:space="preserve">Church </w:t>
      </w:r>
      <w:proofErr w:type="spellStart"/>
      <w:r>
        <w:rPr>
          <w:i/>
        </w:rPr>
        <w:t>Dogmatics</w:t>
      </w:r>
      <w:proofErr w:type="spellEnd"/>
      <w:r w:rsidR="003E0EEF">
        <w:rPr>
          <w:i/>
        </w:rPr>
        <w:t xml:space="preserve"> I/I</w:t>
      </w:r>
      <w:r>
        <w:t xml:space="preserve">. </w:t>
      </w:r>
    </w:p>
    <w:p w14:paraId="560ED19F" w14:textId="118CAF95" w:rsidR="002C6492" w:rsidRDefault="002C6492" w:rsidP="002C6492"/>
    <w:p w14:paraId="5D38B368" w14:textId="24C9DBB3" w:rsidR="002C6492" w:rsidRDefault="002C6492" w:rsidP="002C6492">
      <w:pPr>
        <w:pStyle w:val="Heading2"/>
      </w:pPr>
      <w:r>
        <w:t xml:space="preserve">Primary </w:t>
      </w:r>
      <w:r w:rsidR="00585A7D">
        <w:t>literature</w:t>
      </w:r>
    </w:p>
    <w:p w14:paraId="4234D439" w14:textId="7A83DF60" w:rsidR="002C6492" w:rsidRDefault="002C6492" w:rsidP="002C6492">
      <w:r>
        <w:t>The primary sources for Barth’s theological exegesis during this period are his exegetical lectures</w:t>
      </w:r>
      <w:r w:rsidR="00BC3168">
        <w:t xml:space="preserve"> during his professorships at G</w:t>
      </w:r>
      <w:proofErr w:type="spellStart"/>
      <w:r w:rsidR="00BC3168" w:rsidRPr="00BC3168">
        <w:rPr>
          <w:lang w:val="en-US"/>
        </w:rPr>
        <w:t>ött</w:t>
      </w:r>
      <w:r w:rsidR="00BC3168">
        <w:rPr>
          <w:lang w:val="en-US"/>
        </w:rPr>
        <w:t>ingen</w:t>
      </w:r>
      <w:proofErr w:type="spellEnd"/>
      <w:r w:rsidR="00BC3168">
        <w:rPr>
          <w:lang w:val="en-US"/>
        </w:rPr>
        <w:t xml:space="preserve"> (</w:t>
      </w:r>
      <w:r w:rsidR="00BC3168">
        <w:t>1921-25), M</w:t>
      </w:r>
      <w:proofErr w:type="spellStart"/>
      <w:r w:rsidR="00BC3168" w:rsidRPr="00BC3168">
        <w:rPr>
          <w:lang w:val="en-US"/>
        </w:rPr>
        <w:t>ünster</w:t>
      </w:r>
      <w:proofErr w:type="spellEnd"/>
      <w:r w:rsidR="00BC3168" w:rsidRPr="00BC3168">
        <w:rPr>
          <w:lang w:val="en-US"/>
        </w:rPr>
        <w:t xml:space="preserve"> (</w:t>
      </w:r>
      <w:r w:rsidR="00BC3168">
        <w:rPr>
          <w:lang w:val="en-US"/>
        </w:rPr>
        <w:t>1925-29) and Bonn (1930-25)</w:t>
      </w:r>
      <w:r>
        <w:t>.</w:t>
      </w:r>
      <w:r w:rsidR="0084486F">
        <w:rPr>
          <w:rStyle w:val="FootnoteReference"/>
        </w:rPr>
        <w:footnoteReference w:id="1"/>
      </w:r>
      <w:r>
        <w:t xml:space="preserve"> </w:t>
      </w:r>
      <w:r w:rsidR="00E8796A">
        <w:t xml:space="preserve">Only the </w:t>
      </w:r>
      <w:r w:rsidR="000D74F1">
        <w:t>lectures on 1 Corinthians,</w:t>
      </w:r>
      <w:r w:rsidR="000D74F1">
        <w:rPr>
          <w:rStyle w:val="FootnoteReference"/>
        </w:rPr>
        <w:footnoteReference w:id="2"/>
      </w:r>
      <w:r w:rsidR="000D74F1">
        <w:t xml:space="preserve"> Philippians,</w:t>
      </w:r>
      <w:r w:rsidR="00694F19">
        <w:rPr>
          <w:rStyle w:val="FootnoteReference"/>
        </w:rPr>
        <w:footnoteReference w:id="3"/>
      </w:r>
      <w:r w:rsidR="000D74F1">
        <w:t xml:space="preserve"> and the Gospel of John</w:t>
      </w:r>
      <w:r w:rsidR="00A51456">
        <w:rPr>
          <w:rStyle w:val="FootnoteReference"/>
        </w:rPr>
        <w:footnoteReference w:id="4"/>
      </w:r>
      <w:r w:rsidR="000D74F1">
        <w:t xml:space="preserve"> were published during his lifetime</w:t>
      </w:r>
      <w:r w:rsidR="00B83CEF">
        <w:t xml:space="preserve">, with only </w:t>
      </w:r>
      <w:r w:rsidR="00B10B99">
        <w:t>first two</w:t>
      </w:r>
      <w:r w:rsidR="00B83CEF">
        <w:t xml:space="preserve"> receiving a full </w:t>
      </w:r>
      <w:r w:rsidR="00E8796A">
        <w:t>translation into English</w:t>
      </w:r>
      <w:r w:rsidR="00B83CEF">
        <w:t xml:space="preserve">. </w:t>
      </w:r>
      <w:r w:rsidR="00AD5D68">
        <w:t>T</w:t>
      </w:r>
      <w:r w:rsidR="006E0389">
        <w:t>he lectures</w:t>
      </w:r>
      <w:r w:rsidR="00F07A3D">
        <w:t xml:space="preserve"> on James and Ephesians</w:t>
      </w:r>
      <w:r w:rsidR="00AD5D68">
        <w:t xml:space="preserve"> have recently been posthumously published</w:t>
      </w:r>
      <w:r w:rsidR="00F07A3D">
        <w:t>.</w:t>
      </w:r>
      <w:r w:rsidR="00F07A3D">
        <w:rPr>
          <w:rStyle w:val="FootnoteReference"/>
        </w:rPr>
        <w:footnoteReference w:id="5"/>
      </w:r>
      <w:r w:rsidR="00971A39">
        <w:t xml:space="preserve"> In many cases these lecture series were repeated </w:t>
      </w:r>
      <w:r w:rsidR="006E0389">
        <w:t>multiple</w:t>
      </w:r>
      <w:r w:rsidR="00971A39">
        <w:t xml:space="preserve"> times; the German </w:t>
      </w:r>
      <w:proofErr w:type="spellStart"/>
      <w:r w:rsidR="00971A39">
        <w:rPr>
          <w:i/>
          <w:iCs/>
        </w:rPr>
        <w:t>Gesamtausgabe</w:t>
      </w:r>
      <w:proofErr w:type="spellEnd"/>
      <w:r w:rsidR="00971A39">
        <w:t xml:space="preserve"> contains </w:t>
      </w:r>
      <w:r w:rsidR="006E0389">
        <w:t>a text critical apparatus of the differences</w:t>
      </w:r>
      <w:r w:rsidR="00971A39">
        <w:t>.</w:t>
      </w:r>
      <w:r w:rsidR="00D94F2B">
        <w:t xml:space="preserve"> None of Barth’s lectures</w:t>
      </w:r>
      <w:r w:rsidR="00656E7C">
        <w:t xml:space="preserve"> on the Sermon on the Mount, 1 John, Hebrews</w:t>
      </w:r>
      <w:r w:rsidR="00091862">
        <w:t xml:space="preserve">, </w:t>
      </w:r>
      <w:r w:rsidR="00656E7C">
        <w:t>Colossians and</w:t>
      </w:r>
      <w:r w:rsidR="00D94F2B">
        <w:t xml:space="preserve"> </w:t>
      </w:r>
      <w:r w:rsidR="00656E7C">
        <w:t>1 Peter</w:t>
      </w:r>
      <w:r w:rsidR="00D94F2B">
        <w:t xml:space="preserve"> have yet been published</w:t>
      </w:r>
      <w:r w:rsidR="00656E7C">
        <w:t xml:space="preserve">. </w:t>
      </w:r>
      <w:r w:rsidR="00D50D97">
        <w:t xml:space="preserve">However, given the </w:t>
      </w:r>
      <w:r w:rsidR="00665F94">
        <w:t>recent</w:t>
      </w:r>
      <w:r w:rsidR="00D50D97">
        <w:t xml:space="preserve"> publication of the lectures on Ephesians and James</w:t>
      </w:r>
      <w:r w:rsidR="00AB0966">
        <w:t>, there</w:t>
      </w:r>
      <w:r w:rsidR="00D50D97">
        <w:t xml:space="preserve"> m</w:t>
      </w:r>
      <w:r w:rsidR="00AB0966">
        <w:t>ay yet</w:t>
      </w:r>
      <w:r w:rsidR="00D50D97">
        <w:t xml:space="preserve"> be other extant manuscripts in the archives</w:t>
      </w:r>
      <w:r w:rsidR="00665F94">
        <w:t>, thus opening potential avenues for future research.</w:t>
      </w:r>
    </w:p>
    <w:p w14:paraId="585C490A" w14:textId="5D035AD0" w:rsidR="00585A7D" w:rsidRDefault="00585A7D" w:rsidP="002C6492"/>
    <w:p w14:paraId="64BFD5E5" w14:textId="23E17FAC" w:rsidR="00585A7D" w:rsidRDefault="00585A7D" w:rsidP="00585A7D">
      <w:pPr>
        <w:pStyle w:val="Heading2"/>
      </w:pPr>
      <w:r>
        <w:t>Secondary literature</w:t>
      </w:r>
    </w:p>
    <w:p w14:paraId="20C9ACA6" w14:textId="74F26FE5" w:rsidR="0050604A" w:rsidRDefault="00617D2B" w:rsidP="00617D2B">
      <w:r>
        <w:t>This body of Barth’s work has been largely overlooked in the second</w:t>
      </w:r>
      <w:r w:rsidR="00D50D97">
        <w:t xml:space="preserve">ary literature. Where interpreters have engaged with Barth’s theological exegesis, they have often jumped straight from </w:t>
      </w:r>
      <w:r w:rsidR="00D50D97">
        <w:rPr>
          <w:i/>
          <w:iCs/>
        </w:rPr>
        <w:t>R</w:t>
      </w:r>
      <w:proofErr w:type="spellStart"/>
      <w:r w:rsidR="00D50D97" w:rsidRPr="00D50D97">
        <w:rPr>
          <w:i/>
          <w:iCs/>
          <w:lang w:val="en-US"/>
        </w:rPr>
        <w:t>öm</w:t>
      </w:r>
      <w:r w:rsidR="00D50D97">
        <w:rPr>
          <w:i/>
          <w:iCs/>
          <w:lang w:val="en-US"/>
        </w:rPr>
        <w:t>erbrief</w:t>
      </w:r>
      <w:proofErr w:type="spellEnd"/>
      <w:r w:rsidR="00D50D97">
        <w:rPr>
          <w:lang w:val="en-US"/>
        </w:rPr>
        <w:t xml:space="preserve"> to the exegetical sections of the </w:t>
      </w:r>
      <w:r w:rsidR="00D50D97">
        <w:rPr>
          <w:i/>
          <w:iCs/>
          <w:lang w:val="en-US"/>
        </w:rPr>
        <w:t xml:space="preserve">Church </w:t>
      </w:r>
      <w:proofErr w:type="spellStart"/>
      <w:r w:rsidR="00D50D97">
        <w:rPr>
          <w:i/>
          <w:iCs/>
          <w:lang w:val="en-US"/>
        </w:rPr>
        <w:t>Dogmatics</w:t>
      </w:r>
      <w:proofErr w:type="spellEnd"/>
      <w:r w:rsidR="00D50D97">
        <w:rPr>
          <w:lang w:val="en-US"/>
        </w:rPr>
        <w:t xml:space="preserve">. </w:t>
      </w:r>
      <w:r w:rsidR="00756574">
        <w:rPr>
          <w:lang w:val="en-US"/>
        </w:rPr>
        <w:t xml:space="preserve">However, the last few </w:t>
      </w:r>
      <w:r w:rsidR="00756574">
        <w:t xml:space="preserve">years have seen a new interest in Barth’s theological exegesis during this period. The </w:t>
      </w:r>
      <w:r w:rsidR="00014D30">
        <w:t xml:space="preserve">new or republished </w:t>
      </w:r>
      <w:r w:rsidR="00756574">
        <w:t xml:space="preserve">English translations of Barth’s work on Ephesians and Philippians come with substantive introductory essays </w:t>
      </w:r>
      <w:r w:rsidR="00C54256">
        <w:t xml:space="preserve">by </w:t>
      </w:r>
      <w:r w:rsidR="00756574">
        <w:t>McCormack,</w:t>
      </w:r>
      <w:r w:rsidR="00876024">
        <w:rPr>
          <w:rStyle w:val="FootnoteReference"/>
        </w:rPr>
        <w:footnoteReference w:id="6"/>
      </w:r>
      <w:r w:rsidR="00756574">
        <w:t xml:space="preserve"> Watson</w:t>
      </w:r>
      <w:r w:rsidR="00721F49">
        <w:rPr>
          <w:rStyle w:val="FootnoteReference"/>
        </w:rPr>
        <w:footnoteReference w:id="7"/>
      </w:r>
      <w:r w:rsidR="00756574">
        <w:t xml:space="preserve"> and Webster</w:t>
      </w:r>
      <w:r w:rsidR="00876024">
        <w:t>,</w:t>
      </w:r>
      <w:r w:rsidR="00E355EB">
        <w:rPr>
          <w:rStyle w:val="FootnoteReference"/>
        </w:rPr>
        <w:footnoteReference w:id="8"/>
      </w:r>
      <w:r w:rsidR="00876024">
        <w:t xml:space="preserve"> all of which offer not just descriptive overviews, but analytic judgements of the significance of these works in and of themselves</w:t>
      </w:r>
      <w:r w:rsidR="003908B7">
        <w:t xml:space="preserve"> </w:t>
      </w:r>
      <w:r w:rsidR="00876024">
        <w:t>and also for his larger theological development</w:t>
      </w:r>
      <w:r w:rsidR="003908B7">
        <w:t>, as well as critical assessments of his reading of the text</w:t>
      </w:r>
      <w:r w:rsidR="00E016E8">
        <w:t xml:space="preserve"> and his interactions with his contemporary academy around issues such as historical-critical readings of Scripture</w:t>
      </w:r>
      <w:r w:rsidR="00756574">
        <w:t xml:space="preserve">. </w:t>
      </w:r>
      <w:r w:rsidR="00970952">
        <w:t>M</w:t>
      </w:r>
      <w:proofErr w:type="spellStart"/>
      <w:r w:rsidR="00970952" w:rsidRPr="00970952">
        <w:rPr>
          <w:lang w:val="en-US"/>
        </w:rPr>
        <w:t>ützlitz</w:t>
      </w:r>
      <w:proofErr w:type="spellEnd"/>
      <w:r w:rsidR="00970952">
        <w:rPr>
          <w:lang w:val="en-US"/>
        </w:rPr>
        <w:t xml:space="preserve"> provides an </w:t>
      </w:r>
      <w:r w:rsidR="00970952">
        <w:rPr>
          <w:lang w:val="en-US"/>
        </w:rPr>
        <w:lastRenderedPageBreak/>
        <w:t>account of Barth</w:t>
      </w:r>
      <w:r w:rsidR="00970952">
        <w:t>’s reception of Paul during this period.</w:t>
      </w:r>
      <w:r w:rsidR="00970952">
        <w:rPr>
          <w:rStyle w:val="FootnoteReference"/>
        </w:rPr>
        <w:footnoteReference w:id="9"/>
      </w:r>
      <w:r w:rsidR="00970952">
        <w:t xml:space="preserve"> </w:t>
      </w:r>
      <w:r w:rsidR="00721F49">
        <w:t>Likewise, Wright’s</w:t>
      </w:r>
      <w:r w:rsidR="00876024">
        <w:t xml:space="preserve"> 2007 PhD dissertation</w:t>
      </w:r>
      <w:r w:rsidR="003908B7">
        <w:t xml:space="preserve"> adds a significant contribution to critical reception of this period</w:t>
      </w:r>
      <w:r w:rsidR="00F20946">
        <w:t>.</w:t>
      </w:r>
      <w:r w:rsidR="00876024">
        <w:rPr>
          <w:rStyle w:val="FootnoteReference"/>
        </w:rPr>
        <w:footnoteReference w:id="10"/>
      </w:r>
      <w:r w:rsidR="00F20946">
        <w:t xml:space="preserve"> </w:t>
      </w:r>
      <w:r w:rsidR="00721F49">
        <w:t xml:space="preserve"> </w:t>
      </w:r>
    </w:p>
    <w:p w14:paraId="02B4F4CC" w14:textId="77777777" w:rsidR="0050604A" w:rsidRDefault="0050604A" w:rsidP="00617D2B"/>
    <w:p w14:paraId="1CEB9EFC" w14:textId="36EC5217" w:rsidR="00617D2B" w:rsidRPr="00C42E0A" w:rsidRDefault="00876024" w:rsidP="00617D2B">
      <w:r>
        <w:t>W</w:t>
      </w:r>
      <w:r w:rsidR="00756574">
        <w:t>ebster’s close</w:t>
      </w:r>
      <w:r w:rsidR="00694AB1">
        <w:t>s</w:t>
      </w:r>
      <w:r w:rsidR="00756574">
        <w:t xml:space="preserve"> reading</w:t>
      </w:r>
      <w:r w:rsidR="00694AB1">
        <w:t>s</w:t>
      </w:r>
      <w:r w:rsidR="00756574">
        <w:t xml:space="preserve"> of Barth’s </w:t>
      </w:r>
      <w:r w:rsidR="00694AB1">
        <w:rPr>
          <w:sz w:val="26"/>
          <w:szCs w:val="26"/>
        </w:rPr>
        <w:t>‘</w:t>
      </w:r>
      <w:proofErr w:type="spellStart"/>
      <w:r w:rsidR="00694AB1">
        <w:rPr>
          <w:sz w:val="26"/>
          <w:szCs w:val="26"/>
        </w:rPr>
        <w:t>Erklärungen</w:t>
      </w:r>
      <w:proofErr w:type="spellEnd"/>
      <w:r w:rsidR="00694AB1">
        <w:rPr>
          <w:sz w:val="26"/>
          <w:szCs w:val="26"/>
        </w:rPr>
        <w:t>’</w:t>
      </w:r>
      <w:r w:rsidR="00756574">
        <w:t xml:space="preserve"> on John,</w:t>
      </w:r>
      <w:r w:rsidR="00756574">
        <w:rPr>
          <w:rStyle w:val="FootnoteReference"/>
        </w:rPr>
        <w:footnoteReference w:id="11"/>
      </w:r>
      <w:r w:rsidR="00756574">
        <w:t xml:space="preserve"> 1 Corinthians</w:t>
      </w:r>
      <w:r w:rsidR="00756574">
        <w:rPr>
          <w:rStyle w:val="FootnoteReference"/>
        </w:rPr>
        <w:footnoteReference w:id="12"/>
      </w:r>
      <w:r w:rsidR="00756574">
        <w:t xml:space="preserve"> and Ephesians</w:t>
      </w:r>
      <w:r w:rsidR="00DA7AAD">
        <w:rPr>
          <w:rStyle w:val="FootnoteReference"/>
        </w:rPr>
        <w:footnoteReference w:id="13"/>
      </w:r>
      <w:r w:rsidR="00694AB1">
        <w:t xml:space="preserve"> have been crucial in drawing </w:t>
      </w:r>
      <w:r w:rsidR="000D242B">
        <w:t xml:space="preserve">critical </w:t>
      </w:r>
      <w:r w:rsidR="00694AB1">
        <w:t>attention to this body of work</w:t>
      </w:r>
      <w:r w:rsidR="000A6A6C">
        <w:t xml:space="preserve"> and giving a theological account of Barth’s understanding of the interpretative task</w:t>
      </w:r>
      <w:r w:rsidR="00694AB1">
        <w:t>.</w:t>
      </w:r>
      <w:r w:rsidR="00C42E0A">
        <w:t xml:space="preserve"> The </w:t>
      </w:r>
      <w:r w:rsidR="00752DEC">
        <w:t xml:space="preserve">important </w:t>
      </w:r>
      <w:r w:rsidR="00C42E0A">
        <w:t xml:space="preserve">edited volume </w:t>
      </w:r>
      <w:r w:rsidR="00C42E0A">
        <w:rPr>
          <w:i/>
          <w:iCs/>
        </w:rPr>
        <w:t>Freedom under the Word</w:t>
      </w:r>
      <w:r w:rsidR="00C42E0A">
        <w:t xml:space="preserve"> (2019)</w:t>
      </w:r>
      <w:r w:rsidR="000A6A6C">
        <w:t xml:space="preserve">, bringing together theologians and biblical scholars, </w:t>
      </w:r>
      <w:r w:rsidR="00C42E0A">
        <w:t>features an historical account of Barth’s doctrine of Scripture during this period,</w:t>
      </w:r>
      <w:r w:rsidR="00C42E0A">
        <w:rPr>
          <w:rStyle w:val="FootnoteReference"/>
        </w:rPr>
        <w:footnoteReference w:id="14"/>
      </w:r>
      <w:r w:rsidR="00C42E0A">
        <w:t xml:space="preserve"> as well as his work on Ephesians,</w:t>
      </w:r>
      <w:r w:rsidR="00C42E0A">
        <w:rPr>
          <w:rStyle w:val="FootnoteReference"/>
        </w:rPr>
        <w:footnoteReference w:id="15"/>
      </w:r>
      <w:r w:rsidR="00C42E0A">
        <w:t xml:space="preserve"> Jame</w:t>
      </w:r>
      <w:r w:rsidR="00752DEC">
        <w:t>s,</w:t>
      </w:r>
      <w:r w:rsidR="00752DEC">
        <w:rPr>
          <w:rStyle w:val="FootnoteReference"/>
        </w:rPr>
        <w:footnoteReference w:id="16"/>
      </w:r>
      <w:r w:rsidR="00752DEC">
        <w:t xml:space="preserve"> </w:t>
      </w:r>
      <w:r w:rsidR="00C42E0A">
        <w:t>and John.</w:t>
      </w:r>
      <w:r w:rsidR="00C42E0A">
        <w:rPr>
          <w:rStyle w:val="FootnoteReference"/>
        </w:rPr>
        <w:footnoteReference w:id="17"/>
      </w:r>
    </w:p>
    <w:p w14:paraId="29CA2EF5" w14:textId="4C7826EC" w:rsidR="00DA7AAD" w:rsidRDefault="00DA7AAD" w:rsidP="00617D2B"/>
    <w:p w14:paraId="5011EC61" w14:textId="6026B8B8" w:rsidR="008813FB" w:rsidRPr="008813FB" w:rsidRDefault="008813FB" w:rsidP="00617D2B">
      <w:pPr>
        <w:rPr>
          <w:lang w:val="en-US"/>
        </w:rPr>
      </w:pPr>
      <w:r w:rsidRPr="008813FB">
        <w:rPr>
          <w:lang w:val="en-US"/>
        </w:rPr>
        <w:t>A lot of the recent interest in Barth’s earlier theological exegesis has focused on his Pauline materials</w:t>
      </w:r>
      <w:r w:rsidR="009272F0">
        <w:rPr>
          <w:lang w:val="en-US"/>
        </w:rPr>
        <w:t xml:space="preserve"> (e.g. </w:t>
      </w:r>
      <w:proofErr w:type="spellStart"/>
      <w:r w:rsidR="009272F0">
        <w:rPr>
          <w:lang w:val="en-US"/>
        </w:rPr>
        <w:t>M</w:t>
      </w:r>
      <w:r w:rsidR="009272F0" w:rsidRPr="009272F0">
        <w:rPr>
          <w:lang w:val="en-US"/>
        </w:rPr>
        <w:t>ütz</w:t>
      </w:r>
      <w:r w:rsidR="009272F0">
        <w:rPr>
          <w:lang w:val="en-US"/>
        </w:rPr>
        <w:t>litz</w:t>
      </w:r>
      <w:proofErr w:type="spellEnd"/>
      <w:r w:rsidR="009272F0">
        <w:rPr>
          <w:lang w:val="en-US"/>
        </w:rPr>
        <w:t xml:space="preserve">, Watson, McCormack, </w:t>
      </w:r>
      <w:r w:rsidR="009272F0">
        <w:t>Wright)</w:t>
      </w:r>
      <w:r w:rsidR="00CC5C55">
        <w:rPr>
          <w:lang w:val="en-US"/>
        </w:rPr>
        <w:t xml:space="preserve">, including tracking the ways in which he both builds on and separates himself from the </w:t>
      </w:r>
      <w:r w:rsidR="00CC5C55">
        <w:rPr>
          <w:i/>
          <w:iCs/>
          <w:lang w:val="en-US"/>
        </w:rPr>
        <w:t>Romans</w:t>
      </w:r>
      <w:r w:rsidR="00CC5C55">
        <w:rPr>
          <w:lang w:val="en-US"/>
        </w:rPr>
        <w:t xml:space="preserve"> commentary</w:t>
      </w:r>
      <w:r>
        <w:rPr>
          <w:lang w:val="en-US"/>
        </w:rPr>
        <w:t xml:space="preserve">. </w:t>
      </w:r>
      <w:r w:rsidR="00AD454D">
        <w:rPr>
          <w:lang w:val="en-US"/>
        </w:rPr>
        <w:t xml:space="preserve">This </w:t>
      </w:r>
      <w:r w:rsidR="001B0851">
        <w:rPr>
          <w:lang w:val="en-US"/>
        </w:rPr>
        <w:t>reflects</w:t>
      </w:r>
      <w:r w:rsidR="00AD454D">
        <w:rPr>
          <w:lang w:val="en-US"/>
        </w:rPr>
        <w:t xml:space="preserve"> the reality of the range of published lectures and the</w:t>
      </w:r>
      <w:r w:rsidR="00D15954">
        <w:rPr>
          <w:lang w:val="en-US"/>
        </w:rPr>
        <w:t xml:space="preserve"> English</w:t>
      </w:r>
      <w:r w:rsidR="00AD454D">
        <w:rPr>
          <w:lang w:val="en-US"/>
        </w:rPr>
        <w:t xml:space="preserve"> translations available.</w:t>
      </w:r>
      <w:r>
        <w:rPr>
          <w:lang w:val="en-US"/>
        </w:rPr>
        <w:t xml:space="preserve"> It could well also reflect </w:t>
      </w:r>
      <w:r w:rsidRPr="008813FB">
        <w:rPr>
          <w:lang w:val="en-US"/>
        </w:rPr>
        <w:t>Barth’s own theological preferences for the Pauline material</w:t>
      </w:r>
      <w:r w:rsidR="0044590F">
        <w:rPr>
          <w:lang w:val="en-US"/>
        </w:rPr>
        <w:t>.</w:t>
      </w:r>
      <w:r>
        <w:rPr>
          <w:rStyle w:val="FootnoteReference"/>
          <w:lang w:val="en-US"/>
        </w:rPr>
        <w:footnoteReference w:id="18"/>
      </w:r>
      <w:r w:rsidRPr="008813FB">
        <w:rPr>
          <w:lang w:val="en-US"/>
        </w:rPr>
        <w:t xml:space="preserve"> </w:t>
      </w:r>
      <w:r>
        <w:rPr>
          <w:lang w:val="en-US"/>
        </w:rPr>
        <w:t>Future research should, h</w:t>
      </w:r>
      <w:r w:rsidRPr="008813FB">
        <w:rPr>
          <w:lang w:val="en-US"/>
        </w:rPr>
        <w:t>owever,</w:t>
      </w:r>
      <w:r>
        <w:t xml:space="preserve"> take more account of his non-Pauline exegesis from this period</w:t>
      </w:r>
      <w:r w:rsidRPr="008813FB">
        <w:rPr>
          <w:lang w:val="en-US"/>
        </w:rPr>
        <w:t xml:space="preserve">: was this foray into more uncomfortable territory in any way </w:t>
      </w:r>
      <w:r w:rsidR="00BA75E9">
        <w:rPr>
          <w:lang w:val="en-US"/>
        </w:rPr>
        <w:t>theologically constructive?</w:t>
      </w:r>
      <w:r w:rsidR="00B5690D">
        <w:rPr>
          <w:lang w:val="en-US"/>
        </w:rPr>
        <w:t xml:space="preserve"> Card-Hyatt’s article is an important step in this direction, arguing </w:t>
      </w:r>
      <w:r w:rsidR="0050604A">
        <w:rPr>
          <w:lang w:val="en-US"/>
        </w:rPr>
        <w:t>that his two engagements with the book of James allow for Barth to develop an ear for the importance of the imperative mood within Scripture’s witness.</w:t>
      </w:r>
      <w:r w:rsidR="0050604A">
        <w:rPr>
          <w:rStyle w:val="FootnoteReference"/>
          <w:lang w:val="en-US"/>
        </w:rPr>
        <w:footnoteReference w:id="19"/>
      </w:r>
      <w:r w:rsidR="009272F0">
        <w:rPr>
          <w:lang w:val="en-US"/>
        </w:rPr>
        <w:t xml:space="preserve"> </w:t>
      </w:r>
      <w:r w:rsidR="00684573">
        <w:rPr>
          <w:lang w:val="en-US"/>
        </w:rPr>
        <w:t>Likewise</w:t>
      </w:r>
      <w:r w:rsidR="009272F0">
        <w:rPr>
          <w:lang w:val="en-US"/>
        </w:rPr>
        <w:t xml:space="preserve"> Webster and Hill’s </w:t>
      </w:r>
      <w:r w:rsidR="006D2A89">
        <w:rPr>
          <w:lang w:val="en-US"/>
        </w:rPr>
        <w:t>critical asses</w:t>
      </w:r>
      <w:r w:rsidR="00CC1AD7">
        <w:rPr>
          <w:lang w:val="en-US"/>
        </w:rPr>
        <w:t>s</w:t>
      </w:r>
      <w:bookmarkStart w:id="0" w:name="_GoBack"/>
      <w:bookmarkEnd w:id="0"/>
      <w:r w:rsidR="006D2A89">
        <w:rPr>
          <w:lang w:val="en-US"/>
        </w:rPr>
        <w:t>ments of</w:t>
      </w:r>
      <w:r w:rsidR="009272F0">
        <w:rPr>
          <w:lang w:val="en-US"/>
        </w:rPr>
        <w:t xml:space="preserve"> Barth’s work on John’s Gospel</w:t>
      </w:r>
      <w:r w:rsidR="00684573">
        <w:rPr>
          <w:lang w:val="en-US"/>
        </w:rPr>
        <w:t xml:space="preserve"> point to its implications for his later formal</w:t>
      </w:r>
      <w:r w:rsidR="006D2A89">
        <w:rPr>
          <w:lang w:val="en-US"/>
        </w:rPr>
        <w:t xml:space="preserve"> doctrine of</w:t>
      </w:r>
      <w:r w:rsidR="00684573">
        <w:rPr>
          <w:lang w:val="en-US"/>
        </w:rPr>
        <w:t xml:space="preserve"> Christology.</w:t>
      </w:r>
      <w:r w:rsidR="00AD4E37">
        <w:rPr>
          <w:rStyle w:val="FootnoteReference"/>
          <w:lang w:val="en-US"/>
        </w:rPr>
        <w:footnoteReference w:id="20"/>
      </w:r>
    </w:p>
    <w:p w14:paraId="317BFA04" w14:textId="77777777" w:rsidR="008813FB" w:rsidRDefault="008813FB" w:rsidP="00617D2B"/>
    <w:p w14:paraId="387A153C" w14:textId="728A981C" w:rsidR="00DA7AAD" w:rsidRPr="00991DE3" w:rsidRDefault="00DA7AAD" w:rsidP="003E1B1E">
      <w:r>
        <w:t xml:space="preserve">Both Webster and </w:t>
      </w:r>
      <w:proofErr w:type="spellStart"/>
      <w:r>
        <w:t>Westerholm</w:t>
      </w:r>
      <w:proofErr w:type="spellEnd"/>
      <w:r>
        <w:t xml:space="preserve"> have drawn attention to</w:t>
      </w:r>
      <w:r w:rsidR="00E355EB">
        <w:t xml:space="preserve"> the importance of</w:t>
      </w:r>
      <w:r>
        <w:t xml:space="preserve"> parallel developments in Barth’s understanding of the Reformed tradition</w:t>
      </w:r>
      <w:r w:rsidR="000B70CC">
        <w:t xml:space="preserve"> and his discovery</w:t>
      </w:r>
      <w:r>
        <w:t xml:space="preserve"> of the </w:t>
      </w:r>
      <w:proofErr w:type="spellStart"/>
      <w:r>
        <w:rPr>
          <w:i/>
          <w:iCs/>
        </w:rPr>
        <w:t>Schriftprinzip</w:t>
      </w:r>
      <w:proofErr w:type="spellEnd"/>
      <w:r w:rsidR="00912218">
        <w:t>.</w:t>
      </w:r>
      <w:r>
        <w:rPr>
          <w:rStyle w:val="FootnoteReference"/>
        </w:rPr>
        <w:footnoteReference w:id="21"/>
      </w:r>
      <w:r w:rsidR="000B70CC">
        <w:t xml:space="preserve"> </w:t>
      </w:r>
      <w:r>
        <w:t xml:space="preserve">A full account of his theological exegesis would therefore have to consider </w:t>
      </w:r>
      <w:r>
        <w:lastRenderedPageBreak/>
        <w:t>these primary works and the associated secondary literature.</w:t>
      </w:r>
      <w:r>
        <w:rPr>
          <w:rStyle w:val="FootnoteReference"/>
        </w:rPr>
        <w:footnoteReference w:id="22"/>
      </w:r>
      <w:r>
        <w:t xml:space="preserve"> </w:t>
      </w:r>
      <w:r w:rsidR="000B70CC">
        <w:t xml:space="preserve">Future research might also want to consider the conceptual overlap between his approach to historical theology and theological exegesis, especially around the </w:t>
      </w:r>
      <w:r w:rsidR="00F8641B">
        <w:t xml:space="preserve">overlapping </w:t>
      </w:r>
      <w:r w:rsidR="000B70CC">
        <w:t xml:space="preserve">concepts of </w:t>
      </w:r>
      <w:r w:rsidR="00991DE3">
        <w:t>‘witness’</w:t>
      </w:r>
      <w:r w:rsidR="000B70CC">
        <w:t xml:space="preserve">, </w:t>
      </w:r>
      <w:r w:rsidR="0074219B">
        <w:t>‘</w:t>
      </w:r>
      <w:proofErr w:type="spellStart"/>
      <w:r w:rsidR="0074219B">
        <w:t>mitdenken</w:t>
      </w:r>
      <w:proofErr w:type="spellEnd"/>
      <w:r w:rsidR="0074219B">
        <w:t>’ and ‘</w:t>
      </w:r>
      <w:proofErr w:type="spellStart"/>
      <w:r w:rsidR="0074219B">
        <w:t>nachdenken</w:t>
      </w:r>
      <w:proofErr w:type="spellEnd"/>
      <w:r w:rsidR="0074219B">
        <w:t>’</w:t>
      </w:r>
      <w:r w:rsidR="008813FB">
        <w:rPr>
          <w:rStyle w:val="FootnoteReference"/>
        </w:rPr>
        <w:footnoteReference w:id="23"/>
      </w:r>
      <w:r w:rsidR="00437B99">
        <w:t xml:space="preserve"> in both groups of lecture series.</w:t>
      </w:r>
    </w:p>
    <w:sectPr w:rsidR="00DA7AAD" w:rsidRPr="00991DE3" w:rsidSect="0042267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335278" w14:textId="77777777" w:rsidR="00BC44AA" w:rsidRDefault="00BC44AA" w:rsidP="000D74F1">
      <w:r>
        <w:separator/>
      </w:r>
    </w:p>
  </w:endnote>
  <w:endnote w:type="continuationSeparator" w:id="0">
    <w:p w14:paraId="04E99552" w14:textId="77777777" w:rsidR="00BC44AA" w:rsidRDefault="00BC44AA" w:rsidP="000D74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40743C" w14:textId="77777777" w:rsidR="00BC44AA" w:rsidRDefault="00BC44AA" w:rsidP="000D74F1">
      <w:r>
        <w:separator/>
      </w:r>
    </w:p>
  </w:footnote>
  <w:footnote w:type="continuationSeparator" w:id="0">
    <w:p w14:paraId="41B85A70" w14:textId="77777777" w:rsidR="00BC44AA" w:rsidRDefault="00BC44AA" w:rsidP="000D74F1">
      <w:r>
        <w:continuationSeparator/>
      </w:r>
    </w:p>
  </w:footnote>
  <w:footnote w:id="1">
    <w:p w14:paraId="4E8217D4" w14:textId="4C6A948A" w:rsidR="0084486F" w:rsidRPr="0084486F" w:rsidRDefault="0084486F">
      <w:pPr>
        <w:pStyle w:val="FootnoteText"/>
        <w:rPr>
          <w:lang w:val="en-US"/>
        </w:rPr>
      </w:pPr>
      <w:r>
        <w:rPr>
          <w:rStyle w:val="FootnoteReference"/>
        </w:rPr>
        <w:footnoteRef/>
      </w:r>
      <w:r>
        <w:t xml:space="preserve"> </w:t>
      </w:r>
      <w:r w:rsidR="00C05EAD">
        <w:t xml:space="preserve">Ross Wright’s PhD dissertation features </w:t>
      </w:r>
      <w:r w:rsidRPr="0084486F">
        <w:rPr>
          <w:lang w:val="en-US"/>
        </w:rPr>
        <w:t xml:space="preserve">a helpful appendix </w:t>
      </w:r>
      <w:r w:rsidR="00303356">
        <w:rPr>
          <w:lang w:val="en-US"/>
        </w:rPr>
        <w:t>with</w:t>
      </w:r>
      <w:r w:rsidRPr="0084486F">
        <w:rPr>
          <w:lang w:val="en-US"/>
        </w:rPr>
        <w:t xml:space="preserve"> an indication of</w:t>
      </w:r>
      <w:r>
        <w:rPr>
          <w:lang w:val="en-US"/>
        </w:rPr>
        <w:t xml:space="preserve"> t</w:t>
      </w:r>
      <w:r w:rsidRPr="0084486F">
        <w:rPr>
          <w:lang w:val="en-US"/>
        </w:rPr>
        <w:t xml:space="preserve">he content of each </w:t>
      </w:r>
      <w:r>
        <w:rPr>
          <w:lang w:val="en-US"/>
        </w:rPr>
        <w:t xml:space="preserve">lecture series: </w:t>
      </w:r>
      <w:r>
        <w:rPr>
          <w:lang w:val="en-US"/>
        </w:rPr>
        <w:fldChar w:fldCharType="begin"/>
      </w:r>
      <w:r>
        <w:rPr>
          <w:lang w:val="en-US"/>
        </w:rPr>
        <w:instrText xml:space="preserve"> ADDIN ZOTERO_ITEM CSL_CITATION {"citationID":"WICLXPsA","properties":{"formattedCitation":"Ross M. Wright, \\uc0\\u8216{}Karl Barth\\uc0\\u8217{}s Academic Lectures on Ephesians (G\\uc0\\u246{}ttingen, 1921-1922)\\uc0\\u8239{}: An Original Translation, Annotation, and Analysis\\uc0\\u8217{} (unpublished Thesis, University of St Andrews, 2007), pp. xvi\\uc0\\u8211{}xvii &lt;https://research-repository.st-andrews.ac.uk/handle/10023/399&gt; [accessed 27 October 2019].","plainCitation":"Ross M. Wright, ‘Karl Barth’s Academic Lectures on Ephesians (Göttingen, 1921-1922) : An Original Translation, Annotation, and Analysis’ (unpublished Thesis, University of St Andrews, 2007), pp. xvi–xvii &lt;https://research-repository.st-andrews.ac.uk/handle/10023/399&gt; [accessed 27 October 2019].","noteIndex":1},"citationItems":[{"id":688,"uris":["http://zotero.org/users/1120467/items/7V7F662N"],"uri":["http://zotero.org/users/1120467/items/7V7F662N"],"itemData":{"id":688,"type":"thesis","title":"Karl Barth's academic lectures on Ephesians (Göttingen, 1921-1922) : an original translation, annotation, and analysis","publisher":"University of St Andrews","genre":"Thesis","source":"research-repository.st-andrews.ac.uk","abstract":"This thesis consists of an original translation, annotation, and analysis of Karl Barth’s Academic lectures on Ephesians, delivered in Göttingen, winter semester, 1921-1922. The translation is composed from a typescript of Barth’s handwritten manuscript, located in the Karl Barth Archives, Basel, and is annotated for scholarly research, including complete bibliographical information on Barth’s sources. \n \nBarth’s exposition is a detailed exegesis of the Greek text of Eph. 1:1-23, comprising 13 lectures, with a summary of Ephesians 2-6 in the final chapter. Materially and formally, the exposition strongly resembles Romans II and Barth’s 1919 sermons on Ephesians, which the study examines. It also exhibits the theological objectivity of the Göttingen period, chiefly because of Barth’s explication of gnosis in Ephesians and his appropriation of Calvin’s theology of the knowledge of God. \n \nBarth made a material discovery in his study of Ephesians that fundamentally shaped his subsequent theology. He observes in  \nEph. 1:3-14 a train of thought which witnesses to God’s action to the creature in Christ and the creature’s subsequent movement to God. He concludes that we have come from God, who has chosen us in eternal election, and we are moving toward the glory of God, our divinely appointed goal. The exposition’s central theme is expressed in Barth’s claim that “the knowledge of God is the presupposition” and “the goal” of human existence. \n \nThe distinguishing mark of Barth’s theological exegesis is its concreteness, that is, his ability to speak about the text’s contemporary meaning without lapsing into theological abstraction. This concreteness is the consequence of his theological hermeneutic. He describes the interpretive event as a field of action, consisting of the biblical text, the activity of the interpreter, and the divine speech act.","URL":"https://research-repository.st-andrews.ac.uk/handle/10023/399","title-short":"Karl Barth's academic lectures on Ephesians (Göttingen, 1921-1922)","language":"en","author":[{"family":"Wright","given":"Ross M."}],"issued":{"date-parts":[["2007",11,30]]},"accessed":{"date-parts":[["2019",10,27]]}},"locator":"xvi - xvii"}],"schema":"https://github.com/citation-style-language/schema/raw/master/csl-citation.json"} </w:instrText>
      </w:r>
      <w:r>
        <w:rPr>
          <w:lang w:val="en-US"/>
        </w:rPr>
        <w:fldChar w:fldCharType="separate"/>
      </w:r>
      <w:r w:rsidRPr="0084486F">
        <w:rPr>
          <w:rFonts w:ascii="Calibri" w:cs="Calibri"/>
        </w:rPr>
        <w:t>Ross M. Wright, ‘Karl Barth’s Academic Lectures on Ephesians (Göttingen, 1921-1922) : An Original Translation, Annotation, and Analysis’ (unpublished Thesis, University of St Andrews, 2007), pp. xvi–xvii &lt;https://research-repository.st-andrews.ac.uk/handle/10023/399&gt; [accessed 27 October 2019].</w:t>
      </w:r>
      <w:r>
        <w:rPr>
          <w:lang w:val="en-US"/>
        </w:rPr>
        <w:fldChar w:fldCharType="end"/>
      </w:r>
    </w:p>
  </w:footnote>
  <w:footnote w:id="2">
    <w:p w14:paraId="0815A14B" w14:textId="003F460F" w:rsidR="0074219B" w:rsidRPr="00E8796A" w:rsidRDefault="0074219B">
      <w:pPr>
        <w:pStyle w:val="FootnoteText"/>
        <w:rPr>
          <w:lang w:val="de-AT"/>
        </w:rPr>
      </w:pPr>
      <w:r>
        <w:rPr>
          <w:rStyle w:val="FootnoteReference"/>
        </w:rPr>
        <w:footnoteRef/>
      </w:r>
      <w:r w:rsidRPr="000D74F1">
        <w:rPr>
          <w:lang w:val="de-AT"/>
        </w:rPr>
        <w:t xml:space="preserve"> </w:t>
      </w:r>
      <w:r>
        <w:fldChar w:fldCharType="begin"/>
      </w:r>
      <w:r w:rsidR="00E8796A">
        <w:rPr>
          <w:lang w:val="de-AT"/>
        </w:rPr>
        <w:instrText xml:space="preserve"> ADDIN ZOTERO_ITEM CSL_CITATION {"citationID":"p5MQnb1I","properties":{"formattedCitation":"Karl Barth, {\\i{}Die Auferstehung der Toten: eine akademische Vorlesung \\uc0\\u252{}ber I. Kor. 15} (M\\uc0\\u252{}nchen: Kaiser, 1924).","plainCitation":"Karl Barth, Die Auferstehung der Toten: eine akademische Vorlesung über I. Kor. 15 (München: Kaiser, 1924).","noteIndex":2},"citationItems":[{"id":662,"uris":["http://zotero.org/users/1120467/items/AYJJYXG8"],"uri":["http://zotero.org/users/1120467/items/AYJJYXG8"],"itemData":{"id":662,"type":"book","title":"Die Auferstehung der Toten: eine akademische Vorlesung über I. Kor. 15","publisher":"Kaiser","publisher-place":"München","number-of-pages":"vi+125","source":"usearch.univie.ac.at","event-place":"München","call-number":"Nd 362.3, I-452144","title-short":"Die Auferstehung der Toten","language":"ger","author":[{"family":"Barth","given":"Karl"}],"issued":{"date-parts":[["1924"]]}}}],"schema":"https://github.com/citation-style-language/schema/raw/master/csl-citation.json"} </w:instrText>
      </w:r>
      <w:r>
        <w:fldChar w:fldCharType="separate"/>
      </w:r>
      <w:r w:rsidRPr="000D74F1">
        <w:rPr>
          <w:rFonts w:ascii="Calibri" w:cs="Calibri"/>
          <w:lang w:val="de-AT"/>
        </w:rPr>
        <w:t xml:space="preserve">Karl Barth, </w:t>
      </w:r>
      <w:r w:rsidRPr="000D74F1">
        <w:rPr>
          <w:rFonts w:ascii="Calibri" w:cs="Calibri"/>
          <w:i/>
          <w:iCs/>
          <w:lang w:val="de-AT"/>
        </w:rPr>
        <w:t>Die Auferstehung der Toten: eine akademische Vorlesung über I. Kor. 15</w:t>
      </w:r>
      <w:r w:rsidRPr="000D74F1">
        <w:rPr>
          <w:rFonts w:ascii="Calibri" w:cs="Calibri"/>
          <w:lang w:val="de-AT"/>
        </w:rPr>
        <w:t xml:space="preserve"> (München: Kaiser, 1924).</w:t>
      </w:r>
      <w:r>
        <w:fldChar w:fldCharType="end"/>
      </w:r>
      <w:r w:rsidRPr="00694F19">
        <w:rPr>
          <w:lang w:val="de-AT"/>
        </w:rPr>
        <w:t xml:space="preserve"> </w:t>
      </w:r>
    </w:p>
  </w:footnote>
  <w:footnote w:id="3">
    <w:p w14:paraId="183A786A" w14:textId="5221BC48" w:rsidR="0074219B" w:rsidRPr="00694F19" w:rsidRDefault="0074219B">
      <w:pPr>
        <w:pStyle w:val="FootnoteText"/>
        <w:rPr>
          <w:lang w:val="en-US"/>
        </w:rPr>
      </w:pPr>
      <w:r>
        <w:rPr>
          <w:rStyle w:val="FootnoteReference"/>
        </w:rPr>
        <w:footnoteRef/>
      </w:r>
      <w:r w:rsidRPr="00694F19">
        <w:rPr>
          <w:lang w:val="de-AT"/>
        </w:rPr>
        <w:t xml:space="preserve"> </w:t>
      </w:r>
      <w:r>
        <w:fldChar w:fldCharType="begin"/>
      </w:r>
      <w:r w:rsidR="00E8796A">
        <w:rPr>
          <w:lang w:val="de-AT"/>
        </w:rPr>
        <w:instrText xml:space="preserve"> ADDIN ZOTERO_ITEM CSL_CITATION {"citationID":"YRsdbxnc","properties":{"formattedCitation":"Karl Barth, {\\i{}Erkl\\uc0\\u228{}rung Des Philipperbriefes} (Munich: Chr. Kaiser Verlag, 1928).","plainCitation":"Karl Barth, Erklärung Des Philipperbriefes (Munich: Chr. Kaiser Verlag, 1928).","noteIndex":3},"citationItems":[{"id":664,"uris":["http://zotero.org/users/1120467/items/ID4WFNQI"],"uri":["http://zotero.org/users/1120467/items/ID4WFNQI"],"itemData":{"id":664,"type":"book","title":"Erklärung des Philipperbriefes","publisher":"Chr. Kaiser Verlag","publisher-place":"Munich","event-place":"Munich","author":[{"family":"Barth","given":"Karl"}],"issued":{"date-parts":[["1928"]]}}}],"schema":"https://github.com/citation-style-language/schema/raw/master/csl-citation.json"} </w:instrText>
      </w:r>
      <w:r>
        <w:fldChar w:fldCharType="separate"/>
      </w:r>
      <w:r w:rsidRPr="00694F19">
        <w:rPr>
          <w:rFonts w:ascii="Calibri" w:cs="Calibri"/>
          <w:lang w:val="de-AT"/>
        </w:rPr>
        <w:t xml:space="preserve">Karl Barth, </w:t>
      </w:r>
      <w:r w:rsidRPr="00694F19">
        <w:rPr>
          <w:rFonts w:ascii="Calibri" w:cs="Calibri"/>
          <w:i/>
          <w:iCs/>
          <w:lang w:val="de-AT"/>
        </w:rPr>
        <w:t>Erklärung Des Philipperbriefes</w:t>
      </w:r>
      <w:r w:rsidRPr="00694F19">
        <w:rPr>
          <w:rFonts w:ascii="Calibri" w:cs="Calibri"/>
          <w:lang w:val="de-AT"/>
        </w:rPr>
        <w:t xml:space="preserve"> (Munich: Chr. </w:t>
      </w:r>
      <w:r w:rsidRPr="00694F19">
        <w:rPr>
          <w:rFonts w:ascii="Calibri" w:cs="Calibri"/>
        </w:rPr>
        <w:t>Kaiser Verlag, 1928).</w:t>
      </w:r>
      <w:r>
        <w:fldChar w:fldCharType="end"/>
      </w:r>
      <w:r>
        <w:t xml:space="preserve"> ET: </w:t>
      </w:r>
      <w:r>
        <w:fldChar w:fldCharType="begin"/>
      </w:r>
      <w:r w:rsidR="00E8796A">
        <w:instrText xml:space="preserve"> ADDIN ZOTERO_ITEM CSL_CITATION {"citationID":"dE3VmoVu","properties":{"formattedCitation":"Karl Barth, {\\i{}The Epistle to the Philippians}, trans. by James W. Leitch (Westminster: John Knox Press, 2002).","plainCitation":"Karl Barth, The Epistle to the Philippians, trans. by James W. Leitch (Westminster: John Knox Press, 2002).","noteIndex":3},"citationItems":[{"id":665,"uris":["http://zotero.org/users/1120467/items/QR8TNJ5U"],"uri":["http://zotero.org/users/1120467/items/QR8TNJ5U"],"itemData":{"id":665,"type":"book","title":"The Epistle to the Philippians","publisher":"John Knox Press","publisher-place":"Westminster","number-of-pages":"128","source":"whel-primo.com","event-place":"Westminster","call-number":"227.6 BAR","language":"eng","author":[{"literal":"Karl Barth"}],"translator":[{"family":"Leitch","given":"James W."}],"issued":{"date-parts":[["2002"]]}}}],"schema":"https://github.com/citation-style-language/schema/raw/master/csl-citation.json"} </w:instrText>
      </w:r>
      <w:r>
        <w:fldChar w:fldCharType="separate"/>
      </w:r>
      <w:r w:rsidR="00E8796A" w:rsidRPr="00E8796A">
        <w:rPr>
          <w:rFonts w:ascii="Calibri" w:cs="Calibri"/>
        </w:rPr>
        <w:t xml:space="preserve">Karl Barth, </w:t>
      </w:r>
      <w:r w:rsidR="00E8796A" w:rsidRPr="00E8796A">
        <w:rPr>
          <w:rFonts w:ascii="Calibri" w:cs="Calibri"/>
          <w:i/>
          <w:iCs/>
        </w:rPr>
        <w:t>The Epistle to the Philippians</w:t>
      </w:r>
      <w:r w:rsidR="00E8796A" w:rsidRPr="00E8796A">
        <w:rPr>
          <w:rFonts w:ascii="Calibri" w:cs="Calibri"/>
        </w:rPr>
        <w:t>, trans. by James W. Leitch (Westminster: John Knox Press, 2002).</w:t>
      </w:r>
      <w:r>
        <w:fldChar w:fldCharType="end"/>
      </w:r>
    </w:p>
  </w:footnote>
  <w:footnote w:id="4">
    <w:p w14:paraId="5B544E5E" w14:textId="6245934B" w:rsidR="0074219B" w:rsidRPr="00684573" w:rsidRDefault="0074219B">
      <w:pPr>
        <w:pStyle w:val="FootnoteText"/>
        <w:rPr>
          <w:lang w:val="de-AT"/>
        </w:rPr>
      </w:pPr>
      <w:r>
        <w:rPr>
          <w:rStyle w:val="FootnoteReference"/>
        </w:rPr>
        <w:footnoteRef/>
      </w:r>
      <w:r w:rsidRPr="00A51456">
        <w:rPr>
          <w:lang w:val="de-AT"/>
        </w:rPr>
        <w:t xml:space="preserve"> </w:t>
      </w:r>
      <w:r>
        <w:rPr>
          <w:lang w:val="de-AT"/>
        </w:rPr>
        <w:fldChar w:fldCharType="begin"/>
      </w:r>
      <w:r w:rsidR="00E8796A">
        <w:rPr>
          <w:lang w:val="de-AT"/>
        </w:rPr>
        <w:instrText xml:space="preserve"> ADDIN ZOTERO_ITEM CSL_CITATION {"citationID":"O9gU3bB6","properties":{"formattedCitation":"Karl Barth, {\\i{}Erkl\\uc0\\u228{}rung Des Johannesevangeliums: Vorlesung M\\uc0\\u252{}nster, Wintersemester 1925/1926, Wiederholt in Bonn, Sommersemester 1930 (GA II.9)}, Gesamtausgabe II. Akademische Werke (Z\\uc0\\u252{}rich, 1999).","plainCitation":"Karl Barth, Erklärung Des Johannesevangeliums: Vorlesung Münster, Wintersemester 1925/1926, Wiederholt in Bonn, Sommersemester 1930 (GA II.9), Gesamtausgabe II. Akademische Werke (Zürich, 1999).","noteIndex":4},"citationItems":[{"id":235,"uris":["http://zotero.org/users/1120467/items/J7VGZEI3"],"uri":["http://zotero.org/users/1120467/items/J7VGZEI3"],"itemData":{"id":235,"type":"book","title":"Erklärung des Johannesevangeliums: Vorlesung Münster, Wintersemester 1925/1926, wiederholt in Bonn, Sommersemester 1930 (GA II.9)","collection-title":"Gesamtausgabe II. Akademische Werke","publisher":"Zürich","source":"EBSCOhost","title-short":"Erklärung des Johannesevangeliums","author":[{"family":"Barth","given":"Karl"}],"issued":{"date-parts":[["1999"]]}}}],"schema":"https://github.com/citation-style-language/schema/raw/master/csl-citation.json"} </w:instrText>
      </w:r>
      <w:r>
        <w:rPr>
          <w:lang w:val="de-AT"/>
        </w:rPr>
        <w:fldChar w:fldCharType="separate"/>
      </w:r>
      <w:r w:rsidRPr="00756574">
        <w:rPr>
          <w:rFonts w:ascii="Calibri" w:cs="Calibri"/>
          <w:lang w:val="de-AT"/>
        </w:rPr>
        <w:t xml:space="preserve">Karl Barth, </w:t>
      </w:r>
      <w:r w:rsidRPr="00756574">
        <w:rPr>
          <w:rFonts w:ascii="Calibri" w:cs="Calibri"/>
          <w:i/>
          <w:iCs/>
          <w:lang w:val="de-AT"/>
        </w:rPr>
        <w:t>Erklärung Des Johannesevangeliums: Vorlesung Münster, Wintersemester 1925/1926, Wiederholt in Bonn, Sommersemester 1930 (GA II.9)</w:t>
      </w:r>
      <w:r w:rsidRPr="00756574">
        <w:rPr>
          <w:rFonts w:ascii="Calibri" w:cs="Calibri"/>
          <w:lang w:val="de-AT"/>
        </w:rPr>
        <w:t xml:space="preserve">, Gesamtausgabe II. </w:t>
      </w:r>
      <w:r w:rsidRPr="00684573">
        <w:rPr>
          <w:rFonts w:ascii="Calibri" w:cs="Calibri"/>
          <w:lang w:val="de-AT"/>
        </w:rPr>
        <w:t>Akademische Werke (Zürich, 1999).</w:t>
      </w:r>
      <w:r>
        <w:rPr>
          <w:lang w:val="de-AT"/>
        </w:rPr>
        <w:fldChar w:fldCharType="end"/>
      </w:r>
    </w:p>
  </w:footnote>
  <w:footnote w:id="5">
    <w:p w14:paraId="0468FC77" w14:textId="24294AEE" w:rsidR="0074219B" w:rsidRDefault="0074219B">
      <w:pPr>
        <w:pStyle w:val="FootnoteText"/>
      </w:pPr>
      <w:r>
        <w:rPr>
          <w:rStyle w:val="FootnoteReference"/>
        </w:rPr>
        <w:footnoteRef/>
      </w:r>
      <w:r w:rsidRPr="00F07A3D">
        <w:rPr>
          <w:lang w:val="de-AT"/>
        </w:rPr>
        <w:t xml:space="preserve"> </w:t>
      </w:r>
      <w:r>
        <w:fldChar w:fldCharType="begin"/>
      </w:r>
      <w:r w:rsidR="00E8796A">
        <w:rPr>
          <w:lang w:val="de-AT"/>
        </w:rPr>
        <w:instrText xml:space="preserve"> ADDIN ZOTERO_ITEM CSL_CITATION {"citationID":"3EIgjC9W","properties":{"formattedCitation":"Karl Barth, {\\i{}Erkl\\uc0\\u228{}rungen des Epheser- und des Jakobusbriefes}, ed. by J\\uc0\\u246{}rg-Michael Bohnet, Hinrich Stoevesandt, and Hans-Anton Drewes, Gesamtausgabe II. Akademische Werke (Z\\uc0\\u252{}rich: TheolVerl, 2009).","plainCitation":"Karl Barth, Erklärungen des Epheser- und des Jakobusbriefes, ed. by Jörg-Michael Bohnet, Hinrich Stoevesandt, and Hans-Anton Drewes, Gesamtausgabe II. Akademische Werke (Zürich: TheolVerl, 2009).","noteIndex":5},"citationItems":[{"id":668,"uris":["http://zotero.org/users/1120467/items/47YIWZYZ"],"uri":["http://zotero.org/users/1120467/items/47YIWZYZ"],"itemData":{"id":668,"type":"book","title":"Erklärungen des Epheser- und des Jakobusbriefes","collection-title":"Gesamtausgabe II. Akademische Werke","publisher":"TheolVerl","publisher-place":"Zürich","number-of-pages":"xxxvii+555","source":"usearch.univie.ac.at","event-place":"Zürich","abstract":"Bd. 46 i.d. Reihenfolge des Erscheinens, Literaturangaben","ISBN":"978-3-290-17538-2","call-number":"I-966704/2,12, D-1533/2,[12], Sd 27.58/46","title-short":"Gesamtausgabe","language":"ger","author":[{"family":"Barth","given":"Karl"}],"editor":[{"family":"Bohnet","given":"Jörg-Michael"},{"family":"Stoevesandt","given":"Hinrich"},{"family":"Drewes","given":"Hans-Anton"}],"issued":{"date-parts":[["2009"]]}}}],"schema":"https://github.com/citation-style-language/schema/raw/master/csl-citation.json"} </w:instrText>
      </w:r>
      <w:r>
        <w:fldChar w:fldCharType="separate"/>
      </w:r>
      <w:r w:rsidRPr="00F07A3D">
        <w:rPr>
          <w:rFonts w:ascii="Calibri" w:cs="Calibri"/>
          <w:lang w:val="de-AT"/>
        </w:rPr>
        <w:t xml:space="preserve">Karl Barth, </w:t>
      </w:r>
      <w:r w:rsidRPr="00F07A3D">
        <w:rPr>
          <w:rFonts w:ascii="Calibri" w:cs="Calibri"/>
          <w:i/>
          <w:iCs/>
          <w:lang w:val="de-AT"/>
        </w:rPr>
        <w:t>Erklärungen des Epheser- und des Jakobusbriefes</w:t>
      </w:r>
      <w:r w:rsidRPr="00F07A3D">
        <w:rPr>
          <w:rFonts w:ascii="Calibri" w:cs="Calibri"/>
          <w:lang w:val="de-AT"/>
        </w:rPr>
        <w:t xml:space="preserve">, ed. by Jörg-Michael Bohnet, Hinrich Stoevesandt, and Hans-Anton Drewes, Gesamtausgabe II. </w:t>
      </w:r>
      <w:r w:rsidRPr="00F07A3D">
        <w:rPr>
          <w:rFonts w:ascii="Calibri" w:cs="Calibri"/>
        </w:rPr>
        <w:t>Akademische Werke (Zürich: TheolVerl, 2009).</w:t>
      </w:r>
      <w:r>
        <w:fldChar w:fldCharType="end"/>
      </w:r>
      <w:r>
        <w:t xml:space="preserve"> </w:t>
      </w:r>
    </w:p>
  </w:footnote>
  <w:footnote w:id="6">
    <w:p w14:paraId="75A5BDD6" w14:textId="3FB2A205" w:rsidR="0074219B" w:rsidRDefault="0074219B">
      <w:pPr>
        <w:pStyle w:val="FootnoteText"/>
      </w:pPr>
      <w:r>
        <w:rPr>
          <w:rStyle w:val="FootnoteReference"/>
        </w:rPr>
        <w:footnoteRef/>
      </w:r>
      <w:r>
        <w:t xml:space="preserve"> </w:t>
      </w:r>
      <w:r>
        <w:fldChar w:fldCharType="begin"/>
      </w:r>
      <w:r w:rsidR="00E8796A">
        <w:instrText xml:space="preserve"> ADDIN ZOTERO_ITEM CSL_CITATION {"citationID":"ZrLTfAUM","properties":{"formattedCitation":"Bruce McCormack, \\uc0\\u8216{}The Significance of Karl Barth\\uc0\\u8217{}s Theological Exegesis of Philippians\\uc0\\u8217{}, in {\\i{}The Epistle to the Philippians} (Westminster: John Knox Press, 2002), pp. v\\uc0\\u8211{}xxv.","plainCitation":"Bruce McCormack, ‘The Significance of Karl Barth’s Theological Exegesis of Philippians’, in The Epistle to the Philippians (Westminster: John Knox Press, 2002), pp. v–xxv.","noteIndex":6},"citationItems":[{"id":685,"uris":["http://zotero.org/users/1120467/items/UVLNLMP7"],"uri":["http://zotero.org/users/1120467/items/UVLNLMP7"],"itemData":{"id":685,"type":"chapter","title":"The Significance of Karl Barth's Theological Exegesis of Philippians","container-title":"The Epistle to the Philippians","publisher":"John Knox Press","publisher-place":"Westminster","page":"v-xxv","source":"whel-primo.com","event-place":"Westminster","call-number":"227.6 BAR","language":"eng","author":[{"family":"McCormack","given":"Bruce"}],"issued":{"date-parts":[["2002"]]}}}],"schema":"https://github.com/citation-style-language/schema/raw/master/csl-citation.json"} </w:instrText>
      </w:r>
      <w:r>
        <w:fldChar w:fldCharType="separate"/>
      </w:r>
      <w:r w:rsidR="00E8796A" w:rsidRPr="00E8796A">
        <w:rPr>
          <w:rFonts w:ascii="Calibri" w:cs="Calibri"/>
        </w:rPr>
        <w:t xml:space="preserve">Bruce McCormack, ‘The Significance of Karl Barth’s Theological Exegesis of Philippians’, in </w:t>
      </w:r>
      <w:r w:rsidR="00E8796A" w:rsidRPr="00E8796A">
        <w:rPr>
          <w:rFonts w:ascii="Calibri" w:cs="Calibri"/>
          <w:i/>
          <w:iCs/>
        </w:rPr>
        <w:t>The Epistle to the Philippians</w:t>
      </w:r>
      <w:r w:rsidR="00E8796A" w:rsidRPr="00E8796A">
        <w:rPr>
          <w:rFonts w:ascii="Calibri" w:cs="Calibri"/>
        </w:rPr>
        <w:t xml:space="preserve"> (Westminster: John Knox Press, 2002), pp. v–xxv.</w:t>
      </w:r>
      <w:r>
        <w:fldChar w:fldCharType="end"/>
      </w:r>
    </w:p>
  </w:footnote>
  <w:footnote w:id="7">
    <w:p w14:paraId="07115F65" w14:textId="68636A26" w:rsidR="00721F49" w:rsidRDefault="00721F49">
      <w:pPr>
        <w:pStyle w:val="FootnoteText"/>
      </w:pPr>
      <w:r>
        <w:rPr>
          <w:rStyle w:val="FootnoteReference"/>
        </w:rPr>
        <w:footnoteRef/>
      </w:r>
      <w:r>
        <w:t xml:space="preserve"> </w:t>
      </w:r>
      <w:r>
        <w:fldChar w:fldCharType="begin"/>
      </w:r>
      <w:r w:rsidR="00E8796A">
        <w:instrText xml:space="preserve"> ADDIN ZOTERO_ITEM CSL_CITATION {"citationID":"p2ZAl9tg","properties":{"formattedCitation":"Francis Watson, \\uc0\\u8216{}Barth\\uc0\\u8217{}s \\uc0\\u8220{}Philippians\\uc0\\u8221{} as Theological Exegesis\\uc0\\u8217{}, in {\\i{}The Epistle to the Philippians} (Westminster: John Knox Press, 2002), pp. xxvi\\uc0\\u8211{}li.","plainCitation":"Francis Watson, ‘Barth’s “Philippians” as Theological Exegesis’, in The Epistle to the Philippians (Westminster: John Knox Press, 2002), pp. xxvi–li.","noteIndex":7},"citationItems":[{"id":695,"uris":["http://zotero.org/users/1120467/items/JQIABQV8"],"uri":["http://zotero.org/users/1120467/items/JQIABQV8"],"itemData":{"id":695,"type":"chapter","title":"Barth's 'Philippians' as Theological Exegesis","container-title":"The Epistle to the Philippians","publisher":"John Knox Press","publisher-place":"Westminster","page":"xxvi-li","source":"whel-primo.com","event-place":"Westminster","call-number":"227.6 BAR","language":"eng","author":[{"family":"Watson","given":"Francis"}],"issued":{"date-parts":[["2002"]]}}}],"schema":"https://github.com/citation-style-language/schema/raw/master/csl-citation.json"} </w:instrText>
      </w:r>
      <w:r>
        <w:fldChar w:fldCharType="separate"/>
      </w:r>
      <w:r w:rsidRPr="00721F49">
        <w:rPr>
          <w:rFonts w:ascii="Calibri" w:cs="Calibri"/>
        </w:rPr>
        <w:t xml:space="preserve">Francis Watson, ‘Barth’s “Philippians” as Theological Exegesis’, in </w:t>
      </w:r>
      <w:r w:rsidRPr="00721F49">
        <w:rPr>
          <w:rFonts w:ascii="Calibri" w:cs="Calibri"/>
          <w:i/>
          <w:iCs/>
        </w:rPr>
        <w:t>The Epistle to the Philippians</w:t>
      </w:r>
      <w:r w:rsidRPr="00721F49">
        <w:rPr>
          <w:rFonts w:ascii="Calibri" w:cs="Calibri"/>
        </w:rPr>
        <w:t xml:space="preserve"> (Westminster: John Knox Press, 2002), pp. xxvi–li.</w:t>
      </w:r>
      <w:r>
        <w:fldChar w:fldCharType="end"/>
      </w:r>
    </w:p>
  </w:footnote>
  <w:footnote w:id="8">
    <w:p w14:paraId="5A0F18C0" w14:textId="507CBBBF" w:rsidR="0074219B" w:rsidRDefault="0074219B">
      <w:pPr>
        <w:pStyle w:val="FootnoteText"/>
      </w:pPr>
      <w:r>
        <w:rPr>
          <w:rStyle w:val="FootnoteReference"/>
        </w:rPr>
        <w:footnoteRef/>
      </w:r>
      <w:r>
        <w:t xml:space="preserve"> </w:t>
      </w:r>
      <w:r>
        <w:fldChar w:fldCharType="begin"/>
      </w:r>
      <w:r w:rsidR="00E8796A">
        <w:instrText xml:space="preserve"> ADDIN ZOTERO_ITEM CSL_CITATION {"citationID":"qDw3MAUD","properties":{"formattedCitation":"John Webster, \\uc0\\u8216{}\\uc0\\u8220{}A Relation beyond All Relations\\uc0\\u8221{}: God and Creatures in Barth\\uc0\\u8217{}s Lectures on Ephesians\\uc0\\u8217{}, in {\\i{}The Epistle to the Ephesians}, ed. by R. David Nelson (Grand Rapids, MI: Baker Academic, 2017), pp. 31\\uc0\\u8211{}50.","plainCitation":"John Webster, ‘“A Relation beyond All Relations”: God and Creatures in Barth’s Lectures on Ephesians’, in The Epistle to the Ephesians, ed. by R. David Nelson (Grand Rapids, MI: Baker Academic, 2017), pp. 31–50.","noteIndex":8},"citationItems":[{"id":677,"uris":["http://zotero.org/users/1120467/items/SCI2F9KN"],"uri":["http://zotero.org/users/1120467/items/SCI2F9KN"],"itemData":{"id":677,"type":"chapter","title":"\"A relation beyond all relations\": God and Creatures in Barth's Lectures on Ephesians","container-title":"The Epistle to the Ephesians","publisher":"Baker Academic","publisher-place":"Grand Rapids, MI","page":"31-50","event-place":"Grand Rapids, MI","abstract":"Karl Barth is widely acknowledged as one of the great theologians of the church. This masterful example of theological interpretation of the biblical text presents Barth's insights on an important Pauline epistle.In 1921-22, Barth taught a course on the exposition of Ephesians at the University of Göttingen, lecturing from a detailed and carefully researched manuscript. The resulting lectures, now available in English for the first time, introduce theological and exegetical issues pertinent to the study of Ephesians. Introductory essays by world-renowned scholars Francis Watson and John Webster are included.","ISBN":"978-1-4934-0669-2","note":"Google-Books-ID: DBPeDAAAQBAJ","title-short":"A relation beyond all relations","language":"English","author":[{"family":"Webster","given":"John"}],"editor":[{"family":"Nelson","given":"R. David"}],"issued":{"date-parts":[["2017"]]}}}],"schema":"https://github.com/citation-style-language/schema/raw/master/csl-citation.json"} </w:instrText>
      </w:r>
      <w:r>
        <w:fldChar w:fldCharType="separate"/>
      </w:r>
      <w:r w:rsidRPr="00E355EB">
        <w:rPr>
          <w:rFonts w:ascii="Calibri" w:cs="Calibri"/>
        </w:rPr>
        <w:t xml:space="preserve">John Webster, ‘“A Relation beyond All Relations”: God and Creatures in Barth’s Lectures on Ephesians’, in </w:t>
      </w:r>
      <w:r w:rsidRPr="00E355EB">
        <w:rPr>
          <w:rFonts w:ascii="Calibri" w:cs="Calibri"/>
          <w:i/>
          <w:iCs/>
        </w:rPr>
        <w:t>The Epistle to the Ephesians</w:t>
      </w:r>
      <w:r w:rsidRPr="00E355EB">
        <w:rPr>
          <w:rFonts w:ascii="Calibri" w:cs="Calibri"/>
        </w:rPr>
        <w:t>, ed. by R. David Nelson (Grand Rapids, MI: Baker Academic, 2017), pp. 31–50.</w:t>
      </w:r>
      <w:r>
        <w:fldChar w:fldCharType="end"/>
      </w:r>
    </w:p>
  </w:footnote>
  <w:footnote w:id="9">
    <w:p w14:paraId="627556E9" w14:textId="5CD16AC7" w:rsidR="00970952" w:rsidRPr="00970952" w:rsidRDefault="00970952">
      <w:pPr>
        <w:pStyle w:val="FootnoteText"/>
        <w:rPr>
          <w:lang w:val="de-AT"/>
        </w:rPr>
      </w:pPr>
      <w:r>
        <w:rPr>
          <w:rStyle w:val="FootnoteReference"/>
        </w:rPr>
        <w:footnoteRef/>
      </w:r>
      <w:r w:rsidRPr="00970952">
        <w:rPr>
          <w:lang w:val="de-AT"/>
        </w:rPr>
        <w:t xml:space="preserve"> </w:t>
      </w:r>
      <w:r>
        <w:fldChar w:fldCharType="begin"/>
      </w:r>
      <w:r w:rsidRPr="00970952">
        <w:rPr>
          <w:lang w:val="de-AT"/>
        </w:rPr>
        <w:instrText xml:space="preserve"> ADDIN ZOTERO_ITEM CSL_CITATION {"citationID":"yajzNQlW","properties":{"formattedCitation":"Nina-Dorothee M\\uc0\\u252{}tzlitz, {\\i{}Gottes Wort als Wirklichkeit: die Paulus-Rezeption des jungen Karl Barth (1906-1927)} (Neukirchener Verlagsgesellschaft, 2013).","plainCitation":"Nina-Dorothee Mützlitz, Gottes Wort als Wirklichkeit: die Paulus-Rezeption des jungen Karl Barth (1906-1927) (Neukirchener Verlagsgesellschaft, 2013).","noteIndex":9},"citationItems":[{"id":686,"uris":["http://zotero.org/users/1120467/items/MY8BGH5K"],"uri":["http://zotero.org/users/1120467/items/MY8BGH5K"],"itemData":{"id":686,"type":"book","title":"Gottes Wort als Wirklichkeit: die Paulus-Rezeption des jungen Karl Barth (1906-1927)","publisher":"Neukirchener Verlagsgesellschaft","number-of-pages":"309","source":"Google Books","abstract":"Dieses Buch leistet einen wesentlichen Beitrag zur aktuellen Barth-Forschung. Indem die Autorin aufzeigt, wie Barth seine systematische Theologie durch das beständige Studium der paulinischen Schriften gewinnt und korrigiert, führt sie das Entstehen einer Systematischen Theologie vor, die sich konsequent als Biblische Theologie versteht, die ihre eigenen Erkenntnisse kontinuierlich dem Urteil des Wortes Gottes durch die Bereitschaft, sich von den biblischen Überlieferungen korrigieren zu lassen, ausliefert.","ISBN":"978-3-7887-2661-4","note":"Google-Books-ID: KGrukQEACAAJ","title-short":"Gottes Wort als Wirklichkeit","language":"de","author":[{"family":"Mützlitz","given":"Nina-Dorothee"}],"issued":{"date-parts":[["2013"]]}}}],"schema":"https://github.com/citation-style-language/schema/raw/master/csl-citation.json"} </w:instrText>
      </w:r>
      <w:r>
        <w:fldChar w:fldCharType="separate"/>
      </w:r>
      <w:r w:rsidRPr="00970952">
        <w:rPr>
          <w:rFonts w:ascii="Calibri" w:cs="Calibri"/>
          <w:lang w:val="de-AT"/>
        </w:rPr>
        <w:t xml:space="preserve">Nina-Dorothee Mützlitz, </w:t>
      </w:r>
      <w:r w:rsidRPr="00970952">
        <w:rPr>
          <w:rFonts w:ascii="Calibri" w:cs="Calibri"/>
          <w:i/>
          <w:iCs/>
          <w:lang w:val="de-AT"/>
        </w:rPr>
        <w:t>Gottes Wort als Wirklichkeit: die Paulus-Rezeption des jungen Karl Barth (1906-1927)</w:t>
      </w:r>
      <w:r w:rsidRPr="00970952">
        <w:rPr>
          <w:rFonts w:ascii="Calibri" w:cs="Calibri"/>
          <w:lang w:val="de-AT"/>
        </w:rPr>
        <w:t xml:space="preserve"> (Neukirchener Verlagsgesellschaft, 2013).</w:t>
      </w:r>
      <w:r>
        <w:fldChar w:fldCharType="end"/>
      </w:r>
    </w:p>
  </w:footnote>
  <w:footnote w:id="10">
    <w:p w14:paraId="5C89D266" w14:textId="620B4062" w:rsidR="0074219B" w:rsidRPr="00684573" w:rsidRDefault="0074219B">
      <w:pPr>
        <w:pStyle w:val="FootnoteText"/>
        <w:rPr>
          <w:lang w:val="en-US"/>
        </w:rPr>
      </w:pPr>
      <w:r>
        <w:rPr>
          <w:rStyle w:val="FootnoteReference"/>
        </w:rPr>
        <w:footnoteRef/>
      </w:r>
      <w:r w:rsidRPr="00684573">
        <w:rPr>
          <w:lang w:val="en-US"/>
        </w:rPr>
        <w:t xml:space="preserve"> </w:t>
      </w:r>
      <w:r>
        <w:fldChar w:fldCharType="begin"/>
      </w:r>
      <w:r w:rsidR="00AD4E37">
        <w:rPr>
          <w:lang w:val="en-US"/>
        </w:rPr>
        <w:instrText xml:space="preserve"> ADDIN ZOTERO_ITEM CSL_CITATION {"citationID":"OOLmVzyn","properties":{"formattedCitation":"Wright.","plainCitation":"Wright.","noteIndex":10},"citationItems":[{"id":688,"uris":["http://zotero.org/users/1120467/items/7V7F662N"],"uri":["http://zotero.org/users/1120467/items/7V7F662N"],"itemData":{"id":688,"type":"thesis","title":"Karl Barth's academic lectures on Ephesians (Göttingen, 1921-1922) : an original translation, annotation, and analysis","publisher":"University of St Andrews","genre":"Thesis","source":"research-repository.st-andrews.ac.uk","abstract":"This thesis consists of an original translation, annotation, and analysis of Karl Barth’s Academic lectures on Ephesians, delivered in Göttingen, winter semester, 1921-1922. The translation is composed from a typescript of Barth’s handwritten manuscript, located in the Karl Barth Archives, Basel, and is annotated for scholarly research, including complete bibliographical information on Barth’s sources. \n \nBarth’s exposition is a detailed exegesis of the Greek text of Eph. 1:1-23, comprising 13 lectures, with a summary of Ephesians 2-6 in the final chapter. Materially and formally, the exposition strongly resembles Romans II and Barth’s 1919 sermons on Ephesians, which the study examines. It also exhibits the theological objectivity of the Göttingen period, chiefly because of Barth’s explication of gnosis in Ephesians and his appropriation of Calvin’s theology of the knowledge of God. \n \nBarth made a material discovery in his study of Ephesians that fundamentally shaped his subsequent theology. He observes in  \nEph. 1:3-14 a train of thought which witnesses to God’s action to the creature in Christ and the creature’s subsequent movement to God. He concludes that we have come from God, who has chosen us in eternal election, and we are moving toward the glory of God, our divinely appointed goal. The exposition’s central theme is expressed in Barth’s claim that “the knowledge of God is the presupposition” and “the goal” of human existence. \n \nThe distinguishing mark of Barth’s theological exegesis is its concreteness, that is, his ability to speak about the text’s contemporary meaning without lapsing into theological abstraction. This concreteness is the consequence of his theological hermeneutic. He describes the interpretive event as a field of action, consisting of the biblical text, the activity of the interpreter, and the divine speech act.","URL":"https://research-repository.st-andrews.ac.uk/handle/10023/399","title-short":"Karl Barth's academic lectures on Ephesians (Göttingen, 1921-1922)","language":"en","author":[{"family":"Wright","given":"Ross M."}],"issued":{"date-parts":[["2007",11,30]]},"accessed":{"date-parts":[["2019",10,27]]}}}],"schema":"https://github.com/citation-style-language/schema/raw/master/csl-citation.json"} </w:instrText>
      </w:r>
      <w:r>
        <w:fldChar w:fldCharType="separate"/>
      </w:r>
      <w:r w:rsidR="0084486F" w:rsidRPr="00684573">
        <w:rPr>
          <w:rFonts w:ascii="Calibri" w:cs="Calibri"/>
          <w:lang w:val="en-US"/>
        </w:rPr>
        <w:t>Wright.</w:t>
      </w:r>
      <w:r>
        <w:fldChar w:fldCharType="end"/>
      </w:r>
    </w:p>
  </w:footnote>
  <w:footnote w:id="11">
    <w:p w14:paraId="0D3665DD" w14:textId="77D0F5C2" w:rsidR="0074219B" w:rsidRDefault="0074219B">
      <w:pPr>
        <w:pStyle w:val="FootnoteText"/>
      </w:pPr>
      <w:r>
        <w:rPr>
          <w:rStyle w:val="FootnoteReference"/>
        </w:rPr>
        <w:footnoteRef/>
      </w:r>
      <w:r>
        <w:t xml:space="preserve"> </w:t>
      </w:r>
      <w:r>
        <w:fldChar w:fldCharType="begin"/>
      </w:r>
      <w:r w:rsidR="00AD4E37">
        <w:instrText xml:space="preserve"> ADDIN ZOTERO_ITEM CSL_CITATION {"citationID":"lclcqui9","properties":{"formattedCitation":"John Webster, \\uc0\\u8216{}Witness to the Word: Karl Barth\\uc0\\u8217{}s Lectures on the Gospel of John\\uc0\\u8217{}, in {\\i{}The Domain of the Word:\\uc0\\u8239{}: Scripture and Theological Reason}, T &amp; T Clark Theology (London\\uc0\\u8239{}: T &amp; T Clark, 2012), pp. 65\\uc0\\u8211{}85.","plainCitation":"John Webster, ‘Witness to the Word: Karl Barth’s Lectures on the Gospel of John’, in The Domain of the Word: : Scripture and Theological Reason, T &amp; T Clark Theology (London : T &amp; T Clark, 2012), pp. 65–85.","noteIndex":11},"citationItems":[{"id":676,"uris":["http://zotero.org/users/1120467/items/9KSERBGR"],"uri":["http://zotero.org/users/1120467/items/9KSERBGR"],"itemData":{"id":676,"type":"chapter","title":"Witness to the Word: Karl Barth's Lectures on the Gospel of John","container-title":"The domain of the word: : scripture and theological reason","collection-title":"T &amp; T Clark theology","publisher":"T &amp; T Clark,","publisher-place":"London :","page":"65-85","source":"usearch.univie.ac.at","event-place":"London :","abstract":"Enthält: pt. 1. Scripture -- pt. 2. Theological reason., Includes index.","ISBN":"978-0-567-31371-3","title-short":"Witness to the Word","language":"eng","author":[{"family":"Webster","given":"John"}],"issued":{"date-parts":[["2012"]]},"accessed":{"date-parts":[["2019",10,27]]}}}],"schema":"https://github.com/citation-style-language/schema/raw/master/csl-citation.json"} </w:instrText>
      </w:r>
      <w:r>
        <w:fldChar w:fldCharType="separate"/>
      </w:r>
      <w:r w:rsidRPr="00756574">
        <w:rPr>
          <w:rFonts w:ascii="Calibri" w:cs="Calibri"/>
        </w:rPr>
        <w:t xml:space="preserve">John Webster, ‘Witness to the Word: Karl Barth’s Lectures on the Gospel of John’, in </w:t>
      </w:r>
      <w:r w:rsidRPr="00756574">
        <w:rPr>
          <w:rFonts w:ascii="Calibri" w:cs="Calibri"/>
          <w:i/>
          <w:iCs/>
        </w:rPr>
        <w:t>The Domain of the Word</w:t>
      </w:r>
      <w:proofErr w:type="gramStart"/>
      <w:r w:rsidRPr="00756574">
        <w:rPr>
          <w:rFonts w:ascii="Calibri" w:cs="Calibri"/>
          <w:i/>
          <w:iCs/>
        </w:rPr>
        <w:t>: :</w:t>
      </w:r>
      <w:proofErr w:type="gramEnd"/>
      <w:r w:rsidRPr="00756574">
        <w:rPr>
          <w:rFonts w:ascii="Calibri" w:cs="Calibri"/>
          <w:i/>
          <w:iCs/>
        </w:rPr>
        <w:t xml:space="preserve"> Scripture and Theological Reason</w:t>
      </w:r>
      <w:r w:rsidRPr="00756574">
        <w:rPr>
          <w:rFonts w:ascii="Calibri" w:cs="Calibri"/>
        </w:rPr>
        <w:t>, T &amp; T Clark Theology (London : T &amp; T Clark, 2012), pp. 65–85.</w:t>
      </w:r>
      <w:r>
        <w:fldChar w:fldCharType="end"/>
      </w:r>
    </w:p>
  </w:footnote>
  <w:footnote w:id="12">
    <w:p w14:paraId="522E916A" w14:textId="79D3A7AD" w:rsidR="0074219B" w:rsidRDefault="0074219B">
      <w:pPr>
        <w:pStyle w:val="FootnoteText"/>
      </w:pPr>
      <w:r>
        <w:rPr>
          <w:rStyle w:val="FootnoteReference"/>
        </w:rPr>
        <w:footnoteRef/>
      </w:r>
      <w:r>
        <w:t xml:space="preserve"> </w:t>
      </w:r>
      <w:r>
        <w:fldChar w:fldCharType="begin"/>
      </w:r>
      <w:r w:rsidR="00F84FB9">
        <w:instrText xml:space="preserve"> ADDIN ZOTERO_ITEM CSL_CITATION {"citationID":"0PJVCY6Q","properties":{"formattedCitation":"John Webster, \\uc0\\u8216{}The Resurrection of the Dead\\uc0\\u8217{}, in {\\i{}Barth\\uc0\\u8217{}s Earlier Theology} (London\\uc0\\u8239{}; New York: T&amp;T Clark International, 2005), pp. 67\\uc0\\u8211{}90.","plainCitation":"John Webster, ‘The Resurrection of the Dead’, in Barth’s Earlier Theology (London ; New York: T&amp;T Clark International, 2005), pp. 67–90.","noteIndex":12},"citationItems":[{"id":674,"uris":["http://zotero.org/users/1120467/items/E6R9RNWB"],"uri":["http://zotero.org/users/1120467/items/E6R9RNWB"],"itemData":{"id":674,"type":"chapter","title":"The Resurrection of the Dead","container-title":"Barth's earlier theology","publisher":"T&amp;T Clark International","publisher-place":"London ; New York","page":"67-90","source":"library.st-andrews.ac.uk Library Catalog","event-place":"London ; New York","ISBN":"0-567-08352-7","call-number":"BX4827.B3 W355 2005","author":[{"family":"Webster","given":"John"}],"issued":{"date-parts":[["2005"]]}}}],"schema":"https://github.com/citation-style-language/schema/raw/master/csl-citation.json"} </w:instrText>
      </w:r>
      <w:r>
        <w:fldChar w:fldCharType="separate"/>
      </w:r>
      <w:r w:rsidR="00F84FB9" w:rsidRPr="00F84FB9">
        <w:rPr>
          <w:rFonts w:ascii="Calibri" w:cs="Calibri"/>
        </w:rPr>
        <w:t xml:space="preserve">John Webster, ‘The Resurrection of the Dead’, in </w:t>
      </w:r>
      <w:r w:rsidR="00F84FB9" w:rsidRPr="00F84FB9">
        <w:rPr>
          <w:rFonts w:ascii="Calibri" w:cs="Calibri"/>
          <w:i/>
          <w:iCs/>
        </w:rPr>
        <w:t>Barth’s Earlier Theology</w:t>
      </w:r>
      <w:r w:rsidR="00F84FB9" w:rsidRPr="00F84FB9">
        <w:rPr>
          <w:rFonts w:ascii="Calibri" w:cs="Calibri"/>
        </w:rPr>
        <w:t xml:space="preserve"> (</w:t>
      </w:r>
      <w:proofErr w:type="gramStart"/>
      <w:r w:rsidR="00F84FB9" w:rsidRPr="00F84FB9">
        <w:rPr>
          <w:rFonts w:ascii="Calibri" w:cs="Calibri"/>
        </w:rPr>
        <w:t>London ;</w:t>
      </w:r>
      <w:proofErr w:type="gramEnd"/>
      <w:r w:rsidR="00F84FB9" w:rsidRPr="00F84FB9">
        <w:rPr>
          <w:rFonts w:ascii="Calibri" w:cs="Calibri"/>
        </w:rPr>
        <w:t xml:space="preserve"> New York: T&amp;T Clark International, 2005), pp. 67–90.</w:t>
      </w:r>
      <w:r>
        <w:fldChar w:fldCharType="end"/>
      </w:r>
    </w:p>
  </w:footnote>
  <w:footnote w:id="13">
    <w:p w14:paraId="4805D64B" w14:textId="787CFF6F" w:rsidR="0074219B" w:rsidRDefault="0074219B">
      <w:pPr>
        <w:pStyle w:val="FootnoteText"/>
      </w:pPr>
      <w:r>
        <w:rPr>
          <w:rStyle w:val="FootnoteReference"/>
        </w:rPr>
        <w:footnoteRef/>
      </w:r>
      <w:r>
        <w:t xml:space="preserve"> </w:t>
      </w:r>
      <w:r>
        <w:fldChar w:fldCharType="begin"/>
      </w:r>
      <w:r w:rsidR="00AD4E37">
        <w:instrText xml:space="preserve"> ADDIN ZOTERO_ITEM CSL_CITATION {"citationID":"Ze6qiyiS","properties":{"formattedCitation":"John Webster, \\uc0\\u8216{}A Relation beyond All Relations\\uc0\\u8217{}.","plainCitation":"John Webster, ‘A Relation beyond All Relations’.","noteIndex":13},"citationItems":[{"id":677,"uris":["http://zotero.org/users/1120467/items/SCI2F9KN"],"uri":["http://zotero.org/users/1120467/items/SCI2F9KN"],"itemData":{"id":677,"type":"chapter","title":"\"A relation beyond all relations\": God and Creatures in Barth's Lectures on Ephesians","container-title":"The Epistle to the Ephesians","publisher":"Baker Academic","publisher-place":"Grand Rapids, MI","page":"31-50","event-place":"Grand Rapids, MI","abstract":"Karl Barth is widely acknowledged as one of the great theologians of the church. This masterful example of theological interpretation of the biblical text presents Barth's insights on an important Pauline epistle.In 1921-22, Barth taught a course on the exposition of Ephesians at the University of Göttingen, lecturing from a detailed and carefully researched manuscript. The resulting lectures, now available in English for the first time, introduce theological and exegetical issues pertinent to the study of Ephesians. Introductory essays by world-renowned scholars Francis Watson and John Webster are included.","ISBN":"978-1-4934-0669-2","note":"Google-Books-ID: DBPeDAAAQBAJ","title-short":"A relation beyond all relations","language":"English","author":[{"family":"Webster","given":"John"}],"editor":[{"family":"Nelson","given":"R. David"}],"issued":{"date-parts":[["2017"]]}}}],"schema":"https://github.com/citation-style-language/schema/raw/master/csl-citation.json"} </w:instrText>
      </w:r>
      <w:r>
        <w:fldChar w:fldCharType="separate"/>
      </w:r>
      <w:r w:rsidR="00E8796A" w:rsidRPr="00E8796A">
        <w:rPr>
          <w:rFonts w:ascii="Calibri" w:cs="Calibri"/>
        </w:rPr>
        <w:t>John Webster, ‘A Relation beyond All Relations’.</w:t>
      </w:r>
      <w:r>
        <w:fldChar w:fldCharType="end"/>
      </w:r>
    </w:p>
  </w:footnote>
  <w:footnote w:id="14">
    <w:p w14:paraId="58389511" w14:textId="16FD59C5" w:rsidR="0074219B" w:rsidRDefault="0074219B">
      <w:pPr>
        <w:pStyle w:val="FootnoteText"/>
      </w:pPr>
      <w:r>
        <w:rPr>
          <w:rStyle w:val="FootnoteReference"/>
        </w:rPr>
        <w:footnoteRef/>
      </w:r>
      <w:r>
        <w:t xml:space="preserve"> </w:t>
      </w:r>
      <w:r>
        <w:fldChar w:fldCharType="begin"/>
      </w:r>
      <w:r w:rsidR="00970952">
        <w:instrText xml:space="preserve"> ADDIN ZOTERO_ITEM CSL_CITATION {"citationID":"isgsAkzy","properties":{"formattedCitation":"Martin Westerholm, \\uc0\\u8216{}Barth\\uc0\\u8217{}s Theology of Scripture in Developmental Perspective\\uc0\\u8217{}, in {\\i{}Freedom under the Word: Karl Barth\\uc0\\u8217{}s Theological Exegesis}, ed. by Ben Rhodes and Martin Westerholm (Grand Rapids: Baker Academic, 2019), pp. 9\\uc0\\u8211{}34.","plainCitation":"Martin Westerholm, ‘Barth’s Theology of Scripture in Developmental Perspective’, in Freedom under the Word: Karl Barth’s Theological Exegesis, ed. by Ben Rhodes and Martin Westerholm (Grand Rapids: Baker Academic, 2019), pp. 9–34.","noteIndex":14},"citationItems":[{"id":678,"uris":["http://zotero.org/users/1120467/items/9D6ZTBGD"],"uri":["http://zotero.org/users/1120467/items/9D6ZTBGD"],"itemData":{"id":678,"type":"chapter","title":"Barth's Theology of Scripture in Developmental Perspective","container-title":"Freedom under the Word: Karl Barth's Theological Exegesis","publisher":"Baker Academic","publisher-place":"Grand Rapids","page":"9-34","event-place":"Grand Rapids","author":[{"family":"Westerholm","given":"Martin"}],"editor":[{"family":"Rhodes","given":"Ben"},{"family":"Westerholm","given":"Martin"}],"issued":{"date-parts":[["2019",6,4]]}}}],"schema":"https://github.com/citation-style-language/schema/raw/master/csl-citation.json"} </w:instrText>
      </w:r>
      <w:r>
        <w:fldChar w:fldCharType="separate"/>
      </w:r>
      <w:r w:rsidRPr="00C42E0A">
        <w:rPr>
          <w:rFonts w:ascii="Calibri" w:cs="Calibri"/>
        </w:rPr>
        <w:t xml:space="preserve">Martin Westerholm, ‘Barth’s Theology of Scripture in Developmental Perspective’, in </w:t>
      </w:r>
      <w:r w:rsidRPr="00C42E0A">
        <w:rPr>
          <w:rFonts w:ascii="Calibri" w:cs="Calibri"/>
          <w:i/>
          <w:iCs/>
        </w:rPr>
        <w:t>Freedom under the Word: Karl Barth’s Theological Exegesis</w:t>
      </w:r>
      <w:r w:rsidRPr="00C42E0A">
        <w:rPr>
          <w:rFonts w:ascii="Calibri" w:cs="Calibri"/>
        </w:rPr>
        <w:t>, ed. by Ben Rhodes and Martin Westerholm (Grand Rapids: Baker Academic, 2019), pp. 9–34.</w:t>
      </w:r>
      <w:r>
        <w:fldChar w:fldCharType="end"/>
      </w:r>
    </w:p>
  </w:footnote>
  <w:footnote w:id="15">
    <w:p w14:paraId="0D5C8926" w14:textId="19F359E8" w:rsidR="0074219B" w:rsidRDefault="0074219B">
      <w:pPr>
        <w:pStyle w:val="FootnoteText"/>
      </w:pPr>
      <w:r>
        <w:rPr>
          <w:rStyle w:val="FootnoteReference"/>
        </w:rPr>
        <w:footnoteRef/>
      </w:r>
      <w:r>
        <w:t xml:space="preserve"> </w:t>
      </w:r>
      <w:r>
        <w:fldChar w:fldCharType="begin"/>
      </w:r>
      <w:r w:rsidR="00AD4E37">
        <w:instrText xml:space="preserve"> ADDIN ZOTERO_ITEM CSL_CITATION {"citationID":"YEh6ED9k","properties":{"formattedCitation":"Stephen Fowl, \\uc0\\u8216{}Karl Barth on Ephesians 1:4\\uc0\\u8217{}, in {\\i{}Freedom under the Word: Karl Barth\\uc0\\u8217{}s Theological Exegesis}, ed. by Ben Rhodes and Martin Westerholm (Grand Rapids: Baker Academic, 2019), pp. 127\\uc0\\u8211{}36.","plainCitation":"Stephen Fowl, ‘Karl Barth on Ephesians 1:4’, in Freedom under the Word: Karl Barth’s Theological Exegesis, ed. by Ben Rhodes and Martin Westerholm (Grand Rapids: Baker Academic, 2019), pp. 127–36.","noteIndex":15},"citationItems":[{"id":682,"uris":["http://zotero.org/users/1120467/items/AEWQZKES"],"uri":["http://zotero.org/users/1120467/items/AEWQZKES"],"itemData":{"id":682,"type":"chapter","title":"Karl Barth on Ephesians 1:4","container-title":"Freedom under the Word: Karl Barth's Theological Exegesis","publisher":"Baker Academic","publisher-place":"Grand Rapids","page":"127-136","event-place":"Grand Rapids","author":[{"family":"Fowl","given":"Stephen"}],"editor":[{"family":"Rhodes","given":"Ben"},{"family":"Westerholm","given":"Martin"}],"issued":{"date-parts":[["2019",6,4]]}}}],"schema":"https://github.com/citation-style-language/schema/raw/master/csl-citation.json"} </w:instrText>
      </w:r>
      <w:r>
        <w:fldChar w:fldCharType="separate"/>
      </w:r>
      <w:r w:rsidR="00E8796A" w:rsidRPr="00E8796A">
        <w:rPr>
          <w:rFonts w:ascii="Calibri" w:cs="Calibri"/>
        </w:rPr>
        <w:t xml:space="preserve">Stephen Fowl, ‘Karl Barth on Ephesians 1:4’, in </w:t>
      </w:r>
      <w:r w:rsidR="00E8796A" w:rsidRPr="00E8796A">
        <w:rPr>
          <w:rFonts w:ascii="Calibri" w:cs="Calibri"/>
          <w:i/>
          <w:iCs/>
        </w:rPr>
        <w:t>Freedom under the Word: Karl Barth’s Theological Exegesis</w:t>
      </w:r>
      <w:r w:rsidR="00E8796A" w:rsidRPr="00E8796A">
        <w:rPr>
          <w:rFonts w:ascii="Calibri" w:cs="Calibri"/>
        </w:rPr>
        <w:t>, ed. by Ben Rhodes and Martin Westerholm (Grand Rapids: Baker Academic, 2019), pp. 127–36.</w:t>
      </w:r>
      <w:r>
        <w:fldChar w:fldCharType="end"/>
      </w:r>
    </w:p>
  </w:footnote>
  <w:footnote w:id="16">
    <w:p w14:paraId="0E8934FD" w14:textId="4A7255C6" w:rsidR="00752DEC" w:rsidRDefault="00752DEC">
      <w:pPr>
        <w:pStyle w:val="FootnoteText"/>
      </w:pPr>
      <w:r>
        <w:rPr>
          <w:rStyle w:val="FootnoteReference"/>
        </w:rPr>
        <w:footnoteRef/>
      </w:r>
      <w:r>
        <w:t xml:space="preserve"> </w:t>
      </w:r>
      <w:r>
        <w:fldChar w:fldCharType="begin"/>
      </w:r>
      <w:r w:rsidR="00970952">
        <w:instrText xml:space="preserve"> ADDIN ZOTERO_ITEM CSL_CITATION {"citationID":"TUDCnTeA","properties":{"formattedCitation":"Carsten Card-Hyatt, \\uc0\\u8216{}The Call to Repentance Is the Call of the Gospel: Barth, the Epistle of James, and Moral Theology\\uc0\\u8217{}, in {\\i{}Freedom under the Word: Karl Barth\\uc0\\u8217{}s Theological Exegesis}, ed. by Ben Rhodes and Martin Westerholm (Grand Rapids: Baker Academic, 2019), pp. 113\\uc0\\u8211{}26.","plainCitation":"Carsten Card-Hyatt, ‘The Call to Repentance Is the Call of the Gospel: Barth, the Epistle of James, and Moral Theology’, in Freedom under the Word: Karl Barth’s Theological Exegesis, ed. by Ben Rhodes and Martin Westerholm (Grand Rapids: Baker Academic, 2019), pp. 113–26.","noteIndex":16},"citationItems":[{"id":684,"uris":["http://zotero.org/users/1120467/items/BEMB3XNF"],"uri":["http://zotero.org/users/1120467/items/BEMB3XNF"],"itemData":{"id":684,"type":"chapter","title":"The Call to Repentance Is the Call of the Gospel: Barth, the Epistle of James, and Moral Theology","container-title":"Freedom under the Word: Karl Barth's Theological Exegesis","publisher":"Baker Academic","publisher-place":"Grand Rapids","page":"113-126","event-place":"Grand Rapids","author":[{"family":"Card-Hyatt","given":"Carsten"}],"editor":[{"family":"Rhodes","given":"Ben"},{"family":"Westerholm","given":"Martin"}],"issued":{"date-parts":[["2019",6,4]]}}}],"schema":"https://github.com/citation-style-language/schema/raw/master/csl-citation.json"} </w:instrText>
      </w:r>
      <w:r>
        <w:fldChar w:fldCharType="separate"/>
      </w:r>
      <w:r w:rsidRPr="00752DEC">
        <w:rPr>
          <w:rFonts w:ascii="Calibri" w:cs="Calibri"/>
        </w:rPr>
        <w:t xml:space="preserve">Carsten Card-Hyatt, ‘The Call to Repentance Is the Call of the Gospel: Barth, the Epistle of James, and Moral Theology’, in </w:t>
      </w:r>
      <w:r w:rsidRPr="00752DEC">
        <w:rPr>
          <w:rFonts w:ascii="Calibri" w:cs="Calibri"/>
          <w:i/>
          <w:iCs/>
        </w:rPr>
        <w:t>Freedom under the Word: Karl Barth’s Theological Exegesis</w:t>
      </w:r>
      <w:r w:rsidRPr="00752DEC">
        <w:rPr>
          <w:rFonts w:ascii="Calibri" w:cs="Calibri"/>
        </w:rPr>
        <w:t>, ed. by Ben Rhodes and Martin Westerholm (Grand Rapids: Baker Academic, 2019), pp. 113–26.</w:t>
      </w:r>
      <w:r>
        <w:fldChar w:fldCharType="end"/>
      </w:r>
    </w:p>
  </w:footnote>
  <w:footnote w:id="17">
    <w:p w14:paraId="67CCAC6C" w14:textId="6CF1CA0F" w:rsidR="0074219B" w:rsidRDefault="0074219B">
      <w:pPr>
        <w:pStyle w:val="FootnoteText"/>
      </w:pPr>
      <w:r>
        <w:rPr>
          <w:rStyle w:val="FootnoteReference"/>
        </w:rPr>
        <w:footnoteRef/>
      </w:r>
      <w:r>
        <w:t xml:space="preserve">  </w:t>
      </w:r>
      <w:r>
        <w:fldChar w:fldCharType="begin"/>
      </w:r>
      <w:r w:rsidR="00AD4E37">
        <w:instrText xml:space="preserve"> ADDIN ZOTERO_ITEM CSL_CITATION {"citationID":"vuNHlRS7","properties":{"formattedCitation":"Wesley Hill, \\uc0\\u8216{}The Logos Is Jesus Christ: Karl Barth on the Johannine Prologue\\uc0\\u8217{}, in {\\i{}Freedom under the Word: Karl Barth\\uc0\\u8217{}s Theological Exegesis}, ed. by Ben Rhodes and Martin Westerholm (Grand Rapids: Baker Academic, 2019), pp. 113\\uc0\\u8211{}26.","plainCitation":"Wesley Hill, ‘The Logos Is Jesus Christ: Karl Barth on the Johannine Prologue’, in Freedom under the Word: Karl Barth’s Theological Exegesis, ed. by Ben Rhodes and Martin Westerholm (Grand Rapids: Baker Academic, 2019), pp. 113–26.","noteIndex":17},"citationItems":[{"id":683,"uris":["http://zotero.org/users/1120467/items/S2V6MB57"],"uri":["http://zotero.org/users/1120467/items/S2V6MB57"],"itemData":{"id":683,"type":"chapter","title":"The Logos Is Jesus Christ: Karl Barth on the Johannine Prologue","container-title":"Freedom under the Word: Karl Barth's Theological Exegesis","publisher":"Baker Academic","publisher-place":"Grand Rapids","page":"113-126","event-place":"Grand Rapids","author":[{"family":"Hill","given":"Wesley"}],"editor":[{"family":"Rhodes","given":"Ben"},{"family":"Westerholm","given":"Martin"}],"issued":{"date-parts":[["2019",6,4]]}}}],"schema":"https://github.com/citation-style-language/schema/raw/master/csl-citation.json"} </w:instrText>
      </w:r>
      <w:r>
        <w:fldChar w:fldCharType="separate"/>
      </w:r>
      <w:r w:rsidRPr="00C42E0A">
        <w:rPr>
          <w:rFonts w:ascii="Calibri" w:cs="Calibri"/>
        </w:rPr>
        <w:t xml:space="preserve">Wesley Hill, ‘The Logos Is Jesus Christ: Karl Barth on the Johannine Prologue’, in </w:t>
      </w:r>
      <w:r w:rsidRPr="00C42E0A">
        <w:rPr>
          <w:rFonts w:ascii="Calibri" w:cs="Calibri"/>
          <w:i/>
          <w:iCs/>
        </w:rPr>
        <w:t>Freedom under the Word: Karl Barth’s Theological Exegesis</w:t>
      </w:r>
      <w:r w:rsidRPr="00C42E0A">
        <w:rPr>
          <w:rFonts w:ascii="Calibri" w:cs="Calibri"/>
        </w:rPr>
        <w:t>, ed. by Ben Rhodes and Martin Westerholm (Grand Rapids: Baker Academic, 2019), pp. 113–26.</w:t>
      </w:r>
      <w:r>
        <w:fldChar w:fldCharType="end"/>
      </w:r>
    </w:p>
  </w:footnote>
  <w:footnote w:id="18">
    <w:p w14:paraId="54E0AFA5" w14:textId="41887B3C" w:rsidR="0074219B" w:rsidRPr="008813FB" w:rsidRDefault="0074219B">
      <w:pPr>
        <w:pStyle w:val="FootnoteText"/>
        <w:rPr>
          <w:lang w:val="en-US"/>
        </w:rPr>
      </w:pPr>
      <w:r>
        <w:rPr>
          <w:rStyle w:val="FootnoteReference"/>
        </w:rPr>
        <w:footnoteRef/>
      </w:r>
      <w:r>
        <w:t xml:space="preserve"> Op. cit. </w:t>
      </w:r>
      <w:r>
        <w:fldChar w:fldCharType="begin"/>
      </w:r>
      <w:r w:rsidR="00F84FB9">
        <w:instrText xml:space="preserve"> ADDIN ZOTERO_ITEM CSL_CITATION {"citationID":"wyd6Ty8x","properties":{"formattedCitation":"John Webster, \\uc0\\u8216{}The Resurrection of the Dead\\uc0\\u8217{}, p. 67.","plainCitation":"John Webster, ‘The Resurrection of the Dead’, p. 67.","noteIndex":18},"citationItems":[{"id":674,"uris":["http://zotero.org/users/1120467/items/E6R9RNWB"],"uri":["http://zotero.org/users/1120467/items/E6R9RNWB"],"itemData":{"id":674,"type":"chapter","title":"The Resurrection of the Dead","container-title":"Barth's earlier theology","publisher":"T&amp;T Clark International","publisher-place":"London ; New York","page":"67-90","source":"library.st-andrews.ac.uk Library Catalog","event-place":"London ; New York","ISBN":"0-567-08352-7","call-number":"BX4827.B3 W355 2005","author":[{"family":"Webster","given":"John"}],"issued":{"date-parts":[["2005"]]}},"locator":"67"}],"schema":"https://github.com/citation-style-language/schema/raw/master/csl-citation.json"} </w:instrText>
      </w:r>
      <w:r>
        <w:fldChar w:fldCharType="separate"/>
      </w:r>
      <w:r w:rsidR="00F84FB9" w:rsidRPr="00F84FB9">
        <w:rPr>
          <w:rFonts w:ascii="Calibri" w:cs="Calibri"/>
        </w:rPr>
        <w:t>John Webster, ‘The Resurrection of the Dead’, p. 67.</w:t>
      </w:r>
      <w:r>
        <w:fldChar w:fldCharType="end"/>
      </w:r>
    </w:p>
  </w:footnote>
  <w:footnote w:id="19">
    <w:p w14:paraId="280BC750" w14:textId="11B0AB6E" w:rsidR="0074219B" w:rsidRDefault="0074219B">
      <w:pPr>
        <w:pStyle w:val="FootnoteText"/>
      </w:pPr>
      <w:r>
        <w:rPr>
          <w:rStyle w:val="FootnoteReference"/>
        </w:rPr>
        <w:footnoteRef/>
      </w:r>
      <w:r>
        <w:t xml:space="preserve"> </w:t>
      </w:r>
      <w:r>
        <w:fldChar w:fldCharType="begin"/>
      </w:r>
      <w:r w:rsidR="00970952">
        <w:instrText xml:space="preserve"> ADDIN ZOTERO_ITEM CSL_CITATION {"citationID":"xwhQ28bE","properties":{"formattedCitation":"Card-Hyatt.","plainCitation":"Card-Hyatt.","noteIndex":19},"citationItems":[{"id":684,"uris":["http://zotero.org/users/1120467/items/BEMB3XNF"],"uri":["http://zotero.org/users/1120467/items/BEMB3XNF"],"itemData":{"id":684,"type":"chapter","title":"The Call to Repentance Is the Call of the Gospel: Barth, the Epistle of James, and Moral Theology","container-title":"Freedom under the Word: Karl Barth's Theological Exegesis","publisher":"Baker Academic","publisher-place":"Grand Rapids","page":"113-126","event-place":"Grand Rapids","author":[{"family":"Card-Hyatt","given":"Carsten"}],"editor":[{"family":"Rhodes","given":"Ben"},{"family":"Westerholm","given":"Martin"}],"issued":{"date-parts":[["2019",6,4]]}}}],"schema":"https://github.com/citation-style-language/schema/raw/master/csl-citation.json"} </w:instrText>
      </w:r>
      <w:r>
        <w:fldChar w:fldCharType="separate"/>
      </w:r>
      <w:r>
        <w:rPr>
          <w:noProof/>
        </w:rPr>
        <w:t>Card-Hyatt.</w:t>
      </w:r>
      <w:r>
        <w:fldChar w:fldCharType="end"/>
      </w:r>
    </w:p>
  </w:footnote>
  <w:footnote w:id="20">
    <w:p w14:paraId="7A901CA0" w14:textId="35ABDEF6" w:rsidR="00AD4E37" w:rsidRDefault="00AD4E37">
      <w:pPr>
        <w:pStyle w:val="FootnoteText"/>
      </w:pPr>
      <w:r>
        <w:rPr>
          <w:rStyle w:val="FootnoteReference"/>
        </w:rPr>
        <w:footnoteRef/>
      </w:r>
      <w:r>
        <w:t xml:space="preserve"> </w:t>
      </w:r>
      <w:r>
        <w:fldChar w:fldCharType="begin"/>
      </w:r>
      <w:r>
        <w:instrText xml:space="preserve"> ADDIN ZOTERO_ITEM CSL_CITATION {"citationID":"6ipoTUTD","properties":{"formattedCitation":"John Webster, \\uc0\\u8216{}Witness to the Word\\uc0\\u8217{}.","plainCitation":"John Webster, ‘Witness to the Word’.","noteIndex":20},"citationItems":[{"id":676,"uris":["http://zotero.org/users/1120467/items/9KSERBGR"],"uri":["http://zotero.org/users/1120467/items/9KSERBGR"],"itemData":{"id":676,"type":"chapter","title":"Witness to the Word: Karl Barth's Lectures on the Gospel of John","container-title":"The domain of the word: : scripture and theological reason","collection-title":"T &amp; T Clark theology","publisher":"T &amp; T Clark,","publisher-place":"London :","page":"65-85","source":"usearch.univie.ac.at","event-place":"London :","abstract":"Enthält: pt. 1. Scripture -- pt. 2. Theological reason., Includes index.","ISBN":"978-0-567-31371-3","title-short":"Witness to the Word","language":"eng","author":[{"family":"Webster","given":"John"}],"issued":{"date-parts":[["2012"]]},"accessed":{"date-parts":[["2019",10,27]]}}}],"schema":"https://github.com/citation-style-language/schema/raw/master/csl-citation.json"} </w:instrText>
      </w:r>
      <w:r>
        <w:fldChar w:fldCharType="separate"/>
      </w:r>
      <w:r w:rsidRPr="00AD4E37">
        <w:rPr>
          <w:rFonts w:ascii="Calibri" w:cs="Calibri"/>
        </w:rPr>
        <w:t>John Webster, ‘Witness to the Word’.</w:t>
      </w:r>
      <w:proofErr w:type="spellStart"/>
      <w:r>
        <w:fldChar w:fldCharType="end"/>
      </w:r>
      <w:r>
        <w:t xml:space="preserve">; </w:t>
      </w:r>
      <w:r>
        <w:fldChar w:fldCharType="begin"/>
      </w:r>
      <w:r>
        <w:instrText xml:space="preserve"> ADDIN ZOTERO_ITEM CSL_CITATION {"citationID":"vps7p4rg","properties":{"formattedCitation":"Hill, pp. 114\\uc0\\u8211{}15.","plainCitation":"Hill, pp. 114–15.","noteIndex":20},"citationItems":[{"id":683,"uris":["http://zotero.org/users/1120467/items/S2V6MB57"],"uri":["http://zotero.org/users/1120467/items/S2V6MB57"],"itemData":{"id":683,"type":"chapter","title":"The Logos Is Jesus Christ: Karl Barth on the Johannine Prologue","container-title":"Freedom under the Word: Karl Barth's Theological Exegesis","publisher":"Baker Academic","publisher-place":"Grand Rapids","page":"113-126","event-place":"Grand Rapids","author":[{"family":"Hill","given":"Wesley"}],"editor":[{"family":"Rhodes","given":"Ben"},{"family":"Westerholm","given":"Martin"}],"issued":{"date-parts":[["2019",6,4]]}},"locator":"114-115"}],"schema":"https://github.com/citation-style-language/schema/raw/master/csl-citation.json"} </w:instrText>
      </w:r>
      <w:r>
        <w:fldChar w:fldCharType="separate"/>
      </w:r>
      <w:r w:rsidRPr="00AD4E37">
        <w:rPr>
          <w:rFonts w:ascii="Calibri" w:cs="Calibri"/>
        </w:rPr>
        <w:t>Hill</w:t>
      </w:r>
      <w:proofErr w:type="spellEnd"/>
      <w:r w:rsidRPr="00AD4E37">
        <w:rPr>
          <w:rFonts w:ascii="Calibri" w:cs="Calibri"/>
        </w:rPr>
        <w:t>, pp. 114–15.</w:t>
      </w:r>
      <w:r>
        <w:fldChar w:fldCharType="end"/>
      </w:r>
    </w:p>
  </w:footnote>
  <w:footnote w:id="21">
    <w:p w14:paraId="1DEB03A8" w14:textId="3617C953" w:rsidR="0074219B" w:rsidRDefault="0074219B">
      <w:pPr>
        <w:pStyle w:val="FootnoteText"/>
      </w:pPr>
      <w:r>
        <w:rPr>
          <w:rStyle w:val="FootnoteReference"/>
        </w:rPr>
        <w:footnoteRef/>
      </w:r>
      <w:r>
        <w:t xml:space="preserve"> </w:t>
      </w:r>
      <w:r>
        <w:fldChar w:fldCharType="begin"/>
      </w:r>
      <w:r w:rsidR="00AD4E37">
        <w:instrText xml:space="preserve"> ADDIN ZOTERO_ITEM CSL_CITATION {"citationID":"ZRL7bxlP","properties":{"formattedCitation":"John Webster, \\uc0\\u8216{}Witness to the Word\\uc0\\u8217{}, pp. 70\\uc0\\u8211{}71.","plainCitation":"John Webster, ‘Witness to the Word’, pp. 70–71.","noteIndex":21},"citationItems":[{"id":676,"uris":["http://zotero.org/users/1120467/items/9KSERBGR"],"uri":["http://zotero.org/users/1120467/items/9KSERBGR"],"itemData":{"id":676,"type":"chapter","title":"Witness to the Word: Karl Barth's Lectures on the Gospel of John","container-title":"The domain of the word: : scripture and theological reason","collection-title":"T &amp; T Clark theology","publisher":"T &amp; T Clark,","publisher-place":"London :","page":"65-85","source":"usearch.univie.ac.at","event-place":"London :","abstract":"Enthält: pt. 1. Scripture -- pt. 2. Theological reason., Includes index.","ISBN":"978-0-567-31371-3","title-short":"Witness to the Word","language":"eng","author":[{"family":"Webster","given":"John"}],"issued":{"date-parts":[["2012"]]},"accessed":{"date-parts":[["2019",10,27]]}},"locator":"70-71"}],"schema":"https://github.com/citation-style-language/schema/raw/master/csl-citation.json"} </w:instrText>
      </w:r>
      <w:r>
        <w:fldChar w:fldCharType="separate"/>
      </w:r>
      <w:r w:rsidR="00AD4E37" w:rsidRPr="00AD4E37">
        <w:rPr>
          <w:rFonts w:ascii="Calibri" w:cs="Calibri"/>
        </w:rPr>
        <w:t>John Webster, ‘Witness to the Word’, pp. 70–71.</w:t>
      </w:r>
      <w:r>
        <w:fldChar w:fldCharType="end"/>
      </w:r>
      <w:r>
        <w:t xml:space="preserve">; </w:t>
      </w:r>
      <w:r>
        <w:fldChar w:fldCharType="begin"/>
      </w:r>
      <w:r w:rsidR="00AD4E37">
        <w:instrText xml:space="preserve"> ADDIN ZOTERO_ITEM CSL_CITATION {"citationID":"cJc4MDsg","properties":{"formattedCitation":"Westerholm.","plainCitation":"Westerholm.","noteIndex":21},"citationItems":[{"id":678,"uris":["http://zotero.org/users/1120467/items/9D6ZTBGD"],"uri":["http://zotero.org/users/1120467/items/9D6ZTBGD"],"itemData":{"id":678,"type":"chapter","title":"Barth's Theology of Scripture in Developmental Perspective","container-title":"Freedom under the Word: Karl Barth's Theological Exegesis","publisher":"Baker Academic","publisher-place":"Grand Rapids","page":"9-34","event-place":"Grand Rapids","author":[{"family":"Westerholm","given":"Martin"}],"editor":[{"family":"Rhodes","given":"Ben"},{"family":"Westerholm","given":"Martin"}],"issued":{"date-parts":[["2019",6,4]]}}}],"schema":"https://github.com/citation-style-language/schema/raw/master/csl-citation.json"} </w:instrText>
      </w:r>
      <w:r>
        <w:fldChar w:fldCharType="separate"/>
      </w:r>
      <w:r>
        <w:rPr>
          <w:rFonts w:ascii="Calibri" w:cs="Calibri"/>
        </w:rPr>
        <w:t>Westerholm.</w:t>
      </w:r>
      <w:r>
        <w:fldChar w:fldCharType="end"/>
      </w:r>
    </w:p>
  </w:footnote>
  <w:footnote w:id="22">
    <w:p w14:paraId="6BCE6668" w14:textId="2C9147D5" w:rsidR="0074219B" w:rsidRPr="006D5BDE" w:rsidRDefault="0074219B">
      <w:pPr>
        <w:pStyle w:val="FootnoteText"/>
        <w:rPr>
          <w:lang w:val="de-AT"/>
        </w:rPr>
      </w:pPr>
      <w:r>
        <w:rPr>
          <w:rStyle w:val="FootnoteReference"/>
        </w:rPr>
        <w:footnoteRef/>
      </w:r>
      <w:r w:rsidRPr="00E8796A">
        <w:rPr>
          <w:lang w:val="de-AT"/>
        </w:rPr>
        <w:t xml:space="preserve"> Relevant </w:t>
      </w:r>
      <w:proofErr w:type="spellStart"/>
      <w:r w:rsidRPr="00E8796A">
        <w:rPr>
          <w:lang w:val="de-AT"/>
        </w:rPr>
        <w:t>primary</w:t>
      </w:r>
      <w:proofErr w:type="spellEnd"/>
      <w:r w:rsidRPr="00E8796A">
        <w:rPr>
          <w:lang w:val="de-AT"/>
        </w:rPr>
        <w:t xml:space="preserve"> </w:t>
      </w:r>
      <w:proofErr w:type="spellStart"/>
      <w:r w:rsidRPr="00E8796A">
        <w:rPr>
          <w:lang w:val="de-AT"/>
        </w:rPr>
        <w:t>sources</w:t>
      </w:r>
      <w:proofErr w:type="spellEnd"/>
      <w:r w:rsidRPr="00E8796A">
        <w:rPr>
          <w:lang w:val="de-AT"/>
        </w:rPr>
        <w:t xml:space="preserve"> </w:t>
      </w:r>
      <w:proofErr w:type="spellStart"/>
      <w:r w:rsidRPr="00E8796A">
        <w:rPr>
          <w:lang w:val="de-AT"/>
        </w:rPr>
        <w:t>include</w:t>
      </w:r>
      <w:proofErr w:type="spellEnd"/>
      <w:r w:rsidRPr="00E8796A">
        <w:rPr>
          <w:lang w:val="de-AT"/>
        </w:rPr>
        <w:t xml:space="preserve">: </w:t>
      </w:r>
      <w:r>
        <w:fldChar w:fldCharType="begin"/>
      </w:r>
      <w:r w:rsidR="00AD4E37">
        <w:rPr>
          <w:lang w:val="de-AT"/>
        </w:rPr>
        <w:instrText xml:space="preserve"> ADDIN ZOTERO_ITEM CSL_CITATION {"citationID":"i1HZl5WT","properties":{"formattedCitation":"Karl Barth, {\\i{}Die Theologie Calvins 1922}, ed. by Walther F\\uc0\\u252{}rst, Gesamtausgabe, II (S.l.: Theologischer Verlag Z\\uc0\\u252{}rich, 1999).","plainCitation":"Karl Barth, Die Theologie Calvins 1922, ed. by Walther Fürst, Gesamtausgabe, II (S.l.: Theologischer Verlag Zürich, 1999).","noteIndex":22},"citationItems":[{"id":234,"uris":["http://zotero.org/users/1120467/items/KC4CPRSV"],"uri":["http://zotero.org/users/1120467/items/KC4CPRSV"],"itemData":{"id":234,"type":"book","title":"Die Theologie Calvins 1922","collection-title":"Gesamtausgabe","collection-number":"II","publisher":"Theologischer Verlag Zürich","publisher-place":"S.l.","number-of-pages":"434","source":"library.st-andrews.ac.uk Library Catalog","event-place":"S.l.","title-short":"Erklärung des johannesevangeliums","author":[{"family":"Barth","given":"Karl"}],"editor":[{"family":"Fürst","given":"Walther"}],"issued":{"date-parts":[["1999"]]}}}],"schema":"https://github.com/citation-style-language/schema/raw/master/csl-citation.json"} </w:instrText>
      </w:r>
      <w:r>
        <w:fldChar w:fldCharType="separate"/>
      </w:r>
      <w:r w:rsidRPr="00E8796A">
        <w:rPr>
          <w:rFonts w:ascii="Calibri" w:cs="Calibri"/>
          <w:lang w:val="de-AT"/>
        </w:rPr>
        <w:t xml:space="preserve">Karl Barth, </w:t>
      </w:r>
      <w:r w:rsidRPr="00E8796A">
        <w:rPr>
          <w:rFonts w:ascii="Calibri" w:cs="Calibri"/>
          <w:i/>
          <w:iCs/>
          <w:lang w:val="de-AT"/>
        </w:rPr>
        <w:t>Die Theologie Calvins 1922</w:t>
      </w:r>
      <w:r w:rsidRPr="00E8796A">
        <w:rPr>
          <w:rFonts w:ascii="Calibri" w:cs="Calibri"/>
          <w:lang w:val="de-AT"/>
        </w:rPr>
        <w:t>, ed. by Walther Fürst, Gesamtausgabe, II (S.l.: Theologischer Verlag Zürich, 1999).</w:t>
      </w:r>
      <w:r>
        <w:fldChar w:fldCharType="end"/>
      </w:r>
      <w:r w:rsidRPr="00E8796A">
        <w:rPr>
          <w:lang w:val="de-AT"/>
        </w:rPr>
        <w:t xml:space="preserve">; </w:t>
      </w:r>
      <w:r>
        <w:fldChar w:fldCharType="begin"/>
      </w:r>
      <w:r w:rsidR="00AD4E37">
        <w:rPr>
          <w:lang w:val="de-AT"/>
        </w:rPr>
        <w:instrText xml:space="preserve"> ADDIN ZOTERO_ITEM CSL_CITATION {"citationID":"r4GKKazr","properties":{"formattedCitation":"Karl Barth, {\\i{}Die Theologie der reformierten Bekenntnisschriften}, ed. by Eberhard Busch (Zurich: Theologischer Verlag, 1998).","plainCitation":"Karl Barth, Die Theologie der reformierten Bekenntnisschriften, ed. by Eberhard Busch (Zurich: Theologischer Verlag, 1998).","noteIndex":22},"citationItems":[{"id":74,"uris":["http://zotero.org/users/1120467/items/R76BRVXV"],"uri":["http://zotero.org/users/1120467/items/R76BRVXV"],"itemData":{"id":74,"type":"book","title":"Die Theologie der reformierten Bekenntnisschriften","publisher":"Theologischer Verlag","publisher-place":"Zurich","source":"Google Books","event-place":"Zurich","title-short":"Die Theologie der reformierten Bekenntnisschriften","language":"de","author":[{"family":"Barth","given":"Karl"}],"editor":[{"family":"Busch","given":"Eberhard"}],"issued":{"date-parts":[["1998"]]}}}],"schema":"https://github.com/citation-style-language/schema/raw/master/csl-citation.json"} </w:instrText>
      </w:r>
      <w:r>
        <w:fldChar w:fldCharType="separate"/>
      </w:r>
      <w:r w:rsidRPr="00E8796A">
        <w:rPr>
          <w:rFonts w:ascii="Calibri" w:cs="Calibri"/>
          <w:lang w:val="de-AT"/>
        </w:rPr>
        <w:t xml:space="preserve">Karl Barth, </w:t>
      </w:r>
      <w:r w:rsidRPr="00E8796A">
        <w:rPr>
          <w:rFonts w:ascii="Calibri" w:cs="Calibri"/>
          <w:i/>
          <w:iCs/>
          <w:lang w:val="de-AT"/>
        </w:rPr>
        <w:t>Die Theologie der reformierten Bekenntnisschriften</w:t>
      </w:r>
      <w:r w:rsidRPr="00E8796A">
        <w:rPr>
          <w:rFonts w:ascii="Calibri" w:cs="Calibri"/>
          <w:lang w:val="de-AT"/>
        </w:rPr>
        <w:t>, ed. by Eberhard Busch (Zurich: Theologischer Verlag, 1998).</w:t>
      </w:r>
      <w:r>
        <w:fldChar w:fldCharType="end"/>
      </w:r>
      <w:r w:rsidRPr="00E8796A">
        <w:rPr>
          <w:lang w:val="de-AT"/>
        </w:rPr>
        <w:t xml:space="preserve"> </w:t>
      </w:r>
      <w:r>
        <w:rPr>
          <w:lang w:val="de-AT"/>
        </w:rPr>
        <w:fldChar w:fldCharType="begin"/>
      </w:r>
      <w:r w:rsidR="00AD4E37">
        <w:rPr>
          <w:lang w:val="de-AT"/>
        </w:rPr>
        <w:instrText xml:space="preserve"> ADDIN ZOTERO_ITEM CSL_CITATION {"citationID":"Sq7vvZKQ","properties":{"formattedCitation":"Karl Barth, \\uc0\\u8216{}Das Schriftprinzip der reformierten Kirche\\uc0\\u8217{}, in {\\i{}Vortr\\uc0\\u228{}ge und kleinere Arbeiten 1922-1925}, Gesamtausgabe III (Z\\uc0\\u252{}rich: TheolVerl, 1990), pp. 500\\uc0\\u8211{}544.","plainCitation":"Karl Barth, ‘Das Schriftprinzip der reformierten Kirche’, in Vorträge und kleinere Arbeiten 1922-1925, Gesamtausgabe III (Zürich: TheolVerl, 1990), pp. 500–544.","noteIndex":22},"citationItems":[{"id":680,"uris":["http://zotero.org/users/1120467/items/52XLTL2W"],"uri":["http://zotero.org/users/1120467/items/52XLTL2W"],"itemData":{"id":680,"type":"chapter","title":"Das Schriftprinzip der reformierten Kirche","container-title":"Vorträge und kleinere Arbeiten 1922-1925","collection-title":"Gesamtausgabe III","publisher":"TheolVerl","publisher-place":"Zürich","page":"500-44","source":"usearch.univie.ac.at","event-place":"Zürich","abstract":"Bibliogr. K. Barth S.739 - 742. - Literaturverz. S. XV -XVI","ISBN":"978-3-290-10131-2","call-number":"I-966704/3,2, Sd 27.58/3, D-1533/3,1909-1914","language":"ger","author":[{"family":"Barth","given":"Karl"}],"issued":{"date-parts":[["1990"]]}}}],"schema":"https://github.com/citation-style-language/schema/raw/master/csl-citation.json"} </w:instrText>
      </w:r>
      <w:r>
        <w:rPr>
          <w:lang w:val="de-AT"/>
        </w:rPr>
        <w:fldChar w:fldCharType="separate"/>
      </w:r>
      <w:r w:rsidRPr="00991DE3">
        <w:rPr>
          <w:rFonts w:ascii="Calibri" w:cs="Calibri"/>
          <w:lang w:val="de-AT"/>
        </w:rPr>
        <w:t xml:space="preserve">Karl Barth, ‘Das Schriftprinzip der reformierten Kirche’, in </w:t>
      </w:r>
      <w:r w:rsidRPr="00991DE3">
        <w:rPr>
          <w:rFonts w:ascii="Calibri" w:cs="Calibri"/>
          <w:i/>
          <w:iCs/>
          <w:lang w:val="de-AT"/>
        </w:rPr>
        <w:t>Vorträge und kleinere Arbeiten 1922-1925</w:t>
      </w:r>
      <w:r w:rsidRPr="00991DE3">
        <w:rPr>
          <w:rFonts w:ascii="Calibri" w:cs="Calibri"/>
          <w:lang w:val="de-AT"/>
        </w:rPr>
        <w:t>, Gesamtausgabe III (Zürich: TheolVerl, 1990), pp. 500–544.</w:t>
      </w:r>
      <w:r>
        <w:rPr>
          <w:lang w:val="de-AT"/>
        </w:rPr>
        <w:fldChar w:fldCharType="end"/>
      </w:r>
      <w:r>
        <w:rPr>
          <w:lang w:val="de-AT"/>
        </w:rPr>
        <w:t xml:space="preserve"> </w:t>
      </w:r>
      <w:r w:rsidR="004222E1" w:rsidRPr="004222E1">
        <w:rPr>
          <w:lang w:val="en-US"/>
        </w:rPr>
        <w:t xml:space="preserve">Important </w:t>
      </w:r>
      <w:r w:rsidR="004222E1">
        <w:rPr>
          <w:lang w:val="en-US"/>
        </w:rPr>
        <w:t>s</w:t>
      </w:r>
      <w:r w:rsidRPr="006D5BDE">
        <w:rPr>
          <w:lang w:val="en-US"/>
        </w:rPr>
        <w:t xml:space="preserve">econdary </w:t>
      </w:r>
      <w:r w:rsidR="004222E1">
        <w:rPr>
          <w:lang w:val="en-US"/>
        </w:rPr>
        <w:t>include</w:t>
      </w:r>
      <w:r w:rsidR="005C6366">
        <w:rPr>
          <w:lang w:val="en-US"/>
        </w:rPr>
        <w:t>:</w:t>
      </w:r>
      <w:r w:rsidRPr="006D5BDE">
        <w:rPr>
          <w:lang w:val="en-US"/>
        </w:rPr>
        <w:t xml:space="preserve"> </w:t>
      </w:r>
      <w:r>
        <w:rPr>
          <w:lang w:val="de-AT"/>
        </w:rPr>
        <w:fldChar w:fldCharType="begin"/>
      </w:r>
      <w:r w:rsidR="00F84FB9">
        <w:rPr>
          <w:lang w:val="en-US"/>
        </w:rPr>
        <w:instrText xml:space="preserve"> ADDIN ZOTERO_ITEM CSL_CITATION {"citationID":"HZx9DTzU","properties":{"formattedCitation":"John Webster, {\\i{}Barth\\uc0\\u8217{}s Earlier Theology} (London\\uc0\\u8239{}; New York: T&amp;T Clark International, 2005).","plainCitation":"John Webster, Barth’s Earlier Theology (London ; New York: T&amp;T Clark International, 2005).","noteIndex":22},"citationItems":[{"id":85,"uris":["http://zotero.org/users/1120467/items/VTVRJNIM"],"uri":["http://zotero.org/users/1120467/items/VTVRJNIM"],"itemData":{"id":85,"type":"book","title":"Barth's earlier theology","publisher":"T&amp;T Clark International","publisher-place":"London ; New York","number-of-pages":"144","source":"library.st-andrews.ac.uk Library Catalog","event-place":"London ; New York","ISBN":"0-567-08352-7","call-number":"BX4827.B3 W355 2005","author":[{"family":"Webster","given":"John"}],"issued":{"date-parts":[["2005"]]}}}],"schema":"https://github.com/citation-style-language/schema/raw/master/csl-citation.json"} </w:instrText>
      </w:r>
      <w:r>
        <w:rPr>
          <w:lang w:val="de-AT"/>
        </w:rPr>
        <w:fldChar w:fldCharType="separate"/>
      </w:r>
      <w:r w:rsidR="00F84FB9" w:rsidRPr="00F84FB9">
        <w:rPr>
          <w:rFonts w:ascii="Calibri" w:cs="Calibri"/>
        </w:rPr>
        <w:t xml:space="preserve">John Webster, </w:t>
      </w:r>
      <w:r w:rsidR="00F84FB9" w:rsidRPr="00F84FB9">
        <w:rPr>
          <w:rFonts w:ascii="Calibri" w:cs="Calibri"/>
          <w:i/>
          <w:iCs/>
        </w:rPr>
        <w:t>Barth’s Earlier Theology</w:t>
      </w:r>
      <w:r w:rsidR="00F84FB9" w:rsidRPr="00F84FB9">
        <w:rPr>
          <w:rFonts w:ascii="Calibri" w:cs="Calibri"/>
        </w:rPr>
        <w:t xml:space="preserve"> (London ; New York: T&amp;T Clark International, 2005).</w:t>
      </w:r>
      <w:r>
        <w:rPr>
          <w:lang w:val="de-AT"/>
        </w:rPr>
        <w:fldChar w:fldCharType="end"/>
      </w:r>
      <w:r w:rsidRPr="006D5BDE">
        <w:rPr>
          <w:lang w:val="en-US"/>
        </w:rPr>
        <w:t xml:space="preserve"> </w:t>
      </w:r>
      <w:proofErr w:type="spellStart"/>
      <w:r>
        <w:rPr>
          <w:lang w:val="de-AT"/>
        </w:rPr>
        <w:t>and</w:t>
      </w:r>
      <w:proofErr w:type="spellEnd"/>
      <w:r>
        <w:rPr>
          <w:lang w:val="de-AT"/>
        </w:rPr>
        <w:t xml:space="preserve"> </w:t>
      </w:r>
      <w:r>
        <w:rPr>
          <w:lang w:val="de-AT"/>
        </w:rPr>
        <w:fldChar w:fldCharType="begin"/>
      </w:r>
      <w:r w:rsidR="00AD4E37">
        <w:rPr>
          <w:lang w:val="de-AT"/>
        </w:rPr>
        <w:instrText xml:space="preserve"> ADDIN ZOTERO_ITEM CSL_CITATION {"citationID":"QQhe5EPx","properties":{"formattedCitation":"Matthias Freudenberg, {\\i{}Karl Barth Und Die Reformierte Theologie: Die Auseinandersetzung Mit Calvin, Zwingli, Und Den Reformierten Bekenntnisschriften W\\uc0\\u228{}hrend Seiner G\\uc0\\u246{}ttinger Lehrt\\uc0\\u228{}tigkeit} (Neukirchen-Vluyn: Neukirchener Verlag, 1997).","plainCitation":"Matthias Freudenberg, Karl Barth Und Die Reformierte Theologie: Die Auseinandersetzung Mit Calvin, Zwingli, Und Den Reformierten Bekenntnisschriften Während Seiner Göttinger Lehrtätigkeit (Neukirchen-Vluyn: Neukirchener Verlag, 1997).","noteIndex":22},"citationItems":[{"id":73,"uris":["http://zotero.org/users/1120467/items/KZ42P827"],"uri":["http://zotero.org/users/1120467/items/KZ42P827"],"itemData":{"id":73,"type":"book","title":"Karl Barth und die reformierte Theologie: die Auseinandersetzung mit Calvin, Zwingli, und den reformierten Bekenntnisschriften während seiner Göttinger Lehrtätigkeit","publisher":"Neukirchener Verlag","publisher-place":"Neukirchen-Vluyn","number-of-pages":"310","source":"library.st-andrews.ac.uk Library Catalog","event-place":"Neukirchen-Vluyn","ISBN":"978-3-7887-1591-5","call-number":"BX4827.B3 F735 1997","title-short":"Karl Barth und die reformierte Theologie","author":[{"family":"Freudenberg","given":"Matthias"}],"issued":{"date-parts":[["1997"]]}}}],"schema":"https://github.com/citation-style-language/schema/raw/master/csl-citation.json"} </w:instrText>
      </w:r>
      <w:r>
        <w:rPr>
          <w:lang w:val="de-AT"/>
        </w:rPr>
        <w:fldChar w:fldCharType="separate"/>
      </w:r>
      <w:r w:rsidRPr="006D5BDE">
        <w:rPr>
          <w:rFonts w:ascii="Calibri" w:cs="Calibri"/>
          <w:lang w:val="de-AT"/>
        </w:rPr>
        <w:t xml:space="preserve">Matthias Freudenberg, </w:t>
      </w:r>
      <w:r w:rsidRPr="006D5BDE">
        <w:rPr>
          <w:rFonts w:ascii="Calibri" w:cs="Calibri"/>
          <w:i/>
          <w:iCs/>
          <w:lang w:val="de-AT"/>
        </w:rPr>
        <w:t>Karl Barth Und Die Reformierte Theologie: Die Auseinandersetzung Mit Calvin, Zwingli, Und Den Reformierten Bekenntnisschriften Während Seiner Göttinger Lehrtätigkeit</w:t>
      </w:r>
      <w:r w:rsidRPr="006D5BDE">
        <w:rPr>
          <w:rFonts w:ascii="Calibri" w:cs="Calibri"/>
          <w:lang w:val="de-AT"/>
        </w:rPr>
        <w:t xml:space="preserve"> (Neukirchen-Vluyn: Neukirchener Verlag, 1997).</w:t>
      </w:r>
      <w:r>
        <w:rPr>
          <w:lang w:val="de-AT"/>
        </w:rPr>
        <w:fldChar w:fldCharType="end"/>
      </w:r>
    </w:p>
  </w:footnote>
  <w:footnote w:id="23">
    <w:p w14:paraId="5C3AF59D" w14:textId="5C7D79E3" w:rsidR="0074219B" w:rsidRPr="008813FB" w:rsidRDefault="0074219B">
      <w:pPr>
        <w:pStyle w:val="FootnoteText"/>
      </w:pPr>
      <w:r>
        <w:rPr>
          <w:rStyle w:val="FootnoteReference"/>
        </w:rPr>
        <w:footnoteRef/>
      </w:r>
      <w:r w:rsidRPr="00BB2683">
        <w:rPr>
          <w:lang w:val="en-US"/>
        </w:rPr>
        <w:t xml:space="preserve"> </w:t>
      </w:r>
      <w:r w:rsidR="00C855D6">
        <w:rPr>
          <w:lang w:val="de-AT"/>
        </w:rPr>
        <w:fldChar w:fldCharType="begin"/>
      </w:r>
      <w:r w:rsidR="00AD4E37">
        <w:rPr>
          <w:lang w:val="en-US"/>
        </w:rPr>
        <w:instrText xml:space="preserve"> ADDIN ZOTERO_ITEM CSL_CITATION {"citationID":"AWgHAcdG","properties":{"formattedCitation":"Richard E. Burnett, {\\i{}Karl Barth\\uc0\\u8217{}s Theological Exegesis: The Hermeneutical Principals of the R\\uc0\\u246{}merbrief Period} (Mohr Siebeck, 2001), pp. 125\\uc0\\u8211{}28.","plainCitation":"Richard E. Burnett, Karl Barth’s Theological Exegesis: The Hermeneutical Principals of the Römerbrief Period (Mohr Siebeck, 2001), pp. 125–28.","noteIndex":23},"citationItems":[{"id":693,"uris":["http://zotero.org/users/1120467/items/VSHW7FNV"],"uri":["http://zotero.org/users/1120467/items/VSHW7FNV"],"itemData":{"id":693,"type":"book","title":"Karl Barth's Theological Exegesis: The Hermeneutical Principals of the Römerbrief Period","publisher":"Mohr Siebeck","number-of-pages":"340","source":"Google Books","abstract":"For many scholars of theology, Karl Barth's break with liberalism is the most important event that has occurred in theology in over 200 years. Richard Burnett shows that an important part of Barth's break was his attempt to overcome the hermeneutical tradition of Schleiermacher. This is reflected throughout Barth's Romerbrief period and especially in his attempt to engage in 'theological exegesis'.The hermeneutical tradition of Schleiermacher begins with Herder and extends through Dilthey, Troeltsch, Wobbermin, Wernle and Barth himself prior to 1915. It exercised great influence throughout the twentieth century and is characterized by its attempt to integrate broad aspects of interpretation, to establish universally valid rules of interpretation on the basis of a general anthropology, and its reliance upon empathy ('Einfuhlung').Barth's discovery that the being of God is the hermeneutical problem (Jungel) implied that the object to be known should determine the way taken in knowing. This caused the rise of a hermeneutical revolution which gave priority to content over method, to actual exegesis over hermeneutical theory. Barth did have hermeneutical principles which he thought might apply generally, however. These are apparent in his Romerbrief period and specifically in his attempt to approach the Bible more according to its subject matter, content, and substance, entering with more attention and love into the meaning of the Bible itself.Richard Burnett focuses on these principles, which have never been discussed at length, nor specifically in relationship to Schleiermacher, and presents a study which challenges both 'neo-orthodox' and 'post-modern' readings of Karl Barth.","ISBN":"978-3-16-147677-8","note":"Google-Books-ID: EwxOJdjJzC0C","title-short":"Karl Barth's Theological Exegesis","language":"en","author":[{"family":"Burnett","given":"Richard E."}],"issued":{"date-parts":[["2001"]]}},"locator":"125-128"}],"schema":"https://github.com/citation-style-language/schema/raw/master/csl-citation.json"} </w:instrText>
      </w:r>
      <w:r w:rsidR="00C855D6">
        <w:rPr>
          <w:lang w:val="de-AT"/>
        </w:rPr>
        <w:fldChar w:fldCharType="separate"/>
      </w:r>
      <w:r w:rsidR="00C855D6" w:rsidRPr="00C855D6">
        <w:rPr>
          <w:rFonts w:ascii="Calibri" w:cs="Calibri"/>
        </w:rPr>
        <w:t xml:space="preserve">Richard E. Burnett, </w:t>
      </w:r>
      <w:r w:rsidR="00C855D6" w:rsidRPr="00C855D6">
        <w:rPr>
          <w:rFonts w:ascii="Calibri" w:cs="Calibri"/>
          <w:i/>
          <w:iCs/>
        </w:rPr>
        <w:t>Karl Barth’s Theological Exegesis: The Hermeneutical Principals of the Römerbrief Period</w:t>
      </w:r>
      <w:r w:rsidR="00C855D6" w:rsidRPr="00C855D6">
        <w:rPr>
          <w:rFonts w:ascii="Calibri" w:cs="Calibri"/>
        </w:rPr>
        <w:t xml:space="preserve"> (Mohr Siebeck, 2001), pp. 125–28.</w:t>
      </w:r>
      <w:r w:rsidR="00C855D6">
        <w:rPr>
          <w:lang w:val="de-AT"/>
        </w:rPr>
        <w:fldChar w:fldCharType="end"/>
      </w:r>
      <w:r w:rsidR="00C855D6" w:rsidRPr="00BB2683">
        <w:rPr>
          <w:lang w:val="en-US"/>
        </w:rPr>
        <w:t xml:space="preserve"> </w:t>
      </w:r>
      <w:proofErr w:type="spellStart"/>
      <w:r w:rsidRPr="00BB2683">
        <w:rPr>
          <w:lang w:val="en-US"/>
        </w:rPr>
        <w:t>Mützlitz</w:t>
      </w:r>
      <w:proofErr w:type="spellEnd"/>
      <w:r w:rsidRPr="00BB2683">
        <w:rPr>
          <w:lang w:val="en-US"/>
        </w:rPr>
        <w:t xml:space="preserve"> has an extended discussion of Paul as ‘</w:t>
      </w:r>
      <w:proofErr w:type="spellStart"/>
      <w:r w:rsidRPr="00BB2683">
        <w:rPr>
          <w:lang w:val="en-US"/>
        </w:rPr>
        <w:t>Zeuge</w:t>
      </w:r>
      <w:proofErr w:type="spellEnd"/>
      <w:r w:rsidRPr="00BB2683">
        <w:rPr>
          <w:lang w:val="en-US"/>
        </w:rPr>
        <w:t xml:space="preserve">’: </w:t>
      </w:r>
      <w:r>
        <w:fldChar w:fldCharType="begin"/>
      </w:r>
      <w:r w:rsidR="00AD4E37">
        <w:rPr>
          <w:lang w:val="en-US"/>
        </w:rPr>
        <w:instrText xml:space="preserve"> ADDIN ZOTERO_ITEM CSL_CITATION {"citationID":"R4fM3Bo7","properties":{"formattedCitation":"M\\uc0\\u252{}tzlitz.","plainCitation":"Mützlitz.","noteIndex":23},"citationItems":[{"id":686,"uris":["http://zotero.org/users/1120467/items/MY8BGH5K"],"uri":["http://zotero.org/users/1120467/items/MY8BGH5K"],"itemData":{"id":686,"type":"book","title":"Gottes Wort als Wirklichkeit: die Paulus-Rezeption des jungen Karl Barth (1906-1927)","publisher":"Neukirchener Verlagsgesellschaft","number-of-pages":"309","source":"Google Books","abstract":"Dieses Buch leistet einen wesentlichen Beitrag zur aktuellen Barth-Forschung. Indem die Autorin aufzeigt, wie Barth seine systematische Theologie durch das beständige Studium der paulinischen Schriften gewinnt und korrigiert, führt sie das Entstehen einer Systematischen Theologie vor, die sich konsequent als Biblische Theologie versteht, die ihre eigenen Erkenntnisse kontinuierlich dem Urteil des Wortes Gottes durch die Bereitschaft, sich von den biblischen Überlieferungen korrigieren zu lassen, ausliefert.","ISBN":"978-3-7887-2661-4","note":"Google-Books-ID: KGrukQEACAAJ","title-short":"Gottes Wort als Wirklichkeit","language":"de","author":[{"family":"Mützlitz","given":"Nina-Dorothee"}],"issued":{"date-parts":[["2013"]]}}}],"schema":"https://github.com/citation-style-language/schema/raw/master/csl-citation.json"} </w:instrText>
      </w:r>
      <w:r>
        <w:fldChar w:fldCharType="separate"/>
      </w:r>
      <w:proofErr w:type="spellStart"/>
      <w:r w:rsidR="00970952" w:rsidRPr="00970952">
        <w:rPr>
          <w:rFonts w:ascii="Calibri" w:cs="Calibri"/>
        </w:rPr>
        <w:t>Mützlitz</w:t>
      </w:r>
      <w:proofErr w:type="spellEnd"/>
      <w:r w:rsidR="00970952" w:rsidRPr="00970952">
        <w:rPr>
          <w:rFonts w:ascii="Calibri" w:cs="Calibri"/>
        </w:rPr>
        <w:t>.</w:t>
      </w:r>
      <w:r>
        <w:fldChar w:fldCharType="end"/>
      </w:r>
      <w:r w:rsidRPr="00970952">
        <w:rPr>
          <w:lang w:val="en-U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8C4316"/>
    <w:multiLevelType w:val="hybridMultilevel"/>
    <w:tmpl w:val="EB9C6176"/>
    <w:lvl w:ilvl="0" w:tplc="08090001">
      <w:start w:val="1"/>
      <w:numFmt w:val="bullet"/>
      <w:lvlText w:val=""/>
      <w:lvlJc w:val="left"/>
      <w:pPr>
        <w:ind w:left="779" w:hanging="360"/>
      </w:pPr>
      <w:rPr>
        <w:rFonts w:ascii="Symbol" w:hAnsi="Symbol" w:hint="default"/>
      </w:rPr>
    </w:lvl>
    <w:lvl w:ilvl="1" w:tplc="08090003" w:tentative="1">
      <w:start w:val="1"/>
      <w:numFmt w:val="bullet"/>
      <w:lvlText w:val="o"/>
      <w:lvlJc w:val="left"/>
      <w:pPr>
        <w:ind w:left="1499" w:hanging="360"/>
      </w:pPr>
      <w:rPr>
        <w:rFonts w:ascii="Courier New" w:hAnsi="Courier New" w:cs="Courier New" w:hint="default"/>
      </w:rPr>
    </w:lvl>
    <w:lvl w:ilvl="2" w:tplc="08090005" w:tentative="1">
      <w:start w:val="1"/>
      <w:numFmt w:val="bullet"/>
      <w:lvlText w:val=""/>
      <w:lvlJc w:val="left"/>
      <w:pPr>
        <w:ind w:left="2219" w:hanging="360"/>
      </w:pPr>
      <w:rPr>
        <w:rFonts w:ascii="Wingdings" w:hAnsi="Wingdings" w:hint="default"/>
      </w:rPr>
    </w:lvl>
    <w:lvl w:ilvl="3" w:tplc="08090001" w:tentative="1">
      <w:start w:val="1"/>
      <w:numFmt w:val="bullet"/>
      <w:lvlText w:val=""/>
      <w:lvlJc w:val="left"/>
      <w:pPr>
        <w:ind w:left="2939" w:hanging="360"/>
      </w:pPr>
      <w:rPr>
        <w:rFonts w:ascii="Symbol" w:hAnsi="Symbol" w:hint="default"/>
      </w:rPr>
    </w:lvl>
    <w:lvl w:ilvl="4" w:tplc="08090003" w:tentative="1">
      <w:start w:val="1"/>
      <w:numFmt w:val="bullet"/>
      <w:lvlText w:val="o"/>
      <w:lvlJc w:val="left"/>
      <w:pPr>
        <w:ind w:left="3659" w:hanging="360"/>
      </w:pPr>
      <w:rPr>
        <w:rFonts w:ascii="Courier New" w:hAnsi="Courier New" w:cs="Courier New" w:hint="default"/>
      </w:rPr>
    </w:lvl>
    <w:lvl w:ilvl="5" w:tplc="08090005" w:tentative="1">
      <w:start w:val="1"/>
      <w:numFmt w:val="bullet"/>
      <w:lvlText w:val=""/>
      <w:lvlJc w:val="left"/>
      <w:pPr>
        <w:ind w:left="4379" w:hanging="360"/>
      </w:pPr>
      <w:rPr>
        <w:rFonts w:ascii="Wingdings" w:hAnsi="Wingdings" w:hint="default"/>
      </w:rPr>
    </w:lvl>
    <w:lvl w:ilvl="6" w:tplc="08090001" w:tentative="1">
      <w:start w:val="1"/>
      <w:numFmt w:val="bullet"/>
      <w:lvlText w:val=""/>
      <w:lvlJc w:val="left"/>
      <w:pPr>
        <w:ind w:left="5099" w:hanging="360"/>
      </w:pPr>
      <w:rPr>
        <w:rFonts w:ascii="Symbol" w:hAnsi="Symbol" w:hint="default"/>
      </w:rPr>
    </w:lvl>
    <w:lvl w:ilvl="7" w:tplc="08090003" w:tentative="1">
      <w:start w:val="1"/>
      <w:numFmt w:val="bullet"/>
      <w:lvlText w:val="o"/>
      <w:lvlJc w:val="left"/>
      <w:pPr>
        <w:ind w:left="5819" w:hanging="360"/>
      </w:pPr>
      <w:rPr>
        <w:rFonts w:ascii="Courier New" w:hAnsi="Courier New" w:cs="Courier New" w:hint="default"/>
      </w:rPr>
    </w:lvl>
    <w:lvl w:ilvl="8" w:tplc="08090005" w:tentative="1">
      <w:start w:val="1"/>
      <w:numFmt w:val="bullet"/>
      <w:lvlText w:val=""/>
      <w:lvlJc w:val="left"/>
      <w:pPr>
        <w:ind w:left="653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D9E"/>
    <w:rsid w:val="00014D30"/>
    <w:rsid w:val="00091862"/>
    <w:rsid w:val="000A6A6C"/>
    <w:rsid w:val="000B70CC"/>
    <w:rsid w:val="000D242B"/>
    <w:rsid w:val="000D74F1"/>
    <w:rsid w:val="000F1A83"/>
    <w:rsid w:val="000F76D2"/>
    <w:rsid w:val="001B0851"/>
    <w:rsid w:val="00233F63"/>
    <w:rsid w:val="00262D9E"/>
    <w:rsid w:val="00271C1D"/>
    <w:rsid w:val="002C6492"/>
    <w:rsid w:val="00303356"/>
    <w:rsid w:val="00352EF4"/>
    <w:rsid w:val="003908B7"/>
    <w:rsid w:val="003E0EEF"/>
    <w:rsid w:val="003E1B1E"/>
    <w:rsid w:val="00414EBD"/>
    <w:rsid w:val="004222E1"/>
    <w:rsid w:val="00422670"/>
    <w:rsid w:val="00434881"/>
    <w:rsid w:val="00437B99"/>
    <w:rsid w:val="0044590F"/>
    <w:rsid w:val="0050604A"/>
    <w:rsid w:val="00585A7D"/>
    <w:rsid w:val="005C6366"/>
    <w:rsid w:val="005F37B2"/>
    <w:rsid w:val="00617D2B"/>
    <w:rsid w:val="00654B6C"/>
    <w:rsid w:val="00656E7C"/>
    <w:rsid w:val="00665F94"/>
    <w:rsid w:val="00684573"/>
    <w:rsid w:val="00694AB1"/>
    <w:rsid w:val="00694F19"/>
    <w:rsid w:val="006D2A89"/>
    <w:rsid w:val="006D5BDE"/>
    <w:rsid w:val="006E0389"/>
    <w:rsid w:val="00721F49"/>
    <w:rsid w:val="00730577"/>
    <w:rsid w:val="0074219B"/>
    <w:rsid w:val="00752DEC"/>
    <w:rsid w:val="00756574"/>
    <w:rsid w:val="007D6F77"/>
    <w:rsid w:val="00826031"/>
    <w:rsid w:val="0084486F"/>
    <w:rsid w:val="00876024"/>
    <w:rsid w:val="008813FB"/>
    <w:rsid w:val="00912218"/>
    <w:rsid w:val="00926686"/>
    <w:rsid w:val="009272F0"/>
    <w:rsid w:val="00970952"/>
    <w:rsid w:val="00970D59"/>
    <w:rsid w:val="00971A39"/>
    <w:rsid w:val="00991DE3"/>
    <w:rsid w:val="00A51456"/>
    <w:rsid w:val="00A9159D"/>
    <w:rsid w:val="00AB0966"/>
    <w:rsid w:val="00AD454D"/>
    <w:rsid w:val="00AD4E37"/>
    <w:rsid w:val="00AD5D68"/>
    <w:rsid w:val="00B10B99"/>
    <w:rsid w:val="00B34DF7"/>
    <w:rsid w:val="00B5690D"/>
    <w:rsid w:val="00B826E1"/>
    <w:rsid w:val="00B83CEF"/>
    <w:rsid w:val="00BA75E9"/>
    <w:rsid w:val="00BA7BE5"/>
    <w:rsid w:val="00BB2683"/>
    <w:rsid w:val="00BC3168"/>
    <w:rsid w:val="00BC44AA"/>
    <w:rsid w:val="00C05EAD"/>
    <w:rsid w:val="00C2120D"/>
    <w:rsid w:val="00C42E0A"/>
    <w:rsid w:val="00C433B5"/>
    <w:rsid w:val="00C54256"/>
    <w:rsid w:val="00C855D6"/>
    <w:rsid w:val="00CC1AD7"/>
    <w:rsid w:val="00CC5C55"/>
    <w:rsid w:val="00D15954"/>
    <w:rsid w:val="00D50D97"/>
    <w:rsid w:val="00D94F2B"/>
    <w:rsid w:val="00DA7AAD"/>
    <w:rsid w:val="00DC57B8"/>
    <w:rsid w:val="00E016E8"/>
    <w:rsid w:val="00E355EB"/>
    <w:rsid w:val="00E60F7E"/>
    <w:rsid w:val="00E8796A"/>
    <w:rsid w:val="00F000C6"/>
    <w:rsid w:val="00F07A3D"/>
    <w:rsid w:val="00F20946"/>
    <w:rsid w:val="00F27DBB"/>
    <w:rsid w:val="00F84FB9"/>
    <w:rsid w:val="00F8641B"/>
    <w:rsid w:val="00FA48AD"/>
    <w:rsid w:val="00FF6C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712A491"/>
  <w15:chartTrackingRefBased/>
  <w15:docId w15:val="{DDBFAFD1-E233-D344-BC42-81E6AFF78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2C649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C6492"/>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6492"/>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2C6492"/>
    <w:rPr>
      <w:rFonts w:asciiTheme="majorHAnsi" w:eastAsiaTheme="majorEastAsia" w:hAnsiTheme="majorHAnsi" w:cstheme="majorBidi"/>
      <w:color w:val="2F5496" w:themeColor="accent1" w:themeShade="BF"/>
      <w:sz w:val="26"/>
      <w:szCs w:val="26"/>
      <w:lang w:val="en-GB"/>
    </w:rPr>
  </w:style>
  <w:style w:type="paragraph" w:styleId="FootnoteText">
    <w:name w:val="footnote text"/>
    <w:basedOn w:val="Normal"/>
    <w:link w:val="FootnoteTextChar"/>
    <w:uiPriority w:val="99"/>
    <w:semiHidden/>
    <w:unhideWhenUsed/>
    <w:rsid w:val="000D74F1"/>
    <w:rPr>
      <w:sz w:val="20"/>
      <w:szCs w:val="20"/>
    </w:rPr>
  </w:style>
  <w:style w:type="character" w:customStyle="1" w:styleId="FootnoteTextChar">
    <w:name w:val="Footnote Text Char"/>
    <w:basedOn w:val="DefaultParagraphFont"/>
    <w:link w:val="FootnoteText"/>
    <w:uiPriority w:val="99"/>
    <w:semiHidden/>
    <w:rsid w:val="000D74F1"/>
    <w:rPr>
      <w:sz w:val="20"/>
      <w:szCs w:val="20"/>
      <w:lang w:val="en-GB"/>
    </w:rPr>
  </w:style>
  <w:style w:type="character" w:styleId="FootnoteReference">
    <w:name w:val="footnote reference"/>
    <w:basedOn w:val="DefaultParagraphFont"/>
    <w:uiPriority w:val="99"/>
    <w:semiHidden/>
    <w:unhideWhenUsed/>
    <w:rsid w:val="000D74F1"/>
    <w:rPr>
      <w:vertAlign w:val="superscript"/>
    </w:rPr>
  </w:style>
  <w:style w:type="paragraph" w:styleId="ListParagraph">
    <w:name w:val="List Paragraph"/>
    <w:basedOn w:val="Normal"/>
    <w:uiPriority w:val="34"/>
    <w:qFormat/>
    <w:rsid w:val="000F76D2"/>
    <w:pPr>
      <w:ind w:left="720"/>
      <w:contextualSpacing/>
    </w:pPr>
  </w:style>
  <w:style w:type="paragraph" w:styleId="Bibliography">
    <w:name w:val="Bibliography"/>
    <w:basedOn w:val="Normal"/>
    <w:next w:val="Normal"/>
    <w:uiPriority w:val="37"/>
    <w:unhideWhenUsed/>
    <w:rsid w:val="00752DEC"/>
    <w:pPr>
      <w:spacing w:after="240"/>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8582551">
      <w:bodyDiv w:val="1"/>
      <w:marLeft w:val="0"/>
      <w:marRight w:val="0"/>
      <w:marTop w:val="0"/>
      <w:marBottom w:val="0"/>
      <w:divBdr>
        <w:top w:val="none" w:sz="0" w:space="0" w:color="auto"/>
        <w:left w:val="none" w:sz="0" w:space="0" w:color="auto"/>
        <w:bottom w:val="none" w:sz="0" w:space="0" w:color="auto"/>
        <w:right w:val="none" w:sz="0" w:space="0" w:color="auto"/>
      </w:divBdr>
      <w:divsChild>
        <w:div w:id="1780876948">
          <w:marLeft w:val="0"/>
          <w:marRight w:val="0"/>
          <w:marTop w:val="0"/>
          <w:marBottom w:val="0"/>
          <w:divBdr>
            <w:top w:val="none" w:sz="0" w:space="0" w:color="auto"/>
            <w:left w:val="none" w:sz="0" w:space="0" w:color="auto"/>
            <w:bottom w:val="none" w:sz="0" w:space="0" w:color="auto"/>
            <w:right w:val="none" w:sz="0" w:space="0" w:color="auto"/>
          </w:divBdr>
        </w:div>
      </w:divsChild>
    </w:div>
    <w:div w:id="1759595342">
      <w:bodyDiv w:val="1"/>
      <w:marLeft w:val="0"/>
      <w:marRight w:val="0"/>
      <w:marTop w:val="0"/>
      <w:marBottom w:val="0"/>
      <w:divBdr>
        <w:top w:val="none" w:sz="0" w:space="0" w:color="auto"/>
        <w:left w:val="none" w:sz="0" w:space="0" w:color="auto"/>
        <w:bottom w:val="none" w:sz="0" w:space="0" w:color="auto"/>
        <w:right w:val="none" w:sz="0" w:space="0" w:color="auto"/>
      </w:divBdr>
      <w:divsChild>
        <w:div w:id="17033612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EF152A-0C36-934B-AC68-684459AF4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3</Pages>
  <Words>647</Words>
  <Characters>3692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Bunce</dc:creator>
  <cp:keywords/>
  <dc:description/>
  <cp:lastModifiedBy>David Bunce</cp:lastModifiedBy>
  <cp:revision>79</cp:revision>
  <cp:lastPrinted>2019-10-27T10:38:00Z</cp:lastPrinted>
  <dcterms:created xsi:type="dcterms:W3CDTF">2019-10-27T09:25:00Z</dcterms:created>
  <dcterms:modified xsi:type="dcterms:W3CDTF">2019-10-29T09:56:00Z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zotero-version="5.0.76"&gt;&lt;session id="u950pz8h"/&gt;&lt;style id="http://www.zotero.org/styles/modern-humanities-research-association" hasBibliography="1" bibliographyStyleHasBeenSet="1"/&gt;&lt;prefs&gt;&lt;pref name="noteType" value="1"/&gt;&lt;pref name=</vt:lpwstr>
  </property>
  <property fmtid="{D5CDD505-2E9C-101B-9397-08002B2CF9AE}" pid="3" name="ZOTERO_PREF_2">
    <vt:lpwstr>"fieldType" value="Field"/&gt;&lt;/prefs&gt;&lt;/data&gt;</vt:lpwstr>
  </property>
</Properties>
</file>