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B64A443" w14:paraId="287AFACE" wp14:textId="3FF57252">
      <w:pPr>
        <w:pStyle w:val="Normal"/>
        <w:spacing w:after="160" w:line="360" w:lineRule="auto"/>
        <w:rPr>
          <w:rFonts w:ascii="Arial" w:hAnsi="Arial" w:eastAsia="Arial" w:cs="Arial"/>
          <w:b w:val="0"/>
          <w:bCs w:val="0"/>
          <w:i w:val="0"/>
          <w:iCs w:val="0"/>
          <w:noProof w:val="0"/>
          <w:color w:val="000000" w:themeColor="text1" w:themeTint="FF" w:themeShade="FF"/>
          <w:sz w:val="32"/>
          <w:szCs w:val="32"/>
          <w:lang w:val="en-US"/>
        </w:rPr>
      </w:pPr>
      <w:bookmarkStart w:name="_GoBack" w:id="0"/>
      <w:bookmarkEnd w:id="0"/>
      <w:r w:rsidRPr="4B64A443" w:rsidR="4B64A443">
        <w:rPr>
          <w:rFonts w:ascii="Arial" w:hAnsi="Arial" w:eastAsia="Arial" w:cs="Arial"/>
          <w:b w:val="0"/>
          <w:bCs w:val="0"/>
          <w:i w:val="0"/>
          <w:iCs w:val="0"/>
          <w:noProof w:val="0"/>
          <w:color w:val="000000" w:themeColor="text1" w:themeTint="FF" w:themeShade="FF"/>
          <w:sz w:val="32"/>
          <w:szCs w:val="32"/>
          <w:lang w:val="en-US"/>
        </w:rPr>
        <w:t xml:space="preserve">                                 </w:t>
      </w:r>
    </w:p>
    <w:p xmlns:wp14="http://schemas.microsoft.com/office/word/2010/wordml" w:rsidP="4B64A443" w14:paraId="4FF1880E" wp14:textId="09B110D7">
      <w:pPr>
        <w:pStyle w:val="Normal"/>
        <w:spacing w:after="160" w:line="360" w:lineRule="auto"/>
        <w:rPr>
          <w:rFonts w:ascii="Arial" w:hAnsi="Arial" w:eastAsia="Arial" w:cs="Arial"/>
          <w:b w:val="0"/>
          <w:bCs w:val="0"/>
          <w:i w:val="0"/>
          <w:iCs w:val="0"/>
          <w:noProof w:val="0"/>
          <w:color w:val="000000" w:themeColor="text1" w:themeTint="FF" w:themeShade="FF"/>
          <w:sz w:val="32"/>
          <w:szCs w:val="32"/>
          <w:lang w:val="en-US"/>
        </w:rPr>
      </w:pPr>
    </w:p>
    <w:p xmlns:wp14="http://schemas.microsoft.com/office/word/2010/wordml" w:rsidP="4B64A443" w14:paraId="08C54D91" wp14:textId="22EF9C97">
      <w:pPr>
        <w:pStyle w:val="Normal"/>
        <w:spacing w:after="160" w:line="360" w:lineRule="auto"/>
        <w:rPr>
          <w:rFonts w:ascii="Arial" w:hAnsi="Arial" w:eastAsia="Arial" w:cs="Arial"/>
          <w:b w:val="0"/>
          <w:bCs w:val="0"/>
          <w:i w:val="0"/>
          <w:iCs w:val="0"/>
          <w:noProof w:val="0"/>
          <w:color w:val="000000" w:themeColor="text1" w:themeTint="FF" w:themeShade="FF"/>
          <w:sz w:val="32"/>
          <w:szCs w:val="32"/>
          <w:lang w:val="en-US"/>
        </w:rPr>
      </w:pPr>
      <w:r w:rsidRPr="4B64A443" w:rsidR="4B64A443">
        <w:rPr>
          <w:rFonts w:ascii="Arial" w:hAnsi="Arial" w:eastAsia="Arial" w:cs="Arial"/>
          <w:b w:val="0"/>
          <w:bCs w:val="0"/>
          <w:i w:val="0"/>
          <w:iCs w:val="0"/>
          <w:noProof w:val="0"/>
          <w:color w:val="000000" w:themeColor="text1" w:themeTint="FF" w:themeShade="FF"/>
          <w:sz w:val="32"/>
          <w:szCs w:val="32"/>
          <w:lang w:val="en-US"/>
        </w:rPr>
        <w:t xml:space="preserve">                                      </w:t>
      </w:r>
    </w:p>
    <w:p xmlns:wp14="http://schemas.microsoft.com/office/word/2010/wordml" w:rsidP="4B64A443" w14:paraId="3806ADF3" wp14:textId="279AB001">
      <w:pPr>
        <w:pStyle w:val="Normal"/>
        <w:spacing w:after="160" w:line="360" w:lineRule="auto"/>
        <w:rPr>
          <w:rFonts w:ascii="Arial" w:hAnsi="Arial" w:eastAsia="Arial" w:cs="Arial"/>
          <w:b w:val="0"/>
          <w:bCs w:val="0"/>
          <w:i w:val="0"/>
          <w:iCs w:val="0"/>
          <w:noProof w:val="0"/>
          <w:color w:val="000000" w:themeColor="text1" w:themeTint="FF" w:themeShade="FF"/>
          <w:sz w:val="32"/>
          <w:szCs w:val="32"/>
          <w:lang w:val="en-US"/>
        </w:rPr>
      </w:pPr>
    </w:p>
    <w:p xmlns:wp14="http://schemas.microsoft.com/office/word/2010/wordml" w:rsidP="4B64A443" w14:paraId="0976D57B" wp14:textId="0D76074F">
      <w:pPr>
        <w:pStyle w:val="Normal"/>
        <w:spacing w:after="160" w:line="360" w:lineRule="auto"/>
        <w:rPr>
          <w:rFonts w:ascii="Arial" w:hAnsi="Arial" w:eastAsia="Arial" w:cs="Arial"/>
          <w:b w:val="0"/>
          <w:bCs w:val="0"/>
          <w:i w:val="0"/>
          <w:iCs w:val="0"/>
          <w:noProof w:val="0"/>
          <w:color w:val="000000" w:themeColor="text1" w:themeTint="FF" w:themeShade="FF"/>
          <w:sz w:val="32"/>
          <w:szCs w:val="32"/>
          <w:lang w:val="en-US"/>
        </w:rPr>
      </w:pPr>
    </w:p>
    <w:p xmlns:wp14="http://schemas.microsoft.com/office/word/2010/wordml" w:rsidP="4B64A443" w14:paraId="6644EE2B" wp14:textId="5698306C">
      <w:pPr>
        <w:pStyle w:val="Normal"/>
        <w:spacing w:after="160" w:line="360" w:lineRule="auto"/>
        <w:rPr>
          <w:rFonts w:ascii="Arial" w:hAnsi="Arial" w:eastAsia="Arial" w:cs="Arial"/>
          <w:b w:val="0"/>
          <w:bCs w:val="0"/>
          <w:i w:val="0"/>
          <w:iCs w:val="0"/>
          <w:noProof w:val="0"/>
          <w:color w:val="000000" w:themeColor="text1" w:themeTint="FF" w:themeShade="FF"/>
          <w:sz w:val="32"/>
          <w:szCs w:val="32"/>
          <w:lang w:val="en-US"/>
        </w:rPr>
      </w:pPr>
      <w:r w:rsidRPr="4B64A443" w:rsidR="4B64A443">
        <w:rPr>
          <w:rFonts w:ascii="Arial" w:hAnsi="Arial" w:eastAsia="Arial" w:cs="Arial"/>
          <w:b w:val="0"/>
          <w:bCs w:val="0"/>
          <w:i w:val="0"/>
          <w:iCs w:val="0"/>
          <w:noProof w:val="0"/>
          <w:color w:val="000000" w:themeColor="text1" w:themeTint="FF" w:themeShade="FF"/>
          <w:sz w:val="32"/>
          <w:szCs w:val="32"/>
          <w:lang w:val="en-US"/>
        </w:rPr>
        <w:t xml:space="preserve">                                      Serghei Vicev</w:t>
      </w:r>
    </w:p>
    <w:p xmlns:wp14="http://schemas.microsoft.com/office/word/2010/wordml" w:rsidP="4B64A443" w14:paraId="6C794425" wp14:textId="6A14F1A3">
      <w:pPr>
        <w:pStyle w:val="Normal"/>
        <w:spacing w:after="160" w:line="360" w:lineRule="auto"/>
        <w:rPr>
          <w:rFonts w:ascii="Arial" w:hAnsi="Arial" w:eastAsia="Arial" w:cs="Arial"/>
          <w:b w:val="0"/>
          <w:bCs w:val="0"/>
          <w:i w:val="0"/>
          <w:iCs w:val="0"/>
          <w:noProof w:val="0"/>
          <w:color w:val="000000" w:themeColor="text1" w:themeTint="FF" w:themeShade="FF"/>
          <w:sz w:val="32"/>
          <w:szCs w:val="32"/>
          <w:lang w:val="en-GB"/>
        </w:rPr>
      </w:pPr>
      <w:r w:rsidRPr="4B64A443" w:rsidR="4B64A443">
        <w:rPr>
          <w:rFonts w:ascii="Arial" w:hAnsi="Arial" w:eastAsia="Arial" w:cs="Arial"/>
          <w:b w:val="0"/>
          <w:bCs w:val="0"/>
          <w:i w:val="0"/>
          <w:iCs w:val="0"/>
          <w:noProof w:val="0"/>
          <w:color w:val="000000" w:themeColor="text1" w:themeTint="FF" w:themeShade="FF"/>
          <w:sz w:val="32"/>
          <w:szCs w:val="32"/>
          <w:lang w:val="en-US"/>
        </w:rPr>
        <w:t xml:space="preserve">                             Student Number (1914048) </w:t>
      </w:r>
    </w:p>
    <w:p xmlns:wp14="http://schemas.microsoft.com/office/word/2010/wordml" w:rsidP="4B64A443" w14:paraId="616ECBFC" wp14:textId="75ED434A">
      <w:pPr>
        <w:spacing w:after="160" w:line="360" w:lineRule="auto"/>
        <w:jc w:val="center"/>
        <w:rPr>
          <w:rFonts w:ascii="Arial" w:hAnsi="Arial" w:eastAsia="Arial" w:cs="Arial"/>
          <w:b w:val="0"/>
          <w:bCs w:val="0"/>
          <w:i w:val="0"/>
          <w:iCs w:val="0"/>
          <w:noProof w:val="0"/>
          <w:color w:val="000000" w:themeColor="text1" w:themeTint="FF" w:themeShade="FF"/>
          <w:sz w:val="32"/>
          <w:szCs w:val="32"/>
          <w:lang w:val="en-GB"/>
        </w:rPr>
      </w:pPr>
      <w:r w:rsidRPr="4B64A443" w:rsidR="4B64A443">
        <w:rPr>
          <w:rFonts w:ascii="Arial" w:hAnsi="Arial" w:eastAsia="Arial" w:cs="Arial"/>
          <w:b w:val="0"/>
          <w:bCs w:val="0"/>
          <w:i w:val="0"/>
          <w:iCs w:val="0"/>
          <w:noProof w:val="0"/>
          <w:color w:val="000000" w:themeColor="text1" w:themeTint="FF" w:themeShade="FF"/>
          <w:sz w:val="32"/>
          <w:szCs w:val="32"/>
          <w:lang w:val="en-US"/>
        </w:rPr>
        <w:t xml:space="preserve"> Assignment 2  </w:t>
      </w:r>
    </w:p>
    <w:p xmlns:wp14="http://schemas.microsoft.com/office/word/2010/wordml" w:rsidP="4B64A443" w14:paraId="6D911BDB" wp14:textId="737357B3">
      <w:pPr>
        <w:pStyle w:val="Normal"/>
        <w:rPr>
          <w:rFonts w:ascii="Arial" w:hAnsi="Arial" w:eastAsia="Arial" w:cs="Arial"/>
          <w:b w:val="0"/>
          <w:bCs w:val="0"/>
          <w:i w:val="0"/>
          <w:iCs w:val="0"/>
          <w:noProof w:val="0"/>
          <w:color w:val="000000" w:themeColor="text1" w:themeTint="FF" w:themeShade="FF"/>
          <w:sz w:val="32"/>
          <w:szCs w:val="32"/>
          <w:lang w:val="en-GB"/>
        </w:rPr>
      </w:pPr>
      <w:r w:rsidRPr="4B64A443" w:rsidR="4B64A443">
        <w:rPr>
          <w:noProof w:val="0"/>
          <w:lang w:val="en-US"/>
        </w:rPr>
        <w:t xml:space="preserve">                  </w:t>
      </w:r>
      <w:r w:rsidRPr="4B64A443" w:rsidR="4B64A443">
        <w:rPr>
          <w:noProof w:val="0"/>
          <w:lang w:val="en-US"/>
        </w:rPr>
        <w:t xml:space="preserve">      </w:t>
      </w:r>
      <w:r w:rsidRPr="4B64A443" w:rsidR="4B64A443">
        <w:rPr>
          <w:rStyle w:val="Strong"/>
          <w:b w:val="0"/>
          <w:bCs w:val="0"/>
          <w:noProof w:val="0"/>
          <w:sz w:val="32"/>
          <w:szCs w:val="32"/>
          <w:lang w:val="en-US"/>
        </w:rPr>
        <w:t>Topic: REFLECTION ON PERSONAL EXPERIENCE</w:t>
      </w:r>
      <w:r w:rsidRPr="4B64A443" w:rsidR="4B64A443">
        <w:rPr>
          <w:noProof w:val="0"/>
          <w:lang w:val="en-US"/>
        </w:rPr>
        <w:t xml:space="preserve"> </w:t>
      </w:r>
    </w:p>
    <w:p xmlns:wp14="http://schemas.microsoft.com/office/word/2010/wordml" w:rsidP="4B64A443" w14:paraId="3E78A0CB" wp14:textId="06964C61">
      <w:pPr>
        <w:spacing w:after="160" w:line="360" w:lineRule="auto"/>
        <w:jc w:val="center"/>
        <w:rPr>
          <w:rFonts w:ascii="Arial" w:hAnsi="Arial" w:eastAsia="Arial" w:cs="Arial"/>
          <w:b w:val="0"/>
          <w:bCs w:val="0"/>
          <w:i w:val="0"/>
          <w:iCs w:val="0"/>
          <w:noProof w:val="0"/>
          <w:color w:val="000000" w:themeColor="text1" w:themeTint="FF" w:themeShade="FF"/>
          <w:sz w:val="32"/>
          <w:szCs w:val="32"/>
          <w:lang w:val="en-GB"/>
        </w:rPr>
      </w:pPr>
      <w:r w:rsidRPr="4B64A443" w:rsidR="4B64A443">
        <w:rPr>
          <w:rFonts w:ascii="Arial" w:hAnsi="Arial" w:eastAsia="Arial" w:cs="Arial"/>
          <w:b w:val="0"/>
          <w:bCs w:val="0"/>
          <w:i w:val="0"/>
          <w:iCs w:val="0"/>
          <w:noProof w:val="0"/>
          <w:color w:val="000000" w:themeColor="text1" w:themeTint="FF" w:themeShade="FF"/>
          <w:sz w:val="32"/>
          <w:szCs w:val="32"/>
          <w:lang w:val="en-US"/>
        </w:rPr>
        <w:t>Moodle: Community Engagement</w:t>
      </w:r>
    </w:p>
    <w:p xmlns:wp14="http://schemas.microsoft.com/office/word/2010/wordml" w:rsidP="4B64A443" w14:paraId="7B4E1895" wp14:textId="78219F01">
      <w:pPr>
        <w:spacing w:after="160" w:line="360" w:lineRule="auto"/>
        <w:jc w:val="center"/>
        <w:rPr>
          <w:rFonts w:ascii="Arial" w:hAnsi="Arial" w:eastAsia="Arial" w:cs="Arial"/>
          <w:b w:val="0"/>
          <w:bCs w:val="0"/>
          <w:i w:val="0"/>
          <w:iCs w:val="0"/>
          <w:noProof w:val="0"/>
          <w:color w:val="000000" w:themeColor="text1" w:themeTint="FF" w:themeShade="FF"/>
          <w:sz w:val="32"/>
          <w:szCs w:val="32"/>
          <w:lang w:val="en-GB"/>
        </w:rPr>
      </w:pPr>
      <w:r w:rsidRPr="4B64A443" w:rsidR="4B64A443">
        <w:rPr>
          <w:rFonts w:ascii="Arial" w:hAnsi="Arial" w:eastAsia="Arial" w:cs="Arial"/>
          <w:b w:val="0"/>
          <w:bCs w:val="0"/>
          <w:i w:val="0"/>
          <w:iCs w:val="0"/>
          <w:noProof w:val="0"/>
          <w:color w:val="000000" w:themeColor="text1" w:themeTint="FF" w:themeShade="FF"/>
          <w:sz w:val="32"/>
          <w:szCs w:val="32"/>
          <w:lang w:val="en-US"/>
        </w:rPr>
        <w:t xml:space="preserve">   BABM  L4 T2G2</w:t>
      </w:r>
    </w:p>
    <w:p xmlns:wp14="http://schemas.microsoft.com/office/word/2010/wordml" w:rsidP="4B64A443" w14:paraId="275DF761" wp14:textId="0E398E86">
      <w:pPr>
        <w:spacing w:after="160" w:line="360" w:lineRule="auto"/>
        <w:jc w:val="center"/>
        <w:rPr>
          <w:rFonts w:ascii="Arial" w:hAnsi="Arial" w:eastAsia="Arial" w:cs="Arial"/>
          <w:b w:val="0"/>
          <w:bCs w:val="0"/>
          <w:i w:val="0"/>
          <w:iCs w:val="0"/>
          <w:noProof w:val="0"/>
          <w:color w:val="000000" w:themeColor="text1" w:themeTint="FF" w:themeShade="FF"/>
          <w:sz w:val="32"/>
          <w:szCs w:val="32"/>
          <w:lang w:val="en-GB"/>
        </w:rPr>
      </w:pPr>
      <w:r w:rsidRPr="4B64A443" w:rsidR="4B64A443">
        <w:rPr>
          <w:rFonts w:ascii="Arial" w:hAnsi="Arial" w:eastAsia="Arial" w:cs="Arial"/>
          <w:b w:val="0"/>
          <w:bCs w:val="0"/>
          <w:i w:val="0"/>
          <w:iCs w:val="0"/>
          <w:noProof w:val="0"/>
          <w:color w:val="000000" w:themeColor="text1" w:themeTint="FF" w:themeShade="FF"/>
          <w:sz w:val="32"/>
          <w:szCs w:val="32"/>
          <w:lang w:val="en-US"/>
        </w:rPr>
        <w:t xml:space="preserve">Lecturer: Ms. Tanja Nathan </w:t>
      </w:r>
    </w:p>
    <w:p xmlns:wp14="http://schemas.microsoft.com/office/word/2010/wordml" w:rsidP="4B64A443" w14:paraId="0BB07C9A" wp14:textId="6BA41299">
      <w:pPr>
        <w:spacing w:after="160" w:line="360" w:lineRule="auto"/>
        <w:jc w:val="center"/>
        <w:rPr>
          <w:rFonts w:ascii="Arial" w:hAnsi="Arial" w:eastAsia="Arial" w:cs="Arial"/>
          <w:b w:val="0"/>
          <w:bCs w:val="0"/>
          <w:i w:val="0"/>
          <w:iCs w:val="0"/>
          <w:noProof w:val="0"/>
          <w:color w:val="000000" w:themeColor="text1" w:themeTint="FF" w:themeShade="FF"/>
          <w:sz w:val="32"/>
          <w:szCs w:val="32"/>
          <w:lang w:val="en-GB"/>
        </w:rPr>
      </w:pPr>
      <w:r w:rsidRPr="4B64A443" w:rsidR="4B64A443">
        <w:rPr>
          <w:rFonts w:ascii="Arial" w:hAnsi="Arial" w:eastAsia="Arial" w:cs="Arial"/>
          <w:b w:val="0"/>
          <w:bCs w:val="0"/>
          <w:i w:val="0"/>
          <w:iCs w:val="0"/>
          <w:noProof w:val="0"/>
          <w:color w:val="000000" w:themeColor="text1" w:themeTint="FF" w:themeShade="FF"/>
          <w:sz w:val="32"/>
          <w:szCs w:val="32"/>
          <w:lang w:val="en-US"/>
        </w:rPr>
        <w:t>2019/2020</w:t>
      </w:r>
    </w:p>
    <w:p xmlns:wp14="http://schemas.microsoft.com/office/word/2010/wordml" w:rsidP="4B64A443" w14:paraId="5E5787A5" wp14:textId="3867769C">
      <w:pPr>
        <w:pStyle w:val="Normal"/>
        <w:jc w:val="center"/>
      </w:pPr>
    </w:p>
    <w:p w:rsidR="4B64A443" w:rsidP="4B64A443" w:rsidRDefault="4B64A443" w14:paraId="2C184E12" w14:textId="069AD9A5">
      <w:pPr>
        <w:pStyle w:val="Normal"/>
        <w:jc w:val="center"/>
      </w:pPr>
    </w:p>
    <w:p w:rsidR="4B64A443" w:rsidP="4B64A443" w:rsidRDefault="4B64A443" w14:paraId="2050A215" w14:textId="360375EC">
      <w:pPr>
        <w:pStyle w:val="Normal"/>
        <w:jc w:val="center"/>
      </w:pPr>
    </w:p>
    <w:p w:rsidR="4B64A443" w:rsidP="4B64A443" w:rsidRDefault="4B64A443" w14:paraId="64FE72D7" w14:textId="3E529544">
      <w:pPr>
        <w:pStyle w:val="Normal"/>
        <w:jc w:val="center"/>
      </w:pPr>
    </w:p>
    <w:p w:rsidR="4B64A443" w:rsidP="4B64A443" w:rsidRDefault="4B64A443" w14:paraId="2BFAF2EE" w14:textId="70F64863">
      <w:pPr>
        <w:pStyle w:val="ListParagraph"/>
        <w:ind w:left="0"/>
        <w:rPr>
          <w:noProof w:val="0"/>
          <w:sz w:val="24"/>
          <w:szCs w:val="24"/>
          <w:lang w:val="en-US"/>
        </w:rPr>
      </w:pPr>
    </w:p>
    <w:p w:rsidR="4B64A443" w:rsidP="4B64A443" w:rsidRDefault="4B64A443" w14:paraId="51CE8AEB" w14:textId="48418023">
      <w:pPr>
        <w:pStyle w:val="ListParagraph"/>
        <w:ind w:left="0"/>
        <w:rPr>
          <w:noProof w:val="0"/>
          <w:sz w:val="24"/>
          <w:szCs w:val="24"/>
          <w:lang w:val="en-US"/>
        </w:rPr>
      </w:pPr>
    </w:p>
    <w:p w:rsidR="4B64A443" w:rsidP="4B64A443" w:rsidRDefault="4B64A443" w14:paraId="585655E9" w14:textId="192EFC7A">
      <w:pPr>
        <w:pStyle w:val="ListParagraph"/>
        <w:ind w:left="0"/>
        <w:rPr>
          <w:noProof w:val="0"/>
          <w:sz w:val="24"/>
          <w:szCs w:val="24"/>
          <w:lang w:val="en-US"/>
        </w:rPr>
      </w:pPr>
    </w:p>
    <w:p w:rsidR="4B64A443" w:rsidP="4B64A443" w:rsidRDefault="4B64A443" w14:paraId="2D7CBBD8" w14:textId="79330079">
      <w:pPr>
        <w:pStyle w:val="ListParagraph"/>
        <w:ind w:left="0"/>
        <w:rPr>
          <w:noProof w:val="0"/>
          <w:sz w:val="24"/>
          <w:szCs w:val="24"/>
          <w:lang w:val="en-US"/>
        </w:rPr>
      </w:pPr>
    </w:p>
    <w:p w:rsidR="4B64A443" w:rsidP="4B64A443" w:rsidRDefault="4B64A443" w14:paraId="101A8A8F" w14:textId="16933B5F">
      <w:pPr>
        <w:pStyle w:val="ListParagraph"/>
        <w:ind w:left="0"/>
        <w:rPr>
          <w:noProof w:val="0"/>
          <w:sz w:val="24"/>
          <w:szCs w:val="24"/>
          <w:lang w:val="en-US"/>
        </w:rPr>
      </w:pPr>
    </w:p>
    <w:p w:rsidR="4B64A443" w:rsidP="4B64A443" w:rsidRDefault="4B64A443" w14:paraId="651C9348" w14:textId="7321B8F3">
      <w:pPr>
        <w:pStyle w:val="ListParagraph"/>
        <w:ind w:left="0"/>
        <w:rPr>
          <w:noProof w:val="0"/>
          <w:sz w:val="24"/>
          <w:szCs w:val="24"/>
          <w:lang w:val="en-US"/>
        </w:rPr>
      </w:pPr>
    </w:p>
    <w:p w:rsidR="4B64A443" w:rsidP="4B64A443" w:rsidRDefault="4B64A443" w14:paraId="36B49B7A" w14:textId="05EEB1AF">
      <w:pPr>
        <w:pStyle w:val="ListParagraph"/>
        <w:ind w:left="0"/>
        <w:rPr>
          <w:noProof w:val="0"/>
          <w:sz w:val="24"/>
          <w:szCs w:val="24"/>
          <w:lang w:val="en-US"/>
        </w:rPr>
      </w:pPr>
    </w:p>
    <w:p w:rsidR="4B64A443" w:rsidP="4B64A443" w:rsidRDefault="4B64A443" w14:paraId="2EB2E229" w14:textId="464DBDAF">
      <w:pPr>
        <w:pStyle w:val="ListParagraph"/>
        <w:ind w:left="0"/>
        <w:rPr>
          <w:noProof w:val="0"/>
          <w:sz w:val="24"/>
          <w:szCs w:val="24"/>
          <w:lang w:val="en-US"/>
        </w:rPr>
      </w:pPr>
    </w:p>
    <w:p w:rsidR="4B64A443" w:rsidP="4B64A443" w:rsidRDefault="4B64A443" w14:paraId="157001DF" w14:textId="20675792">
      <w:pPr>
        <w:pStyle w:val="ListParagraph"/>
        <w:ind w:left="0"/>
        <w:rPr>
          <w:noProof w:val="0"/>
          <w:sz w:val="24"/>
          <w:szCs w:val="24"/>
          <w:lang w:val="en-US"/>
        </w:rPr>
      </w:pPr>
    </w:p>
    <w:p w:rsidR="4B64A443" w:rsidP="4B64A443" w:rsidRDefault="4B64A443" w14:paraId="22A5EC6A" w14:textId="1D22A262">
      <w:pPr>
        <w:pStyle w:val="ListParagraph"/>
        <w:ind w:left="0"/>
        <w:rPr>
          <w:noProof w:val="0"/>
          <w:sz w:val="24"/>
          <w:szCs w:val="24"/>
          <w:lang w:val="en-US"/>
        </w:rPr>
      </w:pPr>
    </w:p>
    <w:p w:rsidR="4B64A443" w:rsidP="4B64A443" w:rsidRDefault="4B64A443" w14:paraId="68584E1B" w14:textId="68784EDF">
      <w:pPr>
        <w:pStyle w:val="ListParagraph"/>
        <w:ind w:left="0"/>
        <w:rPr>
          <w:noProof w:val="0"/>
          <w:sz w:val="24"/>
          <w:szCs w:val="24"/>
          <w:lang w:val="en-US"/>
        </w:rPr>
      </w:pPr>
    </w:p>
    <w:p w:rsidR="4B64A443" w:rsidP="4B64A443" w:rsidRDefault="4B64A443" w14:paraId="212DCB23" w14:textId="0B8D2F99">
      <w:pPr>
        <w:pStyle w:val="ListParagraph"/>
        <w:ind w:left="0"/>
        <w:rPr>
          <w:noProof w:val="0"/>
          <w:sz w:val="24"/>
          <w:szCs w:val="24"/>
          <w:lang w:val="en-US"/>
        </w:rPr>
      </w:pPr>
    </w:p>
    <w:p w:rsidR="4B64A443" w:rsidP="4B64A443" w:rsidRDefault="4B64A443" w14:paraId="795355C4" w14:textId="08D78BEA">
      <w:pPr>
        <w:pStyle w:val="ListParagraph"/>
        <w:ind w:left="0"/>
        <w:rPr>
          <w:noProof w:val="0"/>
          <w:sz w:val="24"/>
          <w:szCs w:val="24"/>
          <w:lang w:val="en-US"/>
        </w:rPr>
      </w:pPr>
    </w:p>
    <w:p w:rsidR="4B64A443" w:rsidP="4B64A443" w:rsidRDefault="4B64A443" w14:paraId="2C545747" w14:textId="40BF4FD1">
      <w:pPr>
        <w:pStyle w:val="ListParagraph"/>
        <w:ind w:left="0"/>
        <w:rPr>
          <w:noProof w:val="0"/>
          <w:sz w:val="24"/>
          <w:szCs w:val="24"/>
          <w:lang w:val="en-US"/>
        </w:rPr>
      </w:pPr>
    </w:p>
    <w:p w:rsidR="4B64A443" w:rsidP="4B64A443" w:rsidRDefault="4B64A443" w14:paraId="5F45CE90" w14:textId="11D85BAD">
      <w:pPr>
        <w:pStyle w:val="ListParagraph"/>
        <w:ind w:left="0"/>
        <w:rPr>
          <w:noProof w:val="0"/>
          <w:sz w:val="24"/>
          <w:szCs w:val="24"/>
          <w:lang w:val="en-US"/>
        </w:rPr>
      </w:pPr>
    </w:p>
    <w:p w:rsidR="4B64A443" w:rsidP="4B64A443" w:rsidRDefault="4B64A443" w14:paraId="14427E5F" w14:textId="57A004D3">
      <w:pPr>
        <w:pStyle w:val="ListParagraph"/>
        <w:ind w:left="0"/>
        <w:rPr>
          <w:noProof w:val="0"/>
          <w:sz w:val="24"/>
          <w:szCs w:val="24"/>
          <w:lang w:val="en-US"/>
        </w:rPr>
      </w:pPr>
    </w:p>
    <w:p w:rsidR="4B64A443" w:rsidP="4B64A443" w:rsidRDefault="4B64A443" w14:paraId="3A1C6C83" w14:textId="5862AA97">
      <w:pPr>
        <w:pStyle w:val="ListParagraph"/>
        <w:ind w:left="0"/>
        <w:rPr>
          <w:noProof w:val="0"/>
          <w:sz w:val="24"/>
          <w:szCs w:val="24"/>
          <w:lang w:val="en-US"/>
        </w:rPr>
      </w:pPr>
      <w:r w:rsidRPr="4B64A443" w:rsidR="4B64A443">
        <w:rPr>
          <w:noProof w:val="0"/>
          <w:sz w:val="24"/>
          <w:szCs w:val="24"/>
          <w:lang w:val="en-US"/>
        </w:rPr>
        <w:t>Table of Contents</w:t>
      </w:r>
    </w:p>
    <w:p w:rsidR="4B64A443" w:rsidP="4B64A443" w:rsidRDefault="4B64A443" w14:paraId="79519162" w14:textId="1CFF1D45">
      <w:pPr>
        <w:pStyle w:val="ListParagraph"/>
        <w:spacing w:line="360" w:lineRule="auto"/>
        <w:ind w:left="0"/>
        <w:rPr>
          <w:color w:val="000000" w:themeColor="text1" w:themeTint="FF" w:themeShade="FF"/>
          <w:sz w:val="24"/>
          <w:szCs w:val="24"/>
        </w:rPr>
      </w:pPr>
      <w:hyperlink w:anchor="_Toc58763381" r:id="Rc373cf74871345ef">
        <w:r w:rsidRPr="4B64A443" w:rsidR="4B64A443">
          <w:rPr>
            <w:rStyle w:val="Hyperlink"/>
            <w:noProof w:val="0"/>
            <w:color w:val="000000" w:themeColor="text1" w:themeTint="FF" w:themeShade="FF"/>
            <w:sz w:val="24"/>
            <w:szCs w:val="24"/>
            <w:lang w:val="en-GB"/>
          </w:rPr>
          <w:t>1.      INTRODUCTION.. 1</w:t>
        </w:r>
      </w:hyperlink>
    </w:p>
    <w:p w:rsidR="4B64A443" w:rsidP="4B64A443" w:rsidRDefault="4B64A443" w14:paraId="0A403337" w14:textId="58ACD593">
      <w:pPr>
        <w:pStyle w:val="ListParagraph"/>
        <w:spacing w:line="360" w:lineRule="auto"/>
        <w:ind w:left="0"/>
        <w:rPr>
          <w:color w:val="000000" w:themeColor="text1" w:themeTint="FF" w:themeShade="FF"/>
          <w:sz w:val="24"/>
          <w:szCs w:val="24"/>
        </w:rPr>
      </w:pPr>
      <w:r w:rsidRPr="4B64A443" w:rsidR="4B64A443">
        <w:rPr>
          <w:noProof w:val="0"/>
          <w:color w:val="000000" w:themeColor="text1" w:themeTint="FF" w:themeShade="FF"/>
          <w:sz w:val="24"/>
          <w:szCs w:val="24"/>
          <w:lang w:val="en-GB"/>
        </w:rPr>
        <w:t xml:space="preserve">2.      REFLECTION ON PERSONAL EXPERIENCE WITH REFERENCE TO SOCIAL PROJECT  </w:t>
      </w:r>
      <w:r w:rsidRPr="4B64A443" w:rsidR="4B64A443">
        <w:rPr>
          <w:noProof w:val="0"/>
          <w:color w:val="000000" w:themeColor="text1" w:themeTint="FF" w:themeShade="FF"/>
          <w:sz w:val="24"/>
          <w:szCs w:val="24"/>
          <w:lang w:val="en-GB"/>
        </w:rPr>
        <w:t xml:space="preserve"> </w:t>
      </w:r>
      <w:r w:rsidRPr="4B64A443" w:rsidR="4B64A443">
        <w:rPr>
          <w:noProof w:val="0"/>
          <w:color w:val="000000" w:themeColor="text1" w:themeTint="FF" w:themeShade="FF"/>
          <w:sz w:val="24"/>
          <w:szCs w:val="24"/>
          <w:lang w:val="en-GB"/>
        </w:rPr>
        <w:t xml:space="preserve">  (</w:t>
      </w:r>
      <w:r w:rsidRPr="4B64A443" w:rsidR="4B64A443">
        <w:rPr>
          <w:noProof w:val="0"/>
          <w:color w:val="000000" w:themeColor="text1" w:themeTint="FF" w:themeShade="FF"/>
          <w:sz w:val="24"/>
          <w:szCs w:val="24"/>
          <w:lang w:val="en-GB"/>
        </w:rPr>
        <w:t xml:space="preserve">TESLA).  </w:t>
      </w:r>
    </w:p>
    <w:p w:rsidR="4B64A443" w:rsidP="4B64A443" w:rsidRDefault="4B64A443" w14:paraId="0FC35D3F" w14:textId="79152E21">
      <w:pPr>
        <w:pStyle w:val="ListParagraph"/>
        <w:spacing w:line="360" w:lineRule="auto"/>
        <w:ind w:left="0"/>
        <w:rPr>
          <w:color w:val="000000" w:themeColor="text1" w:themeTint="FF" w:themeShade="FF"/>
          <w:sz w:val="24"/>
          <w:szCs w:val="24"/>
        </w:rPr>
      </w:pPr>
      <w:hyperlink w:anchor="_Toc58763383" r:id="R310d9099a3c1448a">
        <w:r w:rsidRPr="4B64A443" w:rsidR="4B64A443">
          <w:rPr>
            <w:rStyle w:val="Hyperlink"/>
            <w:noProof w:val="0"/>
            <w:color w:val="000000" w:themeColor="text1" w:themeTint="FF" w:themeShade="FF"/>
            <w:sz w:val="24"/>
            <w:szCs w:val="24"/>
            <w:lang w:val="en-GB"/>
          </w:rPr>
          <w:t>2.1.       DESCRIPTION.. 2</w:t>
        </w:r>
      </w:hyperlink>
    </w:p>
    <w:p w:rsidR="4B64A443" w:rsidP="4B64A443" w:rsidRDefault="4B64A443" w14:paraId="118B9D3E" w14:textId="6542E524">
      <w:pPr>
        <w:pStyle w:val="ListParagraph"/>
        <w:spacing w:line="360" w:lineRule="auto"/>
        <w:ind w:left="0"/>
        <w:rPr>
          <w:color w:val="000000" w:themeColor="text1" w:themeTint="FF" w:themeShade="FF"/>
          <w:sz w:val="24"/>
          <w:szCs w:val="24"/>
        </w:rPr>
      </w:pPr>
      <w:hyperlink w:anchor="_Toc58763384" r:id="R9b301e8edb5d4ba4">
        <w:r w:rsidRPr="4B64A443" w:rsidR="4B64A443">
          <w:rPr>
            <w:rStyle w:val="Hyperlink"/>
            <w:noProof w:val="0"/>
            <w:color w:val="000000" w:themeColor="text1" w:themeTint="FF" w:themeShade="FF"/>
            <w:sz w:val="24"/>
            <w:szCs w:val="24"/>
            <w:lang w:val="en-GB"/>
          </w:rPr>
          <w:t>2.2.       FEELINGS. 2</w:t>
        </w:r>
      </w:hyperlink>
    </w:p>
    <w:p w:rsidR="4B64A443" w:rsidP="4B64A443" w:rsidRDefault="4B64A443" w14:paraId="72147418" w14:textId="56FA5340">
      <w:pPr>
        <w:pStyle w:val="ListParagraph"/>
        <w:spacing w:line="360" w:lineRule="auto"/>
        <w:ind w:left="0"/>
        <w:rPr>
          <w:color w:val="000000" w:themeColor="text1" w:themeTint="FF" w:themeShade="FF"/>
          <w:sz w:val="24"/>
          <w:szCs w:val="24"/>
        </w:rPr>
      </w:pPr>
      <w:hyperlink w:anchor="_Toc58763385" r:id="R27b2d59e36c148bf">
        <w:r w:rsidRPr="4B64A443" w:rsidR="4B64A443">
          <w:rPr>
            <w:rStyle w:val="Hyperlink"/>
            <w:noProof w:val="0"/>
            <w:color w:val="000000" w:themeColor="text1" w:themeTint="FF" w:themeShade="FF"/>
            <w:sz w:val="24"/>
            <w:szCs w:val="24"/>
            <w:lang w:val="en-GB"/>
          </w:rPr>
          <w:t>2.3.       EVALUATION.. 3</w:t>
        </w:r>
      </w:hyperlink>
    </w:p>
    <w:p w:rsidR="4B64A443" w:rsidP="4B64A443" w:rsidRDefault="4B64A443" w14:paraId="33099AAC" w14:textId="6D6231E5">
      <w:pPr>
        <w:pStyle w:val="ListParagraph"/>
        <w:spacing w:line="360" w:lineRule="auto"/>
        <w:ind w:left="0"/>
        <w:rPr>
          <w:color w:val="000000" w:themeColor="text1" w:themeTint="FF" w:themeShade="FF"/>
          <w:sz w:val="24"/>
          <w:szCs w:val="24"/>
        </w:rPr>
      </w:pPr>
      <w:hyperlink w:anchor="_Toc58763386" r:id="Rdcc0e49589f04e76">
        <w:r w:rsidRPr="4B64A443" w:rsidR="4B64A443">
          <w:rPr>
            <w:rStyle w:val="Hyperlink"/>
            <w:noProof w:val="0"/>
            <w:color w:val="000000" w:themeColor="text1" w:themeTint="FF" w:themeShade="FF"/>
            <w:sz w:val="24"/>
            <w:szCs w:val="24"/>
            <w:lang w:val="en-GB"/>
          </w:rPr>
          <w:t>2.4.       ANALYSIS. 4</w:t>
        </w:r>
      </w:hyperlink>
    </w:p>
    <w:p w:rsidR="4B64A443" w:rsidP="4B64A443" w:rsidRDefault="4B64A443" w14:paraId="33CE51A4" w14:textId="0B8974B4">
      <w:pPr>
        <w:pStyle w:val="ListParagraph"/>
        <w:spacing w:line="360" w:lineRule="auto"/>
        <w:ind w:left="0"/>
        <w:rPr>
          <w:color w:val="000000" w:themeColor="text1" w:themeTint="FF" w:themeShade="FF"/>
          <w:sz w:val="24"/>
          <w:szCs w:val="24"/>
        </w:rPr>
      </w:pPr>
      <w:hyperlink w:anchor="_Toc58763387" r:id="R070fc928a3b440ef">
        <w:r w:rsidRPr="4B64A443" w:rsidR="4B64A443">
          <w:rPr>
            <w:rStyle w:val="Hyperlink"/>
            <w:noProof w:val="0"/>
            <w:color w:val="000000" w:themeColor="text1" w:themeTint="FF" w:themeShade="FF"/>
            <w:sz w:val="24"/>
            <w:szCs w:val="24"/>
            <w:lang w:val="en-GB"/>
          </w:rPr>
          <w:t>2.5.       ACTION PLAN.. 5</w:t>
        </w:r>
      </w:hyperlink>
    </w:p>
    <w:p w:rsidR="4B64A443" w:rsidP="4B64A443" w:rsidRDefault="4B64A443" w14:paraId="3D8FEB44" w14:textId="4845D4A1">
      <w:pPr>
        <w:pStyle w:val="ListParagraph"/>
        <w:spacing w:line="360" w:lineRule="auto"/>
        <w:ind w:left="0"/>
        <w:rPr>
          <w:color w:val="000000" w:themeColor="text1" w:themeTint="FF" w:themeShade="FF"/>
          <w:sz w:val="24"/>
          <w:szCs w:val="24"/>
        </w:rPr>
      </w:pPr>
      <w:hyperlink w:anchor="_Toc58763388" r:id="R8847bce6ef3643f4">
        <w:r w:rsidRPr="4B64A443" w:rsidR="4B64A443">
          <w:rPr>
            <w:rStyle w:val="Hyperlink"/>
            <w:noProof w:val="0"/>
            <w:color w:val="000000" w:themeColor="text1" w:themeTint="FF" w:themeShade="FF"/>
            <w:sz w:val="24"/>
            <w:szCs w:val="24"/>
            <w:lang w:val="en-GB"/>
          </w:rPr>
          <w:t>2.6.       CONCLUSION.. 7</w:t>
        </w:r>
      </w:hyperlink>
    </w:p>
    <w:p w:rsidR="4B64A443" w:rsidP="4B64A443" w:rsidRDefault="4B64A443" w14:paraId="26C4C2C5" w14:textId="7DC6B3D2">
      <w:pPr>
        <w:pStyle w:val="ListParagraph"/>
        <w:spacing w:line="360" w:lineRule="auto"/>
        <w:ind w:left="0"/>
        <w:rPr>
          <w:color w:val="000000" w:themeColor="text1" w:themeTint="FF" w:themeShade="FF"/>
          <w:sz w:val="24"/>
          <w:szCs w:val="24"/>
        </w:rPr>
      </w:pPr>
      <w:hyperlink w:anchor="_Toc58763389" r:id="R2bcc29471c4e400e">
        <w:r w:rsidRPr="4B64A443" w:rsidR="4B64A443">
          <w:rPr>
            <w:rStyle w:val="Hyperlink"/>
            <w:noProof w:val="0"/>
            <w:color w:val="000000" w:themeColor="text1" w:themeTint="FF" w:themeShade="FF"/>
            <w:sz w:val="24"/>
            <w:szCs w:val="24"/>
            <w:lang w:val="en-GB"/>
          </w:rPr>
          <w:t>REFERENCE LIST. 7</w:t>
        </w:r>
      </w:hyperlink>
    </w:p>
    <w:p w:rsidR="4B64A443" w:rsidP="4B64A443" w:rsidRDefault="4B64A443" w14:paraId="7E1DB99C" w14:textId="3F40184B">
      <w:pPr>
        <w:spacing w:line="276" w:lineRule="auto"/>
        <w:jc w:val="center"/>
      </w:pPr>
      <w:r w:rsidRPr="4B64A443" w:rsidR="4B64A443">
        <w:rPr>
          <w:rFonts w:ascii="Times New Roman" w:hAnsi="Times New Roman" w:eastAsia="Times New Roman" w:cs="Times New Roman"/>
          <w:noProof w:val="0"/>
          <w:sz w:val="24"/>
          <w:szCs w:val="24"/>
          <w:lang w:val="en-GB"/>
        </w:rPr>
        <w:t xml:space="preserve"> </w:t>
      </w:r>
    </w:p>
    <w:p w:rsidR="4B64A443" w:rsidP="4B64A443" w:rsidRDefault="4B64A443" w14:paraId="0DA30267" w14:textId="2C07DE08">
      <w:pPr>
        <w:pStyle w:val="Heading2"/>
      </w:pPr>
      <w:r w:rsidRPr="4B64A443" w:rsidR="4B64A443">
        <w:rPr>
          <w:rFonts w:ascii="Cambria" w:hAnsi="Cambria" w:eastAsia="Cambria" w:cs="Cambria"/>
          <w:b w:val="1"/>
          <w:bCs w:val="1"/>
          <w:noProof w:val="0"/>
          <w:color w:val="4F81BD"/>
          <w:sz w:val="26"/>
          <w:szCs w:val="26"/>
          <w:lang w:val="en-GB"/>
        </w:rPr>
        <w:t xml:space="preserve"> </w:t>
      </w:r>
    </w:p>
    <w:p w:rsidR="4B64A443" w:rsidP="4B64A443" w:rsidRDefault="4B64A443" w14:paraId="290AF8B6" w14:textId="7911399B">
      <w:pPr>
        <w:pStyle w:val="Heading2"/>
        <w:rPr>
          <w:rFonts w:ascii="Cambria" w:hAnsi="Cambria" w:eastAsia="Cambria" w:cs="Cambria"/>
          <w:b w:val="1"/>
          <w:bCs w:val="1"/>
          <w:noProof w:val="0"/>
          <w:color w:val="000000" w:themeColor="text1" w:themeTint="FF" w:themeShade="FF"/>
          <w:sz w:val="26"/>
          <w:szCs w:val="26"/>
          <w:lang w:val="en-GB"/>
        </w:rPr>
      </w:pPr>
      <w:r w:rsidRPr="4B64A443" w:rsidR="4B64A443">
        <w:rPr>
          <w:rFonts w:ascii="Cambria" w:hAnsi="Cambria" w:eastAsia="Cambria" w:cs="Cambria"/>
          <w:b w:val="1"/>
          <w:bCs w:val="1"/>
          <w:noProof w:val="0"/>
          <w:color w:val="000000" w:themeColor="text1" w:themeTint="FF" w:themeShade="FF"/>
          <w:sz w:val="26"/>
          <w:szCs w:val="26"/>
          <w:lang w:val="en-GB"/>
        </w:rPr>
        <w:t>1.</w:t>
      </w:r>
      <w:r w:rsidRPr="4B64A443" w:rsidR="4B64A443">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4B64A443" w:rsidR="4B64A443">
        <w:rPr>
          <w:rFonts w:ascii="Cambria" w:hAnsi="Cambria" w:eastAsia="Cambria" w:cs="Cambria"/>
          <w:b w:val="1"/>
          <w:bCs w:val="1"/>
          <w:noProof w:val="0"/>
          <w:color w:val="000000" w:themeColor="text1" w:themeTint="FF" w:themeShade="FF"/>
          <w:sz w:val="26"/>
          <w:szCs w:val="26"/>
          <w:lang w:val="en-GB"/>
        </w:rPr>
        <w:t>INTRODUCTION</w:t>
      </w:r>
    </w:p>
    <w:p w:rsidR="4B64A443" w:rsidP="4B64A443" w:rsidRDefault="4B64A443" w14:paraId="4D339DB0" w14:textId="06DE8F5C">
      <w:pPr>
        <w:spacing w:line="360" w:lineRule="auto"/>
        <w:jc w:val="both"/>
      </w:pPr>
      <w:r w:rsidRPr="4B64A443" w:rsidR="4B64A443">
        <w:rPr>
          <w:rFonts w:ascii="Times New Roman" w:hAnsi="Times New Roman" w:eastAsia="Times New Roman" w:cs="Times New Roman"/>
          <w:noProof w:val="0"/>
          <w:sz w:val="24"/>
          <w:szCs w:val="24"/>
          <w:lang w:val="en-GB"/>
        </w:rPr>
        <w:t xml:space="preserve">According to Popple (1996), community engagement can promote one's belief to bring around the change that will enhance perception towards self-efficacy and autonomy. Evidence from the academic literature shows that engaging in social work increases understanding of self-sufficiency (Michael, 2014; Khasanzyanova, 2017; Ellis, 2004). According to Scott (2017), community engagement not only does improve chances of finding a job but also provide support towards acquiring new knowledge, enhancing communication and interpersonal skills, developing leadership and management skills and making new social relationships that can help to access job opportunities and can facilitate the process to decide future career plan. All of the above factors point towards enhancing an individual's employability. Gibbs Reflective Cycle will provide me with an understanding of my experience throughout the journey of community engagement module and community engagement project on Tesla. Adopting the Gibbs Reflective Cycle makes one learn and plan things accordingly (Gibbs, 1988). The cycle will lead me to explore my experience through six stages: description, feelings, evaluation, analysis, action plan and conclusion (Gibbs, 1988). The report will reflect on best practices of community engagement as well as models and theories in context with the previous community engagement project on Tesla. A reflection will be made based on the Gibbs' reflective cycle towards on how community engagement will help me to promote personal development and how acquiring a set of new skills will support in doing things differently towards gaining employability. </w:t>
      </w:r>
    </w:p>
    <w:p w:rsidR="4B64A443" w:rsidP="4B64A443" w:rsidRDefault="4B64A443" w14:paraId="10BB408C" w14:textId="232B961C">
      <w:pPr>
        <w:pStyle w:val="Heading2"/>
        <w:rPr>
          <w:rFonts w:ascii="Cambria" w:hAnsi="Cambria" w:eastAsia="Cambria" w:cs="Cambria"/>
          <w:b w:val="1"/>
          <w:bCs w:val="1"/>
          <w:noProof w:val="0"/>
          <w:color w:val="000000" w:themeColor="text1" w:themeTint="FF" w:themeShade="FF"/>
          <w:sz w:val="26"/>
          <w:szCs w:val="26"/>
          <w:lang w:val="en-GB"/>
        </w:rPr>
      </w:pPr>
      <w:r w:rsidRPr="4B64A443" w:rsidR="4B64A443">
        <w:rPr>
          <w:rFonts w:ascii="Cambria" w:hAnsi="Cambria" w:eastAsia="Cambria" w:cs="Cambria"/>
          <w:b w:val="1"/>
          <w:bCs w:val="1"/>
          <w:noProof w:val="0"/>
          <w:color w:val="000000" w:themeColor="text1" w:themeTint="FF" w:themeShade="FF"/>
          <w:sz w:val="26"/>
          <w:szCs w:val="26"/>
          <w:lang w:val="en-GB"/>
        </w:rPr>
        <w:t>2.</w:t>
      </w:r>
      <w:r w:rsidRPr="4B64A443" w:rsidR="4B64A443">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4B64A443" w:rsidR="4B64A443">
        <w:rPr>
          <w:rFonts w:ascii="Cambria" w:hAnsi="Cambria" w:eastAsia="Cambria" w:cs="Cambria"/>
          <w:b w:val="1"/>
          <w:bCs w:val="1"/>
          <w:noProof w:val="0"/>
          <w:color w:val="000000" w:themeColor="text1" w:themeTint="FF" w:themeShade="FF"/>
          <w:sz w:val="26"/>
          <w:szCs w:val="26"/>
          <w:lang w:val="en-GB"/>
        </w:rPr>
        <w:t>REFLECTION ON PERSONAL EXPERIENCE WITH REFERENCE TO SOCIAL PROJECT (TESLA) USING GIBBS REFLECTIVE CYCLE</w:t>
      </w:r>
    </w:p>
    <w:p w:rsidR="4B64A443" w:rsidP="4B64A443" w:rsidRDefault="4B64A443" w14:paraId="1FEFB7E1" w14:textId="778E3045">
      <w:pPr>
        <w:pStyle w:val="Heading2"/>
        <w:rPr>
          <w:rFonts w:ascii="Cambria" w:hAnsi="Cambria" w:eastAsia="Cambria" w:cs="Cambria"/>
          <w:b w:val="1"/>
          <w:bCs w:val="1"/>
          <w:noProof w:val="0"/>
          <w:color w:val="000000" w:themeColor="text1" w:themeTint="FF" w:themeShade="FF"/>
          <w:sz w:val="26"/>
          <w:szCs w:val="26"/>
          <w:lang w:val="en-GB"/>
        </w:rPr>
      </w:pPr>
      <w:r w:rsidRPr="4B64A443" w:rsidR="4B64A443">
        <w:rPr>
          <w:rFonts w:ascii="Cambria" w:hAnsi="Cambria" w:eastAsia="Cambria" w:cs="Cambria"/>
          <w:b w:val="1"/>
          <w:bCs w:val="1"/>
          <w:noProof w:val="0"/>
          <w:color w:val="000000" w:themeColor="text1" w:themeTint="FF" w:themeShade="FF"/>
          <w:sz w:val="26"/>
          <w:szCs w:val="26"/>
          <w:lang w:val="en-GB"/>
        </w:rPr>
        <w:t>2.1.</w:t>
      </w:r>
      <w:r w:rsidRPr="4B64A443" w:rsidR="4B64A443">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4B64A443" w:rsidR="4B64A443">
        <w:rPr>
          <w:rFonts w:ascii="Cambria" w:hAnsi="Cambria" w:eastAsia="Cambria" w:cs="Cambria"/>
          <w:b w:val="1"/>
          <w:bCs w:val="1"/>
          <w:noProof w:val="0"/>
          <w:color w:val="000000" w:themeColor="text1" w:themeTint="FF" w:themeShade="FF"/>
          <w:sz w:val="26"/>
          <w:szCs w:val="26"/>
          <w:lang w:val="en-GB"/>
        </w:rPr>
        <w:t>DESCRIPTION</w:t>
      </w:r>
    </w:p>
    <w:p w:rsidR="4B64A443" w:rsidP="4B64A443" w:rsidRDefault="4B64A443" w14:paraId="3F8FF9C0" w14:textId="3FC5CFE6">
      <w:pPr>
        <w:spacing w:line="360" w:lineRule="auto"/>
        <w:jc w:val="both"/>
      </w:pPr>
      <w:r w:rsidRPr="4B64A443" w:rsidR="4B64A443">
        <w:rPr>
          <w:rFonts w:ascii="Times New Roman" w:hAnsi="Times New Roman" w:eastAsia="Times New Roman" w:cs="Times New Roman"/>
          <w:noProof w:val="0"/>
          <w:sz w:val="24"/>
          <w:szCs w:val="24"/>
          <w:lang w:val="en-GB"/>
        </w:rPr>
        <w:t>The report on the community engagement involving Tesla Motors shows the significance of carrying out social programs. The report shows how an organisation, community and an individual (employee) can benefit through social activities. Though Tesla has been involved in community programs, these programs do not aim at involving community or employees more effectively. From the report, it is clear why community engagement matters. An organisation can engage in a more meaningful way to understand different societal issues surrounding local communities and what role an organisation can play to solve these issues in an effective way (Hussey, 2019). It has been learnt that community engagement enables a better understanding between different parties at stake and helps in building interconnected communities (Hsu, Chiang and Huang, 2012).</w:t>
      </w:r>
    </w:p>
    <w:p w:rsidR="4B64A443" w:rsidP="4B64A443" w:rsidRDefault="4B64A443" w14:paraId="17424E12" w14:textId="56B6C54E">
      <w:pPr>
        <w:spacing w:line="360" w:lineRule="auto"/>
        <w:jc w:val="both"/>
      </w:pPr>
      <w:r w:rsidRPr="4B64A443" w:rsidR="4B64A443">
        <w:rPr>
          <w:rFonts w:ascii="Times New Roman" w:hAnsi="Times New Roman" w:eastAsia="Times New Roman" w:cs="Times New Roman"/>
          <w:noProof w:val="0"/>
          <w:sz w:val="24"/>
          <w:szCs w:val="24"/>
          <w:lang w:val="en-GB"/>
        </w:rPr>
        <w:t xml:space="preserve">Community engagement aims at strengthening communities and enriching learning. The real concept behind the process is to involve in an activity where both provider and recipient can benefit from each other (Attree et al., 2010).  According to Blomquist and Imel (2015), community engagement helps an organisation in deciding towards creating a social wealth that can deliver benefit to both organisation and communities in future. The report on Tesla's community engagement highlights the fact that communities must be informed with numerous social activities being undertaken by a company. According to Lewis and Cantor (2016), an organisation that has a high involvement within the community makes it easier for the company to incorporate public decisions into its corporate decisions to create a sustainable living. An effective relationship between an organisation and communities results in a greater sense of social values and norms (Blomquist and Imel, 2015). </w:t>
      </w:r>
    </w:p>
    <w:p w:rsidR="4B64A443" w:rsidP="4B64A443" w:rsidRDefault="4B64A443" w14:paraId="314C6665" w14:textId="7E47E2C0">
      <w:pPr>
        <w:pStyle w:val="Heading2"/>
        <w:rPr>
          <w:rFonts w:ascii="Cambria" w:hAnsi="Cambria" w:eastAsia="Cambria" w:cs="Cambria"/>
          <w:b w:val="1"/>
          <w:bCs w:val="1"/>
          <w:noProof w:val="0"/>
          <w:color w:val="000000" w:themeColor="text1" w:themeTint="FF" w:themeShade="FF"/>
          <w:sz w:val="26"/>
          <w:szCs w:val="26"/>
          <w:lang w:val="en-GB"/>
        </w:rPr>
      </w:pPr>
      <w:r w:rsidRPr="4B64A443" w:rsidR="4B64A443">
        <w:rPr>
          <w:rFonts w:ascii="Cambria" w:hAnsi="Cambria" w:eastAsia="Cambria" w:cs="Cambria"/>
          <w:b w:val="1"/>
          <w:bCs w:val="1"/>
          <w:noProof w:val="0"/>
          <w:color w:val="000000" w:themeColor="text1" w:themeTint="FF" w:themeShade="FF"/>
          <w:sz w:val="26"/>
          <w:szCs w:val="26"/>
          <w:lang w:val="en-GB"/>
        </w:rPr>
        <w:t>2.2.</w:t>
      </w:r>
      <w:r w:rsidRPr="4B64A443" w:rsidR="4B64A443">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4B64A443" w:rsidR="4B64A443">
        <w:rPr>
          <w:rFonts w:ascii="Cambria" w:hAnsi="Cambria" w:eastAsia="Cambria" w:cs="Cambria"/>
          <w:b w:val="1"/>
          <w:bCs w:val="1"/>
          <w:noProof w:val="0"/>
          <w:color w:val="000000" w:themeColor="text1" w:themeTint="FF" w:themeShade="FF"/>
          <w:sz w:val="26"/>
          <w:szCs w:val="26"/>
          <w:lang w:val="en-GB"/>
        </w:rPr>
        <w:t>FEELINGS</w:t>
      </w:r>
    </w:p>
    <w:p w:rsidR="4B64A443" w:rsidP="4B64A443" w:rsidRDefault="4B64A443" w14:paraId="41A7CF46" w14:textId="79E40E6B">
      <w:pPr>
        <w:spacing w:line="360" w:lineRule="auto"/>
        <w:jc w:val="both"/>
      </w:pPr>
      <w:r w:rsidRPr="4B64A443" w:rsidR="4B64A443">
        <w:rPr>
          <w:rFonts w:ascii="Times New Roman" w:hAnsi="Times New Roman" w:eastAsia="Times New Roman" w:cs="Times New Roman"/>
          <w:noProof w:val="0"/>
          <w:sz w:val="24"/>
          <w:szCs w:val="24"/>
          <w:lang w:val="en-GB"/>
        </w:rPr>
        <w:t xml:space="preserve">Community engagement also helps to increase an employee's engagement that supports an organisation to increase overall productivity and efficiency of the company (Slade, 2014). Involvement in community projects leads the way in forming better relations with employees. According to Hsu, Chiang and Huang (2012), community engagement increases an employee's skills, knowledge and provides an opportunity to build a strong relationship within the organisation and community. </w:t>
      </w:r>
    </w:p>
    <w:p w:rsidR="4B64A443" w:rsidP="4B64A443" w:rsidRDefault="4B64A443" w14:paraId="525A8404" w14:textId="75303CF3">
      <w:pPr>
        <w:spacing w:line="360" w:lineRule="auto"/>
        <w:jc w:val="both"/>
      </w:pPr>
      <w:r w:rsidRPr="4B64A443" w:rsidR="4B64A443">
        <w:rPr>
          <w:rFonts w:ascii="Times New Roman" w:hAnsi="Times New Roman" w:eastAsia="Times New Roman" w:cs="Times New Roman"/>
          <w:noProof w:val="0"/>
          <w:sz w:val="24"/>
          <w:szCs w:val="24"/>
          <w:lang w:val="en-GB"/>
        </w:rPr>
        <w:t>The community engagement module has taught me the fact that what I can do for the community by being part of an organisation and how I can involve myself in community works that can help me acquire new skills that I can benefit from; to seek opportunities for my future professional career (Clarke, 2019). The module made me learn that I can make a difference towards the society; previously I used to wonder on how it would ever be possible but with the knowledge, I gained from this course, helped me understood that I can go out and involve myself at a community level so that I can comprehend community's concerns in a better way. Engagement within the community will make me a better-informed person and eventually will benefit me towards achieving my personal development goals, intercultural competence and civic learning.</w:t>
      </w:r>
    </w:p>
    <w:p w:rsidR="4B64A443" w:rsidP="4B64A443" w:rsidRDefault="4B64A443" w14:paraId="47187084" w14:textId="735F35C4">
      <w:pPr>
        <w:spacing w:line="360" w:lineRule="auto"/>
        <w:jc w:val="both"/>
      </w:pPr>
      <w:r w:rsidRPr="4B64A443" w:rsidR="4B64A443">
        <w:rPr>
          <w:rFonts w:ascii="Times New Roman" w:hAnsi="Times New Roman" w:eastAsia="Times New Roman" w:cs="Times New Roman"/>
          <w:noProof w:val="0"/>
          <w:sz w:val="24"/>
          <w:szCs w:val="24"/>
          <w:lang w:val="en-GB"/>
        </w:rPr>
        <w:t>The scope of the subject made me feels that I am ready to go out and help the community with its needs. With the help of the knowledge that is gained by researching community engagement, I have developed some community skills such as on how to become a voice for those that find it hard to voice out; how to create a network and bring a change within the community; how to integrate planning into community issues and how to adopt strategies that can help towards keeping a sustainable relation within community members (Eyler and Giles, 1999).</w:t>
      </w:r>
    </w:p>
    <w:p w:rsidR="4B64A443" w:rsidP="4B64A443" w:rsidRDefault="4B64A443" w14:paraId="6256B642" w14:textId="18FC30FD">
      <w:pPr>
        <w:pStyle w:val="Heading2"/>
        <w:rPr>
          <w:rFonts w:ascii="Cambria" w:hAnsi="Cambria" w:eastAsia="Cambria" w:cs="Cambria"/>
          <w:b w:val="1"/>
          <w:bCs w:val="1"/>
          <w:noProof w:val="0"/>
          <w:color w:val="000000" w:themeColor="text1" w:themeTint="FF" w:themeShade="FF"/>
          <w:sz w:val="26"/>
          <w:szCs w:val="26"/>
          <w:lang w:val="en-GB"/>
        </w:rPr>
      </w:pPr>
      <w:r w:rsidRPr="4B64A443" w:rsidR="4B64A443">
        <w:rPr>
          <w:rFonts w:ascii="Cambria" w:hAnsi="Cambria" w:eastAsia="Cambria" w:cs="Cambria"/>
          <w:b w:val="1"/>
          <w:bCs w:val="1"/>
          <w:noProof w:val="0"/>
          <w:color w:val="000000" w:themeColor="text1" w:themeTint="FF" w:themeShade="FF"/>
          <w:sz w:val="26"/>
          <w:szCs w:val="26"/>
          <w:lang w:val="en-GB"/>
        </w:rPr>
        <w:t>2.3.</w:t>
      </w:r>
      <w:r w:rsidRPr="4B64A443" w:rsidR="4B64A443">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4B64A443" w:rsidR="4B64A443">
        <w:rPr>
          <w:rFonts w:ascii="Cambria" w:hAnsi="Cambria" w:eastAsia="Cambria" w:cs="Cambria"/>
          <w:b w:val="1"/>
          <w:bCs w:val="1"/>
          <w:noProof w:val="0"/>
          <w:color w:val="000000" w:themeColor="text1" w:themeTint="FF" w:themeShade="FF"/>
          <w:sz w:val="26"/>
          <w:szCs w:val="26"/>
          <w:lang w:val="en-GB"/>
        </w:rPr>
        <w:t>EVALUATION</w:t>
      </w:r>
    </w:p>
    <w:p w:rsidR="4B64A443" w:rsidP="4B64A443" w:rsidRDefault="4B64A443" w14:paraId="3647665A" w14:textId="37211567">
      <w:pPr>
        <w:spacing w:line="360" w:lineRule="auto"/>
        <w:jc w:val="both"/>
      </w:pPr>
      <w:r w:rsidRPr="4B64A443" w:rsidR="4B64A443">
        <w:rPr>
          <w:rFonts w:ascii="Times New Roman" w:hAnsi="Times New Roman" w:eastAsia="Times New Roman" w:cs="Times New Roman"/>
          <w:noProof w:val="0"/>
          <w:sz w:val="24"/>
          <w:szCs w:val="24"/>
          <w:lang w:val="en-GB"/>
        </w:rPr>
        <w:t>The report also highlights the fact that community engagement can be used to drive social transformation. Social transformation can help an organisation to create awareness among communities and to provide a member of the local community to have their say so that they know they are not being ignored (Scott, 2017). The report discusses how Tesla can increase its community involvement and how creating strong communities will benefit the company. It is learnt from the research being carried out on Tesla's community engagement that employees' seem to be happier along with a high sense of job security and satisfaction for an organisation having strong Corporate Social Responsibility (CSR) strategies. An effective CSR strategy proves to be a key driver to increase employees' engagement and reduction in retention levels that can lead the way towards the formation of a healthy organisation (Hussey, 2019).</w:t>
      </w:r>
    </w:p>
    <w:p w:rsidR="4B64A443" w:rsidP="4B64A443" w:rsidRDefault="4B64A443" w14:paraId="6EA8E4D3" w14:textId="4884EF56">
      <w:pPr>
        <w:spacing w:line="360" w:lineRule="auto"/>
        <w:jc w:val="both"/>
      </w:pPr>
      <w:r w:rsidRPr="4B64A443" w:rsidR="4B64A443">
        <w:rPr>
          <w:rFonts w:ascii="Times New Roman" w:hAnsi="Times New Roman" w:eastAsia="Times New Roman" w:cs="Times New Roman"/>
          <w:noProof w:val="0"/>
          <w:sz w:val="24"/>
          <w:szCs w:val="24"/>
          <w:lang w:val="en-GB"/>
        </w:rPr>
        <w:t>Companies can involve themselves to increase the level of their engagement with the community; this will boost employees' engagement that will ultimately boost the productivity of the organisation (Bassler et al., 2008). According to Deans, Wurr and Roswell (2010), employees' engagement is highly vital for an organisation as this provides an opportunity for the company to gain a competitive advantage. An organisation can benefit from better customer satisfaction, low retention levels, improved the company's culture, and financial gains, providing new skills to staff, increased profit margins and better employee's satisfaction (Hussey, 2019). Companies can achieve increased employees' engagement by providing them with better work-life balance, training and learning opportunities such as preparing them for engaging in community engagement activities, rewards and recognition, autonomy and organisational transparency (Popple, 1996).</w:t>
      </w:r>
    </w:p>
    <w:p w:rsidR="4B64A443" w:rsidP="4B64A443" w:rsidRDefault="4B64A443" w14:paraId="3FE3EA9B" w14:textId="75D46908">
      <w:pPr>
        <w:pStyle w:val="Heading2"/>
        <w:rPr>
          <w:rFonts w:ascii="Cambria" w:hAnsi="Cambria" w:eastAsia="Cambria" w:cs="Cambria"/>
          <w:b w:val="1"/>
          <w:bCs w:val="1"/>
          <w:noProof w:val="0"/>
          <w:color w:val="000000" w:themeColor="text1" w:themeTint="FF" w:themeShade="FF"/>
          <w:sz w:val="26"/>
          <w:szCs w:val="26"/>
          <w:lang w:val="en-GB"/>
        </w:rPr>
      </w:pPr>
      <w:r w:rsidRPr="4B64A443" w:rsidR="4B64A443">
        <w:rPr>
          <w:rFonts w:ascii="Cambria" w:hAnsi="Cambria" w:eastAsia="Cambria" w:cs="Cambria"/>
          <w:b w:val="1"/>
          <w:bCs w:val="1"/>
          <w:noProof w:val="0"/>
          <w:color w:val="000000" w:themeColor="text1" w:themeTint="FF" w:themeShade="FF"/>
          <w:sz w:val="26"/>
          <w:szCs w:val="26"/>
          <w:lang w:val="en-GB"/>
        </w:rPr>
        <w:t>2.4.</w:t>
      </w:r>
      <w:r w:rsidRPr="4B64A443" w:rsidR="4B64A443">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4B64A443" w:rsidR="4B64A443">
        <w:rPr>
          <w:rFonts w:ascii="Cambria" w:hAnsi="Cambria" w:eastAsia="Cambria" w:cs="Cambria"/>
          <w:b w:val="1"/>
          <w:bCs w:val="1"/>
          <w:noProof w:val="0"/>
          <w:color w:val="000000" w:themeColor="text1" w:themeTint="FF" w:themeShade="FF"/>
          <w:sz w:val="26"/>
          <w:szCs w:val="26"/>
          <w:lang w:val="en-GB"/>
        </w:rPr>
        <w:t>ANALYSIS</w:t>
      </w:r>
    </w:p>
    <w:p w:rsidR="4B64A443" w:rsidP="4B64A443" w:rsidRDefault="4B64A443" w14:paraId="421E56C5" w14:textId="3748D970">
      <w:pPr>
        <w:spacing w:line="360" w:lineRule="auto"/>
        <w:jc w:val="both"/>
      </w:pPr>
      <w:r w:rsidRPr="4B64A443" w:rsidR="4B64A443">
        <w:rPr>
          <w:rFonts w:ascii="Times New Roman" w:hAnsi="Times New Roman" w:eastAsia="Times New Roman" w:cs="Times New Roman"/>
          <w:noProof w:val="0"/>
          <w:sz w:val="24"/>
          <w:szCs w:val="24"/>
          <w:lang w:val="en-GB"/>
        </w:rPr>
        <w:t xml:space="preserve">The module helped me to look through the range of models and frameworks involving community engagement. One such framework, known as Community Works analyses role plays by the community in influencing behavioural change. The framework helps organisations to move from consultative to a collaborative point while making sure relationships are prioritised (Attree et al., 2010). Another framework, community-based participatory research can help me to carry out a highly evolved collaborative approach. Using this approach, different issues within the community can be identified after which community activities can be carried out to eliminate these issues (Blomquist and Imel, 2015). </w:t>
      </w:r>
    </w:p>
    <w:p w:rsidR="4B64A443" w:rsidP="4B64A443" w:rsidRDefault="4B64A443" w14:paraId="33B5678C" w14:textId="2487AB35">
      <w:pPr>
        <w:spacing w:line="360" w:lineRule="auto"/>
        <w:jc w:val="both"/>
      </w:pPr>
      <w:r w:rsidRPr="4B64A443" w:rsidR="4B64A443">
        <w:rPr>
          <w:rFonts w:ascii="Times New Roman" w:hAnsi="Times New Roman" w:eastAsia="Times New Roman" w:cs="Times New Roman"/>
          <w:noProof w:val="0"/>
          <w:sz w:val="24"/>
          <w:szCs w:val="24"/>
          <w:lang w:val="en-GB"/>
        </w:rPr>
        <w:t>Another model known as Community Engagement Model; is the most useful of all. The model works on four stages known as facilitating, supporting, resourcing and training (Michael, 2014). It works by raising awareness in the community, plummeting fear and denials, assessing requirements, promoting trust, enunciating needs, developing capacity and workforce, supporting engagement and spawning ownership (Michael, 2014). The above model helps me to understand a balanced environment that would be suitable for organisations, communities and stakeholders to work together to resolve mutual concerns. Successful implementation of the above model will include a facilitator, a community, a task, training of the community, support workers and funding.</w:t>
      </w:r>
    </w:p>
    <w:p w:rsidR="4B64A443" w:rsidP="4B64A443" w:rsidRDefault="4B64A443" w14:paraId="3E5BFFAE" w14:textId="73AED0B9">
      <w:pPr>
        <w:spacing w:line="360" w:lineRule="auto"/>
        <w:jc w:val="both"/>
      </w:pPr>
      <w:r w:rsidRPr="4B64A443" w:rsidR="4B64A443">
        <w:rPr>
          <w:rFonts w:ascii="Times New Roman" w:hAnsi="Times New Roman" w:eastAsia="Times New Roman" w:cs="Times New Roman"/>
          <w:noProof w:val="0"/>
          <w:sz w:val="24"/>
          <w:szCs w:val="24"/>
          <w:lang w:val="en-GB"/>
        </w:rPr>
        <w:t xml:space="preserve">Through research, I have learnt that the prospect of gaining career-related benefits act as motivation to carry out community engagement activities (Slade, 2014). In a theoretical model of the Volunteer Functions Inventory, career has been identified as a motivation for volunteering. Having acquired knowledge and new skills, candidates can increase their chances of being employed (Lewis and Cantor, 2016). According to Slade (2014), involvement in community activities will boost employee's confidence that can be further used to increase performance.  </w:t>
      </w:r>
    </w:p>
    <w:p w:rsidR="4B64A443" w:rsidP="4B64A443" w:rsidRDefault="4B64A443" w14:paraId="2EB6547D" w14:textId="794FB20E">
      <w:pPr>
        <w:pStyle w:val="Heading2"/>
        <w:rPr>
          <w:rFonts w:ascii="Cambria" w:hAnsi="Cambria" w:eastAsia="Cambria" w:cs="Cambria"/>
          <w:b w:val="1"/>
          <w:bCs w:val="1"/>
          <w:noProof w:val="0"/>
          <w:color w:val="000000" w:themeColor="text1" w:themeTint="FF" w:themeShade="FF"/>
          <w:sz w:val="26"/>
          <w:szCs w:val="26"/>
          <w:lang w:val="en-GB"/>
        </w:rPr>
      </w:pPr>
      <w:r w:rsidRPr="4B64A443" w:rsidR="4B64A443">
        <w:rPr>
          <w:rFonts w:ascii="Cambria" w:hAnsi="Cambria" w:eastAsia="Cambria" w:cs="Cambria"/>
          <w:b w:val="1"/>
          <w:bCs w:val="1"/>
          <w:noProof w:val="0"/>
          <w:color w:val="000000" w:themeColor="text1" w:themeTint="FF" w:themeShade="FF"/>
          <w:sz w:val="26"/>
          <w:szCs w:val="26"/>
          <w:lang w:val="en-GB"/>
        </w:rPr>
        <w:t>2.5.</w:t>
      </w:r>
      <w:r w:rsidRPr="4B64A443" w:rsidR="4B64A443">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4B64A443" w:rsidR="4B64A443">
        <w:rPr>
          <w:rFonts w:ascii="Cambria" w:hAnsi="Cambria" w:eastAsia="Cambria" w:cs="Cambria"/>
          <w:b w:val="1"/>
          <w:bCs w:val="1"/>
          <w:noProof w:val="0"/>
          <w:color w:val="000000" w:themeColor="text1" w:themeTint="FF" w:themeShade="FF"/>
          <w:sz w:val="26"/>
          <w:szCs w:val="26"/>
          <w:lang w:val="en-GB"/>
        </w:rPr>
        <w:t>ACTION PLAN</w:t>
      </w:r>
    </w:p>
    <w:p w:rsidR="4B64A443" w:rsidP="4B64A443" w:rsidRDefault="4B64A443" w14:paraId="0B1BD3CC" w14:textId="532BF7F5">
      <w:pPr>
        <w:spacing w:line="360" w:lineRule="auto"/>
        <w:jc w:val="both"/>
      </w:pPr>
      <w:r w:rsidRPr="4B64A443" w:rsidR="4B64A443">
        <w:rPr>
          <w:rFonts w:ascii="Times New Roman" w:hAnsi="Times New Roman" w:eastAsia="Times New Roman" w:cs="Times New Roman"/>
          <w:noProof w:val="0"/>
          <w:sz w:val="24"/>
          <w:szCs w:val="24"/>
          <w:lang w:val="en-GB"/>
        </w:rPr>
        <w:t>This module offered me an experience compared with other subjects on how I can investigate on community aspirations and values that can further encouraged me to reflect on my understanding towards community engagement and the way I can enhance my practical experience in a community-engaged setting (Lewis and Cantor, 2016). I have developed knowledge that can support me to help a community in different ways to improve quality of life within members of the community by understanding their needs, rights and opportunities and developing activities that generate confidence and a feeling of aspiration in them (CABA, 2016). Best practices that I will adopt while carrying out community engagement include (Khasanzyanova, 2017; Paine, McKay and Moro, 2013):</w:t>
      </w:r>
    </w:p>
    <w:p w:rsidR="4B64A443" w:rsidP="4B64A443" w:rsidRDefault="4B64A443" w14:paraId="49D269D1" w14:textId="79A67A3D">
      <w:pPr>
        <w:pStyle w:val="ListParagraph"/>
        <w:numPr>
          <w:ilvl w:val="0"/>
          <w:numId w:val="1"/>
        </w:numPr>
        <w:spacing w:line="360" w:lineRule="auto"/>
        <w:jc w:val="center"/>
        <w:rPr>
          <w:rFonts w:ascii="Times New Roman" w:hAnsi="Times New Roman" w:eastAsia="Times New Roman" w:cs="Times New Roman"/>
          <w:sz w:val="24"/>
          <w:szCs w:val="24"/>
        </w:rPr>
      </w:pPr>
      <w:r w:rsidRPr="4B64A443" w:rsidR="4B64A443">
        <w:rPr>
          <w:rFonts w:ascii="Times New Roman" w:hAnsi="Times New Roman" w:eastAsia="Times New Roman" w:cs="Times New Roman"/>
          <w:noProof w:val="0"/>
          <w:sz w:val="24"/>
          <w:szCs w:val="24"/>
          <w:lang w:val="en-GB"/>
        </w:rPr>
        <w:t>Recognising and exploiting different resources and resilience that exist with communities;</w:t>
      </w:r>
    </w:p>
    <w:p w:rsidR="4B64A443" w:rsidP="4B64A443" w:rsidRDefault="4B64A443" w14:paraId="131FD91C" w14:textId="435DE6D8">
      <w:pPr>
        <w:pStyle w:val="ListParagraph"/>
        <w:numPr>
          <w:ilvl w:val="0"/>
          <w:numId w:val="1"/>
        </w:numPr>
        <w:spacing w:line="360" w:lineRule="auto"/>
        <w:jc w:val="center"/>
        <w:rPr>
          <w:rFonts w:ascii="Times New Roman" w:hAnsi="Times New Roman" w:eastAsia="Times New Roman" w:cs="Times New Roman"/>
          <w:sz w:val="24"/>
          <w:szCs w:val="24"/>
        </w:rPr>
      </w:pPr>
      <w:r w:rsidRPr="4B64A443" w:rsidR="4B64A443">
        <w:rPr>
          <w:rFonts w:ascii="Times New Roman" w:hAnsi="Times New Roman" w:eastAsia="Times New Roman" w:cs="Times New Roman"/>
          <w:noProof w:val="0"/>
          <w:sz w:val="24"/>
          <w:szCs w:val="24"/>
          <w:lang w:val="en-GB"/>
        </w:rPr>
        <w:t>Focusing on creating opportunities through available resources;</w:t>
      </w:r>
    </w:p>
    <w:p w:rsidR="4B64A443" w:rsidP="4B64A443" w:rsidRDefault="4B64A443" w14:paraId="7CF978C5" w14:textId="0AF13742">
      <w:pPr>
        <w:pStyle w:val="ListParagraph"/>
        <w:numPr>
          <w:ilvl w:val="0"/>
          <w:numId w:val="1"/>
        </w:numPr>
        <w:spacing w:line="360" w:lineRule="auto"/>
        <w:jc w:val="center"/>
        <w:rPr>
          <w:rFonts w:ascii="Times New Roman" w:hAnsi="Times New Roman" w:eastAsia="Times New Roman" w:cs="Times New Roman"/>
          <w:sz w:val="24"/>
          <w:szCs w:val="24"/>
        </w:rPr>
      </w:pPr>
      <w:r w:rsidRPr="4B64A443" w:rsidR="4B64A443">
        <w:rPr>
          <w:rFonts w:ascii="Times New Roman" w:hAnsi="Times New Roman" w:eastAsia="Times New Roman" w:cs="Times New Roman"/>
          <w:noProof w:val="0"/>
          <w:sz w:val="24"/>
          <w:szCs w:val="24"/>
          <w:lang w:val="en-GB"/>
        </w:rPr>
        <w:t>Nurturing mutual partnerships within stakeholders to take maximum benefit;</w:t>
      </w:r>
    </w:p>
    <w:p w:rsidR="4B64A443" w:rsidP="4B64A443" w:rsidRDefault="4B64A443" w14:paraId="1FB0C3B8" w14:textId="66027A53">
      <w:pPr>
        <w:pStyle w:val="ListParagraph"/>
        <w:numPr>
          <w:ilvl w:val="0"/>
          <w:numId w:val="1"/>
        </w:numPr>
        <w:spacing w:line="360" w:lineRule="auto"/>
        <w:jc w:val="center"/>
        <w:rPr>
          <w:rFonts w:ascii="Times New Roman" w:hAnsi="Times New Roman" w:eastAsia="Times New Roman" w:cs="Times New Roman"/>
          <w:sz w:val="24"/>
          <w:szCs w:val="24"/>
        </w:rPr>
      </w:pPr>
      <w:r w:rsidRPr="4B64A443" w:rsidR="4B64A443">
        <w:rPr>
          <w:rFonts w:ascii="Times New Roman" w:hAnsi="Times New Roman" w:eastAsia="Times New Roman" w:cs="Times New Roman"/>
          <w:noProof w:val="0"/>
          <w:sz w:val="24"/>
          <w:szCs w:val="24"/>
          <w:lang w:val="en-GB"/>
        </w:rPr>
        <w:t>Collaborating with community partners to increase the benefits of the social program by engaging every stakeholder;</w:t>
      </w:r>
    </w:p>
    <w:p w:rsidR="4B64A443" w:rsidP="4B64A443" w:rsidRDefault="4B64A443" w14:paraId="66E2B2E7" w14:textId="21692A08">
      <w:pPr>
        <w:pStyle w:val="ListParagraph"/>
        <w:numPr>
          <w:ilvl w:val="0"/>
          <w:numId w:val="1"/>
        </w:numPr>
        <w:spacing w:line="360" w:lineRule="auto"/>
        <w:jc w:val="center"/>
        <w:rPr>
          <w:rFonts w:ascii="Times New Roman" w:hAnsi="Times New Roman" w:eastAsia="Times New Roman" w:cs="Times New Roman"/>
          <w:sz w:val="24"/>
          <w:szCs w:val="24"/>
        </w:rPr>
      </w:pPr>
      <w:r w:rsidRPr="4B64A443" w:rsidR="4B64A443">
        <w:rPr>
          <w:rFonts w:ascii="Times New Roman" w:hAnsi="Times New Roman" w:eastAsia="Times New Roman" w:cs="Times New Roman"/>
          <w:noProof w:val="0"/>
          <w:sz w:val="24"/>
          <w:szCs w:val="24"/>
          <w:lang w:val="en-GB"/>
        </w:rPr>
        <w:t>Carrying out community engagement activities with a positive listening and learning attitude;</w:t>
      </w:r>
    </w:p>
    <w:p w:rsidR="4B64A443" w:rsidP="4B64A443" w:rsidRDefault="4B64A443" w14:paraId="4EBDAA43" w14:textId="7BD8D1AE">
      <w:pPr>
        <w:pStyle w:val="ListParagraph"/>
        <w:numPr>
          <w:ilvl w:val="0"/>
          <w:numId w:val="1"/>
        </w:numPr>
        <w:spacing w:line="360" w:lineRule="auto"/>
        <w:jc w:val="center"/>
        <w:rPr>
          <w:rFonts w:ascii="Times New Roman" w:hAnsi="Times New Roman" w:eastAsia="Times New Roman" w:cs="Times New Roman"/>
          <w:sz w:val="24"/>
          <w:szCs w:val="24"/>
        </w:rPr>
      </w:pPr>
      <w:r w:rsidRPr="4B64A443" w:rsidR="4B64A443">
        <w:rPr>
          <w:rFonts w:ascii="Times New Roman" w:hAnsi="Times New Roman" w:eastAsia="Times New Roman" w:cs="Times New Roman"/>
          <w:noProof w:val="0"/>
          <w:sz w:val="24"/>
          <w:szCs w:val="24"/>
          <w:lang w:val="en-GB"/>
        </w:rPr>
        <w:t xml:space="preserve">Making sure that the activity drives change and improvement in the community and is sustainable by creating awareness among the member of the community. </w:t>
      </w:r>
    </w:p>
    <w:p w:rsidR="4B64A443" w:rsidP="4B64A443" w:rsidRDefault="4B64A443" w14:paraId="2BDDA9B7" w14:textId="456717CA">
      <w:pPr>
        <w:spacing w:line="360" w:lineRule="auto"/>
        <w:jc w:val="both"/>
        <w:rPr>
          <w:rFonts w:ascii="Times New Roman" w:hAnsi="Times New Roman" w:eastAsia="Times New Roman" w:cs="Times New Roman"/>
          <w:noProof w:val="0"/>
          <w:sz w:val="24"/>
          <w:szCs w:val="24"/>
          <w:lang w:val="en-GB"/>
        </w:rPr>
      </w:pPr>
      <w:r w:rsidRPr="4B64A443" w:rsidR="4B64A443">
        <w:rPr>
          <w:rFonts w:ascii="Times New Roman" w:hAnsi="Times New Roman" w:eastAsia="Times New Roman" w:cs="Times New Roman"/>
          <w:noProof w:val="0"/>
          <w:sz w:val="24"/>
          <w:szCs w:val="24"/>
          <w:lang w:val="en-GB"/>
        </w:rPr>
        <w:t>This module has also taught me that a community engagement approach can be tailored concerning the interests of the community and potential risks should be considered and mitigated before undertaking a community engagement initiative (Attree et al., 2010). At any point, all stakeholders should properly be communicated and community program must be evaluated (Bassler et al., 2008). Community engagement will help me to build new skills for my future career through:</w:t>
      </w:r>
    </w:p>
    <w:p w:rsidR="4B64A443" w:rsidP="4B64A443" w:rsidRDefault="4B64A443" w14:paraId="6B81F2B7" w14:textId="7DC52678">
      <w:pPr>
        <w:pStyle w:val="ListParagraph"/>
        <w:numPr>
          <w:ilvl w:val="0"/>
          <w:numId w:val="1"/>
        </w:numPr>
        <w:spacing w:line="360" w:lineRule="auto"/>
        <w:jc w:val="center"/>
        <w:rPr>
          <w:rFonts w:ascii="Times New Roman" w:hAnsi="Times New Roman" w:eastAsia="Times New Roman" w:cs="Times New Roman"/>
          <w:sz w:val="24"/>
          <w:szCs w:val="24"/>
        </w:rPr>
      </w:pPr>
      <w:r w:rsidRPr="4B64A443" w:rsidR="4B64A443">
        <w:rPr>
          <w:rFonts w:ascii="Times New Roman" w:hAnsi="Times New Roman" w:eastAsia="Times New Roman" w:cs="Times New Roman"/>
          <w:noProof w:val="0"/>
          <w:sz w:val="24"/>
          <w:szCs w:val="24"/>
          <w:lang w:val="en-GB"/>
        </w:rPr>
        <w:t>Meeting new people;</w:t>
      </w:r>
    </w:p>
    <w:p w:rsidR="4B64A443" w:rsidP="4B64A443" w:rsidRDefault="4B64A443" w14:paraId="6E75181F" w14:textId="05E128D9">
      <w:pPr>
        <w:pStyle w:val="ListParagraph"/>
        <w:numPr>
          <w:ilvl w:val="0"/>
          <w:numId w:val="1"/>
        </w:numPr>
        <w:spacing w:line="360" w:lineRule="auto"/>
        <w:jc w:val="center"/>
        <w:rPr>
          <w:rFonts w:ascii="Times New Roman" w:hAnsi="Times New Roman" w:eastAsia="Times New Roman" w:cs="Times New Roman"/>
          <w:sz w:val="24"/>
          <w:szCs w:val="24"/>
        </w:rPr>
      </w:pPr>
      <w:r w:rsidRPr="4B64A443" w:rsidR="4B64A443">
        <w:rPr>
          <w:rFonts w:ascii="Times New Roman" w:hAnsi="Times New Roman" w:eastAsia="Times New Roman" w:cs="Times New Roman"/>
          <w:noProof w:val="0"/>
          <w:sz w:val="24"/>
          <w:szCs w:val="24"/>
          <w:lang w:val="en-GB"/>
        </w:rPr>
        <w:t>Cultivating a professional relationship towards community members (Ellis, 2004);</w:t>
      </w:r>
    </w:p>
    <w:p w:rsidR="4B64A443" w:rsidP="4B64A443" w:rsidRDefault="4B64A443" w14:paraId="15595FAB" w14:textId="0A0BFF54">
      <w:pPr>
        <w:pStyle w:val="ListParagraph"/>
        <w:numPr>
          <w:ilvl w:val="0"/>
          <w:numId w:val="1"/>
        </w:numPr>
        <w:spacing w:line="360" w:lineRule="auto"/>
        <w:jc w:val="center"/>
        <w:rPr>
          <w:rFonts w:ascii="Times New Roman" w:hAnsi="Times New Roman" w:eastAsia="Times New Roman" w:cs="Times New Roman"/>
          <w:sz w:val="24"/>
          <w:szCs w:val="24"/>
        </w:rPr>
      </w:pPr>
      <w:r w:rsidRPr="4B64A443" w:rsidR="4B64A443">
        <w:rPr>
          <w:rFonts w:ascii="Times New Roman" w:hAnsi="Times New Roman" w:eastAsia="Times New Roman" w:cs="Times New Roman"/>
          <w:noProof w:val="0"/>
          <w:sz w:val="24"/>
          <w:szCs w:val="24"/>
          <w:lang w:val="en-GB"/>
        </w:rPr>
        <w:t>Developing new skills by engaging myself in a risk-free environment;</w:t>
      </w:r>
    </w:p>
    <w:p w:rsidR="4B64A443" w:rsidP="4B64A443" w:rsidRDefault="4B64A443" w14:paraId="6F7E60B1" w14:textId="41C16346">
      <w:pPr>
        <w:pStyle w:val="ListParagraph"/>
        <w:numPr>
          <w:ilvl w:val="0"/>
          <w:numId w:val="1"/>
        </w:numPr>
        <w:spacing w:line="360" w:lineRule="auto"/>
        <w:jc w:val="center"/>
        <w:rPr>
          <w:rFonts w:ascii="Times New Roman" w:hAnsi="Times New Roman" w:eastAsia="Times New Roman" w:cs="Times New Roman"/>
          <w:sz w:val="24"/>
          <w:szCs w:val="24"/>
        </w:rPr>
      </w:pPr>
      <w:r w:rsidRPr="4B64A443" w:rsidR="4B64A443">
        <w:rPr>
          <w:rFonts w:ascii="Times New Roman" w:hAnsi="Times New Roman" w:eastAsia="Times New Roman" w:cs="Times New Roman"/>
          <w:noProof w:val="0"/>
          <w:sz w:val="24"/>
          <w:szCs w:val="24"/>
          <w:lang w:val="en-GB"/>
        </w:rPr>
        <w:t>Help in sharpening my existing skills (Hsu, Chiang and Huang, 201);</w:t>
      </w:r>
    </w:p>
    <w:p w:rsidR="4B64A443" w:rsidP="4B64A443" w:rsidRDefault="4B64A443" w14:paraId="63B26848" w14:textId="58FE0633">
      <w:pPr>
        <w:pStyle w:val="ListParagraph"/>
        <w:numPr>
          <w:ilvl w:val="0"/>
          <w:numId w:val="1"/>
        </w:numPr>
        <w:spacing w:line="360" w:lineRule="auto"/>
        <w:jc w:val="center"/>
        <w:rPr>
          <w:rFonts w:ascii="Calibri" w:hAnsi="Calibri" w:eastAsia="Calibri" w:cs="Calibri" w:asciiTheme="minorAscii" w:hAnsiTheme="minorAscii" w:eastAsiaTheme="minorAscii" w:cstheme="minorAscii"/>
          <w:sz w:val="24"/>
          <w:szCs w:val="24"/>
        </w:rPr>
      </w:pPr>
      <w:r w:rsidRPr="4B64A443" w:rsidR="4B64A443">
        <w:rPr>
          <w:rFonts w:ascii="Times New Roman" w:hAnsi="Times New Roman" w:eastAsia="Times New Roman" w:cs="Times New Roman"/>
          <w:noProof w:val="0"/>
          <w:sz w:val="24"/>
          <w:szCs w:val="24"/>
          <w:lang w:val="en-GB"/>
        </w:rPr>
        <w:t>Boosting performance by actively engaging in community activities (CABA, 2016)</w:t>
      </w:r>
      <w:r w:rsidRPr="4B64A443" w:rsidR="4B64A443">
        <w:rPr>
          <w:rFonts w:ascii="Calibri" w:hAnsi="Calibri" w:eastAsia="Calibri" w:cs="Calibri"/>
          <w:noProof w:val="0"/>
          <w:sz w:val="24"/>
          <w:szCs w:val="24"/>
          <w:lang w:val="en-GB"/>
        </w:rPr>
        <w:t>.</w:t>
      </w:r>
    </w:p>
    <w:p w:rsidR="4B64A443" w:rsidP="4B64A443" w:rsidRDefault="4B64A443" w14:paraId="301D3304" w14:textId="77528843">
      <w:pPr>
        <w:spacing w:line="360" w:lineRule="auto"/>
        <w:jc w:val="both"/>
      </w:pPr>
      <w:r w:rsidRPr="4B64A443" w:rsidR="4B64A443">
        <w:rPr>
          <w:rFonts w:ascii="Times New Roman" w:hAnsi="Times New Roman" w:eastAsia="Times New Roman" w:cs="Times New Roman"/>
          <w:noProof w:val="0"/>
          <w:sz w:val="24"/>
          <w:szCs w:val="24"/>
          <w:lang w:val="en-GB"/>
        </w:rPr>
        <w:t>Community engagement literature provides a clear understanding of how I will be benefited if I am looking for work or making a move towards my next step in life. Social programs can broaden one's experience by integrating real-life exposure (Ellis, 2004). With the help of this module, I can put my theoretical skills in the real world while I am looking for job opportunities (CABA, 2016). This will provide me with hands-on experience to enter into the career field I would like to. The case study of Tesla helped me understand the importance of social media and I have learnt the role being played by effectively engaging through social media to carry out community engagement activities. The ranges of skills I will acquire by engaging myself with social activities include (Clarke, 2019; Khasanzyanova, 2017):</w:t>
      </w:r>
    </w:p>
    <w:p w:rsidR="4B64A443" w:rsidP="4B64A443" w:rsidRDefault="4B64A443" w14:paraId="073A13BE" w14:textId="3161FE42">
      <w:pPr>
        <w:pStyle w:val="ListParagraph"/>
        <w:numPr>
          <w:ilvl w:val="0"/>
          <w:numId w:val="2"/>
        </w:numPr>
        <w:spacing w:line="360" w:lineRule="auto"/>
        <w:jc w:val="center"/>
        <w:rPr>
          <w:rFonts w:ascii="Calibri" w:hAnsi="Calibri" w:eastAsia="Calibri" w:cs="Calibri" w:asciiTheme="minorAscii" w:hAnsiTheme="minorAscii" w:eastAsiaTheme="minorAscii" w:cstheme="minorAscii"/>
          <w:sz w:val="24"/>
          <w:szCs w:val="24"/>
        </w:rPr>
      </w:pPr>
      <w:r w:rsidRPr="4B64A443" w:rsidR="4B64A443">
        <w:rPr>
          <w:rFonts w:ascii="Calibri" w:hAnsi="Calibri" w:eastAsia="Calibri" w:cs="Calibri"/>
          <w:noProof w:val="0"/>
          <w:sz w:val="24"/>
          <w:szCs w:val="24"/>
          <w:lang w:val="en-GB"/>
        </w:rPr>
        <w:t>Teamwork;</w:t>
      </w:r>
    </w:p>
    <w:p w:rsidR="4B64A443" w:rsidP="4B64A443" w:rsidRDefault="4B64A443" w14:paraId="5E4E5A78" w14:textId="4CFA8336">
      <w:pPr>
        <w:pStyle w:val="ListParagraph"/>
        <w:numPr>
          <w:ilvl w:val="0"/>
          <w:numId w:val="2"/>
        </w:numPr>
        <w:spacing w:line="360" w:lineRule="auto"/>
        <w:jc w:val="center"/>
        <w:rPr>
          <w:rFonts w:ascii="Calibri" w:hAnsi="Calibri" w:eastAsia="Calibri" w:cs="Calibri" w:asciiTheme="minorAscii" w:hAnsiTheme="minorAscii" w:eastAsiaTheme="minorAscii" w:cstheme="minorAscii"/>
          <w:sz w:val="24"/>
          <w:szCs w:val="24"/>
        </w:rPr>
      </w:pPr>
      <w:r w:rsidRPr="4B64A443" w:rsidR="4B64A443">
        <w:rPr>
          <w:rFonts w:ascii="Calibri" w:hAnsi="Calibri" w:eastAsia="Calibri" w:cs="Calibri"/>
          <w:noProof w:val="0"/>
          <w:sz w:val="24"/>
          <w:szCs w:val="24"/>
          <w:lang w:val="en-GB"/>
        </w:rPr>
        <w:t>Problem-solving;</w:t>
      </w:r>
    </w:p>
    <w:p w:rsidR="4B64A443" w:rsidP="4B64A443" w:rsidRDefault="4B64A443" w14:paraId="3DEDCFE1" w14:textId="7A39E514">
      <w:pPr>
        <w:pStyle w:val="ListParagraph"/>
        <w:numPr>
          <w:ilvl w:val="0"/>
          <w:numId w:val="2"/>
        </w:numPr>
        <w:spacing w:line="360" w:lineRule="auto"/>
        <w:jc w:val="center"/>
        <w:rPr>
          <w:rFonts w:ascii="Calibri" w:hAnsi="Calibri" w:eastAsia="Calibri" w:cs="Calibri" w:asciiTheme="minorAscii" w:hAnsiTheme="minorAscii" w:eastAsiaTheme="minorAscii" w:cstheme="minorAscii"/>
          <w:sz w:val="24"/>
          <w:szCs w:val="24"/>
        </w:rPr>
      </w:pPr>
      <w:r w:rsidRPr="4B64A443" w:rsidR="4B64A443">
        <w:rPr>
          <w:rFonts w:ascii="Calibri" w:hAnsi="Calibri" w:eastAsia="Calibri" w:cs="Calibri"/>
          <w:noProof w:val="0"/>
          <w:sz w:val="24"/>
          <w:szCs w:val="24"/>
          <w:lang w:val="en-GB"/>
        </w:rPr>
        <w:t>Compliance;</w:t>
      </w:r>
    </w:p>
    <w:p w:rsidR="4B64A443" w:rsidP="4B64A443" w:rsidRDefault="4B64A443" w14:paraId="60837CA3" w14:textId="6F80906D">
      <w:pPr>
        <w:pStyle w:val="ListParagraph"/>
        <w:numPr>
          <w:ilvl w:val="0"/>
          <w:numId w:val="2"/>
        </w:numPr>
        <w:spacing w:line="360" w:lineRule="auto"/>
        <w:jc w:val="center"/>
        <w:rPr>
          <w:rFonts w:ascii="Calibri" w:hAnsi="Calibri" w:eastAsia="Calibri" w:cs="Calibri" w:asciiTheme="minorAscii" w:hAnsiTheme="minorAscii" w:eastAsiaTheme="minorAscii" w:cstheme="minorAscii"/>
          <w:sz w:val="24"/>
          <w:szCs w:val="24"/>
        </w:rPr>
      </w:pPr>
      <w:r w:rsidRPr="4B64A443" w:rsidR="4B64A443">
        <w:rPr>
          <w:rFonts w:ascii="Calibri" w:hAnsi="Calibri" w:eastAsia="Calibri" w:cs="Calibri"/>
          <w:noProof w:val="0"/>
          <w:sz w:val="24"/>
          <w:szCs w:val="24"/>
          <w:lang w:val="en-GB"/>
        </w:rPr>
        <w:t>Time management;</w:t>
      </w:r>
    </w:p>
    <w:p w:rsidR="4B64A443" w:rsidP="4B64A443" w:rsidRDefault="4B64A443" w14:paraId="05446FD5" w14:textId="1FD1CCC7">
      <w:pPr>
        <w:pStyle w:val="ListParagraph"/>
        <w:numPr>
          <w:ilvl w:val="0"/>
          <w:numId w:val="2"/>
        </w:numPr>
        <w:spacing w:line="360" w:lineRule="auto"/>
        <w:jc w:val="center"/>
        <w:rPr>
          <w:rFonts w:ascii="Calibri" w:hAnsi="Calibri" w:eastAsia="Calibri" w:cs="Calibri" w:asciiTheme="minorAscii" w:hAnsiTheme="minorAscii" w:eastAsiaTheme="minorAscii" w:cstheme="minorAscii"/>
          <w:sz w:val="24"/>
          <w:szCs w:val="24"/>
        </w:rPr>
      </w:pPr>
      <w:r w:rsidRPr="4B64A443" w:rsidR="4B64A443">
        <w:rPr>
          <w:rFonts w:ascii="Calibri" w:hAnsi="Calibri" w:eastAsia="Calibri" w:cs="Calibri"/>
          <w:noProof w:val="0"/>
          <w:sz w:val="24"/>
          <w:szCs w:val="24"/>
          <w:lang w:val="en-GB"/>
        </w:rPr>
        <w:t>Communication skills;</w:t>
      </w:r>
    </w:p>
    <w:p w:rsidR="4B64A443" w:rsidP="4B64A443" w:rsidRDefault="4B64A443" w14:paraId="75A97B3E" w14:textId="714F41F3">
      <w:pPr>
        <w:pStyle w:val="ListParagraph"/>
        <w:numPr>
          <w:ilvl w:val="0"/>
          <w:numId w:val="2"/>
        </w:numPr>
        <w:spacing w:line="360" w:lineRule="auto"/>
        <w:jc w:val="center"/>
        <w:rPr>
          <w:rFonts w:ascii="Calibri" w:hAnsi="Calibri" w:eastAsia="Calibri" w:cs="Calibri" w:asciiTheme="minorAscii" w:hAnsiTheme="minorAscii" w:eastAsiaTheme="minorAscii" w:cstheme="minorAscii"/>
          <w:sz w:val="24"/>
          <w:szCs w:val="24"/>
        </w:rPr>
      </w:pPr>
      <w:r w:rsidRPr="4B64A443" w:rsidR="4B64A443">
        <w:rPr>
          <w:rFonts w:ascii="Calibri" w:hAnsi="Calibri" w:eastAsia="Calibri" w:cs="Calibri"/>
          <w:noProof w:val="0"/>
          <w:sz w:val="24"/>
          <w:szCs w:val="24"/>
          <w:lang w:val="en-GB"/>
        </w:rPr>
        <w:t>Industry-related skills;</w:t>
      </w:r>
    </w:p>
    <w:p w:rsidR="4B64A443" w:rsidP="4B64A443" w:rsidRDefault="4B64A443" w14:paraId="7FC4D9F2" w14:textId="3D8B6D6C">
      <w:pPr>
        <w:pStyle w:val="ListParagraph"/>
        <w:numPr>
          <w:ilvl w:val="0"/>
          <w:numId w:val="2"/>
        </w:numPr>
        <w:spacing w:line="360" w:lineRule="auto"/>
        <w:jc w:val="center"/>
        <w:rPr>
          <w:rFonts w:ascii="Calibri" w:hAnsi="Calibri" w:eastAsia="Calibri" w:cs="Calibri" w:asciiTheme="minorAscii" w:hAnsiTheme="minorAscii" w:eastAsiaTheme="minorAscii" w:cstheme="minorAscii"/>
          <w:sz w:val="24"/>
          <w:szCs w:val="24"/>
        </w:rPr>
      </w:pPr>
      <w:r w:rsidRPr="4B64A443" w:rsidR="4B64A443">
        <w:rPr>
          <w:rFonts w:ascii="Calibri" w:hAnsi="Calibri" w:eastAsia="Calibri" w:cs="Calibri"/>
          <w:noProof w:val="0"/>
          <w:sz w:val="24"/>
          <w:szCs w:val="24"/>
          <w:lang w:val="en-GB"/>
        </w:rPr>
        <w:t>Leadership;</w:t>
      </w:r>
    </w:p>
    <w:p w:rsidR="4B64A443" w:rsidP="4B64A443" w:rsidRDefault="4B64A443" w14:paraId="02378795" w14:textId="2DFE4558">
      <w:pPr>
        <w:spacing w:line="360" w:lineRule="auto"/>
        <w:jc w:val="both"/>
      </w:pPr>
      <w:r w:rsidRPr="4B64A443" w:rsidR="4B64A443">
        <w:rPr>
          <w:rFonts w:ascii="Times New Roman" w:hAnsi="Times New Roman" w:eastAsia="Times New Roman" w:cs="Times New Roman"/>
          <w:noProof w:val="0"/>
          <w:sz w:val="24"/>
          <w:szCs w:val="24"/>
          <w:lang w:val="en-GB"/>
        </w:rPr>
        <w:t xml:space="preserve">Above soft skills that I will learn are highly desirable to employers; acquiring these skills will provide me with an advantage over my peers (Paine, McKay and Moro, 2013). </w:t>
      </w:r>
    </w:p>
    <w:p w:rsidR="4B64A443" w:rsidP="4B64A443" w:rsidRDefault="4B64A443" w14:paraId="79358DE3" w14:textId="43B9CB94">
      <w:pPr>
        <w:spacing w:line="360" w:lineRule="auto"/>
        <w:jc w:val="both"/>
      </w:pPr>
      <w:r w:rsidRPr="4B64A443" w:rsidR="4B64A443">
        <w:rPr>
          <w:rFonts w:ascii="Times New Roman" w:hAnsi="Times New Roman" w:eastAsia="Times New Roman" w:cs="Times New Roman"/>
          <w:noProof w:val="0"/>
          <w:sz w:val="24"/>
          <w:szCs w:val="24"/>
          <w:lang w:val="en-GB"/>
        </w:rPr>
        <w:t>A study by Oxfam reveals that over 80% of organisations in the UK prefer candidates having voluntary experience (Hussey, 2019); similarly, a survey by the TimeBank shows that 73% of the employers will recruit a candidate having volunteering experience (Hussey, 2019). The above evidence further strengthens my views on the importance of community engagement. Community management has the potential to reshape lives. The module helps me understand different perspectives related to long-term and short-term community engagement activities; implications on an organisation for not involving in community programs are huge; companies having low involvement within the community usually do not get any appreciation from society.</w:t>
      </w:r>
    </w:p>
    <w:p w:rsidR="4B64A443" w:rsidP="4B64A443" w:rsidRDefault="4B64A443" w14:paraId="5062AFBB" w14:textId="456C2637">
      <w:pPr>
        <w:pStyle w:val="Heading2"/>
        <w:rPr>
          <w:rFonts w:ascii="Cambria" w:hAnsi="Cambria" w:eastAsia="Cambria" w:cs="Cambria"/>
          <w:b w:val="1"/>
          <w:bCs w:val="1"/>
          <w:noProof w:val="0"/>
          <w:color w:val="000000" w:themeColor="text1" w:themeTint="FF" w:themeShade="FF"/>
          <w:sz w:val="26"/>
          <w:szCs w:val="26"/>
          <w:lang w:val="en-GB"/>
        </w:rPr>
      </w:pPr>
      <w:r w:rsidRPr="4B64A443" w:rsidR="4B64A443">
        <w:rPr>
          <w:rFonts w:ascii="Cambria" w:hAnsi="Cambria" w:eastAsia="Cambria" w:cs="Cambria"/>
          <w:b w:val="1"/>
          <w:bCs w:val="1"/>
          <w:noProof w:val="0"/>
          <w:color w:val="000000" w:themeColor="text1" w:themeTint="FF" w:themeShade="FF"/>
          <w:sz w:val="26"/>
          <w:szCs w:val="26"/>
          <w:lang w:val="en-GB"/>
        </w:rPr>
        <w:t>2.6.</w:t>
      </w:r>
      <w:r w:rsidRPr="4B64A443" w:rsidR="4B64A443">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4B64A443" w:rsidR="4B64A443">
        <w:rPr>
          <w:rFonts w:ascii="Cambria" w:hAnsi="Cambria" w:eastAsia="Cambria" w:cs="Cambria"/>
          <w:b w:val="1"/>
          <w:bCs w:val="1"/>
          <w:noProof w:val="0"/>
          <w:color w:val="000000" w:themeColor="text1" w:themeTint="FF" w:themeShade="FF"/>
          <w:sz w:val="26"/>
          <w:szCs w:val="26"/>
          <w:lang w:val="en-GB"/>
        </w:rPr>
        <w:t>CONCLUSION</w:t>
      </w:r>
    </w:p>
    <w:p w:rsidR="4B64A443" w:rsidP="4B64A443" w:rsidRDefault="4B64A443" w14:paraId="6D526273" w14:textId="6F747AB8">
      <w:pPr>
        <w:spacing w:line="360" w:lineRule="auto"/>
        <w:jc w:val="both"/>
      </w:pPr>
      <w:r w:rsidRPr="4B64A443" w:rsidR="4B64A443">
        <w:rPr>
          <w:rFonts w:ascii="Times New Roman" w:hAnsi="Times New Roman" w:eastAsia="Times New Roman" w:cs="Times New Roman"/>
          <w:noProof w:val="0"/>
          <w:sz w:val="24"/>
          <w:szCs w:val="24"/>
          <w:lang w:val="en-GB"/>
        </w:rPr>
        <w:t xml:space="preserve">From the above reflective report, I have learnt the importance of community engagement on how community engagement can help increasing performances of companies and employees and how an individual can benefit from community engagement. Community engagement can provide a competitive advantage to both organisations and individuals. An individual can increase their employment chances by acquiring new skills, improving existing skills and gaining knowledge by involving in community engagement activities; organisations can increase their employees' engagement by increasing social programs which will enhance company's performance levels. Community's engagement approach is tailored to reflect community's interest that should be carefully executed by having all stakeholders on board; any risks such as cultural differences, funding issues, community's members' cooperation should be identified and treated accordingly. An effective community engagement gives birth to a strong relationship between an organisation and community. It is important for an organisation to actively keep monitoring activities to assess the effectiveness of their plans and evaluate results to make sure activities are working in a perfect way to strengthen communities. </w:t>
      </w:r>
    </w:p>
    <w:p w:rsidR="4B64A443" w:rsidP="4B64A443" w:rsidRDefault="4B64A443" w14:paraId="7DE502B1" w14:textId="0470F6B2">
      <w:pPr>
        <w:pStyle w:val="Normal"/>
        <w:spacing w:line="360" w:lineRule="auto"/>
        <w:jc w:val="both"/>
        <w:rPr>
          <w:rFonts w:ascii="Times New Roman" w:hAnsi="Times New Roman" w:eastAsia="Times New Roman" w:cs="Times New Roman"/>
          <w:noProof w:val="0"/>
          <w:sz w:val="24"/>
          <w:szCs w:val="24"/>
          <w:lang w:val="en-GB"/>
        </w:rPr>
      </w:pPr>
    </w:p>
    <w:p w:rsidR="4B64A443" w:rsidP="4B64A443" w:rsidRDefault="4B64A443" w14:paraId="09D918FC" w14:textId="27B92569">
      <w:pPr>
        <w:pStyle w:val="Heading2"/>
        <w:rPr>
          <w:rFonts w:ascii="Cambria" w:hAnsi="Cambria" w:eastAsia="Cambria" w:cs="Cambria"/>
          <w:b w:val="1"/>
          <w:bCs w:val="1"/>
          <w:noProof w:val="0"/>
          <w:color w:val="000000" w:themeColor="text1" w:themeTint="FF" w:themeShade="FF"/>
          <w:sz w:val="26"/>
          <w:szCs w:val="26"/>
          <w:lang w:val="en-GB"/>
        </w:rPr>
      </w:pPr>
      <w:r w:rsidRPr="4B64A443" w:rsidR="4B64A443">
        <w:rPr>
          <w:rFonts w:ascii="Cambria" w:hAnsi="Cambria" w:eastAsia="Cambria" w:cs="Cambria"/>
          <w:b w:val="1"/>
          <w:bCs w:val="1"/>
          <w:noProof w:val="0"/>
          <w:color w:val="000000" w:themeColor="text1" w:themeTint="FF" w:themeShade="FF"/>
          <w:sz w:val="26"/>
          <w:szCs w:val="26"/>
          <w:lang w:val="en-GB"/>
        </w:rPr>
        <w:t>REFERENCE LIST</w:t>
      </w:r>
    </w:p>
    <w:p w:rsidR="4B64A443" w:rsidP="4B64A443" w:rsidRDefault="4B64A443" w14:paraId="233794D0" w14:textId="0B07206A">
      <w:pPr>
        <w:pStyle w:val="Normal"/>
        <w:rPr>
          <w:noProof w:val="0"/>
          <w:sz w:val="24"/>
          <w:szCs w:val="24"/>
          <w:lang w:val="en-GB"/>
        </w:rPr>
      </w:pPr>
      <w:r w:rsidRPr="4B64A443" w:rsidR="4B64A443">
        <w:rPr>
          <w:noProof w:val="0"/>
          <w:sz w:val="24"/>
          <w:szCs w:val="24"/>
          <w:lang w:val="en-GB"/>
        </w:rPr>
        <w:t xml:space="preserve">Attree, P., French, B., Milton, B., </w:t>
      </w:r>
      <w:proofErr w:type="spellStart"/>
      <w:r w:rsidRPr="4B64A443" w:rsidR="4B64A443">
        <w:rPr>
          <w:noProof w:val="0"/>
          <w:sz w:val="24"/>
          <w:szCs w:val="24"/>
          <w:lang w:val="en-GB"/>
        </w:rPr>
        <w:t>Povall</w:t>
      </w:r>
      <w:proofErr w:type="spellEnd"/>
      <w:r w:rsidRPr="4B64A443" w:rsidR="4B64A443">
        <w:rPr>
          <w:noProof w:val="0"/>
          <w:sz w:val="24"/>
          <w:szCs w:val="24"/>
          <w:lang w:val="en-GB"/>
        </w:rPr>
        <w:t xml:space="preserve">, S., Whitehead, M. and </w:t>
      </w:r>
      <w:proofErr w:type="spellStart"/>
      <w:r w:rsidRPr="4B64A443" w:rsidR="4B64A443">
        <w:rPr>
          <w:noProof w:val="0"/>
          <w:sz w:val="24"/>
          <w:szCs w:val="24"/>
          <w:lang w:val="en-GB"/>
        </w:rPr>
        <w:t>Popay</w:t>
      </w:r>
      <w:proofErr w:type="spellEnd"/>
      <w:r w:rsidRPr="4B64A443" w:rsidR="4B64A443">
        <w:rPr>
          <w:noProof w:val="0"/>
          <w:sz w:val="24"/>
          <w:szCs w:val="24"/>
          <w:lang w:val="en-GB"/>
        </w:rPr>
        <w:t xml:space="preserve">, J. (2010). The Experience of Community Engagement for individuals: </w:t>
      </w:r>
      <w:proofErr w:type="gramStart"/>
      <w:r w:rsidRPr="4B64A443" w:rsidR="4B64A443">
        <w:rPr>
          <w:noProof w:val="0"/>
          <w:sz w:val="24"/>
          <w:szCs w:val="24"/>
          <w:lang w:val="en-GB"/>
        </w:rPr>
        <w:t>a</w:t>
      </w:r>
      <w:proofErr w:type="gramEnd"/>
      <w:r w:rsidRPr="4B64A443" w:rsidR="4B64A443">
        <w:rPr>
          <w:noProof w:val="0"/>
          <w:sz w:val="24"/>
          <w:szCs w:val="24"/>
          <w:lang w:val="en-GB"/>
        </w:rPr>
        <w:t xml:space="preserve"> Rapid Review of Evidence. </w:t>
      </w:r>
      <w:r w:rsidRPr="4B64A443" w:rsidR="4B64A443">
        <w:rPr>
          <w:noProof w:val="0"/>
          <w:sz w:val="24"/>
          <w:szCs w:val="24"/>
          <w:lang w:val="en-GB"/>
        </w:rPr>
        <w:t>Health &amp; Social Care in the Community</w:t>
      </w:r>
      <w:r w:rsidRPr="4B64A443" w:rsidR="4B64A443">
        <w:rPr>
          <w:noProof w:val="0"/>
          <w:sz w:val="24"/>
          <w:szCs w:val="24"/>
          <w:lang w:val="en-GB"/>
        </w:rPr>
        <w:t>, 19(3), pp.250–260.</w:t>
      </w:r>
    </w:p>
    <w:p w:rsidR="4B64A443" w:rsidP="4B64A443" w:rsidRDefault="4B64A443" w14:paraId="20DE87FA" w14:textId="48BA2CCC">
      <w:pPr>
        <w:pStyle w:val="Normal"/>
        <w:rPr>
          <w:noProof w:val="0"/>
          <w:sz w:val="24"/>
          <w:szCs w:val="24"/>
          <w:lang w:val="en-GB"/>
        </w:rPr>
      </w:pPr>
      <w:r w:rsidRPr="4B64A443" w:rsidR="4B64A443">
        <w:rPr>
          <w:noProof w:val="0"/>
          <w:sz w:val="24"/>
          <w:szCs w:val="24"/>
          <w:lang w:val="en-GB"/>
        </w:rPr>
        <w:t xml:space="preserve">Bassler, A., Brasier, K., Fogel, N. and </w:t>
      </w:r>
      <w:proofErr w:type="spellStart"/>
      <w:r w:rsidRPr="4B64A443" w:rsidR="4B64A443">
        <w:rPr>
          <w:noProof w:val="0"/>
          <w:sz w:val="24"/>
          <w:szCs w:val="24"/>
          <w:lang w:val="en-GB"/>
        </w:rPr>
        <w:t>Taverno</w:t>
      </w:r>
      <w:proofErr w:type="spellEnd"/>
      <w:r w:rsidRPr="4B64A443" w:rsidR="4B64A443">
        <w:rPr>
          <w:noProof w:val="0"/>
          <w:sz w:val="24"/>
          <w:szCs w:val="24"/>
          <w:lang w:val="en-GB"/>
        </w:rPr>
        <w:t xml:space="preserve">, R. (2008). </w:t>
      </w:r>
      <w:r w:rsidRPr="4B64A443" w:rsidR="4B64A443">
        <w:rPr>
          <w:noProof w:val="0"/>
          <w:sz w:val="24"/>
          <w:szCs w:val="24"/>
          <w:lang w:val="en-GB"/>
        </w:rPr>
        <w:t xml:space="preserve">Developing Effective Citizen </w:t>
      </w:r>
      <w:proofErr w:type="gramStart"/>
      <w:r w:rsidRPr="4B64A443" w:rsidR="4B64A443">
        <w:rPr>
          <w:noProof w:val="0"/>
          <w:sz w:val="24"/>
          <w:szCs w:val="24"/>
          <w:lang w:val="en-GB"/>
        </w:rPr>
        <w:t>Engagement :</w:t>
      </w:r>
      <w:proofErr w:type="gramEnd"/>
      <w:r w:rsidRPr="4B64A443" w:rsidR="4B64A443">
        <w:rPr>
          <w:noProof w:val="0"/>
          <w:sz w:val="24"/>
          <w:szCs w:val="24"/>
          <w:lang w:val="en-GB"/>
        </w:rPr>
        <w:t xml:space="preserve"> a how-to Guide for Community Leaders</w:t>
      </w:r>
      <w:r w:rsidRPr="4B64A443" w:rsidR="4B64A443">
        <w:rPr>
          <w:noProof w:val="0"/>
          <w:sz w:val="24"/>
          <w:szCs w:val="24"/>
          <w:lang w:val="en-GB"/>
        </w:rPr>
        <w:t>. Harrisburg, Pa.: Center for Rural Pennsylvania.</w:t>
      </w:r>
    </w:p>
    <w:p w:rsidR="4B64A443" w:rsidP="4B64A443" w:rsidRDefault="4B64A443" w14:paraId="189338AB" w14:textId="63082830">
      <w:pPr>
        <w:pStyle w:val="Normal"/>
        <w:rPr>
          <w:noProof w:val="0"/>
          <w:sz w:val="24"/>
          <w:szCs w:val="24"/>
          <w:lang w:val="en-GB"/>
        </w:rPr>
      </w:pPr>
      <w:r w:rsidRPr="4B64A443" w:rsidR="4B64A443">
        <w:rPr>
          <w:noProof w:val="0"/>
          <w:sz w:val="24"/>
          <w:szCs w:val="24"/>
          <w:lang w:val="en-GB"/>
        </w:rPr>
        <w:t xml:space="preserve">Blomquist, L. and Imel, S. (2015). Making Engagement Worth It: Measuring and Managing How Entrepreneurs Exchange Value with Their Community. </w:t>
      </w:r>
      <w:r w:rsidRPr="4B64A443" w:rsidR="4B64A443">
        <w:rPr>
          <w:noProof w:val="0"/>
          <w:sz w:val="24"/>
          <w:szCs w:val="24"/>
          <w:lang w:val="en-GB"/>
        </w:rPr>
        <w:t>Journal of Creating Value</w:t>
      </w:r>
      <w:r w:rsidRPr="4B64A443" w:rsidR="4B64A443">
        <w:rPr>
          <w:noProof w:val="0"/>
          <w:sz w:val="24"/>
          <w:szCs w:val="24"/>
          <w:lang w:val="en-GB"/>
        </w:rPr>
        <w:t>, 1(1), pp.45–60.</w:t>
      </w:r>
    </w:p>
    <w:p w:rsidR="4B64A443" w:rsidP="4B64A443" w:rsidRDefault="4B64A443" w14:paraId="3DC6338F" w14:textId="1C4D314E">
      <w:pPr>
        <w:pStyle w:val="Normal"/>
        <w:rPr>
          <w:noProof w:val="0"/>
          <w:sz w:val="24"/>
          <w:szCs w:val="24"/>
          <w:lang w:val="en-GB"/>
        </w:rPr>
      </w:pPr>
      <w:r w:rsidRPr="4B64A443" w:rsidR="4B64A443">
        <w:rPr>
          <w:noProof w:val="0"/>
          <w:sz w:val="24"/>
          <w:szCs w:val="24"/>
          <w:lang w:val="en-GB"/>
        </w:rPr>
        <w:t xml:space="preserve">CABA (2016). Developing Your Soft skills: How Volunteering Can Help. [online] CABA - the Charity Supporting Chartered </w:t>
      </w:r>
      <w:proofErr w:type="gramStart"/>
      <w:r w:rsidRPr="4B64A443" w:rsidR="4B64A443">
        <w:rPr>
          <w:noProof w:val="0"/>
          <w:sz w:val="24"/>
          <w:szCs w:val="24"/>
          <w:lang w:val="en-GB"/>
        </w:rPr>
        <w:t>accountants'</w:t>
      </w:r>
      <w:proofErr w:type="gramEnd"/>
      <w:r w:rsidRPr="4B64A443" w:rsidR="4B64A443">
        <w:rPr>
          <w:noProof w:val="0"/>
          <w:sz w:val="24"/>
          <w:szCs w:val="24"/>
          <w:lang w:val="en-GB"/>
        </w:rPr>
        <w:t xml:space="preserve"> Wellbeing. Available at: </w:t>
      </w:r>
      <w:hyperlink r:id="Rebb7f802b5dd48f9">
        <w:r w:rsidRPr="4B64A443" w:rsidR="4B64A443">
          <w:rPr>
            <w:rStyle w:val="Hyperlink"/>
            <w:noProof w:val="0"/>
            <w:sz w:val="24"/>
            <w:szCs w:val="24"/>
            <w:lang w:val="en-GB"/>
          </w:rPr>
          <w:t>https://www.caba.org.uk/help-and-guides/information/developing-your-soft-skills-how-volunteering-can-help</w:t>
        </w:r>
      </w:hyperlink>
      <w:r w:rsidRPr="4B64A443" w:rsidR="4B64A443">
        <w:rPr>
          <w:noProof w:val="0"/>
          <w:sz w:val="24"/>
          <w:szCs w:val="24"/>
          <w:lang w:val="en-GB"/>
        </w:rPr>
        <w:t xml:space="preserve"> </w:t>
      </w:r>
    </w:p>
    <w:p w:rsidR="4B64A443" w:rsidP="4B64A443" w:rsidRDefault="4B64A443" w14:paraId="4ADB9021" w14:textId="6C0B0A06">
      <w:pPr>
        <w:pStyle w:val="Normal"/>
        <w:rPr>
          <w:noProof w:val="0"/>
          <w:sz w:val="24"/>
          <w:szCs w:val="24"/>
          <w:lang w:val="en-GB"/>
        </w:rPr>
      </w:pPr>
      <w:r w:rsidRPr="4B64A443" w:rsidR="4B64A443">
        <w:rPr>
          <w:noProof w:val="0"/>
          <w:sz w:val="24"/>
          <w:szCs w:val="24"/>
          <w:lang w:val="en-GB"/>
        </w:rPr>
        <w:t xml:space="preserve">Clarke, O. (2019). Does Volunteering Boost Student employability? [online] </w:t>
      </w:r>
      <w:proofErr w:type="spellStart"/>
      <w:r w:rsidRPr="4B64A443" w:rsidR="4B64A443">
        <w:rPr>
          <w:noProof w:val="0"/>
          <w:sz w:val="24"/>
          <w:szCs w:val="24"/>
          <w:lang w:val="en-GB"/>
        </w:rPr>
        <w:t>Wonkhe</w:t>
      </w:r>
      <w:proofErr w:type="spellEnd"/>
      <w:r w:rsidRPr="4B64A443" w:rsidR="4B64A443">
        <w:rPr>
          <w:noProof w:val="0"/>
          <w:sz w:val="24"/>
          <w:szCs w:val="24"/>
          <w:lang w:val="en-GB"/>
        </w:rPr>
        <w:t xml:space="preserve">. Available at: </w:t>
      </w:r>
      <w:hyperlink r:id="R6d3533953ffe4ca0">
        <w:r w:rsidRPr="4B64A443" w:rsidR="4B64A443">
          <w:rPr>
            <w:rStyle w:val="Hyperlink"/>
            <w:noProof w:val="0"/>
            <w:sz w:val="24"/>
            <w:szCs w:val="24"/>
            <w:lang w:val="en-GB"/>
          </w:rPr>
          <w:t>https://wonkhe.com/blogs-sus/does-volunteering-boost-student-employability/</w:t>
        </w:r>
      </w:hyperlink>
      <w:r w:rsidRPr="4B64A443" w:rsidR="4B64A443">
        <w:rPr>
          <w:noProof w:val="0"/>
          <w:sz w:val="24"/>
          <w:szCs w:val="24"/>
          <w:lang w:val="en-GB"/>
        </w:rPr>
        <w:t xml:space="preserve"> </w:t>
      </w:r>
    </w:p>
    <w:p w:rsidR="4B64A443" w:rsidP="4B64A443" w:rsidRDefault="4B64A443" w14:paraId="4B3F7093" w14:textId="02A3F5A1">
      <w:pPr>
        <w:pStyle w:val="Normal"/>
        <w:rPr>
          <w:noProof w:val="0"/>
          <w:sz w:val="24"/>
          <w:szCs w:val="24"/>
          <w:lang w:val="en-GB"/>
        </w:rPr>
      </w:pPr>
      <w:r w:rsidRPr="4B64A443" w:rsidR="4B64A443">
        <w:rPr>
          <w:noProof w:val="0"/>
          <w:sz w:val="24"/>
          <w:szCs w:val="24"/>
          <w:lang w:val="en-GB"/>
        </w:rPr>
        <w:t xml:space="preserve">Deans, T., Wurr, A.J. and Roswell, B.S. (2010). </w:t>
      </w:r>
      <w:r w:rsidRPr="4B64A443" w:rsidR="4B64A443">
        <w:rPr>
          <w:noProof w:val="0"/>
          <w:sz w:val="24"/>
          <w:szCs w:val="24"/>
          <w:lang w:val="en-GB"/>
        </w:rPr>
        <w:t xml:space="preserve">Writing and Community </w:t>
      </w:r>
      <w:proofErr w:type="gramStart"/>
      <w:r w:rsidRPr="4B64A443" w:rsidR="4B64A443">
        <w:rPr>
          <w:noProof w:val="0"/>
          <w:sz w:val="24"/>
          <w:szCs w:val="24"/>
          <w:lang w:val="en-GB"/>
        </w:rPr>
        <w:t>Engagement :</w:t>
      </w:r>
      <w:proofErr w:type="gramEnd"/>
      <w:r w:rsidRPr="4B64A443" w:rsidR="4B64A443">
        <w:rPr>
          <w:noProof w:val="0"/>
          <w:sz w:val="24"/>
          <w:szCs w:val="24"/>
          <w:lang w:val="en-GB"/>
        </w:rPr>
        <w:t xml:space="preserve"> </w:t>
      </w:r>
      <w:proofErr w:type="gramStart"/>
      <w:r w:rsidRPr="4B64A443" w:rsidR="4B64A443">
        <w:rPr>
          <w:noProof w:val="0"/>
          <w:sz w:val="24"/>
          <w:szCs w:val="24"/>
          <w:lang w:val="en-GB"/>
        </w:rPr>
        <w:t>a</w:t>
      </w:r>
      <w:proofErr w:type="gramEnd"/>
      <w:r w:rsidRPr="4B64A443" w:rsidR="4B64A443">
        <w:rPr>
          <w:noProof w:val="0"/>
          <w:sz w:val="24"/>
          <w:szCs w:val="24"/>
          <w:lang w:val="en-GB"/>
        </w:rPr>
        <w:t xml:space="preserve"> Critical Sourcebook</w:t>
      </w:r>
      <w:r w:rsidRPr="4B64A443" w:rsidR="4B64A443">
        <w:rPr>
          <w:noProof w:val="0"/>
          <w:sz w:val="24"/>
          <w:szCs w:val="24"/>
          <w:lang w:val="en-GB"/>
        </w:rPr>
        <w:t>. Boston, Ma: Bedford/St. Martin's.</w:t>
      </w:r>
    </w:p>
    <w:p w:rsidR="4B64A443" w:rsidP="4B64A443" w:rsidRDefault="4B64A443" w14:paraId="30A10A48" w14:textId="225DC37D">
      <w:pPr>
        <w:pStyle w:val="Normal"/>
        <w:rPr>
          <w:noProof w:val="0"/>
          <w:sz w:val="24"/>
          <w:szCs w:val="24"/>
          <w:lang w:val="en-GB"/>
        </w:rPr>
      </w:pPr>
      <w:r w:rsidRPr="4B64A443" w:rsidR="4B64A443">
        <w:rPr>
          <w:noProof w:val="0"/>
          <w:sz w:val="24"/>
          <w:szCs w:val="24"/>
          <w:lang w:val="en-GB"/>
        </w:rPr>
        <w:t xml:space="preserve">Ellis, A. (2004). </w:t>
      </w:r>
      <w:r w:rsidRPr="4B64A443" w:rsidR="4B64A443">
        <w:rPr>
          <w:noProof w:val="0"/>
          <w:sz w:val="24"/>
          <w:szCs w:val="24"/>
          <w:lang w:val="en-GB"/>
        </w:rPr>
        <w:t xml:space="preserve">Generation </w:t>
      </w:r>
      <w:proofErr w:type="gramStart"/>
      <w:r w:rsidRPr="4B64A443" w:rsidR="4B64A443">
        <w:rPr>
          <w:noProof w:val="0"/>
          <w:sz w:val="24"/>
          <w:szCs w:val="24"/>
          <w:lang w:val="en-GB"/>
        </w:rPr>
        <w:t>V :</w:t>
      </w:r>
      <w:proofErr w:type="gramEnd"/>
      <w:r w:rsidRPr="4B64A443" w:rsidR="4B64A443">
        <w:rPr>
          <w:noProof w:val="0"/>
          <w:sz w:val="24"/>
          <w:szCs w:val="24"/>
          <w:lang w:val="en-GB"/>
        </w:rPr>
        <w:t xml:space="preserve"> Young People speak out on Volunteering</w:t>
      </w:r>
      <w:r w:rsidRPr="4B64A443" w:rsidR="4B64A443">
        <w:rPr>
          <w:noProof w:val="0"/>
          <w:sz w:val="24"/>
          <w:szCs w:val="24"/>
          <w:lang w:val="en-GB"/>
        </w:rPr>
        <w:t>. London: Institute for Volunteering Research.</w:t>
      </w:r>
    </w:p>
    <w:p w:rsidR="4B64A443" w:rsidP="4B64A443" w:rsidRDefault="4B64A443" w14:paraId="4A895475" w14:textId="0CA323EF">
      <w:pPr>
        <w:pStyle w:val="Normal"/>
        <w:rPr>
          <w:noProof w:val="0"/>
          <w:sz w:val="24"/>
          <w:szCs w:val="24"/>
          <w:lang w:val="en-GB"/>
        </w:rPr>
      </w:pPr>
      <w:r w:rsidRPr="4B64A443" w:rsidR="4B64A443">
        <w:rPr>
          <w:noProof w:val="0"/>
          <w:sz w:val="24"/>
          <w:szCs w:val="24"/>
          <w:lang w:val="en-GB"/>
        </w:rPr>
        <w:t xml:space="preserve">Eyler, J. and Giles, D. (1999). </w:t>
      </w:r>
      <w:r w:rsidRPr="4B64A443" w:rsidR="4B64A443">
        <w:rPr>
          <w:noProof w:val="0"/>
          <w:sz w:val="24"/>
          <w:szCs w:val="24"/>
          <w:lang w:val="en-GB"/>
        </w:rPr>
        <w:t>Where's the Learning in Service Learning</w:t>
      </w:r>
      <w:r w:rsidRPr="4B64A443" w:rsidR="4B64A443">
        <w:rPr>
          <w:noProof w:val="0"/>
          <w:sz w:val="24"/>
          <w:szCs w:val="24"/>
          <w:lang w:val="en-GB"/>
        </w:rPr>
        <w:t>. San Francisco: Jossey-Bass Publishers.</w:t>
      </w:r>
    </w:p>
    <w:p w:rsidR="4B64A443" w:rsidP="4B64A443" w:rsidRDefault="4B64A443" w14:paraId="76B4D80C" w14:textId="3FB5CFA5">
      <w:pPr>
        <w:pStyle w:val="Normal"/>
        <w:rPr>
          <w:noProof w:val="0"/>
          <w:sz w:val="24"/>
          <w:szCs w:val="24"/>
          <w:lang w:val="en-GB"/>
        </w:rPr>
      </w:pPr>
      <w:r w:rsidRPr="4B64A443" w:rsidR="4B64A443">
        <w:rPr>
          <w:noProof w:val="0"/>
          <w:sz w:val="24"/>
          <w:szCs w:val="24"/>
          <w:lang w:val="en-GB"/>
        </w:rPr>
        <w:t xml:space="preserve">Gibbs, G. (1988). </w:t>
      </w:r>
      <w:r w:rsidRPr="4B64A443" w:rsidR="4B64A443">
        <w:rPr>
          <w:noProof w:val="0"/>
          <w:sz w:val="24"/>
          <w:szCs w:val="24"/>
          <w:lang w:val="en-GB"/>
        </w:rPr>
        <w:t xml:space="preserve">Learning by doing: </w:t>
      </w:r>
      <w:proofErr w:type="gramStart"/>
      <w:r w:rsidRPr="4B64A443" w:rsidR="4B64A443">
        <w:rPr>
          <w:noProof w:val="0"/>
          <w:sz w:val="24"/>
          <w:szCs w:val="24"/>
          <w:lang w:val="en-GB"/>
        </w:rPr>
        <w:t>a</w:t>
      </w:r>
      <w:proofErr w:type="gramEnd"/>
      <w:r w:rsidRPr="4B64A443" w:rsidR="4B64A443">
        <w:rPr>
          <w:noProof w:val="0"/>
          <w:sz w:val="24"/>
          <w:szCs w:val="24"/>
          <w:lang w:val="en-GB"/>
        </w:rPr>
        <w:t xml:space="preserve"> Guide to Teaching and Learning Methods</w:t>
      </w:r>
      <w:r w:rsidRPr="4B64A443" w:rsidR="4B64A443">
        <w:rPr>
          <w:noProof w:val="0"/>
          <w:sz w:val="24"/>
          <w:szCs w:val="24"/>
          <w:lang w:val="en-GB"/>
        </w:rPr>
        <w:t>. Oxford: Further Education Unit.</w:t>
      </w:r>
    </w:p>
    <w:p w:rsidR="4B64A443" w:rsidP="4B64A443" w:rsidRDefault="4B64A443" w14:paraId="670BDC81" w14:textId="6E22AFF5">
      <w:pPr>
        <w:pStyle w:val="Normal"/>
        <w:rPr>
          <w:noProof w:val="0"/>
          <w:sz w:val="24"/>
          <w:szCs w:val="24"/>
          <w:lang w:val="en-GB"/>
        </w:rPr>
      </w:pPr>
      <w:r w:rsidRPr="4B64A443" w:rsidR="4B64A443">
        <w:rPr>
          <w:noProof w:val="0"/>
          <w:sz w:val="24"/>
          <w:szCs w:val="24"/>
          <w:lang w:val="en-GB"/>
        </w:rPr>
        <w:t xml:space="preserve">Hsu, C., Chiang, Y. and Huang, H. (2012). How Experience‐driven Community Identification Generates Trust and Engagement. </w:t>
      </w:r>
      <w:r w:rsidRPr="4B64A443" w:rsidR="4B64A443">
        <w:rPr>
          <w:noProof w:val="0"/>
          <w:sz w:val="24"/>
          <w:szCs w:val="24"/>
          <w:lang w:val="en-GB"/>
        </w:rPr>
        <w:t>Online Information Review</w:t>
      </w:r>
      <w:r w:rsidRPr="4B64A443" w:rsidR="4B64A443">
        <w:rPr>
          <w:noProof w:val="0"/>
          <w:sz w:val="24"/>
          <w:szCs w:val="24"/>
          <w:lang w:val="en-GB"/>
        </w:rPr>
        <w:t>, 36(1), pp.72–88.</w:t>
      </w:r>
    </w:p>
    <w:p w:rsidR="4B64A443" w:rsidP="4B64A443" w:rsidRDefault="4B64A443" w14:paraId="3924D908" w14:textId="24C439D2">
      <w:pPr>
        <w:pStyle w:val="Normal"/>
        <w:rPr>
          <w:noProof w:val="0"/>
          <w:sz w:val="24"/>
          <w:szCs w:val="24"/>
          <w:lang w:val="en-GB"/>
        </w:rPr>
      </w:pPr>
      <w:r w:rsidRPr="4B64A443" w:rsidR="4B64A443">
        <w:rPr>
          <w:noProof w:val="0"/>
          <w:sz w:val="24"/>
          <w:szCs w:val="24"/>
          <w:lang w:val="en-GB"/>
        </w:rPr>
        <w:t xml:space="preserve">Hussey, S. (2019). Why Is Community Engagement Important? - Bang the Table. [online] Bang the Table. Available at: </w:t>
      </w:r>
      <w:hyperlink r:id="Rf1c6b0560d734c4b">
        <w:r w:rsidRPr="4B64A443" w:rsidR="4B64A443">
          <w:rPr>
            <w:rStyle w:val="Hyperlink"/>
            <w:noProof w:val="0"/>
            <w:sz w:val="24"/>
            <w:szCs w:val="24"/>
            <w:lang w:val="en-GB"/>
          </w:rPr>
          <w:t>https://www.bangthetable.com/why-is-community-engagement-important</w:t>
        </w:r>
      </w:hyperlink>
      <w:r w:rsidRPr="4B64A443" w:rsidR="4B64A443">
        <w:rPr>
          <w:noProof w:val="0"/>
          <w:sz w:val="24"/>
          <w:szCs w:val="24"/>
          <w:lang w:val="en-GB"/>
        </w:rPr>
        <w:t xml:space="preserve"> </w:t>
      </w:r>
    </w:p>
    <w:p w:rsidR="4B64A443" w:rsidP="4B64A443" w:rsidRDefault="4B64A443" w14:paraId="02F4B751" w14:textId="791B792B">
      <w:pPr>
        <w:pStyle w:val="Normal"/>
        <w:rPr>
          <w:noProof w:val="0"/>
          <w:sz w:val="24"/>
          <w:szCs w:val="24"/>
          <w:lang w:val="en-GB"/>
        </w:rPr>
      </w:pPr>
      <w:proofErr w:type="spellStart"/>
      <w:r w:rsidRPr="4B64A443" w:rsidR="4B64A443">
        <w:rPr>
          <w:noProof w:val="0"/>
          <w:sz w:val="24"/>
          <w:szCs w:val="24"/>
          <w:lang w:val="en-GB"/>
        </w:rPr>
        <w:t>Khasanzyanova</w:t>
      </w:r>
      <w:proofErr w:type="spellEnd"/>
      <w:r w:rsidRPr="4B64A443" w:rsidR="4B64A443">
        <w:rPr>
          <w:noProof w:val="0"/>
          <w:sz w:val="24"/>
          <w:szCs w:val="24"/>
          <w:lang w:val="en-GB"/>
        </w:rPr>
        <w:t xml:space="preserve">, A. (2017). How Volunteering Helps Students to Develop Soft Skills. </w:t>
      </w:r>
      <w:r w:rsidRPr="4B64A443" w:rsidR="4B64A443">
        <w:rPr>
          <w:noProof w:val="0"/>
          <w:sz w:val="24"/>
          <w:szCs w:val="24"/>
          <w:lang w:val="en-GB"/>
        </w:rPr>
        <w:t>International Review of Education</w:t>
      </w:r>
      <w:r w:rsidRPr="4B64A443" w:rsidR="4B64A443">
        <w:rPr>
          <w:noProof w:val="0"/>
          <w:sz w:val="24"/>
          <w:szCs w:val="24"/>
          <w:lang w:val="en-GB"/>
        </w:rPr>
        <w:t>, 63(3), pp.363–379.</w:t>
      </w:r>
    </w:p>
    <w:p w:rsidR="4B64A443" w:rsidP="4B64A443" w:rsidRDefault="4B64A443" w14:paraId="7F1CBB87" w14:textId="4F0CE8FD">
      <w:pPr>
        <w:pStyle w:val="Normal"/>
        <w:rPr>
          <w:noProof w:val="0"/>
          <w:sz w:val="24"/>
          <w:szCs w:val="24"/>
          <w:lang w:val="en-GB"/>
        </w:rPr>
      </w:pPr>
      <w:r w:rsidRPr="4B64A443" w:rsidR="4B64A443">
        <w:rPr>
          <w:noProof w:val="0"/>
          <w:sz w:val="24"/>
          <w:szCs w:val="24"/>
          <w:lang w:val="en-GB"/>
        </w:rPr>
        <w:t xml:space="preserve">Lewis, E. and Cantor, N. (2016). </w:t>
      </w:r>
      <w:r w:rsidRPr="4B64A443" w:rsidR="4B64A443">
        <w:rPr>
          <w:noProof w:val="0"/>
          <w:sz w:val="24"/>
          <w:szCs w:val="24"/>
          <w:lang w:val="en-GB"/>
        </w:rPr>
        <w:t xml:space="preserve">Our Compelling </w:t>
      </w:r>
      <w:proofErr w:type="gramStart"/>
      <w:r w:rsidRPr="4B64A443" w:rsidR="4B64A443">
        <w:rPr>
          <w:noProof w:val="0"/>
          <w:sz w:val="24"/>
          <w:szCs w:val="24"/>
          <w:lang w:val="en-GB"/>
        </w:rPr>
        <w:t>Interests :</w:t>
      </w:r>
      <w:proofErr w:type="gramEnd"/>
      <w:r w:rsidRPr="4B64A443" w:rsidR="4B64A443">
        <w:rPr>
          <w:noProof w:val="0"/>
          <w:sz w:val="24"/>
          <w:szCs w:val="24"/>
          <w:lang w:val="en-GB"/>
        </w:rPr>
        <w:t xml:space="preserve"> The Value of Diversity for Democracy and a Prosperous Society</w:t>
      </w:r>
      <w:r w:rsidRPr="4B64A443" w:rsidR="4B64A443">
        <w:rPr>
          <w:noProof w:val="0"/>
          <w:sz w:val="24"/>
          <w:szCs w:val="24"/>
          <w:lang w:val="en-GB"/>
        </w:rPr>
        <w:t>. Princeton: Princeton University Press.</w:t>
      </w:r>
    </w:p>
    <w:p w:rsidR="4B64A443" w:rsidP="4B64A443" w:rsidRDefault="4B64A443" w14:paraId="4A11C880" w14:textId="66ECD9DD">
      <w:pPr>
        <w:pStyle w:val="Normal"/>
        <w:rPr>
          <w:noProof w:val="0"/>
          <w:sz w:val="24"/>
          <w:szCs w:val="24"/>
          <w:lang w:val="en-GB"/>
        </w:rPr>
      </w:pPr>
      <w:r w:rsidRPr="4B64A443" w:rsidR="4B64A443">
        <w:rPr>
          <w:noProof w:val="0"/>
          <w:sz w:val="24"/>
          <w:szCs w:val="24"/>
          <w:lang w:val="en-GB"/>
        </w:rPr>
        <w:t xml:space="preserve">Michael, H. (2014). </w:t>
      </w:r>
      <w:r w:rsidRPr="4B64A443" w:rsidR="4B64A443">
        <w:rPr>
          <w:noProof w:val="0"/>
          <w:sz w:val="24"/>
          <w:szCs w:val="24"/>
          <w:lang w:val="en-GB"/>
        </w:rPr>
        <w:t>Public Speaking and Civic Engagement</w:t>
      </w:r>
      <w:r w:rsidRPr="4B64A443" w:rsidR="4B64A443">
        <w:rPr>
          <w:noProof w:val="0"/>
          <w:sz w:val="24"/>
          <w:szCs w:val="24"/>
          <w:lang w:val="en-GB"/>
        </w:rPr>
        <w:t>. Upper Saddle River, N.J.: Pearson.</w:t>
      </w:r>
    </w:p>
    <w:p w:rsidR="4B64A443" w:rsidP="4B64A443" w:rsidRDefault="4B64A443" w14:paraId="3C656052" w14:textId="2E73E1A3">
      <w:pPr>
        <w:pStyle w:val="Normal"/>
        <w:rPr>
          <w:noProof w:val="0"/>
          <w:sz w:val="24"/>
          <w:szCs w:val="24"/>
          <w:lang w:val="en-GB"/>
        </w:rPr>
      </w:pPr>
      <w:r w:rsidRPr="4B64A443" w:rsidR="4B64A443">
        <w:rPr>
          <w:noProof w:val="0"/>
          <w:sz w:val="24"/>
          <w:szCs w:val="24"/>
          <w:lang w:val="en-GB"/>
        </w:rPr>
        <w:t xml:space="preserve">Paine, A.E., McKay, S. and Moro, D. (2013). Does Volunteering Improve employability? Insights from the British Household Panel Survey and beyond. </w:t>
      </w:r>
      <w:r w:rsidRPr="4B64A443" w:rsidR="4B64A443">
        <w:rPr>
          <w:noProof w:val="0"/>
          <w:sz w:val="24"/>
          <w:szCs w:val="24"/>
          <w:lang w:val="en-GB"/>
        </w:rPr>
        <w:t>Voluntary Sector Review</w:t>
      </w:r>
      <w:r w:rsidRPr="4B64A443" w:rsidR="4B64A443">
        <w:rPr>
          <w:noProof w:val="0"/>
          <w:sz w:val="24"/>
          <w:szCs w:val="24"/>
          <w:lang w:val="en-GB"/>
        </w:rPr>
        <w:t>, 4(3), pp.355–376.</w:t>
      </w:r>
    </w:p>
    <w:p w:rsidR="4B64A443" w:rsidP="4B64A443" w:rsidRDefault="4B64A443" w14:paraId="6A52F6A4" w14:textId="7E7E9A07">
      <w:pPr>
        <w:pStyle w:val="Normal"/>
        <w:rPr>
          <w:noProof w:val="0"/>
          <w:sz w:val="24"/>
          <w:szCs w:val="24"/>
          <w:lang w:val="en-GB"/>
        </w:rPr>
      </w:pPr>
      <w:r w:rsidRPr="4B64A443" w:rsidR="4B64A443">
        <w:rPr>
          <w:noProof w:val="0"/>
          <w:sz w:val="24"/>
          <w:szCs w:val="24"/>
          <w:lang w:val="en-GB"/>
        </w:rPr>
        <w:t xml:space="preserve">Popple, K. (1996). Community Work: </w:t>
      </w:r>
      <w:r w:rsidRPr="4B64A443" w:rsidR="4B64A443">
        <w:rPr>
          <w:noProof w:val="0"/>
          <w:sz w:val="24"/>
          <w:szCs w:val="24"/>
          <w:lang w:val="en-GB"/>
        </w:rPr>
        <w:t>Journal of Community Practice</w:t>
      </w:r>
      <w:r w:rsidRPr="4B64A443" w:rsidR="4B64A443">
        <w:rPr>
          <w:noProof w:val="0"/>
          <w:sz w:val="24"/>
          <w:szCs w:val="24"/>
          <w:lang w:val="en-GB"/>
        </w:rPr>
        <w:t>, 3(3–4), pp.147–180.</w:t>
      </w:r>
    </w:p>
    <w:p w:rsidR="4B64A443" w:rsidP="4B64A443" w:rsidRDefault="4B64A443" w14:paraId="17D9D73A" w14:textId="57F990F9">
      <w:pPr>
        <w:pStyle w:val="Normal"/>
        <w:rPr>
          <w:noProof w:val="0"/>
          <w:sz w:val="24"/>
          <w:szCs w:val="24"/>
          <w:lang w:val="en-GB"/>
        </w:rPr>
      </w:pPr>
      <w:r w:rsidRPr="4B64A443" w:rsidR="4B64A443">
        <w:rPr>
          <w:noProof w:val="0"/>
          <w:sz w:val="24"/>
          <w:szCs w:val="24"/>
          <w:lang w:val="en-GB"/>
        </w:rPr>
        <w:t xml:space="preserve">Scott, R. (2017). Worker Passion: How a Culture of Giving Back Inspires Something Better than Engagement. [online] Forbes. Available at: </w:t>
      </w:r>
      <w:hyperlink r:id="R768fc2b8bc274982">
        <w:r w:rsidRPr="4B64A443" w:rsidR="4B64A443">
          <w:rPr>
            <w:rStyle w:val="Hyperlink"/>
            <w:noProof w:val="0"/>
            <w:sz w:val="24"/>
            <w:szCs w:val="24"/>
            <w:lang w:val="en-GB"/>
          </w:rPr>
          <w:t>https://www.forbes.com/sites/causeintegration/2017/10/04/how-a-culture-of-giving-back-inspires-something-better-than-engagement/?sh=4dabe86775c1</w:t>
        </w:r>
      </w:hyperlink>
      <w:r w:rsidRPr="4B64A443" w:rsidR="4B64A443">
        <w:rPr>
          <w:noProof w:val="0"/>
          <w:sz w:val="24"/>
          <w:szCs w:val="24"/>
          <w:lang w:val="en-GB"/>
        </w:rPr>
        <w:t xml:space="preserve"> </w:t>
      </w:r>
    </w:p>
    <w:p w:rsidR="4B64A443" w:rsidP="4B64A443" w:rsidRDefault="4B64A443" w14:paraId="26FDE11A" w14:textId="3F3AA0C6">
      <w:pPr>
        <w:pStyle w:val="Normal"/>
        <w:rPr>
          <w:rFonts w:ascii="Times New Roman" w:hAnsi="Times New Roman" w:eastAsia="Times New Roman" w:cs="Times New Roman"/>
          <w:noProof w:val="0"/>
          <w:color w:val="000000" w:themeColor="text1" w:themeTint="FF" w:themeShade="FF"/>
          <w:sz w:val="24"/>
          <w:szCs w:val="24"/>
          <w:lang w:val="en-GB"/>
        </w:rPr>
      </w:pPr>
      <w:r w:rsidRPr="4B64A443" w:rsidR="4B64A443">
        <w:rPr>
          <w:noProof w:val="0"/>
          <w:sz w:val="24"/>
          <w:szCs w:val="24"/>
          <w:lang w:val="en-GB"/>
        </w:rPr>
        <w:t>Slade, M. (2014). Using Reflective Practice to Study the Impact of Community Engagement. [online] Available at: https://scholarscompass.vcu.edu/cgi/viewcontent.cgi?article=1008&amp;context=community_resources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v"/>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v"/>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409703C"/>
  <w15:docId w15:val="{8538fd4f-c445-4ac6-8545-0c1b25a55f24}"/>
  <w:rsids>
    <w:rsidRoot w:val="5409703C"/>
    <w:rsid w:val="4B64A443"/>
    <w:rsid w:val="5409703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ord-edit.officeapps.live.com/we/wordeditorframe.aspx?new=1&amp;ui=en-GB&amp;rs=en-GB&amp;hid=f1u8d%2FSg5kqBb3HHO6Y4Ng.0&amp;wopisrc=https%3A%2F%2Fwopi.onedrive.com%2Fwopi%2Ffiles%2FB281FB238A1EA8D1!396&amp;wdnewandopenct=1607956424321&amp;wdprevioussession=d47ff466-ea66-479e-9fcc-784628f75163&amp;wdorigin=Unknown&amp;wdo=2&amp;wde=docx&amp;sc=host%3D%26qt%3DFolders&amp;mscc=1&amp;wdp=0&amp;uih=OneDrive&amp;jsapi=1&amp;jsapiver=v2&amp;corrid=26a93293-eabc-45b7-8d43-995159da7613&amp;usid=26a93293-eabc-45b7-8d43-995159da7613&amp;newsession=1&amp;sftc=1&amp;wdredirectionreason=Unified_SingleFlush" TargetMode="External" Id="Rc373cf74871345ef" /><Relationship Type="http://schemas.openxmlformats.org/officeDocument/2006/relationships/hyperlink" Target="https://word-edit.officeapps.live.com/we/wordeditorframe.aspx?new=1&amp;ui=en-GB&amp;rs=en-GB&amp;hid=f1u8d%2FSg5kqBb3HHO6Y4Ng.0&amp;wopisrc=https%3A%2F%2Fwopi.onedrive.com%2Fwopi%2Ffiles%2FB281FB238A1EA8D1!396&amp;wdnewandopenct=1607956424321&amp;wdprevioussession=d47ff466-ea66-479e-9fcc-784628f75163&amp;wdorigin=Unknown&amp;wdo=2&amp;wde=docx&amp;sc=host%3D%26qt%3DFolders&amp;mscc=1&amp;wdp=0&amp;uih=OneDrive&amp;jsapi=1&amp;jsapiver=v2&amp;corrid=26a93293-eabc-45b7-8d43-995159da7613&amp;usid=26a93293-eabc-45b7-8d43-995159da7613&amp;newsession=1&amp;sftc=1&amp;wdredirectionreason=Unified_SingleFlush" TargetMode="External" Id="R310d9099a3c1448a" /><Relationship Type="http://schemas.openxmlformats.org/officeDocument/2006/relationships/hyperlink" Target="https://word-edit.officeapps.live.com/we/wordeditorframe.aspx?new=1&amp;ui=en-GB&amp;rs=en-GB&amp;hid=f1u8d%2FSg5kqBb3HHO6Y4Ng.0&amp;wopisrc=https%3A%2F%2Fwopi.onedrive.com%2Fwopi%2Ffiles%2FB281FB238A1EA8D1!396&amp;wdnewandopenct=1607956424321&amp;wdprevioussession=d47ff466-ea66-479e-9fcc-784628f75163&amp;wdorigin=Unknown&amp;wdo=2&amp;wde=docx&amp;sc=host%3D%26qt%3DFolders&amp;mscc=1&amp;wdp=0&amp;uih=OneDrive&amp;jsapi=1&amp;jsapiver=v2&amp;corrid=26a93293-eabc-45b7-8d43-995159da7613&amp;usid=26a93293-eabc-45b7-8d43-995159da7613&amp;newsession=1&amp;sftc=1&amp;wdredirectionreason=Unified_SingleFlush" TargetMode="External" Id="R9b301e8edb5d4ba4" /><Relationship Type="http://schemas.openxmlformats.org/officeDocument/2006/relationships/hyperlink" Target="https://word-edit.officeapps.live.com/we/wordeditorframe.aspx?new=1&amp;ui=en-GB&amp;rs=en-GB&amp;hid=f1u8d%2FSg5kqBb3HHO6Y4Ng.0&amp;wopisrc=https%3A%2F%2Fwopi.onedrive.com%2Fwopi%2Ffiles%2FB281FB238A1EA8D1!396&amp;wdnewandopenct=1607956424321&amp;wdprevioussession=d47ff466-ea66-479e-9fcc-784628f75163&amp;wdorigin=Unknown&amp;wdo=2&amp;wde=docx&amp;sc=host%3D%26qt%3DFolders&amp;mscc=1&amp;wdp=0&amp;uih=OneDrive&amp;jsapi=1&amp;jsapiver=v2&amp;corrid=26a93293-eabc-45b7-8d43-995159da7613&amp;usid=26a93293-eabc-45b7-8d43-995159da7613&amp;newsession=1&amp;sftc=1&amp;wdredirectionreason=Unified_SingleFlush" TargetMode="External" Id="R27b2d59e36c148bf" /><Relationship Type="http://schemas.openxmlformats.org/officeDocument/2006/relationships/hyperlink" Target="https://word-edit.officeapps.live.com/we/wordeditorframe.aspx?new=1&amp;ui=en-GB&amp;rs=en-GB&amp;hid=f1u8d%2FSg5kqBb3HHO6Y4Ng.0&amp;wopisrc=https%3A%2F%2Fwopi.onedrive.com%2Fwopi%2Ffiles%2FB281FB238A1EA8D1!396&amp;wdnewandopenct=1607956424321&amp;wdprevioussession=d47ff466-ea66-479e-9fcc-784628f75163&amp;wdorigin=Unknown&amp;wdo=2&amp;wde=docx&amp;sc=host%3D%26qt%3DFolders&amp;mscc=1&amp;wdp=0&amp;uih=OneDrive&amp;jsapi=1&amp;jsapiver=v2&amp;corrid=26a93293-eabc-45b7-8d43-995159da7613&amp;usid=26a93293-eabc-45b7-8d43-995159da7613&amp;newsession=1&amp;sftc=1&amp;wdredirectionreason=Unified_SingleFlush" TargetMode="External" Id="Rdcc0e49589f04e76" /><Relationship Type="http://schemas.openxmlformats.org/officeDocument/2006/relationships/hyperlink" Target="https://word-edit.officeapps.live.com/we/wordeditorframe.aspx?new=1&amp;ui=en-GB&amp;rs=en-GB&amp;hid=f1u8d%2FSg5kqBb3HHO6Y4Ng.0&amp;wopisrc=https%3A%2F%2Fwopi.onedrive.com%2Fwopi%2Ffiles%2FB281FB238A1EA8D1!396&amp;wdnewandopenct=1607956424321&amp;wdprevioussession=d47ff466-ea66-479e-9fcc-784628f75163&amp;wdorigin=Unknown&amp;wdo=2&amp;wde=docx&amp;sc=host%3D%26qt%3DFolders&amp;mscc=1&amp;wdp=0&amp;uih=OneDrive&amp;jsapi=1&amp;jsapiver=v2&amp;corrid=26a93293-eabc-45b7-8d43-995159da7613&amp;usid=26a93293-eabc-45b7-8d43-995159da7613&amp;newsession=1&amp;sftc=1&amp;wdredirectionreason=Unified_SingleFlush" TargetMode="External" Id="R070fc928a3b440ef" /><Relationship Type="http://schemas.openxmlformats.org/officeDocument/2006/relationships/hyperlink" Target="https://word-edit.officeapps.live.com/we/wordeditorframe.aspx?new=1&amp;ui=en-GB&amp;rs=en-GB&amp;hid=f1u8d%2FSg5kqBb3HHO6Y4Ng.0&amp;wopisrc=https%3A%2F%2Fwopi.onedrive.com%2Fwopi%2Ffiles%2FB281FB238A1EA8D1!396&amp;wdnewandopenct=1607956424321&amp;wdprevioussession=d47ff466-ea66-479e-9fcc-784628f75163&amp;wdorigin=Unknown&amp;wdo=2&amp;wde=docx&amp;sc=host%3D%26qt%3DFolders&amp;mscc=1&amp;wdp=0&amp;uih=OneDrive&amp;jsapi=1&amp;jsapiver=v2&amp;corrid=26a93293-eabc-45b7-8d43-995159da7613&amp;usid=26a93293-eabc-45b7-8d43-995159da7613&amp;newsession=1&amp;sftc=1&amp;wdredirectionreason=Unified_SingleFlush" TargetMode="External" Id="R8847bce6ef3643f4" /><Relationship Type="http://schemas.openxmlformats.org/officeDocument/2006/relationships/hyperlink" Target="https://word-edit.officeapps.live.com/we/wordeditorframe.aspx?new=1&amp;ui=en-GB&amp;rs=en-GB&amp;hid=f1u8d%2FSg5kqBb3HHO6Y4Ng.0&amp;wopisrc=https%3A%2F%2Fwopi.onedrive.com%2Fwopi%2Ffiles%2FB281FB238A1EA8D1!396&amp;wdnewandopenct=1607956424321&amp;wdprevioussession=d47ff466-ea66-479e-9fcc-784628f75163&amp;wdorigin=Unknown&amp;wdo=2&amp;wde=docx&amp;sc=host%3D%26qt%3DFolders&amp;mscc=1&amp;wdp=0&amp;uih=OneDrive&amp;jsapi=1&amp;jsapiver=v2&amp;corrid=26a93293-eabc-45b7-8d43-995159da7613&amp;usid=26a93293-eabc-45b7-8d43-995159da7613&amp;newsession=1&amp;sftc=1&amp;wdredirectionreason=Unified_SingleFlush" TargetMode="External" Id="R2bcc29471c4e400e" /><Relationship Type="http://schemas.openxmlformats.org/officeDocument/2006/relationships/hyperlink" Target="https://www.caba.org.uk/help-and-guides/information/developing-your-soft-skills-how-volunteering-can-help" TargetMode="External" Id="Rebb7f802b5dd48f9" /><Relationship Type="http://schemas.openxmlformats.org/officeDocument/2006/relationships/hyperlink" Target="https://wonkhe.com/blogs-sus/does-volunteering-boost-student-employability/" TargetMode="External" Id="R6d3533953ffe4ca0" /><Relationship Type="http://schemas.openxmlformats.org/officeDocument/2006/relationships/hyperlink" Target="https://www.bangthetable.com/why-is-community-engagement-important" TargetMode="External" Id="Rf1c6b0560d734c4b" /><Relationship Type="http://schemas.openxmlformats.org/officeDocument/2006/relationships/hyperlink" Target="https://www.forbes.com/sites/causeintegration/2017/10/04/how-a-culture-of-giving-back-inspires-something-better-than-engagement/?sh=4dabe86775c1" TargetMode="External" Id="R768fc2b8bc274982" /><Relationship Type="http://schemas.openxmlformats.org/officeDocument/2006/relationships/numbering" Target="/word/numbering.xml" Id="R3ad46343d9a5433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sergi vc</dc:creator>
  <keywords/>
  <dc:description/>
  <lastModifiedBy>sergi vc</lastModifiedBy>
  <revision>2</revision>
  <dcterms:created xsi:type="dcterms:W3CDTF">2020-12-14T14:33:29.2484091Z</dcterms:created>
  <dcterms:modified xsi:type="dcterms:W3CDTF">2020-12-14T20:29:02.8039354Z</dcterms:modified>
</coreProperties>
</file>