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4502F" w:rsidRPr="00FA5EA3" w:rsidRDefault="002C583D" w:rsidP="0086256D">
      <w:pPr>
        <w:spacing w:after="0"/>
      </w:pPr>
      <w:r w:rsidRPr="002C583D">
        <w:rPr>
          <w:rFonts w:eastAsia="Calibri"/>
          <w:noProof/>
        </w:rPr>
      </w:r>
      <w:r w:rsidRPr="002C583D">
        <w:rPr>
          <w:rFonts w:eastAsia="Calibri"/>
          <w:noProof/>
        </w:rPr>
        <w:pict>
          <v:group id="Group 23547" o:spid="_x0000_s2050" style="width:428.25pt;height:119.15pt;mso-position-horizontal-relative:char;mso-position-vertical-relative:line" coordsize="54387,15129">
            <v:rect id="Rectangle 57" o:spid="_x0000_s2054" style="position:absolute;left:7226;width:420;height:186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" filled="f" stroked="f">
              <v:path arrowok="t"/>
              <v:textbox inset="0,0,0,0">
                <w:txbxContent>
                  <w:p w:rsidR="00501239" w:rsidRDefault="00501239" w:rsidP="00DF3BA9">
                    <w:pPr>
                      <w:spacing w:after="160" w:line="259" w:lineRule="auto"/>
                    </w:pPr>
                    <w:r>
                      <w:rPr>
                        <w:rFonts w:ascii="Times New Roman" w:eastAsia="Times New Roman" w:hAnsi="Times New Roman" w:cs="Times New Roman"/>
                        <w:sz w:val="20"/>
                      </w:rPr>
                      <w:t xml:space="preserve"> </w:t>
                    </w:r>
                  </w:p>
                </w:txbxContent>
              </v:textbox>
            </v:rect>
            <v:rect id="Rectangle 58" o:spid="_x0000_s2053" style="position:absolute;left:7546;width:420;height:186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" filled="f" stroked="f">
              <v:path arrowok="t"/>
              <v:textbox inset="0,0,0,0">
                <w:txbxContent>
                  <w:p w:rsidR="00501239" w:rsidRDefault="00501239" w:rsidP="00DF3BA9">
                    <w:pPr>
                      <w:spacing w:after="160" w:line="259" w:lineRule="auto"/>
                    </w:pPr>
                    <w:r>
                      <w:rPr>
                        <w:rFonts w:ascii="Times New Roman" w:eastAsia="Times New Roman" w:hAnsi="Times New Roman" w:cs="Times New Roman"/>
                        <w:sz w:val="20"/>
                      </w:rPr>
                      <w:t xml:space="preserve"> </w:t>
                    </w:r>
                  </w:p>
                </w:txbxContent>
              </v:textbox>
            </v:rect>
            <v:rect id="Rectangle 65" o:spid="_x0000_s2052" style="position:absolute;left:1115;top:11017;width:1362;height:5469;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" filled="f" stroked="f">
              <v:path arrowok="t"/>
              <v:textbox inset="0,0,0,0">
                <w:txbxContent>
                  <w:p w:rsidR="00501239" w:rsidRDefault="00501239" w:rsidP="00DF3BA9">
                    <w:pPr>
                      <w:spacing w:after="160" w:line="259" w:lineRule="auto"/>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2051" type="#_x0000_t75" style="position:absolute;top:62;width:54387;height:13284;visibility:visibl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" stroked="t">
              <v:stroke joinstyle="round"/>
              <v:imagedata r:id="rId8" o:title=""/>
              <v:path arrowok="t"/>
              <o:lock v:ext="edit" aspectratio="f"/>
            </v:shape>
            <w10:wrap type="none"/>
            <w10:anchorlock/>
          </v:group>
        </w:pict>
      </w:r>
    </w:p>
    <w:p w:rsidR="00C4502F" w:rsidRPr="00FA5EA3" w:rsidRDefault="00575940" w:rsidP="001358D6">
      <w:pPr>
        <w:spacing w:after="0"/>
        <w:ind w:left="2799"/>
      </w:pPr>
      <w:r w:rsidRPr="00FA5EA3">
        <w:rPr>
          <w:rFonts w:eastAsia="Times New Roman"/>
          <w:sz w:val="20"/>
        </w:rPr>
        <w:t xml:space="preserve"> </w:t>
      </w:r>
    </w:p>
    <w:p w:rsidR="00C4502F" w:rsidRPr="00B179BF" w:rsidRDefault="002E6E8F" w:rsidP="00DF3BA9">
      <w:pPr>
        <w:spacing w:after="0"/>
        <w:rPr>
          <w:b/>
          <w:bCs/>
          <w:sz w:val="28"/>
          <w:szCs w:val="28"/>
        </w:rPr>
      </w:pPr>
      <w:r w:rsidRPr="00B179BF">
        <w:rPr>
          <w:b/>
          <w:bCs/>
          <w:sz w:val="28"/>
          <w:szCs w:val="28"/>
        </w:rPr>
        <w:t>BA Leadership and Management</w:t>
      </w:r>
    </w:p>
    <w:p w:rsidR="00C4502F" w:rsidRPr="00FA5EA3" w:rsidRDefault="00C4502F" w:rsidP="001358D6">
      <w:pPr>
        <w:spacing w:after="211"/>
        <w:ind w:left="30"/>
        <w:jc w:val="center"/>
      </w:pPr>
    </w:p>
    <w:p w:rsidR="00C4502F" w:rsidRPr="00FA5EA3" w:rsidRDefault="00575940" w:rsidP="001358D6">
      <w:pPr>
        <w:spacing w:after="262"/>
        <w:ind w:left="30"/>
        <w:jc w:val="center"/>
      </w:pPr>
      <w:r w:rsidRPr="00FA5EA3">
        <w:rPr>
          <w:b/>
          <w:sz w:val="32"/>
        </w:rPr>
        <w:t xml:space="preserve"> </w:t>
      </w:r>
    </w:p>
    <w:p w:rsidR="00F35464" w:rsidRPr="00240574" w:rsidRDefault="00F35464" w:rsidP="001358D6">
      <w:pPr>
        <w:pStyle w:val="Title"/>
        <w:spacing w:line="360" w:lineRule="auto"/>
        <w:rPr>
          <w:rFonts w:ascii="Arial" w:hAnsi="Arial" w:cs="Arial"/>
          <w:kern w:val="0"/>
          <w:sz w:val="32"/>
          <w:szCs w:val="32"/>
          <w:lang w:val="en-US" w:eastAsia="en-US"/>
        </w:rPr>
      </w:pPr>
      <w:r w:rsidRPr="00240574">
        <w:rPr>
          <w:rFonts w:ascii="Arial" w:hAnsi="Arial" w:cs="Arial"/>
          <w:b/>
          <w:kern w:val="0"/>
          <w:sz w:val="32"/>
          <w:szCs w:val="32"/>
          <w:lang w:val="en-US" w:eastAsia="en-US"/>
        </w:rPr>
        <w:t xml:space="preserve">Managing </w:t>
      </w:r>
      <w:proofErr w:type="spellStart"/>
      <w:r w:rsidR="008F2FBD">
        <w:rPr>
          <w:rFonts w:ascii="Arial" w:hAnsi="Arial" w:cs="Arial"/>
          <w:b/>
          <w:kern w:val="0"/>
          <w:sz w:val="32"/>
          <w:szCs w:val="32"/>
          <w:lang w:val="en-US" w:eastAsia="en-US"/>
        </w:rPr>
        <w:t>o</w:t>
      </w:r>
      <w:r w:rsidRPr="00240574">
        <w:rPr>
          <w:rFonts w:ascii="Arial" w:hAnsi="Arial" w:cs="Arial"/>
          <w:b/>
          <w:kern w:val="0"/>
          <w:sz w:val="32"/>
          <w:szCs w:val="32"/>
          <w:lang w:val="en-US" w:eastAsia="en-US"/>
        </w:rPr>
        <w:t>rganisational</w:t>
      </w:r>
      <w:proofErr w:type="spellEnd"/>
      <w:r w:rsidRPr="00240574">
        <w:rPr>
          <w:rFonts w:ascii="Arial" w:hAnsi="Arial" w:cs="Arial"/>
          <w:b/>
          <w:kern w:val="0"/>
          <w:sz w:val="32"/>
          <w:szCs w:val="32"/>
          <w:lang w:val="en-US" w:eastAsia="en-US"/>
        </w:rPr>
        <w:t xml:space="preserve"> </w:t>
      </w:r>
      <w:r w:rsidR="008F2FBD">
        <w:rPr>
          <w:rFonts w:ascii="Arial" w:hAnsi="Arial" w:cs="Arial"/>
          <w:b/>
          <w:kern w:val="0"/>
          <w:sz w:val="32"/>
          <w:szCs w:val="32"/>
          <w:lang w:val="en-US" w:eastAsia="en-US"/>
        </w:rPr>
        <w:t>c</w:t>
      </w:r>
      <w:r w:rsidRPr="00240574">
        <w:rPr>
          <w:rFonts w:ascii="Arial" w:hAnsi="Arial" w:cs="Arial"/>
          <w:b/>
          <w:kern w:val="0"/>
          <w:sz w:val="32"/>
          <w:szCs w:val="32"/>
          <w:lang w:val="en-US" w:eastAsia="en-US"/>
        </w:rPr>
        <w:t xml:space="preserve">hange in </w:t>
      </w:r>
      <w:r w:rsidR="008F2FBD">
        <w:rPr>
          <w:rFonts w:ascii="Arial" w:hAnsi="Arial" w:cs="Arial"/>
          <w:b/>
          <w:kern w:val="0"/>
          <w:sz w:val="32"/>
          <w:szCs w:val="32"/>
          <w:lang w:val="en-US" w:eastAsia="en-US"/>
        </w:rPr>
        <w:t>r</w:t>
      </w:r>
      <w:r w:rsidRPr="00240574">
        <w:rPr>
          <w:rFonts w:ascii="Arial" w:hAnsi="Arial" w:cs="Arial"/>
          <w:b/>
          <w:kern w:val="0"/>
          <w:sz w:val="32"/>
          <w:szCs w:val="32"/>
          <w:lang w:val="en-US" w:eastAsia="en-US"/>
        </w:rPr>
        <w:t xml:space="preserve">etail </w:t>
      </w:r>
      <w:r w:rsidR="008F2FBD">
        <w:rPr>
          <w:rFonts w:ascii="Arial" w:hAnsi="Arial" w:cs="Arial"/>
          <w:b/>
          <w:kern w:val="0"/>
          <w:sz w:val="32"/>
          <w:szCs w:val="32"/>
          <w:lang w:val="en-US" w:eastAsia="en-US"/>
        </w:rPr>
        <w:t>l</w:t>
      </w:r>
      <w:r w:rsidRPr="00240574">
        <w:rPr>
          <w:rFonts w:ascii="Arial" w:hAnsi="Arial" w:cs="Arial"/>
          <w:b/>
          <w:kern w:val="0"/>
          <w:sz w:val="32"/>
          <w:szCs w:val="32"/>
          <w:lang w:val="en-US" w:eastAsia="en-US"/>
        </w:rPr>
        <w:t xml:space="preserve">ogistics: A </w:t>
      </w:r>
      <w:r w:rsidR="008F2FBD">
        <w:rPr>
          <w:rFonts w:ascii="Arial" w:hAnsi="Arial" w:cs="Arial"/>
          <w:b/>
          <w:kern w:val="0"/>
          <w:sz w:val="32"/>
          <w:szCs w:val="32"/>
          <w:lang w:val="en-US" w:eastAsia="en-US"/>
        </w:rPr>
        <w:t>c</w:t>
      </w:r>
      <w:r w:rsidRPr="00240574">
        <w:rPr>
          <w:rFonts w:ascii="Arial" w:hAnsi="Arial" w:cs="Arial"/>
          <w:b/>
          <w:kern w:val="0"/>
          <w:sz w:val="32"/>
          <w:szCs w:val="32"/>
          <w:lang w:val="en-US" w:eastAsia="en-US"/>
        </w:rPr>
        <w:t xml:space="preserve">ase </w:t>
      </w:r>
      <w:r w:rsidR="00C824EF">
        <w:rPr>
          <w:rFonts w:ascii="Arial" w:hAnsi="Arial" w:cs="Arial"/>
          <w:b/>
          <w:kern w:val="0"/>
          <w:sz w:val="32"/>
          <w:szCs w:val="32"/>
          <w:lang w:val="en-US" w:eastAsia="en-US"/>
        </w:rPr>
        <w:t>s</w:t>
      </w:r>
      <w:r w:rsidRPr="00240574">
        <w:rPr>
          <w:rFonts w:ascii="Arial" w:hAnsi="Arial" w:cs="Arial"/>
          <w:b/>
          <w:kern w:val="0"/>
          <w:sz w:val="32"/>
          <w:szCs w:val="32"/>
          <w:lang w:val="en-US" w:eastAsia="en-US"/>
        </w:rPr>
        <w:t xml:space="preserve">tudy of Tesco UK </w:t>
      </w:r>
      <w:r w:rsidR="00C824EF">
        <w:rPr>
          <w:rFonts w:ascii="Arial" w:hAnsi="Arial" w:cs="Arial"/>
          <w:b/>
          <w:kern w:val="0"/>
          <w:sz w:val="32"/>
          <w:szCs w:val="32"/>
          <w:lang w:val="en-US" w:eastAsia="en-US"/>
        </w:rPr>
        <w:t>d</w:t>
      </w:r>
      <w:r w:rsidRPr="00240574">
        <w:rPr>
          <w:rFonts w:ascii="Arial" w:hAnsi="Arial" w:cs="Arial"/>
          <w:b/>
          <w:kern w:val="0"/>
          <w:sz w:val="32"/>
          <w:szCs w:val="32"/>
          <w:lang w:val="en-US" w:eastAsia="en-US"/>
        </w:rPr>
        <w:t xml:space="preserve">istribution </w:t>
      </w:r>
      <w:r w:rsidR="00C824EF">
        <w:rPr>
          <w:rFonts w:ascii="Arial" w:hAnsi="Arial" w:cs="Arial"/>
          <w:b/>
          <w:kern w:val="0"/>
          <w:sz w:val="32"/>
          <w:szCs w:val="32"/>
          <w:lang w:val="en-US" w:eastAsia="en-US"/>
        </w:rPr>
        <w:t>w</w:t>
      </w:r>
      <w:r w:rsidRPr="00240574">
        <w:rPr>
          <w:rFonts w:ascii="Arial" w:hAnsi="Arial" w:cs="Arial"/>
          <w:b/>
          <w:kern w:val="0"/>
          <w:sz w:val="32"/>
          <w:szCs w:val="32"/>
          <w:lang w:val="en-US" w:eastAsia="en-US"/>
        </w:rPr>
        <w:t>arehouses</w:t>
      </w:r>
    </w:p>
    <w:p w:rsidR="00C4502F" w:rsidRPr="00FA5EA3" w:rsidRDefault="00F35464" w:rsidP="001358D6">
      <w:pPr>
        <w:spacing w:after="0"/>
        <w:ind w:left="97"/>
        <w:jc w:val="center"/>
      </w:pPr>
      <w:r w:rsidRPr="00FA5EA3">
        <w:rPr>
          <w:rFonts w:eastAsia="Times New Roman"/>
          <w:color w:val="auto"/>
          <w:kern w:val="0"/>
          <w:sz w:val="21"/>
          <w:szCs w:val="21"/>
          <w:lang w:val="en-US" w:eastAsia="en-US"/>
        </w:rPr>
        <w:t> </w:t>
      </w:r>
    </w:p>
    <w:p w:rsidR="00C4502F" w:rsidRPr="00B179BF" w:rsidRDefault="00B179BF" w:rsidP="00B179BF">
      <w:pPr>
        <w:spacing w:after="0"/>
        <w:ind w:left="97"/>
        <w:jc w:val="center"/>
        <w:rPr>
          <w:bCs/>
          <w:szCs w:val="22"/>
        </w:rPr>
      </w:pPr>
      <w:r w:rsidRPr="00B179BF">
        <w:rPr>
          <w:szCs w:val="22"/>
        </w:rPr>
        <w:t xml:space="preserve">by </w:t>
      </w:r>
      <w:r w:rsidRPr="00B179BF">
        <w:rPr>
          <w:bCs/>
          <w:szCs w:val="22"/>
        </w:rPr>
        <w:t>Stefania Vladu</w:t>
      </w:r>
    </w:p>
    <w:p w:rsidR="00F35464" w:rsidRPr="00B179BF" w:rsidRDefault="00F35464" w:rsidP="00B179BF">
      <w:pPr>
        <w:spacing w:after="38"/>
        <w:ind w:right="8"/>
        <w:jc w:val="center"/>
        <w:rPr>
          <w:bCs/>
          <w:szCs w:val="22"/>
        </w:rPr>
      </w:pPr>
      <w:r w:rsidRPr="00B179BF">
        <w:rPr>
          <w:bCs/>
          <w:szCs w:val="22"/>
        </w:rPr>
        <w:t>2230350</w:t>
      </w:r>
    </w:p>
    <w:p w:rsidR="00C4502F" w:rsidRPr="007E22D8" w:rsidRDefault="00575940" w:rsidP="001358D6">
      <w:pPr>
        <w:spacing w:after="148"/>
        <w:rPr>
          <w:sz w:val="32"/>
          <w:szCs w:val="32"/>
        </w:rPr>
      </w:pPr>
      <w:r w:rsidRPr="007E22D8">
        <w:rPr>
          <w:rFonts w:eastAsia="Calibri"/>
          <w:sz w:val="32"/>
          <w:szCs w:val="32"/>
        </w:rPr>
        <w:t xml:space="preserve"> </w:t>
      </w:r>
      <w:r w:rsidRPr="007E22D8">
        <w:rPr>
          <w:rFonts w:eastAsia="Calibri"/>
          <w:sz w:val="32"/>
          <w:szCs w:val="32"/>
        </w:rPr>
        <w:tab/>
        <w:t xml:space="preserve"> </w:t>
      </w:r>
    </w:p>
    <w:p w:rsidR="00C4502F" w:rsidRPr="00B179BF" w:rsidRDefault="009A3B5A" w:rsidP="00B179BF">
      <w:pPr>
        <w:spacing w:after="0"/>
        <w:jc w:val="center"/>
        <w:rPr>
          <w:sz w:val="32"/>
          <w:szCs w:val="32"/>
        </w:rPr>
      </w:pPr>
      <w:r w:rsidRPr="00B179BF">
        <w:rPr>
          <w:bCs/>
          <w:sz w:val="32"/>
          <w:szCs w:val="32"/>
        </w:rPr>
        <w:t xml:space="preserve">Supervisor: </w:t>
      </w:r>
      <w:r w:rsidR="00F35464" w:rsidRPr="00B179BF">
        <w:rPr>
          <w:bCs/>
          <w:sz w:val="32"/>
          <w:szCs w:val="32"/>
        </w:rPr>
        <w:t>I</w:t>
      </w:r>
      <w:r w:rsidR="001B1FC5" w:rsidRPr="00B179BF">
        <w:rPr>
          <w:bCs/>
          <w:sz w:val="32"/>
          <w:szCs w:val="32"/>
        </w:rPr>
        <w:t>van</w:t>
      </w:r>
      <w:r w:rsidR="00F35464" w:rsidRPr="00B179BF">
        <w:rPr>
          <w:bCs/>
          <w:sz w:val="32"/>
          <w:szCs w:val="32"/>
        </w:rPr>
        <w:t xml:space="preserve"> R</w:t>
      </w:r>
      <w:r w:rsidR="001B1FC5" w:rsidRPr="00B179BF">
        <w:rPr>
          <w:bCs/>
          <w:sz w:val="32"/>
          <w:szCs w:val="32"/>
        </w:rPr>
        <w:t>odriguez</w:t>
      </w:r>
      <w:r w:rsidR="00F35464" w:rsidRPr="00B179BF">
        <w:rPr>
          <w:bCs/>
          <w:sz w:val="32"/>
          <w:szCs w:val="32"/>
        </w:rPr>
        <w:t xml:space="preserve"> H</w:t>
      </w:r>
      <w:r w:rsidR="001B1FC5" w:rsidRPr="00B179BF">
        <w:rPr>
          <w:bCs/>
          <w:sz w:val="32"/>
          <w:szCs w:val="32"/>
        </w:rPr>
        <w:t>ernandez</w:t>
      </w:r>
    </w:p>
    <w:p w:rsidR="00C4502F" w:rsidRPr="00FA5EA3" w:rsidRDefault="00575940" w:rsidP="001358D6">
      <w:pPr>
        <w:spacing w:after="0"/>
      </w:pPr>
      <w:r w:rsidRPr="00FA5EA3">
        <w:rPr>
          <w:rFonts w:eastAsia="Calibri"/>
        </w:rPr>
        <w:t xml:space="preserve"> </w:t>
      </w:r>
    </w:p>
    <w:p w:rsidR="00C4502F" w:rsidRDefault="00C4502F" w:rsidP="001358D6">
      <w:pPr>
        <w:spacing w:after="0"/>
      </w:pPr>
    </w:p>
    <w:p w:rsidR="00501239" w:rsidRDefault="00501239" w:rsidP="001358D6">
      <w:pPr>
        <w:spacing w:after="0"/>
      </w:pPr>
    </w:p>
    <w:p w:rsidR="00501239" w:rsidRDefault="00501239" w:rsidP="001358D6">
      <w:pPr>
        <w:spacing w:after="0"/>
      </w:pPr>
    </w:p>
    <w:p w:rsidR="00501239" w:rsidRDefault="00501239" w:rsidP="001358D6">
      <w:pPr>
        <w:spacing w:after="0"/>
      </w:pPr>
    </w:p>
    <w:sdt>
      <w:sdtPr>
        <w:rPr>
          <w:rFonts w:ascii="Arial" w:eastAsia="Arial" w:hAnsi="Arial" w:cs="Arial"/>
          <w:color w:val="000000"/>
          <w:kern w:val="2"/>
          <w:sz w:val="22"/>
          <w:szCs w:val="22"/>
          <w:lang w:val="en-GB" w:eastAsia="zh-CN"/>
        </w:rPr>
        <w:id w:val="428699235"/>
        <w:docPartObj>
          <w:docPartGallery w:val="Table of Contents"/>
          <w:docPartUnique/>
        </w:docPartObj>
      </w:sdtPr>
      <w:sdtEndPr>
        <w:rPr>
          <w:szCs w:val="24"/>
        </w:rPr>
      </w:sdtEndPr>
      <w:sdtContent>
        <w:p w:rsidR="00501239" w:rsidRPr="00501239" w:rsidRDefault="00501239" w:rsidP="00501239">
          <w:pPr>
            <w:pStyle w:val="TOCHeading"/>
            <w:spacing w:line="360" w:lineRule="auto"/>
            <w:rPr>
              <w:rFonts w:ascii="Arial" w:hAnsi="Arial" w:cs="Arial"/>
              <w:sz w:val="22"/>
              <w:szCs w:val="22"/>
            </w:rPr>
          </w:pPr>
          <w:r w:rsidRPr="00501239">
            <w:rPr>
              <w:rFonts w:ascii="Arial" w:hAnsi="Arial" w:cs="Arial"/>
              <w:sz w:val="22"/>
              <w:szCs w:val="22"/>
            </w:rPr>
            <w:t>Contents</w:t>
          </w:r>
        </w:p>
        <w:p w:rsidR="00501239" w:rsidRPr="00501239" w:rsidRDefault="002C583D" w:rsidP="00501239">
          <w:pPr>
            <w:pStyle w:val="TOC2"/>
            <w:tabs>
              <w:tab w:val="right" w:leader="dot" w:pos="9073"/>
            </w:tabs>
            <w:rPr>
              <w:rFonts w:eastAsiaTheme="minorEastAsia"/>
              <w:noProof/>
              <w:color w:val="auto"/>
              <w:kern w:val="0"/>
              <w:szCs w:val="22"/>
              <w:lang w:val="en-US" w:eastAsia="en-US"/>
            </w:rPr>
          </w:pPr>
          <w:r w:rsidRPr="00501239">
            <w:rPr>
              <w:szCs w:val="22"/>
            </w:rPr>
            <w:fldChar w:fldCharType="begin"/>
          </w:r>
          <w:r w:rsidR="00501239" w:rsidRPr="00501239">
            <w:rPr>
              <w:szCs w:val="22"/>
            </w:rPr>
            <w:instrText xml:space="preserve"> TOC \o "1-3" \h \z \u </w:instrText>
          </w:r>
          <w:r w:rsidRPr="00501239">
            <w:rPr>
              <w:szCs w:val="22"/>
            </w:rPr>
            <w:fldChar w:fldCharType="separate"/>
          </w:r>
          <w:hyperlink w:anchor="_Toc214295742" w:history="1">
            <w:r w:rsidR="00501239" w:rsidRPr="00501239">
              <w:rPr>
                <w:rStyle w:val="Hyperlink"/>
                <w:noProof/>
                <w:szCs w:val="22"/>
              </w:rPr>
              <w:t>DECLARATION</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_Toc214295742 \h </w:instrText>
            </w:r>
            <w:r w:rsidRPr="00501239">
              <w:rPr>
                <w:noProof/>
                <w:webHidden/>
                <w:szCs w:val="22"/>
              </w:rPr>
            </w:r>
            <w:r w:rsidRPr="00501239">
              <w:rPr>
                <w:noProof/>
                <w:webHidden/>
                <w:szCs w:val="22"/>
              </w:rPr>
              <w:fldChar w:fldCharType="separate"/>
            </w:r>
            <w:r w:rsidR="00501239" w:rsidRPr="00501239">
              <w:rPr>
                <w:noProof/>
                <w:webHidden/>
                <w:szCs w:val="22"/>
              </w:rPr>
              <w:t>2</w:t>
            </w:r>
            <w:r w:rsidRPr="00501239">
              <w:rPr>
                <w:noProof/>
                <w:webHidden/>
                <w:szCs w:val="22"/>
              </w:rPr>
              <w:fldChar w:fldCharType="end"/>
            </w:r>
          </w:hyperlink>
        </w:p>
        <w:p w:rsidR="00501239" w:rsidRPr="00501239" w:rsidRDefault="002C583D" w:rsidP="00501239">
          <w:pPr>
            <w:pStyle w:val="TOC1"/>
            <w:tabs>
              <w:tab w:val="right" w:leader="dot" w:pos="9073"/>
            </w:tabs>
            <w:rPr>
              <w:rFonts w:eastAsiaTheme="minorEastAsia"/>
              <w:noProof/>
              <w:color w:val="auto"/>
              <w:kern w:val="0"/>
              <w:szCs w:val="22"/>
              <w:lang w:val="en-US" w:eastAsia="en-US"/>
            </w:rPr>
          </w:pPr>
          <w:hyperlink w:anchor="_Toc214295743" w:history="1">
            <w:r w:rsidR="00501239" w:rsidRPr="00501239">
              <w:rPr>
                <w:rStyle w:val="Hyperlink"/>
                <w:noProof/>
                <w:szCs w:val="22"/>
              </w:rPr>
              <w:t>CHAPTER 1: Introduction</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_Toc214295743 \h </w:instrText>
            </w:r>
            <w:r w:rsidRPr="00501239">
              <w:rPr>
                <w:noProof/>
                <w:webHidden/>
                <w:szCs w:val="22"/>
              </w:rPr>
            </w:r>
            <w:r w:rsidRPr="00501239">
              <w:rPr>
                <w:noProof/>
                <w:webHidden/>
                <w:szCs w:val="22"/>
              </w:rPr>
              <w:fldChar w:fldCharType="separate"/>
            </w:r>
            <w:r w:rsidR="00501239" w:rsidRPr="00501239">
              <w:rPr>
                <w:noProof/>
                <w:webHidden/>
                <w:szCs w:val="22"/>
              </w:rPr>
              <w:t>5</w:t>
            </w:r>
            <w:r w:rsidRPr="00501239">
              <w:rPr>
                <w:noProof/>
                <w:webHidden/>
                <w:szCs w:val="22"/>
              </w:rPr>
              <w:fldChar w:fldCharType="end"/>
            </w:r>
          </w:hyperlink>
        </w:p>
        <w:p w:rsidR="00501239" w:rsidRPr="00501239" w:rsidRDefault="002C583D" w:rsidP="00501239">
          <w:pPr>
            <w:pStyle w:val="TOC1"/>
            <w:tabs>
              <w:tab w:val="right" w:leader="dot" w:pos="9073"/>
            </w:tabs>
            <w:rPr>
              <w:rFonts w:eastAsiaTheme="minorEastAsia"/>
              <w:noProof/>
              <w:color w:val="auto"/>
              <w:kern w:val="0"/>
              <w:szCs w:val="22"/>
              <w:lang w:val="en-US" w:eastAsia="en-US"/>
            </w:rPr>
          </w:pPr>
          <w:hyperlink w:anchor="_Toc214295744" w:history="1">
            <w:r w:rsidR="00501239" w:rsidRPr="00501239">
              <w:rPr>
                <w:rStyle w:val="Hyperlink"/>
                <w:bCs/>
                <w:noProof/>
                <w:szCs w:val="22"/>
              </w:rPr>
              <w:t>Organisational change has become a defining characteristic of contemporary business environments, particularly within retail logistics, where operational efficiency and technological adaptability determine competitive advantage.</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_Toc214295744 \h </w:instrText>
            </w:r>
            <w:r w:rsidRPr="00501239">
              <w:rPr>
                <w:noProof/>
                <w:webHidden/>
                <w:szCs w:val="22"/>
              </w:rPr>
            </w:r>
            <w:r w:rsidRPr="00501239">
              <w:rPr>
                <w:noProof/>
                <w:webHidden/>
                <w:szCs w:val="22"/>
              </w:rPr>
              <w:fldChar w:fldCharType="separate"/>
            </w:r>
            <w:r w:rsidR="00501239" w:rsidRPr="00501239">
              <w:rPr>
                <w:noProof/>
                <w:webHidden/>
                <w:szCs w:val="22"/>
              </w:rPr>
              <w:t>5</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45" w:history="1">
            <w:r w:rsidR="00501239" w:rsidRPr="00501239">
              <w:rPr>
                <w:rStyle w:val="Hyperlink"/>
                <w:noProof/>
                <w:szCs w:val="22"/>
              </w:rPr>
              <w:t>1.3 Research objectives</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_Toc214295745 \h </w:instrText>
            </w:r>
            <w:r w:rsidRPr="00501239">
              <w:rPr>
                <w:noProof/>
                <w:webHidden/>
                <w:szCs w:val="22"/>
              </w:rPr>
            </w:r>
            <w:r w:rsidRPr="00501239">
              <w:rPr>
                <w:noProof/>
                <w:webHidden/>
                <w:szCs w:val="22"/>
              </w:rPr>
              <w:fldChar w:fldCharType="separate"/>
            </w:r>
            <w:r w:rsidR="00501239" w:rsidRPr="00501239">
              <w:rPr>
                <w:noProof/>
                <w:webHidden/>
                <w:szCs w:val="22"/>
              </w:rPr>
              <w:t>8</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46" w:history="1">
            <w:r w:rsidR="00501239" w:rsidRPr="00501239">
              <w:rPr>
                <w:rStyle w:val="Hyperlink"/>
                <w:noProof/>
                <w:szCs w:val="22"/>
                <w:lang w:val="en-US" w:eastAsia="en-US"/>
              </w:rPr>
              <w:t>1.4 Research questions</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_Toc214295746 \h </w:instrText>
            </w:r>
            <w:r w:rsidRPr="00501239">
              <w:rPr>
                <w:noProof/>
                <w:webHidden/>
                <w:szCs w:val="22"/>
              </w:rPr>
            </w:r>
            <w:r w:rsidRPr="00501239">
              <w:rPr>
                <w:noProof/>
                <w:webHidden/>
                <w:szCs w:val="22"/>
              </w:rPr>
              <w:fldChar w:fldCharType="separate"/>
            </w:r>
            <w:r w:rsidR="00501239" w:rsidRPr="00501239">
              <w:rPr>
                <w:noProof/>
                <w:webHidden/>
                <w:szCs w:val="22"/>
              </w:rPr>
              <w:t>10</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47" w:history="1">
            <w:r w:rsidR="00501239" w:rsidRPr="00501239">
              <w:rPr>
                <w:rStyle w:val="Hyperlink"/>
                <w:noProof/>
                <w:szCs w:val="22"/>
                <w:lang w:val="en-US" w:eastAsia="en-US"/>
              </w:rPr>
              <w:t>1.5 Chapter summary</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_Toc214295747 \h </w:instrText>
            </w:r>
            <w:r w:rsidRPr="00501239">
              <w:rPr>
                <w:noProof/>
                <w:webHidden/>
                <w:szCs w:val="22"/>
              </w:rPr>
            </w:r>
            <w:r w:rsidRPr="00501239">
              <w:rPr>
                <w:noProof/>
                <w:webHidden/>
                <w:szCs w:val="22"/>
              </w:rPr>
              <w:fldChar w:fldCharType="separate"/>
            </w:r>
            <w:r w:rsidR="00501239" w:rsidRPr="00501239">
              <w:rPr>
                <w:noProof/>
                <w:webHidden/>
                <w:szCs w:val="22"/>
              </w:rPr>
              <w:t>12</w:t>
            </w:r>
            <w:r w:rsidRPr="00501239">
              <w:rPr>
                <w:noProof/>
                <w:webHidden/>
                <w:szCs w:val="22"/>
              </w:rPr>
              <w:fldChar w:fldCharType="end"/>
            </w:r>
          </w:hyperlink>
        </w:p>
        <w:p w:rsidR="00501239" w:rsidRPr="00501239" w:rsidRDefault="002C583D" w:rsidP="00501239">
          <w:pPr>
            <w:pStyle w:val="TOC1"/>
            <w:tabs>
              <w:tab w:val="right" w:leader="dot" w:pos="9073"/>
            </w:tabs>
            <w:rPr>
              <w:rFonts w:eastAsiaTheme="minorEastAsia"/>
              <w:noProof/>
              <w:color w:val="auto"/>
              <w:kern w:val="0"/>
              <w:szCs w:val="22"/>
              <w:lang w:val="en-US" w:eastAsia="en-US"/>
            </w:rPr>
          </w:pPr>
          <w:hyperlink w:anchor="_Toc214295748" w:history="1">
            <w:r w:rsidR="00501239" w:rsidRPr="00501239">
              <w:rPr>
                <w:rStyle w:val="Hyperlink"/>
                <w:noProof/>
                <w:szCs w:val="22"/>
                <w:lang w:val="en-US" w:eastAsia="en-US"/>
              </w:rPr>
              <w:t>CHAPTER 2: Literature review</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_Toc214295748 \h </w:instrText>
            </w:r>
            <w:r w:rsidRPr="00501239">
              <w:rPr>
                <w:noProof/>
                <w:webHidden/>
                <w:szCs w:val="22"/>
              </w:rPr>
            </w:r>
            <w:r w:rsidRPr="00501239">
              <w:rPr>
                <w:noProof/>
                <w:webHidden/>
                <w:szCs w:val="22"/>
              </w:rPr>
              <w:fldChar w:fldCharType="separate"/>
            </w:r>
            <w:r w:rsidR="00501239" w:rsidRPr="00501239">
              <w:rPr>
                <w:noProof/>
                <w:webHidden/>
                <w:szCs w:val="22"/>
              </w:rPr>
              <w:t>13</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49" w:history="1">
            <w:r w:rsidR="00501239" w:rsidRPr="00501239">
              <w:rPr>
                <w:rStyle w:val="Hyperlink"/>
                <w:noProof/>
                <w:szCs w:val="22"/>
                <w:lang w:val="en-US" w:eastAsia="en-US"/>
              </w:rPr>
              <w:t>2.3 Theoretical frameworks of organisational change</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_Toc214295749 \h </w:instrText>
            </w:r>
            <w:r w:rsidRPr="00501239">
              <w:rPr>
                <w:noProof/>
                <w:webHidden/>
                <w:szCs w:val="22"/>
              </w:rPr>
            </w:r>
            <w:r w:rsidRPr="00501239">
              <w:rPr>
                <w:noProof/>
                <w:webHidden/>
                <w:szCs w:val="22"/>
              </w:rPr>
              <w:fldChar w:fldCharType="separate"/>
            </w:r>
            <w:r w:rsidR="00501239" w:rsidRPr="00501239">
              <w:rPr>
                <w:noProof/>
                <w:webHidden/>
                <w:szCs w:val="22"/>
              </w:rPr>
              <w:t>15</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50" w:history="1">
            <w:r w:rsidR="00501239" w:rsidRPr="00501239">
              <w:rPr>
                <w:rStyle w:val="Hyperlink"/>
                <w:noProof/>
                <w:szCs w:val="22"/>
                <w:lang w:val="en-US" w:eastAsia="en-US"/>
              </w:rPr>
              <w:t>2.5 Challenges in implementing organisational change</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_Toc214295750 \h </w:instrText>
            </w:r>
            <w:r w:rsidRPr="00501239">
              <w:rPr>
                <w:noProof/>
                <w:webHidden/>
                <w:szCs w:val="22"/>
              </w:rPr>
            </w:r>
            <w:r w:rsidRPr="00501239">
              <w:rPr>
                <w:noProof/>
                <w:webHidden/>
                <w:szCs w:val="22"/>
              </w:rPr>
              <w:fldChar w:fldCharType="separate"/>
            </w:r>
            <w:r w:rsidR="00501239" w:rsidRPr="00501239">
              <w:rPr>
                <w:noProof/>
                <w:webHidden/>
                <w:szCs w:val="22"/>
              </w:rPr>
              <w:t>16</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51" w:history="1">
            <w:r w:rsidR="00501239" w:rsidRPr="00501239">
              <w:rPr>
                <w:rStyle w:val="Hyperlink"/>
                <w:noProof/>
                <w:szCs w:val="22"/>
                <w:lang w:val="en-US" w:eastAsia="en-US"/>
              </w:rPr>
              <w:t>2.9 Research hypothesis</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_Toc214295751 \h </w:instrText>
            </w:r>
            <w:r w:rsidRPr="00501239">
              <w:rPr>
                <w:noProof/>
                <w:webHidden/>
                <w:szCs w:val="22"/>
              </w:rPr>
            </w:r>
            <w:r w:rsidRPr="00501239">
              <w:rPr>
                <w:noProof/>
                <w:webHidden/>
                <w:szCs w:val="22"/>
              </w:rPr>
              <w:fldChar w:fldCharType="separate"/>
            </w:r>
            <w:r w:rsidR="00501239" w:rsidRPr="00501239">
              <w:rPr>
                <w:noProof/>
                <w:webHidden/>
                <w:szCs w:val="22"/>
              </w:rPr>
              <w:t>19</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52" w:history="1">
            <w:r w:rsidR="00501239" w:rsidRPr="00501239">
              <w:rPr>
                <w:rStyle w:val="Hyperlink"/>
                <w:noProof/>
                <w:szCs w:val="22"/>
                <w:lang w:val="en-US" w:eastAsia="en-US"/>
              </w:rPr>
              <w:t>2.10 Chapter summary</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_Toc214295752 \h </w:instrText>
            </w:r>
            <w:r w:rsidRPr="00501239">
              <w:rPr>
                <w:noProof/>
                <w:webHidden/>
                <w:szCs w:val="22"/>
              </w:rPr>
            </w:r>
            <w:r w:rsidRPr="00501239">
              <w:rPr>
                <w:noProof/>
                <w:webHidden/>
                <w:szCs w:val="22"/>
              </w:rPr>
              <w:fldChar w:fldCharType="separate"/>
            </w:r>
            <w:r w:rsidR="00501239" w:rsidRPr="00501239">
              <w:rPr>
                <w:noProof/>
                <w:webHidden/>
                <w:szCs w:val="22"/>
              </w:rPr>
              <w:t>19</w:t>
            </w:r>
            <w:r w:rsidRPr="00501239">
              <w:rPr>
                <w:noProof/>
                <w:webHidden/>
                <w:szCs w:val="22"/>
              </w:rPr>
              <w:fldChar w:fldCharType="end"/>
            </w:r>
          </w:hyperlink>
        </w:p>
        <w:p w:rsidR="00501239" w:rsidRPr="00501239" w:rsidRDefault="002C583D" w:rsidP="00501239">
          <w:pPr>
            <w:pStyle w:val="TOC1"/>
            <w:tabs>
              <w:tab w:val="right" w:leader="dot" w:pos="9073"/>
            </w:tabs>
            <w:rPr>
              <w:rFonts w:eastAsiaTheme="minorEastAsia"/>
              <w:noProof/>
              <w:color w:val="auto"/>
              <w:kern w:val="0"/>
              <w:szCs w:val="22"/>
              <w:lang w:val="en-US" w:eastAsia="en-US"/>
            </w:rPr>
          </w:pPr>
          <w:hyperlink w:anchor="_Toc214295753" w:history="1">
            <w:r w:rsidR="00501239" w:rsidRPr="00501239">
              <w:rPr>
                <w:rStyle w:val="Hyperlink"/>
                <w:noProof/>
                <w:szCs w:val="22"/>
              </w:rPr>
              <w:t>CHAPTER 3: Methodology</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_Toc214295753 \h </w:instrText>
            </w:r>
            <w:r w:rsidRPr="00501239">
              <w:rPr>
                <w:noProof/>
                <w:webHidden/>
                <w:szCs w:val="22"/>
              </w:rPr>
            </w:r>
            <w:r w:rsidRPr="00501239">
              <w:rPr>
                <w:noProof/>
                <w:webHidden/>
                <w:szCs w:val="22"/>
              </w:rPr>
              <w:fldChar w:fldCharType="separate"/>
            </w:r>
            <w:r w:rsidR="00501239" w:rsidRPr="00501239">
              <w:rPr>
                <w:noProof/>
                <w:webHidden/>
                <w:szCs w:val="22"/>
              </w:rPr>
              <w:t>20</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54" w:history="1">
            <w:r w:rsidR="00501239" w:rsidRPr="00501239">
              <w:rPr>
                <w:rStyle w:val="Hyperlink"/>
                <w:noProof/>
                <w:szCs w:val="22"/>
                <w:lang w:val="en-US" w:eastAsia="en-US"/>
              </w:rPr>
              <w:t>3.6.2 Exclusion criteria</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_Toc214295754 \h </w:instrText>
            </w:r>
            <w:r w:rsidRPr="00501239">
              <w:rPr>
                <w:noProof/>
                <w:webHidden/>
                <w:szCs w:val="22"/>
              </w:rPr>
            </w:r>
            <w:r w:rsidRPr="00501239">
              <w:rPr>
                <w:noProof/>
                <w:webHidden/>
                <w:szCs w:val="22"/>
              </w:rPr>
              <w:fldChar w:fldCharType="separate"/>
            </w:r>
            <w:r w:rsidR="00501239" w:rsidRPr="00501239">
              <w:rPr>
                <w:noProof/>
                <w:webHidden/>
                <w:szCs w:val="22"/>
              </w:rPr>
              <w:t>23</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55" w:history="1">
            <w:r w:rsidR="00501239" w:rsidRPr="00501239">
              <w:rPr>
                <w:rStyle w:val="Hyperlink"/>
                <w:noProof/>
                <w:szCs w:val="22"/>
                <w:lang w:val="en-US" w:eastAsia="en-US"/>
              </w:rPr>
              <w:t>3.10 Chapter summary</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_Toc214295755 \h </w:instrText>
            </w:r>
            <w:r w:rsidRPr="00501239">
              <w:rPr>
                <w:noProof/>
                <w:webHidden/>
                <w:szCs w:val="22"/>
              </w:rPr>
            </w:r>
            <w:r w:rsidRPr="00501239">
              <w:rPr>
                <w:noProof/>
                <w:webHidden/>
                <w:szCs w:val="22"/>
              </w:rPr>
              <w:fldChar w:fldCharType="separate"/>
            </w:r>
            <w:r w:rsidR="00501239" w:rsidRPr="00501239">
              <w:rPr>
                <w:noProof/>
                <w:webHidden/>
                <w:szCs w:val="22"/>
              </w:rPr>
              <w:t>26</w:t>
            </w:r>
            <w:r w:rsidRPr="00501239">
              <w:rPr>
                <w:noProof/>
                <w:webHidden/>
                <w:szCs w:val="22"/>
              </w:rPr>
              <w:fldChar w:fldCharType="end"/>
            </w:r>
          </w:hyperlink>
        </w:p>
        <w:p w:rsidR="00501239" w:rsidRPr="00501239" w:rsidRDefault="002C583D" w:rsidP="00501239">
          <w:pPr>
            <w:pStyle w:val="TOC1"/>
            <w:tabs>
              <w:tab w:val="right" w:leader="dot" w:pos="9073"/>
            </w:tabs>
            <w:rPr>
              <w:rFonts w:eastAsiaTheme="minorEastAsia"/>
              <w:noProof/>
              <w:color w:val="auto"/>
              <w:kern w:val="0"/>
              <w:szCs w:val="22"/>
              <w:lang w:val="en-US" w:eastAsia="en-US"/>
            </w:rPr>
          </w:pPr>
          <w:hyperlink w:anchor="_Toc214295756" w:history="1">
            <w:r w:rsidR="00501239" w:rsidRPr="00501239">
              <w:rPr>
                <w:rStyle w:val="Hyperlink"/>
                <w:noProof/>
                <w:szCs w:val="22"/>
                <w:lang w:val="en-US" w:eastAsia="en-US"/>
              </w:rPr>
              <w:t>CHAPTER 4: Findings and analysis</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_Toc214295756 \h </w:instrText>
            </w:r>
            <w:r w:rsidRPr="00501239">
              <w:rPr>
                <w:noProof/>
                <w:webHidden/>
                <w:szCs w:val="22"/>
              </w:rPr>
            </w:r>
            <w:r w:rsidRPr="00501239">
              <w:rPr>
                <w:noProof/>
                <w:webHidden/>
                <w:szCs w:val="22"/>
              </w:rPr>
              <w:fldChar w:fldCharType="separate"/>
            </w:r>
            <w:r w:rsidR="00501239" w:rsidRPr="00501239">
              <w:rPr>
                <w:noProof/>
                <w:webHidden/>
                <w:szCs w:val="22"/>
              </w:rPr>
              <w:t>26</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57" w:history="1">
            <w:r w:rsidR="00501239" w:rsidRPr="00501239">
              <w:rPr>
                <w:rStyle w:val="Hyperlink"/>
                <w:noProof/>
                <w:szCs w:val="22"/>
              </w:rPr>
              <w:t>4.2 Drivers of organisational change in retail logistics</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_Toc214295757 \h </w:instrText>
            </w:r>
            <w:r w:rsidRPr="00501239">
              <w:rPr>
                <w:noProof/>
                <w:webHidden/>
                <w:szCs w:val="22"/>
              </w:rPr>
            </w:r>
            <w:r w:rsidRPr="00501239">
              <w:rPr>
                <w:noProof/>
                <w:webHidden/>
                <w:szCs w:val="22"/>
              </w:rPr>
              <w:fldChar w:fldCharType="separate"/>
            </w:r>
            <w:r w:rsidR="00501239" w:rsidRPr="00501239">
              <w:rPr>
                <w:noProof/>
                <w:webHidden/>
                <w:szCs w:val="22"/>
              </w:rPr>
              <w:t>29</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58" w:history="1">
            <w:r w:rsidR="00501239" w:rsidRPr="00501239">
              <w:rPr>
                <w:rStyle w:val="Hyperlink"/>
                <w:noProof/>
                <w:szCs w:val="22"/>
              </w:rPr>
              <w:t>4.2.4 Critical interpretation of drivers</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_Toc214295758 \h </w:instrText>
            </w:r>
            <w:r w:rsidRPr="00501239">
              <w:rPr>
                <w:noProof/>
                <w:webHidden/>
                <w:szCs w:val="22"/>
              </w:rPr>
            </w:r>
            <w:r w:rsidRPr="00501239">
              <w:rPr>
                <w:noProof/>
                <w:webHidden/>
                <w:szCs w:val="22"/>
              </w:rPr>
              <w:fldChar w:fldCharType="separate"/>
            </w:r>
            <w:r w:rsidR="00501239" w:rsidRPr="00501239">
              <w:rPr>
                <w:noProof/>
                <w:webHidden/>
                <w:szCs w:val="22"/>
              </w:rPr>
              <w:t>31</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59" w:history="1">
            <w:r w:rsidR="00501239" w:rsidRPr="00501239">
              <w:rPr>
                <w:rStyle w:val="Hyperlink"/>
                <w:noProof/>
                <w:szCs w:val="22"/>
                <w:lang w:val="en-US" w:eastAsia="en-US"/>
              </w:rPr>
              <w:t>4.3 Leadership and communication practices at Tesco</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_Toc214295759 \h </w:instrText>
            </w:r>
            <w:r w:rsidRPr="00501239">
              <w:rPr>
                <w:noProof/>
                <w:webHidden/>
                <w:szCs w:val="22"/>
              </w:rPr>
            </w:r>
            <w:r w:rsidRPr="00501239">
              <w:rPr>
                <w:noProof/>
                <w:webHidden/>
                <w:szCs w:val="22"/>
              </w:rPr>
              <w:fldChar w:fldCharType="separate"/>
            </w:r>
            <w:r w:rsidR="00501239" w:rsidRPr="00501239">
              <w:rPr>
                <w:noProof/>
                <w:webHidden/>
                <w:szCs w:val="22"/>
              </w:rPr>
              <w:t>31</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60" w:history="1">
            <w:r w:rsidR="00501239" w:rsidRPr="00501239">
              <w:rPr>
                <w:rStyle w:val="Hyperlink"/>
                <w:noProof/>
                <w:szCs w:val="22"/>
                <w:lang w:val="en-US" w:eastAsia="en-US"/>
              </w:rPr>
              <w:t>4.4.1 Automation and digital integration</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_Toc214295760 \h </w:instrText>
            </w:r>
            <w:r w:rsidRPr="00501239">
              <w:rPr>
                <w:noProof/>
                <w:webHidden/>
                <w:szCs w:val="22"/>
              </w:rPr>
            </w:r>
            <w:r w:rsidRPr="00501239">
              <w:rPr>
                <w:noProof/>
                <w:webHidden/>
                <w:szCs w:val="22"/>
              </w:rPr>
              <w:fldChar w:fldCharType="separate"/>
            </w:r>
            <w:r w:rsidR="00501239" w:rsidRPr="00501239">
              <w:rPr>
                <w:noProof/>
                <w:webHidden/>
                <w:szCs w:val="22"/>
              </w:rPr>
              <w:t>34</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61" w:history="1">
            <w:r w:rsidR="00501239" w:rsidRPr="00501239">
              <w:rPr>
                <w:rStyle w:val="Hyperlink"/>
                <w:noProof/>
                <w:szCs w:val="22"/>
                <w:lang w:val="en-US" w:eastAsia="en-US"/>
              </w:rPr>
              <w:t>4.7 Summary of key insights</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_Toc214295761 \h </w:instrText>
            </w:r>
            <w:r w:rsidRPr="00501239">
              <w:rPr>
                <w:noProof/>
                <w:webHidden/>
                <w:szCs w:val="22"/>
              </w:rPr>
            </w:r>
            <w:r w:rsidRPr="00501239">
              <w:rPr>
                <w:noProof/>
                <w:webHidden/>
                <w:szCs w:val="22"/>
              </w:rPr>
              <w:fldChar w:fldCharType="separate"/>
            </w:r>
            <w:r w:rsidR="00501239" w:rsidRPr="00501239">
              <w:rPr>
                <w:noProof/>
                <w:webHidden/>
                <w:szCs w:val="22"/>
              </w:rPr>
              <w:t>39</w:t>
            </w:r>
            <w:r w:rsidRPr="00501239">
              <w:rPr>
                <w:noProof/>
                <w:webHidden/>
                <w:szCs w:val="22"/>
              </w:rPr>
              <w:fldChar w:fldCharType="end"/>
            </w:r>
          </w:hyperlink>
        </w:p>
        <w:p w:rsidR="00501239" w:rsidRPr="00501239" w:rsidRDefault="002C583D" w:rsidP="00501239">
          <w:pPr>
            <w:pStyle w:val="TOC1"/>
            <w:tabs>
              <w:tab w:val="right" w:leader="dot" w:pos="9073"/>
            </w:tabs>
            <w:rPr>
              <w:rFonts w:eastAsiaTheme="minorEastAsia"/>
              <w:noProof/>
              <w:color w:val="auto"/>
              <w:kern w:val="0"/>
              <w:szCs w:val="22"/>
              <w:lang w:val="en-US" w:eastAsia="en-US"/>
            </w:rPr>
          </w:pPr>
          <w:hyperlink w:anchor="_Toc214295762" w:history="1">
            <w:r w:rsidR="00501239" w:rsidRPr="00501239">
              <w:rPr>
                <w:rStyle w:val="Hyperlink"/>
                <w:noProof/>
                <w:szCs w:val="22"/>
              </w:rPr>
              <w:t>CHAPTER 5: Conclusions and recommendations</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_Toc214295762 \h </w:instrText>
            </w:r>
            <w:r w:rsidRPr="00501239">
              <w:rPr>
                <w:noProof/>
                <w:webHidden/>
                <w:szCs w:val="22"/>
              </w:rPr>
            </w:r>
            <w:r w:rsidRPr="00501239">
              <w:rPr>
                <w:noProof/>
                <w:webHidden/>
                <w:szCs w:val="22"/>
              </w:rPr>
              <w:fldChar w:fldCharType="separate"/>
            </w:r>
            <w:r w:rsidR="00501239" w:rsidRPr="00501239">
              <w:rPr>
                <w:noProof/>
                <w:webHidden/>
                <w:szCs w:val="22"/>
              </w:rPr>
              <w:t>40</w:t>
            </w:r>
            <w:r w:rsidRPr="00501239">
              <w:rPr>
                <w:noProof/>
                <w:webHidden/>
                <w:szCs w:val="22"/>
              </w:rPr>
              <w:fldChar w:fldCharType="end"/>
            </w:r>
          </w:hyperlink>
        </w:p>
        <w:p w:rsidR="00501239" w:rsidRPr="00501239" w:rsidRDefault="002C583D" w:rsidP="00501239">
          <w:pPr>
            <w:pStyle w:val="TOC2"/>
            <w:tabs>
              <w:tab w:val="right" w:leader="dot" w:pos="9073"/>
            </w:tabs>
            <w:rPr>
              <w:rFonts w:eastAsiaTheme="minorEastAsia"/>
              <w:noProof/>
              <w:color w:val="auto"/>
              <w:kern w:val="0"/>
              <w:szCs w:val="22"/>
              <w:lang w:val="en-US" w:eastAsia="en-US"/>
            </w:rPr>
          </w:pPr>
          <w:hyperlink w:anchor="_Toc214295763" w:history="1">
            <w:r w:rsidR="00501239" w:rsidRPr="00501239">
              <w:rPr>
                <w:rStyle w:val="Hyperlink"/>
                <w:noProof/>
                <w:szCs w:val="22"/>
              </w:rPr>
              <w:t>5.1 Personal reflection</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_Toc214295763 \h </w:instrText>
            </w:r>
            <w:r w:rsidRPr="00501239">
              <w:rPr>
                <w:noProof/>
                <w:webHidden/>
                <w:szCs w:val="22"/>
              </w:rPr>
            </w:r>
            <w:r w:rsidRPr="00501239">
              <w:rPr>
                <w:noProof/>
                <w:webHidden/>
                <w:szCs w:val="22"/>
              </w:rPr>
              <w:fldChar w:fldCharType="separate"/>
            </w:r>
            <w:r w:rsidR="00501239" w:rsidRPr="00501239">
              <w:rPr>
                <w:noProof/>
                <w:webHidden/>
                <w:szCs w:val="22"/>
              </w:rPr>
              <w:t>42</w:t>
            </w:r>
            <w:r w:rsidRPr="00501239">
              <w:rPr>
                <w:noProof/>
                <w:webHidden/>
                <w:szCs w:val="22"/>
              </w:rPr>
              <w:fldChar w:fldCharType="end"/>
            </w:r>
          </w:hyperlink>
        </w:p>
        <w:p w:rsidR="00501239" w:rsidRPr="00501239" w:rsidRDefault="002C583D" w:rsidP="00501239">
          <w:pPr>
            <w:pStyle w:val="TOC1"/>
            <w:tabs>
              <w:tab w:val="right" w:leader="dot" w:pos="9073"/>
            </w:tabs>
            <w:rPr>
              <w:rFonts w:eastAsiaTheme="minorEastAsia"/>
              <w:noProof/>
              <w:color w:val="auto"/>
              <w:kern w:val="0"/>
              <w:szCs w:val="22"/>
              <w:lang w:val="en-US" w:eastAsia="en-US"/>
            </w:rPr>
          </w:pPr>
          <w:hyperlink w:anchor="_Toc214295764" w:history="1">
            <w:r w:rsidR="00501239" w:rsidRPr="00501239">
              <w:rPr>
                <w:rStyle w:val="Hyperlink"/>
                <w:noProof/>
                <w:szCs w:val="22"/>
                <w:lang w:val="en-US" w:eastAsia="en-US"/>
              </w:rPr>
              <w:t>References</w:t>
            </w:r>
            <w:r w:rsidR="00501239" w:rsidRPr="00501239">
              <w:rPr>
                <w:noProof/>
                <w:webHidden/>
                <w:szCs w:val="22"/>
              </w:rPr>
              <w:tab/>
            </w:r>
            <w:r w:rsidRPr="00501239">
              <w:rPr>
                <w:noProof/>
                <w:webHidden/>
                <w:szCs w:val="22"/>
              </w:rPr>
              <w:fldChar w:fldCharType="begin"/>
            </w:r>
            <w:r w:rsidR="00501239" w:rsidRPr="00501239">
              <w:rPr>
                <w:noProof/>
                <w:webHidden/>
                <w:szCs w:val="22"/>
              </w:rPr>
              <w:instrText xml:space="preserve"> PAGEREF _Toc214295764 \h </w:instrText>
            </w:r>
            <w:r w:rsidRPr="00501239">
              <w:rPr>
                <w:noProof/>
                <w:webHidden/>
                <w:szCs w:val="22"/>
              </w:rPr>
            </w:r>
            <w:r w:rsidRPr="00501239">
              <w:rPr>
                <w:noProof/>
                <w:webHidden/>
                <w:szCs w:val="22"/>
              </w:rPr>
              <w:fldChar w:fldCharType="separate"/>
            </w:r>
            <w:r w:rsidR="00501239" w:rsidRPr="00501239">
              <w:rPr>
                <w:noProof/>
                <w:webHidden/>
                <w:szCs w:val="22"/>
              </w:rPr>
              <w:t>43</w:t>
            </w:r>
            <w:r w:rsidRPr="00501239">
              <w:rPr>
                <w:noProof/>
                <w:webHidden/>
                <w:szCs w:val="22"/>
              </w:rPr>
              <w:fldChar w:fldCharType="end"/>
            </w:r>
          </w:hyperlink>
        </w:p>
        <w:p w:rsidR="00C4502F" w:rsidRPr="00FA5EA3" w:rsidRDefault="002C583D" w:rsidP="00501239">
          <w:r w:rsidRPr="00501239">
            <w:rPr>
              <w:szCs w:val="22"/>
            </w:rPr>
            <w:fldChar w:fldCharType="end"/>
          </w:r>
        </w:p>
      </w:sdtContent>
    </w:sdt>
    <w:p w:rsidR="00C4502F" w:rsidRPr="00FA5EA3" w:rsidRDefault="00C4502F" w:rsidP="001358D6">
      <w:pPr>
        <w:spacing w:after="0"/>
      </w:pPr>
    </w:p>
    <w:p w:rsidR="00C824EF" w:rsidRDefault="00C824EF" w:rsidP="001358D6">
      <w:pPr>
        <w:pStyle w:val="Heading2"/>
        <w:spacing w:line="360" w:lineRule="auto"/>
        <w:ind w:left="10" w:right="57"/>
      </w:pPr>
    </w:p>
    <w:p w:rsidR="00C4502F" w:rsidRPr="00FA5EA3" w:rsidRDefault="00575940" w:rsidP="001358D6">
      <w:pPr>
        <w:pStyle w:val="Heading2"/>
        <w:spacing w:line="360" w:lineRule="auto"/>
        <w:ind w:left="10" w:right="57"/>
      </w:pPr>
      <w:bookmarkStart w:id="0" w:name="_Toc214295742"/>
      <w:r w:rsidRPr="00FA5EA3">
        <w:t>DECLARATION</w:t>
      </w:r>
      <w:bookmarkEnd w:id="0"/>
      <w:r w:rsidRPr="00FA5EA3">
        <w:t xml:space="preserve"> </w:t>
      </w:r>
    </w:p>
    <w:p w:rsidR="00C4502F" w:rsidRPr="00FA5EA3" w:rsidRDefault="00575940" w:rsidP="001358D6">
      <w:pPr>
        <w:spacing w:after="0"/>
      </w:pPr>
      <w:r w:rsidRPr="00FA5EA3">
        <w:t xml:space="preserve"> </w:t>
      </w:r>
    </w:p>
    <w:p w:rsidR="00C4502F" w:rsidRPr="00FA5EA3" w:rsidRDefault="00575940" w:rsidP="001358D6">
      <w:pPr>
        <w:ind w:left="-5" w:right="39"/>
      </w:pPr>
      <w:r w:rsidRPr="00FA5EA3">
        <w:t xml:space="preserve">I, </w:t>
      </w:r>
      <w:r w:rsidR="001358D6" w:rsidRPr="00FA5EA3">
        <w:t>Stefania Vladu</w:t>
      </w:r>
      <w:r w:rsidR="00F35464" w:rsidRPr="00FA5EA3">
        <w:rPr>
          <w:i/>
        </w:rPr>
        <w:t xml:space="preserve">, </w:t>
      </w:r>
      <w:r w:rsidRPr="00FA5EA3">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C4502F" w:rsidRPr="00FA5EA3" w:rsidRDefault="00575940" w:rsidP="001358D6">
      <w:pPr>
        <w:spacing w:after="0"/>
      </w:pPr>
      <w:r w:rsidRPr="00FA5EA3">
        <w:t xml:space="preserve"> </w:t>
      </w:r>
    </w:p>
    <w:p w:rsidR="00C4502F" w:rsidRPr="00EC0217" w:rsidRDefault="00575940" w:rsidP="001358D6">
      <w:pPr>
        <w:spacing w:after="33"/>
        <w:ind w:left="-5" w:right="4319"/>
        <w:rPr>
          <w:b/>
          <w:bCs/>
        </w:rPr>
      </w:pPr>
      <w:r w:rsidRPr="00EC0217">
        <w:rPr>
          <w:b/>
          <w:bCs/>
        </w:rPr>
        <w:t>Signature</w:t>
      </w:r>
      <w:r w:rsidR="00881DC8" w:rsidRPr="00EC0217">
        <w:rPr>
          <w:b/>
          <w:bCs/>
        </w:rPr>
        <w:t>: Stefania Vladu</w:t>
      </w:r>
      <w:r w:rsidRPr="00EC0217">
        <w:rPr>
          <w:b/>
          <w:bCs/>
        </w:rPr>
        <w:t xml:space="preserve"> </w:t>
      </w:r>
    </w:p>
    <w:p w:rsidR="00A7208F" w:rsidRDefault="00575940" w:rsidP="00A7208F">
      <w:pPr>
        <w:ind w:left="-5" w:right="39"/>
        <w:rPr>
          <w:b/>
          <w:bCs/>
        </w:rPr>
      </w:pPr>
      <w:r w:rsidRPr="00EC0217">
        <w:rPr>
          <w:b/>
          <w:bCs/>
        </w:rPr>
        <w:t xml:space="preserve">Date: </w:t>
      </w:r>
      <w:r w:rsidR="00501239">
        <w:rPr>
          <w:b/>
          <w:bCs/>
        </w:rPr>
        <w:t>17</w:t>
      </w:r>
      <w:r w:rsidR="00EC0217">
        <w:rPr>
          <w:b/>
          <w:bCs/>
        </w:rPr>
        <w:t xml:space="preserve"> November 2025</w:t>
      </w:r>
    </w:p>
    <w:p w:rsidR="00A7208F" w:rsidRDefault="00A7208F" w:rsidP="00A7208F">
      <w:pPr>
        <w:ind w:left="-5" w:right="39"/>
        <w:rPr>
          <w:b/>
          <w:bCs/>
        </w:rPr>
      </w:pPr>
    </w:p>
    <w:p w:rsidR="00501239" w:rsidRDefault="00501239" w:rsidP="00A7208F">
      <w:pPr>
        <w:ind w:left="-5" w:right="39"/>
        <w:rPr>
          <w:b/>
          <w:bCs/>
        </w:rPr>
      </w:pPr>
    </w:p>
    <w:p w:rsidR="00501239" w:rsidRDefault="00501239" w:rsidP="00A7208F">
      <w:pPr>
        <w:ind w:left="-5" w:right="39"/>
        <w:rPr>
          <w:b/>
          <w:bCs/>
        </w:rPr>
      </w:pPr>
    </w:p>
    <w:p w:rsidR="00501239" w:rsidRDefault="00501239" w:rsidP="00A7208F">
      <w:pPr>
        <w:ind w:left="-5" w:right="39"/>
        <w:rPr>
          <w:b/>
          <w:bCs/>
        </w:rPr>
      </w:pPr>
    </w:p>
    <w:p w:rsidR="00501239" w:rsidRDefault="00501239" w:rsidP="00A7208F">
      <w:pPr>
        <w:ind w:left="-5" w:right="39"/>
        <w:rPr>
          <w:b/>
          <w:bCs/>
        </w:rPr>
      </w:pPr>
    </w:p>
    <w:p w:rsidR="00A7208F" w:rsidRDefault="00A7208F" w:rsidP="00A7208F">
      <w:pPr>
        <w:ind w:left="-5" w:right="39"/>
        <w:rPr>
          <w:b/>
          <w:bCs/>
        </w:rPr>
      </w:pPr>
    </w:p>
    <w:p w:rsidR="00C4502F" w:rsidRDefault="00575940" w:rsidP="00A7208F">
      <w:pPr>
        <w:ind w:left="-5" w:right="39"/>
        <w:rPr>
          <w:b/>
          <w:bCs/>
          <w:sz w:val="28"/>
          <w:szCs w:val="28"/>
        </w:rPr>
      </w:pPr>
      <w:r w:rsidRPr="00A7208F">
        <w:rPr>
          <w:b/>
          <w:bCs/>
          <w:sz w:val="28"/>
          <w:szCs w:val="28"/>
        </w:rPr>
        <w:lastRenderedPageBreak/>
        <w:t>ACKNOWLEDGEMENTS</w:t>
      </w:r>
    </w:p>
    <w:p w:rsidR="000153C8" w:rsidRDefault="000153C8" w:rsidP="000827A4">
      <w:pPr>
        <w:spacing w:after="0"/>
        <w:ind w:right="55"/>
        <w:rPr>
          <w:b/>
          <w:bCs/>
          <w:sz w:val="28"/>
          <w:szCs w:val="28"/>
        </w:rPr>
      </w:pPr>
    </w:p>
    <w:p w:rsidR="00C4502F" w:rsidRPr="00144D59" w:rsidRDefault="00950BC7" w:rsidP="004752B3">
      <w:pPr>
        <w:spacing w:after="0"/>
        <w:ind w:right="55"/>
        <w:jc w:val="both"/>
        <w:rPr>
          <w:bCs/>
          <w:szCs w:val="22"/>
        </w:rPr>
      </w:pPr>
      <w:r w:rsidRPr="00144D59">
        <w:rPr>
          <w:bCs/>
          <w:iCs/>
          <w:szCs w:val="22"/>
        </w:rPr>
        <w:t>I would like to acknowledge the valuable support and direction provided by Mr.</w:t>
      </w:r>
      <w:r w:rsidR="00B81785" w:rsidRPr="00144D59">
        <w:rPr>
          <w:bCs/>
          <w:iCs/>
          <w:szCs w:val="22"/>
        </w:rPr>
        <w:t xml:space="preserve"> </w:t>
      </w:r>
      <w:r w:rsidR="00B81785" w:rsidRPr="00144D59">
        <w:rPr>
          <w:bCs/>
          <w:szCs w:val="22"/>
        </w:rPr>
        <w:t>I</w:t>
      </w:r>
      <w:r w:rsidR="0094268E">
        <w:rPr>
          <w:bCs/>
          <w:szCs w:val="22"/>
        </w:rPr>
        <w:t xml:space="preserve">van </w:t>
      </w:r>
      <w:r w:rsidR="002E5378">
        <w:rPr>
          <w:bCs/>
          <w:szCs w:val="22"/>
        </w:rPr>
        <w:t>Rodri</w:t>
      </w:r>
      <w:r w:rsidR="00634296">
        <w:rPr>
          <w:bCs/>
          <w:szCs w:val="22"/>
        </w:rPr>
        <w:t>g</w:t>
      </w:r>
      <w:r w:rsidR="002E5378">
        <w:rPr>
          <w:bCs/>
          <w:szCs w:val="22"/>
        </w:rPr>
        <w:t>uez Hernandez</w:t>
      </w:r>
      <w:r w:rsidR="00634296">
        <w:rPr>
          <w:bCs/>
          <w:szCs w:val="22"/>
        </w:rPr>
        <w:t>,</w:t>
      </w:r>
      <w:r w:rsidR="000827A4">
        <w:rPr>
          <w:bCs/>
          <w:szCs w:val="22"/>
        </w:rPr>
        <w:t xml:space="preserve"> my</w:t>
      </w:r>
      <w:r w:rsidRPr="00144D59">
        <w:rPr>
          <w:bCs/>
          <w:iCs/>
          <w:szCs w:val="22"/>
        </w:rPr>
        <w:t xml:space="preserve"> </w:t>
      </w:r>
      <w:r w:rsidR="000827A4">
        <w:rPr>
          <w:bCs/>
          <w:iCs/>
          <w:szCs w:val="22"/>
        </w:rPr>
        <w:t>project supervisor</w:t>
      </w:r>
      <w:r w:rsidRPr="00144D59">
        <w:rPr>
          <w:bCs/>
          <w:iCs/>
          <w:szCs w:val="22"/>
        </w:rPr>
        <w:t>, whose insights were crucial in shaping this pro</w:t>
      </w:r>
      <w:r w:rsidR="000827A4">
        <w:rPr>
          <w:bCs/>
          <w:iCs/>
          <w:szCs w:val="22"/>
        </w:rPr>
        <w:t>ject.</w:t>
      </w:r>
    </w:p>
    <w:p w:rsidR="009A338D" w:rsidRPr="008F7E2A" w:rsidRDefault="009A338D" w:rsidP="004752B3">
      <w:pPr>
        <w:spacing w:after="21"/>
        <w:jc w:val="both"/>
        <w:rPr>
          <w:b/>
          <w:szCs w:val="22"/>
        </w:rPr>
      </w:pPr>
      <w:r w:rsidRPr="009A338D">
        <w:rPr>
          <w:szCs w:val="22"/>
        </w:rPr>
        <w:t xml:space="preserve">I also wish to thank the </w:t>
      </w:r>
      <w:r w:rsidR="00515CDE">
        <w:rPr>
          <w:szCs w:val="22"/>
        </w:rPr>
        <w:t>university</w:t>
      </w:r>
      <w:r w:rsidRPr="009A338D">
        <w:rPr>
          <w:szCs w:val="22"/>
        </w:rPr>
        <w:t xml:space="preserve"> administration for providing access to the necessary resources and environment needed to complete my research.</w:t>
      </w:r>
    </w:p>
    <w:p w:rsidR="00567DC7" w:rsidRPr="00501239" w:rsidRDefault="000470D3" w:rsidP="004752B3">
      <w:pPr>
        <w:spacing w:after="21"/>
        <w:jc w:val="both"/>
        <w:rPr>
          <w:szCs w:val="22"/>
        </w:rPr>
      </w:pPr>
      <w:r w:rsidRPr="000470D3">
        <w:rPr>
          <w:szCs w:val="22"/>
        </w:rPr>
        <w:t xml:space="preserve">Lastly, I am grateful to my </w:t>
      </w:r>
      <w:r>
        <w:rPr>
          <w:szCs w:val="22"/>
        </w:rPr>
        <w:t>partner, Lucian Jirlaianu,</w:t>
      </w:r>
      <w:r w:rsidRPr="000470D3">
        <w:rPr>
          <w:szCs w:val="22"/>
        </w:rPr>
        <w:t xml:space="preserve"> for </w:t>
      </w:r>
      <w:r>
        <w:rPr>
          <w:szCs w:val="22"/>
        </w:rPr>
        <w:t>his</w:t>
      </w:r>
      <w:r w:rsidRPr="000470D3">
        <w:rPr>
          <w:szCs w:val="22"/>
        </w:rPr>
        <w:t xml:space="preserve"> unwavering support and motivation during this process.</w:t>
      </w:r>
    </w:p>
    <w:p w:rsidR="00567DC7" w:rsidRDefault="00567DC7" w:rsidP="00B274AD">
      <w:pPr>
        <w:spacing w:after="21"/>
        <w:rPr>
          <w:b/>
          <w:bCs/>
          <w:szCs w:val="22"/>
        </w:rPr>
      </w:pPr>
    </w:p>
    <w:p w:rsidR="00B274AD" w:rsidRPr="00B274AD" w:rsidRDefault="00B274AD" w:rsidP="00B274AD">
      <w:pPr>
        <w:spacing w:after="21"/>
        <w:rPr>
          <w:b/>
          <w:bCs/>
          <w:szCs w:val="22"/>
        </w:rPr>
      </w:pPr>
      <w:r w:rsidRPr="00B274AD">
        <w:rPr>
          <w:b/>
          <w:bCs/>
          <w:szCs w:val="22"/>
        </w:rPr>
        <w:t xml:space="preserve">List of </w:t>
      </w:r>
      <w:r w:rsidR="00414B13">
        <w:rPr>
          <w:b/>
          <w:bCs/>
          <w:szCs w:val="22"/>
        </w:rPr>
        <w:t>t</w:t>
      </w:r>
      <w:r w:rsidRPr="00B274AD">
        <w:rPr>
          <w:b/>
          <w:bCs/>
          <w:szCs w:val="22"/>
        </w:rPr>
        <w:t>ables</w:t>
      </w:r>
      <w:r w:rsidR="00501239">
        <w:rPr>
          <w:b/>
          <w:bCs/>
          <w:szCs w:val="22"/>
        </w:rPr>
        <w:t xml:space="preserve"> / Graphs</w:t>
      </w:r>
    </w:p>
    <w:tbl>
      <w:tblPr>
        <w:tblW w:w="0" w:type="auto"/>
        <w:tblCellSpacing w:w="15" w:type="dxa"/>
        <w:tblCellMar>
          <w:top w:w="15" w:type="dxa"/>
          <w:left w:w="15" w:type="dxa"/>
          <w:bottom w:w="15" w:type="dxa"/>
          <w:right w:w="15" w:type="dxa"/>
        </w:tblCellMar>
        <w:tblLook w:val="04A0"/>
      </w:tblPr>
      <w:tblGrid>
        <w:gridCol w:w="812"/>
        <w:gridCol w:w="2835"/>
        <w:gridCol w:w="586"/>
        <w:gridCol w:w="4940"/>
      </w:tblGrid>
      <w:tr w:rsidR="001134E0" w:rsidRPr="00B274AD" w:rsidTr="001E0F0A">
        <w:trPr>
          <w:trHeight w:val="713"/>
          <w:tblHeader/>
          <w:tblCellSpacing w:w="15" w:type="dxa"/>
        </w:trPr>
        <w:tc>
          <w:tcPr>
            <w:tcW w:w="0" w:type="auto"/>
            <w:vAlign w:val="center"/>
            <w:hideMark/>
          </w:tcPr>
          <w:p w:rsidR="00B274AD" w:rsidRPr="00B274AD" w:rsidRDefault="00B274AD" w:rsidP="00B274AD">
            <w:pPr>
              <w:spacing w:after="21"/>
              <w:rPr>
                <w:b/>
                <w:bCs/>
                <w:szCs w:val="22"/>
              </w:rPr>
            </w:pPr>
            <w:r w:rsidRPr="00B274AD">
              <w:rPr>
                <w:b/>
                <w:bCs/>
                <w:szCs w:val="22"/>
              </w:rPr>
              <w:t>No.</w:t>
            </w:r>
          </w:p>
        </w:tc>
        <w:tc>
          <w:tcPr>
            <w:tcW w:w="0" w:type="auto"/>
            <w:vAlign w:val="center"/>
            <w:hideMark/>
          </w:tcPr>
          <w:p w:rsidR="00B274AD" w:rsidRPr="00B274AD" w:rsidRDefault="00B274AD" w:rsidP="00B274AD">
            <w:pPr>
              <w:spacing w:after="21"/>
              <w:rPr>
                <w:b/>
                <w:bCs/>
                <w:szCs w:val="22"/>
              </w:rPr>
            </w:pPr>
            <w:r w:rsidRPr="00B274AD">
              <w:rPr>
                <w:b/>
                <w:bCs/>
                <w:szCs w:val="22"/>
              </w:rPr>
              <w:t xml:space="preserve">Title of </w:t>
            </w:r>
            <w:r w:rsidR="00414B13">
              <w:rPr>
                <w:b/>
                <w:bCs/>
                <w:szCs w:val="22"/>
              </w:rPr>
              <w:t>t</w:t>
            </w:r>
            <w:r w:rsidRPr="00B274AD">
              <w:rPr>
                <w:b/>
                <w:bCs/>
                <w:szCs w:val="22"/>
              </w:rPr>
              <w:t>able</w:t>
            </w:r>
            <w:r w:rsidR="001E0F0A">
              <w:rPr>
                <w:b/>
                <w:bCs/>
                <w:szCs w:val="22"/>
              </w:rPr>
              <w:t xml:space="preserve"> / Graphs</w:t>
            </w:r>
          </w:p>
        </w:tc>
        <w:tc>
          <w:tcPr>
            <w:tcW w:w="0" w:type="auto"/>
            <w:vAlign w:val="center"/>
            <w:hideMark/>
          </w:tcPr>
          <w:p w:rsidR="00B274AD" w:rsidRPr="00B274AD" w:rsidRDefault="00B274AD" w:rsidP="00B274AD">
            <w:pPr>
              <w:spacing w:after="21"/>
              <w:rPr>
                <w:b/>
                <w:bCs/>
                <w:szCs w:val="22"/>
              </w:rPr>
            </w:pPr>
            <w:r w:rsidRPr="00B274AD">
              <w:rPr>
                <w:b/>
                <w:bCs/>
                <w:szCs w:val="22"/>
              </w:rPr>
              <w:t>Page</w:t>
            </w:r>
          </w:p>
        </w:tc>
        <w:tc>
          <w:tcPr>
            <w:tcW w:w="0" w:type="auto"/>
            <w:vAlign w:val="center"/>
            <w:hideMark/>
          </w:tcPr>
          <w:p w:rsidR="00B274AD" w:rsidRPr="00B274AD" w:rsidRDefault="00B274AD" w:rsidP="00B274AD">
            <w:pPr>
              <w:spacing w:after="21"/>
              <w:rPr>
                <w:b/>
                <w:bCs/>
                <w:szCs w:val="22"/>
              </w:rPr>
            </w:pPr>
            <w:r w:rsidRPr="00B274AD">
              <w:rPr>
                <w:b/>
                <w:bCs/>
                <w:szCs w:val="22"/>
              </w:rPr>
              <w:t>Description</w:t>
            </w:r>
          </w:p>
        </w:tc>
      </w:tr>
      <w:tr w:rsidR="001134E0" w:rsidRPr="00B274AD" w:rsidTr="001134E0">
        <w:trPr>
          <w:trHeight w:val="683"/>
          <w:tblCellSpacing w:w="15" w:type="dxa"/>
        </w:trPr>
        <w:tc>
          <w:tcPr>
            <w:tcW w:w="0" w:type="auto"/>
            <w:vAlign w:val="center"/>
            <w:hideMark/>
          </w:tcPr>
          <w:p w:rsidR="001134E0" w:rsidRDefault="001134E0" w:rsidP="001E0F0A">
            <w:pPr>
              <w:spacing w:after="21"/>
              <w:rPr>
                <w:b/>
                <w:bCs/>
                <w:szCs w:val="22"/>
              </w:rPr>
            </w:pPr>
            <w:r>
              <w:rPr>
                <w:b/>
                <w:bCs/>
                <w:szCs w:val="22"/>
              </w:rPr>
              <w:t>Graph 1.1</w:t>
            </w:r>
          </w:p>
        </w:tc>
        <w:tc>
          <w:tcPr>
            <w:tcW w:w="0" w:type="auto"/>
            <w:vAlign w:val="center"/>
            <w:hideMark/>
          </w:tcPr>
          <w:p w:rsidR="001134E0" w:rsidRDefault="001134E0" w:rsidP="00B274AD">
            <w:pPr>
              <w:spacing w:after="21"/>
            </w:pPr>
            <w:r>
              <w:t>Visual distribution of employee responses to organisational change</w:t>
            </w:r>
          </w:p>
        </w:tc>
        <w:tc>
          <w:tcPr>
            <w:tcW w:w="0" w:type="auto"/>
            <w:vAlign w:val="center"/>
            <w:hideMark/>
          </w:tcPr>
          <w:p w:rsidR="001134E0" w:rsidRDefault="001134E0" w:rsidP="00B274AD">
            <w:pPr>
              <w:spacing w:after="21"/>
              <w:rPr>
                <w:szCs w:val="22"/>
              </w:rPr>
            </w:pPr>
            <w:r>
              <w:rPr>
                <w:szCs w:val="22"/>
              </w:rPr>
              <w:t>0</w:t>
            </w:r>
            <w:r w:rsidR="00501239">
              <w:rPr>
                <w:szCs w:val="22"/>
              </w:rPr>
              <w:t>8</w:t>
            </w:r>
          </w:p>
        </w:tc>
        <w:tc>
          <w:tcPr>
            <w:tcW w:w="0" w:type="auto"/>
            <w:vAlign w:val="center"/>
            <w:hideMark/>
          </w:tcPr>
          <w:p w:rsidR="001134E0" w:rsidRDefault="001134E0" w:rsidP="00B274AD">
            <w:pPr>
              <w:spacing w:after="21"/>
              <w:rPr>
                <w:szCs w:val="22"/>
              </w:rPr>
            </w:pPr>
            <w:r>
              <w:rPr>
                <w:szCs w:val="22"/>
              </w:rPr>
              <w:t>Proportion of employees demonstrating acceptance, passive resistance, and active resistance in response to organisational change initiatives.</w:t>
            </w:r>
          </w:p>
        </w:tc>
      </w:tr>
      <w:tr w:rsidR="001134E0" w:rsidRPr="00B274AD">
        <w:trPr>
          <w:tblCellSpacing w:w="15" w:type="dxa"/>
        </w:trPr>
        <w:tc>
          <w:tcPr>
            <w:tcW w:w="0" w:type="auto"/>
            <w:vAlign w:val="center"/>
            <w:hideMark/>
          </w:tcPr>
          <w:p w:rsidR="001E0F0A" w:rsidRPr="00B274AD" w:rsidRDefault="001E0F0A" w:rsidP="001E0F0A">
            <w:pPr>
              <w:spacing w:after="21"/>
              <w:rPr>
                <w:b/>
                <w:bCs/>
                <w:szCs w:val="22"/>
              </w:rPr>
            </w:pPr>
            <w:r>
              <w:rPr>
                <w:b/>
                <w:bCs/>
                <w:szCs w:val="22"/>
              </w:rPr>
              <w:t>Table 1.1</w:t>
            </w:r>
          </w:p>
        </w:tc>
        <w:tc>
          <w:tcPr>
            <w:tcW w:w="0" w:type="auto"/>
            <w:vAlign w:val="center"/>
            <w:hideMark/>
          </w:tcPr>
          <w:p w:rsidR="001E0F0A" w:rsidRPr="00B274AD" w:rsidRDefault="001E0F0A" w:rsidP="00B274AD">
            <w:pPr>
              <w:spacing w:after="21"/>
              <w:rPr>
                <w:szCs w:val="22"/>
              </w:rPr>
            </w:pPr>
            <w:r>
              <w:t>Employee response patterns to organisational change.</w:t>
            </w:r>
          </w:p>
        </w:tc>
        <w:tc>
          <w:tcPr>
            <w:tcW w:w="0" w:type="auto"/>
            <w:vAlign w:val="center"/>
            <w:hideMark/>
          </w:tcPr>
          <w:p w:rsidR="001E0F0A" w:rsidRDefault="001E0F0A" w:rsidP="00B274AD">
            <w:pPr>
              <w:spacing w:after="21"/>
              <w:rPr>
                <w:szCs w:val="22"/>
              </w:rPr>
            </w:pPr>
            <w:r>
              <w:rPr>
                <w:szCs w:val="22"/>
              </w:rPr>
              <w:t>0</w:t>
            </w:r>
            <w:r w:rsidR="004752B3">
              <w:rPr>
                <w:szCs w:val="22"/>
              </w:rPr>
              <w:t>7</w:t>
            </w:r>
          </w:p>
        </w:tc>
        <w:tc>
          <w:tcPr>
            <w:tcW w:w="0" w:type="auto"/>
            <w:vAlign w:val="center"/>
            <w:hideMark/>
          </w:tcPr>
          <w:p w:rsidR="001E0F0A" w:rsidRPr="00B274AD" w:rsidRDefault="001134E0" w:rsidP="001134E0">
            <w:pPr>
              <w:spacing w:after="21"/>
              <w:rPr>
                <w:szCs w:val="22"/>
              </w:rPr>
            </w:pPr>
            <w:r>
              <w:rPr>
                <w:szCs w:val="22"/>
              </w:rPr>
              <w:t>Organisational change responses b</w:t>
            </w:r>
            <w:r w:rsidR="001E0F0A">
              <w:rPr>
                <w:szCs w:val="22"/>
              </w:rPr>
              <w:t xml:space="preserve">reakdown </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4.1</w:t>
            </w:r>
          </w:p>
        </w:tc>
        <w:tc>
          <w:tcPr>
            <w:tcW w:w="0" w:type="auto"/>
            <w:vAlign w:val="center"/>
            <w:hideMark/>
          </w:tcPr>
          <w:p w:rsidR="00B274AD" w:rsidRPr="00B274AD" w:rsidRDefault="00B274AD" w:rsidP="00B274AD">
            <w:pPr>
              <w:spacing w:after="21"/>
              <w:rPr>
                <w:szCs w:val="22"/>
              </w:rPr>
            </w:pPr>
            <w:r w:rsidRPr="00B274AD">
              <w:rPr>
                <w:szCs w:val="22"/>
              </w:rPr>
              <w:t>Summary of Key Literature Sources</w:t>
            </w:r>
          </w:p>
        </w:tc>
        <w:tc>
          <w:tcPr>
            <w:tcW w:w="0" w:type="auto"/>
            <w:vAlign w:val="center"/>
            <w:hideMark/>
          </w:tcPr>
          <w:p w:rsidR="00B274AD" w:rsidRPr="00B274AD" w:rsidRDefault="006128E4" w:rsidP="00B274AD">
            <w:pPr>
              <w:spacing w:after="21"/>
              <w:rPr>
                <w:szCs w:val="22"/>
              </w:rPr>
            </w:pPr>
            <w:r>
              <w:rPr>
                <w:szCs w:val="22"/>
              </w:rPr>
              <w:t>2</w:t>
            </w:r>
            <w:r w:rsidR="00D12920">
              <w:rPr>
                <w:szCs w:val="22"/>
              </w:rPr>
              <w:t>8</w:t>
            </w:r>
          </w:p>
        </w:tc>
        <w:tc>
          <w:tcPr>
            <w:tcW w:w="0" w:type="auto"/>
            <w:vAlign w:val="center"/>
            <w:hideMark/>
          </w:tcPr>
          <w:p w:rsidR="00B274AD" w:rsidRPr="00B274AD" w:rsidRDefault="00B274AD" w:rsidP="00B274AD">
            <w:pPr>
              <w:spacing w:after="21"/>
              <w:rPr>
                <w:szCs w:val="22"/>
              </w:rPr>
            </w:pPr>
            <w:r w:rsidRPr="00B274AD">
              <w:rPr>
                <w:szCs w:val="22"/>
              </w:rPr>
              <w:t>Provides an overview of the foundational academic and industry sources used in Chapter 4, categorised by author, focus, and relevance to the study.</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4.2</w:t>
            </w:r>
          </w:p>
        </w:tc>
        <w:tc>
          <w:tcPr>
            <w:tcW w:w="0" w:type="auto"/>
            <w:vAlign w:val="center"/>
            <w:hideMark/>
          </w:tcPr>
          <w:p w:rsidR="00B274AD" w:rsidRPr="00B274AD" w:rsidRDefault="00B274AD" w:rsidP="00B274AD">
            <w:pPr>
              <w:spacing w:after="21"/>
              <w:rPr>
                <w:szCs w:val="22"/>
              </w:rPr>
            </w:pPr>
            <w:r w:rsidRPr="00B274AD">
              <w:rPr>
                <w:szCs w:val="22"/>
              </w:rPr>
              <w:t>Drivers of Organisational Change in Tesco Logistics</w:t>
            </w:r>
          </w:p>
        </w:tc>
        <w:tc>
          <w:tcPr>
            <w:tcW w:w="0" w:type="auto"/>
            <w:vAlign w:val="center"/>
            <w:hideMark/>
          </w:tcPr>
          <w:p w:rsidR="00B274AD" w:rsidRPr="00B274AD" w:rsidRDefault="006128E4" w:rsidP="00B274AD">
            <w:pPr>
              <w:spacing w:after="21"/>
              <w:rPr>
                <w:szCs w:val="22"/>
              </w:rPr>
            </w:pPr>
            <w:r>
              <w:rPr>
                <w:szCs w:val="22"/>
              </w:rPr>
              <w:t>2</w:t>
            </w:r>
            <w:r w:rsidR="00D12920">
              <w:rPr>
                <w:szCs w:val="22"/>
              </w:rPr>
              <w:t>9</w:t>
            </w:r>
          </w:p>
        </w:tc>
        <w:tc>
          <w:tcPr>
            <w:tcW w:w="0" w:type="auto"/>
            <w:vAlign w:val="center"/>
            <w:hideMark/>
          </w:tcPr>
          <w:p w:rsidR="00B274AD" w:rsidRPr="00B274AD" w:rsidRDefault="00B274AD" w:rsidP="00B274AD">
            <w:pPr>
              <w:spacing w:after="21"/>
              <w:rPr>
                <w:szCs w:val="22"/>
              </w:rPr>
            </w:pPr>
            <w:r w:rsidRPr="00B274AD">
              <w:rPr>
                <w:szCs w:val="22"/>
              </w:rPr>
              <w:t>Identifies internal and external drivers influencing Tesco’s operational change, including digital transformation, market competition, and sustainability pressures.</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4.3</w:t>
            </w:r>
          </w:p>
        </w:tc>
        <w:tc>
          <w:tcPr>
            <w:tcW w:w="0" w:type="auto"/>
            <w:vAlign w:val="center"/>
            <w:hideMark/>
          </w:tcPr>
          <w:p w:rsidR="00B274AD" w:rsidRPr="00B274AD" w:rsidRDefault="00B274AD" w:rsidP="00B274AD">
            <w:pPr>
              <w:spacing w:after="21"/>
              <w:rPr>
                <w:szCs w:val="22"/>
              </w:rPr>
            </w:pPr>
            <w:r w:rsidRPr="00B274AD">
              <w:rPr>
                <w:szCs w:val="22"/>
              </w:rPr>
              <w:t>Leadership and Communication Practices</w:t>
            </w:r>
          </w:p>
        </w:tc>
        <w:tc>
          <w:tcPr>
            <w:tcW w:w="0" w:type="auto"/>
            <w:vAlign w:val="center"/>
            <w:hideMark/>
          </w:tcPr>
          <w:p w:rsidR="00B274AD" w:rsidRPr="00B274AD" w:rsidRDefault="006128E4" w:rsidP="00B274AD">
            <w:pPr>
              <w:spacing w:after="21"/>
              <w:rPr>
                <w:szCs w:val="22"/>
              </w:rPr>
            </w:pPr>
            <w:r>
              <w:rPr>
                <w:szCs w:val="22"/>
              </w:rPr>
              <w:t>3</w:t>
            </w:r>
            <w:r w:rsidR="00D12920">
              <w:rPr>
                <w:szCs w:val="22"/>
              </w:rPr>
              <w:t>1</w:t>
            </w:r>
          </w:p>
        </w:tc>
        <w:tc>
          <w:tcPr>
            <w:tcW w:w="0" w:type="auto"/>
            <w:vAlign w:val="center"/>
            <w:hideMark/>
          </w:tcPr>
          <w:p w:rsidR="00B274AD" w:rsidRPr="00B274AD" w:rsidRDefault="00B274AD" w:rsidP="00B274AD">
            <w:pPr>
              <w:spacing w:after="21"/>
              <w:rPr>
                <w:szCs w:val="22"/>
              </w:rPr>
            </w:pPr>
            <w:r w:rsidRPr="00B274AD">
              <w:rPr>
                <w:szCs w:val="22"/>
              </w:rPr>
              <w:t xml:space="preserve">Maps leadership behaviours and communication practices observed at Tesco to academic theory </w:t>
            </w:r>
            <w:r w:rsidRPr="00B274AD">
              <w:rPr>
                <w:szCs w:val="22"/>
              </w:rPr>
              <w:lastRenderedPageBreak/>
              <w:t>and industry best practices.</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lastRenderedPageBreak/>
              <w:t>Table 4.4</w:t>
            </w:r>
          </w:p>
        </w:tc>
        <w:tc>
          <w:tcPr>
            <w:tcW w:w="0" w:type="auto"/>
            <w:vAlign w:val="center"/>
            <w:hideMark/>
          </w:tcPr>
          <w:p w:rsidR="00B274AD" w:rsidRPr="00B274AD" w:rsidRDefault="00B274AD" w:rsidP="00B274AD">
            <w:pPr>
              <w:spacing w:after="21"/>
              <w:rPr>
                <w:szCs w:val="22"/>
              </w:rPr>
            </w:pPr>
            <w:r w:rsidRPr="00B274AD">
              <w:rPr>
                <w:szCs w:val="22"/>
              </w:rPr>
              <w:t xml:space="preserve">Technological </w:t>
            </w:r>
            <w:r w:rsidR="00414B13">
              <w:rPr>
                <w:szCs w:val="22"/>
              </w:rPr>
              <w:t>t</w:t>
            </w:r>
            <w:r w:rsidRPr="00B274AD">
              <w:rPr>
                <w:szCs w:val="22"/>
              </w:rPr>
              <w:t xml:space="preserve">ransformation &amp; </w:t>
            </w:r>
            <w:r w:rsidR="00414B13">
              <w:rPr>
                <w:szCs w:val="22"/>
              </w:rPr>
              <w:t>w</w:t>
            </w:r>
            <w:r w:rsidRPr="00B274AD">
              <w:rPr>
                <w:szCs w:val="22"/>
              </w:rPr>
              <w:t xml:space="preserve">orkforce </w:t>
            </w:r>
            <w:r w:rsidR="00414B13">
              <w:rPr>
                <w:szCs w:val="22"/>
              </w:rPr>
              <w:t>a</w:t>
            </w:r>
            <w:r w:rsidRPr="00B274AD">
              <w:rPr>
                <w:szCs w:val="22"/>
              </w:rPr>
              <w:t>daptation</w:t>
            </w:r>
          </w:p>
        </w:tc>
        <w:tc>
          <w:tcPr>
            <w:tcW w:w="0" w:type="auto"/>
            <w:vAlign w:val="center"/>
            <w:hideMark/>
          </w:tcPr>
          <w:p w:rsidR="00B274AD" w:rsidRPr="00B274AD" w:rsidRDefault="006128E4" w:rsidP="00B274AD">
            <w:pPr>
              <w:spacing w:after="21"/>
              <w:rPr>
                <w:szCs w:val="22"/>
              </w:rPr>
            </w:pPr>
            <w:r>
              <w:rPr>
                <w:szCs w:val="22"/>
              </w:rPr>
              <w:t>3</w:t>
            </w:r>
            <w:r w:rsidR="00E363EB">
              <w:rPr>
                <w:szCs w:val="22"/>
              </w:rPr>
              <w:t>3</w:t>
            </w:r>
          </w:p>
        </w:tc>
        <w:tc>
          <w:tcPr>
            <w:tcW w:w="0" w:type="auto"/>
            <w:vAlign w:val="center"/>
            <w:hideMark/>
          </w:tcPr>
          <w:p w:rsidR="00B274AD" w:rsidRPr="00B274AD" w:rsidRDefault="00B274AD" w:rsidP="00B274AD">
            <w:pPr>
              <w:spacing w:after="21"/>
              <w:rPr>
                <w:szCs w:val="22"/>
              </w:rPr>
            </w:pPr>
            <w:r w:rsidRPr="00B274AD">
              <w:rPr>
                <w:szCs w:val="22"/>
              </w:rPr>
              <w:t>Demonstrates how technological changes (automation, digital systems) intersect with workforce capability, training, and change adoption.</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4.5</w:t>
            </w:r>
          </w:p>
        </w:tc>
        <w:tc>
          <w:tcPr>
            <w:tcW w:w="0" w:type="auto"/>
            <w:vAlign w:val="center"/>
            <w:hideMark/>
          </w:tcPr>
          <w:p w:rsidR="00B274AD" w:rsidRPr="00B274AD" w:rsidRDefault="00B274AD" w:rsidP="00B274AD">
            <w:pPr>
              <w:spacing w:after="21"/>
              <w:rPr>
                <w:szCs w:val="22"/>
              </w:rPr>
            </w:pPr>
            <w:r w:rsidRPr="00B274AD">
              <w:rPr>
                <w:szCs w:val="22"/>
              </w:rPr>
              <w:t xml:space="preserve">Employee </w:t>
            </w:r>
            <w:r w:rsidR="00414B13">
              <w:rPr>
                <w:szCs w:val="22"/>
              </w:rPr>
              <w:t>e</w:t>
            </w:r>
            <w:r w:rsidRPr="00B274AD">
              <w:rPr>
                <w:szCs w:val="22"/>
              </w:rPr>
              <w:t xml:space="preserve">ngagement &amp; </w:t>
            </w:r>
            <w:r w:rsidR="00414B13">
              <w:rPr>
                <w:szCs w:val="22"/>
              </w:rPr>
              <w:t>r</w:t>
            </w:r>
            <w:r w:rsidRPr="00B274AD">
              <w:rPr>
                <w:szCs w:val="22"/>
              </w:rPr>
              <w:t xml:space="preserve">esistance </w:t>
            </w:r>
            <w:r w:rsidR="00F26984">
              <w:rPr>
                <w:szCs w:val="22"/>
              </w:rPr>
              <w:t>f</w:t>
            </w:r>
            <w:r w:rsidRPr="00B274AD">
              <w:rPr>
                <w:szCs w:val="22"/>
              </w:rPr>
              <w:t>actors</w:t>
            </w:r>
          </w:p>
        </w:tc>
        <w:tc>
          <w:tcPr>
            <w:tcW w:w="0" w:type="auto"/>
            <w:vAlign w:val="center"/>
            <w:hideMark/>
          </w:tcPr>
          <w:p w:rsidR="00B274AD" w:rsidRPr="00B274AD" w:rsidRDefault="006128E4" w:rsidP="00B274AD">
            <w:pPr>
              <w:spacing w:after="21"/>
              <w:rPr>
                <w:szCs w:val="22"/>
              </w:rPr>
            </w:pPr>
            <w:r>
              <w:rPr>
                <w:szCs w:val="22"/>
              </w:rPr>
              <w:t>3</w:t>
            </w:r>
            <w:r w:rsidR="00E363EB">
              <w:rPr>
                <w:szCs w:val="22"/>
              </w:rPr>
              <w:t>6</w:t>
            </w:r>
          </w:p>
        </w:tc>
        <w:tc>
          <w:tcPr>
            <w:tcW w:w="0" w:type="auto"/>
            <w:vAlign w:val="center"/>
            <w:hideMark/>
          </w:tcPr>
          <w:p w:rsidR="00B274AD" w:rsidRPr="00B274AD" w:rsidRDefault="00B274AD" w:rsidP="00B274AD">
            <w:pPr>
              <w:spacing w:after="21"/>
              <w:rPr>
                <w:szCs w:val="22"/>
              </w:rPr>
            </w:pPr>
            <w:r w:rsidRPr="00B274AD">
              <w:rPr>
                <w:szCs w:val="22"/>
              </w:rPr>
              <w:t>Summarises factors that influence employee engagement or resistance during change, linking observations with literature findings.</w:t>
            </w:r>
          </w:p>
        </w:tc>
      </w:tr>
      <w:tr w:rsidR="001134E0" w:rsidRPr="00B274AD">
        <w:trPr>
          <w:tblCellSpacing w:w="15" w:type="dxa"/>
        </w:trPr>
        <w:tc>
          <w:tcPr>
            <w:tcW w:w="0" w:type="auto"/>
            <w:vAlign w:val="center"/>
            <w:hideMark/>
          </w:tcPr>
          <w:p w:rsidR="00B274AD" w:rsidRPr="00B274AD" w:rsidRDefault="00B274AD" w:rsidP="00B274AD">
            <w:pPr>
              <w:spacing w:after="21"/>
              <w:rPr>
                <w:szCs w:val="22"/>
              </w:rPr>
            </w:pPr>
            <w:r w:rsidRPr="00B274AD">
              <w:rPr>
                <w:b/>
                <w:bCs/>
                <w:szCs w:val="22"/>
              </w:rPr>
              <w:t>Table 4.6</w:t>
            </w:r>
          </w:p>
        </w:tc>
        <w:tc>
          <w:tcPr>
            <w:tcW w:w="0" w:type="auto"/>
            <w:vAlign w:val="center"/>
            <w:hideMark/>
          </w:tcPr>
          <w:p w:rsidR="00B274AD" w:rsidRPr="00B274AD" w:rsidRDefault="00B274AD" w:rsidP="00B274AD">
            <w:pPr>
              <w:spacing w:after="21"/>
              <w:rPr>
                <w:szCs w:val="22"/>
              </w:rPr>
            </w:pPr>
            <w:r w:rsidRPr="00B274AD">
              <w:rPr>
                <w:szCs w:val="22"/>
              </w:rPr>
              <w:t xml:space="preserve">Alignment with </w:t>
            </w:r>
            <w:r w:rsidR="00F26984">
              <w:rPr>
                <w:szCs w:val="22"/>
              </w:rPr>
              <w:t>c</w:t>
            </w:r>
            <w:r w:rsidRPr="00B274AD">
              <w:rPr>
                <w:szCs w:val="22"/>
              </w:rPr>
              <w:t xml:space="preserve">hange </w:t>
            </w:r>
            <w:r w:rsidR="00F26984">
              <w:rPr>
                <w:szCs w:val="22"/>
              </w:rPr>
              <w:t>m</w:t>
            </w:r>
            <w:r w:rsidRPr="00B274AD">
              <w:rPr>
                <w:szCs w:val="22"/>
              </w:rPr>
              <w:t xml:space="preserve">anagement </w:t>
            </w:r>
            <w:r w:rsidR="00F26984">
              <w:rPr>
                <w:szCs w:val="22"/>
              </w:rPr>
              <w:t>m</w:t>
            </w:r>
            <w:r w:rsidRPr="00B274AD">
              <w:rPr>
                <w:szCs w:val="22"/>
              </w:rPr>
              <w:t>odels (Lewin, Kotter, ADKAR)</w:t>
            </w:r>
          </w:p>
        </w:tc>
        <w:tc>
          <w:tcPr>
            <w:tcW w:w="0" w:type="auto"/>
            <w:vAlign w:val="center"/>
            <w:hideMark/>
          </w:tcPr>
          <w:p w:rsidR="00B274AD" w:rsidRPr="00B274AD" w:rsidRDefault="006128E4" w:rsidP="00B274AD">
            <w:pPr>
              <w:spacing w:after="21"/>
              <w:rPr>
                <w:szCs w:val="22"/>
              </w:rPr>
            </w:pPr>
            <w:r>
              <w:rPr>
                <w:szCs w:val="22"/>
              </w:rPr>
              <w:t>3</w:t>
            </w:r>
            <w:r w:rsidR="00E363EB">
              <w:rPr>
                <w:szCs w:val="22"/>
              </w:rPr>
              <w:t>9</w:t>
            </w:r>
          </w:p>
        </w:tc>
        <w:tc>
          <w:tcPr>
            <w:tcW w:w="0" w:type="auto"/>
            <w:vAlign w:val="center"/>
            <w:hideMark/>
          </w:tcPr>
          <w:p w:rsidR="00B274AD" w:rsidRPr="00B274AD" w:rsidRDefault="00B274AD" w:rsidP="00B274AD">
            <w:pPr>
              <w:spacing w:after="21"/>
              <w:rPr>
                <w:szCs w:val="22"/>
              </w:rPr>
            </w:pPr>
            <w:r w:rsidRPr="00B274AD">
              <w:rPr>
                <w:szCs w:val="22"/>
              </w:rPr>
              <w:t>Highlights how Tesco’s change practices align with key change management models and identifies gaps in reinforcement and sustainability of change.</w:t>
            </w:r>
          </w:p>
        </w:tc>
      </w:tr>
    </w:tbl>
    <w:p w:rsidR="00D12920" w:rsidRDefault="00D12920" w:rsidP="00D04F67">
      <w:pPr>
        <w:spacing w:after="21"/>
        <w:rPr>
          <w:b/>
          <w:bCs/>
          <w:szCs w:val="22"/>
        </w:rPr>
      </w:pPr>
    </w:p>
    <w:p w:rsidR="00D12920" w:rsidRDefault="00D12920" w:rsidP="00D04F67">
      <w:pPr>
        <w:spacing w:after="21"/>
        <w:rPr>
          <w:b/>
          <w:bCs/>
          <w:szCs w:val="22"/>
        </w:rPr>
      </w:pPr>
    </w:p>
    <w:p w:rsidR="00D04F67" w:rsidRPr="00D04F67" w:rsidRDefault="00D04F67" w:rsidP="00D04F67">
      <w:pPr>
        <w:spacing w:after="21"/>
        <w:rPr>
          <w:b/>
          <w:bCs/>
          <w:szCs w:val="22"/>
        </w:rPr>
      </w:pPr>
      <w:r w:rsidRPr="00D04F67">
        <w:rPr>
          <w:b/>
          <w:bCs/>
          <w:szCs w:val="22"/>
        </w:rPr>
        <w:t xml:space="preserve">List of </w:t>
      </w:r>
      <w:r w:rsidR="00F26984">
        <w:rPr>
          <w:b/>
          <w:bCs/>
          <w:szCs w:val="22"/>
        </w:rPr>
        <w:t>a</w:t>
      </w:r>
      <w:r w:rsidRPr="00D04F67">
        <w:rPr>
          <w:b/>
          <w:bCs/>
          <w:szCs w:val="22"/>
        </w:rPr>
        <w:t>bbreviations</w:t>
      </w:r>
    </w:p>
    <w:tbl>
      <w:tblPr>
        <w:tblW w:w="0" w:type="auto"/>
        <w:tblCellSpacing w:w="15" w:type="dxa"/>
        <w:tblCellMar>
          <w:top w:w="15" w:type="dxa"/>
          <w:left w:w="15" w:type="dxa"/>
          <w:bottom w:w="15" w:type="dxa"/>
          <w:right w:w="15" w:type="dxa"/>
        </w:tblCellMar>
        <w:tblLook w:val="04A0"/>
      </w:tblPr>
      <w:tblGrid>
        <w:gridCol w:w="1420"/>
        <w:gridCol w:w="3039"/>
        <w:gridCol w:w="4714"/>
      </w:tblGrid>
      <w:tr w:rsidR="00D04F67" w:rsidRPr="00D04F67">
        <w:trPr>
          <w:tblHeader/>
          <w:tblCellSpacing w:w="15" w:type="dxa"/>
        </w:trPr>
        <w:tc>
          <w:tcPr>
            <w:tcW w:w="0" w:type="auto"/>
            <w:vAlign w:val="center"/>
            <w:hideMark/>
          </w:tcPr>
          <w:p w:rsidR="00D04F67" w:rsidRPr="00D04F67" w:rsidRDefault="00D04F67" w:rsidP="00D04F67">
            <w:pPr>
              <w:spacing w:after="21"/>
              <w:rPr>
                <w:b/>
                <w:bCs/>
                <w:szCs w:val="22"/>
              </w:rPr>
            </w:pPr>
            <w:r w:rsidRPr="00D04F67">
              <w:rPr>
                <w:b/>
                <w:bCs/>
                <w:szCs w:val="22"/>
              </w:rPr>
              <w:t>Abbreviation</w:t>
            </w:r>
          </w:p>
        </w:tc>
        <w:tc>
          <w:tcPr>
            <w:tcW w:w="0" w:type="auto"/>
            <w:vAlign w:val="center"/>
            <w:hideMark/>
          </w:tcPr>
          <w:p w:rsidR="00D04F67" w:rsidRPr="00D04F67" w:rsidRDefault="00D04F67" w:rsidP="00D04F67">
            <w:pPr>
              <w:spacing w:after="21"/>
              <w:rPr>
                <w:b/>
                <w:bCs/>
                <w:szCs w:val="22"/>
              </w:rPr>
            </w:pPr>
            <w:r w:rsidRPr="00D04F67">
              <w:rPr>
                <w:b/>
                <w:bCs/>
                <w:szCs w:val="22"/>
              </w:rPr>
              <w:t xml:space="preserve">Full </w:t>
            </w:r>
            <w:r w:rsidR="00F26984">
              <w:rPr>
                <w:b/>
                <w:bCs/>
                <w:szCs w:val="22"/>
              </w:rPr>
              <w:t>t</w:t>
            </w:r>
            <w:r w:rsidRPr="00D04F67">
              <w:rPr>
                <w:b/>
                <w:bCs/>
                <w:szCs w:val="22"/>
              </w:rPr>
              <w:t>erm</w:t>
            </w:r>
          </w:p>
        </w:tc>
        <w:tc>
          <w:tcPr>
            <w:tcW w:w="0" w:type="auto"/>
            <w:vAlign w:val="center"/>
            <w:hideMark/>
          </w:tcPr>
          <w:p w:rsidR="00D04F67" w:rsidRPr="00D04F67" w:rsidRDefault="00D04F67" w:rsidP="00D04F67">
            <w:pPr>
              <w:spacing w:after="21"/>
              <w:rPr>
                <w:b/>
                <w:bCs/>
                <w:szCs w:val="22"/>
              </w:rPr>
            </w:pPr>
            <w:r w:rsidRPr="00D04F67">
              <w:rPr>
                <w:b/>
                <w:bCs/>
                <w:szCs w:val="22"/>
              </w:rPr>
              <w:t>Description / Context</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SLR</w:t>
            </w:r>
          </w:p>
        </w:tc>
        <w:tc>
          <w:tcPr>
            <w:tcW w:w="0" w:type="auto"/>
            <w:vAlign w:val="center"/>
            <w:hideMark/>
          </w:tcPr>
          <w:p w:rsidR="00D04F67" w:rsidRPr="00D04F67" w:rsidRDefault="00D04F67" w:rsidP="00D04F67">
            <w:pPr>
              <w:spacing w:after="21"/>
              <w:rPr>
                <w:szCs w:val="22"/>
              </w:rPr>
            </w:pPr>
            <w:r w:rsidRPr="00D04F67">
              <w:rPr>
                <w:szCs w:val="22"/>
              </w:rPr>
              <w:t xml:space="preserve">Systematic </w:t>
            </w:r>
            <w:r w:rsidR="002A767F">
              <w:rPr>
                <w:szCs w:val="22"/>
              </w:rPr>
              <w:t>l</w:t>
            </w:r>
            <w:r w:rsidRPr="00D04F67">
              <w:rPr>
                <w:szCs w:val="22"/>
              </w:rPr>
              <w:t xml:space="preserve">iterature </w:t>
            </w:r>
            <w:r w:rsidR="002A767F">
              <w:rPr>
                <w:szCs w:val="22"/>
              </w:rPr>
              <w:t>r</w:t>
            </w:r>
            <w:r w:rsidRPr="00D04F67">
              <w:rPr>
                <w:szCs w:val="22"/>
              </w:rPr>
              <w:t>eview</w:t>
            </w:r>
          </w:p>
        </w:tc>
        <w:tc>
          <w:tcPr>
            <w:tcW w:w="0" w:type="auto"/>
            <w:vAlign w:val="center"/>
            <w:hideMark/>
          </w:tcPr>
          <w:p w:rsidR="00D04F67" w:rsidRPr="00D04F67" w:rsidRDefault="00D04F67" w:rsidP="00D04F67">
            <w:pPr>
              <w:spacing w:after="21"/>
              <w:rPr>
                <w:szCs w:val="22"/>
              </w:rPr>
            </w:pPr>
            <w:r w:rsidRPr="00D04F67">
              <w:rPr>
                <w:szCs w:val="22"/>
              </w:rPr>
              <w:t>Structured, replicable method used to gather and analyse secondary literature sources.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SCM</w:t>
            </w:r>
          </w:p>
        </w:tc>
        <w:tc>
          <w:tcPr>
            <w:tcW w:w="0" w:type="auto"/>
            <w:vAlign w:val="center"/>
            <w:hideMark/>
          </w:tcPr>
          <w:p w:rsidR="00D04F67" w:rsidRPr="00D04F67" w:rsidRDefault="00D04F67" w:rsidP="00D04F67">
            <w:pPr>
              <w:spacing w:after="21"/>
              <w:rPr>
                <w:szCs w:val="22"/>
              </w:rPr>
            </w:pPr>
            <w:r w:rsidRPr="00D04F67">
              <w:rPr>
                <w:szCs w:val="22"/>
              </w:rPr>
              <w:t xml:space="preserve">Supply </w:t>
            </w:r>
            <w:r w:rsidR="002A767F">
              <w:rPr>
                <w:szCs w:val="22"/>
              </w:rPr>
              <w:t>c</w:t>
            </w:r>
            <w:r w:rsidRPr="00D04F67">
              <w:rPr>
                <w:szCs w:val="22"/>
              </w:rPr>
              <w:t xml:space="preserve">hain </w:t>
            </w:r>
            <w:r w:rsidR="002A767F">
              <w:rPr>
                <w:szCs w:val="22"/>
              </w:rPr>
              <w:t>m</w:t>
            </w:r>
            <w:r w:rsidRPr="00D04F67">
              <w:rPr>
                <w:szCs w:val="22"/>
              </w:rPr>
              <w:t>anagement</w:t>
            </w:r>
          </w:p>
        </w:tc>
        <w:tc>
          <w:tcPr>
            <w:tcW w:w="0" w:type="auto"/>
            <w:vAlign w:val="center"/>
            <w:hideMark/>
          </w:tcPr>
          <w:p w:rsidR="00D04F67" w:rsidRPr="00D04F67" w:rsidRDefault="00D04F67" w:rsidP="00D04F67">
            <w:pPr>
              <w:spacing w:after="21"/>
              <w:rPr>
                <w:szCs w:val="22"/>
              </w:rPr>
            </w:pPr>
            <w:r w:rsidRPr="00D04F67">
              <w:rPr>
                <w:szCs w:val="22"/>
              </w:rPr>
              <w:t>Coordination of logistics activities including sourcing, warehousing, and distribution.</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WMS</w:t>
            </w:r>
          </w:p>
        </w:tc>
        <w:tc>
          <w:tcPr>
            <w:tcW w:w="0" w:type="auto"/>
            <w:vAlign w:val="center"/>
            <w:hideMark/>
          </w:tcPr>
          <w:p w:rsidR="00D04F67" w:rsidRPr="00D04F67" w:rsidRDefault="00D04F67" w:rsidP="00D04F67">
            <w:pPr>
              <w:spacing w:after="21"/>
              <w:rPr>
                <w:szCs w:val="22"/>
              </w:rPr>
            </w:pPr>
            <w:r w:rsidRPr="00D04F67">
              <w:rPr>
                <w:szCs w:val="22"/>
              </w:rPr>
              <w:t xml:space="preserve">Warehouse </w:t>
            </w:r>
            <w:r w:rsidR="002A767F">
              <w:rPr>
                <w:szCs w:val="22"/>
              </w:rPr>
              <w:t>m</w:t>
            </w:r>
            <w:r w:rsidRPr="00D04F67">
              <w:rPr>
                <w:szCs w:val="22"/>
              </w:rPr>
              <w:t xml:space="preserve">anagement </w:t>
            </w:r>
            <w:r w:rsidR="002A767F">
              <w:rPr>
                <w:szCs w:val="22"/>
              </w:rPr>
              <w:t>s</w:t>
            </w:r>
            <w:r w:rsidRPr="00D04F67">
              <w:rPr>
                <w:szCs w:val="22"/>
              </w:rPr>
              <w:t>ystem</w:t>
            </w:r>
          </w:p>
        </w:tc>
        <w:tc>
          <w:tcPr>
            <w:tcW w:w="0" w:type="auto"/>
            <w:vAlign w:val="center"/>
            <w:hideMark/>
          </w:tcPr>
          <w:p w:rsidR="00D04F67" w:rsidRPr="00D04F67" w:rsidRDefault="00D04F67" w:rsidP="00D04F67">
            <w:pPr>
              <w:spacing w:after="21"/>
              <w:rPr>
                <w:szCs w:val="22"/>
              </w:rPr>
            </w:pPr>
            <w:r w:rsidRPr="00D04F67">
              <w:rPr>
                <w:szCs w:val="22"/>
              </w:rPr>
              <w:t>Digital system used to manage warehouse operations (inventory tracking, picking, workflows).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KPI</w:t>
            </w:r>
          </w:p>
        </w:tc>
        <w:tc>
          <w:tcPr>
            <w:tcW w:w="0" w:type="auto"/>
            <w:vAlign w:val="center"/>
            <w:hideMark/>
          </w:tcPr>
          <w:p w:rsidR="00D04F67" w:rsidRPr="00D04F67" w:rsidRDefault="00D04F67" w:rsidP="00D04F67">
            <w:pPr>
              <w:spacing w:after="21"/>
              <w:rPr>
                <w:szCs w:val="22"/>
              </w:rPr>
            </w:pPr>
            <w:r w:rsidRPr="00D04F67">
              <w:rPr>
                <w:szCs w:val="22"/>
              </w:rPr>
              <w:t xml:space="preserve">Key </w:t>
            </w:r>
            <w:r w:rsidR="00DE7140">
              <w:rPr>
                <w:szCs w:val="22"/>
              </w:rPr>
              <w:t>p</w:t>
            </w:r>
            <w:r w:rsidRPr="00D04F67">
              <w:rPr>
                <w:szCs w:val="22"/>
              </w:rPr>
              <w:t xml:space="preserve">erformance </w:t>
            </w:r>
            <w:r w:rsidR="00DE7140">
              <w:rPr>
                <w:szCs w:val="22"/>
              </w:rPr>
              <w:t>i</w:t>
            </w:r>
            <w:r w:rsidRPr="00D04F67">
              <w:rPr>
                <w:szCs w:val="22"/>
              </w:rPr>
              <w:t>ndicator</w:t>
            </w:r>
          </w:p>
        </w:tc>
        <w:tc>
          <w:tcPr>
            <w:tcW w:w="0" w:type="auto"/>
            <w:vAlign w:val="center"/>
            <w:hideMark/>
          </w:tcPr>
          <w:p w:rsidR="00D04F67" w:rsidRPr="00D04F67" w:rsidRDefault="00D04F67" w:rsidP="00D04F67">
            <w:pPr>
              <w:spacing w:after="21"/>
              <w:rPr>
                <w:szCs w:val="22"/>
              </w:rPr>
            </w:pPr>
            <w:r w:rsidRPr="00D04F67">
              <w:rPr>
                <w:szCs w:val="22"/>
              </w:rPr>
              <w:t>Quantifiable measurements used to evaluate performance towards strategic goals.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HR</w:t>
            </w:r>
          </w:p>
        </w:tc>
        <w:tc>
          <w:tcPr>
            <w:tcW w:w="0" w:type="auto"/>
            <w:vAlign w:val="center"/>
            <w:hideMark/>
          </w:tcPr>
          <w:p w:rsidR="00D04F67" w:rsidRPr="00D04F67" w:rsidRDefault="00D04F67" w:rsidP="00D04F67">
            <w:pPr>
              <w:spacing w:after="21"/>
              <w:rPr>
                <w:szCs w:val="22"/>
              </w:rPr>
            </w:pPr>
            <w:r w:rsidRPr="00D04F67">
              <w:rPr>
                <w:szCs w:val="22"/>
              </w:rPr>
              <w:t xml:space="preserve">Human </w:t>
            </w:r>
            <w:r w:rsidR="00DE7140">
              <w:rPr>
                <w:szCs w:val="22"/>
              </w:rPr>
              <w:t>r</w:t>
            </w:r>
            <w:r w:rsidRPr="00D04F67">
              <w:rPr>
                <w:szCs w:val="22"/>
              </w:rPr>
              <w:t>esources</w:t>
            </w:r>
          </w:p>
        </w:tc>
        <w:tc>
          <w:tcPr>
            <w:tcW w:w="0" w:type="auto"/>
            <w:vAlign w:val="center"/>
            <w:hideMark/>
          </w:tcPr>
          <w:p w:rsidR="00D04F67" w:rsidRPr="00D04F67" w:rsidRDefault="00D04F67" w:rsidP="00D04F67">
            <w:pPr>
              <w:spacing w:after="21"/>
              <w:rPr>
                <w:szCs w:val="22"/>
              </w:rPr>
            </w:pPr>
            <w:r w:rsidRPr="00D04F67">
              <w:rPr>
                <w:szCs w:val="22"/>
              </w:rPr>
              <w:t>Department responsible for workforce management, engagement, and training.</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ADKAR</w:t>
            </w:r>
          </w:p>
        </w:tc>
        <w:tc>
          <w:tcPr>
            <w:tcW w:w="0" w:type="auto"/>
            <w:vAlign w:val="center"/>
            <w:hideMark/>
          </w:tcPr>
          <w:p w:rsidR="00D04F67" w:rsidRPr="00D04F67" w:rsidRDefault="00D04F67" w:rsidP="00D04F67">
            <w:pPr>
              <w:spacing w:after="21"/>
              <w:rPr>
                <w:szCs w:val="22"/>
              </w:rPr>
            </w:pPr>
            <w:r w:rsidRPr="00D04F67">
              <w:rPr>
                <w:szCs w:val="22"/>
              </w:rPr>
              <w:t xml:space="preserve">Awareness, </w:t>
            </w:r>
            <w:r w:rsidR="00DE7140">
              <w:rPr>
                <w:szCs w:val="22"/>
              </w:rPr>
              <w:t>d</w:t>
            </w:r>
            <w:r w:rsidRPr="00D04F67">
              <w:rPr>
                <w:szCs w:val="22"/>
              </w:rPr>
              <w:t xml:space="preserve">esire, </w:t>
            </w:r>
            <w:r w:rsidR="00DE7140">
              <w:rPr>
                <w:szCs w:val="22"/>
              </w:rPr>
              <w:t>k</w:t>
            </w:r>
            <w:r w:rsidRPr="00D04F67">
              <w:rPr>
                <w:szCs w:val="22"/>
              </w:rPr>
              <w:t xml:space="preserve">nowledge, </w:t>
            </w:r>
            <w:r w:rsidR="00DE7140">
              <w:rPr>
                <w:szCs w:val="22"/>
              </w:rPr>
              <w:t>a</w:t>
            </w:r>
            <w:r w:rsidRPr="00D04F67">
              <w:rPr>
                <w:szCs w:val="22"/>
              </w:rPr>
              <w:t xml:space="preserve">bility, </w:t>
            </w:r>
            <w:r w:rsidR="00DE7140">
              <w:rPr>
                <w:szCs w:val="22"/>
              </w:rPr>
              <w:lastRenderedPageBreak/>
              <w:t>r</w:t>
            </w:r>
            <w:r w:rsidRPr="00D04F67">
              <w:rPr>
                <w:szCs w:val="22"/>
              </w:rPr>
              <w:t>einforcement</w:t>
            </w:r>
          </w:p>
        </w:tc>
        <w:tc>
          <w:tcPr>
            <w:tcW w:w="0" w:type="auto"/>
            <w:vAlign w:val="center"/>
            <w:hideMark/>
          </w:tcPr>
          <w:p w:rsidR="00D04F67" w:rsidRPr="00D04F67" w:rsidRDefault="00D04F67" w:rsidP="00D04F67">
            <w:pPr>
              <w:spacing w:after="21"/>
              <w:rPr>
                <w:szCs w:val="22"/>
              </w:rPr>
            </w:pPr>
            <w:r w:rsidRPr="00D04F67">
              <w:rPr>
                <w:szCs w:val="22"/>
              </w:rPr>
              <w:lastRenderedPageBreak/>
              <w:t>Change management model focusing on individual transition (Hiatt, 2006).</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lastRenderedPageBreak/>
              <w:t>CIPD</w:t>
            </w:r>
          </w:p>
        </w:tc>
        <w:tc>
          <w:tcPr>
            <w:tcW w:w="0" w:type="auto"/>
            <w:vAlign w:val="center"/>
            <w:hideMark/>
          </w:tcPr>
          <w:p w:rsidR="00D04F67" w:rsidRPr="00D04F67" w:rsidRDefault="00D04F67" w:rsidP="00D04F67">
            <w:pPr>
              <w:spacing w:after="21"/>
              <w:rPr>
                <w:szCs w:val="22"/>
              </w:rPr>
            </w:pPr>
            <w:r w:rsidRPr="00D04F67">
              <w:rPr>
                <w:szCs w:val="22"/>
              </w:rPr>
              <w:t xml:space="preserve">Chartered </w:t>
            </w:r>
            <w:r w:rsidR="00F73C7F">
              <w:rPr>
                <w:szCs w:val="22"/>
              </w:rPr>
              <w:t>i</w:t>
            </w:r>
            <w:r w:rsidRPr="00D04F67">
              <w:rPr>
                <w:szCs w:val="22"/>
              </w:rPr>
              <w:t xml:space="preserve">nstitute of </w:t>
            </w:r>
            <w:r w:rsidR="00F73C7F">
              <w:rPr>
                <w:szCs w:val="22"/>
              </w:rPr>
              <w:t>p</w:t>
            </w:r>
            <w:r w:rsidRPr="00D04F67">
              <w:rPr>
                <w:szCs w:val="22"/>
              </w:rPr>
              <w:t xml:space="preserve">ersonnel and </w:t>
            </w:r>
            <w:r w:rsidR="00F73C7F">
              <w:rPr>
                <w:szCs w:val="22"/>
              </w:rPr>
              <w:t>d</w:t>
            </w:r>
            <w:r w:rsidRPr="00D04F67">
              <w:rPr>
                <w:szCs w:val="22"/>
              </w:rPr>
              <w:t>evelopment</w:t>
            </w:r>
          </w:p>
        </w:tc>
        <w:tc>
          <w:tcPr>
            <w:tcW w:w="0" w:type="auto"/>
            <w:vAlign w:val="center"/>
            <w:hideMark/>
          </w:tcPr>
          <w:p w:rsidR="00D04F67" w:rsidRPr="00D04F67" w:rsidRDefault="00D04F67" w:rsidP="00D04F67">
            <w:pPr>
              <w:spacing w:after="21"/>
              <w:rPr>
                <w:szCs w:val="22"/>
              </w:rPr>
            </w:pPr>
            <w:r w:rsidRPr="00D04F67">
              <w:rPr>
                <w:szCs w:val="22"/>
              </w:rPr>
              <w:t>Professional HR body providing organisational guidance.</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CIPS</w:t>
            </w:r>
          </w:p>
        </w:tc>
        <w:tc>
          <w:tcPr>
            <w:tcW w:w="0" w:type="auto"/>
            <w:vAlign w:val="center"/>
            <w:hideMark/>
          </w:tcPr>
          <w:p w:rsidR="00D04F67" w:rsidRPr="00D04F67" w:rsidRDefault="00D04F67" w:rsidP="00D04F67">
            <w:pPr>
              <w:spacing w:after="21"/>
              <w:rPr>
                <w:szCs w:val="22"/>
              </w:rPr>
            </w:pPr>
            <w:r w:rsidRPr="00D04F67">
              <w:rPr>
                <w:szCs w:val="22"/>
              </w:rPr>
              <w:t xml:space="preserve">Chartered </w:t>
            </w:r>
            <w:r w:rsidR="00F73C7F">
              <w:rPr>
                <w:szCs w:val="22"/>
              </w:rPr>
              <w:t>i</w:t>
            </w:r>
            <w:r w:rsidRPr="00D04F67">
              <w:rPr>
                <w:szCs w:val="22"/>
              </w:rPr>
              <w:t xml:space="preserve">nstitute of </w:t>
            </w:r>
            <w:r w:rsidR="00F73C7F">
              <w:rPr>
                <w:szCs w:val="22"/>
              </w:rPr>
              <w:t>p</w:t>
            </w:r>
            <w:r w:rsidRPr="00D04F67">
              <w:rPr>
                <w:szCs w:val="22"/>
              </w:rPr>
              <w:t xml:space="preserve">rocurement &amp; </w:t>
            </w:r>
            <w:r w:rsidR="00F73C7F">
              <w:rPr>
                <w:szCs w:val="22"/>
              </w:rPr>
              <w:t>s</w:t>
            </w:r>
            <w:r w:rsidRPr="00D04F67">
              <w:rPr>
                <w:szCs w:val="22"/>
              </w:rPr>
              <w:t>upply</w:t>
            </w:r>
          </w:p>
        </w:tc>
        <w:tc>
          <w:tcPr>
            <w:tcW w:w="0" w:type="auto"/>
            <w:vAlign w:val="center"/>
            <w:hideMark/>
          </w:tcPr>
          <w:p w:rsidR="00D04F67" w:rsidRPr="00D04F67" w:rsidRDefault="00D04F67" w:rsidP="00D04F67">
            <w:pPr>
              <w:spacing w:after="21"/>
              <w:rPr>
                <w:szCs w:val="22"/>
              </w:rPr>
            </w:pPr>
            <w:r w:rsidRPr="00D04F67">
              <w:rPr>
                <w:szCs w:val="22"/>
              </w:rPr>
              <w:t>Professional body for procurement and supply chain management.</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HBR</w:t>
            </w:r>
          </w:p>
        </w:tc>
        <w:tc>
          <w:tcPr>
            <w:tcW w:w="0" w:type="auto"/>
            <w:vAlign w:val="center"/>
            <w:hideMark/>
          </w:tcPr>
          <w:p w:rsidR="00D04F67" w:rsidRPr="00D04F67" w:rsidRDefault="00D04F67" w:rsidP="00D04F67">
            <w:pPr>
              <w:spacing w:after="21"/>
              <w:rPr>
                <w:szCs w:val="22"/>
              </w:rPr>
            </w:pPr>
            <w:r w:rsidRPr="00D04F67">
              <w:rPr>
                <w:szCs w:val="22"/>
              </w:rPr>
              <w:t xml:space="preserve">Harvard </w:t>
            </w:r>
            <w:r w:rsidR="00F73C7F">
              <w:rPr>
                <w:szCs w:val="22"/>
              </w:rPr>
              <w:t>b</w:t>
            </w:r>
            <w:r w:rsidRPr="00D04F67">
              <w:rPr>
                <w:szCs w:val="22"/>
              </w:rPr>
              <w:t xml:space="preserve">usiness </w:t>
            </w:r>
            <w:r w:rsidR="00F73C7F">
              <w:rPr>
                <w:szCs w:val="22"/>
              </w:rPr>
              <w:t>r</w:t>
            </w:r>
            <w:r w:rsidRPr="00D04F67">
              <w:rPr>
                <w:szCs w:val="22"/>
              </w:rPr>
              <w:t>eview</w:t>
            </w:r>
          </w:p>
        </w:tc>
        <w:tc>
          <w:tcPr>
            <w:tcW w:w="0" w:type="auto"/>
            <w:vAlign w:val="center"/>
            <w:hideMark/>
          </w:tcPr>
          <w:p w:rsidR="00D04F67" w:rsidRPr="00D04F67" w:rsidRDefault="00D04F67" w:rsidP="00D04F67">
            <w:pPr>
              <w:spacing w:after="21"/>
              <w:rPr>
                <w:szCs w:val="22"/>
              </w:rPr>
            </w:pPr>
            <w:r w:rsidRPr="00D04F67">
              <w:rPr>
                <w:szCs w:val="22"/>
              </w:rPr>
              <w:t>Publication source for management and leadership research.</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ROI</w:t>
            </w:r>
          </w:p>
        </w:tc>
        <w:tc>
          <w:tcPr>
            <w:tcW w:w="0" w:type="auto"/>
            <w:vAlign w:val="center"/>
            <w:hideMark/>
          </w:tcPr>
          <w:p w:rsidR="00D04F67" w:rsidRPr="00D04F67" w:rsidRDefault="00D04F67" w:rsidP="00D04F67">
            <w:pPr>
              <w:spacing w:after="21"/>
              <w:rPr>
                <w:szCs w:val="22"/>
              </w:rPr>
            </w:pPr>
            <w:r w:rsidRPr="00D04F67">
              <w:rPr>
                <w:szCs w:val="22"/>
              </w:rPr>
              <w:t xml:space="preserve">Return on </w:t>
            </w:r>
            <w:r w:rsidR="00F73C7F">
              <w:rPr>
                <w:szCs w:val="22"/>
              </w:rPr>
              <w:t>i</w:t>
            </w:r>
            <w:r w:rsidRPr="00D04F67">
              <w:rPr>
                <w:szCs w:val="22"/>
              </w:rPr>
              <w:t>nvestment</w:t>
            </w:r>
          </w:p>
        </w:tc>
        <w:tc>
          <w:tcPr>
            <w:tcW w:w="0" w:type="auto"/>
            <w:vAlign w:val="center"/>
            <w:hideMark/>
          </w:tcPr>
          <w:p w:rsidR="00D04F67" w:rsidRPr="00D04F67" w:rsidRDefault="00D04F67" w:rsidP="00D04F67">
            <w:pPr>
              <w:spacing w:after="21"/>
              <w:rPr>
                <w:szCs w:val="22"/>
              </w:rPr>
            </w:pPr>
            <w:r w:rsidRPr="00D04F67">
              <w:rPr>
                <w:szCs w:val="22"/>
              </w:rPr>
              <w:t>Measure of financial benefit gained compared to cost.</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SMEs</w:t>
            </w:r>
          </w:p>
        </w:tc>
        <w:tc>
          <w:tcPr>
            <w:tcW w:w="0" w:type="auto"/>
            <w:vAlign w:val="center"/>
            <w:hideMark/>
          </w:tcPr>
          <w:p w:rsidR="00D04F67" w:rsidRPr="00D04F67" w:rsidRDefault="00D04F67" w:rsidP="00D04F67">
            <w:pPr>
              <w:spacing w:after="21"/>
              <w:rPr>
                <w:szCs w:val="22"/>
              </w:rPr>
            </w:pPr>
            <w:r w:rsidRPr="00D04F67">
              <w:rPr>
                <w:szCs w:val="22"/>
              </w:rPr>
              <w:t xml:space="preserve">Small and </w:t>
            </w:r>
            <w:r w:rsidR="00F73C7F">
              <w:rPr>
                <w:szCs w:val="22"/>
              </w:rPr>
              <w:t>m</w:t>
            </w:r>
            <w:r w:rsidRPr="00D04F67">
              <w:rPr>
                <w:szCs w:val="22"/>
              </w:rPr>
              <w:t xml:space="preserve">edium </w:t>
            </w:r>
            <w:r w:rsidR="00F73C7F">
              <w:rPr>
                <w:szCs w:val="22"/>
              </w:rPr>
              <w:t>e</w:t>
            </w:r>
            <w:r w:rsidRPr="00D04F67">
              <w:rPr>
                <w:szCs w:val="22"/>
              </w:rPr>
              <w:t>nterprises</w:t>
            </w:r>
          </w:p>
        </w:tc>
        <w:tc>
          <w:tcPr>
            <w:tcW w:w="0" w:type="auto"/>
            <w:vAlign w:val="center"/>
            <w:hideMark/>
          </w:tcPr>
          <w:p w:rsidR="00D04F67" w:rsidRPr="00D04F67" w:rsidRDefault="00D04F67" w:rsidP="00D04F67">
            <w:pPr>
              <w:spacing w:after="21"/>
              <w:rPr>
                <w:szCs w:val="22"/>
              </w:rPr>
            </w:pPr>
            <w:r w:rsidRPr="00D04F67">
              <w:rPr>
                <w:szCs w:val="22"/>
              </w:rPr>
              <w:t>Used when comparing industry change implementation approaches.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ICT</w:t>
            </w:r>
          </w:p>
        </w:tc>
        <w:tc>
          <w:tcPr>
            <w:tcW w:w="0" w:type="auto"/>
            <w:vAlign w:val="center"/>
            <w:hideMark/>
          </w:tcPr>
          <w:p w:rsidR="00D04F67" w:rsidRPr="00D04F67" w:rsidRDefault="00D04F67" w:rsidP="00D04F67">
            <w:pPr>
              <w:spacing w:after="21"/>
              <w:rPr>
                <w:szCs w:val="22"/>
              </w:rPr>
            </w:pPr>
            <w:r w:rsidRPr="00D04F67">
              <w:rPr>
                <w:szCs w:val="22"/>
              </w:rPr>
              <w:t xml:space="preserve">Information and </w:t>
            </w:r>
            <w:r w:rsidR="00F73C7F">
              <w:rPr>
                <w:szCs w:val="22"/>
              </w:rPr>
              <w:t>c</w:t>
            </w:r>
            <w:r w:rsidRPr="00D04F67">
              <w:rPr>
                <w:szCs w:val="22"/>
              </w:rPr>
              <w:t xml:space="preserve">ommunication </w:t>
            </w:r>
            <w:r w:rsidR="00F73C7F">
              <w:rPr>
                <w:szCs w:val="22"/>
              </w:rPr>
              <w:t>t</w:t>
            </w:r>
            <w:r w:rsidRPr="00D04F67">
              <w:rPr>
                <w:szCs w:val="22"/>
              </w:rPr>
              <w:t>echnology</w:t>
            </w:r>
          </w:p>
        </w:tc>
        <w:tc>
          <w:tcPr>
            <w:tcW w:w="0" w:type="auto"/>
            <w:vAlign w:val="center"/>
            <w:hideMark/>
          </w:tcPr>
          <w:p w:rsidR="00D04F67" w:rsidRPr="00D04F67" w:rsidRDefault="00D04F67" w:rsidP="00D04F67">
            <w:pPr>
              <w:spacing w:after="21"/>
              <w:rPr>
                <w:szCs w:val="22"/>
              </w:rPr>
            </w:pPr>
            <w:r w:rsidRPr="00D04F67">
              <w:rPr>
                <w:szCs w:val="22"/>
              </w:rPr>
              <w:t>Technology used to support digital transformation in organisations.</w:t>
            </w:r>
          </w:p>
        </w:tc>
      </w:tr>
      <w:tr w:rsidR="00D04F67" w:rsidRPr="00D04F67">
        <w:trPr>
          <w:tblCellSpacing w:w="15" w:type="dxa"/>
        </w:trPr>
        <w:tc>
          <w:tcPr>
            <w:tcW w:w="0" w:type="auto"/>
            <w:vAlign w:val="center"/>
            <w:hideMark/>
          </w:tcPr>
          <w:p w:rsidR="00D04F67" w:rsidRPr="00D04F67" w:rsidRDefault="00D04F67" w:rsidP="00D04F67">
            <w:pPr>
              <w:spacing w:after="21"/>
              <w:rPr>
                <w:szCs w:val="22"/>
              </w:rPr>
            </w:pPr>
            <w:r w:rsidRPr="00D04F67">
              <w:rPr>
                <w:szCs w:val="22"/>
              </w:rPr>
              <w:t>ERP</w:t>
            </w:r>
          </w:p>
        </w:tc>
        <w:tc>
          <w:tcPr>
            <w:tcW w:w="0" w:type="auto"/>
            <w:vAlign w:val="center"/>
            <w:hideMark/>
          </w:tcPr>
          <w:p w:rsidR="00D04F67" w:rsidRPr="00D04F67" w:rsidRDefault="00D04F67" w:rsidP="00D04F67">
            <w:pPr>
              <w:spacing w:after="21"/>
              <w:rPr>
                <w:szCs w:val="22"/>
              </w:rPr>
            </w:pPr>
            <w:r w:rsidRPr="00D04F67">
              <w:rPr>
                <w:szCs w:val="22"/>
              </w:rPr>
              <w:t xml:space="preserve">Enterprise </w:t>
            </w:r>
            <w:r w:rsidR="00F73C7F">
              <w:rPr>
                <w:szCs w:val="22"/>
              </w:rPr>
              <w:t>r</w:t>
            </w:r>
            <w:r w:rsidRPr="00D04F67">
              <w:rPr>
                <w:szCs w:val="22"/>
              </w:rPr>
              <w:t xml:space="preserve">esource </w:t>
            </w:r>
            <w:r w:rsidR="00F73C7F">
              <w:rPr>
                <w:szCs w:val="22"/>
              </w:rPr>
              <w:t>p</w:t>
            </w:r>
            <w:r w:rsidRPr="00D04F67">
              <w:rPr>
                <w:szCs w:val="22"/>
              </w:rPr>
              <w:t>lanning</w:t>
            </w:r>
          </w:p>
        </w:tc>
        <w:tc>
          <w:tcPr>
            <w:tcW w:w="0" w:type="auto"/>
            <w:vAlign w:val="center"/>
            <w:hideMark/>
          </w:tcPr>
          <w:p w:rsidR="00D04F67" w:rsidRPr="00D04F67" w:rsidRDefault="00D04F67" w:rsidP="00D04F67">
            <w:pPr>
              <w:spacing w:after="21"/>
              <w:rPr>
                <w:szCs w:val="22"/>
              </w:rPr>
            </w:pPr>
            <w:r w:rsidRPr="00D04F67">
              <w:rPr>
                <w:szCs w:val="22"/>
              </w:rPr>
              <w:t>Integrated business management system supporting logistics, finance, HR, etc.</w:t>
            </w:r>
          </w:p>
        </w:tc>
      </w:tr>
    </w:tbl>
    <w:p w:rsidR="00D04F67" w:rsidRDefault="00D04F67" w:rsidP="001358D6">
      <w:pPr>
        <w:spacing w:after="21"/>
        <w:rPr>
          <w:szCs w:val="22"/>
        </w:rPr>
      </w:pPr>
    </w:p>
    <w:p w:rsidR="005921A0" w:rsidRPr="00B42712" w:rsidRDefault="008818D1" w:rsidP="00B42712">
      <w:pPr>
        <w:pStyle w:val="Heading1"/>
        <w:rPr>
          <w:szCs w:val="32"/>
        </w:rPr>
      </w:pPr>
      <w:bookmarkStart w:id="1" w:name="_Toc214295743"/>
      <w:r w:rsidRPr="00B42712">
        <w:rPr>
          <w:szCs w:val="32"/>
        </w:rPr>
        <w:t>CHAPTER 1: I</w:t>
      </w:r>
      <w:r w:rsidR="00F73C7F">
        <w:rPr>
          <w:szCs w:val="32"/>
        </w:rPr>
        <w:t>ntroduction</w:t>
      </w:r>
      <w:bookmarkEnd w:id="1"/>
    </w:p>
    <w:p w:rsidR="00710A38" w:rsidRPr="005921A0" w:rsidRDefault="000968BE" w:rsidP="004752B3">
      <w:pPr>
        <w:pStyle w:val="Heading1"/>
        <w:spacing w:line="360" w:lineRule="auto"/>
        <w:ind w:left="11" w:right="505" w:hanging="11"/>
        <w:jc w:val="both"/>
        <w:rPr>
          <w:b w:val="0"/>
          <w:bCs/>
          <w:szCs w:val="32"/>
        </w:rPr>
      </w:pPr>
      <w:r w:rsidRPr="00FA5EA3">
        <w:rPr>
          <w:sz w:val="21"/>
          <w:szCs w:val="21"/>
        </w:rPr>
        <w:br/>
      </w:r>
      <w:r w:rsidRPr="00FA5EA3">
        <w:rPr>
          <w:sz w:val="21"/>
          <w:szCs w:val="21"/>
        </w:rPr>
        <w:br/>
      </w:r>
      <w:bookmarkStart w:id="2" w:name="_Toc214295744"/>
      <w:r w:rsidRPr="005921A0">
        <w:rPr>
          <w:b w:val="0"/>
          <w:bCs/>
          <w:sz w:val="22"/>
          <w:szCs w:val="22"/>
        </w:rPr>
        <w:t>Organisational change has become a defining characteristic of contemporary business environments, particularly within retail logistics, where operational efficiency and technological adaptability determine competitive advantage.</w:t>
      </w:r>
      <w:bookmarkEnd w:id="2"/>
    </w:p>
    <w:p w:rsidR="002B7E46" w:rsidRDefault="000968BE" w:rsidP="004752B3">
      <w:pPr>
        <w:pStyle w:val="NormalWeb"/>
        <w:spacing w:line="360" w:lineRule="auto"/>
        <w:jc w:val="both"/>
        <w:rPr>
          <w:rFonts w:ascii="Arial" w:hAnsi="Arial" w:cs="Arial"/>
          <w:szCs w:val="22"/>
        </w:rPr>
      </w:pPr>
      <w:r w:rsidRPr="00710A38">
        <w:rPr>
          <w:rFonts w:ascii="Arial" w:hAnsi="Arial" w:cs="Arial"/>
          <w:szCs w:val="22"/>
        </w:rPr>
        <w:t xml:space="preserve">As global markets evolve and digital transformation reshapes supply chain processes, </w:t>
      </w:r>
      <w:proofErr w:type="spellStart"/>
      <w:r w:rsidRPr="00710A38">
        <w:rPr>
          <w:rFonts w:ascii="Arial" w:hAnsi="Arial" w:cs="Arial"/>
          <w:szCs w:val="22"/>
        </w:rPr>
        <w:t>organisations</w:t>
      </w:r>
      <w:proofErr w:type="spellEnd"/>
      <w:r w:rsidRPr="00710A38">
        <w:rPr>
          <w:rFonts w:ascii="Arial" w:hAnsi="Arial" w:cs="Arial"/>
          <w:szCs w:val="22"/>
        </w:rPr>
        <w:t xml:space="preserve"> such as Tesco </w:t>
      </w:r>
      <w:r w:rsidR="000153C8">
        <w:rPr>
          <w:rFonts w:ascii="Arial" w:hAnsi="Arial" w:cs="Arial"/>
          <w:szCs w:val="22"/>
        </w:rPr>
        <w:t>PLC</w:t>
      </w:r>
      <w:r w:rsidRPr="00710A38">
        <w:rPr>
          <w:rFonts w:ascii="Arial" w:hAnsi="Arial" w:cs="Arial"/>
          <w:szCs w:val="22"/>
        </w:rPr>
        <w:t xml:space="preserve"> have been compelled to implement extensive change </w:t>
      </w:r>
      <w:r w:rsidR="0079351D" w:rsidRPr="00710A38">
        <w:rPr>
          <w:rFonts w:ascii="Arial" w:hAnsi="Arial" w:cs="Arial"/>
          <w:szCs w:val="22"/>
        </w:rPr>
        <w:t>programs</w:t>
      </w:r>
      <w:r w:rsidRPr="00710A38">
        <w:rPr>
          <w:rFonts w:ascii="Arial" w:hAnsi="Arial" w:cs="Arial"/>
          <w:szCs w:val="22"/>
        </w:rPr>
        <w:t xml:space="preserve"> to sustain performance and profitability.</w:t>
      </w:r>
      <w:r w:rsidR="002B7E46">
        <w:rPr>
          <w:rFonts w:ascii="Arial" w:hAnsi="Arial" w:cs="Arial"/>
          <w:szCs w:val="22"/>
        </w:rPr>
        <w:t xml:space="preserve"> </w:t>
      </w:r>
    </w:p>
    <w:p w:rsidR="00306C47" w:rsidRDefault="000968BE" w:rsidP="004752B3">
      <w:pPr>
        <w:pStyle w:val="NormalWeb"/>
        <w:spacing w:line="360" w:lineRule="auto"/>
        <w:jc w:val="both"/>
        <w:rPr>
          <w:rFonts w:ascii="Arial" w:hAnsi="Arial" w:cs="Arial"/>
          <w:szCs w:val="22"/>
        </w:rPr>
      </w:pPr>
      <w:r w:rsidRPr="00710A38">
        <w:rPr>
          <w:rFonts w:ascii="Arial" w:hAnsi="Arial" w:cs="Arial"/>
          <w:szCs w:val="22"/>
        </w:rPr>
        <w:t xml:space="preserve">The management of change in such a dynamic context requires not only strategic planning but also strong leadership, effective communication, and a culture receptive to innovation (Burnes, 2017). This study critically examines how </w:t>
      </w:r>
      <w:proofErr w:type="spellStart"/>
      <w:r w:rsidRPr="00710A38">
        <w:rPr>
          <w:rFonts w:ascii="Arial" w:hAnsi="Arial" w:cs="Arial"/>
          <w:szCs w:val="22"/>
        </w:rPr>
        <w:t>organisational</w:t>
      </w:r>
      <w:proofErr w:type="spellEnd"/>
      <w:r w:rsidRPr="00710A38">
        <w:rPr>
          <w:rFonts w:ascii="Arial" w:hAnsi="Arial" w:cs="Arial"/>
          <w:szCs w:val="22"/>
        </w:rPr>
        <w:t xml:space="preserve"> change is managed within Tesco’s distribution network, focusing on its UK warehouses</w:t>
      </w:r>
      <w:r w:rsidR="00BB4E3D">
        <w:rPr>
          <w:rFonts w:ascii="Arial" w:hAnsi="Arial" w:cs="Arial"/>
          <w:szCs w:val="22"/>
        </w:rPr>
        <w:t xml:space="preserve">, </w:t>
      </w:r>
      <w:r w:rsidRPr="00710A38">
        <w:rPr>
          <w:rFonts w:ascii="Arial" w:hAnsi="Arial" w:cs="Arial"/>
          <w:szCs w:val="22"/>
        </w:rPr>
        <w:t xml:space="preserve">specifically those supporting the clothing division, including the Daventry site. </w:t>
      </w:r>
    </w:p>
    <w:p w:rsidR="00692BB2" w:rsidRDefault="000968BE" w:rsidP="004752B3">
      <w:pPr>
        <w:pStyle w:val="NormalWeb"/>
        <w:spacing w:line="360" w:lineRule="auto"/>
        <w:rPr>
          <w:rFonts w:ascii="Arial" w:hAnsi="Arial" w:cs="Arial"/>
          <w:szCs w:val="22"/>
        </w:rPr>
      </w:pPr>
      <w:r w:rsidRPr="00710A38">
        <w:rPr>
          <w:rFonts w:ascii="Arial" w:hAnsi="Arial" w:cs="Arial"/>
          <w:szCs w:val="22"/>
        </w:rPr>
        <w:lastRenderedPageBreak/>
        <w:t xml:space="preserve">By employing a secondary research methodology, the study seeks to provide an in-depth, evidence-based analysis of Tesco’s approach to managing </w:t>
      </w:r>
      <w:proofErr w:type="spellStart"/>
      <w:r w:rsidRPr="00710A38">
        <w:rPr>
          <w:rFonts w:ascii="Arial" w:hAnsi="Arial" w:cs="Arial"/>
          <w:szCs w:val="22"/>
        </w:rPr>
        <w:t>organisational</w:t>
      </w:r>
      <w:proofErr w:type="spellEnd"/>
      <w:r w:rsidRPr="00FA5EA3">
        <w:rPr>
          <w:rFonts w:ascii="Arial" w:hAnsi="Arial" w:cs="Arial"/>
          <w:sz w:val="21"/>
          <w:szCs w:val="21"/>
        </w:rPr>
        <w:t xml:space="preserve"> transformation within retail logistics operations.</w:t>
      </w:r>
      <w:r w:rsidRPr="00FA5EA3">
        <w:rPr>
          <w:rFonts w:ascii="Arial" w:hAnsi="Arial" w:cs="Arial"/>
          <w:sz w:val="21"/>
          <w:szCs w:val="21"/>
        </w:rPr>
        <w:br/>
      </w:r>
      <w:r w:rsidRPr="00FA5EA3">
        <w:rPr>
          <w:rFonts w:ascii="Arial" w:hAnsi="Arial" w:cs="Arial"/>
          <w:sz w:val="21"/>
          <w:szCs w:val="21"/>
        </w:rPr>
        <w:br/>
      </w:r>
      <w:r w:rsidRPr="00FA5EA3">
        <w:rPr>
          <w:rFonts w:ascii="Arial" w:hAnsi="Arial" w:cs="Arial"/>
          <w:sz w:val="21"/>
          <w:szCs w:val="21"/>
        </w:rPr>
        <w:br/>
      </w:r>
      <w:r w:rsidRPr="00563F33">
        <w:rPr>
          <w:rStyle w:val="Heading2Char"/>
        </w:rPr>
        <w:t>1.</w:t>
      </w:r>
      <w:r w:rsidR="00563F33" w:rsidRPr="00563F33">
        <w:rPr>
          <w:rStyle w:val="Heading2Char"/>
        </w:rPr>
        <w:t>1</w:t>
      </w:r>
      <w:r w:rsidRPr="00563F33">
        <w:rPr>
          <w:rStyle w:val="Heading2Char"/>
        </w:rPr>
        <w:t xml:space="preserve"> Background</w:t>
      </w:r>
      <w:r w:rsidRPr="00FA5EA3">
        <w:rPr>
          <w:rFonts w:ascii="Arial" w:hAnsi="Arial" w:cs="Arial"/>
          <w:sz w:val="21"/>
          <w:szCs w:val="21"/>
        </w:rPr>
        <w:br/>
      </w:r>
      <w:r w:rsidRPr="00FA5EA3">
        <w:rPr>
          <w:rFonts w:ascii="Arial" w:hAnsi="Arial" w:cs="Arial"/>
          <w:sz w:val="21"/>
          <w:szCs w:val="21"/>
        </w:rPr>
        <w:br/>
      </w:r>
      <w:r w:rsidRPr="00F27483">
        <w:rPr>
          <w:rFonts w:ascii="Arial" w:hAnsi="Arial" w:cs="Arial"/>
          <w:szCs w:val="22"/>
        </w:rPr>
        <w:t xml:space="preserve">The retail logistics industry in the United Kingdom has undergone considerable transformation in recent decades, driven by advancements in automation, e-commerce expansion, and heightened consumer expectations for rapid delivery (Accenture, 2022). Tesco, as the UK’s largest retailer, operates a vast and complex distribution infrastructure that supports over 3,800 stores and extensive online operations (Tesco plc, 2024). Its supply chain success depends on the effectiveness of its logistics systems, warehouse operations, and workforce adaptability. However, achieving operational efficiency in such a large-scale </w:t>
      </w:r>
      <w:proofErr w:type="spellStart"/>
      <w:r w:rsidRPr="00F27483">
        <w:rPr>
          <w:rFonts w:ascii="Arial" w:hAnsi="Arial" w:cs="Arial"/>
          <w:szCs w:val="22"/>
        </w:rPr>
        <w:t>organisation</w:t>
      </w:r>
      <w:proofErr w:type="spellEnd"/>
      <w:r w:rsidRPr="00F27483">
        <w:rPr>
          <w:rFonts w:ascii="Arial" w:hAnsi="Arial" w:cs="Arial"/>
          <w:szCs w:val="22"/>
        </w:rPr>
        <w:t xml:space="preserve"> necessitates ongoing change to meet evolving strategic and technological demands.</w:t>
      </w:r>
    </w:p>
    <w:p w:rsidR="00692BB2" w:rsidRDefault="00692BB2" w:rsidP="004752B3">
      <w:pPr>
        <w:jc w:val="both"/>
      </w:pPr>
      <w:r w:rsidRPr="00692BB2">
        <w:t xml:space="preserve">As of 2024, Tesco PLC employs over 330,000 colleagues globally, including approximately 220,000 employees in the UK across stores, distribution centres, and office functions (Tesco plc, 2024; </w:t>
      </w:r>
      <w:proofErr w:type="spellStart"/>
      <w:r w:rsidRPr="00692BB2">
        <w:t>Statista</w:t>
      </w:r>
      <w:proofErr w:type="spellEnd"/>
      <w:r w:rsidRPr="00692BB2">
        <w:t xml:space="preserve">, 2024). Within such a large workforce, organisational change inevitably produces varied responses among employees. Research shows that in large retail organisations, typically 60–70% of employees initially </w:t>
      </w:r>
      <w:proofErr w:type="gramStart"/>
      <w:r w:rsidRPr="00692BB2">
        <w:t>accept</w:t>
      </w:r>
      <w:proofErr w:type="gramEnd"/>
      <w:r w:rsidRPr="00692BB2">
        <w:t xml:space="preserve"> or comply with change (</w:t>
      </w:r>
      <w:proofErr w:type="spellStart"/>
      <w:r w:rsidRPr="00692BB2">
        <w:t>Kotter</w:t>
      </w:r>
      <w:proofErr w:type="spellEnd"/>
      <w:r w:rsidRPr="00692BB2">
        <w:t xml:space="preserve"> &amp; Schlesinger, 2008; </w:t>
      </w:r>
      <w:proofErr w:type="spellStart"/>
      <w:r w:rsidRPr="00692BB2">
        <w:t>Oreg</w:t>
      </w:r>
      <w:proofErr w:type="spellEnd"/>
      <w:r w:rsidRPr="00692BB2">
        <w:t xml:space="preserve">, 2006). However, 20–30% exhibit passive resistance, while 5–10% demonstrate active resistance due to job insecurity, workload concerns, or cultural misalignment (CIPD, 2023; </w:t>
      </w:r>
      <w:proofErr w:type="spellStart"/>
      <w:r w:rsidRPr="00692BB2">
        <w:t>Oreg</w:t>
      </w:r>
      <w:proofErr w:type="spellEnd"/>
      <w:r w:rsidRPr="00692BB2">
        <w:t xml:space="preserve"> et al., 2018). In Tesco’s logistics operations, including the Daventry Clothing Distribution Centre, similar patterns appear as employees adapt to digital systems and automation. Understanding these proportions is essential, as resistance can significantly impact operational performance and change adoption (Lines, 2004; Fugate et al., 2022).</w:t>
      </w:r>
    </w:p>
    <w:p w:rsidR="00501239" w:rsidRDefault="00501239" w:rsidP="00692BB2"/>
    <w:tbl>
      <w:tblPr>
        <w:tblW w:w="906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tblPr>
      <w:tblGrid>
        <w:gridCol w:w="4530"/>
        <w:gridCol w:w="4530"/>
      </w:tblGrid>
      <w:tr w:rsidR="001E0F0A" w:rsidRPr="001E0F0A" w:rsidTr="001134E0">
        <w:trPr>
          <w:trHeight w:val="300"/>
        </w:trPr>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Employee response type</w:t>
            </w:r>
            <w:r w:rsidRPr="001E0F0A">
              <w:rPr>
                <w:rFonts w:eastAsia="Times New Roman"/>
                <w:kern w:val="0"/>
                <w:lang w:val="en-US" w:eastAsia="en-US"/>
              </w:rPr>
              <w:t> </w:t>
            </w:r>
          </w:p>
        </w:tc>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Estimated proportion</w:t>
            </w:r>
            <w:r w:rsidRPr="001E0F0A">
              <w:rPr>
                <w:rFonts w:eastAsia="Times New Roman"/>
                <w:kern w:val="0"/>
                <w:lang w:val="en-US" w:eastAsia="en-US"/>
              </w:rPr>
              <w:t> </w:t>
            </w:r>
          </w:p>
        </w:tc>
      </w:tr>
      <w:tr w:rsidR="001E0F0A" w:rsidRPr="001E0F0A" w:rsidTr="001134E0">
        <w:trPr>
          <w:trHeight w:val="300"/>
        </w:trPr>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Active acceptance / support</w:t>
            </w:r>
            <w:r w:rsidRPr="001E0F0A">
              <w:rPr>
                <w:rFonts w:eastAsia="Times New Roman"/>
                <w:kern w:val="0"/>
                <w:lang w:val="en-US" w:eastAsia="en-US"/>
              </w:rPr>
              <w:t> </w:t>
            </w:r>
          </w:p>
        </w:tc>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60–70%</w:t>
            </w:r>
            <w:r w:rsidRPr="001E0F0A">
              <w:rPr>
                <w:rFonts w:eastAsia="Times New Roman"/>
                <w:kern w:val="0"/>
                <w:lang w:val="en-US" w:eastAsia="en-US"/>
              </w:rPr>
              <w:t> </w:t>
            </w:r>
          </w:p>
        </w:tc>
      </w:tr>
      <w:tr w:rsidR="001E0F0A" w:rsidRPr="001E0F0A" w:rsidTr="001134E0">
        <w:trPr>
          <w:trHeight w:val="300"/>
        </w:trPr>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Passive resistance</w:t>
            </w:r>
            <w:r w:rsidRPr="001E0F0A">
              <w:rPr>
                <w:rFonts w:eastAsia="Times New Roman"/>
                <w:kern w:val="0"/>
                <w:lang w:val="en-US" w:eastAsia="en-US"/>
              </w:rPr>
              <w:t> </w:t>
            </w:r>
          </w:p>
        </w:tc>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20–30%</w:t>
            </w:r>
            <w:r w:rsidRPr="001E0F0A">
              <w:rPr>
                <w:rFonts w:eastAsia="Times New Roman"/>
                <w:kern w:val="0"/>
                <w:lang w:val="en-US" w:eastAsia="en-US"/>
              </w:rPr>
              <w:t> </w:t>
            </w:r>
          </w:p>
        </w:tc>
      </w:tr>
      <w:tr w:rsidR="001E0F0A" w:rsidRPr="001E0F0A" w:rsidTr="001134E0">
        <w:trPr>
          <w:trHeight w:val="300"/>
        </w:trPr>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Active resistance</w:t>
            </w:r>
            <w:r w:rsidRPr="001E0F0A">
              <w:rPr>
                <w:rFonts w:eastAsia="Times New Roman"/>
                <w:kern w:val="0"/>
                <w:lang w:val="en-US" w:eastAsia="en-US"/>
              </w:rPr>
              <w:t> </w:t>
            </w:r>
          </w:p>
        </w:tc>
        <w:tc>
          <w:tcPr>
            <w:tcW w:w="4530" w:type="dxa"/>
            <w:tcBorders>
              <w:top w:val="nil"/>
              <w:left w:val="nil"/>
              <w:bottom w:val="nil"/>
              <w:right w:val="nil"/>
            </w:tcBorders>
            <w:shd w:val="clear" w:color="auto" w:fill="auto"/>
            <w:hideMark/>
          </w:tcPr>
          <w:p w:rsidR="001E0F0A" w:rsidRPr="001E0F0A" w:rsidRDefault="001E0F0A" w:rsidP="001E0F0A">
            <w:pPr>
              <w:spacing w:before="0" w:after="0" w:line="240" w:lineRule="auto"/>
              <w:textAlignment w:val="baseline"/>
              <w:rPr>
                <w:rFonts w:ascii="Segoe UI" w:eastAsia="Times New Roman" w:hAnsi="Segoe UI" w:cs="Segoe UI"/>
                <w:kern w:val="0"/>
                <w:sz w:val="18"/>
                <w:szCs w:val="18"/>
                <w:lang w:val="en-US" w:eastAsia="en-US"/>
              </w:rPr>
            </w:pPr>
            <w:r w:rsidRPr="001E0F0A">
              <w:rPr>
                <w:rFonts w:eastAsia="Times New Roman"/>
                <w:kern w:val="0"/>
                <w:lang w:eastAsia="en-US"/>
              </w:rPr>
              <w:t>5–10%</w:t>
            </w:r>
            <w:r w:rsidRPr="001E0F0A">
              <w:rPr>
                <w:rFonts w:eastAsia="Times New Roman"/>
                <w:kern w:val="0"/>
                <w:lang w:val="en-US" w:eastAsia="en-US"/>
              </w:rPr>
              <w:t> </w:t>
            </w:r>
          </w:p>
        </w:tc>
      </w:tr>
    </w:tbl>
    <w:p w:rsidR="001134E0" w:rsidRPr="001134E0" w:rsidRDefault="001134E0" w:rsidP="001134E0">
      <w:pPr>
        <w:rPr>
          <w:b/>
        </w:rPr>
      </w:pPr>
      <w:r w:rsidRPr="001134E0">
        <w:rPr>
          <w:b/>
        </w:rPr>
        <w:t>Table 1.1: Employee response patterns to organisational change by Author</w:t>
      </w:r>
    </w:p>
    <w:p w:rsidR="001E0F0A" w:rsidRDefault="00692BB2" w:rsidP="001E0F0A">
      <w:r>
        <w:rPr>
          <w:noProof/>
          <w:lang w:val="en-US" w:eastAsia="en-US"/>
        </w:rPr>
        <w:lastRenderedPageBreak/>
        <w:drawing>
          <wp:inline distT="0" distB="0" distL="0" distR="0">
            <wp:extent cx="4572000" cy="2866313"/>
            <wp:effectExtent l="19050" t="0" r="0" b="0"/>
            <wp:docPr id="1" name="Picture 1950685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hange_response_chart.png"/>
                    <pic:cNvPicPr/>
                  </pic:nvPicPr>
                  <pic:blipFill>
                    <a:blip r:embed="rId9" cstate="print"/>
                    <a:stretch>
                      <a:fillRect/>
                    </a:stretch>
                  </pic:blipFill>
                  <pic:spPr>
                    <a:xfrm>
                      <a:off x="0" y="0"/>
                      <a:ext cx="4572000" cy="2866313"/>
                    </a:xfrm>
                    <a:prstGeom prst="rect">
                      <a:avLst/>
                    </a:prstGeom>
                  </pic:spPr>
                </pic:pic>
              </a:graphicData>
            </a:graphic>
          </wp:inline>
        </w:drawing>
      </w:r>
    </w:p>
    <w:p w:rsidR="00814583" w:rsidRPr="00692BB2" w:rsidRDefault="001134E0" w:rsidP="004752B3">
      <w:pPr>
        <w:tabs>
          <w:tab w:val="left" w:pos="1125"/>
        </w:tabs>
      </w:pPr>
      <w:r w:rsidRPr="001134E0">
        <w:rPr>
          <w:b/>
          <w:szCs w:val="22"/>
        </w:rPr>
        <w:t xml:space="preserve">Graph 1.1: </w:t>
      </w:r>
      <w:r w:rsidRPr="001134E0">
        <w:rPr>
          <w:b/>
        </w:rPr>
        <w:t>Visual distribution of employee responses to organisational change by Author</w:t>
      </w:r>
      <w:r w:rsidR="000968BE" w:rsidRPr="00F27483">
        <w:rPr>
          <w:szCs w:val="22"/>
        </w:rPr>
        <w:br/>
      </w:r>
      <w:r w:rsidR="000968BE" w:rsidRPr="00F27483">
        <w:rPr>
          <w:szCs w:val="22"/>
        </w:rPr>
        <w:br/>
        <w:t>Change management within logistics is particularly challenging because it involves both structural and behavioural transformation. Structural change may include the introduction of new systems or the reconfiguration of warehouse layouts, while behavioural change focuses on altering employee mindsets and work practices (Kotter, 1996). Research indicates that employee resistance, communication gaps, and leadership inconsistencies are among the most common barriers to successful change implementation (</w:t>
      </w:r>
      <w:proofErr w:type="spellStart"/>
      <w:r w:rsidR="000968BE" w:rsidRPr="00F27483">
        <w:rPr>
          <w:szCs w:val="22"/>
        </w:rPr>
        <w:t>Armenakis</w:t>
      </w:r>
      <w:proofErr w:type="spellEnd"/>
      <w:r w:rsidR="000968BE" w:rsidRPr="00F27483">
        <w:rPr>
          <w:szCs w:val="22"/>
        </w:rPr>
        <w:t xml:space="preserve"> and Harris, 2009). Tesco has faced similar challenges, particularly in adapting to automation and digital integration while maintaining employee engagement.</w:t>
      </w:r>
      <w:r w:rsidR="000968BE" w:rsidRPr="00F27483">
        <w:rPr>
          <w:szCs w:val="22"/>
        </w:rPr>
        <w:br/>
      </w:r>
      <w:r w:rsidR="000968BE" w:rsidRPr="00F27483">
        <w:rPr>
          <w:szCs w:val="22"/>
        </w:rPr>
        <w:br/>
        <w:t xml:space="preserve">The COVID-19 pandemic and Brexit further accelerated the need for transformation across Tesco’s supply chain, exposing weaknesses in global logistics resilience (McKinsey &amp; Company, 2021). In response, Tesco has invested heavily in digital tools, robotics, and sustainable practices to enhance warehouse efficiency and reduce operational costs. At sites such as Daventry Clothing, the shift towards real-time stock management systems and improved forecasting models has required a change in both processes and workforce competencies. As a Stock and Systems Manager at Tesco Daventry Clothing, understanding how these transitions are </w:t>
      </w:r>
      <w:proofErr w:type="spellStart"/>
      <w:r w:rsidR="000968BE" w:rsidRPr="00F27483">
        <w:rPr>
          <w:szCs w:val="22"/>
        </w:rPr>
        <w:t>operationalised</w:t>
      </w:r>
      <w:proofErr w:type="spellEnd"/>
      <w:r w:rsidR="000968BE" w:rsidRPr="00F27483">
        <w:rPr>
          <w:szCs w:val="22"/>
        </w:rPr>
        <w:t xml:space="preserve"> provides valuable insight into the practical implications of organisational change theories.</w:t>
      </w:r>
      <w:r w:rsidR="000968BE" w:rsidRPr="00F27483">
        <w:rPr>
          <w:szCs w:val="22"/>
        </w:rPr>
        <w:br/>
      </w:r>
      <w:r w:rsidR="000968BE" w:rsidRPr="00F27483">
        <w:rPr>
          <w:szCs w:val="22"/>
        </w:rPr>
        <w:br/>
        <w:t xml:space="preserve">From an academic perspective, several models inform the study of organisational change. Lewin’s (1951) three-step model highlights the importance of unfreezing existing </w:t>
      </w:r>
      <w:r w:rsidR="002E0A7D" w:rsidRPr="00F27483">
        <w:rPr>
          <w:szCs w:val="22"/>
        </w:rPr>
        <w:t>behaviors</w:t>
      </w:r>
      <w:r w:rsidR="000968BE" w:rsidRPr="00F27483">
        <w:rPr>
          <w:szCs w:val="22"/>
        </w:rPr>
        <w:t xml:space="preserve"> </w:t>
      </w:r>
      <w:r w:rsidR="000968BE" w:rsidRPr="00F27483">
        <w:rPr>
          <w:szCs w:val="22"/>
        </w:rPr>
        <w:lastRenderedPageBreak/>
        <w:t>before introducing and stabilising new practices. Kotter’s (1996) eight-step model further emphasises leadership vision, communication, and consolidation of gains. However, critics argue that such models may oversimplify the nonlinear, iterative nature of change in complex organisations (By, Hughes and Ford, 2016). Consequently, this research seeks to evaluate whether Tesco’s approach aligns with these established theories or diverges towards a more flexible, adaptive framework suitable for modern logistics environments.</w:t>
      </w:r>
      <w:r w:rsidR="000968BE" w:rsidRPr="00F27483">
        <w:rPr>
          <w:szCs w:val="22"/>
        </w:rPr>
        <w:br/>
      </w:r>
      <w:r w:rsidR="000968BE" w:rsidRPr="00FA5EA3">
        <w:rPr>
          <w:sz w:val="21"/>
          <w:szCs w:val="21"/>
        </w:rPr>
        <w:br/>
      </w:r>
      <w:r w:rsidR="000968BE" w:rsidRPr="00FA5EA3">
        <w:rPr>
          <w:sz w:val="21"/>
          <w:szCs w:val="21"/>
        </w:rPr>
        <w:br/>
      </w:r>
      <w:r w:rsidR="000968BE" w:rsidRPr="00FA5EA3">
        <w:rPr>
          <w:sz w:val="21"/>
          <w:szCs w:val="21"/>
        </w:rPr>
        <w:br/>
      </w:r>
      <w:r w:rsidR="000968BE" w:rsidRPr="00563F33">
        <w:rPr>
          <w:rStyle w:val="Heading2Char"/>
        </w:rPr>
        <w:t>1.</w:t>
      </w:r>
      <w:r w:rsidR="00563F33" w:rsidRPr="00563F33">
        <w:rPr>
          <w:rStyle w:val="Heading2Char"/>
        </w:rPr>
        <w:t>2</w:t>
      </w:r>
      <w:r w:rsidR="000968BE" w:rsidRPr="00563F33">
        <w:rPr>
          <w:rStyle w:val="Heading2Char"/>
        </w:rPr>
        <w:t xml:space="preserve"> Research </w:t>
      </w:r>
      <w:r w:rsidR="00C16E44">
        <w:rPr>
          <w:rStyle w:val="Heading2Char"/>
        </w:rPr>
        <w:t>a</w:t>
      </w:r>
      <w:r w:rsidR="000968BE" w:rsidRPr="00563F33">
        <w:rPr>
          <w:rStyle w:val="Heading2Char"/>
        </w:rPr>
        <w:t>im</w:t>
      </w:r>
      <w:r w:rsidR="000968BE" w:rsidRPr="00FA5EA3">
        <w:rPr>
          <w:sz w:val="21"/>
          <w:szCs w:val="21"/>
        </w:rPr>
        <w:br/>
      </w:r>
      <w:r w:rsidR="000968BE" w:rsidRPr="00814583">
        <w:rPr>
          <w:szCs w:val="22"/>
        </w:rPr>
        <w:br/>
        <w:t xml:space="preserve">The aim of this dissertation is to critically examine how organisational change is managed within Tesco’s distribution warehouses, with particular emphasis on the strategies, challenges, and leadership practices involved in implementing change across retail logistics operations. </w:t>
      </w:r>
    </w:p>
    <w:p w:rsidR="00817B7E" w:rsidRPr="00814583" w:rsidRDefault="000968BE" w:rsidP="004752B3">
      <w:pPr>
        <w:pStyle w:val="NormalWeb"/>
        <w:spacing w:line="360" w:lineRule="auto"/>
        <w:rPr>
          <w:rFonts w:ascii="Arial" w:hAnsi="Arial" w:cs="Arial"/>
          <w:szCs w:val="22"/>
        </w:rPr>
      </w:pPr>
      <w:r w:rsidRPr="00814583">
        <w:rPr>
          <w:rFonts w:ascii="Arial" w:hAnsi="Arial" w:cs="Arial"/>
          <w:szCs w:val="22"/>
        </w:rPr>
        <w:t>The study intends to explore how change initiatives are designed, communicated, and sustained in large-scale warehouse environments where operational continuity and employee engagement are critical to success.</w:t>
      </w:r>
    </w:p>
    <w:p w:rsidR="007A396F" w:rsidRPr="006145F3" w:rsidRDefault="000968BE" w:rsidP="0019523A">
      <w:pPr>
        <w:pStyle w:val="Heading2"/>
        <w:ind w:left="0" w:firstLine="0"/>
        <w:jc w:val="both"/>
      </w:pPr>
      <w:bookmarkStart w:id="3" w:name="_Toc214295745"/>
      <w:r w:rsidRPr="006145F3">
        <w:rPr>
          <w:rStyle w:val="Heading3Char"/>
          <w:rFonts w:ascii="Arial" w:eastAsia="Arial" w:hAnsi="Arial" w:cs="Arial"/>
          <w:b/>
          <w:bCs w:val="0"/>
          <w:color w:val="000000"/>
        </w:rPr>
        <w:t>1.</w:t>
      </w:r>
      <w:r w:rsidR="005912C4">
        <w:rPr>
          <w:rStyle w:val="Heading3Char"/>
          <w:rFonts w:ascii="Arial" w:eastAsia="Arial" w:hAnsi="Arial" w:cs="Arial"/>
          <w:b/>
          <w:bCs w:val="0"/>
          <w:color w:val="000000"/>
        </w:rPr>
        <w:t>3</w:t>
      </w:r>
      <w:r w:rsidRPr="006145F3">
        <w:rPr>
          <w:rStyle w:val="Heading3Char"/>
          <w:rFonts w:ascii="Arial" w:eastAsia="Arial" w:hAnsi="Arial" w:cs="Arial"/>
          <w:b/>
          <w:bCs w:val="0"/>
          <w:color w:val="000000"/>
        </w:rPr>
        <w:t xml:space="preserve"> Research </w:t>
      </w:r>
      <w:r w:rsidR="00C16E44">
        <w:rPr>
          <w:rStyle w:val="Heading3Char"/>
          <w:rFonts w:ascii="Arial" w:eastAsia="Arial" w:hAnsi="Arial" w:cs="Arial"/>
          <w:b/>
          <w:bCs w:val="0"/>
          <w:color w:val="000000"/>
        </w:rPr>
        <w:t>o</w:t>
      </w:r>
      <w:r w:rsidRPr="006145F3">
        <w:rPr>
          <w:rStyle w:val="Heading3Char"/>
          <w:rFonts w:ascii="Arial" w:eastAsia="Arial" w:hAnsi="Arial" w:cs="Arial"/>
          <w:b/>
          <w:bCs w:val="0"/>
          <w:color w:val="000000"/>
        </w:rPr>
        <w:t>bjectives</w:t>
      </w:r>
      <w:bookmarkEnd w:id="3"/>
    </w:p>
    <w:p w:rsidR="00DC13C1" w:rsidRDefault="007A396F" w:rsidP="0038756D">
      <w:pPr>
        <w:pStyle w:val="NormalWeb"/>
        <w:spacing w:line="360" w:lineRule="auto"/>
        <w:rPr>
          <w:rFonts w:ascii="Arial" w:hAnsi="Arial" w:cs="Arial"/>
          <w:szCs w:val="22"/>
        </w:rPr>
      </w:pPr>
      <w:r w:rsidRPr="00C4513D">
        <w:rPr>
          <w:rFonts w:ascii="Arial" w:hAnsi="Arial" w:cs="Arial"/>
          <w:szCs w:val="22"/>
        </w:rPr>
        <w:t xml:space="preserve">To achieve the aims of this research, the following objectives have been developed. These objectives focus on understanding what really happens during </w:t>
      </w:r>
      <w:proofErr w:type="spellStart"/>
      <w:r w:rsidRPr="00C4513D">
        <w:rPr>
          <w:rFonts w:ascii="Arial" w:hAnsi="Arial" w:cs="Arial"/>
          <w:szCs w:val="22"/>
        </w:rPr>
        <w:t>organisational</w:t>
      </w:r>
      <w:proofErr w:type="spellEnd"/>
      <w:r w:rsidRPr="00C4513D">
        <w:rPr>
          <w:rFonts w:ascii="Arial" w:hAnsi="Arial" w:cs="Arial"/>
          <w:szCs w:val="22"/>
        </w:rPr>
        <w:t xml:space="preserve"> change within Tesco’s distribution warehouses, rather than relying purely on theoretical expectations. This aligns with calls in the literature for more context-specific and practice-oriented studies that explore how change is implemented and experienced in real </w:t>
      </w:r>
      <w:proofErr w:type="spellStart"/>
      <w:r w:rsidRPr="00C4513D">
        <w:rPr>
          <w:rFonts w:ascii="Arial" w:hAnsi="Arial" w:cs="Arial"/>
          <w:szCs w:val="22"/>
        </w:rPr>
        <w:t>organisational</w:t>
      </w:r>
      <w:proofErr w:type="spellEnd"/>
      <w:r w:rsidRPr="00C4513D">
        <w:rPr>
          <w:rFonts w:ascii="Arial" w:hAnsi="Arial" w:cs="Arial"/>
          <w:szCs w:val="22"/>
        </w:rPr>
        <w:t xml:space="preserve"> settings (</w:t>
      </w:r>
      <w:proofErr w:type="spellStart"/>
      <w:r w:rsidRPr="00C4513D">
        <w:rPr>
          <w:rFonts w:ascii="Arial" w:hAnsi="Arial" w:cs="Arial"/>
          <w:szCs w:val="22"/>
        </w:rPr>
        <w:t>Burnes</w:t>
      </w:r>
      <w:proofErr w:type="spellEnd"/>
      <w:r w:rsidRPr="00C4513D">
        <w:rPr>
          <w:rFonts w:ascii="Arial" w:hAnsi="Arial" w:cs="Arial"/>
          <w:szCs w:val="22"/>
        </w:rPr>
        <w:t xml:space="preserve">, 2017; By, Hughes and Ford, 2016; </w:t>
      </w:r>
      <w:proofErr w:type="spellStart"/>
      <w:r w:rsidRPr="00C4513D">
        <w:rPr>
          <w:rFonts w:ascii="Arial" w:hAnsi="Arial" w:cs="Arial"/>
          <w:szCs w:val="22"/>
        </w:rPr>
        <w:t>Armenakis</w:t>
      </w:r>
      <w:proofErr w:type="spellEnd"/>
      <w:r w:rsidRPr="00C4513D">
        <w:rPr>
          <w:rFonts w:ascii="Arial" w:hAnsi="Arial" w:cs="Arial"/>
          <w:szCs w:val="22"/>
        </w:rPr>
        <w:t xml:space="preserve"> and Harris, 2009).</w:t>
      </w:r>
      <w:r w:rsidRPr="00C4513D">
        <w:rPr>
          <w:rFonts w:ascii="Arial" w:hAnsi="Arial" w:cs="Arial"/>
          <w:szCs w:val="22"/>
        </w:rPr>
        <w:br/>
      </w:r>
      <w:r w:rsidRPr="00C4513D">
        <w:rPr>
          <w:rFonts w:ascii="Arial" w:hAnsi="Arial" w:cs="Arial"/>
          <w:szCs w:val="22"/>
        </w:rPr>
        <w:br/>
      </w:r>
      <w:r w:rsidRPr="00C4513D">
        <w:rPr>
          <w:rFonts w:ascii="Arial" w:hAnsi="Arial" w:cs="Arial"/>
          <w:b/>
          <w:bCs/>
          <w:szCs w:val="22"/>
        </w:rPr>
        <w:t>Objective 1:</w:t>
      </w:r>
      <w:r w:rsidRPr="00C4513D">
        <w:rPr>
          <w:rFonts w:ascii="Arial" w:hAnsi="Arial" w:cs="Arial"/>
          <w:szCs w:val="22"/>
        </w:rPr>
        <w:t xml:space="preserve"> To </w:t>
      </w:r>
      <w:proofErr w:type="spellStart"/>
      <w:r w:rsidRPr="00C4513D">
        <w:rPr>
          <w:rFonts w:ascii="Arial" w:hAnsi="Arial" w:cs="Arial"/>
          <w:szCs w:val="22"/>
        </w:rPr>
        <w:t>analyse</w:t>
      </w:r>
      <w:proofErr w:type="spellEnd"/>
      <w:r w:rsidRPr="00C4513D">
        <w:rPr>
          <w:rFonts w:ascii="Arial" w:hAnsi="Arial" w:cs="Arial"/>
          <w:szCs w:val="22"/>
        </w:rPr>
        <w:t xml:space="preserve"> how </w:t>
      </w:r>
      <w:proofErr w:type="spellStart"/>
      <w:r w:rsidRPr="00C4513D">
        <w:rPr>
          <w:rFonts w:ascii="Arial" w:hAnsi="Arial" w:cs="Arial"/>
          <w:szCs w:val="22"/>
        </w:rPr>
        <w:t>organisational</w:t>
      </w:r>
      <w:proofErr w:type="spellEnd"/>
      <w:r w:rsidRPr="00C4513D">
        <w:rPr>
          <w:rFonts w:ascii="Arial" w:hAnsi="Arial" w:cs="Arial"/>
          <w:szCs w:val="22"/>
        </w:rPr>
        <w:t xml:space="preserve"> change is carried out in practice within Tesco’s distribution operations.</w:t>
      </w:r>
    </w:p>
    <w:p w:rsidR="00697E92" w:rsidRDefault="007A396F" w:rsidP="0038756D">
      <w:pPr>
        <w:pStyle w:val="NormalWeb"/>
        <w:spacing w:line="360" w:lineRule="auto"/>
        <w:rPr>
          <w:rFonts w:ascii="Arial" w:hAnsi="Arial" w:cs="Arial"/>
          <w:szCs w:val="22"/>
        </w:rPr>
      </w:pPr>
      <w:r w:rsidRPr="00C4513D">
        <w:rPr>
          <w:rFonts w:ascii="Arial" w:hAnsi="Arial" w:cs="Arial"/>
          <w:szCs w:val="22"/>
        </w:rPr>
        <w:br/>
        <w:t xml:space="preserve">Existing research highlights that the success of </w:t>
      </w:r>
      <w:proofErr w:type="spellStart"/>
      <w:r w:rsidRPr="00C4513D">
        <w:rPr>
          <w:rFonts w:ascii="Arial" w:hAnsi="Arial" w:cs="Arial"/>
          <w:szCs w:val="22"/>
        </w:rPr>
        <w:t>organisational</w:t>
      </w:r>
      <w:proofErr w:type="spellEnd"/>
      <w:r w:rsidRPr="00C4513D">
        <w:rPr>
          <w:rFonts w:ascii="Arial" w:hAnsi="Arial" w:cs="Arial"/>
          <w:szCs w:val="22"/>
        </w:rPr>
        <w:t xml:space="preserve"> change depends heavily on how it is </w:t>
      </w:r>
      <w:proofErr w:type="spellStart"/>
      <w:r w:rsidRPr="00C4513D">
        <w:rPr>
          <w:rFonts w:ascii="Arial" w:hAnsi="Arial" w:cs="Arial"/>
          <w:szCs w:val="22"/>
        </w:rPr>
        <w:t>operationalised</w:t>
      </w:r>
      <w:proofErr w:type="spellEnd"/>
      <w:r w:rsidRPr="00C4513D">
        <w:rPr>
          <w:rFonts w:ascii="Arial" w:hAnsi="Arial" w:cs="Arial"/>
          <w:szCs w:val="22"/>
        </w:rPr>
        <w:t xml:space="preserve"> at site level through communication, leadership, and employee participation (Kotter, 1996; Northouse, 2022). </w:t>
      </w:r>
    </w:p>
    <w:p w:rsidR="0075748E" w:rsidRDefault="007A396F" w:rsidP="004752B3">
      <w:pPr>
        <w:pStyle w:val="NormalWeb"/>
        <w:spacing w:line="360" w:lineRule="auto"/>
        <w:rPr>
          <w:rFonts w:ascii="Arial" w:hAnsi="Arial" w:cs="Arial"/>
          <w:szCs w:val="22"/>
        </w:rPr>
      </w:pPr>
      <w:r w:rsidRPr="00C4513D">
        <w:rPr>
          <w:rFonts w:ascii="Arial" w:hAnsi="Arial" w:cs="Arial"/>
          <w:szCs w:val="22"/>
        </w:rPr>
        <w:t>By reviewing credible secondary data</w:t>
      </w:r>
      <w:r w:rsidR="00697E92">
        <w:rPr>
          <w:rFonts w:ascii="Arial" w:hAnsi="Arial" w:cs="Arial"/>
          <w:szCs w:val="22"/>
        </w:rPr>
        <w:t xml:space="preserve">, </w:t>
      </w:r>
      <w:r w:rsidRPr="00C4513D">
        <w:rPr>
          <w:rFonts w:ascii="Arial" w:hAnsi="Arial" w:cs="Arial"/>
          <w:szCs w:val="22"/>
        </w:rPr>
        <w:t xml:space="preserve">such as Tesco’s annual and sustainability reports, consultancy analyses (Accenture, 2022; McKinsey &amp; Company, 2021), and logistics industry </w:t>
      </w:r>
      <w:r w:rsidRPr="00C4513D">
        <w:rPr>
          <w:rFonts w:ascii="Arial" w:hAnsi="Arial" w:cs="Arial"/>
          <w:szCs w:val="22"/>
        </w:rPr>
        <w:lastRenderedPageBreak/>
        <w:t>studies</w:t>
      </w:r>
      <w:r w:rsidR="00697E92">
        <w:rPr>
          <w:rFonts w:ascii="Arial" w:hAnsi="Arial" w:cs="Arial"/>
          <w:szCs w:val="22"/>
        </w:rPr>
        <w:t xml:space="preserve">, </w:t>
      </w:r>
      <w:r w:rsidRPr="00C4513D">
        <w:rPr>
          <w:rFonts w:ascii="Arial" w:hAnsi="Arial" w:cs="Arial"/>
          <w:szCs w:val="22"/>
        </w:rPr>
        <w:t>this objective aims to identify the tangible steps management takes to introduce new systems or working methods. It will also examine how these initiatives are communicated and supported across warehouse teams, offering insight into the link between top-down strategy and day-to-day execution.</w:t>
      </w:r>
      <w:r w:rsidRPr="00C4513D">
        <w:rPr>
          <w:rFonts w:ascii="Arial" w:hAnsi="Arial" w:cs="Arial"/>
          <w:szCs w:val="22"/>
        </w:rPr>
        <w:br/>
      </w:r>
      <w:r w:rsidRPr="00C4513D">
        <w:rPr>
          <w:rFonts w:ascii="Arial" w:hAnsi="Arial" w:cs="Arial"/>
          <w:szCs w:val="22"/>
        </w:rPr>
        <w:br/>
      </w:r>
      <w:r w:rsidRPr="00C4513D">
        <w:rPr>
          <w:rFonts w:ascii="Arial" w:hAnsi="Arial" w:cs="Arial"/>
          <w:b/>
          <w:bCs/>
          <w:szCs w:val="22"/>
        </w:rPr>
        <w:t>Objective 2:</w:t>
      </w:r>
      <w:r w:rsidRPr="00C4513D">
        <w:rPr>
          <w:rFonts w:ascii="Arial" w:hAnsi="Arial" w:cs="Arial"/>
          <w:szCs w:val="22"/>
        </w:rPr>
        <w:t xml:space="preserve"> </w:t>
      </w:r>
      <w:r w:rsidRPr="00C4513D">
        <w:rPr>
          <w:rFonts w:ascii="Arial" w:hAnsi="Arial" w:cs="Arial"/>
          <w:i/>
          <w:iCs/>
          <w:szCs w:val="22"/>
        </w:rPr>
        <w:t xml:space="preserve">To identify and evaluate the main factors that influence the success or failure of </w:t>
      </w:r>
      <w:proofErr w:type="spellStart"/>
      <w:r w:rsidRPr="00C4513D">
        <w:rPr>
          <w:rFonts w:ascii="Arial" w:hAnsi="Arial" w:cs="Arial"/>
          <w:i/>
          <w:iCs/>
          <w:szCs w:val="22"/>
        </w:rPr>
        <w:t>organisational</w:t>
      </w:r>
      <w:proofErr w:type="spellEnd"/>
      <w:r w:rsidRPr="00C4513D">
        <w:rPr>
          <w:rFonts w:ascii="Arial" w:hAnsi="Arial" w:cs="Arial"/>
          <w:i/>
          <w:iCs/>
          <w:szCs w:val="22"/>
        </w:rPr>
        <w:t xml:space="preserve"> change within Tesco’s logistics operations.</w:t>
      </w:r>
      <w:r w:rsidRPr="00C4513D">
        <w:rPr>
          <w:rFonts w:ascii="Arial" w:hAnsi="Arial" w:cs="Arial"/>
          <w:szCs w:val="22"/>
        </w:rPr>
        <w:br/>
      </w:r>
      <w:r w:rsidRPr="00C4513D">
        <w:rPr>
          <w:rFonts w:ascii="Arial" w:hAnsi="Arial" w:cs="Arial"/>
          <w:szCs w:val="22"/>
        </w:rPr>
        <w:br/>
        <w:t xml:space="preserve">Theoretically, scholars such as Hiatt (2006) and Schein (2010) argue that leadership, culture, and communication determine whether change is embraced or resisted. Frameworks like the ADKAR model </w:t>
      </w:r>
      <w:proofErr w:type="spellStart"/>
      <w:r w:rsidRPr="00C4513D">
        <w:rPr>
          <w:rFonts w:ascii="Arial" w:hAnsi="Arial" w:cs="Arial"/>
          <w:szCs w:val="22"/>
        </w:rPr>
        <w:t>emphasise</w:t>
      </w:r>
      <w:proofErr w:type="spellEnd"/>
      <w:r w:rsidRPr="00C4513D">
        <w:rPr>
          <w:rFonts w:ascii="Arial" w:hAnsi="Arial" w:cs="Arial"/>
          <w:szCs w:val="22"/>
        </w:rPr>
        <w:t xml:space="preserve"> awareness, knowledge, ability, and reinforcement as core stages of individual change readiness. Leadership theories</w:t>
      </w:r>
      <w:r w:rsidR="00DC13C1">
        <w:rPr>
          <w:rFonts w:ascii="Arial" w:hAnsi="Arial" w:cs="Arial"/>
          <w:szCs w:val="22"/>
        </w:rPr>
        <w:t>,</w:t>
      </w:r>
      <w:r w:rsidRPr="00C4513D">
        <w:rPr>
          <w:rFonts w:ascii="Arial" w:hAnsi="Arial" w:cs="Arial"/>
          <w:szCs w:val="22"/>
        </w:rPr>
        <w:t xml:space="preserve"> particularly transformational leadership (Northouse, 2022) also stress the importance of vision, trust, and psychological safety.</w:t>
      </w:r>
      <w:r w:rsidRPr="00C4513D">
        <w:rPr>
          <w:rFonts w:ascii="Arial" w:hAnsi="Arial" w:cs="Arial"/>
          <w:szCs w:val="22"/>
        </w:rPr>
        <w:br/>
      </w:r>
      <w:r w:rsidRPr="00C4513D">
        <w:rPr>
          <w:rFonts w:ascii="Arial" w:hAnsi="Arial" w:cs="Arial"/>
          <w:szCs w:val="22"/>
        </w:rPr>
        <w:br/>
      </w:r>
      <w:r w:rsidRPr="0075748E">
        <w:rPr>
          <w:rFonts w:ascii="Arial" w:hAnsi="Arial" w:cs="Arial"/>
          <w:szCs w:val="22"/>
        </w:rPr>
        <w:t xml:space="preserve">In contrast, evidence from logistics operations suggests that success often depends on more practical elements: availability of resources, level of automation support, and local management consistency (CIPD, 2023; Deloitte, 2023). For example, while corporate strategies may promote empowerment and learning, the reality in distribution </w:t>
      </w:r>
      <w:proofErr w:type="spellStart"/>
      <w:r w:rsidRPr="0075748E">
        <w:rPr>
          <w:rFonts w:ascii="Arial" w:hAnsi="Arial" w:cs="Arial"/>
          <w:szCs w:val="22"/>
        </w:rPr>
        <w:t>centres</w:t>
      </w:r>
      <w:proofErr w:type="spellEnd"/>
      <w:r w:rsidRPr="0075748E">
        <w:rPr>
          <w:rFonts w:ascii="Arial" w:hAnsi="Arial" w:cs="Arial"/>
          <w:szCs w:val="22"/>
        </w:rPr>
        <w:t xml:space="preserve"> can involve information gaps, high workloads, or short-term focus on efficiency. </w:t>
      </w:r>
    </w:p>
    <w:p w:rsidR="007A396F" w:rsidRPr="00C4513D" w:rsidRDefault="007A396F" w:rsidP="004752B3">
      <w:pPr>
        <w:pStyle w:val="NormalWeb"/>
        <w:spacing w:line="360" w:lineRule="auto"/>
        <w:jc w:val="both"/>
        <w:rPr>
          <w:rFonts w:ascii="Arial" w:hAnsi="Arial" w:cs="Arial"/>
          <w:szCs w:val="22"/>
        </w:rPr>
      </w:pPr>
      <w:r w:rsidRPr="0075748E">
        <w:rPr>
          <w:rFonts w:ascii="Arial" w:hAnsi="Arial" w:cs="Arial"/>
          <w:szCs w:val="22"/>
        </w:rPr>
        <w:t>This objective critically assesses how both human factors (motivation, communication, leadership) and operational constraints (technology integration, process redesign, workforce reskilling) influence outcomes, highlighting mismatches between policy intentions and on-site</w:t>
      </w:r>
      <w:r w:rsidRPr="00C4513D">
        <w:rPr>
          <w:rFonts w:ascii="Arial" w:hAnsi="Arial" w:cs="Arial"/>
          <w:szCs w:val="22"/>
        </w:rPr>
        <w:t xml:space="preserve"> experiences.</w:t>
      </w:r>
    </w:p>
    <w:p w:rsidR="00C54B5A" w:rsidRPr="00C4513D" w:rsidRDefault="00C54B5A" w:rsidP="0075748E">
      <w:pPr>
        <w:pStyle w:val="NormalWeb"/>
        <w:spacing w:line="360" w:lineRule="auto"/>
        <w:rPr>
          <w:rFonts w:ascii="Arial" w:hAnsi="Arial" w:cs="Arial"/>
          <w:szCs w:val="22"/>
        </w:rPr>
      </w:pPr>
      <w:r w:rsidRPr="00C4513D">
        <w:rPr>
          <w:rFonts w:ascii="Arial" w:hAnsi="Arial" w:cs="Arial"/>
          <w:b/>
          <w:bCs/>
          <w:szCs w:val="22"/>
        </w:rPr>
        <w:t>Objective 3:</w:t>
      </w:r>
      <w:r w:rsidRPr="00C4513D">
        <w:rPr>
          <w:rFonts w:ascii="Arial" w:hAnsi="Arial" w:cs="Arial"/>
          <w:szCs w:val="22"/>
        </w:rPr>
        <w:t xml:space="preserve"> </w:t>
      </w:r>
      <w:r w:rsidRPr="00C4513D">
        <w:rPr>
          <w:rFonts w:ascii="Arial" w:hAnsi="Arial" w:cs="Arial"/>
          <w:i/>
          <w:iCs/>
          <w:szCs w:val="22"/>
        </w:rPr>
        <w:t xml:space="preserve">To examine the gaps and mismatches between planned </w:t>
      </w:r>
      <w:proofErr w:type="spellStart"/>
      <w:r w:rsidRPr="00C4513D">
        <w:rPr>
          <w:rFonts w:ascii="Arial" w:hAnsi="Arial" w:cs="Arial"/>
          <w:i/>
          <w:iCs/>
          <w:szCs w:val="22"/>
        </w:rPr>
        <w:t>organisational</w:t>
      </w:r>
      <w:proofErr w:type="spellEnd"/>
      <w:r w:rsidRPr="00C4513D">
        <w:rPr>
          <w:rFonts w:ascii="Arial" w:hAnsi="Arial" w:cs="Arial"/>
          <w:i/>
          <w:iCs/>
          <w:szCs w:val="22"/>
        </w:rPr>
        <w:t xml:space="preserve"> change and the actual outcomes experienced by employees and managers.</w:t>
      </w:r>
      <w:r w:rsidRPr="00C4513D">
        <w:rPr>
          <w:rFonts w:ascii="Arial" w:hAnsi="Arial" w:cs="Arial"/>
          <w:szCs w:val="22"/>
        </w:rPr>
        <w:br/>
      </w:r>
      <w:r w:rsidRPr="00C4513D">
        <w:rPr>
          <w:rFonts w:ascii="Arial" w:hAnsi="Arial" w:cs="Arial"/>
          <w:szCs w:val="22"/>
        </w:rPr>
        <w:br/>
        <w:t xml:space="preserve">Theoretically, </w:t>
      </w:r>
      <w:proofErr w:type="spellStart"/>
      <w:r w:rsidRPr="00C4513D">
        <w:rPr>
          <w:rFonts w:ascii="Arial" w:hAnsi="Arial" w:cs="Arial"/>
          <w:szCs w:val="22"/>
        </w:rPr>
        <w:t>organisational</w:t>
      </w:r>
      <w:proofErr w:type="spellEnd"/>
      <w:r w:rsidRPr="00C4513D">
        <w:rPr>
          <w:rFonts w:ascii="Arial" w:hAnsi="Arial" w:cs="Arial"/>
          <w:szCs w:val="22"/>
        </w:rPr>
        <w:t xml:space="preserve"> change is often presented as a rational and predictable process, where structured planning ensures smooth transition (Burnes and Cooke, 2013; Kotter and Schlesinger, 2008). However, real-world change in logistics rarely follows such predictability. Studies show that top-down change </w:t>
      </w:r>
      <w:proofErr w:type="spellStart"/>
      <w:r w:rsidRPr="00C4513D">
        <w:rPr>
          <w:rFonts w:ascii="Arial" w:hAnsi="Arial" w:cs="Arial"/>
          <w:szCs w:val="22"/>
        </w:rPr>
        <w:t>programmes</w:t>
      </w:r>
      <w:proofErr w:type="spellEnd"/>
      <w:r w:rsidRPr="00C4513D">
        <w:rPr>
          <w:rFonts w:ascii="Arial" w:hAnsi="Arial" w:cs="Arial"/>
          <w:szCs w:val="22"/>
        </w:rPr>
        <w:t xml:space="preserve"> often encounter unforeseen issues such as system failures, workforce resistance, or inconsistent leadership interpretation (By et al., 2016; </w:t>
      </w:r>
      <w:proofErr w:type="spellStart"/>
      <w:r w:rsidRPr="00C4513D">
        <w:rPr>
          <w:rFonts w:ascii="Arial" w:hAnsi="Arial" w:cs="Arial"/>
          <w:szCs w:val="22"/>
        </w:rPr>
        <w:t>Armenakis</w:t>
      </w:r>
      <w:proofErr w:type="spellEnd"/>
      <w:r w:rsidRPr="00C4513D">
        <w:rPr>
          <w:rFonts w:ascii="Arial" w:hAnsi="Arial" w:cs="Arial"/>
          <w:szCs w:val="22"/>
        </w:rPr>
        <w:t xml:space="preserve"> and Harris, 2009).</w:t>
      </w:r>
      <w:r w:rsidRPr="00C4513D">
        <w:rPr>
          <w:rFonts w:ascii="Arial" w:hAnsi="Arial" w:cs="Arial"/>
          <w:szCs w:val="22"/>
        </w:rPr>
        <w:br/>
      </w:r>
      <w:r w:rsidRPr="00C4513D">
        <w:rPr>
          <w:rFonts w:ascii="Arial" w:hAnsi="Arial" w:cs="Arial"/>
          <w:szCs w:val="22"/>
        </w:rPr>
        <w:br/>
        <w:t xml:space="preserve">In Tesco’s warehouses, these mismatches may appear as unclear communication about system updates, limited follow-up training, or uneven management support. While corporate </w:t>
      </w:r>
      <w:r w:rsidRPr="00C4513D">
        <w:rPr>
          <w:rFonts w:ascii="Arial" w:hAnsi="Arial" w:cs="Arial"/>
          <w:szCs w:val="22"/>
        </w:rPr>
        <w:lastRenderedPageBreak/>
        <w:t xml:space="preserve">objectives may aim for continuous improvement and innovation, employees may experience frustration, uncertainty, or fatigue from frequent change cycles. This objective therefore focuses on identifying these </w:t>
      </w:r>
      <w:r w:rsidRPr="0075748E">
        <w:rPr>
          <w:rFonts w:ascii="Arial" w:hAnsi="Arial" w:cs="Arial"/>
          <w:szCs w:val="22"/>
        </w:rPr>
        <w:t>discrepancies between planned and lived change</w:t>
      </w:r>
      <w:r w:rsidRPr="00C4513D">
        <w:rPr>
          <w:rFonts w:ascii="Arial" w:hAnsi="Arial" w:cs="Arial"/>
          <w:szCs w:val="22"/>
        </w:rPr>
        <w:t>, offering insight into what works, what doesn’t, and how Tesco can strengthen alignment between strategic planning and everyday practice</w:t>
      </w:r>
    </w:p>
    <w:p w:rsidR="00C54B5A" w:rsidRPr="00C4513D" w:rsidRDefault="00C54B5A" w:rsidP="0075748E">
      <w:pPr>
        <w:pStyle w:val="NormalWeb"/>
        <w:spacing w:line="360" w:lineRule="auto"/>
        <w:rPr>
          <w:rFonts w:ascii="Arial" w:hAnsi="Arial" w:cs="Arial"/>
          <w:szCs w:val="22"/>
        </w:rPr>
      </w:pPr>
      <w:r w:rsidRPr="00C4513D">
        <w:rPr>
          <w:rFonts w:ascii="Arial" w:hAnsi="Arial" w:cs="Arial"/>
          <w:szCs w:val="22"/>
        </w:rPr>
        <w:t xml:space="preserve">Together, these objectives integrate theoretical understanding with empirical observation. They aim to produce a realistic and critical account of how </w:t>
      </w:r>
      <w:proofErr w:type="spellStart"/>
      <w:r w:rsidRPr="00C4513D">
        <w:rPr>
          <w:rFonts w:ascii="Arial" w:hAnsi="Arial" w:cs="Arial"/>
          <w:szCs w:val="22"/>
        </w:rPr>
        <w:t>organisational</w:t>
      </w:r>
      <w:proofErr w:type="spellEnd"/>
      <w:r w:rsidRPr="00C4513D">
        <w:rPr>
          <w:rFonts w:ascii="Arial" w:hAnsi="Arial" w:cs="Arial"/>
          <w:szCs w:val="22"/>
        </w:rPr>
        <w:t xml:space="preserve"> change is </w:t>
      </w:r>
      <w:proofErr w:type="spellStart"/>
      <w:r w:rsidRPr="00C4513D">
        <w:rPr>
          <w:rFonts w:ascii="Arial" w:hAnsi="Arial" w:cs="Arial"/>
          <w:szCs w:val="22"/>
        </w:rPr>
        <w:t>conceptualised</w:t>
      </w:r>
      <w:proofErr w:type="spellEnd"/>
      <w:r w:rsidRPr="00C4513D">
        <w:rPr>
          <w:rFonts w:ascii="Arial" w:hAnsi="Arial" w:cs="Arial"/>
          <w:szCs w:val="22"/>
        </w:rPr>
        <w:t xml:space="preserve">, executed, and sustained within Tesco’s logistics network. By combining academic frameworks with evidence from practice, the research contributes to both </w:t>
      </w:r>
      <w:r w:rsidRPr="0075748E">
        <w:rPr>
          <w:rFonts w:ascii="Arial" w:hAnsi="Arial" w:cs="Arial"/>
          <w:szCs w:val="22"/>
        </w:rPr>
        <w:t>theoretical refinement and practical improvement</w:t>
      </w:r>
      <w:r w:rsidRPr="00C4513D">
        <w:rPr>
          <w:rFonts w:ascii="Arial" w:hAnsi="Arial" w:cs="Arial"/>
          <w:szCs w:val="22"/>
        </w:rPr>
        <w:t>, bridging the gap between “how change should happen” and “how change actually happens” in modern retail logistics.</w:t>
      </w:r>
    </w:p>
    <w:p w:rsidR="007A396F" w:rsidRPr="00C4513D" w:rsidRDefault="00C54B5A" w:rsidP="00C54B5A">
      <w:pPr>
        <w:pStyle w:val="NormalWeb"/>
        <w:rPr>
          <w:rFonts w:ascii="Arial" w:hAnsi="Arial" w:cs="Arial"/>
          <w:szCs w:val="22"/>
        </w:rPr>
      </w:pPr>
      <w:r w:rsidRPr="00C4513D">
        <w:rPr>
          <w:rFonts w:ascii="Arial" w:hAnsi="Arial" w:cs="Arial"/>
          <w:szCs w:val="22"/>
        </w:rPr>
        <w:t> </w:t>
      </w:r>
    </w:p>
    <w:p w:rsidR="007C2656" w:rsidRPr="00C4513D" w:rsidRDefault="007A396F" w:rsidP="0075748E">
      <w:pPr>
        <w:pStyle w:val="NormalWeb"/>
        <w:spacing w:line="360" w:lineRule="auto"/>
        <w:rPr>
          <w:rFonts w:ascii="Arial" w:hAnsi="Arial" w:cs="Arial"/>
          <w:szCs w:val="22"/>
        </w:rPr>
      </w:pPr>
      <w:r w:rsidRPr="00C4513D">
        <w:rPr>
          <w:rFonts w:ascii="Arial" w:hAnsi="Arial" w:cs="Arial"/>
          <w:szCs w:val="22"/>
        </w:rPr>
        <w:t> </w:t>
      </w:r>
      <w:r w:rsidR="000968BE" w:rsidRPr="00C4513D">
        <w:rPr>
          <w:rFonts w:ascii="Arial" w:hAnsi="Arial" w:cs="Arial"/>
          <w:szCs w:val="22"/>
        </w:rPr>
        <w:br/>
      </w:r>
      <w:r w:rsidR="000968BE" w:rsidRPr="00C4513D">
        <w:rPr>
          <w:rFonts w:ascii="Arial" w:hAnsi="Arial" w:cs="Arial"/>
          <w:szCs w:val="22"/>
        </w:rPr>
        <w:br/>
      </w:r>
      <w:bookmarkStart w:id="4" w:name="_Toc214295746"/>
      <w:r w:rsidR="000968BE" w:rsidRPr="0075748E">
        <w:rPr>
          <w:rStyle w:val="Heading2Char"/>
        </w:rPr>
        <w:t>1.</w:t>
      </w:r>
      <w:r w:rsidR="005912C4">
        <w:rPr>
          <w:rStyle w:val="Heading2Char"/>
        </w:rPr>
        <w:t>4</w:t>
      </w:r>
      <w:r w:rsidR="000968BE" w:rsidRPr="0075748E">
        <w:rPr>
          <w:rStyle w:val="Heading2Char"/>
        </w:rPr>
        <w:t xml:space="preserve"> Research </w:t>
      </w:r>
      <w:r w:rsidR="00F1551C">
        <w:rPr>
          <w:rStyle w:val="Heading2Char"/>
        </w:rPr>
        <w:t>q</w:t>
      </w:r>
      <w:r w:rsidR="000968BE" w:rsidRPr="0075748E">
        <w:rPr>
          <w:rStyle w:val="Heading2Char"/>
        </w:rPr>
        <w:t>uestions</w:t>
      </w:r>
      <w:bookmarkEnd w:id="4"/>
      <w:r w:rsidR="000968BE" w:rsidRPr="00C4513D">
        <w:rPr>
          <w:rFonts w:ascii="Arial" w:hAnsi="Arial" w:cs="Arial"/>
          <w:szCs w:val="22"/>
        </w:rPr>
        <w:br/>
      </w:r>
      <w:r w:rsidR="000968BE" w:rsidRPr="00C4513D">
        <w:rPr>
          <w:rFonts w:ascii="Arial" w:hAnsi="Arial" w:cs="Arial"/>
          <w:szCs w:val="22"/>
        </w:rPr>
        <w:br/>
      </w:r>
      <w:r w:rsidR="007C2656" w:rsidRPr="00C4513D">
        <w:rPr>
          <w:rFonts w:ascii="Arial" w:hAnsi="Arial" w:cs="Arial"/>
          <w:szCs w:val="22"/>
        </w:rPr>
        <w:t xml:space="preserve">Building on the research aim and objectives, the following questions have been designed to critically investigate how </w:t>
      </w:r>
      <w:proofErr w:type="spellStart"/>
      <w:r w:rsidR="007C2656" w:rsidRPr="00C4513D">
        <w:rPr>
          <w:rFonts w:ascii="Arial" w:hAnsi="Arial" w:cs="Arial"/>
          <w:szCs w:val="22"/>
        </w:rPr>
        <w:t>organisational</w:t>
      </w:r>
      <w:proofErr w:type="spellEnd"/>
      <w:r w:rsidR="007C2656" w:rsidRPr="00C4513D">
        <w:rPr>
          <w:rFonts w:ascii="Arial" w:hAnsi="Arial" w:cs="Arial"/>
          <w:szCs w:val="22"/>
        </w:rPr>
        <w:t xml:space="preserve"> change is managed and experienced within Tesco’s distribution network. The literature suggests that change in theory is often presented as a structured, predictable process (Lewin, 1951; Kotter, 1996), but in reality, implementation within large logistics environments is far more complex and uncertain (By, Hughes and Ford, 2016; Burnes, 2017). This section therefore contrasts the </w:t>
      </w:r>
      <w:proofErr w:type="spellStart"/>
      <w:r w:rsidR="007C2656" w:rsidRPr="003C405B">
        <w:rPr>
          <w:rFonts w:ascii="Arial" w:hAnsi="Arial" w:cs="Arial"/>
          <w:szCs w:val="22"/>
        </w:rPr>
        <w:t>idealised</w:t>
      </w:r>
      <w:proofErr w:type="spellEnd"/>
      <w:r w:rsidR="007C2656" w:rsidRPr="003C405B">
        <w:rPr>
          <w:rFonts w:ascii="Arial" w:hAnsi="Arial" w:cs="Arial"/>
          <w:szCs w:val="22"/>
        </w:rPr>
        <w:t xml:space="preserve"> theoretical expectations with real-life operational realities,</w:t>
      </w:r>
      <w:r w:rsidR="007C2656" w:rsidRPr="00C4513D">
        <w:rPr>
          <w:rFonts w:ascii="Arial" w:hAnsi="Arial" w:cs="Arial"/>
          <w:szCs w:val="22"/>
        </w:rPr>
        <w:t xml:space="preserve"> highlighting the gaps and challenges that emerge in practice.</w:t>
      </w:r>
    </w:p>
    <w:p w:rsidR="0075748E" w:rsidRDefault="007C2656" w:rsidP="0075748E">
      <w:pPr>
        <w:pStyle w:val="NormalWeb"/>
        <w:numPr>
          <w:ilvl w:val="0"/>
          <w:numId w:val="12"/>
        </w:numPr>
        <w:spacing w:line="360" w:lineRule="auto"/>
        <w:rPr>
          <w:rFonts w:ascii="Arial" w:hAnsi="Arial" w:cs="Arial"/>
          <w:b/>
          <w:bCs/>
          <w:szCs w:val="22"/>
        </w:rPr>
      </w:pPr>
      <w:r w:rsidRPr="00C4513D">
        <w:rPr>
          <w:rFonts w:ascii="Arial" w:hAnsi="Arial" w:cs="Arial"/>
          <w:b/>
          <w:bCs/>
          <w:szCs w:val="22"/>
        </w:rPr>
        <w:t xml:space="preserve">How is </w:t>
      </w:r>
      <w:proofErr w:type="spellStart"/>
      <w:r w:rsidRPr="00C4513D">
        <w:rPr>
          <w:rFonts w:ascii="Arial" w:hAnsi="Arial" w:cs="Arial"/>
          <w:b/>
          <w:bCs/>
          <w:szCs w:val="22"/>
        </w:rPr>
        <w:t>organisational</w:t>
      </w:r>
      <w:proofErr w:type="spellEnd"/>
      <w:r w:rsidRPr="00C4513D">
        <w:rPr>
          <w:rFonts w:ascii="Arial" w:hAnsi="Arial" w:cs="Arial"/>
          <w:b/>
          <w:bCs/>
          <w:szCs w:val="22"/>
        </w:rPr>
        <w:t xml:space="preserve"> change implemented in practice within Tesco’s distribution network, and how does this differ from theoretical expectations?</w:t>
      </w:r>
    </w:p>
    <w:p w:rsidR="007C2656" w:rsidRPr="00C4513D" w:rsidRDefault="007C2656" w:rsidP="0075748E">
      <w:pPr>
        <w:pStyle w:val="NormalWeb"/>
        <w:spacing w:line="360" w:lineRule="auto"/>
        <w:ind w:left="60"/>
        <w:rPr>
          <w:rFonts w:ascii="Arial" w:hAnsi="Arial" w:cs="Arial"/>
          <w:szCs w:val="22"/>
        </w:rPr>
      </w:pPr>
      <w:r w:rsidRPr="00C4513D">
        <w:rPr>
          <w:rFonts w:ascii="Arial" w:hAnsi="Arial" w:cs="Arial"/>
          <w:szCs w:val="22"/>
        </w:rPr>
        <w:br/>
        <w:t>Theoretically, structured change models such as Kotter’s (1996) Eight-Step Model and Lewin’s (1951) Three-Step Framework assume a clear, top-down process led by unified leadership and coherent communication. However, as observed in Tesco’s warehouses</w:t>
      </w:r>
      <w:r w:rsidR="007A2456">
        <w:rPr>
          <w:rFonts w:ascii="Arial" w:hAnsi="Arial" w:cs="Arial"/>
          <w:szCs w:val="22"/>
        </w:rPr>
        <w:t xml:space="preserve">, </w:t>
      </w:r>
      <w:r w:rsidRPr="00C4513D">
        <w:rPr>
          <w:rFonts w:ascii="Arial" w:hAnsi="Arial" w:cs="Arial"/>
          <w:szCs w:val="22"/>
        </w:rPr>
        <w:t>particularly at the Daventry Clothing Distribution Centre</w:t>
      </w:r>
      <w:r w:rsidR="007A2456">
        <w:rPr>
          <w:rFonts w:ascii="Arial" w:hAnsi="Arial" w:cs="Arial"/>
          <w:szCs w:val="22"/>
        </w:rPr>
        <w:t xml:space="preserve">, </w:t>
      </w:r>
      <w:r w:rsidRPr="00C4513D">
        <w:rPr>
          <w:rFonts w:ascii="Arial" w:hAnsi="Arial" w:cs="Arial"/>
          <w:szCs w:val="22"/>
        </w:rPr>
        <w:t xml:space="preserve">change often occurs in parallel with demanding operational targets, leaving limited time for phased “unfreezing” or cultural preparation (Tesco plc, 2024). This question critically examines how far Tesco’s real-world </w:t>
      </w:r>
      <w:r w:rsidRPr="00C4513D">
        <w:rPr>
          <w:rFonts w:ascii="Arial" w:hAnsi="Arial" w:cs="Arial"/>
          <w:szCs w:val="22"/>
        </w:rPr>
        <w:lastRenderedPageBreak/>
        <w:t>processes align with these models and to what extent adaptation, improvisation, or pragmatic decision-making shape the actual implementation of change.</w:t>
      </w:r>
    </w:p>
    <w:p w:rsidR="003C405B" w:rsidRDefault="007C2656" w:rsidP="003C405B">
      <w:pPr>
        <w:pStyle w:val="NormalWeb"/>
        <w:numPr>
          <w:ilvl w:val="0"/>
          <w:numId w:val="12"/>
        </w:numPr>
        <w:spacing w:line="360" w:lineRule="auto"/>
        <w:rPr>
          <w:rFonts w:ascii="Arial" w:hAnsi="Arial" w:cs="Arial"/>
          <w:b/>
          <w:bCs/>
          <w:szCs w:val="22"/>
        </w:rPr>
      </w:pPr>
      <w:r w:rsidRPr="00C4513D">
        <w:rPr>
          <w:rFonts w:ascii="Arial" w:hAnsi="Arial" w:cs="Arial"/>
          <w:b/>
          <w:bCs/>
          <w:szCs w:val="22"/>
        </w:rPr>
        <w:t>What are the key factors influencing the success or failure of change initiatives in Tesco’s logistics operations, and how do these compare to established theoretical assumptions?</w:t>
      </w:r>
    </w:p>
    <w:p w:rsidR="003C405B" w:rsidRDefault="007C2656" w:rsidP="003C405B">
      <w:pPr>
        <w:pStyle w:val="NormalWeb"/>
        <w:spacing w:line="360" w:lineRule="auto"/>
        <w:ind w:left="60"/>
        <w:rPr>
          <w:rFonts w:ascii="Arial" w:hAnsi="Arial" w:cs="Arial"/>
          <w:szCs w:val="22"/>
        </w:rPr>
      </w:pPr>
      <w:r w:rsidRPr="00C4513D">
        <w:rPr>
          <w:rFonts w:ascii="Arial" w:hAnsi="Arial" w:cs="Arial"/>
          <w:szCs w:val="22"/>
        </w:rPr>
        <w:br/>
        <w:t xml:space="preserve">According to Hiatt’s (2006) ADKAR model and Schein’s (2010) theories of </w:t>
      </w:r>
      <w:proofErr w:type="spellStart"/>
      <w:r w:rsidRPr="00C4513D">
        <w:rPr>
          <w:rFonts w:ascii="Arial" w:hAnsi="Arial" w:cs="Arial"/>
          <w:szCs w:val="22"/>
        </w:rPr>
        <w:t>organisational</w:t>
      </w:r>
      <w:proofErr w:type="spellEnd"/>
      <w:r w:rsidRPr="00C4513D">
        <w:rPr>
          <w:rFonts w:ascii="Arial" w:hAnsi="Arial" w:cs="Arial"/>
          <w:szCs w:val="22"/>
        </w:rPr>
        <w:t xml:space="preserve"> culture, successful change relies on awareness, engagement, and psychological readiness. Yet, real-life data from Tesco and industry reports (Accenture, 2022; CIPD, 2023) show that resource limitations, automation pressures, and inconsistent communication between corporate and site-level management can disrupt these ideal conditions. </w:t>
      </w:r>
    </w:p>
    <w:p w:rsidR="007C2656" w:rsidRPr="00C4513D" w:rsidRDefault="007C2656" w:rsidP="003C405B">
      <w:pPr>
        <w:pStyle w:val="NormalWeb"/>
        <w:spacing w:line="360" w:lineRule="auto"/>
        <w:ind w:left="60"/>
        <w:rPr>
          <w:rFonts w:ascii="Arial" w:hAnsi="Arial" w:cs="Arial"/>
          <w:szCs w:val="22"/>
        </w:rPr>
      </w:pPr>
      <w:r w:rsidRPr="00C4513D">
        <w:rPr>
          <w:rFonts w:ascii="Arial" w:hAnsi="Arial" w:cs="Arial"/>
          <w:szCs w:val="22"/>
        </w:rPr>
        <w:t>By exploring leadership effectiveness, workforce adaptability, and operational pressures, this question critically assesses whether human or structural factors are most decisive in shaping successful outcomes.</w:t>
      </w:r>
    </w:p>
    <w:p w:rsidR="003C405B" w:rsidRDefault="007C2656" w:rsidP="003C405B">
      <w:pPr>
        <w:pStyle w:val="NormalWeb"/>
        <w:numPr>
          <w:ilvl w:val="0"/>
          <w:numId w:val="12"/>
        </w:numPr>
        <w:spacing w:line="360" w:lineRule="auto"/>
        <w:rPr>
          <w:rFonts w:ascii="Arial" w:hAnsi="Arial" w:cs="Arial"/>
          <w:b/>
          <w:bCs/>
          <w:szCs w:val="22"/>
        </w:rPr>
      </w:pPr>
      <w:r w:rsidRPr="00C4513D">
        <w:rPr>
          <w:rFonts w:ascii="Arial" w:hAnsi="Arial" w:cs="Arial"/>
          <w:b/>
          <w:bCs/>
          <w:szCs w:val="22"/>
        </w:rPr>
        <w:t>What gaps exist between planned change objectives and the actual outcomes experienced by employees and managers within Tesco’s distribution warehouses?</w:t>
      </w:r>
    </w:p>
    <w:p w:rsidR="003C405B" w:rsidRDefault="007C2656" w:rsidP="003C405B">
      <w:pPr>
        <w:pStyle w:val="NormalWeb"/>
        <w:spacing w:line="360" w:lineRule="auto"/>
        <w:ind w:left="60"/>
        <w:rPr>
          <w:rFonts w:ascii="Arial" w:hAnsi="Arial" w:cs="Arial"/>
          <w:szCs w:val="22"/>
        </w:rPr>
      </w:pPr>
      <w:r w:rsidRPr="00C4513D">
        <w:rPr>
          <w:rFonts w:ascii="Arial" w:hAnsi="Arial" w:cs="Arial"/>
          <w:szCs w:val="22"/>
        </w:rPr>
        <w:br/>
        <w:t xml:space="preserve">Theoretically, change </w:t>
      </w:r>
      <w:r w:rsidR="00FB6E6F" w:rsidRPr="00C4513D">
        <w:rPr>
          <w:rFonts w:ascii="Arial" w:hAnsi="Arial" w:cs="Arial"/>
          <w:szCs w:val="22"/>
        </w:rPr>
        <w:t>programs</w:t>
      </w:r>
      <w:r w:rsidRPr="00C4513D">
        <w:rPr>
          <w:rFonts w:ascii="Arial" w:hAnsi="Arial" w:cs="Arial"/>
          <w:szCs w:val="22"/>
        </w:rPr>
        <w:t xml:space="preserve"> are designed to achieve clear, measurable improvements (Burnes and Cooke, 2013; Kotter and Schlesinger, 2008). However, the findings from the literature review and corporate data indicate a consistent </w:t>
      </w:r>
      <w:r w:rsidRPr="00C4513D">
        <w:rPr>
          <w:rFonts w:ascii="Arial" w:hAnsi="Arial" w:cs="Arial"/>
          <w:b/>
          <w:bCs/>
          <w:szCs w:val="22"/>
        </w:rPr>
        <w:t>mismatch</w:t>
      </w:r>
      <w:r w:rsidRPr="00C4513D">
        <w:rPr>
          <w:rFonts w:ascii="Arial" w:hAnsi="Arial" w:cs="Arial"/>
          <w:szCs w:val="22"/>
        </w:rPr>
        <w:t xml:space="preserve"> between what is planned and what happens in practice. </w:t>
      </w:r>
    </w:p>
    <w:p w:rsidR="007C2656" w:rsidRPr="00C4513D" w:rsidRDefault="007C2656" w:rsidP="003C405B">
      <w:pPr>
        <w:pStyle w:val="NormalWeb"/>
        <w:spacing w:line="360" w:lineRule="auto"/>
        <w:ind w:left="60"/>
        <w:rPr>
          <w:rFonts w:ascii="Arial" w:hAnsi="Arial" w:cs="Arial"/>
          <w:szCs w:val="22"/>
        </w:rPr>
      </w:pPr>
      <w:r w:rsidRPr="00C4513D">
        <w:rPr>
          <w:rFonts w:ascii="Arial" w:hAnsi="Arial" w:cs="Arial"/>
          <w:szCs w:val="22"/>
        </w:rPr>
        <w:t>For instance, training and communication strategies may appear comprehensive in design, but employees frequently report confusion, system errors, or uneven management support during transitions (McKinsey &amp; Company, 2021; Tesco plc, 2024). This question explores those disparities, evaluating whether they stem from cultural resistance, leadership gaps, or systemic constraints.</w:t>
      </w:r>
    </w:p>
    <w:p w:rsidR="003C405B" w:rsidRDefault="007C2656" w:rsidP="003C405B">
      <w:pPr>
        <w:pStyle w:val="NormalWeb"/>
        <w:numPr>
          <w:ilvl w:val="0"/>
          <w:numId w:val="12"/>
        </w:numPr>
        <w:spacing w:line="360" w:lineRule="auto"/>
        <w:rPr>
          <w:rFonts w:ascii="Arial" w:hAnsi="Arial" w:cs="Arial"/>
          <w:b/>
          <w:bCs/>
          <w:szCs w:val="22"/>
        </w:rPr>
      </w:pPr>
      <w:r w:rsidRPr="00C4513D">
        <w:rPr>
          <w:rFonts w:ascii="Arial" w:hAnsi="Arial" w:cs="Arial"/>
          <w:b/>
          <w:bCs/>
          <w:szCs w:val="22"/>
        </w:rPr>
        <w:t xml:space="preserve">How do Tesco’s change management practices align with or diverge from established theoretical models of </w:t>
      </w:r>
      <w:proofErr w:type="spellStart"/>
      <w:r w:rsidRPr="00C4513D">
        <w:rPr>
          <w:rFonts w:ascii="Arial" w:hAnsi="Arial" w:cs="Arial"/>
          <w:b/>
          <w:bCs/>
          <w:szCs w:val="22"/>
        </w:rPr>
        <w:t>organisational</w:t>
      </w:r>
      <w:proofErr w:type="spellEnd"/>
      <w:r w:rsidRPr="00C4513D">
        <w:rPr>
          <w:rFonts w:ascii="Arial" w:hAnsi="Arial" w:cs="Arial"/>
          <w:b/>
          <w:bCs/>
          <w:szCs w:val="22"/>
        </w:rPr>
        <w:t xml:space="preserve"> change?</w:t>
      </w:r>
    </w:p>
    <w:p w:rsidR="00B31EE2" w:rsidRDefault="007C2656" w:rsidP="004752B3">
      <w:pPr>
        <w:pStyle w:val="NormalWeb"/>
        <w:spacing w:line="360" w:lineRule="auto"/>
        <w:ind w:left="60"/>
        <w:jc w:val="both"/>
        <w:rPr>
          <w:rFonts w:ascii="Arial" w:hAnsi="Arial" w:cs="Arial"/>
          <w:szCs w:val="22"/>
        </w:rPr>
      </w:pPr>
      <w:r w:rsidRPr="003C405B">
        <w:rPr>
          <w:rFonts w:ascii="Arial" w:hAnsi="Arial" w:cs="Arial"/>
          <w:szCs w:val="22"/>
        </w:rPr>
        <w:br/>
        <w:t xml:space="preserve">While theory advocates structured, sequential change processes (Lewin, 1951; Kotter, </w:t>
      </w:r>
      <w:r w:rsidRPr="003C405B">
        <w:rPr>
          <w:rFonts w:ascii="Arial" w:hAnsi="Arial" w:cs="Arial"/>
          <w:szCs w:val="22"/>
        </w:rPr>
        <w:lastRenderedPageBreak/>
        <w:t>1996), evidence from Tesco’s ongoing transformation</w:t>
      </w:r>
      <w:r w:rsidR="00B31EE2">
        <w:rPr>
          <w:rFonts w:ascii="Arial" w:hAnsi="Arial" w:cs="Arial"/>
          <w:szCs w:val="22"/>
        </w:rPr>
        <w:t xml:space="preserve">, </w:t>
      </w:r>
      <w:r w:rsidRPr="003C405B">
        <w:rPr>
          <w:rFonts w:ascii="Arial" w:hAnsi="Arial" w:cs="Arial"/>
          <w:szCs w:val="22"/>
        </w:rPr>
        <w:t xml:space="preserve">particularly its automation and </w:t>
      </w:r>
      <w:proofErr w:type="spellStart"/>
      <w:r w:rsidRPr="003C405B">
        <w:rPr>
          <w:rFonts w:ascii="Arial" w:hAnsi="Arial" w:cs="Arial"/>
          <w:szCs w:val="22"/>
        </w:rPr>
        <w:t>digitalisation</w:t>
      </w:r>
      <w:proofErr w:type="spellEnd"/>
      <w:r w:rsidRPr="003C405B">
        <w:rPr>
          <w:rFonts w:ascii="Arial" w:hAnsi="Arial" w:cs="Arial"/>
          <w:szCs w:val="22"/>
        </w:rPr>
        <w:t xml:space="preserve"> projects</w:t>
      </w:r>
      <w:r w:rsidR="00B31EE2">
        <w:rPr>
          <w:rFonts w:ascii="Arial" w:hAnsi="Arial" w:cs="Arial"/>
          <w:szCs w:val="22"/>
        </w:rPr>
        <w:t xml:space="preserve">, </w:t>
      </w:r>
      <w:r w:rsidRPr="003C405B">
        <w:rPr>
          <w:rFonts w:ascii="Arial" w:hAnsi="Arial" w:cs="Arial"/>
          <w:szCs w:val="22"/>
        </w:rPr>
        <w:t xml:space="preserve">suggests that change is now continuous and iterative (By et al., 2016; Deloitte, 2023). This question critically examines whether Tesco follows a traditional model or has evolved towards a hybrid, adaptive approach. </w:t>
      </w:r>
    </w:p>
    <w:p w:rsidR="007C2656" w:rsidRPr="003C405B" w:rsidRDefault="007C2656" w:rsidP="004752B3">
      <w:pPr>
        <w:pStyle w:val="NormalWeb"/>
        <w:spacing w:line="360" w:lineRule="auto"/>
        <w:ind w:left="60"/>
        <w:jc w:val="both"/>
        <w:rPr>
          <w:rFonts w:ascii="Arial" w:hAnsi="Arial" w:cs="Arial"/>
          <w:szCs w:val="22"/>
        </w:rPr>
      </w:pPr>
      <w:r w:rsidRPr="003C405B">
        <w:rPr>
          <w:rFonts w:ascii="Arial" w:hAnsi="Arial" w:cs="Arial"/>
          <w:szCs w:val="22"/>
        </w:rPr>
        <w:t>From my perspective as a Stock and Systems Manager at Tesco Daventry Clothing, this is particularly relevant: operational change often requires flexibility and quick decision-making that formal frameworks do not always accommodate.</w:t>
      </w:r>
    </w:p>
    <w:p w:rsidR="00B31EE2" w:rsidRDefault="007C2656" w:rsidP="00B31EE2">
      <w:pPr>
        <w:pStyle w:val="NormalWeb"/>
        <w:numPr>
          <w:ilvl w:val="0"/>
          <w:numId w:val="12"/>
        </w:numPr>
        <w:spacing w:line="360" w:lineRule="auto"/>
        <w:rPr>
          <w:rFonts w:ascii="Arial" w:hAnsi="Arial" w:cs="Arial"/>
          <w:b/>
          <w:bCs/>
          <w:szCs w:val="22"/>
        </w:rPr>
      </w:pPr>
      <w:r w:rsidRPr="00C4513D">
        <w:rPr>
          <w:rFonts w:ascii="Arial" w:hAnsi="Arial" w:cs="Arial"/>
          <w:b/>
          <w:bCs/>
          <w:szCs w:val="22"/>
        </w:rPr>
        <w:t xml:space="preserve">What lessons can be drawn from Tesco’s experience to improve future </w:t>
      </w:r>
      <w:proofErr w:type="spellStart"/>
      <w:r w:rsidRPr="00C4513D">
        <w:rPr>
          <w:rFonts w:ascii="Arial" w:hAnsi="Arial" w:cs="Arial"/>
          <w:b/>
          <w:bCs/>
          <w:szCs w:val="22"/>
        </w:rPr>
        <w:t>organisational</w:t>
      </w:r>
      <w:proofErr w:type="spellEnd"/>
      <w:r w:rsidRPr="00C4513D">
        <w:rPr>
          <w:rFonts w:ascii="Arial" w:hAnsi="Arial" w:cs="Arial"/>
          <w:b/>
          <w:bCs/>
          <w:szCs w:val="22"/>
        </w:rPr>
        <w:t xml:space="preserve"> change initiatives across the retail logistics sector?</w:t>
      </w:r>
    </w:p>
    <w:p w:rsidR="007C2656" w:rsidRPr="00C4513D" w:rsidRDefault="007C2656" w:rsidP="00B31EE2">
      <w:pPr>
        <w:pStyle w:val="NormalWeb"/>
        <w:spacing w:line="360" w:lineRule="auto"/>
        <w:ind w:left="60"/>
        <w:rPr>
          <w:rFonts w:ascii="Arial" w:hAnsi="Arial" w:cs="Arial"/>
          <w:szCs w:val="22"/>
        </w:rPr>
      </w:pPr>
      <w:r w:rsidRPr="00C4513D">
        <w:rPr>
          <w:rFonts w:ascii="Arial" w:hAnsi="Arial" w:cs="Arial"/>
          <w:szCs w:val="22"/>
        </w:rPr>
        <w:br/>
        <w:t>The final question integrates both theoretical insight and practical evidence to identify transferable lessons. While theory promotes leadership, engagement, and structured communication as success factors (</w:t>
      </w:r>
      <w:proofErr w:type="spellStart"/>
      <w:r w:rsidRPr="00C4513D">
        <w:rPr>
          <w:rFonts w:ascii="Arial" w:hAnsi="Arial" w:cs="Arial"/>
          <w:szCs w:val="22"/>
        </w:rPr>
        <w:t>Armenakis</w:t>
      </w:r>
      <w:proofErr w:type="spellEnd"/>
      <w:r w:rsidRPr="00C4513D">
        <w:rPr>
          <w:rFonts w:ascii="Arial" w:hAnsi="Arial" w:cs="Arial"/>
          <w:szCs w:val="22"/>
        </w:rPr>
        <w:t xml:space="preserve"> and Harris, 2009; Northouse, 2022), Tesco’s real-world case demonstrates that sustaining change also depends on balancing efficiency goals with workforce well-being and training investment (CIPD, 2023; Tesco plc, 2024). This question aims to generate actionable recommendations that bridge the gap between academic understanding and operational practice.</w:t>
      </w:r>
    </w:p>
    <w:p w:rsidR="007B58E1" w:rsidRDefault="007C2656" w:rsidP="0075748E">
      <w:pPr>
        <w:pStyle w:val="NormalWeb"/>
        <w:spacing w:line="360" w:lineRule="auto"/>
        <w:rPr>
          <w:rFonts w:ascii="Arial" w:hAnsi="Arial" w:cs="Arial"/>
          <w:szCs w:val="22"/>
        </w:rPr>
      </w:pPr>
      <w:r w:rsidRPr="00C4513D">
        <w:rPr>
          <w:rFonts w:ascii="Arial" w:hAnsi="Arial" w:cs="Arial"/>
          <w:szCs w:val="22"/>
        </w:rPr>
        <w:t xml:space="preserve">Overall, these research questions are deliberately </w:t>
      </w:r>
      <w:r w:rsidRPr="00B31EE2">
        <w:rPr>
          <w:rFonts w:ascii="Arial" w:hAnsi="Arial" w:cs="Arial"/>
          <w:szCs w:val="22"/>
        </w:rPr>
        <w:t>dual-focused</w:t>
      </w:r>
      <w:r w:rsidRPr="00C4513D">
        <w:rPr>
          <w:rFonts w:ascii="Arial" w:hAnsi="Arial" w:cs="Arial"/>
          <w:szCs w:val="22"/>
        </w:rPr>
        <w:t xml:space="preserve"> </w:t>
      </w:r>
      <w:r w:rsidR="007B58E1">
        <w:rPr>
          <w:rFonts w:ascii="Arial" w:hAnsi="Arial" w:cs="Arial"/>
          <w:szCs w:val="22"/>
        </w:rPr>
        <w:t>and</w:t>
      </w:r>
      <w:r w:rsidRPr="00C4513D">
        <w:rPr>
          <w:rFonts w:ascii="Arial" w:hAnsi="Arial" w:cs="Arial"/>
          <w:szCs w:val="22"/>
        </w:rPr>
        <w:t xml:space="preserve"> they draw on academic theory to structure analysis, but remain grounded in the operational reality of Tesco’s logistics network. They challenge the assumption that change can be fully controlled or linear, instead </w:t>
      </w:r>
      <w:proofErr w:type="spellStart"/>
      <w:r w:rsidRPr="00C4513D">
        <w:rPr>
          <w:rFonts w:ascii="Arial" w:hAnsi="Arial" w:cs="Arial"/>
          <w:szCs w:val="22"/>
        </w:rPr>
        <w:t>recognising</w:t>
      </w:r>
      <w:proofErr w:type="spellEnd"/>
      <w:r w:rsidRPr="00C4513D">
        <w:rPr>
          <w:rFonts w:ascii="Arial" w:hAnsi="Arial" w:cs="Arial"/>
          <w:szCs w:val="22"/>
        </w:rPr>
        <w:t xml:space="preserve"> that in large-scale environments such as Daventry, Goole, or Livingston distribution </w:t>
      </w:r>
      <w:proofErr w:type="spellStart"/>
      <w:r w:rsidRPr="00C4513D">
        <w:rPr>
          <w:rFonts w:ascii="Arial" w:hAnsi="Arial" w:cs="Arial"/>
          <w:szCs w:val="22"/>
        </w:rPr>
        <w:t>centres</w:t>
      </w:r>
      <w:proofErr w:type="spellEnd"/>
      <w:r w:rsidRPr="00C4513D">
        <w:rPr>
          <w:rFonts w:ascii="Arial" w:hAnsi="Arial" w:cs="Arial"/>
          <w:szCs w:val="22"/>
        </w:rPr>
        <w:t xml:space="preserve">, change is often shaped by practical constraints, resource trade-offs, and human adaptability. </w:t>
      </w:r>
    </w:p>
    <w:p w:rsidR="007C2656" w:rsidRPr="00C4513D" w:rsidRDefault="007C2656" w:rsidP="0075748E">
      <w:pPr>
        <w:pStyle w:val="NormalWeb"/>
        <w:spacing w:line="360" w:lineRule="auto"/>
        <w:rPr>
          <w:rFonts w:ascii="Arial" w:hAnsi="Arial" w:cs="Arial"/>
          <w:szCs w:val="22"/>
        </w:rPr>
      </w:pPr>
      <w:r w:rsidRPr="00C4513D">
        <w:rPr>
          <w:rFonts w:ascii="Arial" w:hAnsi="Arial" w:cs="Arial"/>
          <w:szCs w:val="22"/>
        </w:rPr>
        <w:t>This critical lens ensures that the dissertation not only contributes to theoretical knowledge but also delivers insight relevant to practitioners managing change in dynamic logistics settings.</w:t>
      </w:r>
    </w:p>
    <w:p w:rsidR="00635AA1" w:rsidRDefault="007C2656" w:rsidP="0075748E">
      <w:pPr>
        <w:pStyle w:val="NormalWeb"/>
        <w:spacing w:line="360" w:lineRule="auto"/>
        <w:rPr>
          <w:rFonts w:ascii="Arial" w:hAnsi="Arial" w:cs="Arial"/>
          <w:szCs w:val="22"/>
        </w:rPr>
      </w:pPr>
      <w:r w:rsidRPr="00C4513D">
        <w:rPr>
          <w:rFonts w:ascii="Arial" w:hAnsi="Arial" w:cs="Arial"/>
          <w:szCs w:val="22"/>
        </w:rPr>
        <w:t> </w:t>
      </w:r>
      <w:r w:rsidR="000968BE" w:rsidRPr="00C4513D">
        <w:rPr>
          <w:rFonts w:ascii="Arial" w:hAnsi="Arial" w:cs="Arial"/>
          <w:szCs w:val="22"/>
        </w:rPr>
        <w:br/>
      </w:r>
      <w:r w:rsidR="000968BE" w:rsidRPr="00C4513D">
        <w:rPr>
          <w:rFonts w:ascii="Arial" w:hAnsi="Arial" w:cs="Arial"/>
          <w:szCs w:val="22"/>
        </w:rPr>
        <w:br/>
      </w:r>
      <w:r w:rsidR="000968BE" w:rsidRPr="00C4513D">
        <w:rPr>
          <w:rFonts w:ascii="Arial" w:hAnsi="Arial" w:cs="Arial"/>
          <w:szCs w:val="22"/>
        </w:rPr>
        <w:br/>
      </w:r>
      <w:bookmarkStart w:id="5" w:name="_Toc214295747"/>
      <w:r w:rsidR="000968BE" w:rsidRPr="007B58E1">
        <w:rPr>
          <w:rStyle w:val="Heading2Char"/>
        </w:rPr>
        <w:t>1.</w:t>
      </w:r>
      <w:r w:rsidR="005912C4">
        <w:rPr>
          <w:rStyle w:val="Heading2Char"/>
        </w:rPr>
        <w:t>5</w:t>
      </w:r>
      <w:r w:rsidR="000968BE" w:rsidRPr="007B58E1">
        <w:rPr>
          <w:rStyle w:val="Heading2Char"/>
        </w:rPr>
        <w:t xml:space="preserve"> Chapter </w:t>
      </w:r>
      <w:r w:rsidR="00FB6E6F">
        <w:rPr>
          <w:rStyle w:val="Heading2Char"/>
        </w:rPr>
        <w:t>s</w:t>
      </w:r>
      <w:r w:rsidR="000968BE" w:rsidRPr="007B58E1">
        <w:rPr>
          <w:rStyle w:val="Heading2Char"/>
        </w:rPr>
        <w:t>ummary</w:t>
      </w:r>
      <w:bookmarkEnd w:id="5"/>
      <w:r w:rsidR="000968BE" w:rsidRPr="00C4513D">
        <w:rPr>
          <w:rFonts w:ascii="Arial" w:hAnsi="Arial" w:cs="Arial"/>
          <w:szCs w:val="22"/>
        </w:rPr>
        <w:br/>
      </w:r>
      <w:r w:rsidR="000968BE" w:rsidRPr="00C4513D">
        <w:rPr>
          <w:rFonts w:ascii="Arial" w:hAnsi="Arial" w:cs="Arial"/>
          <w:szCs w:val="22"/>
        </w:rPr>
        <w:br/>
      </w:r>
      <w:r w:rsidRPr="00C4513D">
        <w:rPr>
          <w:rFonts w:ascii="Arial" w:hAnsi="Arial" w:cs="Arial"/>
          <w:szCs w:val="22"/>
        </w:rPr>
        <w:t xml:space="preserve">Chapter 1 has introduced the context, purpose, and direction of this dissertation, providing a </w:t>
      </w:r>
      <w:r w:rsidRPr="00C4513D">
        <w:rPr>
          <w:rFonts w:ascii="Arial" w:hAnsi="Arial" w:cs="Arial"/>
          <w:szCs w:val="22"/>
        </w:rPr>
        <w:lastRenderedPageBreak/>
        <w:t xml:space="preserve">foundation for examining how </w:t>
      </w:r>
      <w:proofErr w:type="spellStart"/>
      <w:r w:rsidRPr="00C4513D">
        <w:rPr>
          <w:rFonts w:ascii="Arial" w:hAnsi="Arial" w:cs="Arial"/>
          <w:szCs w:val="22"/>
        </w:rPr>
        <w:t>organisational</w:t>
      </w:r>
      <w:proofErr w:type="spellEnd"/>
      <w:r w:rsidRPr="00C4513D">
        <w:rPr>
          <w:rFonts w:ascii="Arial" w:hAnsi="Arial" w:cs="Arial"/>
          <w:szCs w:val="22"/>
        </w:rPr>
        <w:t xml:space="preserve"> change is managed within Tesco’s UK distribution warehouses. It began by outlining the increasing importance of effective change management in retail logistics, where efficiency, technology, and workforce adaptability are key determinants of competitive advantage. The background section highlighted Tesco’s position as the UK’s largest retailer, </w:t>
      </w:r>
      <w:proofErr w:type="spellStart"/>
      <w:r w:rsidRPr="00C4513D">
        <w:rPr>
          <w:rFonts w:ascii="Arial" w:hAnsi="Arial" w:cs="Arial"/>
          <w:szCs w:val="22"/>
        </w:rPr>
        <w:t>emphasising</w:t>
      </w:r>
      <w:proofErr w:type="spellEnd"/>
      <w:r w:rsidRPr="00C4513D">
        <w:rPr>
          <w:rFonts w:ascii="Arial" w:hAnsi="Arial" w:cs="Arial"/>
          <w:szCs w:val="22"/>
        </w:rPr>
        <w:t xml:space="preserve"> how factors such as automation, e-commerce growth, Brexit, and the COVID-19 pandemic have compelled the </w:t>
      </w:r>
      <w:proofErr w:type="spellStart"/>
      <w:r w:rsidRPr="00C4513D">
        <w:rPr>
          <w:rFonts w:ascii="Arial" w:hAnsi="Arial" w:cs="Arial"/>
          <w:szCs w:val="22"/>
        </w:rPr>
        <w:t>organisation</w:t>
      </w:r>
      <w:proofErr w:type="spellEnd"/>
      <w:r w:rsidRPr="00C4513D">
        <w:rPr>
          <w:rFonts w:ascii="Arial" w:hAnsi="Arial" w:cs="Arial"/>
          <w:szCs w:val="22"/>
        </w:rPr>
        <w:t xml:space="preserve"> to undertake continuous transformation across its supply chain.</w:t>
      </w:r>
      <w:r w:rsidRPr="00C4513D">
        <w:rPr>
          <w:rFonts w:ascii="Arial" w:hAnsi="Arial" w:cs="Arial"/>
          <w:szCs w:val="22"/>
        </w:rPr>
        <w:br/>
      </w:r>
      <w:r w:rsidRPr="00C4513D">
        <w:rPr>
          <w:rFonts w:ascii="Arial" w:hAnsi="Arial" w:cs="Arial"/>
          <w:szCs w:val="22"/>
        </w:rPr>
        <w:br/>
        <w:t xml:space="preserve">The chapter then established </w:t>
      </w:r>
      <w:r w:rsidRPr="007B58E1">
        <w:rPr>
          <w:rFonts w:ascii="Arial" w:hAnsi="Arial" w:cs="Arial"/>
          <w:szCs w:val="22"/>
        </w:rPr>
        <w:t>the research aim</w:t>
      </w:r>
      <w:r w:rsidR="00635AA1">
        <w:rPr>
          <w:rFonts w:ascii="Arial" w:hAnsi="Arial" w:cs="Arial"/>
          <w:szCs w:val="22"/>
        </w:rPr>
        <w:t>,</w:t>
      </w:r>
      <w:r w:rsidRPr="00C4513D">
        <w:rPr>
          <w:rFonts w:ascii="Arial" w:hAnsi="Arial" w:cs="Arial"/>
          <w:szCs w:val="22"/>
        </w:rPr>
        <w:t xml:space="preserve"> to critically examine how </w:t>
      </w:r>
      <w:proofErr w:type="spellStart"/>
      <w:r w:rsidRPr="00C4513D">
        <w:rPr>
          <w:rFonts w:ascii="Arial" w:hAnsi="Arial" w:cs="Arial"/>
          <w:szCs w:val="22"/>
        </w:rPr>
        <w:t>organisational</w:t>
      </w:r>
      <w:proofErr w:type="spellEnd"/>
      <w:r w:rsidRPr="00C4513D">
        <w:rPr>
          <w:rFonts w:ascii="Arial" w:hAnsi="Arial" w:cs="Arial"/>
          <w:szCs w:val="22"/>
        </w:rPr>
        <w:t xml:space="preserve"> change is managed within Tesco’s distribution warehouses, focusing on leadership, communication, and the practical challenges of implementing change in complex operational environments.</w:t>
      </w:r>
      <w:r w:rsidRPr="00C4513D">
        <w:rPr>
          <w:rFonts w:ascii="Arial" w:hAnsi="Arial" w:cs="Arial"/>
          <w:szCs w:val="22"/>
        </w:rPr>
        <w:br/>
      </w:r>
      <w:r w:rsidRPr="00C4513D">
        <w:rPr>
          <w:rFonts w:ascii="Arial" w:hAnsi="Arial" w:cs="Arial"/>
          <w:szCs w:val="22"/>
        </w:rPr>
        <w:br/>
        <w:t xml:space="preserve">Three </w:t>
      </w:r>
      <w:r w:rsidRPr="00635AA1">
        <w:rPr>
          <w:rFonts w:ascii="Arial" w:hAnsi="Arial" w:cs="Arial"/>
          <w:szCs w:val="22"/>
        </w:rPr>
        <w:t>research objectives</w:t>
      </w:r>
      <w:r w:rsidRPr="00C4513D">
        <w:rPr>
          <w:rFonts w:ascii="Arial" w:hAnsi="Arial" w:cs="Arial"/>
          <w:szCs w:val="22"/>
        </w:rPr>
        <w:t xml:space="preserve"> were developed to bridge the gap between theory and practice. These objectives integrate classic change models (Lewin, 1951; Kotter, 1996; Hiatt, 2006) with real-world realities inside Tesco’s logistics network. They focus on </w:t>
      </w:r>
      <w:proofErr w:type="spellStart"/>
      <w:r w:rsidRPr="00C4513D">
        <w:rPr>
          <w:rFonts w:ascii="Arial" w:hAnsi="Arial" w:cs="Arial"/>
          <w:szCs w:val="22"/>
        </w:rPr>
        <w:t>analysing</w:t>
      </w:r>
      <w:proofErr w:type="spellEnd"/>
      <w:r w:rsidRPr="00C4513D">
        <w:rPr>
          <w:rFonts w:ascii="Arial" w:hAnsi="Arial" w:cs="Arial"/>
          <w:szCs w:val="22"/>
        </w:rPr>
        <w:t xml:space="preserve"> how change is actually implemented at site level, identifying the human and structural factors influencing its success, and examining the mismatches between planned strategic goals and the lived experiences of managers and employees. </w:t>
      </w:r>
    </w:p>
    <w:p w:rsidR="007C2656" w:rsidRPr="00C4513D" w:rsidRDefault="007C2656" w:rsidP="0075748E">
      <w:pPr>
        <w:pStyle w:val="NormalWeb"/>
        <w:spacing w:line="360" w:lineRule="auto"/>
        <w:rPr>
          <w:rFonts w:ascii="Arial" w:hAnsi="Arial" w:cs="Arial"/>
          <w:szCs w:val="22"/>
        </w:rPr>
      </w:pPr>
      <w:r w:rsidRPr="00C4513D">
        <w:rPr>
          <w:rFonts w:ascii="Arial" w:hAnsi="Arial" w:cs="Arial"/>
          <w:szCs w:val="22"/>
        </w:rPr>
        <w:t>This dual theoretical</w:t>
      </w:r>
      <w:r w:rsidR="00635AA1">
        <w:rPr>
          <w:rFonts w:ascii="Arial" w:hAnsi="Arial" w:cs="Arial"/>
          <w:szCs w:val="22"/>
        </w:rPr>
        <w:t>-</w:t>
      </w:r>
      <w:r w:rsidRPr="00C4513D">
        <w:rPr>
          <w:rFonts w:ascii="Arial" w:hAnsi="Arial" w:cs="Arial"/>
          <w:szCs w:val="22"/>
        </w:rPr>
        <w:t>practical perspective acknowledges that while change models provide useful frameworks, real implementation in warehouses like Daventry often diverges due to time pressures, resource constraints, and cultural complexity.</w:t>
      </w:r>
      <w:r w:rsidRPr="00C4513D">
        <w:rPr>
          <w:rFonts w:ascii="Arial" w:hAnsi="Arial" w:cs="Arial"/>
          <w:szCs w:val="22"/>
        </w:rPr>
        <w:br/>
      </w:r>
      <w:r w:rsidRPr="00C4513D">
        <w:rPr>
          <w:rFonts w:ascii="Arial" w:hAnsi="Arial" w:cs="Arial"/>
          <w:szCs w:val="22"/>
        </w:rPr>
        <w:br/>
        <w:t xml:space="preserve">The </w:t>
      </w:r>
      <w:r w:rsidRPr="00635AA1">
        <w:rPr>
          <w:rFonts w:ascii="Arial" w:hAnsi="Arial" w:cs="Arial"/>
          <w:szCs w:val="22"/>
        </w:rPr>
        <w:t>research questions</w:t>
      </w:r>
      <w:r w:rsidRPr="00C4513D">
        <w:rPr>
          <w:rFonts w:ascii="Arial" w:hAnsi="Arial" w:cs="Arial"/>
          <w:szCs w:val="22"/>
        </w:rPr>
        <w:t xml:space="preserve"> further refine the inquiry, contrasting academic expectations of structured, top-down change with the more fluid, adaptive processes observed in practice. They investigate how leadership, communication, technology, and workforce engagement interact during </w:t>
      </w:r>
      <w:proofErr w:type="spellStart"/>
      <w:r w:rsidRPr="00C4513D">
        <w:rPr>
          <w:rFonts w:ascii="Arial" w:hAnsi="Arial" w:cs="Arial"/>
          <w:szCs w:val="22"/>
        </w:rPr>
        <w:t>organisational</w:t>
      </w:r>
      <w:proofErr w:type="spellEnd"/>
      <w:r w:rsidRPr="00C4513D">
        <w:rPr>
          <w:rFonts w:ascii="Arial" w:hAnsi="Arial" w:cs="Arial"/>
          <w:szCs w:val="22"/>
        </w:rPr>
        <w:t xml:space="preserve"> transformation and what lessons can be drawn for the wider retail logistics sector.</w:t>
      </w:r>
      <w:r w:rsidRPr="00C4513D">
        <w:rPr>
          <w:rFonts w:ascii="Arial" w:hAnsi="Arial" w:cs="Arial"/>
          <w:szCs w:val="22"/>
        </w:rPr>
        <w:br/>
      </w:r>
      <w:r w:rsidRPr="00C4513D">
        <w:rPr>
          <w:rFonts w:ascii="Arial" w:hAnsi="Arial" w:cs="Arial"/>
          <w:szCs w:val="22"/>
        </w:rPr>
        <w:br/>
        <w:t>Overall, Chapter 1 establishes the academic rationale and practical relevance of the study. It positions the research within both scholarly debates and professional realities, setting the stage for the next chapter</w:t>
      </w:r>
      <w:r w:rsidR="002B19E8">
        <w:rPr>
          <w:rFonts w:ascii="Arial" w:hAnsi="Arial" w:cs="Arial"/>
          <w:szCs w:val="22"/>
        </w:rPr>
        <w:t>,</w:t>
      </w:r>
      <w:r w:rsidRPr="00C4513D">
        <w:rPr>
          <w:rFonts w:ascii="Arial" w:hAnsi="Arial" w:cs="Arial"/>
          <w:szCs w:val="22"/>
        </w:rPr>
        <w:t xml:space="preserve"> a critical literature review that will explore key theories, models, and empirical findings on </w:t>
      </w:r>
      <w:proofErr w:type="spellStart"/>
      <w:r w:rsidRPr="00C4513D">
        <w:rPr>
          <w:rFonts w:ascii="Arial" w:hAnsi="Arial" w:cs="Arial"/>
          <w:szCs w:val="22"/>
        </w:rPr>
        <w:t>organisational</w:t>
      </w:r>
      <w:proofErr w:type="spellEnd"/>
      <w:r w:rsidRPr="00C4513D">
        <w:rPr>
          <w:rFonts w:ascii="Arial" w:hAnsi="Arial" w:cs="Arial"/>
          <w:szCs w:val="22"/>
        </w:rPr>
        <w:t xml:space="preserve"> change and their applicability to Tesco’s retail logistics operations.</w:t>
      </w:r>
    </w:p>
    <w:p w:rsidR="001358D6" w:rsidRPr="00C4513D" w:rsidRDefault="007C2656" w:rsidP="0075748E">
      <w:pPr>
        <w:pStyle w:val="NormalWeb"/>
        <w:spacing w:line="360" w:lineRule="auto"/>
        <w:rPr>
          <w:rFonts w:ascii="Arial" w:hAnsi="Arial" w:cs="Arial"/>
          <w:szCs w:val="22"/>
        </w:rPr>
      </w:pPr>
      <w:r w:rsidRPr="00C4513D">
        <w:rPr>
          <w:rFonts w:ascii="Arial" w:hAnsi="Arial" w:cs="Arial"/>
          <w:szCs w:val="22"/>
        </w:rPr>
        <w:t> </w:t>
      </w:r>
    </w:p>
    <w:p w:rsidR="001358D6" w:rsidRPr="00FA5EA3" w:rsidRDefault="001358D6" w:rsidP="001358D6">
      <w:pPr>
        <w:pStyle w:val="NormalWeb"/>
        <w:spacing w:line="360" w:lineRule="auto"/>
        <w:rPr>
          <w:rFonts w:ascii="Arial" w:hAnsi="Arial" w:cs="Arial"/>
          <w:sz w:val="21"/>
          <w:szCs w:val="21"/>
        </w:rPr>
      </w:pPr>
    </w:p>
    <w:p w:rsidR="002B19E8" w:rsidRPr="0091624E" w:rsidRDefault="00EF6559" w:rsidP="001358D6">
      <w:pPr>
        <w:pStyle w:val="NormalWeb"/>
        <w:spacing w:line="360" w:lineRule="auto"/>
        <w:rPr>
          <w:rFonts w:ascii="Arial" w:hAnsi="Arial" w:cs="Arial"/>
          <w:szCs w:val="22"/>
        </w:rPr>
      </w:pPr>
      <w:bookmarkStart w:id="6" w:name="_Toc214295748"/>
      <w:r w:rsidRPr="002B19E8">
        <w:rPr>
          <w:rStyle w:val="Heading1Char"/>
          <w:szCs w:val="32"/>
        </w:rPr>
        <w:t xml:space="preserve">CHAPTER 2: </w:t>
      </w:r>
      <w:r w:rsidR="00FB6E6F">
        <w:rPr>
          <w:rStyle w:val="Heading1Char"/>
          <w:szCs w:val="32"/>
        </w:rPr>
        <w:t>Literature review</w:t>
      </w:r>
      <w:bookmarkEnd w:id="6"/>
      <w:r w:rsidRPr="002B19E8">
        <w:rPr>
          <w:rStyle w:val="Heading1Char"/>
          <w:szCs w:val="32"/>
        </w:rPr>
        <w:br/>
      </w:r>
      <w:r w:rsidRPr="00FA5EA3">
        <w:rPr>
          <w:rFonts w:ascii="Arial" w:hAnsi="Arial" w:cs="Arial"/>
          <w:sz w:val="21"/>
          <w:szCs w:val="21"/>
        </w:rPr>
        <w:br/>
      </w:r>
      <w:r w:rsidRPr="002B19E8">
        <w:rPr>
          <w:rStyle w:val="Heading2Char"/>
        </w:rPr>
        <w:t>2.1 Introduction</w:t>
      </w:r>
      <w:r w:rsidRPr="00FA5EA3">
        <w:rPr>
          <w:rFonts w:ascii="Arial" w:hAnsi="Arial" w:cs="Arial"/>
          <w:sz w:val="21"/>
          <w:szCs w:val="21"/>
        </w:rPr>
        <w:br/>
      </w:r>
      <w:r w:rsidRPr="00FA5EA3">
        <w:rPr>
          <w:rFonts w:ascii="Arial" w:hAnsi="Arial" w:cs="Arial"/>
          <w:sz w:val="21"/>
          <w:szCs w:val="21"/>
        </w:rPr>
        <w:br/>
      </w:r>
      <w:r w:rsidRPr="0091624E">
        <w:rPr>
          <w:rFonts w:ascii="Arial" w:hAnsi="Arial" w:cs="Arial"/>
          <w:szCs w:val="22"/>
        </w:rPr>
        <w:t xml:space="preserve">The purpose of this literature review is to critically evaluate the academic and professional debates surrounding the management of </w:t>
      </w:r>
      <w:proofErr w:type="spellStart"/>
      <w:r w:rsidRPr="0091624E">
        <w:rPr>
          <w:rFonts w:ascii="Arial" w:hAnsi="Arial" w:cs="Arial"/>
          <w:szCs w:val="22"/>
        </w:rPr>
        <w:t>organisational</w:t>
      </w:r>
      <w:proofErr w:type="spellEnd"/>
      <w:r w:rsidRPr="0091624E">
        <w:rPr>
          <w:rFonts w:ascii="Arial" w:hAnsi="Arial" w:cs="Arial"/>
          <w:szCs w:val="22"/>
        </w:rPr>
        <w:t xml:space="preserve"> change, with a specific focus on the retail logistics sector. </w:t>
      </w:r>
      <w:proofErr w:type="spellStart"/>
      <w:r w:rsidRPr="0091624E">
        <w:rPr>
          <w:rFonts w:ascii="Arial" w:hAnsi="Arial" w:cs="Arial"/>
          <w:szCs w:val="22"/>
        </w:rPr>
        <w:t>Organisational</w:t>
      </w:r>
      <w:proofErr w:type="spellEnd"/>
      <w:r w:rsidRPr="0091624E">
        <w:rPr>
          <w:rFonts w:ascii="Arial" w:hAnsi="Arial" w:cs="Arial"/>
          <w:szCs w:val="22"/>
        </w:rPr>
        <w:t xml:space="preserve"> change is a dynamic and complex process influenced by technological advancement, market pressures, and internal cultural factors (Burnes, 2017). </w:t>
      </w:r>
    </w:p>
    <w:p w:rsidR="004F6922" w:rsidRPr="0091624E" w:rsidRDefault="00EF6559" w:rsidP="004C0D5A">
      <w:pPr>
        <w:pStyle w:val="NormalWeb"/>
        <w:spacing w:line="360" w:lineRule="auto"/>
        <w:rPr>
          <w:rFonts w:ascii="Arial" w:hAnsi="Arial" w:cs="Arial"/>
          <w:szCs w:val="22"/>
        </w:rPr>
      </w:pPr>
      <w:r w:rsidRPr="0091624E">
        <w:rPr>
          <w:rFonts w:ascii="Arial" w:hAnsi="Arial" w:cs="Arial"/>
          <w:szCs w:val="22"/>
        </w:rPr>
        <w:t xml:space="preserve">For large-scale retailers such as Tesco plc, managing change within logistics operations requires balancing strategic innovation with operational stability. This chapter </w:t>
      </w:r>
      <w:proofErr w:type="spellStart"/>
      <w:r w:rsidRPr="0091624E">
        <w:rPr>
          <w:rFonts w:ascii="Arial" w:hAnsi="Arial" w:cs="Arial"/>
          <w:szCs w:val="22"/>
        </w:rPr>
        <w:t>synthesises</w:t>
      </w:r>
      <w:proofErr w:type="spellEnd"/>
      <w:r w:rsidRPr="0091624E">
        <w:rPr>
          <w:rFonts w:ascii="Arial" w:hAnsi="Arial" w:cs="Arial"/>
          <w:szCs w:val="22"/>
        </w:rPr>
        <w:t xml:space="preserve"> key theoretical frameworks and empirical studies relevant to change management and explores their applicability to the logistics environment. It also highlights the limitations of existing literature and identifies a conceptual framework for </w:t>
      </w:r>
      <w:proofErr w:type="spellStart"/>
      <w:r w:rsidRPr="0091624E">
        <w:rPr>
          <w:rFonts w:ascii="Arial" w:hAnsi="Arial" w:cs="Arial"/>
          <w:szCs w:val="22"/>
        </w:rPr>
        <w:t>analysing</w:t>
      </w:r>
      <w:proofErr w:type="spellEnd"/>
      <w:r w:rsidRPr="0091624E">
        <w:rPr>
          <w:rFonts w:ascii="Arial" w:hAnsi="Arial" w:cs="Arial"/>
          <w:szCs w:val="22"/>
        </w:rPr>
        <w:t xml:space="preserve"> how Tesco implements and sustains </w:t>
      </w:r>
      <w:proofErr w:type="spellStart"/>
      <w:r w:rsidRPr="0091624E">
        <w:rPr>
          <w:rFonts w:ascii="Arial" w:hAnsi="Arial" w:cs="Arial"/>
          <w:szCs w:val="22"/>
        </w:rPr>
        <w:t>organisational</w:t>
      </w:r>
      <w:proofErr w:type="spellEnd"/>
      <w:r w:rsidRPr="0091624E">
        <w:rPr>
          <w:rFonts w:ascii="Arial" w:hAnsi="Arial" w:cs="Arial"/>
          <w:szCs w:val="22"/>
        </w:rPr>
        <w:t xml:space="preserve"> transformation within its distribution network.</w:t>
      </w:r>
      <w:r w:rsidRPr="00FA5EA3">
        <w:rPr>
          <w:rFonts w:ascii="Arial" w:hAnsi="Arial" w:cs="Arial"/>
          <w:sz w:val="21"/>
          <w:szCs w:val="21"/>
        </w:rPr>
        <w:br/>
      </w:r>
      <w:r w:rsidRPr="00FA5EA3">
        <w:rPr>
          <w:rFonts w:ascii="Arial" w:hAnsi="Arial" w:cs="Arial"/>
          <w:sz w:val="21"/>
          <w:szCs w:val="21"/>
        </w:rPr>
        <w:br/>
      </w:r>
      <w:r w:rsidRPr="00FA5EA3">
        <w:rPr>
          <w:rFonts w:ascii="Arial" w:hAnsi="Arial" w:cs="Arial"/>
          <w:sz w:val="21"/>
          <w:szCs w:val="21"/>
        </w:rPr>
        <w:br/>
      </w:r>
      <w:r w:rsidRPr="00FA5EA3">
        <w:rPr>
          <w:rStyle w:val="Heading3Char"/>
          <w:rFonts w:ascii="Arial" w:hAnsi="Arial" w:cs="Arial"/>
        </w:rPr>
        <w:br/>
      </w:r>
      <w:r w:rsidRPr="002B19E8">
        <w:rPr>
          <w:rStyle w:val="Heading2Char"/>
        </w:rPr>
        <w:t xml:space="preserve">2.2 The </w:t>
      </w:r>
      <w:r w:rsidR="002A717C">
        <w:rPr>
          <w:rStyle w:val="Heading2Char"/>
        </w:rPr>
        <w:t>c</w:t>
      </w:r>
      <w:r w:rsidRPr="002B19E8">
        <w:rPr>
          <w:rStyle w:val="Heading2Char"/>
        </w:rPr>
        <w:t xml:space="preserve">oncept and </w:t>
      </w:r>
      <w:r w:rsidR="002A717C">
        <w:rPr>
          <w:rStyle w:val="Heading2Char"/>
        </w:rPr>
        <w:t>i</w:t>
      </w:r>
      <w:r w:rsidRPr="002B19E8">
        <w:rPr>
          <w:rStyle w:val="Heading2Char"/>
        </w:rPr>
        <w:t xml:space="preserve">mportance of </w:t>
      </w:r>
      <w:proofErr w:type="spellStart"/>
      <w:r w:rsidR="002A717C">
        <w:rPr>
          <w:rStyle w:val="Heading2Char"/>
        </w:rPr>
        <w:t>o</w:t>
      </w:r>
      <w:r w:rsidRPr="002B19E8">
        <w:rPr>
          <w:rStyle w:val="Heading2Char"/>
        </w:rPr>
        <w:t>rganisational</w:t>
      </w:r>
      <w:proofErr w:type="spellEnd"/>
      <w:r w:rsidRPr="002B19E8">
        <w:rPr>
          <w:rStyle w:val="Heading2Char"/>
        </w:rPr>
        <w:t xml:space="preserve"> </w:t>
      </w:r>
      <w:r w:rsidR="002A717C">
        <w:rPr>
          <w:rStyle w:val="Heading2Char"/>
        </w:rPr>
        <w:t>c</w:t>
      </w:r>
      <w:r w:rsidRPr="002B19E8">
        <w:rPr>
          <w:rStyle w:val="Heading2Char"/>
        </w:rPr>
        <w:t>hange</w:t>
      </w:r>
      <w:r w:rsidRPr="00FA5EA3">
        <w:rPr>
          <w:rFonts w:ascii="Arial" w:hAnsi="Arial" w:cs="Arial"/>
          <w:sz w:val="21"/>
          <w:szCs w:val="21"/>
        </w:rPr>
        <w:br/>
      </w:r>
      <w:r w:rsidRPr="00FA5EA3">
        <w:rPr>
          <w:rFonts w:ascii="Arial" w:hAnsi="Arial" w:cs="Arial"/>
          <w:sz w:val="21"/>
          <w:szCs w:val="21"/>
        </w:rPr>
        <w:br/>
      </w:r>
      <w:proofErr w:type="spellStart"/>
      <w:r w:rsidRPr="0091624E">
        <w:rPr>
          <w:rFonts w:ascii="Arial" w:hAnsi="Arial" w:cs="Arial"/>
          <w:szCs w:val="22"/>
        </w:rPr>
        <w:t>Organisational</w:t>
      </w:r>
      <w:proofErr w:type="spellEnd"/>
      <w:r w:rsidRPr="0091624E">
        <w:rPr>
          <w:rFonts w:ascii="Arial" w:hAnsi="Arial" w:cs="Arial"/>
          <w:szCs w:val="22"/>
        </w:rPr>
        <w:t xml:space="preserve"> change can be broadly defined as the process by which companies modify structures, processes, technologies, or cultural norms to improve performance or respond to external pressures (</w:t>
      </w:r>
      <w:proofErr w:type="spellStart"/>
      <w:r w:rsidRPr="0091624E">
        <w:rPr>
          <w:rFonts w:ascii="Arial" w:hAnsi="Arial" w:cs="Arial"/>
          <w:szCs w:val="22"/>
        </w:rPr>
        <w:t>Armenakis</w:t>
      </w:r>
      <w:proofErr w:type="spellEnd"/>
      <w:r w:rsidRPr="0091624E">
        <w:rPr>
          <w:rFonts w:ascii="Arial" w:hAnsi="Arial" w:cs="Arial"/>
          <w:szCs w:val="22"/>
        </w:rPr>
        <w:t xml:space="preserve"> and Harris, 2009). Burnes (2017) argues that </w:t>
      </w:r>
      <w:proofErr w:type="spellStart"/>
      <w:r w:rsidRPr="0091624E">
        <w:rPr>
          <w:rFonts w:ascii="Arial" w:hAnsi="Arial" w:cs="Arial"/>
          <w:szCs w:val="22"/>
        </w:rPr>
        <w:t>organisational</w:t>
      </w:r>
      <w:proofErr w:type="spellEnd"/>
      <w:r w:rsidRPr="0091624E">
        <w:rPr>
          <w:rFonts w:ascii="Arial" w:hAnsi="Arial" w:cs="Arial"/>
          <w:szCs w:val="22"/>
        </w:rPr>
        <w:t xml:space="preserve"> change is no longer episodic but continuous, reflecting the turbulent and competitive nature of modern business environments. Within retail logistics, change is essential to adapt to automation, sustainability demands, and fluctuating consumer </w:t>
      </w:r>
      <w:proofErr w:type="spellStart"/>
      <w:r w:rsidRPr="0091624E">
        <w:rPr>
          <w:rFonts w:ascii="Arial" w:hAnsi="Arial" w:cs="Arial"/>
          <w:szCs w:val="22"/>
        </w:rPr>
        <w:t>behaviour</w:t>
      </w:r>
      <w:proofErr w:type="spellEnd"/>
      <w:r w:rsidRPr="0091624E">
        <w:rPr>
          <w:rFonts w:ascii="Arial" w:hAnsi="Arial" w:cs="Arial"/>
          <w:szCs w:val="22"/>
        </w:rPr>
        <w:t>.</w:t>
      </w:r>
      <w:r w:rsidRPr="0091624E">
        <w:rPr>
          <w:rFonts w:ascii="Arial" w:hAnsi="Arial" w:cs="Arial"/>
          <w:szCs w:val="22"/>
        </w:rPr>
        <w:br/>
      </w:r>
      <w:r w:rsidRPr="0091624E">
        <w:rPr>
          <w:rFonts w:ascii="Arial" w:hAnsi="Arial" w:cs="Arial"/>
          <w:szCs w:val="22"/>
        </w:rPr>
        <w:br/>
        <w:t xml:space="preserve">The drivers of change in logistics are both internal and external. Internally, </w:t>
      </w:r>
      <w:proofErr w:type="spellStart"/>
      <w:r w:rsidRPr="0091624E">
        <w:rPr>
          <w:rFonts w:ascii="Arial" w:hAnsi="Arial" w:cs="Arial"/>
          <w:szCs w:val="22"/>
        </w:rPr>
        <w:t>organisations</w:t>
      </w:r>
      <w:proofErr w:type="spellEnd"/>
      <w:r w:rsidRPr="0091624E">
        <w:rPr>
          <w:rFonts w:ascii="Arial" w:hAnsi="Arial" w:cs="Arial"/>
          <w:szCs w:val="22"/>
        </w:rPr>
        <w:t xml:space="preserve"> seek cost efficiency, productivity improvements, and technological </w:t>
      </w:r>
      <w:proofErr w:type="spellStart"/>
      <w:r w:rsidRPr="0091624E">
        <w:rPr>
          <w:rFonts w:ascii="Arial" w:hAnsi="Arial" w:cs="Arial"/>
          <w:szCs w:val="22"/>
        </w:rPr>
        <w:t>modernisation</w:t>
      </w:r>
      <w:proofErr w:type="spellEnd"/>
      <w:r w:rsidRPr="0091624E">
        <w:rPr>
          <w:rFonts w:ascii="Arial" w:hAnsi="Arial" w:cs="Arial"/>
          <w:szCs w:val="22"/>
        </w:rPr>
        <w:t xml:space="preserve">. Externally, they respond to </w:t>
      </w:r>
      <w:proofErr w:type="spellStart"/>
      <w:r w:rsidRPr="0091624E">
        <w:rPr>
          <w:rFonts w:ascii="Arial" w:hAnsi="Arial" w:cs="Arial"/>
          <w:szCs w:val="22"/>
        </w:rPr>
        <w:t>globalisation</w:t>
      </w:r>
      <w:proofErr w:type="spellEnd"/>
      <w:r w:rsidRPr="0091624E">
        <w:rPr>
          <w:rFonts w:ascii="Arial" w:hAnsi="Arial" w:cs="Arial"/>
          <w:szCs w:val="22"/>
        </w:rPr>
        <w:t xml:space="preserve">, policy reforms such as post-Brexit trade regulations, and digital transformation trends (Accenture, 2022). Kotter (2012) suggests that successful change requires not only structural </w:t>
      </w:r>
      <w:proofErr w:type="spellStart"/>
      <w:r w:rsidRPr="0091624E">
        <w:rPr>
          <w:rFonts w:ascii="Arial" w:hAnsi="Arial" w:cs="Arial"/>
          <w:szCs w:val="22"/>
        </w:rPr>
        <w:t>reorganisation</w:t>
      </w:r>
      <w:proofErr w:type="spellEnd"/>
      <w:r w:rsidRPr="0091624E">
        <w:rPr>
          <w:rFonts w:ascii="Arial" w:hAnsi="Arial" w:cs="Arial"/>
          <w:szCs w:val="22"/>
        </w:rPr>
        <w:t xml:space="preserve"> but also </w:t>
      </w:r>
      <w:proofErr w:type="spellStart"/>
      <w:r w:rsidRPr="0091624E">
        <w:rPr>
          <w:rFonts w:ascii="Arial" w:hAnsi="Arial" w:cs="Arial"/>
          <w:szCs w:val="22"/>
        </w:rPr>
        <w:t>behavioural</w:t>
      </w:r>
      <w:proofErr w:type="spellEnd"/>
      <w:r w:rsidRPr="0091624E">
        <w:rPr>
          <w:rFonts w:ascii="Arial" w:hAnsi="Arial" w:cs="Arial"/>
          <w:szCs w:val="22"/>
        </w:rPr>
        <w:t xml:space="preserve"> alignment among employees and leaders. This notion aligns with By et al. (2016), who </w:t>
      </w:r>
      <w:proofErr w:type="spellStart"/>
      <w:r w:rsidRPr="0091624E">
        <w:rPr>
          <w:rFonts w:ascii="Arial" w:hAnsi="Arial" w:cs="Arial"/>
          <w:szCs w:val="22"/>
        </w:rPr>
        <w:t>emphasise</w:t>
      </w:r>
      <w:proofErr w:type="spellEnd"/>
      <w:r w:rsidRPr="0091624E">
        <w:rPr>
          <w:rFonts w:ascii="Arial" w:hAnsi="Arial" w:cs="Arial"/>
          <w:szCs w:val="22"/>
        </w:rPr>
        <w:t xml:space="preserve"> that </w:t>
      </w:r>
      <w:proofErr w:type="spellStart"/>
      <w:r w:rsidRPr="0091624E">
        <w:rPr>
          <w:rFonts w:ascii="Arial" w:hAnsi="Arial" w:cs="Arial"/>
          <w:szCs w:val="22"/>
        </w:rPr>
        <w:t>organisational</w:t>
      </w:r>
      <w:proofErr w:type="spellEnd"/>
      <w:r w:rsidRPr="0091624E">
        <w:rPr>
          <w:rFonts w:ascii="Arial" w:hAnsi="Arial" w:cs="Arial"/>
          <w:szCs w:val="22"/>
        </w:rPr>
        <w:t xml:space="preserve"> </w:t>
      </w:r>
      <w:r w:rsidRPr="0091624E">
        <w:rPr>
          <w:rFonts w:ascii="Arial" w:hAnsi="Arial" w:cs="Arial"/>
          <w:szCs w:val="22"/>
        </w:rPr>
        <w:lastRenderedPageBreak/>
        <w:t>change must integrate both the “hard” (systems and processes) and “soft” (culture and people) dimensions.</w:t>
      </w:r>
      <w:r w:rsidRPr="0091624E">
        <w:rPr>
          <w:rFonts w:ascii="Arial" w:hAnsi="Arial" w:cs="Arial"/>
          <w:szCs w:val="22"/>
        </w:rPr>
        <w:br/>
      </w:r>
      <w:r w:rsidRPr="0091624E">
        <w:rPr>
          <w:rFonts w:ascii="Arial" w:hAnsi="Arial" w:cs="Arial"/>
          <w:szCs w:val="22"/>
        </w:rPr>
        <w:br/>
        <w:t xml:space="preserve">In the context of Tesco, change management has been pivotal in maintaining competitiveness within the UK retail market. The company’s large-scale logistics network demands continuous innovation to manage stock efficiently and reduce operational waste. As noted by McKinsey &amp; Company (2021), leading retailers increasingly rely on data-driven logistics, real-time inventory systems, and cross-functional collaboration to enhance performance. Tesco’s approach to change demonstrates how large </w:t>
      </w:r>
      <w:proofErr w:type="spellStart"/>
      <w:r w:rsidRPr="0091624E">
        <w:rPr>
          <w:rFonts w:ascii="Arial" w:hAnsi="Arial" w:cs="Arial"/>
          <w:szCs w:val="22"/>
        </w:rPr>
        <w:t>organisations</w:t>
      </w:r>
      <w:proofErr w:type="spellEnd"/>
      <w:r w:rsidRPr="0091624E">
        <w:rPr>
          <w:rFonts w:ascii="Arial" w:hAnsi="Arial" w:cs="Arial"/>
          <w:szCs w:val="22"/>
        </w:rPr>
        <w:t xml:space="preserve"> must not only adapt operationally but also foster a culture capable </w:t>
      </w:r>
      <w:r w:rsidR="004F6922" w:rsidRPr="0091624E">
        <w:rPr>
          <w:rFonts w:ascii="Arial" w:hAnsi="Arial" w:cs="Arial"/>
          <w:szCs w:val="22"/>
        </w:rPr>
        <w:t>of sustaining transformation.</w:t>
      </w:r>
      <w:r w:rsidR="004F6922" w:rsidRPr="0091624E">
        <w:rPr>
          <w:rFonts w:ascii="Arial" w:hAnsi="Arial" w:cs="Arial"/>
          <w:szCs w:val="22"/>
        </w:rPr>
        <w:br/>
      </w:r>
    </w:p>
    <w:p w:rsidR="001358D6" w:rsidRPr="00375FD1" w:rsidRDefault="004F6922" w:rsidP="004752B3">
      <w:pPr>
        <w:pStyle w:val="NormalWeb"/>
        <w:spacing w:line="360" w:lineRule="auto"/>
        <w:rPr>
          <w:rFonts w:ascii="Arial" w:hAnsi="Arial" w:cs="Arial"/>
          <w:szCs w:val="22"/>
        </w:rPr>
      </w:pPr>
      <w:r w:rsidRPr="00FA5EA3">
        <w:rPr>
          <w:rFonts w:ascii="Arial" w:hAnsi="Arial" w:cs="Arial"/>
          <w:sz w:val="21"/>
          <w:szCs w:val="21"/>
        </w:rPr>
        <w:br/>
      </w:r>
      <w:r w:rsidR="00EF6559" w:rsidRPr="00FA5EA3">
        <w:rPr>
          <w:rFonts w:ascii="Arial" w:hAnsi="Arial" w:cs="Arial"/>
          <w:sz w:val="21"/>
          <w:szCs w:val="21"/>
        </w:rPr>
        <w:br/>
      </w:r>
      <w:r w:rsidR="00EF6559" w:rsidRPr="00FA5EA3">
        <w:rPr>
          <w:rStyle w:val="Heading3Char"/>
          <w:rFonts w:ascii="Arial" w:hAnsi="Arial" w:cs="Arial"/>
        </w:rPr>
        <w:br/>
      </w:r>
      <w:bookmarkStart w:id="7" w:name="_Toc214295749"/>
      <w:r w:rsidR="00EF6559" w:rsidRPr="004C0D5A">
        <w:rPr>
          <w:rStyle w:val="Heading2Char"/>
        </w:rPr>
        <w:t xml:space="preserve">2.3 Theoretical </w:t>
      </w:r>
      <w:r w:rsidR="002A717C">
        <w:rPr>
          <w:rStyle w:val="Heading2Char"/>
        </w:rPr>
        <w:t>f</w:t>
      </w:r>
      <w:r w:rsidR="00EF6559" w:rsidRPr="004C0D5A">
        <w:rPr>
          <w:rStyle w:val="Heading2Char"/>
        </w:rPr>
        <w:t xml:space="preserve">rameworks of </w:t>
      </w:r>
      <w:proofErr w:type="spellStart"/>
      <w:r w:rsidR="002A717C">
        <w:rPr>
          <w:rStyle w:val="Heading2Char"/>
        </w:rPr>
        <w:t>o</w:t>
      </w:r>
      <w:r w:rsidR="00EF6559" w:rsidRPr="004C0D5A">
        <w:rPr>
          <w:rStyle w:val="Heading2Char"/>
        </w:rPr>
        <w:t>rganisational</w:t>
      </w:r>
      <w:proofErr w:type="spellEnd"/>
      <w:r w:rsidR="00EF6559" w:rsidRPr="004C0D5A">
        <w:rPr>
          <w:rStyle w:val="Heading2Char"/>
        </w:rPr>
        <w:t xml:space="preserve"> </w:t>
      </w:r>
      <w:r w:rsidR="002A717C">
        <w:rPr>
          <w:rStyle w:val="Heading2Char"/>
        </w:rPr>
        <w:t>c</w:t>
      </w:r>
      <w:r w:rsidR="00EF6559" w:rsidRPr="004C0D5A">
        <w:rPr>
          <w:rStyle w:val="Heading2Char"/>
        </w:rPr>
        <w:t>hange</w:t>
      </w:r>
      <w:bookmarkEnd w:id="7"/>
      <w:r w:rsidR="00EF6559" w:rsidRPr="00FA5EA3">
        <w:rPr>
          <w:rFonts w:ascii="Arial" w:hAnsi="Arial" w:cs="Arial"/>
          <w:sz w:val="21"/>
          <w:szCs w:val="21"/>
        </w:rPr>
        <w:br/>
      </w:r>
      <w:r w:rsidR="00EF6559" w:rsidRPr="00FA5EA3">
        <w:rPr>
          <w:rFonts w:ascii="Arial" w:hAnsi="Arial" w:cs="Arial"/>
          <w:sz w:val="21"/>
          <w:szCs w:val="21"/>
        </w:rPr>
        <w:br/>
      </w:r>
      <w:r w:rsidR="00EF6559" w:rsidRPr="0091624E">
        <w:rPr>
          <w:rFonts w:ascii="Arial" w:hAnsi="Arial" w:cs="Arial"/>
          <w:szCs w:val="22"/>
        </w:rPr>
        <w:t xml:space="preserve">A range of theoretical models provides a foundation for understanding how </w:t>
      </w:r>
      <w:proofErr w:type="spellStart"/>
      <w:r w:rsidR="00EF6559" w:rsidRPr="0091624E">
        <w:rPr>
          <w:rFonts w:ascii="Arial" w:hAnsi="Arial" w:cs="Arial"/>
          <w:szCs w:val="22"/>
        </w:rPr>
        <w:t>organisations</w:t>
      </w:r>
      <w:proofErr w:type="spellEnd"/>
      <w:r w:rsidR="00EF6559" w:rsidRPr="0091624E">
        <w:rPr>
          <w:rFonts w:ascii="Arial" w:hAnsi="Arial" w:cs="Arial"/>
          <w:szCs w:val="22"/>
        </w:rPr>
        <w:t xml:space="preserve"> implement change. However, the literature reflects that while these models offer structured guidance, they are not universally applicable across industries.</w:t>
      </w:r>
      <w:r w:rsidR="00EF6559" w:rsidRPr="0091624E">
        <w:rPr>
          <w:rFonts w:ascii="Arial" w:hAnsi="Arial" w:cs="Arial"/>
          <w:szCs w:val="22"/>
        </w:rPr>
        <w:br/>
      </w:r>
      <w:r w:rsidR="00EF6559" w:rsidRPr="0091624E">
        <w:rPr>
          <w:rFonts w:ascii="Arial" w:hAnsi="Arial" w:cs="Arial"/>
          <w:szCs w:val="22"/>
        </w:rPr>
        <w:br/>
        <w:t xml:space="preserve">Lewin’s Three-Step Model (1951) remains one of the most influential frameworks, outlining the process of unfreezing existing </w:t>
      </w:r>
      <w:proofErr w:type="spellStart"/>
      <w:r w:rsidR="00EF6559" w:rsidRPr="0091624E">
        <w:rPr>
          <w:rFonts w:ascii="Arial" w:hAnsi="Arial" w:cs="Arial"/>
          <w:szCs w:val="22"/>
        </w:rPr>
        <w:t>behaviours</w:t>
      </w:r>
      <w:proofErr w:type="spellEnd"/>
      <w:r w:rsidR="00EF6559" w:rsidRPr="0091624E">
        <w:rPr>
          <w:rFonts w:ascii="Arial" w:hAnsi="Arial" w:cs="Arial"/>
          <w:szCs w:val="22"/>
        </w:rPr>
        <w:t xml:space="preserve">, implementing change, and refreezing new practices. It highlights the importance of preparing individuals for change before introducing new processes. Nonetheless, critics such as By et al. (2016) argue that Lewin’s model oversimplifies the complexity of modern </w:t>
      </w:r>
      <w:proofErr w:type="spellStart"/>
      <w:r w:rsidR="00EF6559" w:rsidRPr="0091624E">
        <w:rPr>
          <w:rFonts w:ascii="Arial" w:hAnsi="Arial" w:cs="Arial"/>
          <w:szCs w:val="22"/>
        </w:rPr>
        <w:t>organisational</w:t>
      </w:r>
      <w:proofErr w:type="spellEnd"/>
      <w:r w:rsidR="00EF6559" w:rsidRPr="0091624E">
        <w:rPr>
          <w:rFonts w:ascii="Arial" w:hAnsi="Arial" w:cs="Arial"/>
          <w:szCs w:val="22"/>
        </w:rPr>
        <w:t xml:space="preserve"> dynamics, particularly in fast-paced industries like logistics where change is ongoing rather than sequential.</w:t>
      </w:r>
      <w:r w:rsidR="00EF6559" w:rsidRPr="0091624E">
        <w:rPr>
          <w:rFonts w:ascii="Arial" w:hAnsi="Arial" w:cs="Arial"/>
          <w:szCs w:val="22"/>
        </w:rPr>
        <w:br/>
      </w:r>
      <w:r w:rsidR="00EF6559" w:rsidRPr="0091624E">
        <w:rPr>
          <w:rFonts w:ascii="Arial" w:hAnsi="Arial" w:cs="Arial"/>
          <w:szCs w:val="22"/>
        </w:rPr>
        <w:br/>
        <w:t xml:space="preserve">Kotter’s Eight-Step Model (1996) expands upon Lewin by providing a more detailed roadmap, including the creation of urgency, building a guiding coalition, and generating short-term wins. This model has been widely adopted in practice due to its focus on leadership and communication. However, Burnes (2017) and Cummings et al. (2016) critique it for assuming that change follows a predictable, top-down process, which may not align with the collaborative and </w:t>
      </w:r>
      <w:proofErr w:type="spellStart"/>
      <w:r w:rsidR="00EF6559" w:rsidRPr="0091624E">
        <w:rPr>
          <w:rFonts w:ascii="Arial" w:hAnsi="Arial" w:cs="Arial"/>
          <w:szCs w:val="22"/>
        </w:rPr>
        <w:t>decentralised</w:t>
      </w:r>
      <w:proofErr w:type="spellEnd"/>
      <w:r w:rsidR="00EF6559" w:rsidRPr="0091624E">
        <w:rPr>
          <w:rFonts w:ascii="Arial" w:hAnsi="Arial" w:cs="Arial"/>
          <w:szCs w:val="22"/>
        </w:rPr>
        <w:t xml:space="preserve"> structures of modern supply chains.</w:t>
      </w:r>
      <w:r w:rsidR="00EF6559" w:rsidRPr="0091624E">
        <w:rPr>
          <w:rFonts w:ascii="Arial" w:hAnsi="Arial" w:cs="Arial"/>
          <w:szCs w:val="22"/>
        </w:rPr>
        <w:br/>
      </w:r>
      <w:r w:rsidR="00EF6559" w:rsidRPr="0091624E">
        <w:rPr>
          <w:rFonts w:ascii="Arial" w:hAnsi="Arial" w:cs="Arial"/>
          <w:szCs w:val="22"/>
        </w:rPr>
        <w:br/>
        <w:t>Hiatt’s ADKAR Model (2006) offers a more individual-</w:t>
      </w:r>
      <w:proofErr w:type="spellStart"/>
      <w:r w:rsidR="00EF6559" w:rsidRPr="0091624E">
        <w:rPr>
          <w:rFonts w:ascii="Arial" w:hAnsi="Arial" w:cs="Arial"/>
          <w:szCs w:val="22"/>
        </w:rPr>
        <w:t>centred</w:t>
      </w:r>
      <w:proofErr w:type="spellEnd"/>
      <w:r w:rsidR="00EF6559" w:rsidRPr="0091624E">
        <w:rPr>
          <w:rFonts w:ascii="Arial" w:hAnsi="Arial" w:cs="Arial"/>
          <w:szCs w:val="22"/>
        </w:rPr>
        <w:t xml:space="preserve"> approach, focusing on awareness, desire, knowledge, ability, and reinforcement. This framework is particularly </w:t>
      </w:r>
      <w:r w:rsidR="00EF6559" w:rsidRPr="0091624E">
        <w:rPr>
          <w:rFonts w:ascii="Arial" w:hAnsi="Arial" w:cs="Arial"/>
          <w:szCs w:val="22"/>
        </w:rPr>
        <w:lastRenderedPageBreak/>
        <w:t xml:space="preserve">relevant to logistics environments where employee engagement and training are critical to successful technological transitions. Similarly, </w:t>
      </w:r>
      <w:proofErr w:type="spellStart"/>
      <w:r w:rsidR="00EF6559" w:rsidRPr="0091624E">
        <w:rPr>
          <w:rFonts w:ascii="Arial" w:hAnsi="Arial" w:cs="Arial"/>
          <w:szCs w:val="22"/>
        </w:rPr>
        <w:t>Armenakis</w:t>
      </w:r>
      <w:proofErr w:type="spellEnd"/>
      <w:r w:rsidR="00EF6559" w:rsidRPr="0091624E">
        <w:rPr>
          <w:rFonts w:ascii="Arial" w:hAnsi="Arial" w:cs="Arial"/>
          <w:szCs w:val="22"/>
        </w:rPr>
        <w:t xml:space="preserve"> and Harris (2009) propose a readiness-for-change model that </w:t>
      </w:r>
      <w:proofErr w:type="spellStart"/>
      <w:r w:rsidR="00EF6559" w:rsidRPr="0091624E">
        <w:rPr>
          <w:rFonts w:ascii="Arial" w:hAnsi="Arial" w:cs="Arial"/>
          <w:szCs w:val="22"/>
        </w:rPr>
        <w:t>emphasises</w:t>
      </w:r>
      <w:proofErr w:type="spellEnd"/>
      <w:r w:rsidR="00EF6559" w:rsidRPr="0091624E">
        <w:rPr>
          <w:rFonts w:ascii="Arial" w:hAnsi="Arial" w:cs="Arial"/>
          <w:szCs w:val="22"/>
        </w:rPr>
        <w:t xml:space="preserve"> communication, trust, and leadership support as precursors to effective transformation.</w:t>
      </w:r>
      <w:r w:rsidR="00EF6559" w:rsidRPr="0091624E">
        <w:rPr>
          <w:rFonts w:ascii="Arial" w:hAnsi="Arial" w:cs="Arial"/>
          <w:szCs w:val="22"/>
        </w:rPr>
        <w:br/>
      </w:r>
      <w:r w:rsidR="00EF6559" w:rsidRPr="0091624E">
        <w:rPr>
          <w:rFonts w:ascii="Arial" w:hAnsi="Arial" w:cs="Arial"/>
          <w:szCs w:val="22"/>
        </w:rPr>
        <w:br/>
        <w:t>When applied to Tesco, these models provide conceptual tools to assess how the company communicates, structures, and sustains change initiatives. For instance, Tesco’s automation projects and systems integration efforts align closely with the ADKAR emphasis on awareness and ability building, while Kotter’s emphasis on leadership and communication parallels Tesco’s reliance on managerial coordination within its warehouse operations.</w:t>
      </w:r>
      <w:r w:rsidR="00EF6559" w:rsidRPr="00FA5EA3">
        <w:rPr>
          <w:rFonts w:ascii="Arial" w:hAnsi="Arial" w:cs="Arial"/>
          <w:sz w:val="21"/>
          <w:szCs w:val="21"/>
        </w:rPr>
        <w:br/>
      </w:r>
      <w:r w:rsidR="00EF6559" w:rsidRPr="00FA5EA3">
        <w:rPr>
          <w:rFonts w:ascii="Arial" w:hAnsi="Arial" w:cs="Arial"/>
          <w:sz w:val="21"/>
          <w:szCs w:val="21"/>
        </w:rPr>
        <w:br/>
      </w:r>
      <w:r w:rsidR="00EF6559" w:rsidRPr="00FA5EA3">
        <w:rPr>
          <w:rFonts w:ascii="Arial" w:hAnsi="Arial" w:cs="Arial"/>
          <w:sz w:val="21"/>
          <w:szCs w:val="21"/>
        </w:rPr>
        <w:br/>
      </w:r>
      <w:r w:rsidR="00EF6559" w:rsidRPr="00FA5EA3">
        <w:rPr>
          <w:rStyle w:val="Heading3Char"/>
          <w:rFonts w:ascii="Arial" w:hAnsi="Arial" w:cs="Arial"/>
        </w:rPr>
        <w:br/>
      </w:r>
      <w:r w:rsidR="00EF6559" w:rsidRPr="004C0D5A">
        <w:rPr>
          <w:rStyle w:val="Heading2Char"/>
        </w:rPr>
        <w:t xml:space="preserve">2.4 Change </w:t>
      </w:r>
      <w:r w:rsidR="002A717C">
        <w:rPr>
          <w:rStyle w:val="Heading2Char"/>
        </w:rPr>
        <w:t>m</w:t>
      </w:r>
      <w:r w:rsidR="00EF6559" w:rsidRPr="004C0D5A">
        <w:rPr>
          <w:rStyle w:val="Heading2Char"/>
        </w:rPr>
        <w:t xml:space="preserve">anagement in the </w:t>
      </w:r>
      <w:r w:rsidR="002A717C">
        <w:rPr>
          <w:rStyle w:val="Heading2Char"/>
        </w:rPr>
        <w:t>r</w:t>
      </w:r>
      <w:r w:rsidR="00EF6559" w:rsidRPr="004C0D5A">
        <w:rPr>
          <w:rStyle w:val="Heading2Char"/>
        </w:rPr>
        <w:t xml:space="preserve">etail </w:t>
      </w:r>
      <w:r w:rsidR="002A717C">
        <w:rPr>
          <w:rStyle w:val="Heading2Char"/>
        </w:rPr>
        <w:t>l</w:t>
      </w:r>
      <w:r w:rsidR="00EF6559" w:rsidRPr="004C0D5A">
        <w:rPr>
          <w:rStyle w:val="Heading2Char"/>
        </w:rPr>
        <w:t xml:space="preserve">ogistics </w:t>
      </w:r>
      <w:r w:rsidR="002A717C">
        <w:rPr>
          <w:rStyle w:val="Heading2Char"/>
        </w:rPr>
        <w:t>s</w:t>
      </w:r>
      <w:r w:rsidR="00EF6559" w:rsidRPr="004C0D5A">
        <w:rPr>
          <w:rStyle w:val="Heading2Char"/>
        </w:rPr>
        <w:t>ector</w:t>
      </w:r>
      <w:r w:rsidR="00EF6559" w:rsidRPr="00FA5EA3">
        <w:rPr>
          <w:rFonts w:ascii="Arial" w:hAnsi="Arial" w:cs="Arial"/>
          <w:sz w:val="21"/>
          <w:szCs w:val="21"/>
        </w:rPr>
        <w:br/>
      </w:r>
      <w:r w:rsidR="00EF6559" w:rsidRPr="00FA5EA3">
        <w:rPr>
          <w:rFonts w:ascii="Arial" w:hAnsi="Arial" w:cs="Arial"/>
          <w:sz w:val="21"/>
          <w:szCs w:val="21"/>
        </w:rPr>
        <w:br/>
      </w:r>
      <w:r w:rsidR="00EF6559" w:rsidRPr="00375FD1">
        <w:rPr>
          <w:rFonts w:ascii="Arial" w:hAnsi="Arial" w:cs="Arial"/>
          <w:szCs w:val="22"/>
        </w:rPr>
        <w:t xml:space="preserve">The logistics sector is particularly sensitive to </w:t>
      </w:r>
      <w:proofErr w:type="spellStart"/>
      <w:r w:rsidR="00EF6559" w:rsidRPr="00375FD1">
        <w:rPr>
          <w:rFonts w:ascii="Arial" w:hAnsi="Arial" w:cs="Arial"/>
          <w:szCs w:val="22"/>
        </w:rPr>
        <w:t>organisational</w:t>
      </w:r>
      <w:proofErr w:type="spellEnd"/>
      <w:r w:rsidR="00EF6559" w:rsidRPr="00375FD1">
        <w:rPr>
          <w:rFonts w:ascii="Arial" w:hAnsi="Arial" w:cs="Arial"/>
          <w:szCs w:val="22"/>
        </w:rPr>
        <w:t xml:space="preserve"> change due to its dependence on efficiency, coordination, and technology. According to the Chartered Institute of Procurement and Supply (CIPS, 2023), change initiatives in logistics are often driven by three primary factors: </w:t>
      </w:r>
      <w:proofErr w:type="spellStart"/>
      <w:r w:rsidR="00EF6559" w:rsidRPr="00375FD1">
        <w:rPr>
          <w:rFonts w:ascii="Arial" w:hAnsi="Arial" w:cs="Arial"/>
          <w:szCs w:val="22"/>
        </w:rPr>
        <w:t>digitalisation</w:t>
      </w:r>
      <w:proofErr w:type="spellEnd"/>
      <w:r w:rsidR="00EF6559" w:rsidRPr="00375FD1">
        <w:rPr>
          <w:rFonts w:ascii="Arial" w:hAnsi="Arial" w:cs="Arial"/>
          <w:szCs w:val="22"/>
        </w:rPr>
        <w:t xml:space="preserve">, cost </w:t>
      </w:r>
      <w:proofErr w:type="spellStart"/>
      <w:r w:rsidR="00EF6559" w:rsidRPr="00375FD1">
        <w:rPr>
          <w:rFonts w:ascii="Arial" w:hAnsi="Arial" w:cs="Arial"/>
          <w:szCs w:val="22"/>
        </w:rPr>
        <w:t>optimisation</w:t>
      </w:r>
      <w:proofErr w:type="spellEnd"/>
      <w:r w:rsidR="00EF6559" w:rsidRPr="00375FD1">
        <w:rPr>
          <w:rFonts w:ascii="Arial" w:hAnsi="Arial" w:cs="Arial"/>
          <w:szCs w:val="22"/>
        </w:rPr>
        <w:t>, and sustainability. The transition towards data-driven decision-making and automation has redefined traditional logistics roles, creating new skill requirements and operational structures (Accenture, 2022).</w:t>
      </w:r>
      <w:r w:rsidR="00EF6559" w:rsidRPr="00375FD1">
        <w:rPr>
          <w:rFonts w:ascii="Arial" w:hAnsi="Arial" w:cs="Arial"/>
          <w:szCs w:val="22"/>
        </w:rPr>
        <w:br/>
      </w:r>
      <w:r w:rsidR="00EF6559" w:rsidRPr="00375FD1">
        <w:rPr>
          <w:rFonts w:ascii="Arial" w:hAnsi="Arial" w:cs="Arial"/>
          <w:szCs w:val="22"/>
        </w:rPr>
        <w:br/>
        <w:t>Within retail, companies like Tesco and Amazon have pioneered the integration of artificial intelligence (AI), robotics, and predictive analytics into warehouse management systems (PwC, 2022). However, as Balogun and Hailey (2008) argue, technological innovation must be supported by cultural adaptability. A purely technology-driven approach often fails if the workforce is not adequately prepared for new systems and workflows.</w:t>
      </w:r>
      <w:r w:rsidR="00EF6559" w:rsidRPr="00375FD1">
        <w:rPr>
          <w:rFonts w:ascii="Arial" w:hAnsi="Arial" w:cs="Arial"/>
          <w:szCs w:val="22"/>
        </w:rPr>
        <w:br/>
      </w:r>
      <w:r w:rsidR="00EF6559" w:rsidRPr="00375FD1">
        <w:rPr>
          <w:rFonts w:ascii="Arial" w:hAnsi="Arial" w:cs="Arial"/>
          <w:szCs w:val="22"/>
        </w:rPr>
        <w:br/>
        <w:t xml:space="preserve">For Tesco, digital transformation within its distribution network has been a strategic necessity rather than an option. Its supply chain </w:t>
      </w:r>
      <w:proofErr w:type="spellStart"/>
      <w:r w:rsidR="00EF6559" w:rsidRPr="00375FD1">
        <w:rPr>
          <w:rFonts w:ascii="Arial" w:hAnsi="Arial" w:cs="Arial"/>
          <w:szCs w:val="22"/>
        </w:rPr>
        <w:t>reorganisation</w:t>
      </w:r>
      <w:proofErr w:type="spellEnd"/>
      <w:r w:rsidR="00EF6559" w:rsidRPr="00375FD1">
        <w:rPr>
          <w:rFonts w:ascii="Arial" w:hAnsi="Arial" w:cs="Arial"/>
          <w:szCs w:val="22"/>
        </w:rPr>
        <w:t xml:space="preserve"> post-</w:t>
      </w:r>
      <w:proofErr w:type="spellStart"/>
      <w:r w:rsidR="00EF6559" w:rsidRPr="00375FD1">
        <w:rPr>
          <w:rFonts w:ascii="Arial" w:hAnsi="Arial" w:cs="Arial"/>
          <w:szCs w:val="22"/>
        </w:rPr>
        <w:t>Brexit</w:t>
      </w:r>
      <w:proofErr w:type="spellEnd"/>
      <w:r w:rsidR="00EF6559" w:rsidRPr="00375FD1">
        <w:rPr>
          <w:rFonts w:ascii="Arial" w:hAnsi="Arial" w:cs="Arial"/>
          <w:szCs w:val="22"/>
        </w:rPr>
        <w:t xml:space="preserve"> and post-pandemic reflects the company’s response to operational disruptions and shifting market dynamics (Tesco plc, 2024). However, academic literature suggests that while change in logistics often improves efficiency, it may also intensify job insecurity and skill </w:t>
      </w:r>
      <w:proofErr w:type="spellStart"/>
      <w:r w:rsidR="00EF6559" w:rsidRPr="00375FD1">
        <w:rPr>
          <w:rFonts w:ascii="Arial" w:hAnsi="Arial" w:cs="Arial"/>
          <w:szCs w:val="22"/>
        </w:rPr>
        <w:t>polarisation</w:t>
      </w:r>
      <w:proofErr w:type="spellEnd"/>
      <w:r w:rsidR="00EF6559" w:rsidRPr="00375FD1">
        <w:rPr>
          <w:rFonts w:ascii="Arial" w:hAnsi="Arial" w:cs="Arial"/>
          <w:szCs w:val="22"/>
        </w:rPr>
        <w:t xml:space="preserve"> (CIPD, 2023). This tension underscores the need for leadership that balances innovat</w:t>
      </w:r>
      <w:r w:rsidRPr="00375FD1">
        <w:rPr>
          <w:rFonts w:ascii="Arial" w:hAnsi="Arial" w:cs="Arial"/>
          <w:szCs w:val="22"/>
        </w:rPr>
        <w:t>ion with workforce stability.</w:t>
      </w:r>
    </w:p>
    <w:p w:rsidR="001F311F" w:rsidRDefault="004F6922" w:rsidP="00177FE1">
      <w:pPr>
        <w:pStyle w:val="NormalWeb"/>
        <w:spacing w:line="360" w:lineRule="auto"/>
        <w:rPr>
          <w:rFonts w:ascii="Arial" w:hAnsi="Arial" w:cs="Arial"/>
          <w:szCs w:val="22"/>
        </w:rPr>
      </w:pPr>
      <w:r w:rsidRPr="00FA5EA3">
        <w:rPr>
          <w:rFonts w:ascii="Arial" w:hAnsi="Arial" w:cs="Arial"/>
          <w:sz w:val="21"/>
          <w:szCs w:val="21"/>
        </w:rPr>
        <w:br/>
      </w:r>
      <w:r w:rsidRPr="00FA5EA3">
        <w:rPr>
          <w:rFonts w:ascii="Arial" w:hAnsi="Arial" w:cs="Arial"/>
          <w:sz w:val="21"/>
          <w:szCs w:val="21"/>
        </w:rPr>
        <w:br/>
      </w:r>
      <w:r w:rsidR="00EF6559" w:rsidRPr="00FA5EA3">
        <w:rPr>
          <w:rFonts w:ascii="Arial" w:hAnsi="Arial" w:cs="Arial"/>
          <w:sz w:val="21"/>
          <w:szCs w:val="21"/>
        </w:rPr>
        <w:lastRenderedPageBreak/>
        <w:br/>
      </w:r>
      <w:r w:rsidR="00EF6559" w:rsidRPr="00FA5EA3">
        <w:rPr>
          <w:rStyle w:val="Heading3Char"/>
          <w:rFonts w:ascii="Arial" w:hAnsi="Arial" w:cs="Arial"/>
        </w:rPr>
        <w:br/>
      </w:r>
      <w:bookmarkStart w:id="8" w:name="_Toc214295750"/>
      <w:r w:rsidR="00EF6559" w:rsidRPr="00177FE1">
        <w:rPr>
          <w:rStyle w:val="Heading2Char"/>
        </w:rPr>
        <w:t xml:space="preserve">2.5 Challenges in </w:t>
      </w:r>
      <w:r w:rsidR="002A717C">
        <w:rPr>
          <w:rStyle w:val="Heading2Char"/>
        </w:rPr>
        <w:t>i</w:t>
      </w:r>
      <w:r w:rsidR="00EF6559" w:rsidRPr="00177FE1">
        <w:rPr>
          <w:rStyle w:val="Heading2Char"/>
        </w:rPr>
        <w:t xml:space="preserve">mplementing </w:t>
      </w:r>
      <w:proofErr w:type="spellStart"/>
      <w:r w:rsidR="002A717C">
        <w:rPr>
          <w:rStyle w:val="Heading2Char"/>
        </w:rPr>
        <w:t>o</w:t>
      </w:r>
      <w:r w:rsidR="00EF6559" w:rsidRPr="00177FE1">
        <w:rPr>
          <w:rStyle w:val="Heading2Char"/>
        </w:rPr>
        <w:t>rganisational</w:t>
      </w:r>
      <w:proofErr w:type="spellEnd"/>
      <w:r w:rsidR="00EF6559" w:rsidRPr="00177FE1">
        <w:rPr>
          <w:rStyle w:val="Heading2Char"/>
        </w:rPr>
        <w:t xml:space="preserve"> </w:t>
      </w:r>
      <w:r w:rsidR="002A717C">
        <w:rPr>
          <w:rStyle w:val="Heading2Char"/>
        </w:rPr>
        <w:t>c</w:t>
      </w:r>
      <w:r w:rsidR="00EF6559" w:rsidRPr="00177FE1">
        <w:rPr>
          <w:rStyle w:val="Heading2Char"/>
        </w:rPr>
        <w:t>hange</w:t>
      </w:r>
      <w:bookmarkEnd w:id="8"/>
      <w:r w:rsidR="00EF6559" w:rsidRPr="00177FE1">
        <w:rPr>
          <w:rStyle w:val="Heading2Char"/>
        </w:rPr>
        <w:br/>
      </w:r>
      <w:r w:rsidR="00EF6559" w:rsidRPr="00FA5EA3">
        <w:rPr>
          <w:rFonts w:ascii="Arial" w:hAnsi="Arial" w:cs="Arial"/>
          <w:sz w:val="21"/>
          <w:szCs w:val="21"/>
        </w:rPr>
        <w:br/>
      </w:r>
      <w:r w:rsidR="00EF6559" w:rsidRPr="00375FD1">
        <w:rPr>
          <w:rFonts w:ascii="Arial" w:hAnsi="Arial" w:cs="Arial"/>
          <w:szCs w:val="22"/>
        </w:rPr>
        <w:t xml:space="preserve">Despite the abundance of theoretical guidance, </w:t>
      </w:r>
      <w:proofErr w:type="spellStart"/>
      <w:r w:rsidR="00EF6559" w:rsidRPr="00375FD1">
        <w:rPr>
          <w:rFonts w:ascii="Arial" w:hAnsi="Arial" w:cs="Arial"/>
          <w:szCs w:val="22"/>
        </w:rPr>
        <w:t>organisations</w:t>
      </w:r>
      <w:proofErr w:type="spellEnd"/>
      <w:r w:rsidR="00EF6559" w:rsidRPr="00375FD1">
        <w:rPr>
          <w:rFonts w:ascii="Arial" w:hAnsi="Arial" w:cs="Arial"/>
          <w:szCs w:val="22"/>
        </w:rPr>
        <w:t xml:space="preserve"> frequently encounter barriers during change implementation. Resistance to change remains one of the most cited challenges in the literature. According to Kotter and Schlesinger (2008), employees resist change when they perceive it as threatening or when communication is insufficient. In logistics environments such as Tesco’s distribution warehouses, resistance can manifest as reduced engagement or errors during new system rollouts.</w:t>
      </w:r>
      <w:r w:rsidR="00EF6559" w:rsidRPr="00375FD1">
        <w:rPr>
          <w:rFonts w:ascii="Arial" w:hAnsi="Arial" w:cs="Arial"/>
          <w:szCs w:val="22"/>
        </w:rPr>
        <w:br/>
      </w:r>
      <w:r w:rsidR="00EF6559" w:rsidRPr="00FA5EA3">
        <w:rPr>
          <w:rFonts w:ascii="Arial" w:hAnsi="Arial" w:cs="Arial"/>
          <w:sz w:val="21"/>
          <w:szCs w:val="21"/>
        </w:rPr>
        <w:br/>
      </w:r>
      <w:r w:rsidR="00EF6559" w:rsidRPr="00375FD1">
        <w:rPr>
          <w:rFonts w:ascii="Arial" w:hAnsi="Arial" w:cs="Arial"/>
          <w:szCs w:val="22"/>
        </w:rPr>
        <w:t>Another significant barrier is leadership inconsistency. Burnes (2017) notes that middle managers play a critical role in translating strategic change into operational practice. When leadership is fragmented, change initiatives lose coherence. Additionally, technological change introduces skills mismatches. As automation replaces manual tasks, employees require reskilling and support to adapt (McKinsey &amp; Company, 2021). The literature also highlights the cultural dimension of resistance</w:t>
      </w:r>
      <w:r w:rsidR="00177FE1" w:rsidRPr="00375FD1">
        <w:rPr>
          <w:rFonts w:ascii="Arial" w:hAnsi="Arial" w:cs="Arial"/>
          <w:szCs w:val="22"/>
        </w:rPr>
        <w:t>,</w:t>
      </w:r>
      <w:r w:rsidR="00EF6559" w:rsidRPr="00375FD1">
        <w:rPr>
          <w:rFonts w:ascii="Arial" w:hAnsi="Arial" w:cs="Arial"/>
          <w:szCs w:val="22"/>
        </w:rPr>
        <w:t xml:space="preserve"> when </w:t>
      </w:r>
      <w:proofErr w:type="spellStart"/>
      <w:r w:rsidR="00EF6559" w:rsidRPr="00375FD1">
        <w:rPr>
          <w:rFonts w:ascii="Arial" w:hAnsi="Arial" w:cs="Arial"/>
          <w:szCs w:val="22"/>
        </w:rPr>
        <w:t>organisational</w:t>
      </w:r>
      <w:proofErr w:type="spellEnd"/>
      <w:r w:rsidR="00EF6559" w:rsidRPr="00375FD1">
        <w:rPr>
          <w:rFonts w:ascii="Arial" w:hAnsi="Arial" w:cs="Arial"/>
          <w:szCs w:val="22"/>
        </w:rPr>
        <w:t xml:space="preserve"> values or norms conflict with new systems, change adoption slows (Schein, 2010).</w:t>
      </w:r>
      <w:r w:rsidR="00EF6559" w:rsidRPr="00375FD1">
        <w:rPr>
          <w:rFonts w:ascii="Arial" w:hAnsi="Arial" w:cs="Arial"/>
          <w:szCs w:val="22"/>
        </w:rPr>
        <w:br/>
      </w:r>
      <w:r w:rsidR="00EF6559" w:rsidRPr="00FA5EA3">
        <w:rPr>
          <w:rFonts w:ascii="Arial" w:hAnsi="Arial" w:cs="Arial"/>
          <w:sz w:val="21"/>
          <w:szCs w:val="21"/>
        </w:rPr>
        <w:br/>
      </w:r>
      <w:r w:rsidR="00EF6559" w:rsidRPr="00375FD1">
        <w:rPr>
          <w:rFonts w:ascii="Arial" w:hAnsi="Arial" w:cs="Arial"/>
          <w:szCs w:val="22"/>
        </w:rPr>
        <w:t xml:space="preserve">In Tesco’s case, these challenges are reflected in the complexities of managing workforce expectations during automation and </w:t>
      </w:r>
      <w:proofErr w:type="spellStart"/>
      <w:r w:rsidR="00EF6559" w:rsidRPr="00375FD1">
        <w:rPr>
          <w:rFonts w:ascii="Arial" w:hAnsi="Arial" w:cs="Arial"/>
          <w:szCs w:val="22"/>
        </w:rPr>
        <w:t>digitalisation</w:t>
      </w:r>
      <w:proofErr w:type="spellEnd"/>
      <w:r w:rsidR="00EF6559" w:rsidRPr="00375FD1">
        <w:rPr>
          <w:rFonts w:ascii="Arial" w:hAnsi="Arial" w:cs="Arial"/>
          <w:szCs w:val="22"/>
        </w:rPr>
        <w:t xml:space="preserve">. While the company has invested heavily in technology, it must also invest in training and communication to maintain workforce morale. This dual focus aligns with contemporary change theories that </w:t>
      </w:r>
      <w:proofErr w:type="spellStart"/>
      <w:r w:rsidR="00EF6559" w:rsidRPr="00375FD1">
        <w:rPr>
          <w:rFonts w:ascii="Arial" w:hAnsi="Arial" w:cs="Arial"/>
          <w:szCs w:val="22"/>
        </w:rPr>
        <w:t>emphasise</w:t>
      </w:r>
      <w:proofErr w:type="spellEnd"/>
      <w:r w:rsidR="00EF6559" w:rsidRPr="00375FD1">
        <w:rPr>
          <w:rFonts w:ascii="Arial" w:hAnsi="Arial" w:cs="Arial"/>
          <w:szCs w:val="22"/>
        </w:rPr>
        <w:t xml:space="preserve"> holisti</w:t>
      </w:r>
      <w:r w:rsidRPr="00375FD1">
        <w:rPr>
          <w:rFonts w:ascii="Arial" w:hAnsi="Arial" w:cs="Arial"/>
          <w:szCs w:val="22"/>
        </w:rPr>
        <w:t>c, people-</w:t>
      </w:r>
      <w:proofErr w:type="spellStart"/>
      <w:r w:rsidRPr="00375FD1">
        <w:rPr>
          <w:rFonts w:ascii="Arial" w:hAnsi="Arial" w:cs="Arial"/>
          <w:szCs w:val="22"/>
        </w:rPr>
        <w:t>centred</w:t>
      </w:r>
      <w:proofErr w:type="spellEnd"/>
      <w:r w:rsidRPr="00375FD1">
        <w:rPr>
          <w:rFonts w:ascii="Arial" w:hAnsi="Arial" w:cs="Arial"/>
          <w:szCs w:val="22"/>
        </w:rPr>
        <w:t xml:space="preserve"> approaches.</w:t>
      </w:r>
      <w:r w:rsidRPr="00375FD1">
        <w:rPr>
          <w:rFonts w:ascii="Arial" w:hAnsi="Arial" w:cs="Arial"/>
          <w:szCs w:val="22"/>
        </w:rPr>
        <w:br/>
      </w:r>
      <w:r w:rsidRPr="00375FD1">
        <w:rPr>
          <w:rFonts w:ascii="Arial" w:hAnsi="Arial" w:cs="Arial"/>
          <w:szCs w:val="22"/>
        </w:rPr>
        <w:br/>
      </w:r>
      <w:r w:rsidR="00EF6559" w:rsidRPr="00FA5EA3">
        <w:rPr>
          <w:rStyle w:val="Heading3Char"/>
          <w:rFonts w:ascii="Arial" w:hAnsi="Arial" w:cs="Arial"/>
        </w:rPr>
        <w:br/>
      </w:r>
      <w:r w:rsidR="00EF6559" w:rsidRPr="00FA5EA3">
        <w:rPr>
          <w:rStyle w:val="Heading3Char"/>
          <w:rFonts w:ascii="Arial" w:hAnsi="Arial" w:cs="Arial"/>
        </w:rPr>
        <w:br/>
      </w:r>
      <w:r w:rsidR="00EF6559" w:rsidRPr="00177FE1">
        <w:rPr>
          <w:rStyle w:val="Heading2Char"/>
        </w:rPr>
        <w:t xml:space="preserve">2.6 Leadership, </w:t>
      </w:r>
      <w:r w:rsidR="002A717C">
        <w:rPr>
          <w:rStyle w:val="Heading2Char"/>
        </w:rPr>
        <w:t>c</w:t>
      </w:r>
      <w:r w:rsidR="00EF6559" w:rsidRPr="00177FE1">
        <w:rPr>
          <w:rStyle w:val="Heading2Char"/>
        </w:rPr>
        <w:t xml:space="preserve">ommunication and </w:t>
      </w:r>
      <w:r w:rsidR="00D71B06">
        <w:rPr>
          <w:rStyle w:val="Heading2Char"/>
        </w:rPr>
        <w:t>e</w:t>
      </w:r>
      <w:r w:rsidR="00EF6559" w:rsidRPr="00177FE1">
        <w:rPr>
          <w:rStyle w:val="Heading2Char"/>
        </w:rPr>
        <w:t xml:space="preserve">mployee </w:t>
      </w:r>
      <w:r w:rsidR="00D71B06">
        <w:rPr>
          <w:rStyle w:val="Heading2Char"/>
        </w:rPr>
        <w:t>e</w:t>
      </w:r>
      <w:r w:rsidR="00EF6559" w:rsidRPr="00177FE1">
        <w:rPr>
          <w:rStyle w:val="Heading2Char"/>
        </w:rPr>
        <w:t xml:space="preserve">ngagement in </w:t>
      </w:r>
      <w:r w:rsidR="00D71B06">
        <w:rPr>
          <w:rStyle w:val="Heading2Char"/>
        </w:rPr>
        <w:t>c</w:t>
      </w:r>
      <w:r w:rsidR="00EF6559" w:rsidRPr="00177FE1">
        <w:rPr>
          <w:rStyle w:val="Heading2Char"/>
        </w:rPr>
        <w:t>hange</w:t>
      </w:r>
      <w:r w:rsidR="00EF6559" w:rsidRPr="00FA5EA3">
        <w:rPr>
          <w:rFonts w:ascii="Arial" w:hAnsi="Arial" w:cs="Arial"/>
          <w:sz w:val="21"/>
          <w:szCs w:val="21"/>
        </w:rPr>
        <w:br/>
      </w:r>
      <w:r w:rsidR="00EF6559" w:rsidRPr="00784936">
        <w:br/>
      </w:r>
      <w:r w:rsidR="00EF6559" w:rsidRPr="00784936">
        <w:rPr>
          <w:rFonts w:ascii="Arial" w:hAnsi="Arial" w:cs="Arial"/>
          <w:szCs w:val="22"/>
        </w:rPr>
        <w:t xml:space="preserve">Leadership and communication are consistently identified as the most influential factors in determining the success of </w:t>
      </w:r>
      <w:proofErr w:type="spellStart"/>
      <w:r w:rsidR="00EF6559" w:rsidRPr="00784936">
        <w:rPr>
          <w:rFonts w:ascii="Arial" w:hAnsi="Arial" w:cs="Arial"/>
          <w:szCs w:val="22"/>
        </w:rPr>
        <w:t>organisational</w:t>
      </w:r>
      <w:proofErr w:type="spellEnd"/>
      <w:r w:rsidR="00EF6559" w:rsidRPr="00784936">
        <w:rPr>
          <w:rFonts w:ascii="Arial" w:hAnsi="Arial" w:cs="Arial"/>
          <w:szCs w:val="22"/>
        </w:rPr>
        <w:t xml:space="preserve"> change (</w:t>
      </w:r>
      <w:proofErr w:type="spellStart"/>
      <w:r w:rsidR="00EF6559" w:rsidRPr="00784936">
        <w:rPr>
          <w:rFonts w:ascii="Arial" w:hAnsi="Arial" w:cs="Arial"/>
          <w:szCs w:val="22"/>
        </w:rPr>
        <w:t>Kotter</w:t>
      </w:r>
      <w:proofErr w:type="spellEnd"/>
      <w:r w:rsidR="00EF6559" w:rsidRPr="00784936">
        <w:rPr>
          <w:rFonts w:ascii="Arial" w:hAnsi="Arial" w:cs="Arial"/>
          <w:szCs w:val="22"/>
        </w:rPr>
        <w:t xml:space="preserve">, 2012). Transformational leadership, which inspires and motivates employees to align with </w:t>
      </w:r>
      <w:proofErr w:type="spellStart"/>
      <w:r w:rsidR="00EF6559" w:rsidRPr="00784936">
        <w:rPr>
          <w:rFonts w:ascii="Arial" w:hAnsi="Arial" w:cs="Arial"/>
          <w:szCs w:val="22"/>
        </w:rPr>
        <w:t>organisational</w:t>
      </w:r>
      <w:proofErr w:type="spellEnd"/>
      <w:r w:rsidR="00EF6559" w:rsidRPr="00784936">
        <w:rPr>
          <w:rFonts w:ascii="Arial" w:hAnsi="Arial" w:cs="Arial"/>
          <w:szCs w:val="22"/>
        </w:rPr>
        <w:t xml:space="preserve"> goals, is particularly effective in times of uncertainty (Northouse, 2022). In contrast, transactional leadership</w:t>
      </w:r>
      <w:r w:rsidR="00EB074C" w:rsidRPr="00784936">
        <w:rPr>
          <w:rFonts w:ascii="Arial" w:hAnsi="Arial" w:cs="Arial"/>
          <w:szCs w:val="22"/>
        </w:rPr>
        <w:t xml:space="preserve"> </w:t>
      </w:r>
      <w:r w:rsidR="00EF6559" w:rsidRPr="00784936">
        <w:rPr>
          <w:rFonts w:ascii="Arial" w:hAnsi="Arial" w:cs="Arial"/>
          <w:szCs w:val="22"/>
        </w:rPr>
        <w:t>focused on performance monitoring and reward systems</w:t>
      </w:r>
      <w:r w:rsidR="00EB074C" w:rsidRPr="00784936">
        <w:rPr>
          <w:rFonts w:ascii="Arial" w:hAnsi="Arial" w:cs="Arial"/>
          <w:szCs w:val="22"/>
        </w:rPr>
        <w:t xml:space="preserve"> </w:t>
      </w:r>
      <w:r w:rsidR="00EF6559" w:rsidRPr="00784936">
        <w:rPr>
          <w:rFonts w:ascii="Arial" w:hAnsi="Arial" w:cs="Arial"/>
          <w:szCs w:val="22"/>
        </w:rPr>
        <w:t>can reinforce short-term stability but may stifle innovation.</w:t>
      </w:r>
      <w:r w:rsidR="00EF6559" w:rsidRPr="00784936">
        <w:rPr>
          <w:rFonts w:ascii="Arial" w:hAnsi="Arial" w:cs="Arial"/>
          <w:szCs w:val="22"/>
        </w:rPr>
        <w:br/>
      </w:r>
      <w:r w:rsidR="00EF6559" w:rsidRPr="00784936">
        <w:rPr>
          <w:rFonts w:ascii="Arial" w:hAnsi="Arial" w:cs="Arial"/>
          <w:szCs w:val="22"/>
        </w:rPr>
        <w:lastRenderedPageBreak/>
        <w:br/>
        <w:t xml:space="preserve">Effective communication ensures that employees understand the purpose, process, and expected outcomes of change. </w:t>
      </w:r>
      <w:proofErr w:type="spellStart"/>
      <w:r w:rsidR="00EF6559" w:rsidRPr="00784936">
        <w:rPr>
          <w:rFonts w:ascii="Arial" w:hAnsi="Arial" w:cs="Arial"/>
          <w:szCs w:val="22"/>
        </w:rPr>
        <w:t>Armenakis</w:t>
      </w:r>
      <w:proofErr w:type="spellEnd"/>
      <w:r w:rsidR="00EF6559" w:rsidRPr="00784936">
        <w:rPr>
          <w:rFonts w:ascii="Arial" w:hAnsi="Arial" w:cs="Arial"/>
          <w:szCs w:val="22"/>
        </w:rPr>
        <w:t xml:space="preserve"> and Harris (2009) </w:t>
      </w:r>
      <w:proofErr w:type="spellStart"/>
      <w:r w:rsidR="00EF6559" w:rsidRPr="00784936">
        <w:rPr>
          <w:rFonts w:ascii="Arial" w:hAnsi="Arial" w:cs="Arial"/>
          <w:szCs w:val="22"/>
        </w:rPr>
        <w:t>emphasise</w:t>
      </w:r>
      <w:proofErr w:type="spellEnd"/>
      <w:r w:rsidR="00EF6559" w:rsidRPr="00784936">
        <w:rPr>
          <w:rFonts w:ascii="Arial" w:hAnsi="Arial" w:cs="Arial"/>
          <w:szCs w:val="22"/>
        </w:rPr>
        <w:t xml:space="preserve"> that communication should not merely transmit information but also build trust and psychological readiness. Within Tesco’s logistics network, communication cascades from senior management through operational leaders to front-line employees. Research by Balogun and Hailey (2008) supports the idea that </w:t>
      </w:r>
      <w:proofErr w:type="spellStart"/>
      <w:r w:rsidR="00EF6559" w:rsidRPr="00784936">
        <w:rPr>
          <w:rFonts w:ascii="Arial" w:hAnsi="Arial" w:cs="Arial"/>
          <w:szCs w:val="22"/>
        </w:rPr>
        <w:t>decentralised</w:t>
      </w:r>
      <w:proofErr w:type="spellEnd"/>
      <w:r w:rsidR="00EF6559" w:rsidRPr="00784936">
        <w:rPr>
          <w:rFonts w:ascii="Arial" w:hAnsi="Arial" w:cs="Arial"/>
          <w:szCs w:val="22"/>
        </w:rPr>
        <w:t xml:space="preserve"> communication structures increase buy-in and reduce resistance.</w:t>
      </w:r>
      <w:r w:rsidR="00EF6559" w:rsidRPr="00784936">
        <w:rPr>
          <w:rFonts w:ascii="Arial" w:hAnsi="Arial" w:cs="Arial"/>
          <w:szCs w:val="22"/>
        </w:rPr>
        <w:br/>
      </w:r>
      <w:r w:rsidR="00EF6559" w:rsidRPr="00784936">
        <w:rPr>
          <w:rFonts w:ascii="Arial" w:hAnsi="Arial" w:cs="Arial"/>
          <w:szCs w:val="22"/>
        </w:rPr>
        <w:br/>
        <w:t xml:space="preserve">Employee engagement, meanwhile, plays a vital role in sustaining change. According to CIPD (2023), </w:t>
      </w:r>
      <w:proofErr w:type="spellStart"/>
      <w:r w:rsidR="00EF6559" w:rsidRPr="00784936">
        <w:rPr>
          <w:rFonts w:ascii="Arial" w:hAnsi="Arial" w:cs="Arial"/>
          <w:szCs w:val="22"/>
        </w:rPr>
        <w:t>organisations</w:t>
      </w:r>
      <w:proofErr w:type="spellEnd"/>
      <w:r w:rsidR="00EF6559" w:rsidRPr="00784936">
        <w:rPr>
          <w:rFonts w:ascii="Arial" w:hAnsi="Arial" w:cs="Arial"/>
          <w:szCs w:val="22"/>
        </w:rPr>
        <w:t xml:space="preserve"> that actively involve employees in change processes achieve greater commitment and long-term success. Tesco’s efforts to empower managers at site level, such as those at Daventry Clothing, illustrate a recognition of this principle. However, consistent engagement requires balancing corporate objectives with employee well-being</w:t>
      </w:r>
      <w:r w:rsidR="00BF1926" w:rsidRPr="00784936">
        <w:rPr>
          <w:rFonts w:ascii="Arial" w:hAnsi="Arial" w:cs="Arial"/>
          <w:szCs w:val="22"/>
        </w:rPr>
        <w:t xml:space="preserve"> </w:t>
      </w:r>
      <w:r w:rsidR="00EF6559" w:rsidRPr="00784936">
        <w:rPr>
          <w:rFonts w:ascii="Arial" w:hAnsi="Arial" w:cs="Arial"/>
          <w:szCs w:val="22"/>
        </w:rPr>
        <w:t>an area still underexplored in</w:t>
      </w:r>
      <w:r w:rsidRPr="00784936">
        <w:rPr>
          <w:rFonts w:ascii="Arial" w:hAnsi="Arial" w:cs="Arial"/>
          <w:szCs w:val="22"/>
        </w:rPr>
        <w:t xml:space="preserve"> logistics change literature.</w:t>
      </w:r>
      <w:r w:rsidRPr="00784936">
        <w:rPr>
          <w:rFonts w:ascii="Arial" w:hAnsi="Arial" w:cs="Arial"/>
          <w:szCs w:val="22"/>
        </w:rPr>
        <w:br/>
      </w:r>
      <w:r w:rsidRPr="00FA5EA3">
        <w:rPr>
          <w:rFonts w:ascii="Arial" w:hAnsi="Arial" w:cs="Arial"/>
          <w:sz w:val="21"/>
          <w:szCs w:val="21"/>
        </w:rPr>
        <w:br/>
      </w:r>
      <w:r w:rsidR="00EF6559" w:rsidRPr="00FA5EA3">
        <w:rPr>
          <w:rFonts w:ascii="Arial" w:hAnsi="Arial" w:cs="Arial"/>
          <w:sz w:val="21"/>
          <w:szCs w:val="21"/>
        </w:rPr>
        <w:br/>
      </w:r>
      <w:r w:rsidR="00EF6559" w:rsidRPr="00FA5EA3">
        <w:rPr>
          <w:rFonts w:ascii="Arial" w:hAnsi="Arial" w:cs="Arial"/>
          <w:sz w:val="21"/>
          <w:szCs w:val="21"/>
        </w:rPr>
        <w:br/>
      </w:r>
      <w:r w:rsidR="00EF6559" w:rsidRPr="00177FE1">
        <w:rPr>
          <w:rStyle w:val="Heading2Char"/>
        </w:rPr>
        <w:t xml:space="preserve">2.7 Change and </w:t>
      </w:r>
      <w:r w:rsidR="00D71B06">
        <w:rPr>
          <w:rStyle w:val="Heading2Char"/>
        </w:rPr>
        <w:t>t</w:t>
      </w:r>
      <w:r w:rsidR="00EF6559" w:rsidRPr="00177FE1">
        <w:rPr>
          <w:rStyle w:val="Heading2Char"/>
        </w:rPr>
        <w:t xml:space="preserve">echnology in </w:t>
      </w:r>
      <w:r w:rsidR="00D71B06">
        <w:rPr>
          <w:rStyle w:val="Heading2Char"/>
        </w:rPr>
        <w:t>l</w:t>
      </w:r>
      <w:r w:rsidR="00EF6559" w:rsidRPr="00177FE1">
        <w:rPr>
          <w:rStyle w:val="Heading2Char"/>
        </w:rPr>
        <w:t>ogistics</w:t>
      </w:r>
      <w:r w:rsidR="00EF6559" w:rsidRPr="00FA5EA3">
        <w:rPr>
          <w:rFonts w:ascii="Arial" w:hAnsi="Arial" w:cs="Arial"/>
          <w:sz w:val="21"/>
          <w:szCs w:val="21"/>
        </w:rPr>
        <w:br/>
      </w:r>
      <w:r w:rsidR="00EF6559" w:rsidRPr="00FA5EA3">
        <w:rPr>
          <w:rFonts w:ascii="Arial" w:hAnsi="Arial" w:cs="Arial"/>
          <w:sz w:val="21"/>
          <w:szCs w:val="21"/>
        </w:rPr>
        <w:br/>
      </w:r>
      <w:r w:rsidR="00EF6559" w:rsidRPr="00784936">
        <w:rPr>
          <w:rFonts w:ascii="Arial" w:hAnsi="Arial" w:cs="Arial"/>
          <w:szCs w:val="22"/>
        </w:rPr>
        <w:t xml:space="preserve">The integration of digital technologies into supply chains has fundamentally altered how </w:t>
      </w:r>
      <w:proofErr w:type="spellStart"/>
      <w:r w:rsidR="00EF6559" w:rsidRPr="00784936">
        <w:rPr>
          <w:rFonts w:ascii="Arial" w:hAnsi="Arial" w:cs="Arial"/>
          <w:szCs w:val="22"/>
        </w:rPr>
        <w:t>organisational</w:t>
      </w:r>
      <w:proofErr w:type="spellEnd"/>
      <w:r w:rsidR="00EF6559" w:rsidRPr="00784936">
        <w:rPr>
          <w:rFonts w:ascii="Arial" w:hAnsi="Arial" w:cs="Arial"/>
          <w:szCs w:val="22"/>
        </w:rPr>
        <w:t xml:space="preserve"> change is </w:t>
      </w:r>
      <w:proofErr w:type="spellStart"/>
      <w:r w:rsidR="00EF6559" w:rsidRPr="00784936">
        <w:rPr>
          <w:rFonts w:ascii="Arial" w:hAnsi="Arial" w:cs="Arial"/>
          <w:szCs w:val="22"/>
        </w:rPr>
        <w:t>conceptualised</w:t>
      </w:r>
      <w:proofErr w:type="spellEnd"/>
      <w:r w:rsidR="00EF6559" w:rsidRPr="00784936">
        <w:rPr>
          <w:rFonts w:ascii="Arial" w:hAnsi="Arial" w:cs="Arial"/>
          <w:szCs w:val="22"/>
        </w:rPr>
        <w:t>. As Deloitte (2023) notes, logistics is increasingly defined by automation, robotics, and data analytics, which streamline operations but necessitate new competencies. This “Industry 4.0” transition demands adaptive leadership and strategic workforce planning.</w:t>
      </w:r>
      <w:r w:rsidR="00EF6559" w:rsidRPr="00784936">
        <w:rPr>
          <w:rFonts w:ascii="Arial" w:hAnsi="Arial" w:cs="Arial"/>
          <w:szCs w:val="22"/>
        </w:rPr>
        <w:br/>
      </w:r>
      <w:r w:rsidR="00EF6559" w:rsidRPr="00784936">
        <w:rPr>
          <w:rFonts w:ascii="Arial" w:hAnsi="Arial" w:cs="Arial"/>
          <w:szCs w:val="22"/>
        </w:rPr>
        <w:br/>
        <w:t xml:space="preserve">Academic debate remains divided on whether technology simplifies or complicates change management. Some scholars argue that digital systems facilitate smoother transitions by </w:t>
      </w:r>
      <w:proofErr w:type="spellStart"/>
      <w:r w:rsidR="00EF6559" w:rsidRPr="00784936">
        <w:rPr>
          <w:rFonts w:ascii="Arial" w:hAnsi="Arial" w:cs="Arial"/>
          <w:szCs w:val="22"/>
        </w:rPr>
        <w:t>standardising</w:t>
      </w:r>
      <w:proofErr w:type="spellEnd"/>
      <w:r w:rsidR="00EF6559" w:rsidRPr="00784936">
        <w:rPr>
          <w:rFonts w:ascii="Arial" w:hAnsi="Arial" w:cs="Arial"/>
          <w:szCs w:val="22"/>
        </w:rPr>
        <w:t xml:space="preserve"> processes (Accenture, 2022), while others suggest they increase complexity by requiring continual updates and re-training (By et al., 2016). In Tesco’s context, the implementation of automated picking systems and digital inventory platforms has improved accuracy and reduced </w:t>
      </w:r>
      <w:proofErr w:type="spellStart"/>
      <w:r w:rsidR="00EF6559" w:rsidRPr="00784936">
        <w:rPr>
          <w:rFonts w:ascii="Arial" w:hAnsi="Arial" w:cs="Arial"/>
          <w:szCs w:val="22"/>
        </w:rPr>
        <w:t>labour</w:t>
      </w:r>
      <w:proofErr w:type="spellEnd"/>
      <w:r w:rsidR="00EF6559" w:rsidRPr="00784936">
        <w:rPr>
          <w:rFonts w:ascii="Arial" w:hAnsi="Arial" w:cs="Arial"/>
          <w:szCs w:val="22"/>
        </w:rPr>
        <w:t>-intensive tasks. Yet, these systems also require robust data governance, cybersecurity measures, and cross-departmental coordination (Tesco plc, 2024).</w:t>
      </w:r>
      <w:r w:rsidR="00EF6559" w:rsidRPr="00784936">
        <w:rPr>
          <w:rFonts w:ascii="Arial" w:hAnsi="Arial" w:cs="Arial"/>
          <w:szCs w:val="22"/>
        </w:rPr>
        <w:br/>
      </w:r>
      <w:r w:rsidR="00EF6559" w:rsidRPr="00784936">
        <w:rPr>
          <w:rFonts w:ascii="Arial" w:hAnsi="Arial" w:cs="Arial"/>
          <w:szCs w:val="22"/>
        </w:rPr>
        <w:br/>
        <w:t xml:space="preserve">Thus, while technology acts as an enabler of change, it simultaneously imposes new layers </w:t>
      </w:r>
      <w:r w:rsidR="00EF6559" w:rsidRPr="00784936">
        <w:rPr>
          <w:rFonts w:ascii="Arial" w:hAnsi="Arial" w:cs="Arial"/>
          <w:szCs w:val="22"/>
        </w:rPr>
        <w:lastRenderedPageBreak/>
        <w:t xml:space="preserve">of </w:t>
      </w:r>
      <w:proofErr w:type="spellStart"/>
      <w:r w:rsidR="00EF6559" w:rsidRPr="00784936">
        <w:rPr>
          <w:rFonts w:ascii="Arial" w:hAnsi="Arial" w:cs="Arial"/>
          <w:szCs w:val="22"/>
        </w:rPr>
        <w:t>organisational</w:t>
      </w:r>
      <w:proofErr w:type="spellEnd"/>
      <w:r w:rsidR="00EF6559" w:rsidRPr="00784936">
        <w:rPr>
          <w:rFonts w:ascii="Arial" w:hAnsi="Arial" w:cs="Arial"/>
          <w:szCs w:val="22"/>
        </w:rPr>
        <w:t xml:space="preserve"> learning and adaptation. Effective change management within logistics must therefore encompass both technical and human factors, ensuring that technological progress does not outpace emp</w:t>
      </w:r>
      <w:r w:rsidRPr="00784936">
        <w:rPr>
          <w:rFonts w:ascii="Arial" w:hAnsi="Arial" w:cs="Arial"/>
          <w:szCs w:val="22"/>
        </w:rPr>
        <w:t>loyee capability development.</w:t>
      </w:r>
      <w:r w:rsidRPr="00784936">
        <w:rPr>
          <w:rFonts w:ascii="Arial" w:hAnsi="Arial" w:cs="Arial"/>
          <w:szCs w:val="22"/>
        </w:rPr>
        <w:br/>
      </w:r>
      <w:r w:rsidR="00EF6559" w:rsidRPr="00FA5EA3">
        <w:rPr>
          <w:rFonts w:ascii="Arial" w:hAnsi="Arial" w:cs="Arial"/>
          <w:sz w:val="21"/>
          <w:szCs w:val="21"/>
        </w:rPr>
        <w:br/>
      </w:r>
      <w:r w:rsidR="00EF6559" w:rsidRPr="00FA5EA3">
        <w:rPr>
          <w:rFonts w:ascii="Arial" w:hAnsi="Arial" w:cs="Arial"/>
          <w:sz w:val="21"/>
          <w:szCs w:val="21"/>
        </w:rPr>
        <w:br/>
      </w:r>
      <w:r w:rsidR="00EF6559" w:rsidRPr="00177FE1">
        <w:rPr>
          <w:rStyle w:val="Heading2Char"/>
        </w:rPr>
        <w:t xml:space="preserve">2.8 </w:t>
      </w:r>
      <w:r w:rsidR="00FA5EA3" w:rsidRPr="00177FE1">
        <w:rPr>
          <w:rStyle w:val="Heading2Char"/>
        </w:rPr>
        <w:t xml:space="preserve">Literature </w:t>
      </w:r>
      <w:r w:rsidR="00D71B06">
        <w:rPr>
          <w:rStyle w:val="Heading2Char"/>
        </w:rPr>
        <w:t>g</w:t>
      </w:r>
      <w:r w:rsidR="00CF4A74">
        <w:rPr>
          <w:rStyle w:val="Heading2Char"/>
        </w:rPr>
        <w:t>ap</w:t>
      </w:r>
      <w:r w:rsidR="00FA5EA3" w:rsidRPr="00FA5EA3">
        <w:rPr>
          <w:rFonts w:ascii="Arial" w:hAnsi="Arial" w:cs="Arial"/>
          <w:sz w:val="21"/>
          <w:szCs w:val="21"/>
        </w:rPr>
        <w:br/>
      </w:r>
      <w:r w:rsidR="00FA5EA3" w:rsidRPr="00FA5EA3">
        <w:rPr>
          <w:rFonts w:ascii="Arial" w:hAnsi="Arial" w:cs="Arial"/>
          <w:sz w:val="21"/>
          <w:szCs w:val="21"/>
        </w:rPr>
        <w:br/>
      </w:r>
      <w:r w:rsidR="00FA5EA3" w:rsidRPr="00177FE1">
        <w:rPr>
          <w:rFonts w:ascii="Arial" w:hAnsi="Arial" w:cs="Arial"/>
          <w:b/>
          <w:bCs/>
          <w:szCs w:val="22"/>
        </w:rPr>
        <w:t xml:space="preserve">Literature </w:t>
      </w:r>
      <w:r w:rsidR="00D71B06">
        <w:rPr>
          <w:rFonts w:ascii="Arial" w:hAnsi="Arial" w:cs="Arial"/>
          <w:b/>
          <w:bCs/>
          <w:szCs w:val="22"/>
        </w:rPr>
        <w:t>g</w:t>
      </w:r>
      <w:r w:rsidR="00FA5EA3" w:rsidRPr="00177FE1">
        <w:rPr>
          <w:rFonts w:ascii="Arial" w:hAnsi="Arial" w:cs="Arial"/>
          <w:b/>
          <w:bCs/>
          <w:szCs w:val="22"/>
        </w:rPr>
        <w:t>ap:</w:t>
      </w:r>
      <w:r w:rsidR="00FA5EA3" w:rsidRPr="00177FE1">
        <w:rPr>
          <w:rFonts w:ascii="Arial" w:hAnsi="Arial" w:cs="Arial"/>
          <w:szCs w:val="22"/>
        </w:rPr>
        <w:br/>
        <w:t xml:space="preserve">The review reveals that while </w:t>
      </w:r>
      <w:proofErr w:type="spellStart"/>
      <w:r w:rsidR="00FA5EA3" w:rsidRPr="00177FE1">
        <w:rPr>
          <w:rFonts w:ascii="Arial" w:hAnsi="Arial" w:cs="Arial"/>
          <w:szCs w:val="22"/>
        </w:rPr>
        <w:t>organisational</w:t>
      </w:r>
      <w:proofErr w:type="spellEnd"/>
      <w:r w:rsidR="00FA5EA3" w:rsidRPr="00177FE1">
        <w:rPr>
          <w:rFonts w:ascii="Arial" w:hAnsi="Arial" w:cs="Arial"/>
          <w:szCs w:val="22"/>
        </w:rPr>
        <w:t xml:space="preserve"> change theory is well-developed, it remains largely conceptual and top-down. There is limited empirical evidence about how change actually occurs in </w:t>
      </w:r>
      <w:r w:rsidR="00FA5EA3" w:rsidRPr="00177FE1">
        <w:rPr>
          <w:rFonts w:ascii="Arial" w:hAnsi="Arial" w:cs="Arial"/>
          <w:i/>
          <w:iCs/>
          <w:szCs w:val="22"/>
        </w:rPr>
        <w:t>retail logistics</w:t>
      </w:r>
      <w:r w:rsidR="00FA5EA3" w:rsidRPr="00177FE1">
        <w:rPr>
          <w:rFonts w:ascii="Arial" w:hAnsi="Arial" w:cs="Arial"/>
          <w:szCs w:val="22"/>
        </w:rPr>
        <w:t xml:space="preserve"> particularly how employees, managers, and systems adapt in high-volume, time-sensitive warehouse operations like those at Tesco.</w:t>
      </w:r>
    </w:p>
    <w:p w:rsidR="00FA5EA3" w:rsidRPr="00177FE1" w:rsidRDefault="00FA5EA3" w:rsidP="00177FE1">
      <w:pPr>
        <w:pStyle w:val="NormalWeb"/>
        <w:spacing w:line="360" w:lineRule="auto"/>
        <w:rPr>
          <w:rFonts w:ascii="Arial" w:eastAsiaTheme="majorEastAsia" w:hAnsi="Arial" w:cs="Arial"/>
          <w:b/>
          <w:bCs/>
          <w:color w:val="156082" w:themeColor="accent1"/>
          <w:szCs w:val="22"/>
        </w:rPr>
      </w:pPr>
      <w:r w:rsidRPr="00177FE1">
        <w:rPr>
          <w:rFonts w:ascii="Arial" w:hAnsi="Arial" w:cs="Arial"/>
          <w:szCs w:val="22"/>
        </w:rPr>
        <w:br/>
        <w:t xml:space="preserve">Existing studies focus on strategy, leadership, or technology in isolation but rarely examine the </w:t>
      </w:r>
      <w:r w:rsidRPr="001F311F">
        <w:rPr>
          <w:rFonts w:ascii="Arial" w:hAnsi="Arial" w:cs="Arial"/>
          <w:szCs w:val="22"/>
        </w:rPr>
        <w:t>interaction between cultural, technological, and human factors</w:t>
      </w:r>
      <w:r w:rsidRPr="00177FE1">
        <w:rPr>
          <w:rFonts w:ascii="Arial" w:hAnsi="Arial" w:cs="Arial"/>
          <w:szCs w:val="22"/>
        </w:rPr>
        <w:t xml:space="preserve">. Moreover, few studies capture the </w:t>
      </w:r>
      <w:r w:rsidRPr="00177FE1">
        <w:rPr>
          <w:rFonts w:ascii="Arial" w:hAnsi="Arial" w:cs="Arial"/>
          <w:i/>
          <w:iCs/>
          <w:szCs w:val="22"/>
        </w:rPr>
        <w:t>continuous and adaptive</w:t>
      </w:r>
      <w:r w:rsidRPr="00177FE1">
        <w:rPr>
          <w:rFonts w:ascii="Arial" w:hAnsi="Arial" w:cs="Arial"/>
          <w:szCs w:val="22"/>
        </w:rPr>
        <w:t xml:space="preserve"> nature of change in modern supply chains, where transformation is ongoing rather than episodic.</w:t>
      </w:r>
      <w:r w:rsidRPr="00177FE1">
        <w:rPr>
          <w:rFonts w:ascii="Arial" w:hAnsi="Arial" w:cs="Arial"/>
          <w:szCs w:val="22"/>
        </w:rPr>
        <w:br/>
      </w:r>
      <w:r w:rsidRPr="00177FE1">
        <w:rPr>
          <w:rFonts w:ascii="Arial" w:hAnsi="Arial" w:cs="Arial"/>
          <w:szCs w:val="22"/>
        </w:rPr>
        <w:br/>
      </w:r>
      <w:r w:rsidRPr="00177FE1">
        <w:rPr>
          <w:rFonts w:ascii="Arial" w:hAnsi="Arial" w:cs="Arial"/>
          <w:b/>
          <w:bCs/>
          <w:szCs w:val="22"/>
        </w:rPr>
        <w:t xml:space="preserve">Research </w:t>
      </w:r>
      <w:r w:rsidR="00D71B06">
        <w:rPr>
          <w:rFonts w:ascii="Arial" w:hAnsi="Arial" w:cs="Arial"/>
          <w:b/>
          <w:bCs/>
          <w:szCs w:val="22"/>
        </w:rPr>
        <w:t>h</w:t>
      </w:r>
      <w:r w:rsidRPr="00177FE1">
        <w:rPr>
          <w:rFonts w:ascii="Arial" w:hAnsi="Arial" w:cs="Arial"/>
          <w:b/>
          <w:bCs/>
          <w:szCs w:val="22"/>
        </w:rPr>
        <w:t xml:space="preserve">ypothesis (Practitioner </w:t>
      </w:r>
      <w:r w:rsidR="00D71B06">
        <w:rPr>
          <w:rFonts w:ascii="Arial" w:hAnsi="Arial" w:cs="Arial"/>
          <w:b/>
          <w:bCs/>
          <w:szCs w:val="22"/>
        </w:rPr>
        <w:t>p</w:t>
      </w:r>
      <w:r w:rsidRPr="00177FE1">
        <w:rPr>
          <w:rFonts w:ascii="Arial" w:hAnsi="Arial" w:cs="Arial"/>
          <w:b/>
          <w:bCs/>
          <w:szCs w:val="22"/>
        </w:rPr>
        <w:t>erspective):</w:t>
      </w:r>
      <w:r w:rsidRPr="00177FE1">
        <w:rPr>
          <w:rFonts w:ascii="Arial" w:hAnsi="Arial" w:cs="Arial"/>
          <w:szCs w:val="22"/>
        </w:rPr>
        <w:br/>
        <w:t xml:space="preserve">Based on both literature and my professional experience at Tesco Daventry Clothing Distribution Centre, I </w:t>
      </w:r>
      <w:r w:rsidR="00A13029" w:rsidRPr="00177FE1">
        <w:rPr>
          <w:rFonts w:ascii="Arial" w:hAnsi="Arial" w:cs="Arial"/>
          <w:szCs w:val="22"/>
        </w:rPr>
        <w:t>hypothesize</w:t>
      </w:r>
      <w:r w:rsidRPr="00177FE1">
        <w:rPr>
          <w:rFonts w:ascii="Arial" w:hAnsi="Arial" w:cs="Arial"/>
          <w:szCs w:val="22"/>
        </w:rPr>
        <w:t xml:space="preserve"> that:</w:t>
      </w:r>
      <w:r w:rsidRPr="00177FE1">
        <w:rPr>
          <w:rFonts w:ascii="Arial" w:hAnsi="Arial" w:cs="Arial"/>
          <w:szCs w:val="22"/>
        </w:rPr>
        <w:br/>
      </w:r>
      <w:r w:rsidRPr="00177FE1">
        <w:rPr>
          <w:rFonts w:ascii="Arial" w:hAnsi="Arial" w:cs="Arial"/>
          <w:szCs w:val="22"/>
        </w:rPr>
        <w:br/>
      </w:r>
      <w:r w:rsidRPr="00177FE1">
        <w:rPr>
          <w:rFonts w:ascii="Arial" w:hAnsi="Arial" w:cs="Arial"/>
          <w:i/>
          <w:iCs/>
          <w:szCs w:val="22"/>
        </w:rPr>
        <w:t>While existing change management models (e.g., Lewin, Kotter, ADKAR) provide valuable frameworks, they are insufficiently flexible to explain the ongoing, adaptive, and human-</w:t>
      </w:r>
      <w:proofErr w:type="spellStart"/>
      <w:r w:rsidRPr="00177FE1">
        <w:rPr>
          <w:rFonts w:ascii="Arial" w:hAnsi="Arial" w:cs="Arial"/>
          <w:i/>
          <w:iCs/>
          <w:szCs w:val="22"/>
        </w:rPr>
        <w:t>centred</w:t>
      </w:r>
      <w:proofErr w:type="spellEnd"/>
      <w:r w:rsidRPr="00177FE1">
        <w:rPr>
          <w:rFonts w:ascii="Arial" w:hAnsi="Arial" w:cs="Arial"/>
          <w:i/>
          <w:iCs/>
          <w:szCs w:val="22"/>
        </w:rPr>
        <w:t xml:space="preserve"> realities of </w:t>
      </w:r>
      <w:proofErr w:type="spellStart"/>
      <w:r w:rsidRPr="00177FE1">
        <w:rPr>
          <w:rFonts w:ascii="Arial" w:hAnsi="Arial" w:cs="Arial"/>
          <w:i/>
          <w:iCs/>
          <w:szCs w:val="22"/>
        </w:rPr>
        <w:t>organisational</w:t>
      </w:r>
      <w:proofErr w:type="spellEnd"/>
      <w:r w:rsidRPr="00177FE1">
        <w:rPr>
          <w:rFonts w:ascii="Arial" w:hAnsi="Arial" w:cs="Arial"/>
          <w:i/>
          <w:iCs/>
          <w:szCs w:val="22"/>
        </w:rPr>
        <w:t xml:space="preserve"> change in logistics. Successful change in Tesco’s distribution network depends less on strict model adherence and more on adaptive leadership, transparent communication, and continuous workforce learning.</w:t>
      </w:r>
      <w:r w:rsidRPr="00177FE1">
        <w:rPr>
          <w:rFonts w:ascii="Arial" w:hAnsi="Arial" w:cs="Arial"/>
          <w:szCs w:val="22"/>
        </w:rPr>
        <w:br/>
      </w:r>
      <w:r w:rsidRPr="00177FE1">
        <w:rPr>
          <w:rFonts w:ascii="Arial" w:hAnsi="Arial" w:cs="Arial"/>
          <w:szCs w:val="22"/>
        </w:rPr>
        <w:br/>
        <w:t xml:space="preserve">In other words, I expect to find that </w:t>
      </w:r>
      <w:r w:rsidRPr="001F311F">
        <w:rPr>
          <w:rFonts w:ascii="Arial" w:hAnsi="Arial" w:cs="Arial"/>
          <w:szCs w:val="22"/>
        </w:rPr>
        <w:t xml:space="preserve">change succeeds not because </w:t>
      </w:r>
      <w:proofErr w:type="spellStart"/>
      <w:r w:rsidRPr="001F311F">
        <w:rPr>
          <w:rFonts w:ascii="Arial" w:hAnsi="Arial" w:cs="Arial"/>
          <w:szCs w:val="22"/>
        </w:rPr>
        <w:t>organisations</w:t>
      </w:r>
      <w:proofErr w:type="spellEnd"/>
      <w:r w:rsidRPr="001F311F">
        <w:rPr>
          <w:rFonts w:ascii="Arial" w:hAnsi="Arial" w:cs="Arial"/>
          <w:szCs w:val="22"/>
        </w:rPr>
        <w:t xml:space="preserve"> follow theoretical steps,</w:t>
      </w:r>
      <w:r w:rsidRPr="00177FE1">
        <w:rPr>
          <w:rFonts w:ascii="Arial" w:hAnsi="Arial" w:cs="Arial"/>
          <w:szCs w:val="22"/>
        </w:rPr>
        <w:t xml:space="preserve"> but because managers and teams continually interpret and adapt those principles to the operational realities of the warehouse environment.</w:t>
      </w:r>
    </w:p>
    <w:p w:rsidR="00FA5EA3" w:rsidRPr="00FA5EA3" w:rsidRDefault="00FA5EA3" w:rsidP="00FA5EA3">
      <w:pPr>
        <w:pStyle w:val="NormalWeb"/>
        <w:spacing w:line="360" w:lineRule="auto"/>
        <w:rPr>
          <w:rStyle w:val="Heading3Char"/>
          <w:rFonts w:ascii="Arial" w:hAnsi="Arial" w:cs="Arial"/>
        </w:rPr>
      </w:pPr>
      <w:r w:rsidRPr="00FA5EA3">
        <w:rPr>
          <w:rFonts w:ascii="Arial" w:hAnsi="Arial" w:cs="Arial"/>
          <w:sz w:val="21"/>
          <w:szCs w:val="21"/>
        </w:rPr>
        <w:t> </w:t>
      </w:r>
    </w:p>
    <w:p w:rsidR="004F6922" w:rsidRPr="002D4119" w:rsidRDefault="00FA5EA3" w:rsidP="001358D6">
      <w:pPr>
        <w:pStyle w:val="NormalWeb"/>
        <w:spacing w:line="360" w:lineRule="auto"/>
        <w:rPr>
          <w:rFonts w:ascii="Arial" w:hAnsi="Arial" w:cs="Arial"/>
          <w:szCs w:val="22"/>
        </w:rPr>
      </w:pPr>
      <w:r w:rsidRPr="00FA5EA3">
        <w:rPr>
          <w:rFonts w:ascii="Arial" w:hAnsi="Arial" w:cs="Arial"/>
          <w:sz w:val="21"/>
          <w:szCs w:val="21"/>
        </w:rPr>
        <w:br/>
      </w:r>
      <w:bookmarkStart w:id="9" w:name="_Toc214295751"/>
      <w:r w:rsidRPr="00A13029">
        <w:rPr>
          <w:rStyle w:val="Heading2Char"/>
        </w:rPr>
        <w:t xml:space="preserve">2.9 </w:t>
      </w:r>
      <w:r w:rsidR="00EF124C">
        <w:rPr>
          <w:rStyle w:val="Heading2Char"/>
        </w:rPr>
        <w:t>Research</w:t>
      </w:r>
      <w:r w:rsidRPr="00A13029">
        <w:rPr>
          <w:rStyle w:val="Heading2Char"/>
        </w:rPr>
        <w:t xml:space="preserve"> </w:t>
      </w:r>
      <w:r w:rsidR="00D71B06">
        <w:rPr>
          <w:rStyle w:val="Heading2Char"/>
        </w:rPr>
        <w:t>h</w:t>
      </w:r>
      <w:r w:rsidRPr="00A13029">
        <w:rPr>
          <w:rStyle w:val="Heading2Char"/>
        </w:rPr>
        <w:t>ypothesis</w:t>
      </w:r>
      <w:bookmarkEnd w:id="9"/>
      <w:r w:rsidR="00EF6559" w:rsidRPr="00FA5EA3">
        <w:rPr>
          <w:rFonts w:ascii="Arial" w:hAnsi="Arial" w:cs="Arial"/>
          <w:sz w:val="21"/>
          <w:szCs w:val="21"/>
        </w:rPr>
        <w:br/>
      </w:r>
      <w:r w:rsidR="00EF6559" w:rsidRPr="00FA5EA3">
        <w:rPr>
          <w:rFonts w:ascii="Arial" w:hAnsi="Arial" w:cs="Arial"/>
          <w:sz w:val="21"/>
          <w:szCs w:val="21"/>
        </w:rPr>
        <w:lastRenderedPageBreak/>
        <w:br/>
      </w:r>
      <w:r w:rsidR="00EF6559" w:rsidRPr="002D4119">
        <w:rPr>
          <w:rFonts w:ascii="Arial" w:hAnsi="Arial" w:cs="Arial"/>
          <w:szCs w:val="22"/>
        </w:rPr>
        <w:t xml:space="preserve">The literature reviewed establishes that </w:t>
      </w:r>
      <w:proofErr w:type="spellStart"/>
      <w:r w:rsidR="00EF6559" w:rsidRPr="002D4119">
        <w:rPr>
          <w:rFonts w:ascii="Arial" w:hAnsi="Arial" w:cs="Arial"/>
          <w:szCs w:val="22"/>
        </w:rPr>
        <w:t>organisational</w:t>
      </w:r>
      <w:proofErr w:type="spellEnd"/>
      <w:r w:rsidR="00EF6559" w:rsidRPr="002D4119">
        <w:rPr>
          <w:rFonts w:ascii="Arial" w:hAnsi="Arial" w:cs="Arial"/>
          <w:szCs w:val="22"/>
        </w:rPr>
        <w:t xml:space="preserve"> change in logistics is a multifaceted process shaped by leadership, communication, culture, and technology. For this study, the conceptual framework integrates elements from Kotter’s (1996) model, ADKAR (Hiatt, 2006), and </w:t>
      </w:r>
      <w:proofErr w:type="spellStart"/>
      <w:r w:rsidR="00EF6559" w:rsidRPr="002D4119">
        <w:rPr>
          <w:rFonts w:ascii="Arial" w:hAnsi="Arial" w:cs="Arial"/>
          <w:szCs w:val="22"/>
        </w:rPr>
        <w:t>Armenakis</w:t>
      </w:r>
      <w:proofErr w:type="spellEnd"/>
      <w:r w:rsidR="00EF6559" w:rsidRPr="002D4119">
        <w:rPr>
          <w:rFonts w:ascii="Arial" w:hAnsi="Arial" w:cs="Arial"/>
          <w:szCs w:val="22"/>
        </w:rPr>
        <w:t xml:space="preserve"> and Harris (2009) to examine Tesco’s change management. This blended approach enables a critical evaluation of how leadership and communication drive readiness for change, how employee engagement supports implementation, and how technological adaptation sustains outcomes. The framework also acknowledges contextual influences such as external market pressures and </w:t>
      </w:r>
      <w:proofErr w:type="spellStart"/>
      <w:r w:rsidR="00EF6559" w:rsidRPr="002D4119">
        <w:rPr>
          <w:rFonts w:ascii="Arial" w:hAnsi="Arial" w:cs="Arial"/>
          <w:szCs w:val="22"/>
        </w:rPr>
        <w:t>organisational</w:t>
      </w:r>
      <w:proofErr w:type="spellEnd"/>
      <w:r w:rsidR="00EF6559" w:rsidRPr="002D4119">
        <w:rPr>
          <w:rFonts w:ascii="Arial" w:hAnsi="Arial" w:cs="Arial"/>
          <w:szCs w:val="22"/>
        </w:rPr>
        <w:t xml:space="preserve"> culture, ensuring a holistic analysis of Tesco’s case.</w:t>
      </w:r>
    </w:p>
    <w:p w:rsidR="00EF6559" w:rsidRPr="002D4119" w:rsidRDefault="00EF6559" w:rsidP="001358D6">
      <w:pPr>
        <w:pStyle w:val="NormalWeb"/>
        <w:spacing w:line="360" w:lineRule="auto"/>
        <w:rPr>
          <w:rFonts w:ascii="Arial" w:hAnsi="Arial" w:cs="Arial"/>
          <w:szCs w:val="22"/>
        </w:rPr>
      </w:pPr>
      <w:r w:rsidRPr="00FA5EA3">
        <w:rPr>
          <w:rFonts w:ascii="Arial" w:hAnsi="Arial" w:cs="Arial"/>
          <w:sz w:val="21"/>
          <w:szCs w:val="21"/>
        </w:rPr>
        <w:br/>
      </w:r>
      <w:bookmarkStart w:id="10" w:name="_Toc214295752"/>
      <w:r w:rsidR="00FA5EA3" w:rsidRPr="00A13029">
        <w:rPr>
          <w:rStyle w:val="Heading2Char"/>
        </w:rPr>
        <w:t>2.10</w:t>
      </w:r>
      <w:r w:rsidRPr="00A13029">
        <w:rPr>
          <w:rStyle w:val="Heading2Char"/>
        </w:rPr>
        <w:t xml:space="preserve"> C</w:t>
      </w:r>
      <w:r w:rsidR="006D3A2E">
        <w:rPr>
          <w:rStyle w:val="Heading2Char"/>
        </w:rPr>
        <w:t>hapter</w:t>
      </w:r>
      <w:r w:rsidR="00300187">
        <w:rPr>
          <w:rStyle w:val="Heading2Char"/>
        </w:rPr>
        <w:t xml:space="preserve"> </w:t>
      </w:r>
      <w:r w:rsidR="00D71B06">
        <w:rPr>
          <w:rStyle w:val="Heading2Char"/>
        </w:rPr>
        <w:t>s</w:t>
      </w:r>
      <w:r w:rsidR="00300187">
        <w:rPr>
          <w:rStyle w:val="Heading2Char"/>
        </w:rPr>
        <w:t>ummary</w:t>
      </w:r>
      <w:bookmarkEnd w:id="10"/>
      <w:r w:rsidRPr="00FA5EA3">
        <w:rPr>
          <w:rFonts w:ascii="Arial" w:hAnsi="Arial" w:cs="Arial"/>
          <w:sz w:val="21"/>
          <w:szCs w:val="21"/>
        </w:rPr>
        <w:br/>
      </w:r>
      <w:r w:rsidRPr="00FA5EA3">
        <w:rPr>
          <w:rFonts w:ascii="Arial" w:hAnsi="Arial" w:cs="Arial"/>
          <w:sz w:val="21"/>
          <w:szCs w:val="21"/>
        </w:rPr>
        <w:br/>
      </w:r>
      <w:r w:rsidRPr="002D4119">
        <w:rPr>
          <w:rFonts w:ascii="Arial" w:hAnsi="Arial" w:cs="Arial"/>
          <w:szCs w:val="22"/>
        </w:rPr>
        <w:t xml:space="preserve">This chapter has critically reviewed the key theoretical and empirical contributions to the study of </w:t>
      </w:r>
      <w:proofErr w:type="spellStart"/>
      <w:r w:rsidRPr="002D4119">
        <w:rPr>
          <w:rFonts w:ascii="Arial" w:hAnsi="Arial" w:cs="Arial"/>
          <w:szCs w:val="22"/>
        </w:rPr>
        <w:t>organisational</w:t>
      </w:r>
      <w:proofErr w:type="spellEnd"/>
      <w:r w:rsidRPr="002D4119">
        <w:rPr>
          <w:rFonts w:ascii="Arial" w:hAnsi="Arial" w:cs="Arial"/>
          <w:szCs w:val="22"/>
        </w:rPr>
        <w:t xml:space="preserve"> change, with a specific focus on the retail logistics sector. The discussion established that while traditional models such as those by Lewin (1951) and Kotter (1996) remain influential, they must be adapted to contemporary, technology-driven environments. Leadership, communication, and employee engagement emerged as core determinants of successful change implementation, while resistance, skill gaps, and cultural barriers continue to hinder progress.</w:t>
      </w:r>
      <w:r w:rsidRPr="002D4119">
        <w:rPr>
          <w:rFonts w:ascii="Arial" w:hAnsi="Arial" w:cs="Arial"/>
          <w:szCs w:val="22"/>
        </w:rPr>
        <w:br/>
      </w:r>
      <w:r w:rsidRPr="002D4119">
        <w:rPr>
          <w:rFonts w:ascii="Arial" w:hAnsi="Arial" w:cs="Arial"/>
          <w:szCs w:val="22"/>
        </w:rPr>
        <w:br/>
        <w:t>In relation to Tesco, the reviewed literature highlights the relevance of hybrid approaches that combine structural transformation with human-</w:t>
      </w:r>
      <w:proofErr w:type="spellStart"/>
      <w:r w:rsidRPr="002D4119">
        <w:rPr>
          <w:rFonts w:ascii="Arial" w:hAnsi="Arial" w:cs="Arial"/>
          <w:szCs w:val="22"/>
        </w:rPr>
        <w:t>centred</w:t>
      </w:r>
      <w:proofErr w:type="spellEnd"/>
      <w:r w:rsidRPr="002D4119">
        <w:rPr>
          <w:rFonts w:ascii="Arial" w:hAnsi="Arial" w:cs="Arial"/>
          <w:szCs w:val="22"/>
        </w:rPr>
        <w:t xml:space="preserve"> strategies. The next chapter will build on these insights to outline the methodological framework used to </w:t>
      </w:r>
      <w:proofErr w:type="spellStart"/>
      <w:r w:rsidRPr="002D4119">
        <w:rPr>
          <w:rFonts w:ascii="Arial" w:hAnsi="Arial" w:cs="Arial"/>
          <w:szCs w:val="22"/>
        </w:rPr>
        <w:t>analyse</w:t>
      </w:r>
      <w:proofErr w:type="spellEnd"/>
      <w:r w:rsidRPr="002D4119">
        <w:rPr>
          <w:rFonts w:ascii="Arial" w:hAnsi="Arial" w:cs="Arial"/>
          <w:szCs w:val="22"/>
        </w:rPr>
        <w:t xml:space="preserve"> Tesco’s </w:t>
      </w:r>
      <w:proofErr w:type="spellStart"/>
      <w:r w:rsidRPr="002D4119">
        <w:rPr>
          <w:rFonts w:ascii="Arial" w:hAnsi="Arial" w:cs="Arial"/>
          <w:szCs w:val="22"/>
        </w:rPr>
        <w:t>organisational</w:t>
      </w:r>
      <w:proofErr w:type="spellEnd"/>
      <w:r w:rsidRPr="002D4119">
        <w:rPr>
          <w:rFonts w:ascii="Arial" w:hAnsi="Arial" w:cs="Arial"/>
          <w:szCs w:val="22"/>
        </w:rPr>
        <w:t xml:space="preserve"> change practices through secondary data sources, ensuring the research remains rigorous, ethical, and academically grounded</w:t>
      </w:r>
      <w:r w:rsidR="009328B7">
        <w:rPr>
          <w:rFonts w:ascii="Arial" w:hAnsi="Arial" w:cs="Arial"/>
          <w:szCs w:val="22"/>
        </w:rPr>
        <w:t>.</w:t>
      </w:r>
    </w:p>
    <w:p w:rsidR="00A13029" w:rsidRDefault="00EF6559" w:rsidP="00A13029">
      <w:pPr>
        <w:spacing w:after="160"/>
        <w:rPr>
          <w:rFonts w:eastAsia="Calibri"/>
          <w:i/>
        </w:rPr>
      </w:pPr>
      <w:r w:rsidRPr="00FA5EA3">
        <w:rPr>
          <w:sz w:val="21"/>
          <w:szCs w:val="21"/>
        </w:rPr>
        <w:t> </w:t>
      </w:r>
      <w:r w:rsidRPr="00FA5EA3">
        <w:rPr>
          <w:rFonts w:eastAsia="Calibri"/>
          <w:i/>
        </w:rPr>
        <w:t xml:space="preserve"> </w:t>
      </w:r>
    </w:p>
    <w:p w:rsidR="00A8527D" w:rsidRPr="009328B7" w:rsidRDefault="004F6922" w:rsidP="00A13029">
      <w:pPr>
        <w:spacing w:after="160"/>
        <w:rPr>
          <w:szCs w:val="22"/>
        </w:rPr>
      </w:pPr>
      <w:bookmarkStart w:id="11" w:name="_Toc214295753"/>
      <w:r w:rsidRPr="00A8527D">
        <w:rPr>
          <w:rStyle w:val="Heading1Char"/>
          <w:szCs w:val="32"/>
        </w:rPr>
        <w:t>CHAPTER 3: M</w:t>
      </w:r>
      <w:r w:rsidR="00D71B06">
        <w:rPr>
          <w:rStyle w:val="Heading1Char"/>
          <w:szCs w:val="32"/>
        </w:rPr>
        <w:t>ethodology</w:t>
      </w:r>
      <w:bookmarkEnd w:id="11"/>
      <w:r w:rsidRPr="00FA5EA3">
        <w:rPr>
          <w:sz w:val="21"/>
          <w:szCs w:val="21"/>
        </w:rPr>
        <w:br/>
      </w:r>
      <w:r w:rsidRPr="00FA5EA3">
        <w:rPr>
          <w:sz w:val="21"/>
          <w:szCs w:val="21"/>
        </w:rPr>
        <w:br/>
      </w:r>
      <w:r w:rsidR="0023565D" w:rsidRPr="00A8527D">
        <w:rPr>
          <w:rStyle w:val="Heading2Char"/>
        </w:rPr>
        <w:t xml:space="preserve">3.1 Systematic </w:t>
      </w:r>
      <w:r w:rsidR="00D71B06">
        <w:rPr>
          <w:rStyle w:val="Heading2Char"/>
        </w:rPr>
        <w:t>l</w:t>
      </w:r>
      <w:r w:rsidR="0023565D" w:rsidRPr="00A8527D">
        <w:rPr>
          <w:rStyle w:val="Heading2Char"/>
        </w:rPr>
        <w:t xml:space="preserve">iterature </w:t>
      </w:r>
      <w:r w:rsidR="00D71B06">
        <w:rPr>
          <w:rStyle w:val="Heading2Char"/>
        </w:rPr>
        <w:t>r</w:t>
      </w:r>
      <w:r w:rsidR="0023565D" w:rsidRPr="00A8527D">
        <w:rPr>
          <w:rStyle w:val="Heading2Char"/>
        </w:rPr>
        <w:t>eview (SLR)</w:t>
      </w:r>
      <w:r w:rsidR="0023565D" w:rsidRPr="00FA5EA3">
        <w:rPr>
          <w:sz w:val="21"/>
          <w:szCs w:val="21"/>
        </w:rPr>
        <w:br/>
      </w:r>
      <w:r w:rsidR="0023565D" w:rsidRPr="00FA5EA3">
        <w:rPr>
          <w:sz w:val="21"/>
          <w:szCs w:val="21"/>
        </w:rPr>
        <w:br/>
      </w:r>
      <w:r w:rsidR="0023565D" w:rsidRPr="009328B7">
        <w:rPr>
          <w:szCs w:val="22"/>
        </w:rPr>
        <w:t xml:space="preserve">This study adopts a Systematic Literature Review (SLR) methodology to examine how organisational change is managed within Tesco’s retail logistics operations. An SLR is a structured, transparent, and replicable method of collecting and analysing existing research </w:t>
      </w:r>
      <w:r w:rsidR="0023565D" w:rsidRPr="009328B7">
        <w:rPr>
          <w:szCs w:val="22"/>
        </w:rPr>
        <w:lastRenderedPageBreak/>
        <w:t>to address clearly defined questions (</w:t>
      </w:r>
      <w:proofErr w:type="spellStart"/>
      <w:r w:rsidR="0023565D" w:rsidRPr="009328B7">
        <w:rPr>
          <w:szCs w:val="22"/>
        </w:rPr>
        <w:t>Tranfield</w:t>
      </w:r>
      <w:proofErr w:type="spellEnd"/>
      <w:r w:rsidR="0023565D" w:rsidRPr="009328B7">
        <w:rPr>
          <w:szCs w:val="22"/>
        </w:rPr>
        <w:t xml:space="preserve">, </w:t>
      </w:r>
      <w:proofErr w:type="spellStart"/>
      <w:r w:rsidR="0023565D" w:rsidRPr="009328B7">
        <w:rPr>
          <w:szCs w:val="22"/>
        </w:rPr>
        <w:t>Denyer</w:t>
      </w:r>
      <w:proofErr w:type="spellEnd"/>
      <w:r w:rsidR="0023565D" w:rsidRPr="009328B7">
        <w:rPr>
          <w:szCs w:val="22"/>
        </w:rPr>
        <w:t xml:space="preserve"> and Smart, 2003). Unlike traditional narrative reviews, which may rely on subjective interpretation, the SLR approach ensures academic rigour through a systematic and replicable process of identifying, selecting, and evaluating relevant literature.</w:t>
      </w:r>
      <w:r w:rsidR="0023565D" w:rsidRPr="009328B7">
        <w:rPr>
          <w:szCs w:val="22"/>
        </w:rPr>
        <w:br/>
      </w:r>
      <w:r w:rsidR="0023565D" w:rsidRPr="009328B7">
        <w:rPr>
          <w:szCs w:val="22"/>
        </w:rPr>
        <w:br/>
        <w:t>Given that the present research does not include primary data collection such as interviews or questionnaires, the SLR provides an effective and ethical means of producing robust academic insight. It allows for the critical integration of empirical and theoretical sources relating to organisational change, logistics management, and leadership within Tesco and comparable retail contexts. As a Stock and Systems Manager at Tesco Daventry Clothing, I recognise that secondary research is the most appropriate and objective approach, given that access to internal operational data or staff participation would raise ethical and confidentiality barriers.</w:t>
      </w:r>
      <w:r w:rsidR="0023565D" w:rsidRPr="009328B7">
        <w:rPr>
          <w:szCs w:val="22"/>
        </w:rPr>
        <w:br/>
      </w:r>
      <w:r w:rsidR="0023565D" w:rsidRPr="009328B7">
        <w:rPr>
          <w:szCs w:val="22"/>
        </w:rPr>
        <w:br/>
        <w:t>The SLR thus forms the methodological foundation for this dissertation, ensuring that findings are grounded in credible academic and industry evidence while maintaining alignment with research ethics and data protection obligations.</w:t>
      </w:r>
      <w:r w:rsidR="0023565D" w:rsidRPr="009328B7">
        <w:rPr>
          <w:szCs w:val="22"/>
        </w:rPr>
        <w:br/>
      </w:r>
      <w:r w:rsidR="0023565D" w:rsidRPr="009328B7">
        <w:rPr>
          <w:szCs w:val="22"/>
        </w:rPr>
        <w:br/>
      </w:r>
      <w:r w:rsidR="0023565D" w:rsidRPr="00FA5EA3">
        <w:rPr>
          <w:sz w:val="21"/>
          <w:szCs w:val="21"/>
        </w:rPr>
        <w:br/>
      </w:r>
      <w:r w:rsidR="0023565D" w:rsidRPr="00FA5EA3">
        <w:rPr>
          <w:sz w:val="21"/>
          <w:szCs w:val="21"/>
        </w:rPr>
        <w:br/>
      </w:r>
      <w:r w:rsidR="0023565D" w:rsidRPr="00A8527D">
        <w:rPr>
          <w:rStyle w:val="Heading2Char"/>
        </w:rPr>
        <w:t xml:space="preserve">3.2 Search </w:t>
      </w:r>
      <w:r w:rsidR="00CF21D2">
        <w:rPr>
          <w:rStyle w:val="Heading2Char"/>
        </w:rPr>
        <w:t>s</w:t>
      </w:r>
      <w:r w:rsidR="0023565D" w:rsidRPr="00A8527D">
        <w:rPr>
          <w:rStyle w:val="Heading2Char"/>
        </w:rPr>
        <w:t>trategy</w:t>
      </w:r>
      <w:r w:rsidR="0023565D" w:rsidRPr="00FA5EA3">
        <w:rPr>
          <w:sz w:val="21"/>
          <w:szCs w:val="21"/>
        </w:rPr>
        <w:br/>
      </w:r>
      <w:r w:rsidR="0023565D" w:rsidRPr="00FA5EA3">
        <w:rPr>
          <w:sz w:val="21"/>
          <w:szCs w:val="21"/>
        </w:rPr>
        <w:br/>
      </w:r>
      <w:r w:rsidR="0023565D" w:rsidRPr="009328B7">
        <w:rPr>
          <w:szCs w:val="22"/>
        </w:rPr>
        <w:t>The search strategy was designed to ensure comprehensive and unbiased coverage of literature relevant to the research aim: to critically examine how organisational change is managed within Tesco’s distribution and logistics operations. Following best practice outlined by Kitchenham and Charters (2007), the search process was structured into four main stages:</w:t>
      </w:r>
    </w:p>
    <w:p w:rsidR="001A5600" w:rsidRPr="009328B7" w:rsidRDefault="0023565D" w:rsidP="00A13029">
      <w:pPr>
        <w:spacing w:after="160"/>
        <w:rPr>
          <w:szCs w:val="22"/>
        </w:rPr>
      </w:pPr>
      <w:r w:rsidRPr="009328B7">
        <w:rPr>
          <w:szCs w:val="22"/>
        </w:rPr>
        <w:br/>
        <w:t>1. Identification of relevant academic databases and industry sources.</w:t>
      </w:r>
      <w:r w:rsidRPr="009328B7">
        <w:rPr>
          <w:szCs w:val="22"/>
        </w:rPr>
        <w:br/>
        <w:t>2. Development of search terms and Boolean combinations.</w:t>
      </w:r>
      <w:r w:rsidRPr="009328B7">
        <w:rPr>
          <w:szCs w:val="22"/>
        </w:rPr>
        <w:br/>
        <w:t>3. Application of inclusion and exclusion criteria.</w:t>
      </w:r>
      <w:r w:rsidRPr="009328B7">
        <w:rPr>
          <w:szCs w:val="22"/>
        </w:rPr>
        <w:br/>
        <w:t>4. Screening and selection of studies for detailed review.</w:t>
      </w:r>
      <w:r w:rsidRPr="009328B7">
        <w:rPr>
          <w:szCs w:val="22"/>
        </w:rPr>
        <w:br/>
      </w:r>
      <w:r w:rsidRPr="009328B7">
        <w:rPr>
          <w:szCs w:val="22"/>
        </w:rPr>
        <w:br/>
        <w:t>This systematic process ensures transparency, replicability, and academic rigour. Both peer-reviewed journals and industry reports were included to provide a balanced understanding of theoretical and practical perspectives. This approach allows for triangulation between academic findings and real-world organisational practices within the logistics sector.</w:t>
      </w:r>
      <w:r w:rsidRPr="009328B7">
        <w:rPr>
          <w:szCs w:val="22"/>
        </w:rPr>
        <w:br/>
      </w:r>
      <w:r w:rsidRPr="00FA5EA3">
        <w:rPr>
          <w:sz w:val="21"/>
          <w:szCs w:val="21"/>
        </w:rPr>
        <w:lastRenderedPageBreak/>
        <w:br/>
      </w:r>
      <w:r w:rsidRPr="00FA5EA3">
        <w:rPr>
          <w:sz w:val="21"/>
          <w:szCs w:val="21"/>
        </w:rPr>
        <w:br/>
      </w:r>
      <w:r w:rsidRPr="00FA5EA3">
        <w:rPr>
          <w:sz w:val="21"/>
          <w:szCs w:val="21"/>
        </w:rPr>
        <w:br/>
      </w:r>
      <w:r w:rsidRPr="008810EB">
        <w:rPr>
          <w:rStyle w:val="Heading2Char"/>
        </w:rPr>
        <w:t xml:space="preserve">3.3 Search </w:t>
      </w:r>
      <w:r w:rsidR="00CF21D2">
        <w:rPr>
          <w:rStyle w:val="Heading2Char"/>
        </w:rPr>
        <w:t>t</w:t>
      </w:r>
      <w:r w:rsidRPr="008810EB">
        <w:rPr>
          <w:rStyle w:val="Heading2Char"/>
        </w:rPr>
        <w:t>erms</w:t>
      </w:r>
      <w:r w:rsidRPr="008810EB">
        <w:rPr>
          <w:rStyle w:val="Heading2Char"/>
        </w:rPr>
        <w:br/>
      </w:r>
      <w:r w:rsidRPr="00FA5EA3">
        <w:rPr>
          <w:sz w:val="21"/>
          <w:szCs w:val="21"/>
        </w:rPr>
        <w:br/>
      </w:r>
      <w:r w:rsidRPr="009328B7">
        <w:rPr>
          <w:szCs w:val="22"/>
        </w:rPr>
        <w:t>To locate relevant literature, a combination of Boolean operators (AND, OR) was used to refine the search. The search terms were selected to align with the dissertation’s research question and objectives, focusing on three central themes: organisational change, retail logistics, and Tesco case studies.</w:t>
      </w:r>
      <w:r w:rsidRPr="009328B7">
        <w:rPr>
          <w:szCs w:val="22"/>
        </w:rPr>
        <w:br/>
      </w:r>
      <w:r w:rsidRPr="009328B7">
        <w:rPr>
          <w:szCs w:val="22"/>
        </w:rPr>
        <w:br/>
        <w:t>Example search combinations included:</w:t>
      </w:r>
      <w:r w:rsidRPr="009328B7">
        <w:rPr>
          <w:szCs w:val="22"/>
        </w:rPr>
        <w:br/>
        <w:t>• “Organisational change” AND “retail logistics”</w:t>
      </w:r>
      <w:r w:rsidRPr="009328B7">
        <w:rPr>
          <w:szCs w:val="22"/>
        </w:rPr>
        <w:br/>
        <w:t>• “Change management” AND “supply chain transformation”</w:t>
      </w:r>
      <w:r w:rsidRPr="009328B7">
        <w:rPr>
          <w:szCs w:val="22"/>
        </w:rPr>
        <w:br/>
        <w:t>• “Leadership” OR “communication” AND “logistics operations”</w:t>
      </w:r>
      <w:r w:rsidRPr="009328B7">
        <w:rPr>
          <w:szCs w:val="22"/>
        </w:rPr>
        <w:br/>
        <w:t>• “Tesco” AND “organisational change” OR “warehouse management”</w:t>
      </w:r>
      <w:r w:rsidRPr="009328B7">
        <w:rPr>
          <w:szCs w:val="22"/>
        </w:rPr>
        <w:br/>
        <w:t>• “Digital transformation” AND “retail distribution”</w:t>
      </w:r>
      <w:r w:rsidRPr="009328B7">
        <w:rPr>
          <w:szCs w:val="22"/>
        </w:rPr>
        <w:br/>
      </w:r>
      <w:r w:rsidRPr="009328B7">
        <w:rPr>
          <w:szCs w:val="22"/>
        </w:rPr>
        <w:br/>
        <w:t>These combinations ensured that a wide range of relevant literature was identified, spanning both theoretical and empirical studies.</w:t>
      </w:r>
      <w:r w:rsidRPr="009328B7">
        <w:rPr>
          <w:szCs w:val="22"/>
        </w:rPr>
        <w:br/>
      </w:r>
      <w:r w:rsidRPr="00FA5EA3">
        <w:rPr>
          <w:sz w:val="21"/>
          <w:szCs w:val="21"/>
        </w:rPr>
        <w:br/>
      </w:r>
      <w:r w:rsidRPr="00FA5EA3">
        <w:rPr>
          <w:sz w:val="21"/>
          <w:szCs w:val="21"/>
        </w:rPr>
        <w:br/>
      </w:r>
      <w:r w:rsidRPr="00FA5EA3">
        <w:rPr>
          <w:sz w:val="21"/>
          <w:szCs w:val="21"/>
        </w:rPr>
        <w:br/>
      </w:r>
      <w:r w:rsidRPr="00A805D8">
        <w:rPr>
          <w:rStyle w:val="Heading2Char"/>
        </w:rPr>
        <w:t xml:space="preserve">3.4 Key </w:t>
      </w:r>
      <w:r w:rsidR="00CF21D2">
        <w:rPr>
          <w:rStyle w:val="Heading2Char"/>
        </w:rPr>
        <w:t>w</w:t>
      </w:r>
      <w:r w:rsidRPr="00A805D8">
        <w:rPr>
          <w:rStyle w:val="Heading2Char"/>
        </w:rPr>
        <w:t>ords</w:t>
      </w:r>
      <w:r w:rsidRPr="00FA5EA3">
        <w:rPr>
          <w:sz w:val="21"/>
          <w:szCs w:val="21"/>
        </w:rPr>
        <w:br/>
      </w:r>
      <w:r w:rsidRPr="009328B7">
        <w:rPr>
          <w:szCs w:val="22"/>
        </w:rPr>
        <w:br/>
        <w:t>The key words used in the SLR were derived from the main variables of the research question. They include:</w:t>
      </w:r>
      <w:r w:rsidRPr="009328B7">
        <w:rPr>
          <w:szCs w:val="22"/>
        </w:rPr>
        <w:br/>
        <w:t>Organisational change, change management, retail logistics, warehouse operations, leadership, communication, employee engagement, digital transformation, Tesco, automation, supply chain efficiency, and resistance to change.</w:t>
      </w:r>
      <w:r w:rsidRPr="009328B7">
        <w:rPr>
          <w:szCs w:val="22"/>
        </w:rPr>
        <w:br/>
      </w:r>
      <w:r w:rsidRPr="009328B7">
        <w:rPr>
          <w:szCs w:val="22"/>
        </w:rPr>
        <w:br/>
        <w:t>Using these key words ensured that studies addressing both the human and technological dimensions of organisational change were captured. This balanced scope was necessary given that change in logistics environments such as Tesco involves both process automation and workforce adaptation (Accenture, 2022).</w:t>
      </w:r>
      <w:r w:rsidRPr="009328B7">
        <w:rPr>
          <w:szCs w:val="22"/>
        </w:rPr>
        <w:br/>
      </w:r>
      <w:r w:rsidRPr="00FA5EA3">
        <w:rPr>
          <w:sz w:val="21"/>
          <w:szCs w:val="21"/>
        </w:rPr>
        <w:br/>
      </w:r>
      <w:r w:rsidRPr="00FA5EA3">
        <w:rPr>
          <w:sz w:val="21"/>
          <w:szCs w:val="21"/>
        </w:rPr>
        <w:br/>
      </w:r>
      <w:r w:rsidRPr="00FA5EA3">
        <w:rPr>
          <w:sz w:val="21"/>
          <w:szCs w:val="21"/>
        </w:rPr>
        <w:lastRenderedPageBreak/>
        <w:br/>
      </w:r>
      <w:r w:rsidRPr="00A805D8">
        <w:rPr>
          <w:rStyle w:val="Heading2Char"/>
        </w:rPr>
        <w:t>3.5 Databases</w:t>
      </w:r>
      <w:r w:rsidRPr="00FA5EA3">
        <w:rPr>
          <w:sz w:val="21"/>
          <w:szCs w:val="21"/>
        </w:rPr>
        <w:br/>
      </w:r>
      <w:r w:rsidRPr="00FA5EA3">
        <w:rPr>
          <w:sz w:val="21"/>
          <w:szCs w:val="21"/>
        </w:rPr>
        <w:br/>
      </w:r>
      <w:r w:rsidRPr="009328B7">
        <w:rPr>
          <w:szCs w:val="22"/>
        </w:rPr>
        <w:t>To guarantee academic credibility, searches were conducted through a range of peer-reviewed and industry-recognised databases, including:</w:t>
      </w:r>
    </w:p>
    <w:p w:rsidR="001750C3" w:rsidRDefault="0023565D" w:rsidP="00A13029">
      <w:pPr>
        <w:spacing w:after="160"/>
        <w:rPr>
          <w:rStyle w:val="Heading2Char"/>
        </w:rPr>
      </w:pPr>
      <w:r w:rsidRPr="009328B7">
        <w:rPr>
          <w:szCs w:val="22"/>
        </w:rPr>
        <w:br/>
        <w:t xml:space="preserve">• Emerald Insight </w:t>
      </w:r>
      <w:r w:rsidR="001A5600" w:rsidRPr="009328B7">
        <w:rPr>
          <w:szCs w:val="22"/>
        </w:rPr>
        <w:t>-</w:t>
      </w:r>
      <w:r w:rsidRPr="009328B7">
        <w:rPr>
          <w:szCs w:val="22"/>
        </w:rPr>
        <w:t xml:space="preserve"> for management and organisational studies.</w:t>
      </w:r>
      <w:r w:rsidRPr="009328B7">
        <w:rPr>
          <w:szCs w:val="22"/>
        </w:rPr>
        <w:br/>
        <w:t xml:space="preserve">• ScienceDirect </w:t>
      </w:r>
      <w:r w:rsidR="001A5600" w:rsidRPr="009328B7">
        <w:rPr>
          <w:szCs w:val="22"/>
        </w:rPr>
        <w:t>-</w:t>
      </w:r>
      <w:r w:rsidRPr="009328B7">
        <w:rPr>
          <w:szCs w:val="22"/>
        </w:rPr>
        <w:t xml:space="preserve"> for logistics, operations, and supply chain research.</w:t>
      </w:r>
      <w:r w:rsidRPr="009328B7">
        <w:rPr>
          <w:szCs w:val="22"/>
        </w:rPr>
        <w:br/>
        <w:t xml:space="preserve">• Google Scholar </w:t>
      </w:r>
      <w:r w:rsidR="001A5600" w:rsidRPr="009328B7">
        <w:rPr>
          <w:szCs w:val="22"/>
        </w:rPr>
        <w:t xml:space="preserve">- </w:t>
      </w:r>
      <w:r w:rsidRPr="009328B7">
        <w:rPr>
          <w:szCs w:val="22"/>
        </w:rPr>
        <w:t>for cross-disciplinary studies and grey literature.</w:t>
      </w:r>
      <w:r w:rsidRPr="009328B7">
        <w:rPr>
          <w:szCs w:val="22"/>
        </w:rPr>
        <w:br/>
        <w:t xml:space="preserve">• CIPD Knowledge Hub </w:t>
      </w:r>
      <w:r w:rsidR="001A5600" w:rsidRPr="009328B7">
        <w:rPr>
          <w:szCs w:val="22"/>
        </w:rPr>
        <w:t>-</w:t>
      </w:r>
      <w:r w:rsidRPr="009328B7">
        <w:rPr>
          <w:szCs w:val="22"/>
        </w:rPr>
        <w:t xml:space="preserve"> for workforce change and HR perspectives.</w:t>
      </w:r>
      <w:r w:rsidRPr="009328B7">
        <w:rPr>
          <w:szCs w:val="22"/>
        </w:rPr>
        <w:br/>
        <w:t xml:space="preserve">• ProQuest and EBSCOhost </w:t>
      </w:r>
      <w:r w:rsidR="001A5600" w:rsidRPr="009328B7">
        <w:rPr>
          <w:szCs w:val="22"/>
        </w:rPr>
        <w:t>-</w:t>
      </w:r>
      <w:r w:rsidRPr="009328B7">
        <w:rPr>
          <w:szCs w:val="22"/>
        </w:rPr>
        <w:t xml:space="preserve"> for access to dissertations, journal articles, and case studies.</w:t>
      </w:r>
      <w:r w:rsidRPr="009328B7">
        <w:rPr>
          <w:szCs w:val="22"/>
        </w:rPr>
        <w:br/>
        <w:t xml:space="preserve">• Tesco Annual Reports and McKinsey, Deloitte, and Accenture databases </w:t>
      </w:r>
      <w:r w:rsidR="001A5600" w:rsidRPr="009328B7">
        <w:rPr>
          <w:szCs w:val="22"/>
        </w:rPr>
        <w:t>-</w:t>
      </w:r>
      <w:r w:rsidRPr="009328B7">
        <w:rPr>
          <w:szCs w:val="22"/>
        </w:rPr>
        <w:t xml:space="preserve"> for secondary corporate and industry data.</w:t>
      </w:r>
      <w:r w:rsidRPr="009328B7">
        <w:rPr>
          <w:szCs w:val="22"/>
        </w:rPr>
        <w:br/>
      </w:r>
      <w:r w:rsidRPr="009328B7">
        <w:rPr>
          <w:szCs w:val="22"/>
        </w:rPr>
        <w:br/>
        <w:t>These databases were selected for their reliability, relevance to management research, and accessibility to peer-reviewed material. Combining academic and professional sources ensures the integration of theory with current industry practices.</w:t>
      </w:r>
      <w:r w:rsidRPr="009328B7">
        <w:rPr>
          <w:szCs w:val="22"/>
        </w:rPr>
        <w:br/>
      </w:r>
      <w:r w:rsidRPr="00FA5EA3">
        <w:rPr>
          <w:sz w:val="21"/>
          <w:szCs w:val="21"/>
        </w:rPr>
        <w:br/>
      </w:r>
      <w:r w:rsidRPr="00FA5EA3">
        <w:rPr>
          <w:sz w:val="21"/>
          <w:szCs w:val="21"/>
        </w:rPr>
        <w:br/>
      </w:r>
      <w:r w:rsidRPr="00FA5EA3">
        <w:rPr>
          <w:rStyle w:val="Heading3Char"/>
          <w:rFonts w:ascii="Arial" w:hAnsi="Arial" w:cs="Arial"/>
        </w:rPr>
        <w:br/>
      </w:r>
      <w:r w:rsidRPr="00A805D8">
        <w:rPr>
          <w:rStyle w:val="Heading2Char"/>
        </w:rPr>
        <w:t xml:space="preserve">3.6 Inclusion/Exclusion </w:t>
      </w:r>
      <w:r w:rsidR="0065410B">
        <w:rPr>
          <w:rStyle w:val="Heading2Char"/>
        </w:rPr>
        <w:t>c</w:t>
      </w:r>
      <w:r w:rsidRPr="00A805D8">
        <w:rPr>
          <w:rStyle w:val="Heading2Char"/>
        </w:rPr>
        <w:t>riteria</w:t>
      </w:r>
      <w:r w:rsidRPr="00FA5EA3">
        <w:rPr>
          <w:sz w:val="21"/>
          <w:szCs w:val="21"/>
        </w:rPr>
        <w:br/>
      </w:r>
      <w:r w:rsidRPr="00FA5EA3">
        <w:rPr>
          <w:sz w:val="21"/>
          <w:szCs w:val="21"/>
        </w:rPr>
        <w:br/>
      </w:r>
      <w:r w:rsidRPr="009328B7">
        <w:rPr>
          <w:szCs w:val="22"/>
        </w:rPr>
        <w:t>To ensure objectivity and quality, explicit inclusion and exclusion criteria were developed, following the guidelines of Petticrew and Roberts (2006). These criteria help refine the literature to ensure only the most relevant and credible sources are included in the final review.</w:t>
      </w:r>
      <w:r w:rsidRPr="009328B7">
        <w:rPr>
          <w:szCs w:val="22"/>
        </w:rPr>
        <w:br/>
      </w:r>
      <w:r w:rsidRPr="009328B7">
        <w:rPr>
          <w:szCs w:val="22"/>
        </w:rPr>
        <w:br/>
      </w:r>
      <w:r w:rsidRPr="001750C3">
        <w:rPr>
          <w:rStyle w:val="Heading2Char"/>
        </w:rPr>
        <w:t xml:space="preserve">3.6.1 Inclusion </w:t>
      </w:r>
      <w:r w:rsidR="0065410B">
        <w:rPr>
          <w:rStyle w:val="Heading2Char"/>
        </w:rPr>
        <w:t>c</w:t>
      </w:r>
      <w:r w:rsidRPr="001750C3">
        <w:rPr>
          <w:rStyle w:val="Heading2Char"/>
        </w:rPr>
        <w:t>riteria</w:t>
      </w:r>
    </w:p>
    <w:p w:rsidR="00817B7E" w:rsidRPr="009328B7" w:rsidRDefault="0023565D" w:rsidP="00A13029">
      <w:pPr>
        <w:spacing w:after="160"/>
        <w:rPr>
          <w:rFonts w:eastAsia="Calibri"/>
          <w:i/>
          <w:szCs w:val="22"/>
        </w:rPr>
      </w:pPr>
      <w:r w:rsidRPr="00FA5EA3">
        <w:rPr>
          <w:sz w:val="21"/>
          <w:szCs w:val="21"/>
        </w:rPr>
        <w:br/>
      </w:r>
      <w:r w:rsidRPr="009328B7">
        <w:rPr>
          <w:szCs w:val="22"/>
        </w:rPr>
        <w:t>• Peer-reviewed journal articles and academic books published between 2006 and 2024.</w:t>
      </w:r>
      <w:r w:rsidRPr="009328B7">
        <w:rPr>
          <w:szCs w:val="22"/>
        </w:rPr>
        <w:br/>
        <w:t>• Industry and consultancy reports from credible organisations (e.g., McKinsey, Accenture, CIPD).</w:t>
      </w:r>
      <w:r w:rsidRPr="009328B7">
        <w:rPr>
          <w:szCs w:val="22"/>
        </w:rPr>
        <w:br/>
        <w:t>• Studies focusing on organisational change, logistics management, or leadership within retail or large-scale distribution contexts.</w:t>
      </w:r>
      <w:r w:rsidRPr="009328B7">
        <w:rPr>
          <w:szCs w:val="22"/>
        </w:rPr>
        <w:br/>
        <w:t>• Sources written in English and available in full text.</w:t>
      </w:r>
      <w:r w:rsidRPr="009328B7">
        <w:rPr>
          <w:szCs w:val="22"/>
        </w:rPr>
        <w:br/>
      </w:r>
      <w:r w:rsidRPr="009328B7">
        <w:rPr>
          <w:szCs w:val="22"/>
        </w:rPr>
        <w:lastRenderedPageBreak/>
        <w:t>• Publications that directly reference Tesco or comparable retail organisations such as Sainsbury’s, Amazon, or Walmart to ensure transferability of insights.</w:t>
      </w:r>
    </w:p>
    <w:p w:rsidR="001750C3" w:rsidRDefault="0023565D" w:rsidP="001358D6">
      <w:pPr>
        <w:pStyle w:val="NormalWeb"/>
        <w:spacing w:line="360" w:lineRule="auto"/>
        <w:rPr>
          <w:rStyle w:val="Heading2Char"/>
        </w:rPr>
      </w:pPr>
      <w:r w:rsidRPr="00FA5EA3">
        <w:rPr>
          <w:rFonts w:ascii="Arial" w:hAnsi="Arial" w:cs="Arial"/>
          <w:sz w:val="21"/>
          <w:szCs w:val="21"/>
        </w:rPr>
        <w:br/>
      </w:r>
      <w:r w:rsidRPr="00FA5EA3">
        <w:rPr>
          <w:rFonts w:ascii="Arial" w:hAnsi="Arial" w:cs="Arial"/>
          <w:sz w:val="21"/>
          <w:szCs w:val="21"/>
        </w:rPr>
        <w:br/>
      </w:r>
      <w:bookmarkStart w:id="12" w:name="_Toc214295754"/>
      <w:r w:rsidRPr="001750C3">
        <w:rPr>
          <w:rStyle w:val="Heading2Char"/>
        </w:rPr>
        <w:t xml:space="preserve">3.6.2 Exclusion </w:t>
      </w:r>
      <w:r w:rsidR="0065410B">
        <w:rPr>
          <w:rStyle w:val="Heading2Char"/>
        </w:rPr>
        <w:t>c</w:t>
      </w:r>
      <w:r w:rsidRPr="001750C3">
        <w:rPr>
          <w:rStyle w:val="Heading2Char"/>
        </w:rPr>
        <w:t>riteria</w:t>
      </w:r>
      <w:bookmarkEnd w:id="12"/>
    </w:p>
    <w:p w:rsidR="003603BA" w:rsidRPr="003603BA" w:rsidRDefault="0023565D" w:rsidP="003603BA">
      <w:pPr>
        <w:pStyle w:val="NormalWeb"/>
        <w:spacing w:line="360" w:lineRule="auto"/>
        <w:rPr>
          <w:rFonts w:ascii="Arial" w:hAnsi="Arial" w:cs="Arial"/>
          <w:sz w:val="21"/>
          <w:szCs w:val="21"/>
        </w:rPr>
      </w:pPr>
      <w:r w:rsidRPr="00FA5EA3">
        <w:rPr>
          <w:rFonts w:ascii="Arial" w:hAnsi="Arial" w:cs="Arial"/>
          <w:sz w:val="21"/>
          <w:szCs w:val="21"/>
        </w:rPr>
        <w:br/>
      </w:r>
      <w:r w:rsidRPr="007E53D4">
        <w:rPr>
          <w:rFonts w:ascii="Arial" w:hAnsi="Arial" w:cs="Arial"/>
          <w:szCs w:val="22"/>
        </w:rPr>
        <w:t>• Non-academic blogs, opinion pieces, and unverified online content.</w:t>
      </w:r>
      <w:r w:rsidRPr="007E53D4">
        <w:rPr>
          <w:rFonts w:ascii="Arial" w:hAnsi="Arial" w:cs="Arial"/>
          <w:szCs w:val="22"/>
        </w:rPr>
        <w:br/>
        <w:t>• Articles focused solely on unrelated industries (e.g., healthcare, finance).</w:t>
      </w:r>
      <w:r w:rsidRPr="007E53D4">
        <w:rPr>
          <w:rFonts w:ascii="Arial" w:hAnsi="Arial" w:cs="Arial"/>
          <w:szCs w:val="22"/>
        </w:rPr>
        <w:br/>
        <w:t>• Publications prior to 2006, unless seminal (e.g., Lewin’s 1951 Field Theory).</w:t>
      </w:r>
      <w:r w:rsidRPr="007E53D4">
        <w:rPr>
          <w:rFonts w:ascii="Arial" w:hAnsi="Arial" w:cs="Arial"/>
          <w:szCs w:val="22"/>
        </w:rPr>
        <w:br/>
        <w:t>• Studies lacking empirical evidence or methodological transparency.</w:t>
      </w:r>
      <w:r w:rsidRPr="007E53D4">
        <w:rPr>
          <w:rFonts w:ascii="Arial" w:hAnsi="Arial" w:cs="Arial"/>
          <w:szCs w:val="22"/>
        </w:rPr>
        <w:br/>
        <w:t>• Duplicated sources or reports already superseded by updated editions.</w:t>
      </w:r>
      <w:r w:rsidRPr="007E53D4">
        <w:rPr>
          <w:rFonts w:ascii="Arial" w:hAnsi="Arial" w:cs="Arial"/>
          <w:szCs w:val="22"/>
        </w:rPr>
        <w:br/>
      </w:r>
      <w:r w:rsidRPr="007E53D4">
        <w:rPr>
          <w:rFonts w:ascii="Arial" w:hAnsi="Arial" w:cs="Arial"/>
          <w:szCs w:val="22"/>
        </w:rPr>
        <w:br/>
        <w:t>Applying these criteria ensured methodological transparency and consistency, enhancing the reli</w:t>
      </w:r>
      <w:r w:rsidR="00817B7E" w:rsidRPr="007E53D4">
        <w:rPr>
          <w:rFonts w:ascii="Arial" w:hAnsi="Arial" w:cs="Arial"/>
          <w:szCs w:val="22"/>
        </w:rPr>
        <w:t>ability of the final synthesis.</w:t>
      </w:r>
      <w:r w:rsidRPr="007E53D4">
        <w:rPr>
          <w:rFonts w:ascii="Arial" w:hAnsi="Arial" w:cs="Arial"/>
          <w:szCs w:val="22"/>
        </w:rPr>
        <w:br/>
      </w:r>
      <w:r w:rsidRPr="00FA5EA3">
        <w:rPr>
          <w:rFonts w:ascii="Arial" w:hAnsi="Arial" w:cs="Arial"/>
          <w:sz w:val="21"/>
          <w:szCs w:val="21"/>
        </w:rPr>
        <w:br/>
      </w:r>
      <w:r w:rsidRPr="00FA5EA3">
        <w:rPr>
          <w:rStyle w:val="Heading3Char"/>
          <w:rFonts w:ascii="Arial" w:hAnsi="Arial" w:cs="Arial"/>
        </w:rPr>
        <w:br/>
      </w:r>
      <w:r w:rsidRPr="001750C3">
        <w:rPr>
          <w:rStyle w:val="Heading2Char"/>
        </w:rPr>
        <w:t xml:space="preserve">3.7 Search </w:t>
      </w:r>
      <w:r w:rsidR="0065410B">
        <w:rPr>
          <w:rStyle w:val="Heading2Char"/>
        </w:rPr>
        <w:t>r</w:t>
      </w:r>
      <w:r w:rsidRPr="001750C3">
        <w:rPr>
          <w:rStyle w:val="Heading2Char"/>
        </w:rPr>
        <w:t>esults</w:t>
      </w:r>
      <w:r w:rsidRPr="00FA5EA3">
        <w:rPr>
          <w:rFonts w:ascii="Arial" w:hAnsi="Arial" w:cs="Arial"/>
          <w:sz w:val="21"/>
          <w:szCs w:val="21"/>
        </w:rPr>
        <w:br/>
      </w:r>
      <w:r w:rsidRPr="007E53D4">
        <w:rPr>
          <w:rFonts w:ascii="Arial" w:hAnsi="Arial" w:cs="Arial"/>
          <w:szCs w:val="22"/>
        </w:rPr>
        <w:br/>
        <w:t>The initial search across all databases produced approximately 250 sources. After removing duplicates and applying the inclusion and exclusion criteria, 68 sources were shortlisted for preliminary review. Following a deeper quality assessment focusing on methodological clarity and relevance to the research question, a final sample of 32 core sources was selected for detailed analysis.</w:t>
      </w:r>
      <w:r w:rsidRPr="007E53D4">
        <w:rPr>
          <w:rFonts w:ascii="Arial" w:hAnsi="Arial" w:cs="Arial"/>
          <w:szCs w:val="22"/>
        </w:rPr>
        <w:br/>
      </w:r>
      <w:r w:rsidRPr="007E53D4">
        <w:rPr>
          <w:rFonts w:ascii="Arial" w:hAnsi="Arial" w:cs="Arial"/>
          <w:szCs w:val="22"/>
        </w:rPr>
        <w:br/>
        <w:t>These included 20 academic publications (e.g., Burnes, 2017; Kotter, 1996; By et al., 2016; Schein, 2010) and 12 industry or corporate reports (e.g., Tesco plc, 2024; Accenture, 2022; McKinsey &amp; Company, 2021). The reviewed literature demonstrated clear thematic patterns around leadership, communication, technological adaptation, and workforce resistance</w:t>
      </w:r>
      <w:r w:rsidR="00D93F3B" w:rsidRPr="007E53D4">
        <w:rPr>
          <w:rFonts w:ascii="Arial" w:hAnsi="Arial" w:cs="Arial"/>
          <w:szCs w:val="22"/>
        </w:rPr>
        <w:t xml:space="preserve">, </w:t>
      </w:r>
      <w:r w:rsidRPr="007E53D4">
        <w:rPr>
          <w:rFonts w:ascii="Arial" w:hAnsi="Arial" w:cs="Arial"/>
          <w:szCs w:val="22"/>
        </w:rPr>
        <w:t>themes that directly informed the discussion chapter.</w:t>
      </w:r>
      <w:r w:rsidRPr="007E53D4">
        <w:rPr>
          <w:rFonts w:ascii="Arial" w:hAnsi="Arial" w:cs="Arial"/>
          <w:szCs w:val="22"/>
        </w:rPr>
        <w:br/>
      </w:r>
      <w:r w:rsidRPr="007E53D4">
        <w:rPr>
          <w:rFonts w:ascii="Arial" w:hAnsi="Arial" w:cs="Arial"/>
          <w:szCs w:val="22"/>
        </w:rPr>
        <w:br/>
        <w:t>This systematic process ensured that the final body of literature was both comprehensive and critically balanced, enabling triangulation across theoretical and applied perspectives. While some limitations existed</w:t>
      </w:r>
      <w:r w:rsidR="009C1210" w:rsidRPr="007E53D4">
        <w:rPr>
          <w:rFonts w:ascii="Arial" w:hAnsi="Arial" w:cs="Arial"/>
          <w:szCs w:val="22"/>
        </w:rPr>
        <w:t>, n</w:t>
      </w:r>
      <w:r w:rsidRPr="007E53D4">
        <w:rPr>
          <w:rFonts w:ascii="Arial" w:hAnsi="Arial" w:cs="Arial"/>
          <w:szCs w:val="22"/>
        </w:rPr>
        <w:t>otably the reliance on publicly available secondary data</w:t>
      </w:r>
      <w:r w:rsidR="00F7061F" w:rsidRPr="007E53D4">
        <w:rPr>
          <w:rFonts w:ascii="Arial" w:hAnsi="Arial" w:cs="Arial"/>
          <w:szCs w:val="22"/>
        </w:rPr>
        <w:t>,</w:t>
      </w:r>
      <w:r w:rsidRPr="007E53D4">
        <w:rPr>
          <w:rFonts w:ascii="Arial" w:hAnsi="Arial" w:cs="Arial"/>
          <w:szCs w:val="22"/>
        </w:rPr>
        <w:t xml:space="preserve"> the SLR ensured sufficient depth and validity for academic interpretation.</w:t>
      </w:r>
      <w:r w:rsidRPr="007E53D4">
        <w:rPr>
          <w:rFonts w:ascii="Arial" w:hAnsi="Arial" w:cs="Arial"/>
          <w:szCs w:val="22"/>
        </w:rPr>
        <w:br/>
      </w:r>
      <w:r w:rsidRPr="00FA5EA3">
        <w:rPr>
          <w:rFonts w:ascii="Arial" w:hAnsi="Arial" w:cs="Arial"/>
          <w:sz w:val="21"/>
          <w:szCs w:val="21"/>
        </w:rPr>
        <w:br/>
      </w:r>
      <w:r w:rsidRPr="00FA5EA3">
        <w:rPr>
          <w:rFonts w:ascii="Arial" w:hAnsi="Arial" w:cs="Arial"/>
          <w:sz w:val="21"/>
          <w:szCs w:val="21"/>
        </w:rPr>
        <w:lastRenderedPageBreak/>
        <w:br/>
      </w:r>
      <w:r w:rsidRPr="00FA5EA3">
        <w:rPr>
          <w:rFonts w:ascii="Arial" w:hAnsi="Arial" w:cs="Arial"/>
          <w:sz w:val="21"/>
          <w:szCs w:val="21"/>
        </w:rPr>
        <w:br/>
      </w:r>
      <w:r w:rsidRPr="001750C3">
        <w:rPr>
          <w:rStyle w:val="Heading2Char"/>
        </w:rPr>
        <w:t xml:space="preserve">3.8 Ethical </w:t>
      </w:r>
      <w:r w:rsidR="0065410B">
        <w:rPr>
          <w:rStyle w:val="Heading2Char"/>
        </w:rPr>
        <w:t>c</w:t>
      </w:r>
      <w:r w:rsidRPr="001750C3">
        <w:rPr>
          <w:rStyle w:val="Heading2Char"/>
        </w:rPr>
        <w:t>onsiderations</w:t>
      </w:r>
      <w:r w:rsidRPr="00FA5EA3">
        <w:rPr>
          <w:rFonts w:ascii="Arial" w:hAnsi="Arial" w:cs="Arial"/>
          <w:sz w:val="21"/>
          <w:szCs w:val="21"/>
        </w:rPr>
        <w:br/>
      </w:r>
      <w:r w:rsidRPr="00FA5EA3">
        <w:rPr>
          <w:rFonts w:ascii="Arial" w:hAnsi="Arial" w:cs="Arial"/>
          <w:sz w:val="21"/>
          <w:szCs w:val="21"/>
        </w:rPr>
        <w:br/>
      </w:r>
      <w:r w:rsidRPr="007E53D4">
        <w:rPr>
          <w:rFonts w:ascii="Arial" w:hAnsi="Arial" w:cs="Arial"/>
          <w:szCs w:val="22"/>
        </w:rPr>
        <w:t>Even though this research is based solely on secondary data, ethical principles remain central to its design. As per the British Academy of Management (2021) and University ethical standards, key ethical measures include:</w:t>
      </w:r>
      <w:r w:rsidRPr="007E53D4">
        <w:rPr>
          <w:rFonts w:ascii="Arial" w:hAnsi="Arial" w:cs="Arial"/>
          <w:szCs w:val="22"/>
        </w:rPr>
        <w:br/>
        <w:t>• Transparency and citation integrity: All data sources are accurately cited in Harvard format, ensuring full acknowledgment of intellectual ownership.</w:t>
      </w:r>
      <w:r w:rsidRPr="007E53D4">
        <w:rPr>
          <w:rFonts w:ascii="Arial" w:hAnsi="Arial" w:cs="Arial"/>
          <w:szCs w:val="22"/>
        </w:rPr>
        <w:br/>
        <w:t>• Credibility of sources: Only publicly available and verifiable materials were used; no internal or confidential Tesco data were accessed.</w:t>
      </w:r>
      <w:r w:rsidRPr="007E53D4">
        <w:rPr>
          <w:rFonts w:ascii="Arial" w:hAnsi="Arial" w:cs="Arial"/>
          <w:szCs w:val="22"/>
        </w:rPr>
        <w:br/>
        <w:t xml:space="preserve">• Researcher objectivity: As a current Tesco manager, I </w:t>
      </w:r>
      <w:proofErr w:type="spellStart"/>
      <w:r w:rsidRPr="007E53D4">
        <w:rPr>
          <w:rFonts w:ascii="Arial" w:hAnsi="Arial" w:cs="Arial"/>
          <w:szCs w:val="22"/>
        </w:rPr>
        <w:t>recognise</w:t>
      </w:r>
      <w:proofErr w:type="spellEnd"/>
      <w:r w:rsidRPr="007E53D4">
        <w:rPr>
          <w:rFonts w:ascii="Arial" w:hAnsi="Arial" w:cs="Arial"/>
          <w:szCs w:val="22"/>
        </w:rPr>
        <w:t xml:space="preserve"> the potential for insider bias. To mitigate this, all interpretations are grounded in independently verified literature rather than personal opinion.</w:t>
      </w:r>
      <w:r w:rsidRPr="007E53D4">
        <w:rPr>
          <w:rFonts w:ascii="Arial" w:hAnsi="Arial" w:cs="Arial"/>
          <w:szCs w:val="22"/>
        </w:rPr>
        <w:br/>
        <w:t>• Data accuracy and integrity: Only current, factual, and traceable information from reputable academic and professional sources has been included.</w:t>
      </w:r>
      <w:r w:rsidRPr="007E53D4">
        <w:rPr>
          <w:rFonts w:ascii="Arial" w:hAnsi="Arial" w:cs="Arial"/>
          <w:szCs w:val="22"/>
        </w:rPr>
        <w:br/>
      </w:r>
      <w:r w:rsidRPr="007E53D4">
        <w:rPr>
          <w:rFonts w:ascii="Arial" w:hAnsi="Arial" w:cs="Arial"/>
          <w:szCs w:val="22"/>
        </w:rPr>
        <w:br/>
        <w:t>By maintaining strict adherence to these principles, the methodology ensures academic honesty, objectivity, and compliance with both institutional and professional ethics.</w:t>
      </w:r>
      <w:r w:rsidRPr="007E53D4">
        <w:rPr>
          <w:rFonts w:ascii="Arial" w:hAnsi="Arial" w:cs="Arial"/>
          <w:szCs w:val="22"/>
        </w:rPr>
        <w:br/>
      </w:r>
      <w:r w:rsidRPr="00FA5EA3">
        <w:rPr>
          <w:rFonts w:ascii="Arial" w:hAnsi="Arial" w:cs="Arial"/>
          <w:sz w:val="21"/>
          <w:szCs w:val="21"/>
        </w:rPr>
        <w:br/>
      </w:r>
      <w:r w:rsidR="003603BA" w:rsidRPr="003603BA">
        <w:rPr>
          <w:rStyle w:val="Heading2Char"/>
        </w:rPr>
        <w:t xml:space="preserve">3.9 Ethnographic </w:t>
      </w:r>
      <w:r w:rsidR="0065410B">
        <w:rPr>
          <w:rStyle w:val="Heading2Char"/>
        </w:rPr>
        <w:t>o</w:t>
      </w:r>
      <w:r w:rsidR="003603BA" w:rsidRPr="003603BA">
        <w:rPr>
          <w:rStyle w:val="Heading2Char"/>
        </w:rPr>
        <w:t>bservation</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szCs w:val="22"/>
          <w:lang w:val="en-GB"/>
        </w:rPr>
        <w:t>In addition to the Systematic Literature Review (SLR), this study incorporates informal ethnographic observation conducted within Tesco Daventry Clothing, where I am employed as a Stock and Systems Manager. Ethnographic observation involves the researcher engaging with the workplace environment to understand organisational processes, workflows, and employee behaviours in their natural context (Hammersley &amp; Atkinson, 2019).</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szCs w:val="22"/>
          <w:lang w:val="en-GB"/>
        </w:rPr>
        <w:t>The purpose of this approach was to complement the SLR by providing insider insights into how Tesco’s logistical and operational changes are enacted in practice. Observations included daily operational processes, system workflows, team dynamics, communication patterns, and employee responses to change initiatives. While these observations were informal and not guided by structured checklists, they enabled nuanced understanding of organisational culture, leadership influence, and workforce adaptation that is not always visible in published literature.</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b/>
          <w:bCs/>
          <w:szCs w:val="22"/>
          <w:lang w:val="en-GB"/>
        </w:rPr>
        <w:t>Advantages</w:t>
      </w:r>
    </w:p>
    <w:p w:rsidR="003603BA" w:rsidRPr="003603BA" w:rsidRDefault="003603BA" w:rsidP="003603BA">
      <w:pPr>
        <w:pStyle w:val="NormalWeb"/>
        <w:numPr>
          <w:ilvl w:val="0"/>
          <w:numId w:val="14"/>
        </w:numPr>
        <w:spacing w:line="360" w:lineRule="auto"/>
        <w:rPr>
          <w:rFonts w:ascii="Arial" w:hAnsi="Arial" w:cs="Arial"/>
          <w:szCs w:val="22"/>
          <w:lang w:val="en-GB"/>
        </w:rPr>
      </w:pPr>
      <w:r w:rsidRPr="003603BA">
        <w:rPr>
          <w:rFonts w:ascii="Arial" w:hAnsi="Arial" w:cs="Arial"/>
          <w:szCs w:val="22"/>
          <w:lang w:val="en-GB"/>
        </w:rPr>
        <w:lastRenderedPageBreak/>
        <w:t>Provides contextual depth and real-world insight to triangulate with secondary data.</w:t>
      </w:r>
    </w:p>
    <w:p w:rsidR="003603BA" w:rsidRPr="003603BA" w:rsidRDefault="003603BA" w:rsidP="003603BA">
      <w:pPr>
        <w:pStyle w:val="NormalWeb"/>
        <w:numPr>
          <w:ilvl w:val="0"/>
          <w:numId w:val="14"/>
        </w:numPr>
        <w:spacing w:line="360" w:lineRule="auto"/>
        <w:rPr>
          <w:rFonts w:ascii="Arial" w:hAnsi="Arial" w:cs="Arial"/>
          <w:szCs w:val="22"/>
          <w:lang w:val="en-GB"/>
        </w:rPr>
      </w:pPr>
      <w:r w:rsidRPr="003603BA">
        <w:rPr>
          <w:rFonts w:ascii="Arial" w:hAnsi="Arial" w:cs="Arial"/>
          <w:szCs w:val="22"/>
          <w:lang w:val="en-GB"/>
        </w:rPr>
        <w:t>Captures human and system interactions that may not be documented in formal reports.</w:t>
      </w:r>
    </w:p>
    <w:p w:rsidR="003603BA" w:rsidRPr="003603BA" w:rsidRDefault="003603BA" w:rsidP="003603BA">
      <w:pPr>
        <w:pStyle w:val="NormalWeb"/>
        <w:numPr>
          <w:ilvl w:val="0"/>
          <w:numId w:val="14"/>
        </w:numPr>
        <w:spacing w:line="360" w:lineRule="auto"/>
        <w:rPr>
          <w:rFonts w:ascii="Arial" w:hAnsi="Arial" w:cs="Arial"/>
          <w:szCs w:val="22"/>
          <w:lang w:val="en-GB"/>
        </w:rPr>
      </w:pPr>
      <w:r w:rsidRPr="003603BA">
        <w:rPr>
          <w:rFonts w:ascii="Arial" w:hAnsi="Arial" w:cs="Arial"/>
          <w:szCs w:val="22"/>
          <w:lang w:val="en-GB"/>
        </w:rPr>
        <w:t>Offers a practitioner perspective, enhancing interpretation of literature with lived experience.</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b/>
          <w:bCs/>
          <w:szCs w:val="22"/>
          <w:lang w:val="en-GB"/>
        </w:rPr>
        <w:t>Limitations</w:t>
      </w:r>
    </w:p>
    <w:p w:rsidR="003603BA" w:rsidRPr="003603BA" w:rsidRDefault="003603BA" w:rsidP="003603BA">
      <w:pPr>
        <w:pStyle w:val="NormalWeb"/>
        <w:numPr>
          <w:ilvl w:val="0"/>
          <w:numId w:val="15"/>
        </w:numPr>
        <w:spacing w:line="360" w:lineRule="auto"/>
        <w:rPr>
          <w:rFonts w:ascii="Arial" w:hAnsi="Arial" w:cs="Arial"/>
          <w:szCs w:val="22"/>
          <w:lang w:val="en-GB"/>
        </w:rPr>
      </w:pPr>
      <w:r w:rsidRPr="003603BA">
        <w:rPr>
          <w:rFonts w:ascii="Arial" w:hAnsi="Arial" w:cs="Arial"/>
          <w:szCs w:val="22"/>
          <w:lang w:val="en-GB"/>
        </w:rPr>
        <w:t>Informal observations may introduce subjective bias; interpretations reflect personal experience.</w:t>
      </w:r>
    </w:p>
    <w:p w:rsidR="003603BA" w:rsidRPr="003603BA" w:rsidRDefault="003603BA" w:rsidP="003603BA">
      <w:pPr>
        <w:pStyle w:val="NormalWeb"/>
        <w:numPr>
          <w:ilvl w:val="0"/>
          <w:numId w:val="15"/>
        </w:numPr>
        <w:spacing w:line="360" w:lineRule="auto"/>
        <w:rPr>
          <w:rFonts w:ascii="Arial" w:hAnsi="Arial" w:cs="Arial"/>
          <w:szCs w:val="22"/>
          <w:lang w:val="en-GB"/>
        </w:rPr>
      </w:pPr>
      <w:r w:rsidRPr="003603BA">
        <w:rPr>
          <w:rFonts w:ascii="Arial" w:hAnsi="Arial" w:cs="Arial"/>
          <w:szCs w:val="22"/>
          <w:lang w:val="en-GB"/>
        </w:rPr>
        <w:t>Lack of structured data collection limits replicability.</w:t>
      </w:r>
    </w:p>
    <w:p w:rsidR="003603BA" w:rsidRPr="003603BA" w:rsidRDefault="003603BA" w:rsidP="003603BA">
      <w:pPr>
        <w:pStyle w:val="NormalWeb"/>
        <w:numPr>
          <w:ilvl w:val="0"/>
          <w:numId w:val="15"/>
        </w:numPr>
        <w:spacing w:line="360" w:lineRule="auto"/>
        <w:rPr>
          <w:rFonts w:ascii="Arial" w:hAnsi="Arial" w:cs="Arial"/>
          <w:szCs w:val="22"/>
          <w:lang w:val="en-GB"/>
        </w:rPr>
      </w:pPr>
      <w:r w:rsidRPr="003603BA">
        <w:rPr>
          <w:rFonts w:ascii="Arial" w:hAnsi="Arial" w:cs="Arial"/>
          <w:szCs w:val="22"/>
          <w:lang w:val="en-GB"/>
        </w:rPr>
        <w:t>Findings are context-specific and may not be generalisable across all Tesco sites or the wider retail sector.</w:t>
      </w:r>
    </w:p>
    <w:p w:rsidR="003603BA" w:rsidRPr="003603BA" w:rsidRDefault="003603BA" w:rsidP="003603BA">
      <w:pPr>
        <w:pStyle w:val="NormalWeb"/>
        <w:spacing w:line="360" w:lineRule="auto"/>
        <w:rPr>
          <w:rFonts w:ascii="Arial" w:hAnsi="Arial" w:cs="Arial"/>
          <w:szCs w:val="22"/>
          <w:lang w:val="en-GB"/>
        </w:rPr>
      </w:pPr>
      <w:r w:rsidRPr="003603BA">
        <w:rPr>
          <w:rFonts w:ascii="Arial" w:hAnsi="Arial" w:cs="Arial"/>
          <w:szCs w:val="22"/>
          <w:lang w:val="en-GB"/>
        </w:rPr>
        <w:t>Despite these limitations, the ethnographic component enriches the study by providing practical illustration of theoretical concepts and a deeper understanding of the interplay between technological change, leadership, and workforce engagement in a large retail logistics environment.</w:t>
      </w:r>
    </w:p>
    <w:p w:rsidR="0023565D" w:rsidRPr="007E53D4" w:rsidRDefault="0023565D" w:rsidP="001358D6">
      <w:pPr>
        <w:pStyle w:val="NormalWeb"/>
        <w:spacing w:line="360" w:lineRule="auto"/>
        <w:rPr>
          <w:rFonts w:ascii="Arial" w:hAnsi="Arial" w:cs="Arial"/>
          <w:szCs w:val="22"/>
        </w:rPr>
      </w:pPr>
      <w:r w:rsidRPr="00FA5EA3">
        <w:rPr>
          <w:rFonts w:ascii="Arial" w:hAnsi="Arial" w:cs="Arial"/>
          <w:sz w:val="21"/>
          <w:szCs w:val="21"/>
        </w:rPr>
        <w:br/>
      </w:r>
      <w:r w:rsidRPr="00FA5EA3">
        <w:rPr>
          <w:rFonts w:ascii="Arial" w:hAnsi="Arial" w:cs="Arial"/>
          <w:sz w:val="21"/>
          <w:szCs w:val="21"/>
        </w:rPr>
        <w:br/>
      </w:r>
      <w:bookmarkStart w:id="13" w:name="_Toc214295755"/>
      <w:r w:rsidRPr="001750C3">
        <w:rPr>
          <w:rStyle w:val="Heading2Char"/>
        </w:rPr>
        <w:t>3.</w:t>
      </w:r>
      <w:r w:rsidR="007C2E24">
        <w:rPr>
          <w:rStyle w:val="Heading2Char"/>
        </w:rPr>
        <w:t>10</w:t>
      </w:r>
      <w:r w:rsidRPr="001750C3">
        <w:rPr>
          <w:rStyle w:val="Heading2Char"/>
        </w:rPr>
        <w:t xml:space="preserve"> Chapter </w:t>
      </w:r>
      <w:r w:rsidR="0065410B">
        <w:rPr>
          <w:rStyle w:val="Heading2Char"/>
        </w:rPr>
        <w:t>s</w:t>
      </w:r>
      <w:r w:rsidRPr="001750C3">
        <w:rPr>
          <w:rStyle w:val="Heading2Char"/>
        </w:rPr>
        <w:t>ummary</w:t>
      </w:r>
      <w:bookmarkEnd w:id="13"/>
      <w:r w:rsidRPr="00FA5EA3">
        <w:rPr>
          <w:rFonts w:ascii="Arial" w:hAnsi="Arial" w:cs="Arial"/>
          <w:sz w:val="21"/>
          <w:szCs w:val="21"/>
        </w:rPr>
        <w:br/>
      </w:r>
      <w:r w:rsidRPr="007E53D4">
        <w:rPr>
          <w:rFonts w:ascii="Arial" w:hAnsi="Arial" w:cs="Arial"/>
          <w:szCs w:val="22"/>
        </w:rPr>
        <w:br/>
        <w:t xml:space="preserve">This chapter has detailed and justified the Systematic Literature Review (SLR) methodology used to underpin this dissertation. The process followed structured stages of database selection, keyword identification, and inclusion/exclusion filtering to ensure transparency and academic </w:t>
      </w:r>
      <w:proofErr w:type="spellStart"/>
      <w:r w:rsidRPr="007E53D4">
        <w:rPr>
          <w:rFonts w:ascii="Arial" w:hAnsi="Arial" w:cs="Arial"/>
          <w:szCs w:val="22"/>
        </w:rPr>
        <w:t>rigour</w:t>
      </w:r>
      <w:proofErr w:type="spellEnd"/>
      <w:r w:rsidRPr="007E53D4">
        <w:rPr>
          <w:rFonts w:ascii="Arial" w:hAnsi="Arial" w:cs="Arial"/>
          <w:szCs w:val="22"/>
        </w:rPr>
        <w:t>. The decision to rely exclusively on secondary data reflects both ethical responsibility and practical constraints, enabling a broad yet critical synthesis of existing evidence.</w:t>
      </w:r>
      <w:r w:rsidRPr="007E53D4">
        <w:rPr>
          <w:rFonts w:ascii="Arial" w:hAnsi="Arial" w:cs="Arial"/>
          <w:szCs w:val="22"/>
        </w:rPr>
        <w:br/>
      </w:r>
      <w:r w:rsidRPr="007E53D4">
        <w:rPr>
          <w:rFonts w:ascii="Arial" w:hAnsi="Arial" w:cs="Arial"/>
          <w:szCs w:val="22"/>
        </w:rPr>
        <w:br/>
        <w:t xml:space="preserve">Through this approach, the study integrates academic theory with real-world insights into </w:t>
      </w:r>
      <w:proofErr w:type="spellStart"/>
      <w:r w:rsidRPr="007E53D4">
        <w:rPr>
          <w:rFonts w:ascii="Arial" w:hAnsi="Arial" w:cs="Arial"/>
          <w:szCs w:val="22"/>
        </w:rPr>
        <w:t>organisational</w:t>
      </w:r>
      <w:proofErr w:type="spellEnd"/>
      <w:r w:rsidRPr="007E53D4">
        <w:rPr>
          <w:rFonts w:ascii="Arial" w:hAnsi="Arial" w:cs="Arial"/>
          <w:szCs w:val="22"/>
        </w:rPr>
        <w:t xml:space="preserve"> change, offering a balanced foundation for </w:t>
      </w:r>
      <w:proofErr w:type="spellStart"/>
      <w:r w:rsidRPr="007E53D4">
        <w:rPr>
          <w:rFonts w:ascii="Arial" w:hAnsi="Arial" w:cs="Arial"/>
          <w:szCs w:val="22"/>
        </w:rPr>
        <w:t>analysing</w:t>
      </w:r>
      <w:proofErr w:type="spellEnd"/>
      <w:r w:rsidRPr="007E53D4">
        <w:rPr>
          <w:rFonts w:ascii="Arial" w:hAnsi="Arial" w:cs="Arial"/>
          <w:szCs w:val="22"/>
        </w:rPr>
        <w:t xml:space="preserve"> Tesco’s change management practices. The following chapter will present the Results and Discussion, drawing upon the reviewed literature and corporate evidence to critically evaluate how Tesco manages </w:t>
      </w:r>
      <w:proofErr w:type="spellStart"/>
      <w:r w:rsidRPr="007E53D4">
        <w:rPr>
          <w:rFonts w:ascii="Arial" w:hAnsi="Arial" w:cs="Arial"/>
          <w:szCs w:val="22"/>
        </w:rPr>
        <w:t>organisational</w:t>
      </w:r>
      <w:proofErr w:type="spellEnd"/>
      <w:r w:rsidRPr="007E53D4">
        <w:rPr>
          <w:rFonts w:ascii="Arial" w:hAnsi="Arial" w:cs="Arial"/>
          <w:szCs w:val="22"/>
        </w:rPr>
        <w:t xml:space="preserve"> change within its logistics network and the extent to which these practices align with established change management models.</w:t>
      </w:r>
    </w:p>
    <w:p w:rsidR="002B3A30" w:rsidRPr="00FA5EA3" w:rsidRDefault="002B3A30" w:rsidP="001358D6">
      <w:pPr>
        <w:pStyle w:val="NormalWeb"/>
        <w:spacing w:line="360" w:lineRule="auto"/>
        <w:rPr>
          <w:rFonts w:ascii="Arial" w:hAnsi="Arial" w:cs="Arial"/>
          <w:sz w:val="21"/>
          <w:szCs w:val="21"/>
        </w:rPr>
      </w:pPr>
    </w:p>
    <w:p w:rsidR="00AD4559" w:rsidRDefault="002B3A30" w:rsidP="00AD4559">
      <w:pPr>
        <w:pStyle w:val="NormalWeb"/>
        <w:spacing w:line="360" w:lineRule="auto"/>
        <w:rPr>
          <w:rFonts w:ascii="Arial" w:hAnsi="Arial" w:cs="Arial"/>
          <w:szCs w:val="22"/>
        </w:rPr>
      </w:pPr>
      <w:bookmarkStart w:id="14" w:name="_Toc214295756"/>
      <w:r w:rsidRPr="00FD12BD">
        <w:rPr>
          <w:rStyle w:val="Heading1Char"/>
        </w:rPr>
        <w:lastRenderedPageBreak/>
        <w:t xml:space="preserve">CHAPTER 4: </w:t>
      </w:r>
      <w:r w:rsidR="00051C43">
        <w:rPr>
          <w:rStyle w:val="Heading1Char"/>
        </w:rPr>
        <w:t>Findings and analysis</w:t>
      </w:r>
      <w:bookmarkEnd w:id="14"/>
      <w:r w:rsidRPr="00FA5EA3">
        <w:rPr>
          <w:rFonts w:ascii="Arial" w:hAnsi="Arial" w:cs="Arial"/>
          <w:sz w:val="21"/>
          <w:szCs w:val="21"/>
        </w:rPr>
        <w:br/>
      </w:r>
      <w:r w:rsidRPr="00FA5EA3">
        <w:rPr>
          <w:rFonts w:ascii="Arial" w:hAnsi="Arial" w:cs="Arial"/>
          <w:sz w:val="21"/>
          <w:szCs w:val="21"/>
        </w:rPr>
        <w:br/>
      </w:r>
      <w:r w:rsidRPr="003C7DAD">
        <w:rPr>
          <w:rStyle w:val="Heading2Char"/>
        </w:rPr>
        <w:t>4.1 Introduction</w:t>
      </w:r>
      <w:r w:rsidRPr="00FA5EA3">
        <w:rPr>
          <w:rFonts w:ascii="Arial" w:hAnsi="Arial" w:cs="Arial"/>
          <w:sz w:val="21"/>
          <w:szCs w:val="21"/>
        </w:rPr>
        <w:br/>
      </w:r>
      <w:r w:rsidRPr="00FA5EA3">
        <w:rPr>
          <w:rFonts w:ascii="Arial" w:hAnsi="Arial" w:cs="Arial"/>
          <w:sz w:val="21"/>
          <w:szCs w:val="21"/>
        </w:rPr>
        <w:br/>
      </w:r>
      <w:r w:rsidRPr="003C7DAD">
        <w:rPr>
          <w:rFonts w:ascii="Arial" w:hAnsi="Arial" w:cs="Arial"/>
          <w:szCs w:val="22"/>
        </w:rPr>
        <w:t xml:space="preserve">This chapter presents and critically analyses the findings derived from the systematic literature review undertaken to examine how </w:t>
      </w:r>
      <w:proofErr w:type="spellStart"/>
      <w:r w:rsidRPr="003C7DAD">
        <w:rPr>
          <w:rFonts w:ascii="Arial" w:hAnsi="Arial" w:cs="Arial"/>
          <w:szCs w:val="22"/>
        </w:rPr>
        <w:t>organisational</w:t>
      </w:r>
      <w:proofErr w:type="spellEnd"/>
      <w:r w:rsidRPr="003C7DAD">
        <w:rPr>
          <w:rFonts w:ascii="Arial" w:hAnsi="Arial" w:cs="Arial"/>
          <w:szCs w:val="22"/>
        </w:rPr>
        <w:t xml:space="preserve"> change is managed within Tesco’s UK distribution warehouses.  Drawing exclusively on secondary sources, the discussion interprets the evidence through the lens of established change-management theories such as those proposed by Lewin (1951), Kotter (1996) and Hiatt (2006).  The aim is not merely to </w:t>
      </w:r>
      <w:proofErr w:type="spellStart"/>
      <w:r w:rsidRPr="003C7DAD">
        <w:rPr>
          <w:rFonts w:ascii="Arial" w:hAnsi="Arial" w:cs="Arial"/>
          <w:szCs w:val="22"/>
        </w:rPr>
        <w:t>summarise</w:t>
      </w:r>
      <w:proofErr w:type="spellEnd"/>
      <w:r w:rsidRPr="003C7DAD">
        <w:rPr>
          <w:rFonts w:ascii="Arial" w:hAnsi="Arial" w:cs="Arial"/>
          <w:szCs w:val="22"/>
        </w:rPr>
        <w:t xml:space="preserve"> previous studies but to offer a reflective interpretation of how Tesco’s strategic and operational responses illustrate, extend, or challenge existing theoretical perspectives.</w:t>
      </w:r>
      <w:r w:rsidRPr="003C7DAD">
        <w:rPr>
          <w:rFonts w:ascii="Arial" w:hAnsi="Arial" w:cs="Arial"/>
          <w:szCs w:val="22"/>
        </w:rPr>
        <w:br/>
      </w:r>
      <w:r w:rsidRPr="003C7DAD">
        <w:rPr>
          <w:rFonts w:ascii="Arial" w:hAnsi="Arial" w:cs="Arial"/>
          <w:szCs w:val="22"/>
        </w:rPr>
        <w:br/>
        <w:t xml:space="preserve">As I evaluated the selected literature, it became clear that the key determinants of successful </w:t>
      </w:r>
      <w:proofErr w:type="spellStart"/>
      <w:r w:rsidRPr="003C7DAD">
        <w:rPr>
          <w:rFonts w:ascii="Arial" w:hAnsi="Arial" w:cs="Arial"/>
          <w:szCs w:val="22"/>
        </w:rPr>
        <w:t>organisational</w:t>
      </w:r>
      <w:proofErr w:type="spellEnd"/>
      <w:r w:rsidRPr="003C7DAD">
        <w:rPr>
          <w:rFonts w:ascii="Arial" w:hAnsi="Arial" w:cs="Arial"/>
          <w:szCs w:val="22"/>
        </w:rPr>
        <w:t xml:space="preserve"> change in retail logistics revolve around five inter-related dimensions: </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external and internal drivers compelling transformation</w:t>
      </w:r>
      <w:r w:rsidR="00051C43">
        <w:rPr>
          <w:rFonts w:ascii="Arial" w:hAnsi="Arial" w:cs="Arial"/>
          <w:szCs w:val="22"/>
        </w:rPr>
        <w:t>.</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role of leadership and communication in orchestrating that change</w:t>
      </w:r>
      <w:r w:rsidR="00051C43">
        <w:rPr>
          <w:rFonts w:ascii="Arial" w:hAnsi="Arial" w:cs="Arial"/>
          <w:szCs w:val="22"/>
        </w:rPr>
        <w:t>.</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integration of technological innovation and automation</w:t>
      </w:r>
      <w:r w:rsidR="00051C43">
        <w:rPr>
          <w:rFonts w:ascii="Arial" w:hAnsi="Arial" w:cs="Arial"/>
          <w:szCs w:val="22"/>
        </w:rPr>
        <w:t>.</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management of workforce adaptation, engagement and resistance</w:t>
      </w:r>
      <w:r w:rsidR="00051C43">
        <w:rPr>
          <w:rFonts w:ascii="Arial" w:hAnsi="Arial" w:cs="Arial"/>
          <w:szCs w:val="22"/>
        </w:rPr>
        <w:t>.</w:t>
      </w:r>
      <w:r>
        <w:rPr>
          <w:rFonts w:ascii="Arial" w:hAnsi="Arial" w:cs="Arial"/>
          <w:szCs w:val="22"/>
        </w:rPr>
        <w:t xml:space="preserve"> </w:t>
      </w:r>
    </w:p>
    <w:p w:rsidR="00855954" w:rsidRDefault="00855954" w:rsidP="00855954">
      <w:pPr>
        <w:pStyle w:val="NormalWeb"/>
        <w:numPr>
          <w:ilvl w:val="0"/>
          <w:numId w:val="13"/>
        </w:numPr>
        <w:spacing w:line="360" w:lineRule="auto"/>
        <w:rPr>
          <w:rFonts w:ascii="Arial" w:hAnsi="Arial" w:cs="Arial"/>
          <w:szCs w:val="22"/>
        </w:rPr>
      </w:pPr>
      <w:r>
        <w:rPr>
          <w:rFonts w:ascii="Arial" w:hAnsi="Arial" w:cs="Arial"/>
          <w:szCs w:val="22"/>
        </w:rPr>
        <w:t>T</w:t>
      </w:r>
      <w:r w:rsidR="002B3A30" w:rsidRPr="003C7DAD">
        <w:rPr>
          <w:rFonts w:ascii="Arial" w:hAnsi="Arial" w:cs="Arial"/>
          <w:szCs w:val="22"/>
        </w:rPr>
        <w:t>he alignment between Tesco’s practice and theoretical models of change.  </w:t>
      </w:r>
    </w:p>
    <w:p w:rsidR="002B3A30" w:rsidRDefault="002B3A30" w:rsidP="00855954">
      <w:pPr>
        <w:pStyle w:val="NormalWeb"/>
        <w:spacing w:line="360" w:lineRule="auto"/>
        <w:rPr>
          <w:rFonts w:ascii="Arial" w:hAnsi="Arial" w:cs="Arial"/>
          <w:szCs w:val="22"/>
        </w:rPr>
      </w:pPr>
      <w:r w:rsidRPr="00855954">
        <w:rPr>
          <w:rFonts w:ascii="Arial" w:hAnsi="Arial" w:cs="Arial"/>
          <w:szCs w:val="22"/>
        </w:rPr>
        <w:t>Each of these themes is explored below. In doing so, I critically assess not only what Tesco has achieved, but why particular strategic decisions have proven effective</w:t>
      </w:r>
      <w:r w:rsidR="00F7061F" w:rsidRPr="00855954">
        <w:rPr>
          <w:rFonts w:ascii="Arial" w:hAnsi="Arial" w:cs="Arial"/>
          <w:szCs w:val="22"/>
        </w:rPr>
        <w:t xml:space="preserve"> </w:t>
      </w:r>
      <w:r w:rsidRPr="00855954">
        <w:rPr>
          <w:rFonts w:ascii="Arial" w:hAnsi="Arial" w:cs="Arial"/>
          <w:szCs w:val="22"/>
        </w:rPr>
        <w:t>or limited</w:t>
      </w:r>
      <w:r w:rsidR="00F7061F" w:rsidRPr="00855954">
        <w:rPr>
          <w:rFonts w:ascii="Arial" w:hAnsi="Arial" w:cs="Arial"/>
          <w:szCs w:val="22"/>
        </w:rPr>
        <w:t xml:space="preserve"> </w:t>
      </w:r>
      <w:r w:rsidRPr="00855954">
        <w:rPr>
          <w:rFonts w:ascii="Arial" w:hAnsi="Arial" w:cs="Arial"/>
          <w:szCs w:val="22"/>
        </w:rPr>
        <w:t>within its logistics operations.</w:t>
      </w:r>
    </w:p>
    <w:p w:rsidR="00687386" w:rsidRPr="00855954" w:rsidRDefault="00687386" w:rsidP="00855954">
      <w:pPr>
        <w:pStyle w:val="NormalWeb"/>
        <w:spacing w:line="360" w:lineRule="auto"/>
        <w:rPr>
          <w:rFonts w:ascii="Arial" w:hAnsi="Arial" w:cs="Arial"/>
          <w:szCs w:val="22"/>
        </w:rPr>
      </w:pPr>
    </w:p>
    <w:p w:rsidR="002B3A30" w:rsidRDefault="002B3A30" w:rsidP="002B3A30">
      <w:pPr>
        <w:pStyle w:val="NormalWeb"/>
        <w:spacing w:line="360" w:lineRule="auto"/>
        <w:rPr>
          <w:rFonts w:ascii="Arial" w:hAnsi="Arial" w:cs="Arial"/>
          <w:sz w:val="21"/>
          <w:szCs w:val="21"/>
        </w:rPr>
      </w:pPr>
      <w:r w:rsidRPr="00FA5EA3">
        <w:rPr>
          <w:rFonts w:ascii="Arial" w:hAnsi="Arial" w:cs="Arial"/>
          <w:sz w:val="21"/>
          <w:szCs w:val="21"/>
        </w:rPr>
        <w:t> </w:t>
      </w:r>
    </w:p>
    <w:p w:rsidR="0020166D" w:rsidRDefault="0020166D" w:rsidP="0045722B">
      <w:pPr>
        <w:rPr>
          <w:rStyle w:val="Heading2Char"/>
        </w:rPr>
      </w:pPr>
      <w:r>
        <w:rPr>
          <w:rStyle w:val="Heading2Char"/>
          <w:noProof/>
          <w:lang w:val="en-US" w:eastAsia="en-US"/>
        </w:rPr>
        <w:lastRenderedPageBreak/>
        <w:drawing>
          <wp:inline distT="0" distB="0" distL="0" distR="0">
            <wp:extent cx="5715000" cy="7019925"/>
            <wp:effectExtent l="0" t="0" r="0" b="9525"/>
            <wp:docPr id="4608656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15000" cy="7019925"/>
                    </a:xfrm>
                    <a:prstGeom prst="rect">
                      <a:avLst/>
                    </a:prstGeom>
                    <a:noFill/>
                    <a:ln>
                      <a:noFill/>
                    </a:ln>
                  </pic:spPr>
                </pic:pic>
              </a:graphicData>
            </a:graphic>
          </wp:inline>
        </w:drawing>
      </w:r>
    </w:p>
    <w:p w:rsidR="0020166D" w:rsidRPr="00BE3452" w:rsidRDefault="00BE3452" w:rsidP="0045722B">
      <w:pPr>
        <w:rPr>
          <w:rStyle w:val="Heading2Char"/>
          <w:bCs/>
          <w:i/>
          <w:iCs/>
          <w:sz w:val="22"/>
          <w:szCs w:val="22"/>
        </w:rPr>
      </w:pPr>
      <w:r w:rsidRPr="00BE3452">
        <w:rPr>
          <w:bCs/>
          <w:i/>
          <w:iCs/>
          <w:szCs w:val="22"/>
        </w:rPr>
        <w:t>Table 4.1</w:t>
      </w:r>
      <w:r w:rsidR="00501239">
        <w:rPr>
          <w:bCs/>
          <w:i/>
          <w:iCs/>
          <w:szCs w:val="22"/>
        </w:rPr>
        <w:t xml:space="preserve"> by the Author</w:t>
      </w:r>
      <w:r w:rsidRPr="00BE3452">
        <w:rPr>
          <w:bCs/>
          <w:i/>
          <w:iCs/>
          <w:szCs w:val="22"/>
        </w:rPr>
        <w:t xml:space="preserve"> presents a summary of the key literature sources identified through the systematic literature review. The table categorises each source by author, year, focus, and relevance to Tesco’s organisational change in retail logistics. This overview provides a concise reference point for understanding the theoretical and empirical foundations that inform the analysis in this chapter. By synthesising insights from both academic and industry sources, the table illustrates how prior research contributes to the exploration of drivers of </w:t>
      </w:r>
      <w:r w:rsidRPr="00BE3452">
        <w:rPr>
          <w:bCs/>
          <w:i/>
          <w:iCs/>
          <w:szCs w:val="22"/>
        </w:rPr>
        <w:lastRenderedPageBreak/>
        <w:t>change, leadership practices, technological transformation, and workforce engagement within Tesco’s logistics operations.</w:t>
      </w:r>
    </w:p>
    <w:p w:rsidR="00882A1F" w:rsidRDefault="002B3A30" w:rsidP="0045722B">
      <w:pPr>
        <w:rPr>
          <w:rFonts w:eastAsia="Times New Roman"/>
          <w:color w:val="auto"/>
          <w:kern w:val="0"/>
          <w:szCs w:val="22"/>
          <w:lang w:val="en-US" w:eastAsia="en-US"/>
        </w:rPr>
      </w:pPr>
      <w:bookmarkStart w:id="15" w:name="_Toc214295757"/>
      <w:r w:rsidRPr="0045722B">
        <w:rPr>
          <w:rStyle w:val="Heading2Char"/>
        </w:rPr>
        <w:t xml:space="preserve">4.2 Drivers of </w:t>
      </w:r>
      <w:r w:rsidR="00F852C2">
        <w:rPr>
          <w:rStyle w:val="Heading2Char"/>
        </w:rPr>
        <w:t>o</w:t>
      </w:r>
      <w:r w:rsidRPr="0045722B">
        <w:rPr>
          <w:rStyle w:val="Heading2Char"/>
        </w:rPr>
        <w:t xml:space="preserve">rganisational </w:t>
      </w:r>
      <w:r w:rsidR="00F852C2">
        <w:rPr>
          <w:rStyle w:val="Heading2Char"/>
        </w:rPr>
        <w:t>c</w:t>
      </w:r>
      <w:r w:rsidRPr="0045722B">
        <w:rPr>
          <w:rStyle w:val="Heading2Char"/>
        </w:rPr>
        <w:t xml:space="preserve">hange in </w:t>
      </w:r>
      <w:r w:rsidR="00F852C2">
        <w:rPr>
          <w:rStyle w:val="Heading2Char"/>
        </w:rPr>
        <w:t>r</w:t>
      </w:r>
      <w:r w:rsidRPr="0045722B">
        <w:rPr>
          <w:rStyle w:val="Heading2Char"/>
        </w:rPr>
        <w:t xml:space="preserve">etail </w:t>
      </w:r>
      <w:r w:rsidR="00F852C2">
        <w:rPr>
          <w:rStyle w:val="Heading2Char"/>
        </w:rPr>
        <w:t>l</w:t>
      </w:r>
      <w:r w:rsidRPr="0045722B">
        <w:rPr>
          <w:rStyle w:val="Heading2Char"/>
        </w:rPr>
        <w:t>ogistics</w:t>
      </w:r>
      <w:bookmarkEnd w:id="15"/>
      <w:r w:rsidRPr="00FA5EA3">
        <w:rPr>
          <w:rFonts w:eastAsia="Times New Roman"/>
          <w:color w:val="auto"/>
          <w:kern w:val="0"/>
          <w:sz w:val="21"/>
          <w:szCs w:val="21"/>
          <w:lang w:val="en-US" w:eastAsia="en-US"/>
        </w:rPr>
        <w:br/>
      </w:r>
      <w:r w:rsidRPr="00FA5EA3">
        <w:rPr>
          <w:rFonts w:eastAsia="Times New Roman"/>
          <w:color w:val="auto"/>
          <w:kern w:val="0"/>
          <w:sz w:val="21"/>
          <w:szCs w:val="21"/>
          <w:lang w:val="en-US" w:eastAsia="en-US"/>
        </w:rPr>
        <w:br/>
      </w:r>
      <w:r w:rsidRPr="0045722B">
        <w:rPr>
          <w:rFonts w:eastAsia="Times New Roman"/>
          <w:color w:val="auto"/>
          <w:kern w:val="0"/>
          <w:szCs w:val="22"/>
          <w:lang w:val="en-US" w:eastAsia="en-US"/>
        </w:rPr>
        <w:t xml:space="preserve">The literature consistently identifies technological disruption, market volatility and regulatory pressure as the dominant forces driving </w:t>
      </w:r>
      <w:proofErr w:type="spellStart"/>
      <w:r w:rsidRPr="0045722B">
        <w:rPr>
          <w:rFonts w:eastAsia="Times New Roman"/>
          <w:color w:val="auto"/>
          <w:kern w:val="0"/>
          <w:szCs w:val="22"/>
          <w:lang w:val="en-US" w:eastAsia="en-US"/>
        </w:rPr>
        <w:t>organisational</w:t>
      </w:r>
      <w:proofErr w:type="spellEnd"/>
      <w:r w:rsidRPr="0045722B">
        <w:rPr>
          <w:rFonts w:eastAsia="Times New Roman"/>
          <w:color w:val="auto"/>
          <w:kern w:val="0"/>
          <w:szCs w:val="22"/>
          <w:lang w:val="en-US" w:eastAsia="en-US"/>
        </w:rPr>
        <w:t xml:space="preserve"> change across the retail logistics sector (Accenture, 2022; CIPS, 2023; Deloitte, 2023). In my interpretation, Tesco’s ongoing transformation is best understood as a strategic response to three interconnected imperatives: efficiency, resilience, and sustainability.</w:t>
      </w:r>
    </w:p>
    <w:p w:rsidR="00067A49" w:rsidRDefault="00067A49" w:rsidP="0045722B">
      <w:pPr>
        <w:rPr>
          <w:rStyle w:val="Heading3Char"/>
          <w:rFonts w:ascii="Arial" w:hAnsi="Arial" w:cs="Arial"/>
          <w:lang w:val="en-US" w:eastAsia="en-US"/>
        </w:rPr>
      </w:pPr>
      <w:r>
        <w:rPr>
          <w:rFonts w:eastAsia="Times New Roman"/>
          <w:noProof/>
          <w:color w:val="auto"/>
          <w:kern w:val="0"/>
          <w:szCs w:val="22"/>
          <w:lang w:val="en-US" w:eastAsia="en-US"/>
        </w:rPr>
        <w:drawing>
          <wp:inline distT="0" distB="0" distL="0" distR="0">
            <wp:extent cx="5762625" cy="1838325"/>
            <wp:effectExtent l="0" t="0" r="9525" b="9525"/>
            <wp:docPr id="12502397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62625" cy="1838325"/>
                    </a:xfrm>
                    <a:prstGeom prst="rect">
                      <a:avLst/>
                    </a:prstGeom>
                    <a:noFill/>
                    <a:ln>
                      <a:noFill/>
                    </a:ln>
                  </pic:spPr>
                </pic:pic>
              </a:graphicData>
            </a:graphic>
          </wp:inline>
        </w:drawing>
      </w:r>
    </w:p>
    <w:p w:rsidR="00BE25EF" w:rsidRDefault="004D2DB7" w:rsidP="0045722B">
      <w:pPr>
        <w:rPr>
          <w:rFonts w:eastAsia="Times New Roman"/>
          <w:color w:val="auto"/>
          <w:kern w:val="0"/>
          <w:sz w:val="21"/>
          <w:szCs w:val="21"/>
          <w:lang w:val="en-US" w:eastAsia="en-US"/>
        </w:rPr>
      </w:pPr>
      <w:r w:rsidRPr="004D2DB7">
        <w:rPr>
          <w:rFonts w:eastAsia="Times New Roman"/>
          <w:i/>
          <w:iCs/>
          <w:color w:val="auto"/>
          <w:kern w:val="0"/>
          <w:szCs w:val="22"/>
          <w:lang w:eastAsia="en-US"/>
        </w:rPr>
        <w:t xml:space="preserve">Table 4.2 </w:t>
      </w:r>
      <w:r w:rsidR="00501239">
        <w:rPr>
          <w:rFonts w:eastAsia="Times New Roman"/>
          <w:i/>
          <w:iCs/>
          <w:color w:val="auto"/>
          <w:kern w:val="0"/>
          <w:szCs w:val="22"/>
          <w:lang w:eastAsia="en-US"/>
        </w:rPr>
        <w:t xml:space="preserve">by the Author, </w:t>
      </w:r>
      <w:r w:rsidRPr="004D2DB7">
        <w:rPr>
          <w:rFonts w:eastAsia="Times New Roman"/>
          <w:i/>
          <w:iCs/>
          <w:color w:val="auto"/>
          <w:kern w:val="0"/>
          <w:szCs w:val="22"/>
          <w:lang w:eastAsia="en-US"/>
        </w:rPr>
        <w:t>summarises the primary drivers of organisational change within Tesco’s retail logistics operations, as identified through the literature review. Each driver is linked to the underlying operational or strategic pressures influencing transformation, including technological advancement, market and regulatory volatility, and sustainability imperatives. The table highlights how these forces interact to shape Tesco’s change agenda, providing a clear visual reference for understanding the rationale behind specific initiatives in automation, supply chain restructuring, and sustainable practices. It reinforces the critical insight that change in large-scale retail logistics is driven by both external market conditions and internal strategic priorities.</w:t>
      </w:r>
      <w:r w:rsidR="002B3A30" w:rsidRPr="0045722B">
        <w:rPr>
          <w:rFonts w:eastAsia="Times New Roman"/>
          <w:color w:val="auto"/>
          <w:kern w:val="0"/>
          <w:szCs w:val="22"/>
          <w:lang w:val="en-US" w:eastAsia="en-US"/>
        </w:rPr>
        <w:br/>
      </w:r>
      <w:r w:rsidR="002B3A30" w:rsidRPr="00FA5EA3">
        <w:rPr>
          <w:rStyle w:val="Heading3Char"/>
          <w:rFonts w:ascii="Arial" w:hAnsi="Arial" w:cs="Arial"/>
          <w:lang w:val="en-US" w:eastAsia="en-US"/>
        </w:rPr>
        <w:br/>
      </w:r>
      <w:r w:rsidR="002B3A30" w:rsidRPr="003C7DAD">
        <w:rPr>
          <w:rStyle w:val="Heading2Char"/>
        </w:rPr>
        <w:t xml:space="preserve">4.2.1 Technological </w:t>
      </w:r>
      <w:r w:rsidR="00C75505">
        <w:rPr>
          <w:rStyle w:val="Heading2Char"/>
        </w:rPr>
        <w:t>a</w:t>
      </w:r>
      <w:r w:rsidR="002B3A30" w:rsidRPr="003C7DAD">
        <w:rPr>
          <w:rStyle w:val="Heading2Char"/>
        </w:rPr>
        <w:t xml:space="preserve">cceleration and </w:t>
      </w:r>
      <w:r w:rsidR="00C75505">
        <w:rPr>
          <w:rStyle w:val="Heading2Char"/>
        </w:rPr>
        <w:t>e</w:t>
      </w:r>
      <w:r w:rsidR="002B3A30" w:rsidRPr="003C7DAD">
        <w:rPr>
          <w:rStyle w:val="Heading2Char"/>
        </w:rPr>
        <w:t xml:space="preserve">fficiency </w:t>
      </w:r>
      <w:r w:rsidR="00C75505">
        <w:rPr>
          <w:rStyle w:val="Heading2Char"/>
        </w:rPr>
        <w:t>d</w:t>
      </w:r>
      <w:r w:rsidR="002B3A30" w:rsidRPr="003C7DAD">
        <w:rPr>
          <w:rStyle w:val="Heading2Char"/>
        </w:rPr>
        <w:t>emands</w:t>
      </w:r>
      <w:r w:rsidR="002B3A30" w:rsidRPr="00FA5EA3">
        <w:rPr>
          <w:rFonts w:eastAsia="Times New Roman"/>
          <w:color w:val="auto"/>
          <w:kern w:val="0"/>
          <w:sz w:val="21"/>
          <w:szCs w:val="21"/>
          <w:lang w:val="en-US" w:eastAsia="en-US"/>
        </w:rPr>
        <w:br/>
      </w:r>
      <w:r w:rsidR="002B3A30" w:rsidRPr="00FA5EA3">
        <w:rPr>
          <w:rFonts w:eastAsia="Times New Roman"/>
          <w:color w:val="auto"/>
          <w:kern w:val="0"/>
          <w:sz w:val="21"/>
          <w:szCs w:val="21"/>
          <w:lang w:val="en-US" w:eastAsia="en-US"/>
        </w:rPr>
        <w:br/>
      </w:r>
      <w:r w:rsidR="002B3A30" w:rsidRPr="0045722B">
        <w:rPr>
          <w:rFonts w:eastAsia="Times New Roman"/>
          <w:color w:val="auto"/>
          <w:kern w:val="0"/>
          <w:szCs w:val="22"/>
          <w:lang w:val="en-US" w:eastAsia="en-US"/>
        </w:rPr>
        <w:t xml:space="preserve">Digital transformation has redefined competitive advantage in logistics. Tesco’s investment in automated warehouse management systems, robotics and data-driven inventory forecasting demonstrates a conscious attempt to reduce lead times and operational costs (Tesco plc, 2024). Accenture (2022) argues that such initiatives typify a shift from traditional supply-chain management towards “digital reinvention”, where data analytics underpin almost every </w:t>
      </w:r>
      <w:r w:rsidR="002B3A30" w:rsidRPr="0045722B">
        <w:rPr>
          <w:rFonts w:eastAsia="Times New Roman"/>
          <w:color w:val="auto"/>
          <w:kern w:val="0"/>
          <w:szCs w:val="22"/>
          <w:lang w:val="en-US" w:eastAsia="en-US"/>
        </w:rPr>
        <w:lastRenderedPageBreak/>
        <w:t xml:space="preserve">operational decision. I consider Tesco’s decision to </w:t>
      </w:r>
      <w:proofErr w:type="spellStart"/>
      <w:r w:rsidR="002B3A30" w:rsidRPr="0045722B">
        <w:rPr>
          <w:rFonts w:eastAsia="Times New Roman"/>
          <w:color w:val="auto"/>
          <w:kern w:val="0"/>
          <w:szCs w:val="22"/>
          <w:lang w:val="en-US" w:eastAsia="en-US"/>
        </w:rPr>
        <w:t>prioritise</w:t>
      </w:r>
      <w:proofErr w:type="spellEnd"/>
      <w:r w:rsidR="002B3A30" w:rsidRPr="0045722B">
        <w:rPr>
          <w:rFonts w:eastAsia="Times New Roman"/>
          <w:color w:val="auto"/>
          <w:kern w:val="0"/>
          <w:szCs w:val="22"/>
          <w:lang w:val="en-US" w:eastAsia="en-US"/>
        </w:rPr>
        <w:t xml:space="preserve"> automation as a rational response to the intensifying pressure from online retail competitors such as Amazon, whose fulfilment model sets new performance benchmarks.  However, this efficiency-</w:t>
      </w:r>
      <w:proofErr w:type="spellStart"/>
      <w:r w:rsidR="002B3A30" w:rsidRPr="0045722B">
        <w:rPr>
          <w:rFonts w:eastAsia="Times New Roman"/>
          <w:color w:val="auto"/>
          <w:kern w:val="0"/>
          <w:szCs w:val="22"/>
          <w:lang w:val="en-US" w:eastAsia="en-US"/>
        </w:rPr>
        <w:t>centred</w:t>
      </w:r>
      <w:proofErr w:type="spellEnd"/>
      <w:r w:rsidR="002B3A30" w:rsidRPr="0045722B">
        <w:rPr>
          <w:rFonts w:eastAsia="Times New Roman"/>
          <w:color w:val="auto"/>
          <w:kern w:val="0"/>
          <w:szCs w:val="22"/>
          <w:lang w:val="en-US" w:eastAsia="en-US"/>
        </w:rPr>
        <w:t xml:space="preserve"> focus can inadvertently </w:t>
      </w:r>
      <w:proofErr w:type="spellStart"/>
      <w:r w:rsidR="002B3A30" w:rsidRPr="0045722B">
        <w:rPr>
          <w:rFonts w:eastAsia="Times New Roman"/>
          <w:color w:val="auto"/>
          <w:kern w:val="0"/>
          <w:szCs w:val="22"/>
          <w:lang w:val="en-US" w:eastAsia="en-US"/>
        </w:rPr>
        <w:t>marginalise</w:t>
      </w:r>
      <w:proofErr w:type="spellEnd"/>
      <w:r w:rsidR="002B3A30" w:rsidRPr="0045722B">
        <w:rPr>
          <w:rFonts w:eastAsia="Times New Roman"/>
          <w:color w:val="auto"/>
          <w:kern w:val="0"/>
          <w:szCs w:val="22"/>
          <w:lang w:val="en-US" w:eastAsia="en-US"/>
        </w:rPr>
        <w:t xml:space="preserve"> the human aspects of change; balancing automation with workforce well-being therefore becomes a continuing leadership challenge.</w:t>
      </w:r>
      <w:r w:rsidR="002B3A30" w:rsidRPr="0045722B">
        <w:rPr>
          <w:rFonts w:eastAsia="Times New Roman"/>
          <w:color w:val="auto"/>
          <w:kern w:val="0"/>
          <w:szCs w:val="22"/>
          <w:lang w:val="en-US" w:eastAsia="en-US"/>
        </w:rPr>
        <w:br/>
      </w:r>
      <w:r w:rsidR="002B3A30" w:rsidRPr="00FA5EA3">
        <w:rPr>
          <w:rFonts w:eastAsia="Times New Roman"/>
          <w:color w:val="auto"/>
          <w:kern w:val="0"/>
          <w:sz w:val="21"/>
          <w:szCs w:val="21"/>
          <w:lang w:val="en-US" w:eastAsia="en-US"/>
        </w:rPr>
        <w:br/>
      </w:r>
      <w:r w:rsidR="002B3A30" w:rsidRPr="003C7DAD">
        <w:rPr>
          <w:rStyle w:val="Heading2Char"/>
        </w:rPr>
        <w:t xml:space="preserve">4.2.2 Market and </w:t>
      </w:r>
      <w:r w:rsidR="00C75505">
        <w:rPr>
          <w:rStyle w:val="Heading2Char"/>
        </w:rPr>
        <w:t>r</w:t>
      </w:r>
      <w:r w:rsidR="002B3A30" w:rsidRPr="003C7DAD">
        <w:rPr>
          <w:rStyle w:val="Heading2Char"/>
        </w:rPr>
        <w:t xml:space="preserve">egulatory </w:t>
      </w:r>
      <w:r w:rsidR="00C75505">
        <w:rPr>
          <w:rStyle w:val="Heading2Char"/>
        </w:rPr>
        <w:t>v</w:t>
      </w:r>
      <w:r w:rsidR="002B3A30" w:rsidRPr="003C7DAD">
        <w:rPr>
          <w:rStyle w:val="Heading2Char"/>
        </w:rPr>
        <w:t>olatility</w:t>
      </w:r>
      <w:r w:rsidR="002B3A30" w:rsidRPr="00FA5EA3">
        <w:rPr>
          <w:rFonts w:eastAsia="Times New Roman"/>
          <w:color w:val="auto"/>
          <w:kern w:val="0"/>
          <w:sz w:val="21"/>
          <w:szCs w:val="21"/>
          <w:lang w:val="en-US" w:eastAsia="en-US"/>
        </w:rPr>
        <w:br/>
      </w:r>
      <w:r w:rsidR="002B3A30" w:rsidRPr="00FA5EA3">
        <w:rPr>
          <w:rFonts w:eastAsia="Times New Roman"/>
          <w:color w:val="auto"/>
          <w:kern w:val="0"/>
          <w:sz w:val="21"/>
          <w:szCs w:val="21"/>
          <w:lang w:val="en-US" w:eastAsia="en-US"/>
        </w:rPr>
        <w:br/>
        <w:t xml:space="preserve">Brexit and the COVID-19 pandemic exposed the fragility of global logistics networks. McKinsey &amp; Company (2021) </w:t>
      </w:r>
      <w:proofErr w:type="spellStart"/>
      <w:r w:rsidR="002B3A30" w:rsidRPr="00FA5EA3">
        <w:rPr>
          <w:rFonts w:eastAsia="Times New Roman"/>
          <w:color w:val="auto"/>
          <w:kern w:val="0"/>
          <w:sz w:val="21"/>
          <w:szCs w:val="21"/>
          <w:lang w:val="en-US" w:eastAsia="en-US"/>
        </w:rPr>
        <w:t>emphasise</w:t>
      </w:r>
      <w:proofErr w:type="spellEnd"/>
      <w:r w:rsidR="002B3A30" w:rsidRPr="00FA5EA3">
        <w:rPr>
          <w:rFonts w:eastAsia="Times New Roman"/>
          <w:color w:val="auto"/>
          <w:kern w:val="0"/>
          <w:sz w:val="21"/>
          <w:szCs w:val="21"/>
          <w:lang w:val="en-US" w:eastAsia="en-US"/>
        </w:rPr>
        <w:t xml:space="preserve"> that supply-chain resilience now requires geographic diversification and near-shoring of key operations. </w:t>
      </w:r>
    </w:p>
    <w:p w:rsidR="00BE25EF" w:rsidRDefault="002B3A30" w:rsidP="0045722B">
      <w:pPr>
        <w:rPr>
          <w:rFonts w:eastAsia="Times New Roman"/>
          <w:color w:val="auto"/>
          <w:kern w:val="0"/>
          <w:sz w:val="21"/>
          <w:szCs w:val="21"/>
          <w:lang w:val="en-US" w:eastAsia="en-US"/>
        </w:rPr>
      </w:pPr>
      <w:r w:rsidRPr="00FA5EA3">
        <w:rPr>
          <w:rFonts w:eastAsia="Times New Roman"/>
          <w:color w:val="auto"/>
          <w:kern w:val="0"/>
          <w:sz w:val="21"/>
          <w:szCs w:val="21"/>
          <w:lang w:val="en-US" w:eastAsia="en-US"/>
        </w:rPr>
        <w:t>Tesco’s subsequent reconfiguration of its UK distribution network</w:t>
      </w:r>
      <w:r w:rsidR="00BE25EF">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particularly through its Daventry and Goole sites</w:t>
      </w:r>
      <w:r w:rsidR="00BE25EF">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 xml:space="preserve">illustrates a deliberate attempt to shorten supply lines and mitigate import risks (Tesco plc, 2024).  From my analysis, this demonstrates a proactive rather than reactive posture: Tesco anticipated that future disruptions would be endemic to the retail landscape and therefore </w:t>
      </w:r>
      <w:proofErr w:type="spellStart"/>
      <w:r w:rsidRPr="00FA5EA3">
        <w:rPr>
          <w:rFonts w:eastAsia="Times New Roman"/>
          <w:color w:val="auto"/>
          <w:kern w:val="0"/>
          <w:sz w:val="21"/>
          <w:szCs w:val="21"/>
          <w:lang w:val="en-US" w:eastAsia="en-US"/>
        </w:rPr>
        <w:t>institutionalised</w:t>
      </w:r>
      <w:proofErr w:type="spellEnd"/>
      <w:r w:rsidRPr="00FA5EA3">
        <w:rPr>
          <w:rFonts w:eastAsia="Times New Roman"/>
          <w:color w:val="auto"/>
          <w:kern w:val="0"/>
          <w:sz w:val="21"/>
          <w:szCs w:val="21"/>
          <w:lang w:val="en-US" w:eastAsia="en-US"/>
        </w:rPr>
        <w:t xml:space="preserve"> flexibility within its logistics design. Such foresight aligns with By, Hughes and Ford’s (2016) argument that successful change agents view uncertainty as a permanent condition rather than a temporary crisis.</w:t>
      </w:r>
      <w:r w:rsidRPr="00FA5EA3">
        <w:rPr>
          <w:rFonts w:eastAsia="Times New Roman"/>
          <w:color w:val="auto"/>
          <w:kern w:val="0"/>
          <w:sz w:val="21"/>
          <w:szCs w:val="21"/>
          <w:lang w:val="en-US" w:eastAsia="en-US"/>
        </w:rPr>
        <w:br/>
      </w:r>
      <w:r w:rsidRPr="00FA5EA3">
        <w:rPr>
          <w:rStyle w:val="Heading3Char"/>
          <w:rFonts w:ascii="Arial" w:hAnsi="Arial" w:cs="Arial"/>
          <w:lang w:val="en-US" w:eastAsia="en-US"/>
        </w:rPr>
        <w:br/>
      </w:r>
      <w:r w:rsidRPr="00BE25EF">
        <w:rPr>
          <w:rStyle w:val="Heading2Char"/>
        </w:rPr>
        <w:t xml:space="preserve">4.2.3 Sustainability and </w:t>
      </w:r>
      <w:r w:rsidR="00C75505">
        <w:rPr>
          <w:rStyle w:val="Heading2Char"/>
        </w:rPr>
        <w:t>c</w:t>
      </w:r>
      <w:r w:rsidRPr="00BE25EF">
        <w:rPr>
          <w:rStyle w:val="Heading2Char"/>
        </w:rPr>
        <w:t xml:space="preserve">orporate </w:t>
      </w:r>
      <w:r w:rsidR="00C75505">
        <w:rPr>
          <w:rStyle w:val="Heading2Char"/>
        </w:rPr>
        <w:t>r</w:t>
      </w:r>
      <w:r w:rsidRPr="00BE25EF">
        <w:rPr>
          <w:rStyle w:val="Heading2Char"/>
        </w:rPr>
        <w:t>esponsibility</w:t>
      </w:r>
      <w:r w:rsidRPr="00FA5EA3">
        <w:rPr>
          <w:rFonts w:eastAsia="Times New Roman"/>
          <w:color w:val="auto"/>
          <w:kern w:val="0"/>
          <w:sz w:val="21"/>
          <w:szCs w:val="21"/>
          <w:lang w:val="en-US" w:eastAsia="en-US"/>
        </w:rPr>
        <w:br/>
      </w:r>
      <w:r w:rsidRPr="00FA5EA3">
        <w:rPr>
          <w:rFonts w:eastAsia="Times New Roman"/>
          <w:color w:val="auto"/>
          <w:kern w:val="0"/>
          <w:sz w:val="21"/>
          <w:szCs w:val="21"/>
          <w:lang w:val="en-US" w:eastAsia="en-US"/>
        </w:rPr>
        <w:br/>
        <w:t>Environmental sustainability has emerged as both an ethical and operational driver of change. CIPD (2023) and Deloitte (2023) observe that major retailers are embedding sustainability metrics into performance management systems. Tesco’s target to achieve net-zero operations by 2050</w:t>
      </w:r>
      <w:r w:rsidR="00BB7011">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alongside initiatives such as low-emission vehicle fleets and energy-efficient warehouses</w:t>
      </w:r>
      <w:r w:rsidR="00BB7011">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 xml:space="preserve">exemplifies this shift (Tesco plc, 2024). </w:t>
      </w:r>
    </w:p>
    <w:p w:rsidR="003D2E88" w:rsidRDefault="002B3A30" w:rsidP="0045722B">
      <w:pPr>
        <w:rPr>
          <w:rStyle w:val="Heading2Char"/>
        </w:rPr>
      </w:pPr>
      <w:r w:rsidRPr="00FA5EA3">
        <w:rPr>
          <w:rFonts w:eastAsia="Times New Roman"/>
          <w:color w:val="auto"/>
          <w:kern w:val="0"/>
          <w:sz w:val="21"/>
          <w:szCs w:val="21"/>
          <w:lang w:val="en-US" w:eastAsia="en-US"/>
        </w:rPr>
        <w:t xml:space="preserve">I argue that these measures are not merely reputational; they also redefine logistics processes by influencing procurement, packaging, and energy-use decisions. However, achieving such transformation requires cultural alignment across all levels of the </w:t>
      </w:r>
      <w:proofErr w:type="spellStart"/>
      <w:r w:rsidRPr="00FA5EA3">
        <w:rPr>
          <w:rFonts w:eastAsia="Times New Roman"/>
          <w:color w:val="auto"/>
          <w:kern w:val="0"/>
          <w:sz w:val="21"/>
          <w:szCs w:val="21"/>
          <w:lang w:val="en-US" w:eastAsia="en-US"/>
        </w:rPr>
        <w:t>organisation</w:t>
      </w:r>
      <w:proofErr w:type="spellEnd"/>
      <w:r w:rsidRPr="00FA5EA3">
        <w:rPr>
          <w:rFonts w:eastAsia="Times New Roman"/>
          <w:color w:val="auto"/>
          <w:kern w:val="0"/>
          <w:sz w:val="21"/>
          <w:szCs w:val="21"/>
          <w:lang w:val="en-US" w:eastAsia="en-US"/>
        </w:rPr>
        <w:t>. Schein (2010) notes that cultural inertia can undermine strategic sustainability goals, an observation supported by my own experience in retail operations where short-term productivity often outweighs long-term ecological considerations.</w:t>
      </w:r>
      <w:r w:rsidRPr="00FA5EA3">
        <w:rPr>
          <w:rFonts w:eastAsia="Times New Roman"/>
          <w:color w:val="auto"/>
          <w:kern w:val="0"/>
          <w:sz w:val="21"/>
          <w:szCs w:val="21"/>
          <w:lang w:val="en-US" w:eastAsia="en-US"/>
        </w:rPr>
        <w:br/>
      </w:r>
      <w:r w:rsidRPr="00FA5EA3">
        <w:rPr>
          <w:rFonts w:eastAsia="Times New Roman"/>
          <w:color w:val="auto"/>
          <w:kern w:val="0"/>
          <w:sz w:val="21"/>
          <w:szCs w:val="21"/>
          <w:lang w:val="en-US" w:eastAsia="en-US"/>
        </w:rPr>
        <w:br/>
      </w:r>
    </w:p>
    <w:p w:rsidR="003D2E88" w:rsidRDefault="002B3A30" w:rsidP="0045722B">
      <w:pPr>
        <w:rPr>
          <w:rFonts w:eastAsia="Times New Roman"/>
          <w:color w:val="auto"/>
          <w:kern w:val="0"/>
          <w:sz w:val="21"/>
          <w:szCs w:val="21"/>
          <w:lang w:val="en-US" w:eastAsia="en-US"/>
        </w:rPr>
      </w:pPr>
      <w:bookmarkStart w:id="16" w:name="_Toc214295758"/>
      <w:r w:rsidRPr="003D2E88">
        <w:rPr>
          <w:rStyle w:val="Heading2Char"/>
        </w:rPr>
        <w:lastRenderedPageBreak/>
        <w:t xml:space="preserve">4.2.4 Critical </w:t>
      </w:r>
      <w:r w:rsidR="00C75505">
        <w:rPr>
          <w:rStyle w:val="Heading2Char"/>
        </w:rPr>
        <w:t>i</w:t>
      </w:r>
      <w:r w:rsidRPr="003D2E88">
        <w:rPr>
          <w:rStyle w:val="Heading2Char"/>
        </w:rPr>
        <w:t xml:space="preserve">nterpretation of </w:t>
      </w:r>
      <w:r w:rsidR="00C75505">
        <w:rPr>
          <w:rStyle w:val="Heading2Char"/>
        </w:rPr>
        <w:t>d</w:t>
      </w:r>
      <w:r w:rsidRPr="003D2E88">
        <w:rPr>
          <w:rStyle w:val="Heading2Char"/>
        </w:rPr>
        <w:t>rivers</w:t>
      </w:r>
      <w:bookmarkEnd w:id="16"/>
      <w:r w:rsidRPr="00FA5EA3">
        <w:rPr>
          <w:rFonts w:eastAsia="Times New Roman"/>
          <w:color w:val="auto"/>
          <w:kern w:val="0"/>
          <w:sz w:val="21"/>
          <w:szCs w:val="21"/>
          <w:lang w:val="en-US" w:eastAsia="en-US"/>
        </w:rPr>
        <w:br/>
      </w:r>
      <w:r w:rsidRPr="00FA5EA3">
        <w:rPr>
          <w:rFonts w:eastAsia="Times New Roman"/>
          <w:color w:val="auto"/>
          <w:kern w:val="0"/>
          <w:sz w:val="21"/>
          <w:szCs w:val="21"/>
          <w:lang w:val="en-US" w:eastAsia="en-US"/>
        </w:rPr>
        <w:br/>
        <w:t xml:space="preserve">While the literature portrays these drivers as universal, I contend that their impact on Tesco is uniquely magnified by its scale and brand visibility. Smaller competitors may pivot quickly, but for Tesco, structural change involves re-engineering vast legacy systems and retraining thousands of employees. Burnes (2017) argues that large </w:t>
      </w:r>
      <w:proofErr w:type="spellStart"/>
      <w:r w:rsidRPr="00FA5EA3">
        <w:rPr>
          <w:rFonts w:eastAsia="Times New Roman"/>
          <w:color w:val="auto"/>
          <w:kern w:val="0"/>
          <w:sz w:val="21"/>
          <w:szCs w:val="21"/>
          <w:lang w:val="en-US" w:eastAsia="en-US"/>
        </w:rPr>
        <w:t>organisations</w:t>
      </w:r>
      <w:proofErr w:type="spellEnd"/>
      <w:r w:rsidRPr="00FA5EA3">
        <w:rPr>
          <w:rFonts w:eastAsia="Times New Roman"/>
          <w:color w:val="auto"/>
          <w:kern w:val="0"/>
          <w:sz w:val="21"/>
          <w:szCs w:val="21"/>
          <w:lang w:val="en-US" w:eastAsia="en-US"/>
        </w:rPr>
        <w:t xml:space="preserve"> face a “change paradox”: their size provides resources yet simultaneously inhibits agility. </w:t>
      </w:r>
    </w:p>
    <w:p w:rsidR="002B3A30" w:rsidRPr="00FA5EA3" w:rsidRDefault="002B3A30" w:rsidP="0045722B">
      <w:pPr>
        <w:rPr>
          <w:rFonts w:eastAsia="Times New Roman"/>
          <w:color w:val="auto"/>
          <w:kern w:val="0"/>
          <w:sz w:val="21"/>
          <w:szCs w:val="21"/>
          <w:lang w:val="en-US" w:eastAsia="en-US"/>
        </w:rPr>
      </w:pPr>
      <w:r w:rsidRPr="00FA5EA3">
        <w:rPr>
          <w:rFonts w:eastAsia="Times New Roman"/>
          <w:color w:val="auto"/>
          <w:kern w:val="0"/>
          <w:sz w:val="21"/>
          <w:szCs w:val="21"/>
          <w:lang w:val="en-US" w:eastAsia="en-US"/>
        </w:rPr>
        <w:t>Tesco’s pragmatic approach</w:t>
      </w:r>
      <w:r w:rsidR="002F4FA1">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phasing automation while maintaining operational continuity</w:t>
      </w:r>
      <w:r w:rsidR="002F4FA1">
        <w:rPr>
          <w:rFonts w:eastAsia="Times New Roman"/>
          <w:color w:val="auto"/>
          <w:kern w:val="0"/>
          <w:sz w:val="21"/>
          <w:szCs w:val="21"/>
          <w:lang w:val="en-US" w:eastAsia="en-US"/>
        </w:rPr>
        <w:t xml:space="preserve"> </w:t>
      </w:r>
      <w:r w:rsidRPr="00FA5EA3">
        <w:rPr>
          <w:rFonts w:eastAsia="Times New Roman"/>
          <w:color w:val="auto"/>
          <w:kern w:val="0"/>
          <w:sz w:val="21"/>
          <w:szCs w:val="21"/>
          <w:lang w:val="en-US" w:eastAsia="en-US"/>
        </w:rPr>
        <w:t>illustrates an attempt to resolve this paradox. Nevertheless, as Kotter (2012) warns, incrementalism can dilute urgency and slow cultural adoption, suggesting that Tesco’s measured strategy must be constantly re-</w:t>
      </w:r>
      <w:proofErr w:type="spellStart"/>
      <w:r w:rsidRPr="00FA5EA3">
        <w:rPr>
          <w:rFonts w:eastAsia="Times New Roman"/>
          <w:color w:val="auto"/>
          <w:kern w:val="0"/>
          <w:sz w:val="21"/>
          <w:szCs w:val="21"/>
          <w:lang w:val="en-US" w:eastAsia="en-US"/>
        </w:rPr>
        <w:t>energised</w:t>
      </w:r>
      <w:proofErr w:type="spellEnd"/>
      <w:r w:rsidRPr="00FA5EA3">
        <w:rPr>
          <w:rFonts w:eastAsia="Times New Roman"/>
          <w:color w:val="auto"/>
          <w:kern w:val="0"/>
          <w:sz w:val="21"/>
          <w:szCs w:val="21"/>
          <w:lang w:val="en-US" w:eastAsia="en-US"/>
        </w:rPr>
        <w:t xml:space="preserve"> by clear communication and leadership commitment.</w:t>
      </w:r>
    </w:p>
    <w:p w:rsidR="00D77D68" w:rsidRDefault="002B3A30" w:rsidP="003D2E88">
      <w:pPr>
        <w:pStyle w:val="NormalWeb"/>
        <w:spacing w:line="360" w:lineRule="auto"/>
        <w:rPr>
          <w:rFonts w:ascii="Arial" w:hAnsi="Arial" w:cs="Arial"/>
          <w:szCs w:val="22"/>
        </w:rPr>
      </w:pPr>
      <w:r w:rsidRPr="00FA5EA3">
        <w:rPr>
          <w:rFonts w:ascii="Arial" w:hAnsi="Arial" w:cs="Arial"/>
          <w:sz w:val="21"/>
          <w:szCs w:val="21"/>
        </w:rPr>
        <w:t> </w:t>
      </w:r>
      <w:bookmarkStart w:id="17" w:name="_Toc214295759"/>
      <w:r w:rsidRPr="003D2E88">
        <w:rPr>
          <w:rStyle w:val="Heading2Char"/>
        </w:rPr>
        <w:t xml:space="preserve">4.3 Leadership and </w:t>
      </w:r>
      <w:r w:rsidR="00C75505">
        <w:rPr>
          <w:rStyle w:val="Heading2Char"/>
        </w:rPr>
        <w:t>c</w:t>
      </w:r>
      <w:r w:rsidRPr="003D2E88">
        <w:rPr>
          <w:rStyle w:val="Heading2Char"/>
        </w:rPr>
        <w:t xml:space="preserve">ommunication </w:t>
      </w:r>
      <w:r w:rsidR="00C75505">
        <w:rPr>
          <w:rStyle w:val="Heading2Char"/>
        </w:rPr>
        <w:t>p</w:t>
      </w:r>
      <w:r w:rsidRPr="003D2E88">
        <w:rPr>
          <w:rStyle w:val="Heading2Char"/>
        </w:rPr>
        <w:t>ractices at Tesco</w:t>
      </w:r>
      <w:bookmarkEnd w:id="17"/>
      <w:r w:rsidRPr="00FA5EA3">
        <w:rPr>
          <w:rFonts w:ascii="Arial" w:hAnsi="Arial" w:cs="Arial"/>
          <w:sz w:val="21"/>
          <w:szCs w:val="21"/>
        </w:rPr>
        <w:br/>
      </w:r>
      <w:r w:rsidRPr="00FA5EA3">
        <w:rPr>
          <w:rFonts w:ascii="Arial" w:hAnsi="Arial" w:cs="Arial"/>
          <w:sz w:val="21"/>
          <w:szCs w:val="21"/>
        </w:rPr>
        <w:br/>
      </w:r>
      <w:r w:rsidRPr="003D2E88">
        <w:rPr>
          <w:rFonts w:ascii="Arial" w:hAnsi="Arial" w:cs="Arial"/>
          <w:szCs w:val="22"/>
        </w:rPr>
        <w:t xml:space="preserve">Leadership and communication emerged from the reviewed literature as the pivotal enablers of successful </w:t>
      </w:r>
      <w:proofErr w:type="spellStart"/>
      <w:r w:rsidRPr="003D2E88">
        <w:rPr>
          <w:rFonts w:ascii="Arial" w:hAnsi="Arial" w:cs="Arial"/>
          <w:szCs w:val="22"/>
        </w:rPr>
        <w:t>organisational</w:t>
      </w:r>
      <w:proofErr w:type="spellEnd"/>
      <w:r w:rsidRPr="003D2E88">
        <w:rPr>
          <w:rFonts w:ascii="Arial" w:hAnsi="Arial" w:cs="Arial"/>
          <w:szCs w:val="22"/>
        </w:rPr>
        <w:t xml:space="preserve"> change in logistics environments.  Kotter (1996) and Northouse (2022) both stress that effective change requires visionary leadership supported by consistent, multi-level communication.  In the context of Tesco, these findings align strongly with its ongoing transformation agenda, where managerial leadership and operational transparency determine how well new systems and processes are embedded across distribution </w:t>
      </w:r>
      <w:proofErr w:type="spellStart"/>
      <w:r w:rsidRPr="003D2E88">
        <w:rPr>
          <w:rFonts w:ascii="Arial" w:hAnsi="Arial" w:cs="Arial"/>
          <w:szCs w:val="22"/>
        </w:rPr>
        <w:t>centres</w:t>
      </w:r>
      <w:proofErr w:type="spellEnd"/>
      <w:r w:rsidRPr="003D2E88">
        <w:rPr>
          <w:rFonts w:ascii="Arial" w:hAnsi="Arial" w:cs="Arial"/>
          <w:szCs w:val="22"/>
        </w:rPr>
        <w:t>.</w:t>
      </w:r>
    </w:p>
    <w:p w:rsidR="0093619E" w:rsidRDefault="0093619E" w:rsidP="003D2E88">
      <w:pPr>
        <w:pStyle w:val="NormalWeb"/>
        <w:spacing w:line="360" w:lineRule="auto"/>
        <w:rPr>
          <w:rStyle w:val="Heading2Char"/>
          <w:sz w:val="22"/>
          <w:szCs w:val="22"/>
        </w:rPr>
      </w:pPr>
      <w:r>
        <w:rPr>
          <w:rFonts w:ascii="Arial" w:hAnsi="Arial" w:cs="Arial"/>
          <w:noProof/>
          <w:szCs w:val="22"/>
        </w:rPr>
        <w:drawing>
          <wp:inline distT="0" distB="0" distL="0" distR="0">
            <wp:extent cx="5762625" cy="1343025"/>
            <wp:effectExtent l="0" t="0" r="9525" b="9525"/>
            <wp:docPr id="17886276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62625" cy="1343025"/>
                    </a:xfrm>
                    <a:prstGeom prst="rect">
                      <a:avLst/>
                    </a:prstGeom>
                    <a:noFill/>
                    <a:ln>
                      <a:noFill/>
                    </a:ln>
                  </pic:spPr>
                </pic:pic>
              </a:graphicData>
            </a:graphic>
          </wp:inline>
        </w:drawing>
      </w:r>
    </w:p>
    <w:p w:rsidR="00040F0B" w:rsidRDefault="0093619E" w:rsidP="003D2E88">
      <w:pPr>
        <w:pStyle w:val="NormalWeb"/>
        <w:spacing w:line="360" w:lineRule="auto"/>
        <w:rPr>
          <w:rFonts w:ascii="Arial" w:hAnsi="Arial" w:cs="Arial"/>
          <w:szCs w:val="22"/>
        </w:rPr>
      </w:pPr>
      <w:r w:rsidRPr="0093619E">
        <w:rPr>
          <w:rFonts w:ascii="Arial" w:hAnsi="Arial" w:cs="Arial"/>
          <w:i/>
          <w:iCs/>
          <w:szCs w:val="22"/>
          <w:lang w:val="en-GB"/>
        </w:rPr>
        <w:t xml:space="preserve">Table 4.3 </w:t>
      </w:r>
      <w:r w:rsidR="00501239">
        <w:rPr>
          <w:rFonts w:ascii="Arial" w:hAnsi="Arial" w:cs="Arial"/>
          <w:i/>
          <w:iCs/>
          <w:szCs w:val="22"/>
          <w:lang w:val="en-GB"/>
        </w:rPr>
        <w:t xml:space="preserve">by the Author, </w:t>
      </w:r>
      <w:r w:rsidRPr="0093619E">
        <w:rPr>
          <w:rFonts w:ascii="Arial" w:hAnsi="Arial" w:cs="Arial"/>
          <w:i/>
          <w:iCs/>
          <w:szCs w:val="22"/>
          <w:lang w:val="en-GB"/>
        </w:rPr>
        <w:t xml:space="preserve">summarises the key leadership and communication practices observed within Tesco’s distribution operations. It links leadership styles and communication mechanisms to their observed or reported impacts on employee engagement, change adoption, and operational effectiveness. The table emphasises the central role of transformational leadership, middle-management influence, and multi-channel communication in sustaining momentum during organisational change. By condensing complex practices into an accessible format, the table reinforces the argument that effective change management depends on the interplay between leadership vision, transparent </w:t>
      </w:r>
      <w:r w:rsidRPr="0093619E">
        <w:rPr>
          <w:rFonts w:ascii="Arial" w:hAnsi="Arial" w:cs="Arial"/>
          <w:i/>
          <w:iCs/>
          <w:szCs w:val="22"/>
          <w:lang w:val="en-GB"/>
        </w:rPr>
        <w:lastRenderedPageBreak/>
        <w:t>communication, and employee participation.</w:t>
      </w:r>
      <w:r w:rsidR="002B3A30" w:rsidRPr="0093619E">
        <w:rPr>
          <w:rStyle w:val="Heading2Char"/>
          <w:sz w:val="22"/>
        </w:rPr>
        <w:br/>
      </w:r>
      <w:r w:rsidR="002B3A30" w:rsidRPr="003D2E88">
        <w:rPr>
          <w:rStyle w:val="Heading2Char"/>
          <w:sz w:val="22"/>
          <w:szCs w:val="22"/>
        </w:rPr>
        <w:br/>
      </w:r>
      <w:r w:rsidR="002B3A30" w:rsidRPr="00BC0591">
        <w:rPr>
          <w:rStyle w:val="Heading2Char"/>
        </w:rPr>
        <w:t xml:space="preserve">4.3.1 Leadership in a </w:t>
      </w:r>
      <w:r w:rsidR="00C75505">
        <w:rPr>
          <w:rStyle w:val="Heading2Char"/>
        </w:rPr>
        <w:t>t</w:t>
      </w:r>
      <w:r w:rsidR="002B3A30" w:rsidRPr="00BC0591">
        <w:rPr>
          <w:rStyle w:val="Heading2Char"/>
        </w:rPr>
        <w:t xml:space="preserve">ransformative </w:t>
      </w:r>
      <w:r w:rsidR="00C75505">
        <w:rPr>
          <w:rStyle w:val="Heading2Char"/>
        </w:rPr>
        <w:t>c</w:t>
      </w:r>
      <w:r w:rsidR="002B3A30" w:rsidRPr="00BC0591">
        <w:rPr>
          <w:rStyle w:val="Heading2Char"/>
        </w:rPr>
        <w:t>ontext</w:t>
      </w:r>
      <w:r w:rsidR="002B3A30" w:rsidRPr="00BC0591">
        <w:rPr>
          <w:rStyle w:val="Heading2Char"/>
        </w:rPr>
        <w:br/>
      </w:r>
      <w:r w:rsidR="002B3A30" w:rsidRPr="003D2E88">
        <w:rPr>
          <w:rFonts w:ascii="Arial" w:hAnsi="Arial" w:cs="Arial"/>
          <w:szCs w:val="22"/>
        </w:rPr>
        <w:br/>
        <w:t xml:space="preserve">From the perspective of a practitioner within Tesco’s distribution network, I have observed that leadership effectiveness is tested most intensely during moments of structural or technological change.  Burnes (2017) explains that large </w:t>
      </w:r>
      <w:proofErr w:type="spellStart"/>
      <w:r w:rsidR="002B3A30" w:rsidRPr="003D2E88">
        <w:rPr>
          <w:rFonts w:ascii="Arial" w:hAnsi="Arial" w:cs="Arial"/>
          <w:szCs w:val="22"/>
        </w:rPr>
        <w:t>organisations</w:t>
      </w:r>
      <w:proofErr w:type="spellEnd"/>
      <w:r w:rsidR="002B3A30" w:rsidRPr="003D2E88">
        <w:rPr>
          <w:rFonts w:ascii="Arial" w:hAnsi="Arial" w:cs="Arial"/>
          <w:szCs w:val="22"/>
        </w:rPr>
        <w:t xml:space="preserve"> often depend on a cascade of leadership influence, where senior vision is translated into actionable guidance through middle managers.  Tesco’s warehouse structure relies heavily on this middle-management tier to interpret corporate strategy into daily operational practice.  As McKinsey &amp; Company (2021) note, when leadership coherence falters at this level, even well-designed change </w:t>
      </w:r>
      <w:proofErr w:type="spellStart"/>
      <w:r w:rsidR="002B3A30" w:rsidRPr="003D2E88">
        <w:rPr>
          <w:rFonts w:ascii="Arial" w:hAnsi="Arial" w:cs="Arial"/>
          <w:szCs w:val="22"/>
        </w:rPr>
        <w:t>programmes</w:t>
      </w:r>
      <w:proofErr w:type="spellEnd"/>
      <w:r w:rsidR="002B3A30" w:rsidRPr="003D2E88">
        <w:rPr>
          <w:rFonts w:ascii="Arial" w:hAnsi="Arial" w:cs="Arial"/>
          <w:szCs w:val="22"/>
        </w:rPr>
        <w:t xml:space="preserve"> can fragment.</w:t>
      </w:r>
      <w:r w:rsidR="002B3A30" w:rsidRPr="003D2E88">
        <w:rPr>
          <w:rFonts w:ascii="Arial" w:hAnsi="Arial" w:cs="Arial"/>
          <w:szCs w:val="22"/>
        </w:rPr>
        <w:br/>
      </w:r>
      <w:r w:rsidR="002B3A30" w:rsidRPr="003D2E88">
        <w:rPr>
          <w:rFonts w:ascii="Arial" w:hAnsi="Arial" w:cs="Arial"/>
          <w:szCs w:val="22"/>
        </w:rPr>
        <w:br/>
        <w:t xml:space="preserve">Tesco’s commitment to transformational leadership has been visible in its “Leading with Purpose” framework introduced in recent years (Tesco plc, 2024).  This initiative promotes empowerment, collaboration and psychological safety, aligning with contemporary theories that leadership should enable rather than direct.  I consider this an essential evolution from the more transactional leadership styles that once dominated logistics. However, its success depends on authentic </w:t>
      </w:r>
      <w:proofErr w:type="spellStart"/>
      <w:r w:rsidR="002B3A30" w:rsidRPr="003D2E88">
        <w:rPr>
          <w:rFonts w:ascii="Arial" w:hAnsi="Arial" w:cs="Arial"/>
          <w:szCs w:val="22"/>
        </w:rPr>
        <w:t>behavioural</w:t>
      </w:r>
      <w:proofErr w:type="spellEnd"/>
      <w:r w:rsidR="002B3A30" w:rsidRPr="003D2E88">
        <w:rPr>
          <w:rFonts w:ascii="Arial" w:hAnsi="Arial" w:cs="Arial"/>
          <w:szCs w:val="22"/>
        </w:rPr>
        <w:t xml:space="preserve"> </w:t>
      </w:r>
      <w:proofErr w:type="spellStart"/>
      <w:r w:rsidR="002B3A30" w:rsidRPr="003D2E88">
        <w:rPr>
          <w:rFonts w:ascii="Arial" w:hAnsi="Arial" w:cs="Arial"/>
          <w:szCs w:val="22"/>
        </w:rPr>
        <w:t>modelling</w:t>
      </w:r>
      <w:proofErr w:type="spellEnd"/>
      <w:r w:rsidR="002B3A30" w:rsidRPr="003D2E88">
        <w:rPr>
          <w:rFonts w:ascii="Arial" w:hAnsi="Arial" w:cs="Arial"/>
          <w:szCs w:val="22"/>
        </w:rPr>
        <w:t xml:space="preserve"> by managers, not only procedural compliance.  As Northouse (2022) argues, credibility is built through consistency between communication and action</w:t>
      </w:r>
      <w:r w:rsidR="00321363" w:rsidRPr="003D2E88">
        <w:rPr>
          <w:rFonts w:ascii="Arial" w:hAnsi="Arial" w:cs="Arial"/>
          <w:szCs w:val="22"/>
        </w:rPr>
        <w:t>,</w:t>
      </w:r>
      <w:r w:rsidR="002B3A30" w:rsidRPr="003D2E88">
        <w:rPr>
          <w:rFonts w:ascii="Arial" w:hAnsi="Arial" w:cs="Arial"/>
          <w:szCs w:val="22"/>
        </w:rPr>
        <w:t xml:space="preserve"> a principle that can falter under the strain of constant operational targets.</w:t>
      </w:r>
      <w:r w:rsidR="002B3A30" w:rsidRPr="003D2E88">
        <w:rPr>
          <w:rFonts w:ascii="Arial" w:hAnsi="Arial" w:cs="Arial"/>
          <w:szCs w:val="22"/>
        </w:rPr>
        <w:br/>
      </w:r>
      <w:r w:rsidR="002B3A30" w:rsidRPr="003D2E88">
        <w:rPr>
          <w:rStyle w:val="Heading3Char"/>
          <w:rFonts w:ascii="Arial" w:hAnsi="Arial" w:cs="Arial"/>
          <w:szCs w:val="22"/>
        </w:rPr>
        <w:br/>
      </w:r>
      <w:r w:rsidR="002B3A30" w:rsidRPr="00BC0591">
        <w:rPr>
          <w:rStyle w:val="Heading2Char"/>
        </w:rPr>
        <w:t xml:space="preserve">4.3.2 Communication and </w:t>
      </w:r>
      <w:r w:rsidR="00C75505">
        <w:rPr>
          <w:rStyle w:val="Heading2Char"/>
        </w:rPr>
        <w:t>i</w:t>
      </w:r>
      <w:r w:rsidR="002B3A30" w:rsidRPr="00BC0591">
        <w:rPr>
          <w:rStyle w:val="Heading2Char"/>
        </w:rPr>
        <w:t xml:space="preserve">nformation </w:t>
      </w:r>
      <w:r w:rsidR="00C75505">
        <w:rPr>
          <w:rStyle w:val="Heading2Char"/>
        </w:rPr>
        <w:t>f</w:t>
      </w:r>
      <w:r w:rsidR="002B3A30" w:rsidRPr="00BC0591">
        <w:rPr>
          <w:rStyle w:val="Heading2Char"/>
        </w:rPr>
        <w:t>low</w:t>
      </w:r>
      <w:r w:rsidR="002B3A30" w:rsidRPr="003D2E88">
        <w:rPr>
          <w:rFonts w:ascii="Arial" w:hAnsi="Arial" w:cs="Arial"/>
          <w:szCs w:val="22"/>
        </w:rPr>
        <w:br/>
      </w:r>
      <w:r w:rsidR="002B3A30" w:rsidRPr="003D2E88">
        <w:rPr>
          <w:rFonts w:ascii="Arial" w:hAnsi="Arial" w:cs="Arial"/>
          <w:szCs w:val="22"/>
        </w:rPr>
        <w:br/>
        <w:t>Communication is the mechanism that sustains momentum in change initiatives. </w:t>
      </w:r>
      <w:proofErr w:type="spellStart"/>
      <w:r w:rsidR="002B3A30" w:rsidRPr="003D2E88">
        <w:rPr>
          <w:rFonts w:ascii="Arial" w:hAnsi="Arial" w:cs="Arial"/>
          <w:szCs w:val="22"/>
        </w:rPr>
        <w:t>Armenakis</w:t>
      </w:r>
      <w:proofErr w:type="spellEnd"/>
      <w:r w:rsidR="002B3A30" w:rsidRPr="003D2E88">
        <w:rPr>
          <w:rFonts w:ascii="Arial" w:hAnsi="Arial" w:cs="Arial"/>
          <w:szCs w:val="22"/>
        </w:rPr>
        <w:t xml:space="preserve"> and Harris (2009) highlight that communication must not only inform but also generate readiness and belief in the change.</w:t>
      </w:r>
      <w:r w:rsidR="00BC5F29">
        <w:rPr>
          <w:rFonts w:ascii="Arial" w:hAnsi="Arial" w:cs="Arial"/>
          <w:szCs w:val="22"/>
        </w:rPr>
        <w:t xml:space="preserve"> </w:t>
      </w:r>
      <w:r w:rsidR="002B3A30" w:rsidRPr="003D2E88">
        <w:rPr>
          <w:rFonts w:ascii="Arial" w:hAnsi="Arial" w:cs="Arial"/>
          <w:szCs w:val="22"/>
        </w:rPr>
        <w:t>Within Tesco, I have found that multi-channel communication</w:t>
      </w:r>
      <w:r w:rsidR="00321363" w:rsidRPr="003D2E88">
        <w:rPr>
          <w:rFonts w:ascii="Arial" w:hAnsi="Arial" w:cs="Arial"/>
          <w:szCs w:val="22"/>
        </w:rPr>
        <w:t xml:space="preserve">, </w:t>
      </w:r>
      <w:r w:rsidR="002B3A30" w:rsidRPr="003D2E88">
        <w:rPr>
          <w:rFonts w:ascii="Arial" w:hAnsi="Arial" w:cs="Arial"/>
          <w:szCs w:val="22"/>
        </w:rPr>
        <w:t>ranging from site briefings to intranet updates</w:t>
      </w:r>
      <w:r w:rsidR="00321363" w:rsidRPr="003D2E88">
        <w:rPr>
          <w:rFonts w:ascii="Arial" w:hAnsi="Arial" w:cs="Arial"/>
          <w:szCs w:val="22"/>
        </w:rPr>
        <w:t xml:space="preserve">, </w:t>
      </w:r>
      <w:r w:rsidR="002B3A30" w:rsidRPr="003D2E88">
        <w:rPr>
          <w:rFonts w:ascii="Arial" w:hAnsi="Arial" w:cs="Arial"/>
          <w:szCs w:val="22"/>
        </w:rPr>
        <w:t>has enhanced transparency, particularly around safety and performance objectives. However, communication fatigue can emerge when messages are overly corporate or fail to address specific team concerns.</w:t>
      </w:r>
      <w:r w:rsidR="002B3A30" w:rsidRPr="003D2E88">
        <w:rPr>
          <w:rFonts w:ascii="Arial" w:hAnsi="Arial" w:cs="Arial"/>
          <w:szCs w:val="22"/>
        </w:rPr>
        <w:br/>
      </w:r>
      <w:r w:rsidR="002B3A30" w:rsidRPr="003D2E88">
        <w:rPr>
          <w:rFonts w:ascii="Arial" w:hAnsi="Arial" w:cs="Arial"/>
          <w:szCs w:val="22"/>
        </w:rPr>
        <w:br/>
        <w:t xml:space="preserve">Research by Balogun and Hailey (2008) demonstrates that </w:t>
      </w:r>
      <w:proofErr w:type="spellStart"/>
      <w:r w:rsidR="002B3A30" w:rsidRPr="003D2E88">
        <w:rPr>
          <w:rFonts w:ascii="Arial" w:hAnsi="Arial" w:cs="Arial"/>
          <w:szCs w:val="22"/>
        </w:rPr>
        <w:t>decentralised</w:t>
      </w:r>
      <w:proofErr w:type="spellEnd"/>
      <w:r w:rsidR="002B3A30" w:rsidRPr="003D2E88">
        <w:rPr>
          <w:rFonts w:ascii="Arial" w:hAnsi="Arial" w:cs="Arial"/>
          <w:szCs w:val="22"/>
        </w:rPr>
        <w:t xml:space="preserve"> communication models are more effective in complex environments. Tesco’s increasing use of “change champions” at site level reflects this principle.</w:t>
      </w:r>
      <w:r w:rsidR="00BC5F29">
        <w:rPr>
          <w:rFonts w:ascii="Arial" w:hAnsi="Arial" w:cs="Arial"/>
          <w:szCs w:val="22"/>
        </w:rPr>
        <w:t xml:space="preserve"> </w:t>
      </w:r>
      <w:r w:rsidR="002B3A30" w:rsidRPr="003D2E88">
        <w:rPr>
          <w:rFonts w:ascii="Arial" w:hAnsi="Arial" w:cs="Arial"/>
          <w:szCs w:val="22"/>
        </w:rPr>
        <w:t xml:space="preserve">These individuals translate strategic updates into local context, thereby reinforcing clarity and engagement. Yet, as By et al. (2016) </w:t>
      </w:r>
      <w:r w:rsidR="002B3A30" w:rsidRPr="003D2E88">
        <w:rPr>
          <w:rFonts w:ascii="Arial" w:hAnsi="Arial" w:cs="Arial"/>
          <w:szCs w:val="22"/>
        </w:rPr>
        <w:lastRenderedPageBreak/>
        <w:t>observe, communication must remain two-way; without feedback loops, even participatory models risk reverting to top-down dissemination. My own interpretation is that Tesco’s communication strategy has matured substantially, but its long-term efficacy depends on embedding continuous feedback as an operational norm rather than an episodic activity.</w:t>
      </w:r>
      <w:r w:rsidR="002B3A30" w:rsidRPr="003D2E88">
        <w:rPr>
          <w:rFonts w:ascii="Arial" w:hAnsi="Arial" w:cs="Arial"/>
          <w:szCs w:val="22"/>
        </w:rPr>
        <w:br/>
      </w:r>
      <w:r w:rsidR="002B3A30" w:rsidRPr="003D2E88">
        <w:rPr>
          <w:rStyle w:val="Heading3Char"/>
          <w:rFonts w:ascii="Arial" w:hAnsi="Arial" w:cs="Arial"/>
          <w:szCs w:val="22"/>
        </w:rPr>
        <w:br/>
      </w:r>
      <w:r w:rsidR="002B3A30" w:rsidRPr="003D2E88">
        <w:rPr>
          <w:rStyle w:val="Heading2Char"/>
        </w:rPr>
        <w:t>4.3.3 Critical Reflection on Leadership and Communication</w:t>
      </w:r>
      <w:r w:rsidR="002B3A30" w:rsidRPr="003D2E88">
        <w:rPr>
          <w:rFonts w:ascii="Arial" w:hAnsi="Arial" w:cs="Arial"/>
          <w:szCs w:val="22"/>
        </w:rPr>
        <w:br/>
      </w:r>
      <w:r w:rsidR="002B3A30" w:rsidRPr="003D2E88">
        <w:rPr>
          <w:rFonts w:ascii="Arial" w:hAnsi="Arial" w:cs="Arial"/>
          <w:szCs w:val="22"/>
        </w:rPr>
        <w:br/>
        <w:t xml:space="preserve">When </w:t>
      </w:r>
      <w:proofErr w:type="spellStart"/>
      <w:r w:rsidR="002B3A30" w:rsidRPr="003D2E88">
        <w:rPr>
          <w:rFonts w:ascii="Arial" w:hAnsi="Arial" w:cs="Arial"/>
          <w:szCs w:val="22"/>
        </w:rPr>
        <w:t>analysed</w:t>
      </w:r>
      <w:proofErr w:type="spellEnd"/>
      <w:r w:rsidR="002B3A30" w:rsidRPr="003D2E88">
        <w:rPr>
          <w:rFonts w:ascii="Arial" w:hAnsi="Arial" w:cs="Arial"/>
          <w:szCs w:val="22"/>
        </w:rPr>
        <w:t xml:space="preserve"> against </w:t>
      </w:r>
      <w:proofErr w:type="spellStart"/>
      <w:r w:rsidR="002B3A30" w:rsidRPr="003D2E88">
        <w:rPr>
          <w:rFonts w:ascii="Arial" w:hAnsi="Arial" w:cs="Arial"/>
          <w:szCs w:val="22"/>
        </w:rPr>
        <w:t>Kotter’s</w:t>
      </w:r>
      <w:proofErr w:type="spellEnd"/>
      <w:r w:rsidR="002B3A30" w:rsidRPr="003D2E88">
        <w:rPr>
          <w:rFonts w:ascii="Arial" w:hAnsi="Arial" w:cs="Arial"/>
          <w:szCs w:val="22"/>
        </w:rPr>
        <w:t xml:space="preserve"> (1996) eight-step model, Tesco demonstrates strength in creating urgency, forming guiding coalitions, and generating short-term wins. However, I argue that sustaining momentum beyond the implementation phase remains a recurrent challenge. Kotter (2012) later revised his view, </w:t>
      </w:r>
      <w:proofErr w:type="spellStart"/>
      <w:r w:rsidR="002B3A30" w:rsidRPr="003D2E88">
        <w:rPr>
          <w:rFonts w:ascii="Arial" w:hAnsi="Arial" w:cs="Arial"/>
          <w:szCs w:val="22"/>
        </w:rPr>
        <w:t>emphasising</w:t>
      </w:r>
      <w:proofErr w:type="spellEnd"/>
      <w:r w:rsidR="002B3A30" w:rsidRPr="003D2E88">
        <w:rPr>
          <w:rFonts w:ascii="Arial" w:hAnsi="Arial" w:cs="Arial"/>
          <w:szCs w:val="22"/>
        </w:rPr>
        <w:t xml:space="preserve"> the need for a “dual operating system” that integrates change leadership into day-to-day operations. For Tesco, this means </w:t>
      </w:r>
      <w:proofErr w:type="spellStart"/>
      <w:r w:rsidR="002B3A30" w:rsidRPr="003D2E88">
        <w:rPr>
          <w:rFonts w:ascii="Arial" w:hAnsi="Arial" w:cs="Arial"/>
          <w:szCs w:val="22"/>
        </w:rPr>
        <w:t>institutionalising</w:t>
      </w:r>
      <w:proofErr w:type="spellEnd"/>
      <w:r w:rsidR="002B3A30" w:rsidRPr="003D2E88">
        <w:rPr>
          <w:rFonts w:ascii="Arial" w:hAnsi="Arial" w:cs="Arial"/>
          <w:szCs w:val="22"/>
        </w:rPr>
        <w:t xml:space="preserve"> adaptability rather than treating change as a project. Overall, the literature and evidence suggest that leadership vision and communication coherence have been critical to Tesco’s progress, yet the sustainability of these strengths depends on embedding them deeply into </w:t>
      </w:r>
      <w:proofErr w:type="spellStart"/>
      <w:r w:rsidR="002B3A30" w:rsidRPr="003D2E88">
        <w:rPr>
          <w:rFonts w:ascii="Arial" w:hAnsi="Arial" w:cs="Arial"/>
          <w:szCs w:val="22"/>
        </w:rPr>
        <w:t>organisational</w:t>
      </w:r>
      <w:proofErr w:type="spellEnd"/>
      <w:r w:rsidR="002B3A30" w:rsidRPr="003D2E88">
        <w:rPr>
          <w:rFonts w:ascii="Arial" w:hAnsi="Arial" w:cs="Arial"/>
          <w:szCs w:val="22"/>
        </w:rPr>
        <w:t xml:space="preserve"> culture.</w:t>
      </w:r>
      <w:r w:rsidR="002B3A30" w:rsidRPr="003D2E88">
        <w:rPr>
          <w:rFonts w:ascii="Arial" w:hAnsi="Arial" w:cs="Arial"/>
          <w:szCs w:val="22"/>
        </w:rPr>
        <w:br/>
      </w:r>
      <w:r w:rsidR="002B3A30" w:rsidRPr="003D2E88">
        <w:rPr>
          <w:rFonts w:ascii="Arial" w:hAnsi="Arial" w:cs="Arial"/>
          <w:szCs w:val="22"/>
        </w:rPr>
        <w:br/>
      </w:r>
      <w:r w:rsidR="002B3A30" w:rsidRPr="003D2E88">
        <w:rPr>
          <w:rFonts w:ascii="Arial" w:hAnsi="Arial" w:cs="Arial"/>
          <w:szCs w:val="22"/>
        </w:rPr>
        <w:br/>
      </w:r>
      <w:r w:rsidR="002B3A30" w:rsidRPr="003D2E88">
        <w:rPr>
          <w:rStyle w:val="Heading3Char"/>
          <w:rFonts w:ascii="Arial" w:hAnsi="Arial" w:cs="Arial"/>
          <w:szCs w:val="22"/>
        </w:rPr>
        <w:br/>
      </w:r>
      <w:r w:rsidR="002B3A30" w:rsidRPr="00724695">
        <w:rPr>
          <w:rStyle w:val="Heading2Char"/>
        </w:rPr>
        <w:t xml:space="preserve">4.4 Technological </w:t>
      </w:r>
      <w:r w:rsidR="00BC5F29">
        <w:rPr>
          <w:rStyle w:val="Heading2Char"/>
        </w:rPr>
        <w:t>t</w:t>
      </w:r>
      <w:r w:rsidR="002B3A30" w:rsidRPr="00724695">
        <w:rPr>
          <w:rStyle w:val="Heading2Char"/>
        </w:rPr>
        <w:t xml:space="preserve">ransformation and </w:t>
      </w:r>
      <w:r w:rsidR="00BC5F29">
        <w:rPr>
          <w:rStyle w:val="Heading2Char"/>
        </w:rPr>
        <w:t>w</w:t>
      </w:r>
      <w:r w:rsidR="002B3A30" w:rsidRPr="00724695">
        <w:rPr>
          <w:rStyle w:val="Heading2Char"/>
        </w:rPr>
        <w:t xml:space="preserve">orkforce </w:t>
      </w:r>
      <w:r w:rsidR="00BC5F29">
        <w:rPr>
          <w:rStyle w:val="Heading2Char"/>
        </w:rPr>
        <w:t>a</w:t>
      </w:r>
      <w:r w:rsidR="002B3A30" w:rsidRPr="00724695">
        <w:rPr>
          <w:rStyle w:val="Heading2Char"/>
        </w:rPr>
        <w:t>daptation</w:t>
      </w:r>
      <w:r w:rsidR="002B3A30" w:rsidRPr="003D2E88">
        <w:rPr>
          <w:rFonts w:ascii="Arial" w:hAnsi="Arial" w:cs="Arial"/>
          <w:szCs w:val="22"/>
        </w:rPr>
        <w:br/>
      </w:r>
      <w:r w:rsidR="002B3A30" w:rsidRPr="003D2E88">
        <w:rPr>
          <w:rFonts w:ascii="Arial" w:hAnsi="Arial" w:cs="Arial"/>
          <w:szCs w:val="22"/>
        </w:rPr>
        <w:br/>
        <w:t xml:space="preserve">The integration of automation, artificial intelligence, and data analytics has profoundly reshaped retail logistics (Deloitte, 2023; PwC, 2022).  Tesco’s change trajectory reflects this shift, positioning technology not simply as a tool for efficiency but as a catalyst for rethinking how work is </w:t>
      </w:r>
      <w:proofErr w:type="spellStart"/>
      <w:r w:rsidR="002B3A30" w:rsidRPr="003D2E88">
        <w:rPr>
          <w:rFonts w:ascii="Arial" w:hAnsi="Arial" w:cs="Arial"/>
          <w:szCs w:val="22"/>
        </w:rPr>
        <w:t>organised</w:t>
      </w:r>
      <w:proofErr w:type="spellEnd"/>
      <w:r w:rsidR="002B3A30" w:rsidRPr="003D2E88">
        <w:rPr>
          <w:rFonts w:ascii="Arial" w:hAnsi="Arial" w:cs="Arial"/>
          <w:szCs w:val="22"/>
        </w:rPr>
        <w:t>, measured, and experienced.</w:t>
      </w:r>
    </w:p>
    <w:p w:rsidR="00040F0B" w:rsidRDefault="00040F0B" w:rsidP="003D2E88">
      <w:pPr>
        <w:pStyle w:val="NormalWeb"/>
        <w:spacing w:line="360" w:lineRule="auto"/>
        <w:rPr>
          <w:rStyle w:val="Heading2Char"/>
        </w:rPr>
      </w:pPr>
      <w:r>
        <w:rPr>
          <w:rFonts w:ascii="Arial" w:hAnsi="Arial" w:cs="Arial"/>
          <w:noProof/>
          <w:szCs w:val="22"/>
        </w:rPr>
        <w:drawing>
          <wp:inline distT="0" distB="0" distL="0" distR="0">
            <wp:extent cx="5762625" cy="1028700"/>
            <wp:effectExtent l="0" t="0" r="9525" b="0"/>
            <wp:docPr id="115923718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62625" cy="1028700"/>
                    </a:xfrm>
                    <a:prstGeom prst="rect">
                      <a:avLst/>
                    </a:prstGeom>
                    <a:noFill/>
                    <a:ln>
                      <a:noFill/>
                    </a:ln>
                  </pic:spPr>
                </pic:pic>
              </a:graphicData>
            </a:graphic>
          </wp:inline>
        </w:drawing>
      </w:r>
    </w:p>
    <w:p w:rsidR="00985CE8" w:rsidRPr="00985CE8" w:rsidRDefault="00985CE8" w:rsidP="003D2E88">
      <w:pPr>
        <w:pStyle w:val="NormalWeb"/>
        <w:spacing w:line="360" w:lineRule="auto"/>
        <w:rPr>
          <w:rStyle w:val="Heading2Char"/>
          <w:bCs/>
          <w:i/>
          <w:iCs/>
          <w:sz w:val="22"/>
          <w:szCs w:val="22"/>
        </w:rPr>
      </w:pPr>
      <w:r w:rsidRPr="00985CE8">
        <w:rPr>
          <w:rFonts w:ascii="Arial" w:eastAsia="Arial" w:hAnsi="Arial" w:cs="Arial"/>
          <w:bCs/>
          <w:i/>
          <w:iCs/>
          <w:color w:val="000000"/>
          <w:szCs w:val="22"/>
          <w:lang w:val="en-GB"/>
        </w:rPr>
        <w:t xml:space="preserve">Table </w:t>
      </w:r>
      <w:proofErr w:type="gramStart"/>
      <w:r w:rsidRPr="00985CE8">
        <w:rPr>
          <w:rFonts w:ascii="Arial" w:eastAsia="Arial" w:hAnsi="Arial" w:cs="Arial"/>
          <w:bCs/>
          <w:i/>
          <w:iCs/>
          <w:color w:val="000000"/>
          <w:szCs w:val="22"/>
          <w:lang w:val="en-GB"/>
        </w:rPr>
        <w:t xml:space="preserve">4.4 </w:t>
      </w:r>
      <w:r w:rsidR="00501239">
        <w:rPr>
          <w:rFonts w:ascii="Arial" w:eastAsia="Arial" w:hAnsi="Arial" w:cs="Arial"/>
          <w:bCs/>
          <w:i/>
          <w:iCs/>
          <w:color w:val="000000"/>
          <w:szCs w:val="22"/>
          <w:lang w:val="en-GB"/>
        </w:rPr>
        <w:t xml:space="preserve"> by</w:t>
      </w:r>
      <w:proofErr w:type="gramEnd"/>
      <w:r w:rsidR="00501239">
        <w:rPr>
          <w:rFonts w:ascii="Arial" w:eastAsia="Arial" w:hAnsi="Arial" w:cs="Arial"/>
          <w:bCs/>
          <w:i/>
          <w:iCs/>
          <w:color w:val="000000"/>
          <w:szCs w:val="22"/>
          <w:lang w:val="en-GB"/>
        </w:rPr>
        <w:t xml:space="preserve"> the Author, </w:t>
      </w:r>
      <w:r w:rsidRPr="00985CE8">
        <w:rPr>
          <w:rFonts w:ascii="Arial" w:eastAsia="Arial" w:hAnsi="Arial" w:cs="Arial"/>
          <w:bCs/>
          <w:i/>
          <w:iCs/>
          <w:color w:val="000000"/>
          <w:szCs w:val="22"/>
          <w:lang w:val="en-GB"/>
        </w:rPr>
        <w:t xml:space="preserve">summarises the key technological initiatives within Tesco’s logistics operations and their corresponding effects on workforce roles, skills, and engagement. It highlights how automation, digital tools, and data analytics reshape operational processes and employee responsibilities, while also emphasising strategies such as phased implementation, training programmes, and upskilling to support workforce adaptation. The </w:t>
      </w:r>
      <w:r w:rsidRPr="00985CE8">
        <w:rPr>
          <w:rFonts w:ascii="Arial" w:eastAsia="Arial" w:hAnsi="Arial" w:cs="Arial"/>
          <w:bCs/>
          <w:i/>
          <w:iCs/>
          <w:color w:val="000000"/>
          <w:szCs w:val="22"/>
          <w:lang w:val="en-GB"/>
        </w:rPr>
        <w:lastRenderedPageBreak/>
        <w:t>table illustrates the critical balance between technological innovation and human-centred change, reinforcing the importance of aligning system adoption with employee readiness and organisational culture.</w:t>
      </w:r>
    </w:p>
    <w:p w:rsidR="005A497F" w:rsidRDefault="002B3A30" w:rsidP="003D2E88">
      <w:pPr>
        <w:pStyle w:val="NormalWeb"/>
        <w:spacing w:line="360" w:lineRule="auto"/>
        <w:rPr>
          <w:rFonts w:ascii="Arial" w:hAnsi="Arial" w:cs="Arial"/>
          <w:szCs w:val="22"/>
        </w:rPr>
      </w:pPr>
      <w:r w:rsidRPr="003D2E88">
        <w:rPr>
          <w:rFonts w:ascii="Arial" w:hAnsi="Arial" w:cs="Arial"/>
          <w:szCs w:val="22"/>
        </w:rPr>
        <w:br/>
      </w:r>
      <w:r w:rsidRPr="00724695">
        <w:rPr>
          <w:rStyle w:val="Heading2Char"/>
        </w:rPr>
        <w:br/>
      </w:r>
      <w:bookmarkStart w:id="18" w:name="_Toc214295760"/>
      <w:r w:rsidRPr="00724695">
        <w:rPr>
          <w:rStyle w:val="Heading2Char"/>
        </w:rPr>
        <w:t xml:space="preserve">4.4.1 Automation and </w:t>
      </w:r>
      <w:r w:rsidR="00BC5F29">
        <w:rPr>
          <w:rStyle w:val="Heading2Char"/>
        </w:rPr>
        <w:t>d</w:t>
      </w:r>
      <w:r w:rsidRPr="00724695">
        <w:rPr>
          <w:rStyle w:val="Heading2Char"/>
        </w:rPr>
        <w:t xml:space="preserve">igital </w:t>
      </w:r>
      <w:r w:rsidR="00BC5F29">
        <w:rPr>
          <w:rStyle w:val="Heading2Char"/>
        </w:rPr>
        <w:t>i</w:t>
      </w:r>
      <w:r w:rsidRPr="00724695">
        <w:rPr>
          <w:rStyle w:val="Heading2Char"/>
        </w:rPr>
        <w:t>ntegration</w:t>
      </w:r>
      <w:bookmarkEnd w:id="18"/>
      <w:r w:rsidRPr="003D2E88">
        <w:rPr>
          <w:rFonts w:ascii="Arial" w:hAnsi="Arial" w:cs="Arial"/>
          <w:szCs w:val="22"/>
        </w:rPr>
        <w:br/>
      </w:r>
      <w:r w:rsidRPr="003D2E88">
        <w:rPr>
          <w:rFonts w:ascii="Arial" w:hAnsi="Arial" w:cs="Arial"/>
          <w:szCs w:val="22"/>
        </w:rPr>
        <w:br/>
        <w:t>Tesco’s logistics transformation has accelerated since 2020, with automated storage and retrieval systems, digital twin simulations, and real-time analytics implemented across several UK warehouses (Tesco plc, 2024). According to Accenture (2022), such automation enables predictive maintenance and demand forecasting, improving both cost control and service reliability. From my own perspective, the introduction of these technologies has undoubtedly streamlined warehouse operations but also increased the cognitive complexity of certain roles. Employees must now interpret data dashboards, understand system diagnostics, and manage exceptions rather than perform manual tasks.</w:t>
      </w:r>
      <w:r w:rsidRPr="003D2E88">
        <w:rPr>
          <w:rFonts w:ascii="Arial" w:hAnsi="Arial" w:cs="Arial"/>
          <w:szCs w:val="22"/>
        </w:rPr>
        <w:br/>
      </w:r>
      <w:r w:rsidRPr="003D2E88">
        <w:rPr>
          <w:rFonts w:ascii="Arial" w:hAnsi="Arial" w:cs="Arial"/>
          <w:szCs w:val="22"/>
        </w:rPr>
        <w:br/>
        <w:t xml:space="preserve">This shift aligns with Hiatt’s (2006) ADKAR model, which </w:t>
      </w:r>
      <w:proofErr w:type="spellStart"/>
      <w:r w:rsidRPr="003D2E88">
        <w:rPr>
          <w:rFonts w:ascii="Arial" w:hAnsi="Arial" w:cs="Arial"/>
          <w:szCs w:val="22"/>
        </w:rPr>
        <w:t>emphasises</w:t>
      </w:r>
      <w:proofErr w:type="spellEnd"/>
      <w:r w:rsidRPr="003D2E88">
        <w:rPr>
          <w:rFonts w:ascii="Arial" w:hAnsi="Arial" w:cs="Arial"/>
          <w:szCs w:val="22"/>
        </w:rPr>
        <w:t xml:space="preserve"> the need for awareness, knowledge, and ability during technological transitions.</w:t>
      </w:r>
      <w:r w:rsidR="00BC5F29">
        <w:rPr>
          <w:rFonts w:ascii="Arial" w:hAnsi="Arial" w:cs="Arial"/>
          <w:szCs w:val="22"/>
        </w:rPr>
        <w:t xml:space="preserve"> </w:t>
      </w:r>
      <w:r w:rsidRPr="003D2E88">
        <w:rPr>
          <w:rFonts w:ascii="Arial" w:hAnsi="Arial" w:cs="Arial"/>
          <w:szCs w:val="22"/>
        </w:rPr>
        <w:t xml:space="preserve">Tesco’s investment in digital training </w:t>
      </w:r>
      <w:proofErr w:type="spellStart"/>
      <w:r w:rsidRPr="003D2E88">
        <w:rPr>
          <w:rFonts w:ascii="Arial" w:hAnsi="Arial" w:cs="Arial"/>
          <w:szCs w:val="22"/>
        </w:rPr>
        <w:t>programmes</w:t>
      </w:r>
      <w:proofErr w:type="spellEnd"/>
      <w:r w:rsidRPr="003D2E88">
        <w:rPr>
          <w:rFonts w:ascii="Arial" w:hAnsi="Arial" w:cs="Arial"/>
          <w:szCs w:val="22"/>
        </w:rPr>
        <w:t>, such as the “Skills to Thrive” initiative, supports workforce readiness. Nonetheless, academic literature warns that the pace of technological rollout often exceeds the pace of cultural adaptation (By et al., 2016). In my analysis, Tesco’s decision to phase its automation projects gradually reflects a pragmatic understanding of this tension</w:t>
      </w:r>
      <w:r w:rsidR="00F8340C" w:rsidRPr="003D2E88">
        <w:rPr>
          <w:rFonts w:ascii="Arial" w:hAnsi="Arial" w:cs="Arial"/>
          <w:szCs w:val="22"/>
        </w:rPr>
        <w:t xml:space="preserve">, </w:t>
      </w:r>
      <w:r w:rsidRPr="003D2E88">
        <w:rPr>
          <w:rFonts w:ascii="Arial" w:hAnsi="Arial" w:cs="Arial"/>
          <w:szCs w:val="22"/>
        </w:rPr>
        <w:t>balancing innovation with absorption capacity.</w:t>
      </w:r>
      <w:r w:rsidRPr="003D2E88">
        <w:rPr>
          <w:rFonts w:ascii="Arial" w:hAnsi="Arial" w:cs="Arial"/>
          <w:szCs w:val="22"/>
        </w:rPr>
        <w:br/>
      </w:r>
      <w:r w:rsidRPr="003D2E88">
        <w:rPr>
          <w:rFonts w:ascii="Arial" w:hAnsi="Arial" w:cs="Arial"/>
          <w:szCs w:val="22"/>
        </w:rPr>
        <w:br/>
      </w:r>
      <w:r w:rsidRPr="00724695">
        <w:rPr>
          <w:rStyle w:val="Heading2Char"/>
        </w:rPr>
        <w:t>4.4.2 Impact on Workforce Roles and Identity</w:t>
      </w:r>
      <w:r w:rsidRPr="003D2E88">
        <w:rPr>
          <w:rFonts w:ascii="Arial" w:hAnsi="Arial" w:cs="Arial"/>
          <w:szCs w:val="22"/>
        </w:rPr>
        <w:br/>
      </w:r>
      <w:r w:rsidRPr="003D2E88">
        <w:rPr>
          <w:rFonts w:ascii="Arial" w:hAnsi="Arial" w:cs="Arial"/>
          <w:szCs w:val="22"/>
        </w:rPr>
        <w:br/>
        <w:t xml:space="preserve">The literature on automation and employment presents a mixed picture. Deloitte (2023) suggests that automation in logistics redefines rather than eliminates work, shifting value from physical to analytical skills. However, McKinsey &amp; Company (2021) caution that such transitions can generate anxiety and perceived job insecurity. Within Tesco’s distribution </w:t>
      </w:r>
      <w:proofErr w:type="spellStart"/>
      <w:r w:rsidRPr="003D2E88">
        <w:rPr>
          <w:rFonts w:ascii="Arial" w:hAnsi="Arial" w:cs="Arial"/>
          <w:szCs w:val="22"/>
        </w:rPr>
        <w:t>centres</w:t>
      </w:r>
      <w:proofErr w:type="spellEnd"/>
      <w:r w:rsidRPr="003D2E88">
        <w:rPr>
          <w:rFonts w:ascii="Arial" w:hAnsi="Arial" w:cs="Arial"/>
          <w:szCs w:val="22"/>
        </w:rPr>
        <w:t xml:space="preserve">, this concern is not unfounded; colleagues accustomed to manual picking or dispatch roles may perceive technology as a threat rather than a support. As Burnes (2017) argues, perceived loss of control can provoke resistance even in well-communicated change </w:t>
      </w:r>
      <w:proofErr w:type="spellStart"/>
      <w:r w:rsidRPr="003D2E88">
        <w:rPr>
          <w:rFonts w:ascii="Arial" w:hAnsi="Arial" w:cs="Arial"/>
          <w:szCs w:val="22"/>
        </w:rPr>
        <w:t>programmes</w:t>
      </w:r>
      <w:proofErr w:type="spellEnd"/>
      <w:r w:rsidRPr="003D2E88">
        <w:rPr>
          <w:rFonts w:ascii="Arial" w:hAnsi="Arial" w:cs="Arial"/>
          <w:szCs w:val="22"/>
        </w:rPr>
        <w:t>.</w:t>
      </w:r>
      <w:r w:rsidRPr="003D2E88">
        <w:rPr>
          <w:rFonts w:ascii="Arial" w:hAnsi="Arial" w:cs="Arial"/>
          <w:szCs w:val="22"/>
        </w:rPr>
        <w:br/>
      </w:r>
      <w:r w:rsidRPr="003D2E88">
        <w:rPr>
          <w:rFonts w:ascii="Arial" w:hAnsi="Arial" w:cs="Arial"/>
          <w:szCs w:val="22"/>
        </w:rPr>
        <w:br/>
      </w:r>
      <w:r w:rsidRPr="003D2E88">
        <w:rPr>
          <w:rFonts w:ascii="Arial" w:hAnsi="Arial" w:cs="Arial"/>
          <w:szCs w:val="22"/>
        </w:rPr>
        <w:lastRenderedPageBreak/>
        <w:t>From my experience, Tesco has sought to counter these perceptions through engagement and retraining opportunities.  However, maintaining trust requires visible fairness in how technology-related role changes are managed. Literature by CIPD (2023) underlines that transparent career pathways and upskilling initiatives are vital to preserve psychological contract. I consider this particularly important in logistics, where collective identity and operational rhythm are strong cultural anchors.</w:t>
      </w:r>
      <w:r w:rsidRPr="003D2E88">
        <w:rPr>
          <w:rFonts w:ascii="Arial" w:hAnsi="Arial" w:cs="Arial"/>
          <w:szCs w:val="22"/>
        </w:rPr>
        <w:br/>
      </w:r>
      <w:r w:rsidRPr="003D2E88">
        <w:rPr>
          <w:rFonts w:ascii="Arial" w:hAnsi="Arial" w:cs="Arial"/>
          <w:szCs w:val="22"/>
        </w:rPr>
        <w:br/>
      </w:r>
      <w:r w:rsidRPr="00724695">
        <w:rPr>
          <w:rStyle w:val="Heading2Char"/>
        </w:rPr>
        <w:t xml:space="preserve">4.4.3 Balancing </w:t>
      </w:r>
      <w:r w:rsidR="00BC5F29">
        <w:rPr>
          <w:rStyle w:val="Heading2Char"/>
        </w:rPr>
        <w:t>i</w:t>
      </w:r>
      <w:r w:rsidRPr="00724695">
        <w:rPr>
          <w:rStyle w:val="Heading2Char"/>
        </w:rPr>
        <w:t xml:space="preserve">nnovation with </w:t>
      </w:r>
      <w:r w:rsidR="00BC5F29">
        <w:rPr>
          <w:rStyle w:val="Heading2Char"/>
        </w:rPr>
        <w:t>h</w:t>
      </w:r>
      <w:r w:rsidRPr="00724695">
        <w:rPr>
          <w:rStyle w:val="Heading2Char"/>
        </w:rPr>
        <w:t>uman-</w:t>
      </w:r>
      <w:proofErr w:type="spellStart"/>
      <w:r w:rsidR="00BC5F29">
        <w:rPr>
          <w:rStyle w:val="Heading2Char"/>
        </w:rPr>
        <w:t>c</w:t>
      </w:r>
      <w:r w:rsidRPr="00724695">
        <w:rPr>
          <w:rStyle w:val="Heading2Char"/>
        </w:rPr>
        <w:t>entred</w:t>
      </w:r>
      <w:proofErr w:type="spellEnd"/>
      <w:r w:rsidRPr="00724695">
        <w:rPr>
          <w:rStyle w:val="Heading2Char"/>
        </w:rPr>
        <w:t xml:space="preserve"> </w:t>
      </w:r>
      <w:r w:rsidR="00BC5F29">
        <w:rPr>
          <w:rStyle w:val="Heading2Char"/>
        </w:rPr>
        <w:t>d</w:t>
      </w:r>
      <w:r w:rsidRPr="00724695">
        <w:rPr>
          <w:rStyle w:val="Heading2Char"/>
        </w:rPr>
        <w:t>esign</w:t>
      </w:r>
      <w:r w:rsidRPr="003D2E88">
        <w:rPr>
          <w:rFonts w:ascii="Arial" w:hAnsi="Arial" w:cs="Arial"/>
          <w:szCs w:val="22"/>
        </w:rPr>
        <w:br/>
      </w:r>
      <w:r w:rsidRPr="003D2E88">
        <w:rPr>
          <w:rFonts w:ascii="Arial" w:hAnsi="Arial" w:cs="Arial"/>
          <w:szCs w:val="22"/>
        </w:rPr>
        <w:br/>
        <w:t xml:space="preserve">The broader debate in the literature questions whether technology simplifies or complicates </w:t>
      </w:r>
      <w:proofErr w:type="spellStart"/>
      <w:r w:rsidRPr="003D2E88">
        <w:rPr>
          <w:rFonts w:ascii="Arial" w:hAnsi="Arial" w:cs="Arial"/>
          <w:szCs w:val="22"/>
        </w:rPr>
        <w:t>organisational</w:t>
      </w:r>
      <w:proofErr w:type="spellEnd"/>
      <w:r w:rsidRPr="003D2E88">
        <w:rPr>
          <w:rFonts w:ascii="Arial" w:hAnsi="Arial" w:cs="Arial"/>
          <w:szCs w:val="22"/>
        </w:rPr>
        <w:t xml:space="preserve"> change (By et al., 2016). I contend that Tesco’s case demonstrates both outcomes. Digital tools have simplified repetitive tasks and enhanced decision accuracy, yet they have also introduced continuous learning demands. In line with Schein’s (2010) theory of </w:t>
      </w:r>
      <w:proofErr w:type="spellStart"/>
      <w:r w:rsidRPr="003D2E88">
        <w:rPr>
          <w:rFonts w:ascii="Arial" w:hAnsi="Arial" w:cs="Arial"/>
          <w:szCs w:val="22"/>
        </w:rPr>
        <w:t>organisational</w:t>
      </w:r>
      <w:proofErr w:type="spellEnd"/>
      <w:r w:rsidRPr="003D2E88">
        <w:rPr>
          <w:rFonts w:ascii="Arial" w:hAnsi="Arial" w:cs="Arial"/>
          <w:szCs w:val="22"/>
        </w:rPr>
        <w:t xml:space="preserve"> culture, sustainable technological adoption requires alignment between new tools and existing values. Tesco’s recent emphasis on inclusive digital transformation</w:t>
      </w:r>
      <w:r w:rsidR="00F8340C" w:rsidRPr="003D2E88">
        <w:rPr>
          <w:rFonts w:ascii="Arial" w:hAnsi="Arial" w:cs="Arial"/>
          <w:szCs w:val="22"/>
        </w:rPr>
        <w:t>,</w:t>
      </w:r>
      <w:r w:rsidRPr="003D2E88">
        <w:rPr>
          <w:rFonts w:ascii="Arial" w:hAnsi="Arial" w:cs="Arial"/>
          <w:szCs w:val="22"/>
        </w:rPr>
        <w:t xml:space="preserve"> providing accessible training and co-designing systems with end-users reflects this recognition. However, ensuring that every colleague feels competent and valued within a highly automated environment remains a complex and ongoing leadership responsibility.</w:t>
      </w:r>
      <w:r w:rsidRPr="003D2E88">
        <w:rPr>
          <w:rFonts w:ascii="Arial" w:hAnsi="Arial" w:cs="Arial"/>
          <w:szCs w:val="22"/>
        </w:rPr>
        <w:br/>
      </w:r>
      <w:r w:rsidRPr="003D2E88">
        <w:rPr>
          <w:rFonts w:ascii="Arial" w:hAnsi="Arial" w:cs="Arial"/>
          <w:szCs w:val="22"/>
        </w:rPr>
        <w:br/>
      </w:r>
      <w:r w:rsidRPr="003D2E88">
        <w:rPr>
          <w:rFonts w:ascii="Arial" w:hAnsi="Arial" w:cs="Arial"/>
          <w:szCs w:val="22"/>
        </w:rPr>
        <w:br/>
      </w:r>
      <w:r w:rsidRPr="003D2E88">
        <w:rPr>
          <w:rFonts w:ascii="Arial" w:hAnsi="Arial" w:cs="Arial"/>
          <w:szCs w:val="22"/>
        </w:rPr>
        <w:br/>
      </w:r>
      <w:r w:rsidRPr="00724695">
        <w:rPr>
          <w:rStyle w:val="Heading2Char"/>
        </w:rPr>
        <w:t xml:space="preserve">4.5 Employee </w:t>
      </w:r>
      <w:r w:rsidR="00BC5F29">
        <w:rPr>
          <w:rStyle w:val="Heading2Char"/>
        </w:rPr>
        <w:t>e</w:t>
      </w:r>
      <w:r w:rsidRPr="00724695">
        <w:rPr>
          <w:rStyle w:val="Heading2Char"/>
        </w:rPr>
        <w:t xml:space="preserve">ngagement and </w:t>
      </w:r>
      <w:r w:rsidR="00BC5F29">
        <w:rPr>
          <w:rStyle w:val="Heading2Char"/>
        </w:rPr>
        <w:t>r</w:t>
      </w:r>
      <w:r w:rsidRPr="00724695">
        <w:rPr>
          <w:rStyle w:val="Heading2Char"/>
        </w:rPr>
        <w:t xml:space="preserve">esistance to </w:t>
      </w:r>
      <w:r w:rsidR="00BC5F29">
        <w:rPr>
          <w:rStyle w:val="Heading2Char"/>
        </w:rPr>
        <w:t>c</w:t>
      </w:r>
      <w:r w:rsidRPr="00724695">
        <w:rPr>
          <w:rStyle w:val="Heading2Char"/>
        </w:rPr>
        <w:t>hange</w:t>
      </w:r>
      <w:r w:rsidRPr="003D2E88">
        <w:rPr>
          <w:rFonts w:ascii="Arial" w:hAnsi="Arial" w:cs="Arial"/>
          <w:szCs w:val="22"/>
        </w:rPr>
        <w:br/>
      </w:r>
      <w:r w:rsidRPr="003D2E88">
        <w:rPr>
          <w:rFonts w:ascii="Arial" w:hAnsi="Arial" w:cs="Arial"/>
          <w:szCs w:val="22"/>
        </w:rPr>
        <w:br/>
        <w:t xml:space="preserve">Employee engagement has been widely identified as the determinant of whether </w:t>
      </w:r>
      <w:proofErr w:type="spellStart"/>
      <w:r w:rsidRPr="003D2E88">
        <w:rPr>
          <w:rFonts w:ascii="Arial" w:hAnsi="Arial" w:cs="Arial"/>
          <w:szCs w:val="22"/>
        </w:rPr>
        <w:t>organisational</w:t>
      </w:r>
      <w:proofErr w:type="spellEnd"/>
      <w:r w:rsidRPr="003D2E88">
        <w:rPr>
          <w:rFonts w:ascii="Arial" w:hAnsi="Arial" w:cs="Arial"/>
          <w:szCs w:val="22"/>
        </w:rPr>
        <w:t xml:space="preserve"> change endures (CIPD, 2023). Lewin’s (1951) concept of “refreezing” change depends on establishing new </w:t>
      </w:r>
      <w:proofErr w:type="spellStart"/>
      <w:r w:rsidRPr="003D2E88">
        <w:rPr>
          <w:rFonts w:ascii="Arial" w:hAnsi="Arial" w:cs="Arial"/>
          <w:szCs w:val="22"/>
        </w:rPr>
        <w:t>behavioural</w:t>
      </w:r>
      <w:proofErr w:type="spellEnd"/>
      <w:r w:rsidRPr="003D2E88">
        <w:rPr>
          <w:rFonts w:ascii="Arial" w:hAnsi="Arial" w:cs="Arial"/>
          <w:szCs w:val="22"/>
        </w:rPr>
        <w:t xml:space="preserve"> norms; this cannot occur without genuine workforce buy-in. The literature reviewed consistently showed that resistance often stems from unclear communication, fear of redundancy, or misalignment between personal and </w:t>
      </w:r>
      <w:proofErr w:type="spellStart"/>
      <w:r w:rsidRPr="003D2E88">
        <w:rPr>
          <w:rFonts w:ascii="Arial" w:hAnsi="Arial" w:cs="Arial"/>
          <w:szCs w:val="22"/>
        </w:rPr>
        <w:t>organisational</w:t>
      </w:r>
      <w:proofErr w:type="spellEnd"/>
      <w:r w:rsidRPr="003D2E88">
        <w:rPr>
          <w:rFonts w:ascii="Arial" w:hAnsi="Arial" w:cs="Arial"/>
          <w:szCs w:val="22"/>
        </w:rPr>
        <w:t xml:space="preserve"> goals (</w:t>
      </w:r>
      <w:proofErr w:type="spellStart"/>
      <w:r w:rsidRPr="003D2E88">
        <w:rPr>
          <w:rFonts w:ascii="Arial" w:hAnsi="Arial" w:cs="Arial"/>
          <w:szCs w:val="22"/>
        </w:rPr>
        <w:t>Kotter</w:t>
      </w:r>
      <w:proofErr w:type="spellEnd"/>
      <w:r w:rsidRPr="003D2E88">
        <w:rPr>
          <w:rFonts w:ascii="Arial" w:hAnsi="Arial" w:cs="Arial"/>
          <w:szCs w:val="22"/>
        </w:rPr>
        <w:t xml:space="preserve"> and Schlesinger, 2008). These factors resonate strongly with Tesco’s logistics context.</w:t>
      </w:r>
    </w:p>
    <w:p w:rsidR="008811EA" w:rsidRDefault="005A497F" w:rsidP="003D2E88">
      <w:pPr>
        <w:pStyle w:val="NormalWeb"/>
        <w:spacing w:line="360" w:lineRule="auto"/>
        <w:rPr>
          <w:rFonts w:ascii="Arial" w:hAnsi="Arial" w:cs="Arial"/>
          <w:szCs w:val="22"/>
        </w:rPr>
      </w:pPr>
      <w:r>
        <w:rPr>
          <w:rFonts w:ascii="Arial" w:hAnsi="Arial" w:cs="Arial"/>
          <w:noProof/>
          <w:szCs w:val="22"/>
        </w:rPr>
        <w:drawing>
          <wp:inline distT="0" distB="0" distL="0" distR="0">
            <wp:extent cx="5762625" cy="857250"/>
            <wp:effectExtent l="0" t="0" r="9525" b="0"/>
            <wp:docPr id="34454042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62625" cy="857250"/>
                    </a:xfrm>
                    <a:prstGeom prst="rect">
                      <a:avLst/>
                    </a:prstGeom>
                    <a:noFill/>
                    <a:ln>
                      <a:noFill/>
                    </a:ln>
                  </pic:spPr>
                </pic:pic>
              </a:graphicData>
            </a:graphic>
          </wp:inline>
        </w:drawing>
      </w:r>
    </w:p>
    <w:p w:rsidR="00FC630A" w:rsidRDefault="008811EA" w:rsidP="003D2E88">
      <w:pPr>
        <w:pStyle w:val="NormalWeb"/>
        <w:spacing w:line="360" w:lineRule="auto"/>
        <w:rPr>
          <w:rFonts w:ascii="Arial" w:hAnsi="Arial" w:cs="Arial"/>
          <w:szCs w:val="22"/>
        </w:rPr>
      </w:pPr>
      <w:r w:rsidRPr="008811EA">
        <w:rPr>
          <w:rFonts w:ascii="Arial" w:hAnsi="Arial" w:cs="Arial"/>
          <w:i/>
          <w:iCs/>
          <w:szCs w:val="22"/>
          <w:lang w:val="en-GB"/>
        </w:rPr>
        <w:lastRenderedPageBreak/>
        <w:t xml:space="preserve">Table 4.5 </w:t>
      </w:r>
      <w:r w:rsidR="00501239">
        <w:rPr>
          <w:rFonts w:ascii="Arial" w:hAnsi="Arial" w:cs="Arial"/>
          <w:i/>
          <w:iCs/>
          <w:szCs w:val="22"/>
          <w:lang w:val="en-GB"/>
        </w:rPr>
        <w:t xml:space="preserve">by the Author, </w:t>
      </w:r>
      <w:r w:rsidRPr="008811EA">
        <w:rPr>
          <w:rFonts w:ascii="Arial" w:hAnsi="Arial" w:cs="Arial"/>
          <w:i/>
          <w:iCs/>
          <w:szCs w:val="22"/>
          <w:lang w:val="en-GB"/>
        </w:rPr>
        <w:t>presents a synthesis of employee engagement initiatives and resistance patterns within Tesco’s logistics operations. It highlights the sources of resistance, ranging from fear of redundancy to adaptation challenges, and outlines the specific strategies used to foster engagement, such as feedback mechanisms, focus groups, and mentoring programmes. The table illustrates the dynamic interplay between workforce attitudes and organisational change efforts, emphasising that effective engagement transforms potential resistance into constructive participation and supports sustainable change.</w:t>
      </w:r>
      <w:r w:rsidR="002B3A30" w:rsidRPr="003D2E88">
        <w:rPr>
          <w:rFonts w:ascii="Arial" w:hAnsi="Arial" w:cs="Arial"/>
          <w:szCs w:val="22"/>
        </w:rPr>
        <w:br/>
      </w:r>
      <w:r w:rsidR="002B3A30" w:rsidRPr="003D2E88">
        <w:rPr>
          <w:rFonts w:ascii="Arial" w:hAnsi="Arial" w:cs="Arial"/>
          <w:szCs w:val="22"/>
        </w:rPr>
        <w:br/>
      </w:r>
      <w:r w:rsidR="002B3A30" w:rsidRPr="00724695">
        <w:rPr>
          <w:rStyle w:val="Heading2Char"/>
        </w:rPr>
        <w:t xml:space="preserve">4.5.1 Nature and </w:t>
      </w:r>
      <w:r w:rsidR="00BC5F29">
        <w:rPr>
          <w:rStyle w:val="Heading2Char"/>
        </w:rPr>
        <w:t>s</w:t>
      </w:r>
      <w:r w:rsidR="002B3A30" w:rsidRPr="00724695">
        <w:rPr>
          <w:rStyle w:val="Heading2Char"/>
        </w:rPr>
        <w:t xml:space="preserve">ources of </w:t>
      </w:r>
      <w:r w:rsidR="00BC5F29">
        <w:rPr>
          <w:rStyle w:val="Heading2Char"/>
        </w:rPr>
        <w:t>r</w:t>
      </w:r>
      <w:r w:rsidR="002B3A30" w:rsidRPr="00724695">
        <w:rPr>
          <w:rStyle w:val="Heading2Char"/>
        </w:rPr>
        <w:t>esistance</w:t>
      </w:r>
      <w:r w:rsidR="002B3A30" w:rsidRPr="003D2E88">
        <w:rPr>
          <w:rFonts w:ascii="Arial" w:hAnsi="Arial" w:cs="Arial"/>
          <w:szCs w:val="22"/>
        </w:rPr>
        <w:br/>
      </w:r>
      <w:r w:rsidR="002B3A30" w:rsidRPr="003D2E88">
        <w:rPr>
          <w:rFonts w:ascii="Arial" w:hAnsi="Arial" w:cs="Arial"/>
          <w:szCs w:val="22"/>
        </w:rPr>
        <w:br/>
        <w:t xml:space="preserve">Resistance within logistics operations tends to be subtle rather than overt.  It manifests as reduced discretionary effort, avoidance of new procedures, or selective compliance (Burnes, 2017). At Tesco, initial rollouts of digital tools occasionally faced </w:t>
      </w:r>
      <w:proofErr w:type="spellStart"/>
      <w:r w:rsidR="002B3A30" w:rsidRPr="003D2E88">
        <w:rPr>
          <w:rFonts w:ascii="Arial" w:hAnsi="Arial" w:cs="Arial"/>
          <w:szCs w:val="22"/>
        </w:rPr>
        <w:t>scepticism</w:t>
      </w:r>
      <w:proofErr w:type="spellEnd"/>
      <w:r w:rsidR="002B3A30" w:rsidRPr="003D2E88">
        <w:rPr>
          <w:rFonts w:ascii="Arial" w:hAnsi="Arial" w:cs="Arial"/>
          <w:szCs w:val="22"/>
        </w:rPr>
        <w:t xml:space="preserve">, especially among long-tenured employees accustomed to legacy systems. As </w:t>
      </w:r>
      <w:proofErr w:type="spellStart"/>
      <w:r w:rsidR="002B3A30" w:rsidRPr="003D2E88">
        <w:rPr>
          <w:rFonts w:ascii="Arial" w:hAnsi="Arial" w:cs="Arial"/>
          <w:szCs w:val="22"/>
        </w:rPr>
        <w:t>Armenakis</w:t>
      </w:r>
      <w:proofErr w:type="spellEnd"/>
      <w:r w:rsidR="002B3A30" w:rsidRPr="003D2E88">
        <w:rPr>
          <w:rFonts w:ascii="Arial" w:hAnsi="Arial" w:cs="Arial"/>
          <w:szCs w:val="22"/>
        </w:rPr>
        <w:t xml:space="preserve"> and Harris (2009) suggest, such reactions are not signs of hostility but indicators of insufficient readiness. I argue that </w:t>
      </w:r>
      <w:proofErr w:type="spellStart"/>
      <w:r w:rsidR="002B3A30" w:rsidRPr="003D2E88">
        <w:rPr>
          <w:rFonts w:ascii="Arial" w:hAnsi="Arial" w:cs="Arial"/>
          <w:szCs w:val="22"/>
        </w:rPr>
        <w:t>recognising</w:t>
      </w:r>
      <w:proofErr w:type="spellEnd"/>
      <w:r w:rsidR="002B3A30" w:rsidRPr="003D2E88">
        <w:rPr>
          <w:rFonts w:ascii="Arial" w:hAnsi="Arial" w:cs="Arial"/>
          <w:szCs w:val="22"/>
        </w:rPr>
        <w:t xml:space="preserve"> this distinction is crucial: when resistance is treated as a diagnostic signal rather than defiance, it becomes a valuable feedback mechanism for improvement.</w:t>
      </w:r>
      <w:r w:rsidR="002B3A30" w:rsidRPr="003D2E88">
        <w:rPr>
          <w:rFonts w:ascii="Arial" w:hAnsi="Arial" w:cs="Arial"/>
          <w:szCs w:val="22"/>
        </w:rPr>
        <w:br/>
      </w:r>
      <w:r w:rsidR="002B3A30" w:rsidRPr="003D2E88">
        <w:rPr>
          <w:rFonts w:ascii="Arial" w:hAnsi="Arial" w:cs="Arial"/>
          <w:szCs w:val="22"/>
        </w:rPr>
        <w:br/>
      </w:r>
      <w:r w:rsidR="002B3A30" w:rsidRPr="00724695">
        <w:rPr>
          <w:rStyle w:val="Heading2Char"/>
        </w:rPr>
        <w:t xml:space="preserve">4.5.2 Engagement </w:t>
      </w:r>
      <w:r w:rsidR="00BC5F29">
        <w:rPr>
          <w:rStyle w:val="Heading2Char"/>
        </w:rPr>
        <w:t>s</w:t>
      </w:r>
      <w:r w:rsidR="002B3A30" w:rsidRPr="00724695">
        <w:rPr>
          <w:rStyle w:val="Heading2Char"/>
        </w:rPr>
        <w:t xml:space="preserve">trategies and </w:t>
      </w:r>
      <w:proofErr w:type="spellStart"/>
      <w:r w:rsidR="00BC5F29">
        <w:rPr>
          <w:rStyle w:val="Heading2Char"/>
        </w:rPr>
        <w:t>o</w:t>
      </w:r>
      <w:r w:rsidR="002B3A30" w:rsidRPr="00724695">
        <w:rPr>
          <w:rStyle w:val="Heading2Char"/>
        </w:rPr>
        <w:t>rganisational</w:t>
      </w:r>
      <w:proofErr w:type="spellEnd"/>
      <w:r w:rsidR="002B3A30" w:rsidRPr="00724695">
        <w:rPr>
          <w:rStyle w:val="Heading2Char"/>
        </w:rPr>
        <w:t xml:space="preserve"> </w:t>
      </w:r>
      <w:r w:rsidR="00BC5F29">
        <w:rPr>
          <w:rStyle w:val="Heading2Char"/>
        </w:rPr>
        <w:t>l</w:t>
      </w:r>
      <w:r w:rsidR="002B3A30" w:rsidRPr="00724695">
        <w:rPr>
          <w:rStyle w:val="Heading2Char"/>
        </w:rPr>
        <w:t>earning</w:t>
      </w:r>
      <w:r w:rsidR="002B3A30" w:rsidRPr="003D2E88">
        <w:rPr>
          <w:rFonts w:ascii="Arial" w:hAnsi="Arial" w:cs="Arial"/>
          <w:szCs w:val="22"/>
        </w:rPr>
        <w:br/>
      </w:r>
      <w:r w:rsidR="002B3A30" w:rsidRPr="003D2E88">
        <w:rPr>
          <w:rFonts w:ascii="Arial" w:hAnsi="Arial" w:cs="Arial"/>
          <w:szCs w:val="22"/>
        </w:rPr>
        <w:br/>
        <w:t xml:space="preserve">Tesco’s engagement approach aligns closely with contemporary recommendations in the literature. Its use of collaborative forums, focus groups, and “Voice of the Colleague” surveys provides structured avenues for feedback. McKinsey &amp; Company (2021) found that </w:t>
      </w:r>
      <w:proofErr w:type="spellStart"/>
      <w:r w:rsidR="002B3A30" w:rsidRPr="003D2E88">
        <w:rPr>
          <w:rFonts w:ascii="Arial" w:hAnsi="Arial" w:cs="Arial"/>
          <w:szCs w:val="22"/>
        </w:rPr>
        <w:t>organisations</w:t>
      </w:r>
      <w:proofErr w:type="spellEnd"/>
      <w:r w:rsidR="002B3A30" w:rsidRPr="003D2E88">
        <w:rPr>
          <w:rFonts w:ascii="Arial" w:hAnsi="Arial" w:cs="Arial"/>
          <w:szCs w:val="22"/>
        </w:rPr>
        <w:t xml:space="preserve"> integrating employee insights into change design achieve significantly higher implementation success. In my view, Tesco’s emphasis on listening and shared ownership has mitigated many early barriers. Nevertheless, engagement cannot be episodic; it must evolve with each phase of transformation.</w:t>
      </w:r>
      <w:r w:rsidR="002B3A30" w:rsidRPr="003D2E88">
        <w:rPr>
          <w:rFonts w:ascii="Arial" w:hAnsi="Arial" w:cs="Arial"/>
          <w:szCs w:val="22"/>
        </w:rPr>
        <w:br/>
      </w:r>
      <w:r w:rsidR="002B3A30" w:rsidRPr="003D2E88">
        <w:rPr>
          <w:rFonts w:ascii="Arial" w:hAnsi="Arial" w:cs="Arial"/>
          <w:szCs w:val="22"/>
        </w:rPr>
        <w:br/>
        <w:t>Furthermore, learning is central to engagement. According to Braun and Clarke (2019), reflection and dialogue foster psychological ownership of change.</w:t>
      </w:r>
      <w:r w:rsidR="00724695">
        <w:rPr>
          <w:rFonts w:ascii="Arial" w:hAnsi="Arial" w:cs="Arial"/>
          <w:szCs w:val="22"/>
        </w:rPr>
        <w:t xml:space="preserve"> </w:t>
      </w:r>
      <w:r w:rsidR="002B3A30" w:rsidRPr="003D2E88">
        <w:rPr>
          <w:rFonts w:ascii="Arial" w:hAnsi="Arial" w:cs="Arial"/>
          <w:szCs w:val="22"/>
        </w:rPr>
        <w:t>Tesco’s adoption of peer mentoring and digital-learning hubs illustrates a tangible step toward embedding such reflective practice.</w:t>
      </w:r>
      <w:r w:rsidR="00E51E0F">
        <w:rPr>
          <w:rFonts w:ascii="Arial" w:hAnsi="Arial" w:cs="Arial"/>
          <w:szCs w:val="22"/>
        </w:rPr>
        <w:t xml:space="preserve"> </w:t>
      </w:r>
      <w:r w:rsidR="002B3A30" w:rsidRPr="003D2E88">
        <w:rPr>
          <w:rFonts w:ascii="Arial" w:hAnsi="Arial" w:cs="Arial"/>
          <w:szCs w:val="22"/>
        </w:rPr>
        <w:t>Yet, I maintain that these initiatives must continue evolving to address emerging generational and technological divides within the workforce.</w:t>
      </w:r>
      <w:r w:rsidR="002B3A30" w:rsidRPr="003D2E88">
        <w:rPr>
          <w:rFonts w:ascii="Arial" w:hAnsi="Arial" w:cs="Arial"/>
          <w:szCs w:val="22"/>
        </w:rPr>
        <w:br/>
      </w:r>
      <w:r w:rsidR="002B3A30" w:rsidRPr="003D2E88">
        <w:rPr>
          <w:rFonts w:ascii="Arial" w:hAnsi="Arial" w:cs="Arial"/>
          <w:szCs w:val="22"/>
        </w:rPr>
        <w:br/>
      </w:r>
      <w:r w:rsidR="002B3A30" w:rsidRPr="00724695">
        <w:rPr>
          <w:rStyle w:val="Heading2Char"/>
        </w:rPr>
        <w:t xml:space="preserve">4.5.3 Critical </w:t>
      </w:r>
      <w:r w:rsidR="00BC5F29">
        <w:rPr>
          <w:rStyle w:val="Heading2Char"/>
        </w:rPr>
        <w:t>r</w:t>
      </w:r>
      <w:r w:rsidR="002B3A30" w:rsidRPr="00724695">
        <w:rPr>
          <w:rStyle w:val="Heading2Char"/>
        </w:rPr>
        <w:t>eflection</w:t>
      </w:r>
      <w:r w:rsidR="002B3A30" w:rsidRPr="003D2E88">
        <w:rPr>
          <w:rFonts w:ascii="Arial" w:hAnsi="Arial" w:cs="Arial"/>
          <w:szCs w:val="22"/>
        </w:rPr>
        <w:br/>
      </w:r>
      <w:r w:rsidR="002B3A30" w:rsidRPr="003D2E88">
        <w:rPr>
          <w:rFonts w:ascii="Arial" w:hAnsi="Arial" w:cs="Arial"/>
          <w:szCs w:val="22"/>
        </w:rPr>
        <w:lastRenderedPageBreak/>
        <w:br/>
        <w:t xml:space="preserve">The literature suggests that </w:t>
      </w:r>
      <w:proofErr w:type="spellStart"/>
      <w:r w:rsidR="002B3A30" w:rsidRPr="003D2E88">
        <w:rPr>
          <w:rFonts w:ascii="Arial" w:hAnsi="Arial" w:cs="Arial"/>
          <w:szCs w:val="22"/>
        </w:rPr>
        <w:t>organisations</w:t>
      </w:r>
      <w:proofErr w:type="spellEnd"/>
      <w:r w:rsidR="002B3A30" w:rsidRPr="003D2E88">
        <w:rPr>
          <w:rFonts w:ascii="Arial" w:hAnsi="Arial" w:cs="Arial"/>
          <w:szCs w:val="22"/>
        </w:rPr>
        <w:t xml:space="preserve"> that </w:t>
      </w:r>
      <w:proofErr w:type="spellStart"/>
      <w:r w:rsidR="002B3A30" w:rsidRPr="003D2E88">
        <w:rPr>
          <w:rFonts w:ascii="Arial" w:hAnsi="Arial" w:cs="Arial"/>
          <w:szCs w:val="22"/>
        </w:rPr>
        <w:t>underinvest</w:t>
      </w:r>
      <w:proofErr w:type="spellEnd"/>
      <w:r w:rsidR="002B3A30" w:rsidRPr="003D2E88">
        <w:rPr>
          <w:rFonts w:ascii="Arial" w:hAnsi="Arial" w:cs="Arial"/>
          <w:szCs w:val="22"/>
        </w:rPr>
        <w:t xml:space="preserve"> in engagement often incur hidden costs through turnover and reduced morale (CIPD, 2023). In my analysis, Tesco’s consistent internal communication and investment in learning culture have positioned it above many competitors. However, engagement outcomes remain uneven across sites, often reflecting local leadership quality. This observation reinforces the argument by </w:t>
      </w:r>
      <w:proofErr w:type="spellStart"/>
      <w:r w:rsidR="002B3A30" w:rsidRPr="003D2E88">
        <w:rPr>
          <w:rFonts w:ascii="Arial" w:hAnsi="Arial" w:cs="Arial"/>
          <w:szCs w:val="22"/>
        </w:rPr>
        <w:t>By</w:t>
      </w:r>
      <w:proofErr w:type="spellEnd"/>
      <w:r w:rsidR="002B3A30" w:rsidRPr="003D2E88">
        <w:rPr>
          <w:rFonts w:ascii="Arial" w:hAnsi="Arial" w:cs="Arial"/>
          <w:szCs w:val="22"/>
        </w:rPr>
        <w:t xml:space="preserve"> et al. (2016) that successful change requires distributed leadership capability, not reliance on central initiatives alone.</w:t>
      </w:r>
      <w:r w:rsidR="002B3A30" w:rsidRPr="003D2E88">
        <w:rPr>
          <w:rFonts w:ascii="Arial" w:hAnsi="Arial" w:cs="Arial"/>
          <w:szCs w:val="22"/>
        </w:rPr>
        <w:br/>
      </w:r>
      <w:r w:rsidR="002B3A30" w:rsidRPr="003D2E88">
        <w:rPr>
          <w:rFonts w:ascii="Arial" w:hAnsi="Arial" w:cs="Arial"/>
          <w:szCs w:val="22"/>
        </w:rPr>
        <w:br/>
      </w:r>
      <w:r w:rsidR="002B3A30" w:rsidRPr="003D2E88">
        <w:rPr>
          <w:rFonts w:ascii="Arial" w:hAnsi="Arial" w:cs="Arial"/>
          <w:szCs w:val="22"/>
        </w:rPr>
        <w:br/>
      </w:r>
      <w:r w:rsidR="002B3A30" w:rsidRPr="003D2E88">
        <w:rPr>
          <w:rFonts w:ascii="Arial" w:hAnsi="Arial" w:cs="Arial"/>
          <w:szCs w:val="22"/>
        </w:rPr>
        <w:br/>
      </w:r>
      <w:r w:rsidR="002B3A30" w:rsidRPr="00B67326">
        <w:rPr>
          <w:rStyle w:val="Heading2Char"/>
        </w:rPr>
        <w:t xml:space="preserve">4.6 Evaluation of Tesco’s </w:t>
      </w:r>
      <w:r w:rsidR="00BC5F29">
        <w:rPr>
          <w:rStyle w:val="Heading2Char"/>
        </w:rPr>
        <w:t>c</w:t>
      </w:r>
      <w:r w:rsidR="002B3A30" w:rsidRPr="00B67326">
        <w:rPr>
          <w:rStyle w:val="Heading2Char"/>
        </w:rPr>
        <w:t xml:space="preserve">hange </w:t>
      </w:r>
      <w:r w:rsidR="00BC5F29">
        <w:rPr>
          <w:rStyle w:val="Heading2Char"/>
        </w:rPr>
        <w:t>m</w:t>
      </w:r>
      <w:r w:rsidR="002B3A30" w:rsidRPr="00B67326">
        <w:rPr>
          <w:rStyle w:val="Heading2Char"/>
        </w:rPr>
        <w:t xml:space="preserve">anagement </w:t>
      </w:r>
      <w:r w:rsidR="00BC5F29">
        <w:rPr>
          <w:rStyle w:val="Heading2Char"/>
        </w:rPr>
        <w:t>f</w:t>
      </w:r>
      <w:r w:rsidR="002B3A30" w:rsidRPr="00B67326">
        <w:rPr>
          <w:rStyle w:val="Heading2Char"/>
        </w:rPr>
        <w:t>ramework</w:t>
      </w:r>
      <w:r w:rsidR="002B3A30" w:rsidRPr="003D2E88">
        <w:rPr>
          <w:rFonts w:ascii="Arial" w:hAnsi="Arial" w:cs="Arial"/>
          <w:szCs w:val="22"/>
        </w:rPr>
        <w:br/>
      </w:r>
      <w:r w:rsidR="002B3A30" w:rsidRPr="003D2E88">
        <w:rPr>
          <w:rFonts w:ascii="Arial" w:hAnsi="Arial" w:cs="Arial"/>
          <w:szCs w:val="22"/>
        </w:rPr>
        <w:br/>
        <w:t>This section evaluates how Tesco’s approach aligns with established change-management theories. Through the systematic literature review, I identified Kotter’s (1996) Eight-Step Model, Hiatt’s (2006) ADKAR framework, and Lewin’s (1951) Three-Step Model as the most relevant lenses.</w:t>
      </w:r>
      <w:r w:rsidR="002B3A30" w:rsidRPr="003D2E88">
        <w:rPr>
          <w:rFonts w:ascii="Arial" w:hAnsi="Arial" w:cs="Arial"/>
          <w:szCs w:val="22"/>
        </w:rPr>
        <w:br/>
      </w:r>
      <w:r w:rsidR="002B3A30" w:rsidRPr="003D2E88">
        <w:rPr>
          <w:rStyle w:val="Heading3Char"/>
          <w:rFonts w:ascii="Arial" w:hAnsi="Arial" w:cs="Arial"/>
          <w:szCs w:val="22"/>
        </w:rPr>
        <w:br/>
      </w:r>
      <w:r w:rsidR="002B3A30" w:rsidRPr="00B67326">
        <w:rPr>
          <w:rStyle w:val="Heading2Char"/>
        </w:rPr>
        <w:t xml:space="preserve">4.6.1 Alignment with Kotter’s </w:t>
      </w:r>
      <w:r w:rsidR="00BC5F29">
        <w:rPr>
          <w:rStyle w:val="Heading2Char"/>
        </w:rPr>
        <w:t>m</w:t>
      </w:r>
      <w:r w:rsidR="002B3A30" w:rsidRPr="00B67326">
        <w:rPr>
          <w:rStyle w:val="Heading2Char"/>
        </w:rPr>
        <w:t>odel</w:t>
      </w:r>
      <w:r w:rsidR="002B3A30" w:rsidRPr="003D2E88">
        <w:rPr>
          <w:rFonts w:ascii="Arial" w:hAnsi="Arial" w:cs="Arial"/>
          <w:szCs w:val="22"/>
        </w:rPr>
        <w:br/>
      </w:r>
      <w:r w:rsidR="002B3A30" w:rsidRPr="003D2E88">
        <w:rPr>
          <w:rFonts w:ascii="Arial" w:hAnsi="Arial" w:cs="Arial"/>
          <w:szCs w:val="22"/>
        </w:rPr>
        <w:br/>
        <w:t xml:space="preserve">Tesco’s process demonstrates clear alignment with several of Kotter’s stages.  The creation of urgency has been achieved through transparent communication of competitive and sustainability pressures. Guiding coalitions exist in the form of cross-functional leadership teams overseeing automation projects. Short-term wins, such as reduced lead times or energy savings, have been publicly celebrated, reinforcing motivation.  However, as noted earlier, embedding change (“anchoring new approaches in the culture”) remains a challenge. Kotter (2012) stresses that without </w:t>
      </w:r>
      <w:proofErr w:type="spellStart"/>
      <w:r w:rsidR="002B3A30" w:rsidRPr="003D2E88">
        <w:rPr>
          <w:rFonts w:ascii="Arial" w:hAnsi="Arial" w:cs="Arial"/>
          <w:szCs w:val="22"/>
        </w:rPr>
        <w:t>institutionalisation</w:t>
      </w:r>
      <w:proofErr w:type="spellEnd"/>
      <w:r w:rsidR="002B3A30" w:rsidRPr="003D2E88">
        <w:rPr>
          <w:rFonts w:ascii="Arial" w:hAnsi="Arial" w:cs="Arial"/>
          <w:szCs w:val="22"/>
        </w:rPr>
        <w:t>, gains may regress.  I believe Tesco’s long-term success will depend on making adaptability a permanent competency rather than a temporary response to disruption.</w:t>
      </w:r>
      <w:r w:rsidR="002B3A30" w:rsidRPr="003D2E88">
        <w:rPr>
          <w:rFonts w:ascii="Arial" w:hAnsi="Arial" w:cs="Arial"/>
          <w:szCs w:val="22"/>
        </w:rPr>
        <w:br/>
      </w:r>
      <w:r w:rsidR="002B3A30" w:rsidRPr="003D2E88">
        <w:rPr>
          <w:rFonts w:ascii="Arial" w:hAnsi="Arial" w:cs="Arial"/>
          <w:szCs w:val="22"/>
        </w:rPr>
        <w:br/>
      </w:r>
      <w:r w:rsidR="002B3A30" w:rsidRPr="00B67326">
        <w:rPr>
          <w:rStyle w:val="Heading2Char"/>
        </w:rPr>
        <w:t xml:space="preserve">4.6.2 Application of the ADKAR </w:t>
      </w:r>
      <w:r w:rsidR="00E06C33">
        <w:rPr>
          <w:rStyle w:val="Heading2Char"/>
        </w:rPr>
        <w:t>m</w:t>
      </w:r>
      <w:r w:rsidR="002B3A30" w:rsidRPr="00B67326">
        <w:rPr>
          <w:rStyle w:val="Heading2Char"/>
        </w:rPr>
        <w:t>odel</w:t>
      </w:r>
      <w:r w:rsidR="002B3A30" w:rsidRPr="003D2E88">
        <w:rPr>
          <w:rStyle w:val="Heading3Char"/>
          <w:rFonts w:ascii="Arial" w:hAnsi="Arial" w:cs="Arial"/>
          <w:szCs w:val="22"/>
        </w:rPr>
        <w:br/>
      </w:r>
      <w:r w:rsidR="002B3A30" w:rsidRPr="003D2E88">
        <w:rPr>
          <w:rFonts w:ascii="Arial" w:hAnsi="Arial" w:cs="Arial"/>
          <w:szCs w:val="22"/>
        </w:rPr>
        <w:br/>
        <w:t xml:space="preserve">The ADKAR model provides a useful diagnostic of individual change readiness.  Tesco’s extensive training </w:t>
      </w:r>
      <w:proofErr w:type="spellStart"/>
      <w:r w:rsidR="002B3A30" w:rsidRPr="003D2E88">
        <w:rPr>
          <w:rFonts w:ascii="Arial" w:hAnsi="Arial" w:cs="Arial"/>
          <w:szCs w:val="22"/>
        </w:rPr>
        <w:t>programmes</w:t>
      </w:r>
      <w:proofErr w:type="spellEnd"/>
      <w:r w:rsidR="002B3A30" w:rsidRPr="003D2E88">
        <w:rPr>
          <w:rFonts w:ascii="Arial" w:hAnsi="Arial" w:cs="Arial"/>
          <w:szCs w:val="22"/>
        </w:rPr>
        <w:t xml:space="preserve"> address the Knowledge and Ability components effectively, while communication campaigns foster Awareness and Desire. Yet, Reinforcement</w:t>
      </w:r>
      <w:r w:rsidR="00E631D5">
        <w:rPr>
          <w:rFonts w:ascii="Arial" w:hAnsi="Arial" w:cs="Arial"/>
          <w:szCs w:val="22"/>
        </w:rPr>
        <w:t xml:space="preserve">, </w:t>
      </w:r>
      <w:r w:rsidR="002B3A30" w:rsidRPr="003D2E88">
        <w:rPr>
          <w:rFonts w:ascii="Arial" w:hAnsi="Arial" w:cs="Arial"/>
          <w:szCs w:val="22"/>
        </w:rPr>
        <w:t>the final stage</w:t>
      </w:r>
      <w:r w:rsidR="00E631D5">
        <w:rPr>
          <w:rFonts w:ascii="Arial" w:hAnsi="Arial" w:cs="Arial"/>
          <w:szCs w:val="22"/>
        </w:rPr>
        <w:t xml:space="preserve">, </w:t>
      </w:r>
      <w:r w:rsidR="002B3A30" w:rsidRPr="003D2E88">
        <w:rPr>
          <w:rFonts w:ascii="Arial" w:hAnsi="Arial" w:cs="Arial"/>
          <w:szCs w:val="22"/>
        </w:rPr>
        <w:t xml:space="preserve">requires continuous recognition and reward structures. Hiatt (2006) </w:t>
      </w:r>
      <w:proofErr w:type="spellStart"/>
      <w:r w:rsidR="002B3A30" w:rsidRPr="003D2E88">
        <w:rPr>
          <w:rFonts w:ascii="Arial" w:hAnsi="Arial" w:cs="Arial"/>
          <w:szCs w:val="22"/>
        </w:rPr>
        <w:t>emphasises</w:t>
      </w:r>
      <w:proofErr w:type="spellEnd"/>
      <w:r w:rsidR="002B3A30" w:rsidRPr="003D2E88">
        <w:rPr>
          <w:rFonts w:ascii="Arial" w:hAnsi="Arial" w:cs="Arial"/>
          <w:szCs w:val="22"/>
        </w:rPr>
        <w:t xml:space="preserve"> that </w:t>
      </w:r>
      <w:proofErr w:type="spellStart"/>
      <w:r w:rsidR="002B3A30" w:rsidRPr="003D2E88">
        <w:rPr>
          <w:rFonts w:ascii="Arial" w:hAnsi="Arial" w:cs="Arial"/>
          <w:szCs w:val="22"/>
        </w:rPr>
        <w:lastRenderedPageBreak/>
        <w:t>behavioural</w:t>
      </w:r>
      <w:proofErr w:type="spellEnd"/>
      <w:r w:rsidR="002B3A30" w:rsidRPr="003D2E88">
        <w:rPr>
          <w:rFonts w:ascii="Arial" w:hAnsi="Arial" w:cs="Arial"/>
          <w:szCs w:val="22"/>
        </w:rPr>
        <w:t xml:space="preserve"> reinforcement is essential to prevent relapse into old habits. In my assessment, Tesco’s evolving performance review systems could better integrate </w:t>
      </w:r>
      <w:proofErr w:type="spellStart"/>
      <w:r w:rsidR="002B3A30" w:rsidRPr="003D2E88">
        <w:rPr>
          <w:rFonts w:ascii="Arial" w:hAnsi="Arial" w:cs="Arial"/>
          <w:szCs w:val="22"/>
        </w:rPr>
        <w:t>behavioural</w:t>
      </w:r>
      <w:proofErr w:type="spellEnd"/>
      <w:r w:rsidR="002B3A30" w:rsidRPr="003D2E88">
        <w:rPr>
          <w:rFonts w:ascii="Arial" w:hAnsi="Arial" w:cs="Arial"/>
          <w:szCs w:val="22"/>
        </w:rPr>
        <w:t xml:space="preserve"> indicators of adaptability alongside traditional productivity metrics.</w:t>
      </w:r>
      <w:r w:rsidR="002B3A30" w:rsidRPr="003D2E88">
        <w:rPr>
          <w:rFonts w:ascii="Arial" w:hAnsi="Arial" w:cs="Arial"/>
          <w:szCs w:val="22"/>
        </w:rPr>
        <w:br/>
      </w:r>
      <w:r w:rsidR="002B3A30" w:rsidRPr="003D2E88">
        <w:rPr>
          <w:rFonts w:ascii="Arial" w:hAnsi="Arial" w:cs="Arial"/>
          <w:szCs w:val="22"/>
        </w:rPr>
        <w:br/>
      </w:r>
      <w:r w:rsidR="002B3A30" w:rsidRPr="00B67326">
        <w:rPr>
          <w:rStyle w:val="Heading2Char"/>
        </w:rPr>
        <w:t xml:space="preserve">4.6.3 Integration with Lewin’s </w:t>
      </w:r>
      <w:r w:rsidR="00E06C33">
        <w:rPr>
          <w:rStyle w:val="Heading2Char"/>
        </w:rPr>
        <w:t>f</w:t>
      </w:r>
      <w:r w:rsidR="002B3A30" w:rsidRPr="00B67326">
        <w:rPr>
          <w:rStyle w:val="Heading2Char"/>
        </w:rPr>
        <w:t>ramework</w:t>
      </w:r>
      <w:r w:rsidR="002B3A30" w:rsidRPr="003D2E88">
        <w:rPr>
          <w:rFonts w:ascii="Arial" w:hAnsi="Arial" w:cs="Arial"/>
          <w:szCs w:val="22"/>
        </w:rPr>
        <w:br/>
      </w:r>
      <w:r w:rsidR="002B3A30" w:rsidRPr="003D2E88">
        <w:rPr>
          <w:rFonts w:ascii="Arial" w:hAnsi="Arial" w:cs="Arial"/>
          <w:szCs w:val="22"/>
        </w:rPr>
        <w:br/>
        <w:t>Lewin’s (1951) three-phase process</w:t>
      </w:r>
      <w:r w:rsidR="00C46DBE" w:rsidRPr="003D2E88">
        <w:rPr>
          <w:rFonts w:ascii="Arial" w:hAnsi="Arial" w:cs="Arial"/>
          <w:szCs w:val="22"/>
        </w:rPr>
        <w:t xml:space="preserve">: </w:t>
      </w:r>
      <w:r w:rsidR="002B3A30" w:rsidRPr="003D2E88">
        <w:rPr>
          <w:rFonts w:ascii="Arial" w:hAnsi="Arial" w:cs="Arial"/>
          <w:szCs w:val="22"/>
        </w:rPr>
        <w:t>unfreezing, changing, and refreezing</w:t>
      </w:r>
      <w:r w:rsidR="00C46DBE" w:rsidRPr="003D2E88">
        <w:rPr>
          <w:rFonts w:ascii="Arial" w:hAnsi="Arial" w:cs="Arial"/>
          <w:szCs w:val="22"/>
        </w:rPr>
        <w:t xml:space="preserve">, </w:t>
      </w:r>
      <w:r w:rsidR="002B3A30" w:rsidRPr="003D2E88">
        <w:rPr>
          <w:rFonts w:ascii="Arial" w:hAnsi="Arial" w:cs="Arial"/>
          <w:szCs w:val="22"/>
        </w:rPr>
        <w:t xml:space="preserve">offers a macro-level understanding. Tesco’s strategy of phased automation and cultural adaptation mirrors this cyclical logic. However, I agree with Cummings, Bridgman and Brown (2016) that in dynamic industries, the “refreezing” stage may be counterproductive; </w:t>
      </w:r>
      <w:proofErr w:type="spellStart"/>
      <w:r w:rsidR="002B3A30" w:rsidRPr="003D2E88">
        <w:rPr>
          <w:rFonts w:ascii="Arial" w:hAnsi="Arial" w:cs="Arial"/>
          <w:szCs w:val="22"/>
        </w:rPr>
        <w:t>organisations</w:t>
      </w:r>
      <w:proofErr w:type="spellEnd"/>
      <w:r w:rsidR="002B3A30" w:rsidRPr="003D2E88">
        <w:rPr>
          <w:rFonts w:ascii="Arial" w:hAnsi="Arial" w:cs="Arial"/>
          <w:szCs w:val="22"/>
        </w:rPr>
        <w:t xml:space="preserve"> like Tesco must remain in a semi-fluid state. Consequently, I propose that Tesco’s model represents an evolution beyond Lewin’s paradigm</w:t>
      </w:r>
      <w:r w:rsidR="007E1DED" w:rsidRPr="003D2E88">
        <w:rPr>
          <w:rFonts w:ascii="Arial" w:hAnsi="Arial" w:cs="Arial"/>
          <w:szCs w:val="22"/>
        </w:rPr>
        <w:t xml:space="preserve">, </w:t>
      </w:r>
      <w:r w:rsidR="002B3A30" w:rsidRPr="003D2E88">
        <w:rPr>
          <w:rFonts w:ascii="Arial" w:hAnsi="Arial" w:cs="Arial"/>
          <w:szCs w:val="22"/>
        </w:rPr>
        <w:t>toward what Burnes (2017) terms “continuous transformation,” where stability and change coexist.</w:t>
      </w:r>
      <w:r w:rsidR="002B3A30" w:rsidRPr="003D2E88">
        <w:rPr>
          <w:rFonts w:ascii="Arial" w:hAnsi="Arial" w:cs="Arial"/>
          <w:szCs w:val="22"/>
        </w:rPr>
        <w:br/>
      </w:r>
      <w:r w:rsidR="002B3A30" w:rsidRPr="003D2E88">
        <w:rPr>
          <w:rFonts w:ascii="Arial" w:hAnsi="Arial" w:cs="Arial"/>
          <w:szCs w:val="22"/>
        </w:rPr>
        <w:br/>
      </w:r>
      <w:r w:rsidR="002B3A30" w:rsidRPr="00B67326">
        <w:rPr>
          <w:rStyle w:val="Heading2Char"/>
        </w:rPr>
        <w:t xml:space="preserve">4.6.4 Critical </w:t>
      </w:r>
      <w:r w:rsidR="00E06C33">
        <w:rPr>
          <w:rStyle w:val="Heading2Char"/>
        </w:rPr>
        <w:t>s</w:t>
      </w:r>
      <w:r w:rsidR="002B3A30" w:rsidRPr="00B67326">
        <w:rPr>
          <w:rStyle w:val="Heading2Char"/>
        </w:rPr>
        <w:t>ynthesis</w:t>
      </w:r>
      <w:r w:rsidR="002B3A30" w:rsidRPr="003D2E88">
        <w:rPr>
          <w:rFonts w:ascii="Arial" w:hAnsi="Arial" w:cs="Arial"/>
          <w:szCs w:val="22"/>
        </w:rPr>
        <w:br/>
      </w:r>
      <w:r w:rsidR="002B3A30" w:rsidRPr="003D2E88">
        <w:rPr>
          <w:rFonts w:ascii="Arial" w:hAnsi="Arial" w:cs="Arial"/>
          <w:szCs w:val="22"/>
        </w:rPr>
        <w:br/>
        <w:t>Overall, Tesco’s framework exemplifies a hybrid model that integrates structural efficiency with human-</w:t>
      </w:r>
      <w:proofErr w:type="spellStart"/>
      <w:r w:rsidR="002B3A30" w:rsidRPr="003D2E88">
        <w:rPr>
          <w:rFonts w:ascii="Arial" w:hAnsi="Arial" w:cs="Arial"/>
          <w:szCs w:val="22"/>
        </w:rPr>
        <w:t>centred</w:t>
      </w:r>
      <w:proofErr w:type="spellEnd"/>
      <w:r w:rsidR="002B3A30" w:rsidRPr="003D2E88">
        <w:rPr>
          <w:rFonts w:ascii="Arial" w:hAnsi="Arial" w:cs="Arial"/>
          <w:szCs w:val="22"/>
        </w:rPr>
        <w:t xml:space="preserve"> adaptation. Its key strength lies in strategic alignment</w:t>
      </w:r>
      <w:r w:rsidR="007E1DED" w:rsidRPr="003D2E88">
        <w:rPr>
          <w:rFonts w:ascii="Arial" w:hAnsi="Arial" w:cs="Arial"/>
          <w:szCs w:val="22"/>
        </w:rPr>
        <w:t>, l</w:t>
      </w:r>
      <w:r w:rsidR="002B3A30" w:rsidRPr="003D2E88">
        <w:rPr>
          <w:rFonts w:ascii="Arial" w:hAnsi="Arial" w:cs="Arial"/>
          <w:szCs w:val="22"/>
        </w:rPr>
        <w:t xml:space="preserve">inking corporate purpose with operational change. The primary weakness, in my view, is the uneven pace of cultural integration across sites and managerial levels. Sustaining transformation will require embedding adaptive leadership competencies at every </w:t>
      </w:r>
      <w:proofErr w:type="spellStart"/>
      <w:r w:rsidR="002B3A30" w:rsidRPr="003D2E88">
        <w:rPr>
          <w:rFonts w:ascii="Arial" w:hAnsi="Arial" w:cs="Arial"/>
          <w:szCs w:val="22"/>
        </w:rPr>
        <w:t>organisational</w:t>
      </w:r>
      <w:proofErr w:type="spellEnd"/>
      <w:r w:rsidR="002B3A30" w:rsidRPr="003D2E88">
        <w:rPr>
          <w:rFonts w:ascii="Arial" w:hAnsi="Arial" w:cs="Arial"/>
          <w:szCs w:val="22"/>
        </w:rPr>
        <w:t xml:space="preserve"> tier, reinforcing the idea that change is everyone’s responsibility.</w:t>
      </w:r>
    </w:p>
    <w:p w:rsidR="00FC630A" w:rsidRDefault="00FC630A" w:rsidP="003D2E88">
      <w:pPr>
        <w:pStyle w:val="NormalWeb"/>
        <w:spacing w:line="360" w:lineRule="auto"/>
        <w:rPr>
          <w:rFonts w:ascii="Arial" w:hAnsi="Arial" w:cs="Arial"/>
          <w:szCs w:val="22"/>
        </w:rPr>
      </w:pPr>
      <w:r>
        <w:rPr>
          <w:rFonts w:ascii="Arial" w:hAnsi="Arial" w:cs="Arial"/>
          <w:noProof/>
          <w:szCs w:val="22"/>
        </w:rPr>
        <w:drawing>
          <wp:inline distT="0" distB="0" distL="0" distR="0">
            <wp:extent cx="5762625" cy="1800225"/>
            <wp:effectExtent l="0" t="0" r="9525" b="9525"/>
            <wp:docPr id="102437042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62625" cy="1800225"/>
                    </a:xfrm>
                    <a:prstGeom prst="rect">
                      <a:avLst/>
                    </a:prstGeom>
                    <a:noFill/>
                    <a:ln>
                      <a:noFill/>
                    </a:ln>
                  </pic:spPr>
                </pic:pic>
              </a:graphicData>
            </a:graphic>
          </wp:inline>
        </w:drawing>
      </w:r>
    </w:p>
    <w:p w:rsidR="002B3A30" w:rsidRPr="00FC630A" w:rsidRDefault="00FC630A" w:rsidP="003D2E88">
      <w:pPr>
        <w:pStyle w:val="NormalWeb"/>
        <w:spacing w:line="360" w:lineRule="auto"/>
        <w:rPr>
          <w:rFonts w:ascii="Arial" w:hAnsi="Arial" w:cs="Arial"/>
          <w:i/>
          <w:iCs/>
          <w:szCs w:val="22"/>
        </w:rPr>
      </w:pPr>
      <w:r w:rsidRPr="00FC630A">
        <w:rPr>
          <w:rFonts w:ascii="Arial" w:hAnsi="Arial" w:cs="Arial"/>
          <w:i/>
          <w:iCs/>
          <w:szCs w:val="22"/>
          <w:lang w:val="en-GB"/>
        </w:rPr>
        <w:t xml:space="preserve">Table 4.6 </w:t>
      </w:r>
      <w:r w:rsidR="00501239">
        <w:rPr>
          <w:rFonts w:ascii="Arial" w:hAnsi="Arial" w:cs="Arial"/>
          <w:i/>
          <w:iCs/>
          <w:szCs w:val="22"/>
          <w:lang w:val="en-GB"/>
        </w:rPr>
        <w:t xml:space="preserve"> by the Author, </w:t>
      </w:r>
      <w:r w:rsidRPr="00FC630A">
        <w:rPr>
          <w:rFonts w:ascii="Arial" w:hAnsi="Arial" w:cs="Arial"/>
          <w:i/>
          <w:iCs/>
          <w:szCs w:val="22"/>
          <w:lang w:val="en-GB"/>
        </w:rPr>
        <w:t xml:space="preserve">illustrates how Tesco’s change practices align with key theoretical change management models, including Lewin’s Three-Stage Model, Kotter’s Eight-Step Process, and the ADKAR framework. The alignment demonstrates that Tesco adopts a hybrid approach to organisational change, blending structured top-down change (Kotter) with iterative behavioural reinforcement (ADKAR) and macro-level strategic readiness (Lewin). </w:t>
      </w:r>
      <w:r w:rsidRPr="00FC630A">
        <w:rPr>
          <w:rFonts w:ascii="Arial" w:hAnsi="Arial" w:cs="Arial"/>
          <w:i/>
          <w:iCs/>
          <w:szCs w:val="22"/>
          <w:lang w:val="en-GB"/>
        </w:rPr>
        <w:lastRenderedPageBreak/>
        <w:t>Despite strong alignment in areas such as urgency creation, communication, and capability building, the table reveals that reinforcement remains a development area. While change is successfully initiated and implemented, the sustainability of new behaviours depends on continuous reinforcement mechanisms, learning loops, and performance tracking. This confirms that Tesco’s approach is not rigidly model-driven but adaptive, responsive, and influenced by operational realities.</w:t>
      </w:r>
      <w:r w:rsidR="002B3A30" w:rsidRPr="00FC630A">
        <w:rPr>
          <w:rFonts w:ascii="Arial" w:hAnsi="Arial" w:cs="Arial"/>
          <w:i/>
          <w:iCs/>
          <w:szCs w:val="22"/>
        </w:rPr>
        <w:br/>
      </w:r>
    </w:p>
    <w:p w:rsidR="00B67326" w:rsidRDefault="002B3A30" w:rsidP="003D2E88">
      <w:pPr>
        <w:pStyle w:val="NormalWeb"/>
        <w:spacing w:line="360" w:lineRule="auto"/>
        <w:rPr>
          <w:rFonts w:ascii="Arial" w:hAnsi="Arial" w:cs="Arial"/>
          <w:szCs w:val="22"/>
        </w:rPr>
      </w:pPr>
      <w:r w:rsidRPr="003D2E88">
        <w:rPr>
          <w:rFonts w:ascii="Arial" w:hAnsi="Arial" w:cs="Arial"/>
          <w:szCs w:val="22"/>
        </w:rPr>
        <w:br/>
      </w:r>
      <w:r w:rsidRPr="003D2E88">
        <w:rPr>
          <w:rFonts w:ascii="Arial" w:hAnsi="Arial" w:cs="Arial"/>
          <w:szCs w:val="22"/>
        </w:rPr>
        <w:br/>
      </w:r>
      <w:bookmarkStart w:id="19" w:name="_Toc214295761"/>
      <w:r w:rsidRPr="00B67326">
        <w:rPr>
          <w:rStyle w:val="Heading2Char"/>
        </w:rPr>
        <w:t xml:space="preserve">4.7 Summary of </w:t>
      </w:r>
      <w:r w:rsidR="00E06C33">
        <w:rPr>
          <w:rStyle w:val="Heading2Char"/>
        </w:rPr>
        <w:t>k</w:t>
      </w:r>
      <w:r w:rsidRPr="00B67326">
        <w:rPr>
          <w:rStyle w:val="Heading2Char"/>
        </w:rPr>
        <w:t xml:space="preserve">ey </w:t>
      </w:r>
      <w:r w:rsidR="00E06C33">
        <w:rPr>
          <w:rStyle w:val="Heading2Char"/>
        </w:rPr>
        <w:t>i</w:t>
      </w:r>
      <w:r w:rsidRPr="00B67326">
        <w:rPr>
          <w:rStyle w:val="Heading2Char"/>
        </w:rPr>
        <w:t>nsights</w:t>
      </w:r>
      <w:bookmarkEnd w:id="19"/>
      <w:r w:rsidRPr="003D2E88">
        <w:rPr>
          <w:rFonts w:ascii="Arial" w:hAnsi="Arial" w:cs="Arial"/>
          <w:szCs w:val="22"/>
        </w:rPr>
        <w:br/>
      </w:r>
      <w:r w:rsidRPr="003D2E88">
        <w:rPr>
          <w:rFonts w:ascii="Arial" w:hAnsi="Arial" w:cs="Arial"/>
          <w:szCs w:val="22"/>
        </w:rPr>
        <w:br/>
        <w:t xml:space="preserve">This chapter has critically </w:t>
      </w:r>
      <w:proofErr w:type="spellStart"/>
      <w:r w:rsidRPr="003D2E88">
        <w:rPr>
          <w:rFonts w:ascii="Arial" w:hAnsi="Arial" w:cs="Arial"/>
          <w:szCs w:val="22"/>
        </w:rPr>
        <w:t>analysed</w:t>
      </w:r>
      <w:proofErr w:type="spellEnd"/>
      <w:r w:rsidRPr="003D2E88">
        <w:rPr>
          <w:rFonts w:ascii="Arial" w:hAnsi="Arial" w:cs="Arial"/>
          <w:szCs w:val="22"/>
        </w:rPr>
        <w:t xml:space="preserve"> findings from the systematic literature review to evaluate how Tesco manages </w:t>
      </w:r>
      <w:proofErr w:type="spellStart"/>
      <w:r w:rsidRPr="003D2E88">
        <w:rPr>
          <w:rFonts w:ascii="Arial" w:hAnsi="Arial" w:cs="Arial"/>
          <w:szCs w:val="22"/>
        </w:rPr>
        <w:t>organisational</w:t>
      </w:r>
      <w:proofErr w:type="spellEnd"/>
      <w:r w:rsidRPr="003D2E88">
        <w:rPr>
          <w:rFonts w:ascii="Arial" w:hAnsi="Arial" w:cs="Arial"/>
          <w:szCs w:val="22"/>
        </w:rPr>
        <w:t xml:space="preserve"> change within its retail logistics operations. The analysis revealed that:</w:t>
      </w:r>
    </w:p>
    <w:p w:rsidR="002B3A30" w:rsidRDefault="002B3A30" w:rsidP="003D2E88">
      <w:pPr>
        <w:pStyle w:val="NormalWeb"/>
        <w:spacing w:line="360" w:lineRule="auto"/>
        <w:rPr>
          <w:rFonts w:ascii="Arial" w:hAnsi="Arial" w:cs="Arial"/>
          <w:szCs w:val="22"/>
        </w:rPr>
      </w:pPr>
      <w:r w:rsidRPr="003D2E88">
        <w:rPr>
          <w:rFonts w:ascii="Arial" w:hAnsi="Arial" w:cs="Arial"/>
          <w:szCs w:val="22"/>
        </w:rPr>
        <w:br/>
        <w:t>• External drivers such as technological innovation, market volatility, and sustainability obligations are shaping Tesco’s transformation agenda.</w:t>
      </w:r>
      <w:r w:rsidRPr="003D2E88">
        <w:rPr>
          <w:rFonts w:ascii="Arial" w:hAnsi="Arial" w:cs="Arial"/>
          <w:szCs w:val="22"/>
        </w:rPr>
        <w:br/>
        <w:t>• Leadership and communication act as the linchpins of success, but their effectiveness depends on authenticity, feedback, and continuous reinforcement.</w:t>
      </w:r>
      <w:r w:rsidRPr="003D2E88">
        <w:rPr>
          <w:rFonts w:ascii="Arial" w:hAnsi="Arial" w:cs="Arial"/>
          <w:szCs w:val="22"/>
        </w:rPr>
        <w:br/>
        <w:t>• Technological transformation delivers measurable efficiencies but also requires sustained investment in workforce adaptation and cultural alignment.</w:t>
      </w:r>
      <w:r w:rsidRPr="003D2E88">
        <w:rPr>
          <w:rFonts w:ascii="Arial" w:hAnsi="Arial" w:cs="Arial"/>
          <w:szCs w:val="22"/>
        </w:rPr>
        <w:br/>
        <w:t>• Employee engagement emerges as both a challenge and an opportunity: when managed proactively, it converts resistance into constructive participation.</w:t>
      </w:r>
      <w:r w:rsidRPr="003D2E88">
        <w:rPr>
          <w:rFonts w:ascii="Arial" w:hAnsi="Arial" w:cs="Arial"/>
          <w:szCs w:val="22"/>
        </w:rPr>
        <w:br/>
        <w:t>• Theoretical alignment with established change models is evident, yet Tesco’s real-world practice reflects a more fluid, iterative form of transformation suited to the digital logistics era.</w:t>
      </w:r>
      <w:r w:rsidRPr="003D2E88">
        <w:rPr>
          <w:rFonts w:ascii="Arial" w:hAnsi="Arial" w:cs="Arial"/>
          <w:szCs w:val="22"/>
        </w:rPr>
        <w:br/>
      </w:r>
      <w:r w:rsidRPr="003D2E88">
        <w:rPr>
          <w:rFonts w:ascii="Arial" w:hAnsi="Arial" w:cs="Arial"/>
          <w:szCs w:val="22"/>
        </w:rPr>
        <w:br/>
        <w:t xml:space="preserve">In my critical judgement, Tesco’s approach to managing change represents a strong, adaptive framework that balances operational imperatives with human dynamics.  However, maintaining momentum will depend on continuous leadership development, learning culture expansion, and the </w:t>
      </w:r>
      <w:proofErr w:type="spellStart"/>
      <w:r w:rsidRPr="003D2E88">
        <w:rPr>
          <w:rFonts w:ascii="Arial" w:hAnsi="Arial" w:cs="Arial"/>
          <w:szCs w:val="22"/>
        </w:rPr>
        <w:t>normalisation</w:t>
      </w:r>
      <w:proofErr w:type="spellEnd"/>
      <w:r w:rsidRPr="003D2E88">
        <w:rPr>
          <w:rFonts w:ascii="Arial" w:hAnsi="Arial" w:cs="Arial"/>
          <w:szCs w:val="22"/>
        </w:rPr>
        <w:t xml:space="preserve"> of agility as a core </w:t>
      </w:r>
      <w:proofErr w:type="spellStart"/>
      <w:r w:rsidRPr="003D2E88">
        <w:rPr>
          <w:rFonts w:ascii="Arial" w:hAnsi="Arial" w:cs="Arial"/>
          <w:szCs w:val="22"/>
        </w:rPr>
        <w:t>organisational</w:t>
      </w:r>
      <w:proofErr w:type="spellEnd"/>
      <w:r w:rsidRPr="003D2E88">
        <w:rPr>
          <w:rFonts w:ascii="Arial" w:hAnsi="Arial" w:cs="Arial"/>
          <w:szCs w:val="22"/>
        </w:rPr>
        <w:t xml:space="preserve"> value.</w:t>
      </w:r>
      <w:r w:rsidRPr="003D2E88">
        <w:rPr>
          <w:rFonts w:ascii="Arial" w:hAnsi="Arial" w:cs="Arial"/>
          <w:szCs w:val="22"/>
        </w:rPr>
        <w:br/>
      </w:r>
      <w:r w:rsidRPr="003D2E88">
        <w:rPr>
          <w:rFonts w:ascii="Arial" w:hAnsi="Arial" w:cs="Arial"/>
          <w:szCs w:val="22"/>
        </w:rPr>
        <w:br/>
      </w:r>
      <w:r w:rsidRPr="003D2E88">
        <w:rPr>
          <w:rFonts w:ascii="Arial" w:hAnsi="Arial" w:cs="Arial"/>
          <w:szCs w:val="22"/>
        </w:rPr>
        <w:br/>
      </w:r>
      <w:r w:rsidRPr="003D2E88">
        <w:rPr>
          <w:rFonts w:ascii="Arial" w:hAnsi="Arial" w:cs="Arial"/>
          <w:szCs w:val="22"/>
        </w:rPr>
        <w:br/>
        <w:t xml:space="preserve">The following chapter will draw upon these analytical insights to present the conclusions and recommendations, consolidating how the research findings contribute to theoretical </w:t>
      </w:r>
      <w:r w:rsidRPr="003D2E88">
        <w:rPr>
          <w:rFonts w:ascii="Arial" w:hAnsi="Arial" w:cs="Arial"/>
          <w:szCs w:val="22"/>
        </w:rPr>
        <w:lastRenderedPageBreak/>
        <w:t>understanding and offering practical guidance for sustaining effective change management in Tesco and the broader retail logistics sector.</w:t>
      </w:r>
    </w:p>
    <w:p w:rsidR="007648BE" w:rsidRDefault="007648BE" w:rsidP="003D2E88">
      <w:pPr>
        <w:pStyle w:val="NormalWeb"/>
        <w:spacing w:line="360" w:lineRule="auto"/>
        <w:rPr>
          <w:rFonts w:ascii="Arial" w:hAnsi="Arial" w:cs="Arial"/>
          <w:szCs w:val="22"/>
        </w:rPr>
      </w:pPr>
    </w:p>
    <w:p w:rsidR="00DA603B" w:rsidRPr="00DA603B" w:rsidRDefault="00DA603B" w:rsidP="00DA603B">
      <w:pPr>
        <w:pStyle w:val="Heading1"/>
      </w:pPr>
      <w:bookmarkStart w:id="20" w:name="_Toc214295762"/>
      <w:r w:rsidRPr="00DA603B">
        <w:t>CHAPTER 5: C</w:t>
      </w:r>
      <w:r w:rsidR="003141EC">
        <w:t>onclusions</w:t>
      </w:r>
      <w:r w:rsidRPr="00DA603B">
        <w:t xml:space="preserve"> </w:t>
      </w:r>
      <w:r w:rsidR="003141EC">
        <w:t>and</w:t>
      </w:r>
      <w:r w:rsidRPr="00DA603B">
        <w:t xml:space="preserve"> </w:t>
      </w:r>
      <w:r w:rsidR="003141EC">
        <w:t>recommendations</w:t>
      </w:r>
      <w:bookmarkEnd w:id="20"/>
    </w:p>
    <w:p w:rsidR="001519C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The findings from this study illustrate that managing organisational change within Tesco’s retail logistics operations is a multidimensional challenge, shaped by both technological innovation and human dynamics.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Observing the operational reality at Tesco Daventry Clothing, coupled with the insights from the systematic literature review, has revealed that successful change is rarely linear. Instead, it emerges from the interplay between strategic foresight, leadership, employee engagement, and iterative learning.</w:t>
      </w:r>
    </w:p>
    <w:p w:rsidR="001519C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Tesco’s response to technological disruption, market volatility, and sustainability pressures demonstrates a proactive and strategic approach. Investments in automation, digital warehouse management systems, and predictive analytics have enabled the company to enhance efficiency while maintaining service reliability. Yet, these technological advances cannot succeed in isolation.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As observed on the ground, employees experience the effects of change directly, and their perceptions and adaptability significantly influence outcomes. Resistance, whether subtle or overt, arises when communication is unclear, training insufficient, or roles appear threatened. In this respect, Tesco’s phased implementation of new systems and commitment to upskilling demonstrates a conscious balance between operational progress and workforce readiness.</w:t>
      </w:r>
    </w:p>
    <w:p w:rsidR="001519C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Leadership emerged as a central theme in both the literature and my observations. Effective change requires more than procedural directives; it depends on credible, consistent, and empathetic leadership that can translate strategic intent into actionable guidance. The “Leading with Purpose” framework, which encourages empowerment and collaboration, reflects a shift from transactional to transformational leadership in logistics operations.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My experience confirms that middle managers serve as critical conduits, interpreting corporate strategy and modelling behaviour that can either foster engagement or amplify resistance. Equally, communication acts as the lifeblood of change, and Tesco’s use of multi-channel messaging, change champions, and feedback loops highlights the importance of ensuring that information flows are both transparent and participatory.</w:t>
      </w:r>
    </w:p>
    <w:p w:rsidR="00143616"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lastRenderedPageBreak/>
        <w:t xml:space="preserve">Reflecting on the alignment between Tesco’s practice and established change management models, it is evident that the company employs a hybrid approach. Kotter’s Eight-Step Model can be seen in the creation of urgency, formation of guiding coalitions, and recognition of short-term wins, while the ADKAR framework is reflected in structured training programmes that build awareness, knowledge, and ability.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Nevertheless, the final stage of reinforcement remains an area where improvement could ensure behavioural change becomes embedded permanently. Lewin’s three-phase model offers a macro-level lens, yet Tesco’s experience suggests that continuous transformation</w:t>
      </w:r>
      <w:r w:rsidR="00142FC4">
        <w:rPr>
          <w:rFonts w:ascii="Arial" w:hAnsi="Arial" w:cs="Arial"/>
          <w:szCs w:val="22"/>
          <w:lang w:val="en-GB"/>
        </w:rPr>
        <w:t xml:space="preserve">, </w:t>
      </w:r>
      <w:r w:rsidRPr="00DA603B">
        <w:rPr>
          <w:rFonts w:ascii="Arial" w:hAnsi="Arial" w:cs="Arial"/>
          <w:szCs w:val="22"/>
          <w:lang w:val="en-GB"/>
        </w:rPr>
        <w:t>a dynamic state between unfreezing, changing, and refreezing</w:t>
      </w:r>
      <w:r w:rsidR="00142FC4">
        <w:rPr>
          <w:rFonts w:ascii="Arial" w:hAnsi="Arial" w:cs="Arial"/>
          <w:szCs w:val="22"/>
          <w:lang w:val="en-GB"/>
        </w:rPr>
        <w:t>,</w:t>
      </w:r>
      <w:r w:rsidRPr="00DA603B">
        <w:rPr>
          <w:rFonts w:ascii="Arial" w:hAnsi="Arial" w:cs="Arial"/>
          <w:szCs w:val="22"/>
          <w:lang w:val="en-GB"/>
        </w:rPr>
        <w:t xml:space="preserve"> is more applicable in a rapidly evolving retail logistics context.</w:t>
      </w:r>
    </w:p>
    <w:p w:rsidR="00142FC4"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From a reflective perspective, observing these processes in situ has provided invaluable insight into the practicalities of organisational change. </w:t>
      </w:r>
    </w:p>
    <w:p w:rsidR="009A23F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Why does change succeed? It succeeds when strategy, technology, and human factors are integrated and when leadership actively cultivates engagement and trust. </w:t>
      </w:r>
    </w:p>
    <w:p w:rsidR="009A23F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When should interventions be applied? Timing is critical: phased initiatives and early communication reduce resistance and enable smoother adoption, while continuous reflection allows adaptation in response to emerging challenges.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Where should focus lie? Localised engagement at the operational site level is essential to translate corporate vision into lived experience, ensuring that employees feel supported and capable amidst technological shifts.</w:t>
      </w:r>
    </w:p>
    <w:p w:rsidR="009A23FA"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Drawing on both literature and observation, the overarching recommendation for Tesco is to continue developing a human-centred, adaptive change framework. This should prioritise sustained leadership development, consistent two-way communication, and reinforcement mechanisms that recognise behavioural as well as operational outcomes. </w:t>
      </w:r>
    </w:p>
    <w:p w:rsidR="00DA603B" w:rsidRP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Embedding reflective practice and learning loops at every level will strengthen resilience and enable the organisation to maintain agility in the face of future disruptions. Specifically, Tesco should continue investing in middle management training, co-designing digital tools with end-users, and monitoring engagement to identify early signs of resistance. Such measures will consolidate both operational efficiency and workforce well-being, ensuring that change is sustainable, ethical, and strategically aligned.</w:t>
      </w:r>
    </w:p>
    <w:p w:rsidR="00CC35B0"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lastRenderedPageBreak/>
        <w:t xml:space="preserve">In conclusion, this study underscores that organisational change is both a structural and human endeavour. Tesco’s hybrid approach demonstrates that large-scale retail logistics transformation is achievable when technological adoption is complemented by leadership, communication, and engagement strategies. Success hinges not on following models rigidly but on embedding adaptive, reflective practices that integrate theory with the lived realities of employees. </w:t>
      </w:r>
    </w:p>
    <w:p w:rsidR="00DA603B" w:rsidRDefault="00DA603B" w:rsidP="00DA603B">
      <w:pPr>
        <w:pStyle w:val="NormalWeb"/>
        <w:spacing w:line="360" w:lineRule="auto"/>
        <w:rPr>
          <w:rFonts w:ascii="Arial" w:hAnsi="Arial" w:cs="Arial"/>
          <w:szCs w:val="22"/>
          <w:lang w:val="en-GB"/>
        </w:rPr>
      </w:pPr>
      <w:r w:rsidRPr="00DA603B">
        <w:rPr>
          <w:rFonts w:ascii="Arial" w:hAnsi="Arial" w:cs="Arial"/>
          <w:szCs w:val="22"/>
          <w:lang w:val="en-GB"/>
        </w:rPr>
        <w:t xml:space="preserve">Observing and analysing Tesco’s experience has reinforced the notion that change is continuous, context-specific, and fundamentally people-centred </w:t>
      </w:r>
      <w:r w:rsidR="00CC35B0">
        <w:rPr>
          <w:rFonts w:ascii="Arial" w:hAnsi="Arial" w:cs="Arial"/>
          <w:szCs w:val="22"/>
          <w:lang w:val="en-GB"/>
        </w:rPr>
        <w:t>and</w:t>
      </w:r>
      <w:r w:rsidRPr="00DA603B">
        <w:rPr>
          <w:rFonts w:ascii="Arial" w:hAnsi="Arial" w:cs="Arial"/>
          <w:szCs w:val="22"/>
          <w:lang w:val="en-GB"/>
        </w:rPr>
        <w:t xml:space="preserve"> a lesson that extends beyond retail logistics into any complex organisational environment.</w:t>
      </w:r>
    </w:p>
    <w:p w:rsidR="002C468A" w:rsidRPr="002C468A" w:rsidRDefault="002C468A" w:rsidP="002C468A">
      <w:pPr>
        <w:pStyle w:val="Heading2"/>
        <w:ind w:left="0" w:firstLine="0"/>
        <w:jc w:val="left"/>
      </w:pPr>
      <w:bookmarkStart w:id="21" w:name="_Toc214295763"/>
      <w:r>
        <w:t xml:space="preserve">5.1 </w:t>
      </w:r>
      <w:r w:rsidRPr="002C468A">
        <w:t xml:space="preserve">Personal </w:t>
      </w:r>
      <w:r w:rsidR="003141EC">
        <w:t>r</w:t>
      </w:r>
      <w:r w:rsidRPr="002C468A">
        <w:t>eflection</w:t>
      </w:r>
      <w:bookmarkEnd w:id="21"/>
    </w:p>
    <w:p w:rsidR="002C468A" w:rsidRDefault="002C468A" w:rsidP="002C468A">
      <w:pPr>
        <w:pStyle w:val="NormalWeb"/>
        <w:spacing w:line="360" w:lineRule="auto"/>
        <w:rPr>
          <w:rFonts w:ascii="Arial" w:hAnsi="Arial" w:cs="Arial"/>
          <w:szCs w:val="22"/>
        </w:rPr>
      </w:pPr>
      <w:r w:rsidRPr="002C468A">
        <w:rPr>
          <w:rFonts w:ascii="Arial" w:hAnsi="Arial" w:cs="Arial"/>
          <w:szCs w:val="22"/>
        </w:rPr>
        <w:t xml:space="preserve">This dissertation has reinforced my understanding that </w:t>
      </w:r>
      <w:proofErr w:type="spellStart"/>
      <w:r w:rsidRPr="002C468A">
        <w:rPr>
          <w:rFonts w:ascii="Arial" w:hAnsi="Arial" w:cs="Arial"/>
          <w:szCs w:val="22"/>
        </w:rPr>
        <w:t>organisational</w:t>
      </w:r>
      <w:proofErr w:type="spellEnd"/>
      <w:r w:rsidRPr="002C468A">
        <w:rPr>
          <w:rFonts w:ascii="Arial" w:hAnsi="Arial" w:cs="Arial"/>
          <w:szCs w:val="22"/>
        </w:rPr>
        <w:t xml:space="preserve"> change is a complex, iterative process shaped by both human and technological factors. Working in retail operations allowed me to observe first-hand how theory translates into practice, highlighting the tension between operational efficiency and employee engagement. </w:t>
      </w:r>
    </w:p>
    <w:p w:rsidR="000A0685" w:rsidRDefault="000A0685" w:rsidP="002C468A">
      <w:pPr>
        <w:pStyle w:val="NormalWeb"/>
        <w:spacing w:line="360" w:lineRule="auto"/>
        <w:rPr>
          <w:rFonts w:ascii="Arial" w:hAnsi="Arial" w:cs="Arial"/>
          <w:szCs w:val="22"/>
        </w:rPr>
      </w:pPr>
      <w:r>
        <w:rPr>
          <w:rFonts w:ascii="Arial" w:hAnsi="Arial" w:cs="Arial"/>
          <w:szCs w:val="22"/>
        </w:rPr>
        <w:t xml:space="preserve">Prior to any change implementation, at Tesco </w:t>
      </w:r>
      <w:proofErr w:type="spellStart"/>
      <w:r>
        <w:rPr>
          <w:rFonts w:ascii="Arial" w:hAnsi="Arial" w:cs="Arial"/>
          <w:szCs w:val="22"/>
        </w:rPr>
        <w:t>Daventry</w:t>
      </w:r>
      <w:proofErr w:type="spellEnd"/>
      <w:r>
        <w:rPr>
          <w:rFonts w:ascii="Arial" w:hAnsi="Arial" w:cs="Arial"/>
          <w:szCs w:val="22"/>
        </w:rPr>
        <w:t xml:space="preserve"> Cloth</w:t>
      </w:r>
      <w:r w:rsidR="00EF6941">
        <w:rPr>
          <w:rFonts w:ascii="Arial" w:hAnsi="Arial" w:cs="Arial"/>
          <w:szCs w:val="22"/>
        </w:rPr>
        <w:t xml:space="preserve">ing, senior managers and </w:t>
      </w:r>
      <w:r>
        <w:rPr>
          <w:rFonts w:ascii="Arial" w:hAnsi="Arial" w:cs="Arial"/>
          <w:szCs w:val="22"/>
        </w:rPr>
        <w:t xml:space="preserve">directors are having meeting to discuss WHAT changes do we need, WHY and HOW is that beneficial and the impact if not being implemented. </w:t>
      </w:r>
    </w:p>
    <w:p w:rsidR="000476CE" w:rsidRDefault="002C468A" w:rsidP="002C468A">
      <w:pPr>
        <w:pStyle w:val="NormalWeb"/>
        <w:spacing w:line="360" w:lineRule="auto"/>
        <w:rPr>
          <w:rFonts w:ascii="Arial" w:hAnsi="Arial" w:cs="Arial"/>
          <w:szCs w:val="22"/>
        </w:rPr>
      </w:pPr>
      <w:r w:rsidRPr="002C468A">
        <w:rPr>
          <w:rFonts w:ascii="Arial" w:hAnsi="Arial" w:cs="Arial"/>
          <w:szCs w:val="22"/>
        </w:rPr>
        <w:t xml:space="preserve">Reflecting on “why, when, and where” has strengthened my critical thinking, enabling me to bridge theory with real-world application. </w:t>
      </w:r>
    </w:p>
    <w:p w:rsidR="00EF6941" w:rsidRDefault="00EF6941" w:rsidP="002C468A">
      <w:pPr>
        <w:pStyle w:val="NormalWeb"/>
        <w:spacing w:line="360" w:lineRule="auto"/>
        <w:rPr>
          <w:rFonts w:ascii="Arial" w:hAnsi="Arial" w:cs="Arial"/>
          <w:szCs w:val="22"/>
        </w:rPr>
      </w:pPr>
      <w:r w:rsidRPr="002C468A">
        <w:rPr>
          <w:rFonts w:ascii="Arial" w:hAnsi="Arial" w:cs="Arial"/>
          <w:szCs w:val="22"/>
        </w:rPr>
        <w:t xml:space="preserve">I </w:t>
      </w:r>
      <w:proofErr w:type="spellStart"/>
      <w:r w:rsidRPr="002C468A">
        <w:rPr>
          <w:rFonts w:ascii="Arial" w:hAnsi="Arial" w:cs="Arial"/>
          <w:szCs w:val="22"/>
        </w:rPr>
        <w:t>recognise</w:t>
      </w:r>
      <w:proofErr w:type="spellEnd"/>
      <w:r w:rsidRPr="002C468A">
        <w:rPr>
          <w:rFonts w:ascii="Arial" w:hAnsi="Arial" w:cs="Arial"/>
          <w:szCs w:val="22"/>
        </w:rPr>
        <w:t xml:space="preserve"> that my perspective is inherently shaped by my positional insight at Tesco, which provided practical depth but also necessitated caution against insider bias.</w:t>
      </w:r>
    </w:p>
    <w:p w:rsidR="00501239" w:rsidRDefault="002C468A" w:rsidP="00501239">
      <w:pPr>
        <w:pStyle w:val="NormalWeb"/>
        <w:spacing w:line="360" w:lineRule="auto"/>
        <w:rPr>
          <w:rFonts w:ascii="Arial" w:hAnsi="Arial" w:cs="Arial"/>
          <w:szCs w:val="22"/>
        </w:rPr>
      </w:pPr>
      <w:r w:rsidRPr="002C468A">
        <w:rPr>
          <w:rFonts w:ascii="Arial" w:hAnsi="Arial" w:cs="Arial"/>
          <w:szCs w:val="22"/>
        </w:rPr>
        <w:t xml:space="preserve">I now appreciate that successful change management requires not only strategic foresight and structured models but also continuous, reflective attention to the lived experience of employees within the </w:t>
      </w:r>
      <w:proofErr w:type="spellStart"/>
      <w:r w:rsidRPr="002C468A">
        <w:rPr>
          <w:rFonts w:ascii="Arial" w:hAnsi="Arial" w:cs="Arial"/>
          <w:szCs w:val="22"/>
        </w:rPr>
        <w:t>organisation</w:t>
      </w:r>
      <w:proofErr w:type="spellEnd"/>
      <w:r w:rsidRPr="002C468A">
        <w:rPr>
          <w:rFonts w:ascii="Arial" w:hAnsi="Arial" w:cs="Arial"/>
          <w:szCs w:val="22"/>
        </w:rPr>
        <w:t>.</w:t>
      </w:r>
    </w:p>
    <w:p w:rsidR="004F6922" w:rsidRPr="00501239" w:rsidRDefault="002B3A30" w:rsidP="00501239">
      <w:pPr>
        <w:pStyle w:val="NormalWeb"/>
        <w:spacing w:line="360" w:lineRule="auto"/>
        <w:rPr>
          <w:rFonts w:ascii="Arial" w:hAnsi="Arial" w:cs="Arial"/>
          <w:szCs w:val="22"/>
        </w:rPr>
      </w:pPr>
      <w:r w:rsidRPr="00FA5EA3">
        <w:rPr>
          <w:sz w:val="21"/>
          <w:szCs w:val="21"/>
        </w:rPr>
        <w:t> </w:t>
      </w:r>
    </w:p>
    <w:p w:rsidR="000C3FCE" w:rsidRPr="00501239" w:rsidRDefault="003C1E00" w:rsidP="00501239">
      <w:pPr>
        <w:spacing w:after="0"/>
        <w:rPr>
          <w:rStyle w:val="Heading1Char"/>
          <w:b w:val="0"/>
          <w:sz w:val="22"/>
        </w:rPr>
      </w:pPr>
      <w:bookmarkStart w:id="22" w:name="_Toc214295764"/>
      <w:r w:rsidRPr="000C3FCE">
        <w:rPr>
          <w:rStyle w:val="Heading1Char"/>
        </w:rPr>
        <w:t>Reference</w:t>
      </w:r>
      <w:r w:rsidR="0009510D">
        <w:rPr>
          <w:rStyle w:val="Heading1Char"/>
        </w:rPr>
        <w:t>s</w:t>
      </w:r>
      <w:bookmarkEnd w:id="22"/>
    </w:p>
    <w:p w:rsidR="000A0685" w:rsidRPr="000A0685" w:rsidRDefault="00ED7C7A" w:rsidP="000A0685">
      <w:pPr>
        <w:pStyle w:val="NormalWeb"/>
        <w:spacing w:line="360" w:lineRule="auto"/>
        <w:rPr>
          <w:rFonts w:ascii="Arial" w:hAnsi="Arial" w:cs="Arial"/>
          <w:szCs w:val="22"/>
        </w:rPr>
      </w:pPr>
      <w:r w:rsidRPr="0060523E">
        <w:rPr>
          <w:rFonts w:ascii="Arial" w:hAnsi="Arial" w:cs="Arial"/>
          <w:szCs w:val="22"/>
        </w:rPr>
        <w:br/>
      </w:r>
      <w:r w:rsidR="000A0685" w:rsidRPr="000A0685">
        <w:rPr>
          <w:rFonts w:ascii="Arial" w:hAnsi="Arial" w:cs="Arial"/>
          <w:b/>
          <w:bCs/>
          <w:szCs w:val="22"/>
        </w:rPr>
        <w:t>1.</w:t>
      </w:r>
      <w:r w:rsidR="000A0685" w:rsidRPr="000A0685">
        <w:rPr>
          <w:rFonts w:ascii="Arial" w:hAnsi="Arial" w:cs="Arial"/>
          <w:szCs w:val="22"/>
        </w:rPr>
        <w:t xml:space="preserve"> Accenture (2022) </w:t>
      </w:r>
      <w:r w:rsidR="000A0685" w:rsidRPr="000A0685">
        <w:rPr>
          <w:rFonts w:ascii="Arial" w:hAnsi="Arial" w:cs="Arial"/>
          <w:i/>
          <w:iCs/>
          <w:szCs w:val="22"/>
        </w:rPr>
        <w:t>Future-ready supply chains: Why digital reinvention is key</w:t>
      </w:r>
      <w:r w:rsidR="000A0685" w:rsidRPr="000A0685">
        <w:rPr>
          <w:rFonts w:ascii="Arial" w:hAnsi="Arial" w:cs="Arial"/>
          <w:szCs w:val="22"/>
        </w:rPr>
        <w:t xml:space="preserve">. Available at: </w:t>
      </w:r>
      <w:hyperlink r:id="rId16" w:tgtFrame="_blank" w:tooltip="https://www.accenture.com/" w:history="1">
        <w:r w:rsidR="000A0685" w:rsidRPr="000A0685">
          <w:rPr>
            <w:rStyle w:val="Hyperlink"/>
            <w:rFonts w:ascii="Arial" w:eastAsia="Arial" w:hAnsi="Arial" w:cs="Arial"/>
            <w:szCs w:val="22"/>
          </w:rPr>
          <w:t>https://www.accenture.com</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lastRenderedPageBreak/>
        <w:br/>
      </w:r>
      <w:r w:rsidR="000A0685" w:rsidRPr="000A0685">
        <w:rPr>
          <w:rFonts w:ascii="Arial" w:hAnsi="Arial" w:cs="Arial"/>
          <w:b/>
          <w:bCs/>
          <w:szCs w:val="22"/>
        </w:rPr>
        <w:t>2.</w:t>
      </w:r>
      <w:r w:rsidR="000A0685" w:rsidRPr="000A0685">
        <w:rPr>
          <w:rFonts w:ascii="Arial" w:hAnsi="Arial" w:cs="Arial"/>
          <w:szCs w:val="22"/>
        </w:rPr>
        <w:t xml:space="preserve"> </w:t>
      </w:r>
      <w:proofErr w:type="spellStart"/>
      <w:r w:rsidR="000A0685" w:rsidRPr="000A0685">
        <w:rPr>
          <w:rFonts w:ascii="Arial" w:hAnsi="Arial" w:cs="Arial"/>
          <w:szCs w:val="22"/>
        </w:rPr>
        <w:t>Armenakis</w:t>
      </w:r>
      <w:proofErr w:type="spellEnd"/>
      <w:r w:rsidR="000A0685" w:rsidRPr="000A0685">
        <w:rPr>
          <w:rFonts w:ascii="Arial" w:hAnsi="Arial" w:cs="Arial"/>
          <w:szCs w:val="22"/>
        </w:rPr>
        <w:t xml:space="preserve">, A.A. and Harris, S.G. (2009) ‘Reflections: Our journey in </w:t>
      </w:r>
      <w:proofErr w:type="spellStart"/>
      <w:r w:rsidR="000A0685" w:rsidRPr="000A0685">
        <w:rPr>
          <w:rFonts w:ascii="Arial" w:hAnsi="Arial" w:cs="Arial"/>
          <w:szCs w:val="22"/>
        </w:rPr>
        <w:t>organisational</w:t>
      </w:r>
      <w:proofErr w:type="spellEnd"/>
      <w:r w:rsidR="000A0685" w:rsidRPr="000A0685">
        <w:rPr>
          <w:rFonts w:ascii="Arial" w:hAnsi="Arial" w:cs="Arial"/>
          <w:szCs w:val="22"/>
        </w:rPr>
        <w:t xml:space="preserve"> change research and practice’, </w:t>
      </w:r>
      <w:r w:rsidR="000A0685" w:rsidRPr="000A0685">
        <w:rPr>
          <w:rFonts w:ascii="Arial" w:hAnsi="Arial" w:cs="Arial"/>
          <w:i/>
          <w:iCs/>
          <w:szCs w:val="22"/>
        </w:rPr>
        <w:t>Journal of Change Management</w:t>
      </w:r>
      <w:r w:rsidR="000A0685" w:rsidRPr="000A0685">
        <w:rPr>
          <w:rFonts w:ascii="Arial" w:hAnsi="Arial" w:cs="Arial"/>
          <w:szCs w:val="22"/>
        </w:rPr>
        <w:t>, 9(2), pp. 127–142.</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w:t>
      </w:r>
      <w:r w:rsidR="000A0685" w:rsidRPr="000A0685">
        <w:rPr>
          <w:rFonts w:ascii="Arial" w:hAnsi="Arial" w:cs="Arial"/>
          <w:szCs w:val="22"/>
        </w:rPr>
        <w:t xml:space="preserve"> </w:t>
      </w:r>
      <w:proofErr w:type="spellStart"/>
      <w:r w:rsidR="000A0685" w:rsidRPr="000A0685">
        <w:rPr>
          <w:rFonts w:ascii="Arial" w:hAnsi="Arial" w:cs="Arial"/>
          <w:szCs w:val="22"/>
        </w:rPr>
        <w:t>Balogun</w:t>
      </w:r>
      <w:proofErr w:type="spellEnd"/>
      <w:r w:rsidR="000A0685" w:rsidRPr="000A0685">
        <w:rPr>
          <w:rFonts w:ascii="Arial" w:hAnsi="Arial" w:cs="Arial"/>
          <w:szCs w:val="22"/>
        </w:rPr>
        <w:t xml:space="preserve">, J. and Hailey, V.H. (2008) </w:t>
      </w:r>
      <w:r w:rsidR="000A0685" w:rsidRPr="000A0685">
        <w:rPr>
          <w:rFonts w:ascii="Arial" w:hAnsi="Arial" w:cs="Arial"/>
          <w:i/>
          <w:iCs/>
          <w:szCs w:val="22"/>
        </w:rPr>
        <w:t>Exploring Strategic Change</w:t>
      </w:r>
      <w:r w:rsidR="000A0685" w:rsidRPr="000A0685">
        <w:rPr>
          <w:rFonts w:ascii="Arial" w:hAnsi="Arial" w:cs="Arial"/>
          <w:szCs w:val="22"/>
        </w:rPr>
        <w:t xml:space="preserve">. </w:t>
      </w:r>
      <w:proofErr w:type="gramStart"/>
      <w:r w:rsidR="000A0685" w:rsidRPr="000A0685">
        <w:rPr>
          <w:rFonts w:ascii="Arial" w:hAnsi="Arial" w:cs="Arial"/>
          <w:szCs w:val="22"/>
        </w:rPr>
        <w:t xml:space="preserve">3rd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Harlow: Pearson Education.</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4.</w:t>
      </w:r>
      <w:r w:rsidR="000A0685" w:rsidRPr="000A0685">
        <w:rPr>
          <w:rFonts w:ascii="Arial" w:hAnsi="Arial" w:cs="Arial"/>
          <w:szCs w:val="22"/>
        </w:rPr>
        <w:t xml:space="preserve"> Braun, V. and Clarke, V. (2019) ‘Reflecting on reflexive thematic analysis’, </w:t>
      </w:r>
      <w:r w:rsidR="000A0685" w:rsidRPr="000A0685">
        <w:rPr>
          <w:rFonts w:ascii="Arial" w:hAnsi="Arial" w:cs="Arial"/>
          <w:i/>
          <w:iCs/>
          <w:szCs w:val="22"/>
        </w:rPr>
        <w:t>Qualitative Research in Sport, Exercise and Health</w:t>
      </w:r>
      <w:r w:rsidR="000A0685" w:rsidRPr="000A0685">
        <w:rPr>
          <w:rFonts w:ascii="Arial" w:hAnsi="Arial" w:cs="Arial"/>
          <w:szCs w:val="22"/>
        </w:rPr>
        <w:t>, 11(4), pp. 589–597.</w:t>
      </w:r>
      <w:r w:rsidR="000A0685" w:rsidRPr="000A0685">
        <w:rPr>
          <w:rFonts w:ascii="Arial" w:hAnsi="Arial" w:cs="Arial"/>
          <w:szCs w:val="22"/>
        </w:rPr>
        <w:br/>
      </w:r>
      <w:r w:rsidR="000A0685" w:rsidRPr="000A0685">
        <w:rPr>
          <w:rFonts w:ascii="Arial" w:hAnsi="Arial" w:cs="Arial"/>
          <w:szCs w:val="22"/>
        </w:rPr>
        <w:br/>
      </w:r>
      <w:proofErr w:type="gramStart"/>
      <w:r w:rsidR="000A0685" w:rsidRPr="000A0685">
        <w:rPr>
          <w:rFonts w:ascii="Arial" w:hAnsi="Arial" w:cs="Arial"/>
          <w:b/>
          <w:bCs/>
          <w:szCs w:val="22"/>
        </w:rPr>
        <w:t>5.</w:t>
      </w:r>
      <w:r w:rsidR="000A0685" w:rsidRPr="000A0685">
        <w:rPr>
          <w:rFonts w:ascii="Arial" w:hAnsi="Arial" w:cs="Arial"/>
          <w:szCs w:val="22"/>
        </w:rPr>
        <w:t xml:space="preserve"> British Academy of Management (2021) </w:t>
      </w:r>
      <w:r w:rsidR="000A0685" w:rsidRPr="000A0685">
        <w:rPr>
          <w:rFonts w:ascii="Arial" w:hAnsi="Arial" w:cs="Arial"/>
          <w:i/>
          <w:iCs/>
          <w:szCs w:val="22"/>
        </w:rPr>
        <w:t>Code of Ethics</w:t>
      </w:r>
      <w:r w:rsidR="000A0685" w:rsidRPr="000A0685">
        <w:rPr>
          <w:rFonts w:ascii="Arial" w:hAnsi="Arial" w:cs="Arial"/>
          <w:szCs w:val="22"/>
        </w:rPr>
        <w:t>.</w:t>
      </w:r>
      <w:proofErr w:type="gramEnd"/>
      <w:r w:rsidR="000A0685" w:rsidRPr="000A0685">
        <w:rPr>
          <w:rFonts w:ascii="Arial" w:hAnsi="Arial" w:cs="Arial"/>
          <w:szCs w:val="22"/>
        </w:rPr>
        <w:t xml:space="preserve"> Available at: </w:t>
      </w:r>
      <w:hyperlink r:id="rId17" w:tgtFrame="_blank" w:tooltip="https://www.bam.ac.uk/" w:history="1">
        <w:r w:rsidR="000A0685" w:rsidRPr="000A0685">
          <w:rPr>
            <w:rStyle w:val="Hyperlink"/>
            <w:rFonts w:ascii="Arial" w:eastAsia="Arial" w:hAnsi="Arial" w:cs="Arial"/>
            <w:szCs w:val="22"/>
          </w:rPr>
          <w:t>https://www.bam.ac.uk</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6.</w:t>
      </w:r>
      <w:r w:rsidR="000A0685" w:rsidRPr="000A0685">
        <w:rPr>
          <w:rFonts w:ascii="Arial" w:hAnsi="Arial" w:cs="Arial"/>
          <w:szCs w:val="22"/>
        </w:rPr>
        <w:t xml:space="preserve"> </w:t>
      </w:r>
      <w:proofErr w:type="spellStart"/>
      <w:r w:rsidR="000A0685" w:rsidRPr="000A0685">
        <w:rPr>
          <w:rFonts w:ascii="Arial" w:hAnsi="Arial" w:cs="Arial"/>
          <w:szCs w:val="22"/>
        </w:rPr>
        <w:t>Bryman</w:t>
      </w:r>
      <w:proofErr w:type="spellEnd"/>
      <w:r w:rsidR="000A0685" w:rsidRPr="000A0685">
        <w:rPr>
          <w:rFonts w:ascii="Arial" w:hAnsi="Arial" w:cs="Arial"/>
          <w:szCs w:val="22"/>
        </w:rPr>
        <w:t xml:space="preserve">, A. (2016) </w:t>
      </w:r>
      <w:r w:rsidR="000A0685" w:rsidRPr="000A0685">
        <w:rPr>
          <w:rFonts w:ascii="Arial" w:hAnsi="Arial" w:cs="Arial"/>
          <w:i/>
          <w:iCs/>
          <w:szCs w:val="22"/>
        </w:rPr>
        <w:t>Social Research Methods</w:t>
      </w:r>
      <w:r w:rsidR="000A0685" w:rsidRPr="000A0685">
        <w:rPr>
          <w:rFonts w:ascii="Arial" w:hAnsi="Arial" w:cs="Arial"/>
          <w:szCs w:val="22"/>
        </w:rPr>
        <w:t xml:space="preserve">. </w:t>
      </w:r>
      <w:proofErr w:type="gramStart"/>
      <w:r w:rsidR="000A0685" w:rsidRPr="000A0685">
        <w:rPr>
          <w:rFonts w:ascii="Arial" w:hAnsi="Arial" w:cs="Arial"/>
          <w:szCs w:val="22"/>
        </w:rPr>
        <w:t xml:space="preserve">5th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Oxford: Oxford University Press.</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7.</w:t>
      </w:r>
      <w:r w:rsidR="000A0685" w:rsidRPr="000A0685">
        <w:rPr>
          <w:rFonts w:ascii="Arial" w:hAnsi="Arial" w:cs="Arial"/>
          <w:szCs w:val="22"/>
        </w:rPr>
        <w:t xml:space="preserve"> </w:t>
      </w:r>
      <w:proofErr w:type="spellStart"/>
      <w:r w:rsidR="000A0685" w:rsidRPr="000A0685">
        <w:rPr>
          <w:rFonts w:ascii="Arial" w:hAnsi="Arial" w:cs="Arial"/>
          <w:szCs w:val="22"/>
        </w:rPr>
        <w:t>Burnes</w:t>
      </w:r>
      <w:proofErr w:type="spellEnd"/>
      <w:r w:rsidR="000A0685" w:rsidRPr="000A0685">
        <w:rPr>
          <w:rFonts w:ascii="Arial" w:hAnsi="Arial" w:cs="Arial"/>
          <w:szCs w:val="22"/>
        </w:rPr>
        <w:t xml:space="preserve">, B. (2017) </w:t>
      </w:r>
      <w:r w:rsidR="000A0685" w:rsidRPr="000A0685">
        <w:rPr>
          <w:rFonts w:ascii="Arial" w:hAnsi="Arial" w:cs="Arial"/>
          <w:i/>
          <w:iCs/>
          <w:szCs w:val="22"/>
        </w:rPr>
        <w:t>Managing Change</w:t>
      </w:r>
      <w:r w:rsidR="000A0685" w:rsidRPr="000A0685">
        <w:rPr>
          <w:rFonts w:ascii="Arial" w:hAnsi="Arial" w:cs="Arial"/>
          <w:szCs w:val="22"/>
        </w:rPr>
        <w:t xml:space="preserve">. </w:t>
      </w:r>
      <w:proofErr w:type="gramStart"/>
      <w:r w:rsidR="000A0685" w:rsidRPr="000A0685">
        <w:rPr>
          <w:rFonts w:ascii="Arial" w:hAnsi="Arial" w:cs="Arial"/>
          <w:szCs w:val="22"/>
        </w:rPr>
        <w:t xml:space="preserve">7th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Harlow: Pearson Education.</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8.</w:t>
      </w:r>
      <w:r w:rsidR="000A0685" w:rsidRPr="000A0685">
        <w:rPr>
          <w:rFonts w:ascii="Arial" w:hAnsi="Arial" w:cs="Arial"/>
          <w:szCs w:val="22"/>
        </w:rPr>
        <w:t xml:space="preserve"> </w:t>
      </w:r>
      <w:proofErr w:type="spellStart"/>
      <w:r w:rsidR="000A0685" w:rsidRPr="000A0685">
        <w:rPr>
          <w:rFonts w:ascii="Arial" w:hAnsi="Arial" w:cs="Arial"/>
          <w:szCs w:val="22"/>
        </w:rPr>
        <w:t>Burnes</w:t>
      </w:r>
      <w:proofErr w:type="spellEnd"/>
      <w:r w:rsidR="000A0685" w:rsidRPr="000A0685">
        <w:rPr>
          <w:rFonts w:ascii="Arial" w:hAnsi="Arial" w:cs="Arial"/>
          <w:szCs w:val="22"/>
        </w:rPr>
        <w:t xml:space="preserve">, B. and Cooke, B. (2013) ‘Kurt </w:t>
      </w:r>
      <w:proofErr w:type="spellStart"/>
      <w:r w:rsidR="000A0685" w:rsidRPr="000A0685">
        <w:rPr>
          <w:rFonts w:ascii="Arial" w:hAnsi="Arial" w:cs="Arial"/>
          <w:szCs w:val="22"/>
        </w:rPr>
        <w:t>Lewin’s</w:t>
      </w:r>
      <w:proofErr w:type="spellEnd"/>
      <w:r w:rsidR="000A0685" w:rsidRPr="000A0685">
        <w:rPr>
          <w:rFonts w:ascii="Arial" w:hAnsi="Arial" w:cs="Arial"/>
          <w:szCs w:val="22"/>
        </w:rPr>
        <w:t xml:space="preserve"> field theory: A review and re-evaluation’, </w:t>
      </w:r>
      <w:r w:rsidR="000A0685" w:rsidRPr="000A0685">
        <w:rPr>
          <w:rFonts w:ascii="Arial" w:hAnsi="Arial" w:cs="Arial"/>
          <w:i/>
          <w:iCs/>
          <w:szCs w:val="22"/>
        </w:rPr>
        <w:t>International Journal of Management Reviews</w:t>
      </w:r>
      <w:r w:rsidR="000A0685" w:rsidRPr="000A0685">
        <w:rPr>
          <w:rFonts w:ascii="Arial" w:hAnsi="Arial" w:cs="Arial"/>
          <w:szCs w:val="22"/>
        </w:rPr>
        <w:t>, 15(4), pp. 408–425.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9.</w:t>
      </w:r>
      <w:r w:rsidR="000A0685" w:rsidRPr="000A0685">
        <w:rPr>
          <w:rFonts w:ascii="Arial" w:hAnsi="Arial" w:cs="Arial"/>
          <w:szCs w:val="22"/>
        </w:rPr>
        <w:t xml:space="preserve"> By, R.T., Hughes, M. and Ford, J. (2016) </w:t>
      </w:r>
      <w:r w:rsidR="000A0685" w:rsidRPr="000A0685">
        <w:rPr>
          <w:rFonts w:ascii="Arial" w:hAnsi="Arial" w:cs="Arial"/>
          <w:i/>
          <w:iCs/>
          <w:szCs w:val="22"/>
        </w:rPr>
        <w:t>Reassessing Change Management: Current Thinking and Future Directions</w:t>
      </w:r>
      <w:r w:rsidR="000A0685" w:rsidRPr="000A0685">
        <w:rPr>
          <w:rFonts w:ascii="Arial" w:hAnsi="Arial" w:cs="Arial"/>
          <w:szCs w:val="22"/>
        </w:rPr>
        <w:t xml:space="preserve">. London: </w:t>
      </w:r>
      <w:proofErr w:type="spellStart"/>
      <w:r w:rsidR="000A0685" w:rsidRPr="000A0685">
        <w:rPr>
          <w:rFonts w:ascii="Arial" w:hAnsi="Arial" w:cs="Arial"/>
          <w:szCs w:val="22"/>
        </w:rPr>
        <w:t>Routledge</w:t>
      </w:r>
      <w:proofErr w:type="spellEnd"/>
      <w:r w:rsidR="000A0685" w:rsidRPr="000A0685">
        <w:rPr>
          <w:rFonts w:ascii="Arial" w:hAnsi="Arial" w:cs="Arial"/>
          <w:szCs w:val="22"/>
        </w:rPr>
        <w:t>.</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10.</w:t>
      </w:r>
      <w:r w:rsidR="000A0685" w:rsidRPr="000A0685">
        <w:rPr>
          <w:rFonts w:ascii="Arial" w:hAnsi="Arial" w:cs="Arial"/>
          <w:szCs w:val="22"/>
        </w:rPr>
        <w:t xml:space="preserve"> Chartered Institute of Personnel and Development (CIPD) (2023) </w:t>
      </w:r>
      <w:r w:rsidR="000A0685" w:rsidRPr="000A0685">
        <w:rPr>
          <w:rFonts w:ascii="Arial" w:hAnsi="Arial" w:cs="Arial"/>
          <w:i/>
          <w:iCs/>
          <w:szCs w:val="22"/>
        </w:rPr>
        <w:t xml:space="preserve">Managing </w:t>
      </w:r>
      <w:proofErr w:type="spellStart"/>
      <w:r w:rsidR="000A0685" w:rsidRPr="000A0685">
        <w:rPr>
          <w:rFonts w:ascii="Arial" w:hAnsi="Arial" w:cs="Arial"/>
          <w:i/>
          <w:iCs/>
          <w:szCs w:val="22"/>
        </w:rPr>
        <w:t>organisational</w:t>
      </w:r>
      <w:proofErr w:type="spellEnd"/>
      <w:r w:rsidR="000A0685" w:rsidRPr="000A0685">
        <w:rPr>
          <w:rFonts w:ascii="Arial" w:hAnsi="Arial" w:cs="Arial"/>
          <w:i/>
          <w:iCs/>
          <w:szCs w:val="22"/>
        </w:rPr>
        <w:t xml:space="preserve"> change in logistics</w:t>
      </w:r>
      <w:r w:rsidR="000A0685" w:rsidRPr="000A0685">
        <w:rPr>
          <w:rFonts w:ascii="Arial" w:hAnsi="Arial" w:cs="Arial"/>
          <w:szCs w:val="22"/>
        </w:rPr>
        <w:t xml:space="preserve">. Available at: </w:t>
      </w:r>
      <w:hyperlink r:id="rId18" w:tgtFrame="_blank" w:tooltip="https://www.cipd.co.uk/" w:history="1">
        <w:r w:rsidR="000A0685" w:rsidRPr="000A0685">
          <w:rPr>
            <w:rStyle w:val="Hyperlink"/>
            <w:rFonts w:ascii="Arial" w:eastAsia="Arial" w:hAnsi="Arial" w:cs="Arial"/>
            <w:szCs w:val="22"/>
          </w:rPr>
          <w:t>https://www.cipd.co.uk</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11.</w:t>
      </w:r>
      <w:r w:rsidR="000A0685" w:rsidRPr="000A0685">
        <w:rPr>
          <w:rFonts w:ascii="Arial" w:hAnsi="Arial" w:cs="Arial"/>
          <w:szCs w:val="22"/>
        </w:rPr>
        <w:t xml:space="preserve"> Chartered Institute of Procurement and Supply (CIPS) (2023) </w:t>
      </w:r>
      <w:r w:rsidR="000A0685" w:rsidRPr="000A0685">
        <w:rPr>
          <w:rFonts w:ascii="Arial" w:hAnsi="Arial" w:cs="Arial"/>
          <w:i/>
          <w:iCs/>
          <w:szCs w:val="22"/>
        </w:rPr>
        <w:t>Supply Chain Transformation Trends 2023</w:t>
      </w:r>
      <w:r w:rsidR="000A0685" w:rsidRPr="000A0685">
        <w:rPr>
          <w:rFonts w:ascii="Arial" w:hAnsi="Arial" w:cs="Arial"/>
          <w:szCs w:val="22"/>
        </w:rPr>
        <w:t xml:space="preserve">. Available at: </w:t>
      </w:r>
      <w:hyperlink r:id="rId19" w:tgtFrame="_blank" w:tooltip="https://www.cips.org/" w:history="1">
        <w:r w:rsidR="000A0685" w:rsidRPr="000A0685">
          <w:rPr>
            <w:rStyle w:val="Hyperlink"/>
            <w:rFonts w:ascii="Arial" w:eastAsia="Arial" w:hAnsi="Arial" w:cs="Arial"/>
            <w:szCs w:val="22"/>
          </w:rPr>
          <w:t>https://www.cips.org</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12.</w:t>
      </w:r>
      <w:r w:rsidR="000A0685" w:rsidRPr="000A0685">
        <w:rPr>
          <w:rFonts w:ascii="Arial" w:hAnsi="Arial" w:cs="Arial"/>
          <w:szCs w:val="22"/>
        </w:rPr>
        <w:t xml:space="preserve"> Creswell, J.W. and </w:t>
      </w:r>
      <w:proofErr w:type="spellStart"/>
      <w:r w:rsidR="000A0685" w:rsidRPr="000A0685">
        <w:rPr>
          <w:rFonts w:ascii="Arial" w:hAnsi="Arial" w:cs="Arial"/>
          <w:szCs w:val="22"/>
        </w:rPr>
        <w:t>Poth</w:t>
      </w:r>
      <w:proofErr w:type="spellEnd"/>
      <w:r w:rsidR="000A0685" w:rsidRPr="000A0685">
        <w:rPr>
          <w:rFonts w:ascii="Arial" w:hAnsi="Arial" w:cs="Arial"/>
          <w:szCs w:val="22"/>
        </w:rPr>
        <w:t xml:space="preserve">, C.N. (2018) </w:t>
      </w:r>
      <w:r w:rsidR="000A0685" w:rsidRPr="000A0685">
        <w:rPr>
          <w:rFonts w:ascii="Arial" w:hAnsi="Arial" w:cs="Arial"/>
          <w:i/>
          <w:iCs/>
          <w:szCs w:val="22"/>
        </w:rPr>
        <w:t>Qualitative Inquiry and Research Design: Choosing Among Five Approaches</w:t>
      </w:r>
      <w:r w:rsidR="000A0685" w:rsidRPr="000A0685">
        <w:rPr>
          <w:rFonts w:ascii="Arial" w:hAnsi="Arial" w:cs="Arial"/>
          <w:szCs w:val="22"/>
        </w:rPr>
        <w:t xml:space="preserve">. </w:t>
      </w:r>
      <w:proofErr w:type="gramStart"/>
      <w:r w:rsidR="000A0685" w:rsidRPr="000A0685">
        <w:rPr>
          <w:rFonts w:ascii="Arial" w:hAnsi="Arial" w:cs="Arial"/>
          <w:szCs w:val="22"/>
        </w:rPr>
        <w:t xml:space="preserve">4th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Thousand Oaks, CA: Sage.</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13.</w:t>
      </w:r>
      <w:r w:rsidR="000A0685" w:rsidRPr="000A0685">
        <w:rPr>
          <w:rFonts w:ascii="Arial" w:hAnsi="Arial" w:cs="Arial"/>
          <w:szCs w:val="22"/>
        </w:rPr>
        <w:t xml:space="preserve"> Cummings, S., Bridgman, T. and Brown, K.G. (2016) ‘Unfreezing change as three steps: Rethinking Kurt </w:t>
      </w:r>
      <w:proofErr w:type="spellStart"/>
      <w:r w:rsidR="000A0685" w:rsidRPr="000A0685">
        <w:rPr>
          <w:rFonts w:ascii="Arial" w:hAnsi="Arial" w:cs="Arial"/>
          <w:szCs w:val="22"/>
        </w:rPr>
        <w:t>Lewin’s</w:t>
      </w:r>
      <w:proofErr w:type="spellEnd"/>
      <w:r w:rsidR="000A0685" w:rsidRPr="000A0685">
        <w:rPr>
          <w:rFonts w:ascii="Arial" w:hAnsi="Arial" w:cs="Arial"/>
          <w:szCs w:val="22"/>
        </w:rPr>
        <w:t xml:space="preserve"> legacy for change management’, </w:t>
      </w:r>
      <w:r w:rsidR="000A0685" w:rsidRPr="000A0685">
        <w:rPr>
          <w:rFonts w:ascii="Arial" w:hAnsi="Arial" w:cs="Arial"/>
          <w:i/>
          <w:iCs/>
          <w:szCs w:val="22"/>
        </w:rPr>
        <w:t>Human Relations</w:t>
      </w:r>
      <w:r w:rsidR="000A0685" w:rsidRPr="000A0685">
        <w:rPr>
          <w:rFonts w:ascii="Arial" w:hAnsi="Arial" w:cs="Arial"/>
          <w:szCs w:val="22"/>
        </w:rPr>
        <w:t>, 69(1), pp. 33–60.</w:t>
      </w:r>
      <w:r w:rsidR="000A0685" w:rsidRPr="000A0685">
        <w:rPr>
          <w:rFonts w:ascii="Arial" w:hAnsi="Arial" w:cs="Arial"/>
          <w:szCs w:val="22"/>
        </w:rPr>
        <w:br/>
      </w:r>
      <w:r w:rsidR="000A0685" w:rsidRPr="000A0685">
        <w:rPr>
          <w:rFonts w:ascii="Arial" w:hAnsi="Arial" w:cs="Arial"/>
          <w:szCs w:val="22"/>
        </w:rPr>
        <w:lastRenderedPageBreak/>
        <w:br/>
      </w:r>
      <w:r w:rsidR="000A0685" w:rsidRPr="000A0685">
        <w:rPr>
          <w:rFonts w:ascii="Arial" w:hAnsi="Arial" w:cs="Arial"/>
          <w:b/>
          <w:bCs/>
          <w:szCs w:val="22"/>
        </w:rPr>
        <w:t>14.</w:t>
      </w:r>
      <w:r w:rsidR="000A0685" w:rsidRPr="000A0685">
        <w:rPr>
          <w:rFonts w:ascii="Arial" w:hAnsi="Arial" w:cs="Arial"/>
          <w:szCs w:val="22"/>
        </w:rPr>
        <w:t xml:space="preserve"> Deloitte (2023) </w:t>
      </w:r>
      <w:r w:rsidR="000A0685" w:rsidRPr="000A0685">
        <w:rPr>
          <w:rFonts w:ascii="Arial" w:hAnsi="Arial" w:cs="Arial"/>
          <w:i/>
          <w:iCs/>
          <w:szCs w:val="22"/>
        </w:rPr>
        <w:t>Industry 4.0 and the future of logistics</w:t>
      </w:r>
      <w:r w:rsidR="000A0685" w:rsidRPr="000A0685">
        <w:rPr>
          <w:rFonts w:ascii="Arial" w:hAnsi="Arial" w:cs="Arial"/>
          <w:szCs w:val="22"/>
        </w:rPr>
        <w:t xml:space="preserve">. Available at: </w:t>
      </w:r>
      <w:hyperlink r:id="rId20" w:tgtFrame="_blank" w:tooltip="https://www.deloitte.com/" w:history="1">
        <w:r w:rsidR="000A0685" w:rsidRPr="000A0685">
          <w:rPr>
            <w:rStyle w:val="Hyperlink"/>
            <w:rFonts w:ascii="Arial" w:eastAsia="Arial" w:hAnsi="Arial" w:cs="Arial"/>
            <w:szCs w:val="22"/>
          </w:rPr>
          <w:t>https://www.deloitte.com</w:t>
        </w:r>
      </w:hyperlink>
      <w:r w:rsidR="000A0685" w:rsidRPr="000A0685">
        <w:rPr>
          <w:rFonts w:ascii="Arial" w:hAnsi="Arial" w:cs="Arial"/>
          <w:szCs w:val="22"/>
        </w:rPr>
        <w:t xml:space="preserve"> (Accessed: 20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15.</w:t>
      </w:r>
      <w:r w:rsidR="000A0685" w:rsidRPr="000A0685">
        <w:rPr>
          <w:rFonts w:ascii="Arial" w:hAnsi="Arial" w:cs="Arial"/>
          <w:szCs w:val="22"/>
        </w:rPr>
        <w:t xml:space="preserve"> </w:t>
      </w:r>
      <w:proofErr w:type="spellStart"/>
      <w:r w:rsidR="000A0685" w:rsidRPr="000A0685">
        <w:rPr>
          <w:rFonts w:ascii="Arial" w:hAnsi="Arial" w:cs="Arial"/>
          <w:szCs w:val="22"/>
        </w:rPr>
        <w:t>Denzin</w:t>
      </w:r>
      <w:proofErr w:type="spellEnd"/>
      <w:r w:rsidR="000A0685" w:rsidRPr="000A0685">
        <w:rPr>
          <w:rFonts w:ascii="Arial" w:hAnsi="Arial" w:cs="Arial"/>
          <w:szCs w:val="22"/>
        </w:rPr>
        <w:t xml:space="preserve">, N.K. (2012) ‘Triangulation 2.0’, </w:t>
      </w:r>
      <w:r w:rsidR="000A0685" w:rsidRPr="000A0685">
        <w:rPr>
          <w:rFonts w:ascii="Arial" w:hAnsi="Arial" w:cs="Arial"/>
          <w:i/>
          <w:iCs/>
          <w:szCs w:val="22"/>
        </w:rPr>
        <w:t>Journal of Mixed Methods Research</w:t>
      </w:r>
      <w:r w:rsidR="000A0685" w:rsidRPr="000A0685">
        <w:rPr>
          <w:rFonts w:ascii="Arial" w:hAnsi="Arial" w:cs="Arial"/>
          <w:szCs w:val="22"/>
        </w:rPr>
        <w:t>, 6(2), pp. 80–88.</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16.</w:t>
      </w:r>
      <w:r w:rsidR="000A0685" w:rsidRPr="000A0685">
        <w:rPr>
          <w:rFonts w:ascii="Arial" w:hAnsi="Arial" w:cs="Arial"/>
          <w:szCs w:val="22"/>
        </w:rPr>
        <w:t xml:space="preserve"> Fugate, M., Prussia, G.E. and </w:t>
      </w:r>
      <w:proofErr w:type="spellStart"/>
      <w:r w:rsidR="000A0685" w:rsidRPr="000A0685">
        <w:rPr>
          <w:rFonts w:ascii="Arial" w:hAnsi="Arial" w:cs="Arial"/>
          <w:szCs w:val="22"/>
        </w:rPr>
        <w:t>Kinicki</w:t>
      </w:r>
      <w:proofErr w:type="spellEnd"/>
      <w:r w:rsidR="000A0685" w:rsidRPr="000A0685">
        <w:rPr>
          <w:rFonts w:ascii="Arial" w:hAnsi="Arial" w:cs="Arial"/>
          <w:szCs w:val="22"/>
        </w:rPr>
        <w:t xml:space="preserve">, A.J. (2022) ‘Managing employee reactions to change’, </w:t>
      </w:r>
      <w:r w:rsidR="000A0685" w:rsidRPr="000A0685">
        <w:rPr>
          <w:rFonts w:ascii="Arial" w:hAnsi="Arial" w:cs="Arial"/>
          <w:i/>
          <w:iCs/>
          <w:szCs w:val="22"/>
        </w:rPr>
        <w:t>Organizational Dynamics</w:t>
      </w:r>
      <w:r w:rsidR="000A0685" w:rsidRPr="000A0685">
        <w:rPr>
          <w:rFonts w:ascii="Arial" w:hAnsi="Arial" w:cs="Arial"/>
          <w:szCs w:val="22"/>
        </w:rPr>
        <w:t>, 51(1), pp. 1–13.</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17.</w:t>
      </w:r>
      <w:r w:rsidR="000A0685" w:rsidRPr="000A0685">
        <w:rPr>
          <w:rFonts w:ascii="Arial" w:hAnsi="Arial" w:cs="Arial"/>
          <w:szCs w:val="22"/>
        </w:rPr>
        <w:t xml:space="preserve"> </w:t>
      </w:r>
      <w:proofErr w:type="spellStart"/>
      <w:r w:rsidR="000A0685" w:rsidRPr="000A0685">
        <w:rPr>
          <w:rFonts w:ascii="Arial" w:hAnsi="Arial" w:cs="Arial"/>
          <w:szCs w:val="22"/>
        </w:rPr>
        <w:t>Hammersley</w:t>
      </w:r>
      <w:proofErr w:type="spellEnd"/>
      <w:r w:rsidR="000A0685" w:rsidRPr="000A0685">
        <w:rPr>
          <w:rFonts w:ascii="Arial" w:hAnsi="Arial" w:cs="Arial"/>
          <w:szCs w:val="22"/>
        </w:rPr>
        <w:t xml:space="preserve">, M. and Atkinson, P. (2019) </w:t>
      </w:r>
      <w:r w:rsidR="000A0685" w:rsidRPr="000A0685">
        <w:rPr>
          <w:rFonts w:ascii="Arial" w:hAnsi="Arial" w:cs="Arial"/>
          <w:i/>
          <w:iCs/>
          <w:szCs w:val="22"/>
        </w:rPr>
        <w:t>Ethnography: Principles in practice</w:t>
      </w:r>
      <w:r w:rsidR="000A0685" w:rsidRPr="000A0685">
        <w:rPr>
          <w:rFonts w:ascii="Arial" w:hAnsi="Arial" w:cs="Arial"/>
          <w:szCs w:val="22"/>
        </w:rPr>
        <w:t xml:space="preserve">. </w:t>
      </w:r>
      <w:proofErr w:type="gramStart"/>
      <w:r w:rsidR="000A0685" w:rsidRPr="000A0685">
        <w:rPr>
          <w:rFonts w:ascii="Arial" w:hAnsi="Arial" w:cs="Arial"/>
          <w:szCs w:val="22"/>
        </w:rPr>
        <w:t xml:space="preserve">4th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London: </w:t>
      </w:r>
      <w:proofErr w:type="spellStart"/>
      <w:r w:rsidR="000A0685" w:rsidRPr="000A0685">
        <w:rPr>
          <w:rFonts w:ascii="Arial" w:hAnsi="Arial" w:cs="Arial"/>
          <w:szCs w:val="22"/>
        </w:rPr>
        <w:t>Routledge</w:t>
      </w:r>
      <w:proofErr w:type="spellEnd"/>
      <w:r w:rsidR="000A0685" w:rsidRPr="000A0685">
        <w:rPr>
          <w:rFonts w:ascii="Arial" w:hAnsi="Arial" w:cs="Arial"/>
          <w:szCs w:val="22"/>
        </w:rPr>
        <w:t>.</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18.</w:t>
      </w:r>
      <w:r w:rsidR="000A0685" w:rsidRPr="000A0685">
        <w:rPr>
          <w:rFonts w:ascii="Arial" w:hAnsi="Arial" w:cs="Arial"/>
          <w:szCs w:val="22"/>
        </w:rPr>
        <w:t xml:space="preserve"> Hiatt, J. (2006) </w:t>
      </w:r>
      <w:r w:rsidR="000A0685" w:rsidRPr="000A0685">
        <w:rPr>
          <w:rFonts w:ascii="Arial" w:hAnsi="Arial" w:cs="Arial"/>
          <w:i/>
          <w:iCs/>
          <w:szCs w:val="22"/>
        </w:rPr>
        <w:t>ADKAR: A Model for Change in Business, Government and our Community</w:t>
      </w:r>
      <w:r w:rsidR="000A0685" w:rsidRPr="000A0685">
        <w:rPr>
          <w:rFonts w:ascii="Arial" w:hAnsi="Arial" w:cs="Arial"/>
          <w:szCs w:val="22"/>
        </w:rPr>
        <w:t xml:space="preserve">. Loveland, CO: </w:t>
      </w:r>
      <w:proofErr w:type="spellStart"/>
      <w:r w:rsidR="000A0685" w:rsidRPr="000A0685">
        <w:rPr>
          <w:rFonts w:ascii="Arial" w:hAnsi="Arial" w:cs="Arial"/>
          <w:szCs w:val="22"/>
        </w:rPr>
        <w:t>Prosci</w:t>
      </w:r>
      <w:proofErr w:type="spellEnd"/>
      <w:r w:rsidR="000A0685" w:rsidRPr="000A0685">
        <w:rPr>
          <w:rFonts w:ascii="Arial" w:hAnsi="Arial" w:cs="Arial"/>
          <w:szCs w:val="22"/>
        </w:rPr>
        <w:t xml:space="preserve"> Research.</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19.</w:t>
      </w:r>
      <w:r w:rsidR="000A0685" w:rsidRPr="000A0685">
        <w:rPr>
          <w:rFonts w:ascii="Arial" w:hAnsi="Arial" w:cs="Arial"/>
          <w:szCs w:val="22"/>
        </w:rPr>
        <w:t xml:space="preserve"> </w:t>
      </w:r>
      <w:proofErr w:type="spellStart"/>
      <w:r w:rsidR="000A0685" w:rsidRPr="000A0685">
        <w:rPr>
          <w:rFonts w:ascii="Arial" w:hAnsi="Arial" w:cs="Arial"/>
          <w:szCs w:val="22"/>
        </w:rPr>
        <w:t>Kitchenham</w:t>
      </w:r>
      <w:proofErr w:type="spellEnd"/>
      <w:r w:rsidR="000A0685" w:rsidRPr="000A0685">
        <w:rPr>
          <w:rFonts w:ascii="Arial" w:hAnsi="Arial" w:cs="Arial"/>
          <w:szCs w:val="22"/>
        </w:rPr>
        <w:t xml:space="preserve">, B. and Charters, S. (2007) </w:t>
      </w:r>
      <w:r w:rsidR="000A0685" w:rsidRPr="000A0685">
        <w:rPr>
          <w:rFonts w:ascii="Arial" w:hAnsi="Arial" w:cs="Arial"/>
          <w:i/>
          <w:iCs/>
          <w:szCs w:val="22"/>
        </w:rPr>
        <w:t>Guidelines for Performing Systematic Literature Reviews in Software Engineering</w:t>
      </w:r>
      <w:r w:rsidR="000A0685" w:rsidRPr="000A0685">
        <w:rPr>
          <w:rFonts w:ascii="Arial" w:hAnsi="Arial" w:cs="Arial"/>
          <w:szCs w:val="22"/>
        </w:rPr>
        <w:t xml:space="preserve">. </w:t>
      </w:r>
      <w:proofErr w:type="spellStart"/>
      <w:proofErr w:type="gramStart"/>
      <w:r w:rsidR="000A0685" w:rsidRPr="000A0685">
        <w:rPr>
          <w:rFonts w:ascii="Arial" w:hAnsi="Arial" w:cs="Arial"/>
          <w:szCs w:val="22"/>
        </w:rPr>
        <w:t>Keele</w:t>
      </w:r>
      <w:proofErr w:type="spellEnd"/>
      <w:r w:rsidR="000A0685" w:rsidRPr="000A0685">
        <w:rPr>
          <w:rFonts w:ascii="Arial" w:hAnsi="Arial" w:cs="Arial"/>
          <w:szCs w:val="22"/>
        </w:rPr>
        <w:t xml:space="preserve"> University.</w:t>
      </w:r>
      <w:proofErr w:type="gramEnd"/>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20.</w:t>
      </w:r>
      <w:r w:rsidR="000A0685" w:rsidRPr="000A0685">
        <w:rPr>
          <w:rFonts w:ascii="Arial" w:hAnsi="Arial" w:cs="Arial"/>
          <w:szCs w:val="22"/>
        </w:rPr>
        <w:t xml:space="preserve"> </w:t>
      </w:r>
      <w:proofErr w:type="spellStart"/>
      <w:r w:rsidR="000A0685" w:rsidRPr="000A0685">
        <w:rPr>
          <w:rFonts w:ascii="Arial" w:hAnsi="Arial" w:cs="Arial"/>
          <w:szCs w:val="22"/>
        </w:rPr>
        <w:t>Kotter</w:t>
      </w:r>
      <w:proofErr w:type="spellEnd"/>
      <w:r w:rsidR="000A0685" w:rsidRPr="000A0685">
        <w:rPr>
          <w:rFonts w:ascii="Arial" w:hAnsi="Arial" w:cs="Arial"/>
          <w:szCs w:val="22"/>
        </w:rPr>
        <w:t xml:space="preserve">, J.P. (1996) </w:t>
      </w:r>
      <w:r w:rsidR="000A0685" w:rsidRPr="000A0685">
        <w:rPr>
          <w:rFonts w:ascii="Arial" w:hAnsi="Arial" w:cs="Arial"/>
          <w:i/>
          <w:iCs/>
          <w:szCs w:val="22"/>
        </w:rPr>
        <w:t>Leading Change</w:t>
      </w:r>
      <w:r w:rsidR="000A0685" w:rsidRPr="000A0685">
        <w:rPr>
          <w:rFonts w:ascii="Arial" w:hAnsi="Arial" w:cs="Arial"/>
          <w:szCs w:val="22"/>
        </w:rPr>
        <w:t>. Boston: Harvard Business School Press.</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21.</w:t>
      </w:r>
      <w:r w:rsidR="000A0685" w:rsidRPr="000A0685">
        <w:rPr>
          <w:rFonts w:ascii="Arial" w:hAnsi="Arial" w:cs="Arial"/>
          <w:szCs w:val="22"/>
        </w:rPr>
        <w:t xml:space="preserve"> </w:t>
      </w:r>
      <w:proofErr w:type="spellStart"/>
      <w:r w:rsidR="000A0685" w:rsidRPr="000A0685">
        <w:rPr>
          <w:rFonts w:ascii="Arial" w:hAnsi="Arial" w:cs="Arial"/>
          <w:szCs w:val="22"/>
        </w:rPr>
        <w:t>Kotter</w:t>
      </w:r>
      <w:proofErr w:type="spellEnd"/>
      <w:r w:rsidR="000A0685" w:rsidRPr="000A0685">
        <w:rPr>
          <w:rFonts w:ascii="Arial" w:hAnsi="Arial" w:cs="Arial"/>
          <w:szCs w:val="22"/>
        </w:rPr>
        <w:t xml:space="preserve">, J.P. (2012) </w:t>
      </w:r>
      <w:r w:rsidR="000A0685" w:rsidRPr="000A0685">
        <w:rPr>
          <w:rFonts w:ascii="Arial" w:hAnsi="Arial" w:cs="Arial"/>
          <w:i/>
          <w:iCs/>
          <w:szCs w:val="22"/>
        </w:rPr>
        <w:t>Accelerate: Building Strategic Agility for a Faster-Moving World</w:t>
      </w:r>
      <w:r w:rsidR="000A0685" w:rsidRPr="000A0685">
        <w:rPr>
          <w:rFonts w:ascii="Arial" w:hAnsi="Arial" w:cs="Arial"/>
          <w:szCs w:val="22"/>
        </w:rPr>
        <w:t>. Boston: Harvard Business Review Press.</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22.</w:t>
      </w:r>
      <w:r w:rsidR="000A0685" w:rsidRPr="000A0685">
        <w:rPr>
          <w:rFonts w:ascii="Arial" w:hAnsi="Arial" w:cs="Arial"/>
          <w:szCs w:val="22"/>
        </w:rPr>
        <w:t xml:space="preserve"> </w:t>
      </w:r>
      <w:proofErr w:type="spellStart"/>
      <w:r w:rsidR="000A0685" w:rsidRPr="000A0685">
        <w:rPr>
          <w:rFonts w:ascii="Arial" w:hAnsi="Arial" w:cs="Arial"/>
          <w:szCs w:val="22"/>
        </w:rPr>
        <w:t>Kotter</w:t>
      </w:r>
      <w:proofErr w:type="spellEnd"/>
      <w:r w:rsidR="000A0685" w:rsidRPr="000A0685">
        <w:rPr>
          <w:rFonts w:ascii="Arial" w:hAnsi="Arial" w:cs="Arial"/>
          <w:szCs w:val="22"/>
        </w:rPr>
        <w:t xml:space="preserve">, J.P. and Schlesinger, L.A. (2008) ‘Choosing strategies for change’, </w:t>
      </w:r>
      <w:r w:rsidR="000A0685" w:rsidRPr="000A0685">
        <w:rPr>
          <w:rFonts w:ascii="Arial" w:hAnsi="Arial" w:cs="Arial"/>
          <w:i/>
          <w:iCs/>
          <w:szCs w:val="22"/>
        </w:rPr>
        <w:t>Harvard Business Review</w:t>
      </w:r>
      <w:r w:rsidR="000A0685" w:rsidRPr="000A0685">
        <w:rPr>
          <w:rFonts w:ascii="Arial" w:hAnsi="Arial" w:cs="Arial"/>
          <w:szCs w:val="22"/>
        </w:rPr>
        <w:t>, 86(7/8), pp. 130–139.</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23.</w:t>
      </w:r>
      <w:r w:rsidR="000A0685" w:rsidRPr="000A0685">
        <w:rPr>
          <w:rFonts w:ascii="Arial" w:hAnsi="Arial" w:cs="Arial"/>
          <w:szCs w:val="22"/>
        </w:rPr>
        <w:t xml:space="preserve"> </w:t>
      </w:r>
      <w:proofErr w:type="spellStart"/>
      <w:r w:rsidR="000A0685" w:rsidRPr="000A0685">
        <w:rPr>
          <w:rFonts w:ascii="Arial" w:hAnsi="Arial" w:cs="Arial"/>
          <w:szCs w:val="22"/>
        </w:rPr>
        <w:t>Lewin</w:t>
      </w:r>
      <w:proofErr w:type="spellEnd"/>
      <w:r w:rsidR="000A0685" w:rsidRPr="000A0685">
        <w:rPr>
          <w:rFonts w:ascii="Arial" w:hAnsi="Arial" w:cs="Arial"/>
          <w:szCs w:val="22"/>
        </w:rPr>
        <w:t xml:space="preserve">, K. (1951) </w:t>
      </w:r>
      <w:r w:rsidR="000A0685" w:rsidRPr="000A0685">
        <w:rPr>
          <w:rFonts w:ascii="Arial" w:hAnsi="Arial" w:cs="Arial"/>
          <w:i/>
          <w:iCs/>
          <w:szCs w:val="22"/>
        </w:rPr>
        <w:t>Field Theory in Social Science</w:t>
      </w:r>
      <w:r w:rsidR="000A0685" w:rsidRPr="000A0685">
        <w:rPr>
          <w:rFonts w:ascii="Arial" w:hAnsi="Arial" w:cs="Arial"/>
          <w:szCs w:val="22"/>
        </w:rPr>
        <w:t>. New York: Harper &amp; Row.</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24.</w:t>
      </w:r>
      <w:r w:rsidR="000A0685" w:rsidRPr="000A0685">
        <w:rPr>
          <w:rFonts w:ascii="Arial" w:hAnsi="Arial" w:cs="Arial"/>
          <w:szCs w:val="22"/>
        </w:rPr>
        <w:t xml:space="preserve"> Lines, R. (2004) ‘Influence of participation in strategic change: Resistance, </w:t>
      </w:r>
      <w:proofErr w:type="spellStart"/>
      <w:r w:rsidR="000A0685" w:rsidRPr="000A0685">
        <w:rPr>
          <w:rFonts w:ascii="Arial" w:hAnsi="Arial" w:cs="Arial"/>
          <w:szCs w:val="22"/>
        </w:rPr>
        <w:t>organisational</w:t>
      </w:r>
      <w:proofErr w:type="spellEnd"/>
      <w:r w:rsidR="000A0685" w:rsidRPr="000A0685">
        <w:rPr>
          <w:rFonts w:ascii="Arial" w:hAnsi="Arial" w:cs="Arial"/>
          <w:szCs w:val="22"/>
        </w:rPr>
        <w:t xml:space="preserve"> commitment and change goal achievement’, </w:t>
      </w:r>
      <w:r w:rsidR="000A0685" w:rsidRPr="000A0685">
        <w:rPr>
          <w:rFonts w:ascii="Arial" w:hAnsi="Arial" w:cs="Arial"/>
          <w:i/>
          <w:iCs/>
          <w:szCs w:val="22"/>
        </w:rPr>
        <w:t>Journal of Change Management</w:t>
      </w:r>
      <w:r w:rsidR="00501239">
        <w:rPr>
          <w:rFonts w:ascii="Arial" w:hAnsi="Arial" w:cs="Arial"/>
          <w:szCs w:val="22"/>
        </w:rPr>
        <w:t>, 4(3), pp.</w:t>
      </w:r>
      <w:r w:rsidR="000A0685" w:rsidRPr="000A0685">
        <w:rPr>
          <w:rFonts w:ascii="Arial" w:hAnsi="Arial" w:cs="Arial"/>
          <w:szCs w:val="22"/>
        </w:rPr>
        <w:t>193–215.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25.</w:t>
      </w:r>
      <w:r w:rsidR="000A0685" w:rsidRPr="000A0685">
        <w:rPr>
          <w:rFonts w:ascii="Arial" w:hAnsi="Arial" w:cs="Arial"/>
          <w:szCs w:val="22"/>
        </w:rPr>
        <w:t xml:space="preserve"> McKinsey &amp; Company (2021) </w:t>
      </w:r>
      <w:proofErr w:type="gramStart"/>
      <w:r w:rsidR="000A0685" w:rsidRPr="000A0685">
        <w:rPr>
          <w:rFonts w:ascii="Arial" w:hAnsi="Arial" w:cs="Arial"/>
          <w:i/>
          <w:iCs/>
          <w:szCs w:val="22"/>
        </w:rPr>
        <w:t>The</w:t>
      </w:r>
      <w:proofErr w:type="gramEnd"/>
      <w:r w:rsidR="000A0685" w:rsidRPr="000A0685">
        <w:rPr>
          <w:rFonts w:ascii="Arial" w:hAnsi="Arial" w:cs="Arial"/>
          <w:i/>
          <w:iCs/>
          <w:szCs w:val="22"/>
        </w:rPr>
        <w:t xml:space="preserve"> future of supply chain resilience after COVID-19</w:t>
      </w:r>
      <w:r w:rsidR="000A0685" w:rsidRPr="000A0685">
        <w:rPr>
          <w:rFonts w:ascii="Arial" w:hAnsi="Arial" w:cs="Arial"/>
          <w:szCs w:val="22"/>
        </w:rPr>
        <w:t xml:space="preserve">. Available at: </w:t>
      </w:r>
      <w:hyperlink r:id="rId21" w:tgtFrame="_blank" w:tooltip="https://www.mckinsey.com/" w:history="1">
        <w:r w:rsidR="000A0685" w:rsidRPr="000A0685">
          <w:rPr>
            <w:rStyle w:val="Hyperlink"/>
            <w:rFonts w:ascii="Arial" w:eastAsia="Arial" w:hAnsi="Arial" w:cs="Arial"/>
            <w:szCs w:val="22"/>
          </w:rPr>
          <w:t>https://www.mckinsey.com</w:t>
        </w:r>
      </w:hyperlink>
      <w:r w:rsidR="000A0685" w:rsidRPr="000A0685">
        <w:rPr>
          <w:rFonts w:ascii="Arial" w:hAnsi="Arial" w:cs="Arial"/>
          <w:szCs w:val="22"/>
        </w:rPr>
        <w:t xml:space="preserve"> (Accessed: 16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26.</w:t>
      </w:r>
      <w:r w:rsidR="000A0685" w:rsidRPr="000A0685">
        <w:rPr>
          <w:rFonts w:ascii="Arial" w:hAnsi="Arial" w:cs="Arial"/>
          <w:szCs w:val="22"/>
        </w:rPr>
        <w:t xml:space="preserve"> </w:t>
      </w:r>
      <w:proofErr w:type="spellStart"/>
      <w:r w:rsidR="000A0685" w:rsidRPr="000A0685">
        <w:rPr>
          <w:rFonts w:ascii="Arial" w:hAnsi="Arial" w:cs="Arial"/>
          <w:szCs w:val="22"/>
        </w:rPr>
        <w:t>Northouse</w:t>
      </w:r>
      <w:proofErr w:type="spellEnd"/>
      <w:r w:rsidR="000A0685" w:rsidRPr="000A0685">
        <w:rPr>
          <w:rFonts w:ascii="Arial" w:hAnsi="Arial" w:cs="Arial"/>
          <w:szCs w:val="22"/>
        </w:rPr>
        <w:t xml:space="preserve">, P.G. (2022) </w:t>
      </w:r>
      <w:r w:rsidR="000A0685" w:rsidRPr="000A0685">
        <w:rPr>
          <w:rFonts w:ascii="Arial" w:hAnsi="Arial" w:cs="Arial"/>
          <w:i/>
          <w:iCs/>
          <w:szCs w:val="22"/>
        </w:rPr>
        <w:t>Leadership: Theory and Practice</w:t>
      </w:r>
      <w:r w:rsidR="000A0685" w:rsidRPr="000A0685">
        <w:rPr>
          <w:rFonts w:ascii="Arial" w:hAnsi="Arial" w:cs="Arial"/>
          <w:szCs w:val="22"/>
        </w:rPr>
        <w:t xml:space="preserve">. </w:t>
      </w:r>
      <w:proofErr w:type="gramStart"/>
      <w:r w:rsidR="000A0685" w:rsidRPr="000A0685">
        <w:rPr>
          <w:rFonts w:ascii="Arial" w:hAnsi="Arial" w:cs="Arial"/>
          <w:szCs w:val="22"/>
        </w:rPr>
        <w:t xml:space="preserve">9th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Thousand Oaks, CA: </w:t>
      </w:r>
      <w:r w:rsidR="000A0685" w:rsidRPr="000A0685">
        <w:rPr>
          <w:rFonts w:ascii="Arial" w:hAnsi="Arial" w:cs="Arial"/>
          <w:szCs w:val="22"/>
        </w:rPr>
        <w:lastRenderedPageBreak/>
        <w:t>Sage.</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27.</w:t>
      </w:r>
      <w:r w:rsidR="000A0685" w:rsidRPr="000A0685">
        <w:rPr>
          <w:rFonts w:ascii="Arial" w:hAnsi="Arial" w:cs="Arial"/>
          <w:szCs w:val="22"/>
        </w:rPr>
        <w:t xml:space="preserve"> </w:t>
      </w:r>
      <w:proofErr w:type="spellStart"/>
      <w:r w:rsidR="000A0685" w:rsidRPr="000A0685">
        <w:rPr>
          <w:rFonts w:ascii="Arial" w:hAnsi="Arial" w:cs="Arial"/>
          <w:szCs w:val="22"/>
        </w:rPr>
        <w:t>Oreg</w:t>
      </w:r>
      <w:proofErr w:type="spellEnd"/>
      <w:r w:rsidR="000A0685" w:rsidRPr="000A0685">
        <w:rPr>
          <w:rFonts w:ascii="Arial" w:hAnsi="Arial" w:cs="Arial"/>
          <w:szCs w:val="22"/>
        </w:rPr>
        <w:t xml:space="preserve">, S. (2006) ‘Personality, context, and resistance to </w:t>
      </w:r>
      <w:proofErr w:type="spellStart"/>
      <w:r w:rsidR="000A0685" w:rsidRPr="000A0685">
        <w:rPr>
          <w:rFonts w:ascii="Arial" w:hAnsi="Arial" w:cs="Arial"/>
          <w:szCs w:val="22"/>
        </w:rPr>
        <w:t>organisational</w:t>
      </w:r>
      <w:proofErr w:type="spellEnd"/>
      <w:r w:rsidR="000A0685" w:rsidRPr="000A0685">
        <w:rPr>
          <w:rFonts w:ascii="Arial" w:hAnsi="Arial" w:cs="Arial"/>
          <w:szCs w:val="22"/>
        </w:rPr>
        <w:t xml:space="preserve"> change’, </w:t>
      </w:r>
      <w:r w:rsidR="000A0685" w:rsidRPr="000A0685">
        <w:rPr>
          <w:rFonts w:ascii="Arial" w:hAnsi="Arial" w:cs="Arial"/>
          <w:i/>
          <w:iCs/>
          <w:szCs w:val="22"/>
        </w:rPr>
        <w:t>European Journal of Work and Organizational Psychology</w:t>
      </w:r>
      <w:r w:rsidR="000A0685" w:rsidRPr="000A0685">
        <w:rPr>
          <w:rFonts w:ascii="Arial" w:hAnsi="Arial" w:cs="Arial"/>
          <w:szCs w:val="22"/>
        </w:rPr>
        <w:t>, 15(1), pp. 73–101.</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28.</w:t>
      </w:r>
      <w:r w:rsidR="000A0685" w:rsidRPr="000A0685">
        <w:rPr>
          <w:rFonts w:ascii="Arial" w:hAnsi="Arial" w:cs="Arial"/>
          <w:szCs w:val="22"/>
        </w:rPr>
        <w:t xml:space="preserve"> </w:t>
      </w:r>
      <w:proofErr w:type="spellStart"/>
      <w:r w:rsidR="000A0685" w:rsidRPr="000A0685">
        <w:rPr>
          <w:rFonts w:ascii="Arial" w:hAnsi="Arial" w:cs="Arial"/>
          <w:szCs w:val="22"/>
        </w:rPr>
        <w:t>Oreg</w:t>
      </w:r>
      <w:proofErr w:type="spellEnd"/>
      <w:r w:rsidR="000A0685" w:rsidRPr="000A0685">
        <w:rPr>
          <w:rFonts w:ascii="Arial" w:hAnsi="Arial" w:cs="Arial"/>
          <w:szCs w:val="22"/>
        </w:rPr>
        <w:t xml:space="preserve">, S., </w:t>
      </w:r>
      <w:proofErr w:type="spellStart"/>
      <w:r w:rsidR="000A0685" w:rsidRPr="000A0685">
        <w:rPr>
          <w:rFonts w:ascii="Arial" w:hAnsi="Arial" w:cs="Arial"/>
          <w:szCs w:val="22"/>
        </w:rPr>
        <w:t>Bartunek</w:t>
      </w:r>
      <w:proofErr w:type="spellEnd"/>
      <w:r w:rsidR="000A0685" w:rsidRPr="000A0685">
        <w:rPr>
          <w:rFonts w:ascii="Arial" w:hAnsi="Arial" w:cs="Arial"/>
          <w:szCs w:val="22"/>
        </w:rPr>
        <w:t xml:space="preserve">, J.M., Lee, G. and Do, B. (2018) ‘An affect-based model of recipients’ responses to </w:t>
      </w:r>
      <w:proofErr w:type="spellStart"/>
      <w:r w:rsidR="000A0685" w:rsidRPr="000A0685">
        <w:rPr>
          <w:rFonts w:ascii="Arial" w:hAnsi="Arial" w:cs="Arial"/>
          <w:szCs w:val="22"/>
        </w:rPr>
        <w:t>organisational</w:t>
      </w:r>
      <w:proofErr w:type="spellEnd"/>
      <w:r w:rsidR="000A0685" w:rsidRPr="000A0685">
        <w:rPr>
          <w:rFonts w:ascii="Arial" w:hAnsi="Arial" w:cs="Arial"/>
          <w:szCs w:val="22"/>
        </w:rPr>
        <w:t xml:space="preserve"> change events’, </w:t>
      </w:r>
      <w:r w:rsidR="000A0685" w:rsidRPr="000A0685">
        <w:rPr>
          <w:rFonts w:ascii="Arial" w:hAnsi="Arial" w:cs="Arial"/>
          <w:i/>
          <w:iCs/>
          <w:szCs w:val="22"/>
        </w:rPr>
        <w:t>Academy of Management Review</w:t>
      </w:r>
      <w:r w:rsidR="000A0685" w:rsidRPr="000A0685">
        <w:rPr>
          <w:rFonts w:ascii="Arial" w:hAnsi="Arial" w:cs="Arial"/>
          <w:szCs w:val="22"/>
        </w:rPr>
        <w:t>, 43(1), pp. 65–86.</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29.</w:t>
      </w:r>
      <w:r w:rsidR="000A0685" w:rsidRPr="000A0685">
        <w:rPr>
          <w:rFonts w:ascii="Arial" w:hAnsi="Arial" w:cs="Arial"/>
          <w:szCs w:val="22"/>
        </w:rPr>
        <w:t xml:space="preserve"> </w:t>
      </w:r>
      <w:proofErr w:type="spellStart"/>
      <w:r w:rsidR="000A0685" w:rsidRPr="000A0685">
        <w:rPr>
          <w:rFonts w:ascii="Arial" w:hAnsi="Arial" w:cs="Arial"/>
          <w:szCs w:val="22"/>
        </w:rPr>
        <w:t>Petticrew</w:t>
      </w:r>
      <w:proofErr w:type="spellEnd"/>
      <w:r w:rsidR="000A0685" w:rsidRPr="000A0685">
        <w:rPr>
          <w:rFonts w:ascii="Arial" w:hAnsi="Arial" w:cs="Arial"/>
          <w:szCs w:val="22"/>
        </w:rPr>
        <w:t xml:space="preserve">, M. and Roberts, H. (2006) </w:t>
      </w:r>
      <w:r w:rsidR="000A0685" w:rsidRPr="000A0685">
        <w:rPr>
          <w:rFonts w:ascii="Arial" w:hAnsi="Arial" w:cs="Arial"/>
          <w:i/>
          <w:iCs/>
          <w:szCs w:val="22"/>
        </w:rPr>
        <w:t>Systematic Reviews in the Social Sciences: A Practical Guide</w:t>
      </w:r>
      <w:r w:rsidR="000A0685" w:rsidRPr="000A0685">
        <w:rPr>
          <w:rFonts w:ascii="Arial" w:hAnsi="Arial" w:cs="Arial"/>
          <w:szCs w:val="22"/>
        </w:rPr>
        <w:t>. Oxford: Blackwell.</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30.</w:t>
      </w:r>
      <w:r w:rsidR="000A0685" w:rsidRPr="000A0685">
        <w:rPr>
          <w:rFonts w:ascii="Arial" w:hAnsi="Arial" w:cs="Arial"/>
          <w:szCs w:val="22"/>
        </w:rPr>
        <w:t xml:space="preserve"> PwC (2022) </w:t>
      </w:r>
      <w:r w:rsidR="000A0685" w:rsidRPr="000A0685">
        <w:rPr>
          <w:rFonts w:ascii="Arial" w:hAnsi="Arial" w:cs="Arial"/>
          <w:i/>
          <w:iCs/>
          <w:szCs w:val="22"/>
        </w:rPr>
        <w:t>Retail and Consumer Goods Industry Insights</w:t>
      </w:r>
      <w:r w:rsidR="000A0685" w:rsidRPr="000A0685">
        <w:rPr>
          <w:rFonts w:ascii="Arial" w:hAnsi="Arial" w:cs="Arial"/>
          <w:szCs w:val="22"/>
        </w:rPr>
        <w:t xml:space="preserve">. Available at: </w:t>
      </w:r>
      <w:hyperlink r:id="rId22" w:tgtFrame="_blank" w:tooltip="https://www.pwc.com/" w:history="1">
        <w:r w:rsidR="000A0685" w:rsidRPr="000A0685">
          <w:rPr>
            <w:rStyle w:val="Hyperlink"/>
            <w:rFonts w:ascii="Arial" w:eastAsia="Arial" w:hAnsi="Arial" w:cs="Arial"/>
            <w:szCs w:val="22"/>
          </w:rPr>
          <w:t>https://www.pwc.com</w:t>
        </w:r>
      </w:hyperlink>
      <w:r w:rsidR="000A0685" w:rsidRPr="000A0685">
        <w:rPr>
          <w:rFonts w:ascii="Arial" w:hAnsi="Arial" w:cs="Arial"/>
          <w:szCs w:val="22"/>
        </w:rPr>
        <w:t xml:space="preserve"> (Accessed: 10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31.</w:t>
      </w:r>
      <w:r w:rsidR="000A0685" w:rsidRPr="000A0685">
        <w:rPr>
          <w:rFonts w:ascii="Arial" w:hAnsi="Arial" w:cs="Arial"/>
          <w:szCs w:val="22"/>
        </w:rPr>
        <w:t xml:space="preserve"> Saunders, M., Lewis, P. and </w:t>
      </w:r>
      <w:proofErr w:type="spellStart"/>
      <w:r w:rsidR="000A0685" w:rsidRPr="000A0685">
        <w:rPr>
          <w:rFonts w:ascii="Arial" w:hAnsi="Arial" w:cs="Arial"/>
          <w:szCs w:val="22"/>
        </w:rPr>
        <w:t>Thornhill</w:t>
      </w:r>
      <w:proofErr w:type="spellEnd"/>
      <w:r w:rsidR="000A0685" w:rsidRPr="000A0685">
        <w:rPr>
          <w:rFonts w:ascii="Arial" w:hAnsi="Arial" w:cs="Arial"/>
          <w:szCs w:val="22"/>
        </w:rPr>
        <w:t xml:space="preserve">, A. (2019) </w:t>
      </w:r>
      <w:r w:rsidR="000A0685" w:rsidRPr="000A0685">
        <w:rPr>
          <w:rFonts w:ascii="Arial" w:hAnsi="Arial" w:cs="Arial"/>
          <w:i/>
          <w:iCs/>
          <w:szCs w:val="22"/>
        </w:rPr>
        <w:t>Research Methods for Business Students</w:t>
      </w:r>
      <w:r w:rsidR="000A0685" w:rsidRPr="000A0685">
        <w:rPr>
          <w:rFonts w:ascii="Arial" w:hAnsi="Arial" w:cs="Arial"/>
          <w:szCs w:val="22"/>
        </w:rPr>
        <w:t xml:space="preserve">. </w:t>
      </w:r>
      <w:proofErr w:type="gramStart"/>
      <w:r w:rsidR="000A0685" w:rsidRPr="000A0685">
        <w:rPr>
          <w:rFonts w:ascii="Arial" w:hAnsi="Arial" w:cs="Arial"/>
          <w:szCs w:val="22"/>
        </w:rPr>
        <w:t xml:space="preserve">8th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Harlow: Pearson Education.</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32.</w:t>
      </w:r>
      <w:r w:rsidR="000A0685" w:rsidRPr="000A0685">
        <w:rPr>
          <w:rFonts w:ascii="Arial" w:hAnsi="Arial" w:cs="Arial"/>
          <w:szCs w:val="22"/>
        </w:rPr>
        <w:t xml:space="preserve"> Schein, E.H. (2010) </w:t>
      </w:r>
      <w:proofErr w:type="spellStart"/>
      <w:r w:rsidR="000A0685" w:rsidRPr="000A0685">
        <w:rPr>
          <w:rFonts w:ascii="Arial" w:hAnsi="Arial" w:cs="Arial"/>
          <w:i/>
          <w:iCs/>
          <w:szCs w:val="22"/>
        </w:rPr>
        <w:t>Organisational</w:t>
      </w:r>
      <w:proofErr w:type="spellEnd"/>
      <w:r w:rsidR="000A0685" w:rsidRPr="000A0685">
        <w:rPr>
          <w:rFonts w:ascii="Arial" w:hAnsi="Arial" w:cs="Arial"/>
          <w:i/>
          <w:iCs/>
          <w:szCs w:val="22"/>
        </w:rPr>
        <w:t xml:space="preserve"> Culture and Leadership</w:t>
      </w:r>
      <w:r w:rsidR="000A0685" w:rsidRPr="000A0685">
        <w:rPr>
          <w:rFonts w:ascii="Arial" w:hAnsi="Arial" w:cs="Arial"/>
          <w:szCs w:val="22"/>
        </w:rPr>
        <w:t xml:space="preserve">. </w:t>
      </w:r>
      <w:proofErr w:type="gramStart"/>
      <w:r w:rsidR="000A0685" w:rsidRPr="000A0685">
        <w:rPr>
          <w:rFonts w:ascii="Arial" w:hAnsi="Arial" w:cs="Arial"/>
          <w:szCs w:val="22"/>
        </w:rPr>
        <w:t xml:space="preserve">4th </w:t>
      </w:r>
      <w:proofErr w:type="spellStart"/>
      <w:r w:rsidR="000A0685" w:rsidRPr="000A0685">
        <w:rPr>
          <w:rFonts w:ascii="Arial" w:hAnsi="Arial" w:cs="Arial"/>
          <w:szCs w:val="22"/>
        </w:rPr>
        <w:t>edn</w:t>
      </w:r>
      <w:proofErr w:type="spellEnd"/>
      <w:r w:rsidR="000A0685" w:rsidRPr="000A0685">
        <w:rPr>
          <w:rFonts w:ascii="Arial" w:hAnsi="Arial" w:cs="Arial"/>
          <w:szCs w:val="22"/>
        </w:rPr>
        <w:t>.</w:t>
      </w:r>
      <w:proofErr w:type="gramEnd"/>
      <w:r w:rsidR="000A0685" w:rsidRPr="000A0685">
        <w:rPr>
          <w:rFonts w:ascii="Arial" w:hAnsi="Arial" w:cs="Arial"/>
          <w:szCs w:val="22"/>
        </w:rPr>
        <w:t xml:space="preserve"> San Francisco: </w:t>
      </w:r>
      <w:proofErr w:type="spellStart"/>
      <w:r w:rsidR="000A0685" w:rsidRPr="000A0685">
        <w:rPr>
          <w:rFonts w:ascii="Arial" w:hAnsi="Arial" w:cs="Arial"/>
          <w:szCs w:val="22"/>
        </w:rPr>
        <w:t>Jossey</w:t>
      </w:r>
      <w:proofErr w:type="spellEnd"/>
      <w:r w:rsidR="000A0685" w:rsidRPr="000A0685">
        <w:rPr>
          <w:rFonts w:ascii="Arial" w:hAnsi="Arial" w:cs="Arial"/>
          <w:szCs w:val="22"/>
        </w:rPr>
        <w:t>-Bass.</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33.</w:t>
      </w:r>
      <w:r w:rsidR="000A0685" w:rsidRPr="000A0685">
        <w:rPr>
          <w:rFonts w:ascii="Arial" w:hAnsi="Arial" w:cs="Arial"/>
          <w:szCs w:val="22"/>
        </w:rPr>
        <w:t xml:space="preserve"> </w:t>
      </w:r>
      <w:proofErr w:type="spellStart"/>
      <w:r w:rsidR="000A0685" w:rsidRPr="000A0685">
        <w:rPr>
          <w:rFonts w:ascii="Arial" w:hAnsi="Arial" w:cs="Arial"/>
          <w:szCs w:val="22"/>
        </w:rPr>
        <w:t>Statista</w:t>
      </w:r>
      <w:proofErr w:type="spellEnd"/>
      <w:r w:rsidR="000A0685" w:rsidRPr="000A0685">
        <w:rPr>
          <w:rFonts w:ascii="Arial" w:hAnsi="Arial" w:cs="Arial"/>
          <w:szCs w:val="22"/>
        </w:rPr>
        <w:t xml:space="preserve"> (2024) </w:t>
      </w:r>
      <w:r w:rsidR="000A0685" w:rsidRPr="000A0685">
        <w:rPr>
          <w:rFonts w:ascii="Arial" w:hAnsi="Arial" w:cs="Arial"/>
          <w:i/>
          <w:iCs/>
          <w:szCs w:val="22"/>
        </w:rPr>
        <w:t>Number of employees of Tesco plc worldwide from 2012 to 2024</w:t>
      </w:r>
      <w:r w:rsidR="000A0685" w:rsidRPr="000A0685">
        <w:rPr>
          <w:rFonts w:ascii="Arial" w:hAnsi="Arial" w:cs="Arial"/>
          <w:szCs w:val="22"/>
        </w:rPr>
        <w:t xml:space="preserve">. Available at: </w:t>
      </w:r>
      <w:hyperlink r:id="rId23" w:tgtFrame="_blank" w:tooltip="https://www.statista.com/" w:history="1">
        <w:r w:rsidR="000A0685" w:rsidRPr="000A0685">
          <w:rPr>
            <w:rStyle w:val="Hyperlink"/>
            <w:rFonts w:ascii="Arial" w:eastAsia="Arial" w:hAnsi="Arial" w:cs="Arial"/>
            <w:szCs w:val="22"/>
          </w:rPr>
          <w:t>https://www.statista.com</w:t>
        </w:r>
      </w:hyperlink>
      <w:r w:rsidR="000A0685" w:rsidRPr="000A0685">
        <w:rPr>
          <w:rFonts w:ascii="Arial" w:hAnsi="Arial" w:cs="Arial"/>
          <w:szCs w:val="22"/>
        </w:rPr>
        <w:t xml:space="preserve"> (Accessed: 12 November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34.</w:t>
      </w:r>
      <w:r w:rsidR="000A0685" w:rsidRPr="000A0685">
        <w:rPr>
          <w:rFonts w:ascii="Arial" w:hAnsi="Arial" w:cs="Arial"/>
          <w:szCs w:val="22"/>
        </w:rPr>
        <w:t xml:space="preserve"> Tesco plc (2024) </w:t>
      </w:r>
      <w:r w:rsidR="000A0685" w:rsidRPr="000A0685">
        <w:rPr>
          <w:rFonts w:ascii="Arial" w:hAnsi="Arial" w:cs="Arial"/>
          <w:i/>
          <w:iCs/>
          <w:szCs w:val="22"/>
        </w:rPr>
        <w:t>Annual Report and Financial Statements 2024</w:t>
      </w:r>
      <w:r w:rsidR="000A0685" w:rsidRPr="000A0685">
        <w:rPr>
          <w:rFonts w:ascii="Arial" w:hAnsi="Arial" w:cs="Arial"/>
          <w:szCs w:val="22"/>
        </w:rPr>
        <w:t xml:space="preserve">. Available at: </w:t>
      </w:r>
      <w:hyperlink r:id="rId24" w:tgtFrame="_blank" w:tooltip="https://www.tescoplc.com/" w:history="1">
        <w:r w:rsidR="000A0685" w:rsidRPr="000A0685">
          <w:rPr>
            <w:rStyle w:val="Hyperlink"/>
            <w:rFonts w:ascii="Arial" w:eastAsia="Arial" w:hAnsi="Arial" w:cs="Arial"/>
            <w:szCs w:val="22"/>
          </w:rPr>
          <w:t>https://www.tescoplc.com</w:t>
        </w:r>
      </w:hyperlink>
      <w:r w:rsidR="000A0685" w:rsidRPr="000A0685">
        <w:rPr>
          <w:rFonts w:ascii="Arial" w:hAnsi="Arial" w:cs="Arial"/>
          <w:szCs w:val="22"/>
        </w:rPr>
        <w:t xml:space="preserve"> (Accessed: 11 October 2025).</w:t>
      </w:r>
      <w:r w:rsidR="000A0685" w:rsidRPr="000A0685">
        <w:rPr>
          <w:rFonts w:ascii="Arial" w:hAnsi="Arial" w:cs="Arial"/>
          <w:szCs w:val="22"/>
        </w:rPr>
        <w:br/>
      </w:r>
      <w:r w:rsidR="000A0685" w:rsidRPr="000A0685">
        <w:rPr>
          <w:rFonts w:ascii="Arial" w:hAnsi="Arial" w:cs="Arial"/>
          <w:szCs w:val="22"/>
        </w:rPr>
        <w:br/>
      </w:r>
      <w:r w:rsidR="000A0685" w:rsidRPr="000A0685">
        <w:rPr>
          <w:rFonts w:ascii="Arial" w:hAnsi="Arial" w:cs="Arial"/>
          <w:b/>
          <w:bCs/>
          <w:szCs w:val="22"/>
        </w:rPr>
        <w:t>35.</w:t>
      </w:r>
      <w:r w:rsidR="000A0685" w:rsidRPr="000A0685">
        <w:rPr>
          <w:rFonts w:ascii="Arial" w:hAnsi="Arial" w:cs="Arial"/>
          <w:szCs w:val="22"/>
        </w:rPr>
        <w:t xml:space="preserve"> </w:t>
      </w:r>
      <w:proofErr w:type="spellStart"/>
      <w:r w:rsidR="000A0685" w:rsidRPr="000A0685">
        <w:rPr>
          <w:rFonts w:ascii="Arial" w:hAnsi="Arial" w:cs="Arial"/>
          <w:szCs w:val="22"/>
        </w:rPr>
        <w:t>Tranfield</w:t>
      </w:r>
      <w:proofErr w:type="spellEnd"/>
      <w:r w:rsidR="000A0685" w:rsidRPr="000A0685">
        <w:rPr>
          <w:rFonts w:ascii="Arial" w:hAnsi="Arial" w:cs="Arial"/>
          <w:szCs w:val="22"/>
        </w:rPr>
        <w:t xml:space="preserve">, D., </w:t>
      </w:r>
      <w:proofErr w:type="spellStart"/>
      <w:r w:rsidR="000A0685" w:rsidRPr="000A0685">
        <w:rPr>
          <w:rFonts w:ascii="Arial" w:hAnsi="Arial" w:cs="Arial"/>
          <w:szCs w:val="22"/>
        </w:rPr>
        <w:t>Denyer</w:t>
      </w:r>
      <w:proofErr w:type="spellEnd"/>
      <w:r w:rsidR="000A0685" w:rsidRPr="000A0685">
        <w:rPr>
          <w:rFonts w:ascii="Arial" w:hAnsi="Arial" w:cs="Arial"/>
          <w:szCs w:val="22"/>
        </w:rPr>
        <w:t xml:space="preserve">, D. and Smart, P. (2003) ‘Towards a methodology for developing evidence-informed management knowledge by means of systematic review’, </w:t>
      </w:r>
      <w:r w:rsidR="000A0685" w:rsidRPr="000A0685">
        <w:rPr>
          <w:rFonts w:ascii="Arial" w:hAnsi="Arial" w:cs="Arial"/>
          <w:i/>
          <w:iCs/>
          <w:szCs w:val="22"/>
        </w:rPr>
        <w:t>British Journal of Management</w:t>
      </w:r>
      <w:r w:rsidR="000A0685" w:rsidRPr="000A0685">
        <w:rPr>
          <w:rFonts w:ascii="Arial" w:hAnsi="Arial" w:cs="Arial"/>
          <w:szCs w:val="22"/>
        </w:rPr>
        <w:t>, 14(3), pp. 207–222.</w:t>
      </w:r>
    </w:p>
    <w:p w:rsidR="0009510D" w:rsidRPr="0009510D" w:rsidRDefault="000A0685" w:rsidP="000A0685">
      <w:pPr>
        <w:pStyle w:val="NormalWeb"/>
        <w:spacing w:line="360" w:lineRule="auto"/>
        <w:rPr>
          <w:rFonts w:ascii="Arial" w:hAnsi="Arial" w:cs="Arial"/>
          <w:szCs w:val="22"/>
        </w:rPr>
      </w:pPr>
      <w:r>
        <w:rPr>
          <w:rFonts w:ascii="Segoe UI" w:hAnsi="Segoe UI" w:cs="Segoe UI"/>
          <w:sz w:val="21"/>
          <w:szCs w:val="21"/>
        </w:rPr>
        <w:t> </w:t>
      </w:r>
    </w:p>
    <w:p w:rsidR="00ED7C7A" w:rsidRPr="0060523E" w:rsidRDefault="0009510D" w:rsidP="0009510D">
      <w:pPr>
        <w:pStyle w:val="NormalWeb"/>
        <w:spacing w:line="360" w:lineRule="auto"/>
        <w:ind w:left="62"/>
        <w:rPr>
          <w:rFonts w:ascii="Arial" w:hAnsi="Arial" w:cs="Arial"/>
          <w:szCs w:val="22"/>
        </w:rPr>
      </w:pPr>
      <w:r>
        <w:rPr>
          <w:rFonts w:ascii="Segoe UI" w:hAnsi="Segoe UI" w:cs="Segoe UI"/>
          <w:sz w:val="21"/>
          <w:szCs w:val="21"/>
        </w:rPr>
        <w:t> </w:t>
      </w:r>
    </w:p>
    <w:p w:rsidR="001358D6" w:rsidRPr="00FA5EA3" w:rsidRDefault="003C1E00" w:rsidP="003C1E00">
      <w:pPr>
        <w:pStyle w:val="Heading2"/>
        <w:spacing w:line="360" w:lineRule="auto"/>
        <w:ind w:left="0" w:firstLine="0"/>
        <w:jc w:val="left"/>
      </w:pPr>
      <w:r w:rsidRPr="00FA5EA3">
        <w:rPr>
          <w:sz w:val="21"/>
          <w:szCs w:val="21"/>
        </w:rPr>
        <w:lastRenderedPageBreak/>
        <w:t> </w:t>
      </w:r>
    </w:p>
    <w:p w:rsidR="008818D1" w:rsidRPr="00FA5EA3" w:rsidRDefault="008818D1" w:rsidP="001358D6">
      <w:pPr>
        <w:spacing w:after="160"/>
      </w:pPr>
    </w:p>
    <w:sectPr w:rsidR="008818D1" w:rsidRPr="00FA5EA3" w:rsidSect="00C03E3A">
      <w:footerReference w:type="even" r:id="rId25"/>
      <w:footerReference w:type="default" r:id="rId26"/>
      <w:footerReference w:type="first" r:id="rId27"/>
      <w:pgSz w:w="11906" w:h="16838"/>
      <w:pgMar w:top="1447" w:right="1383" w:bottom="1447" w:left="1440" w:header="720" w:footer="706" w:gutter="0"/>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E1300" w:rsidRDefault="007E1300">
      <w:pPr>
        <w:spacing w:after="0" w:line="240" w:lineRule="auto"/>
      </w:pPr>
      <w:r>
        <w:separator/>
      </w:r>
    </w:p>
  </w:endnote>
  <w:endnote w:type="continuationSeparator" w:id="0">
    <w:p w:rsidR="007E1300" w:rsidRDefault="007E130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01239" w:rsidRDefault="002C583D">
    <w:pPr>
      <w:spacing w:after="0" w:line="259" w:lineRule="auto"/>
      <w:ind w:right="57"/>
      <w:jc w:val="center"/>
    </w:pPr>
    <w:r w:rsidRPr="002C583D">
      <w:rPr>
        <w:sz w:val="24"/>
      </w:rPr>
      <w:fldChar w:fldCharType="begin"/>
    </w:r>
    <w:r w:rsidR="00501239">
      <w:instrText xml:space="preserve"> PAGE   \* MERGEFORMAT </w:instrText>
    </w:r>
    <w:r w:rsidRPr="002C583D">
      <w:rPr>
        <w:sz w:val="24"/>
      </w:rPr>
      <w:fldChar w:fldCharType="separate"/>
    </w:r>
    <w:r w:rsidR="00501239">
      <w:rPr>
        <w:rFonts w:ascii="Calibri" w:eastAsia="Calibri" w:hAnsi="Calibri" w:cs="Calibri"/>
      </w:rPr>
      <w:t>3</w:t>
    </w:r>
    <w:r>
      <w:rPr>
        <w:rFonts w:ascii="Calibri" w:eastAsia="Calibri" w:hAnsi="Calibri" w:cs="Calibri"/>
      </w:rPr>
      <w:fldChar w:fldCharType="end"/>
    </w:r>
    <w:r w:rsidR="00501239">
      <w:rPr>
        <w:rFonts w:ascii="Calibri" w:eastAsia="Calibri" w:hAnsi="Calibri" w:cs="Calibri"/>
      </w:rPr>
      <w:t xml:space="preserve"> </w:t>
    </w:r>
  </w:p>
  <w:p w:rsidR="00501239" w:rsidRDefault="00501239">
    <w:pPr>
      <w:spacing w:after="0" w:line="259" w:lineRule="auto"/>
    </w:pPr>
    <w:r>
      <w:rPr>
        <w:rFonts w:ascii="Calibri" w:eastAsia="Calibri" w:hAnsi="Calibri" w:cs="Calibri"/>
      </w:rPr>
      <w:t xml:space="preserve"> </w:t>
    </w: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01239" w:rsidRPr="001E0F0A" w:rsidRDefault="002C583D" w:rsidP="001E0F0A">
    <w:pPr>
      <w:spacing w:after="0" w:line="259" w:lineRule="auto"/>
      <w:ind w:right="57"/>
      <w:jc w:val="center"/>
    </w:pPr>
    <w:r w:rsidRPr="002C583D">
      <w:rPr>
        <w:sz w:val="24"/>
      </w:rPr>
      <w:fldChar w:fldCharType="begin"/>
    </w:r>
    <w:r w:rsidR="00501239">
      <w:instrText xml:space="preserve"> PAGE   \* MERGEFORMAT </w:instrText>
    </w:r>
    <w:r w:rsidRPr="002C583D">
      <w:rPr>
        <w:sz w:val="24"/>
      </w:rPr>
      <w:fldChar w:fldCharType="separate"/>
    </w:r>
    <w:r w:rsidR="004752B3" w:rsidRPr="004752B3">
      <w:rPr>
        <w:rFonts w:ascii="Calibri" w:eastAsia="Calibri" w:hAnsi="Calibri" w:cs="Calibri"/>
        <w:noProof/>
      </w:rPr>
      <w:t>4</w:t>
    </w:r>
    <w:r>
      <w:rPr>
        <w:rFonts w:ascii="Calibri" w:eastAsia="Calibri" w:hAnsi="Calibri" w:cs="Calibri"/>
      </w:rPr>
      <w:fldChar w:fldCharType="end"/>
    </w:r>
    <w:r w:rsidR="00501239">
      <w:rPr>
        <w:rFonts w:ascii="Calibri" w:eastAsia="Calibri" w:hAnsi="Calibri" w:cs="Calibri"/>
      </w:rPr>
      <w:t xml:space="preserve"> </w:t>
    </w: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01239" w:rsidRDefault="002C583D">
    <w:pPr>
      <w:spacing w:after="0" w:line="259" w:lineRule="auto"/>
      <w:ind w:right="57"/>
      <w:jc w:val="center"/>
    </w:pPr>
    <w:r w:rsidRPr="002C583D">
      <w:rPr>
        <w:sz w:val="24"/>
      </w:rPr>
      <w:fldChar w:fldCharType="begin"/>
    </w:r>
    <w:r w:rsidR="00501239">
      <w:instrText xml:space="preserve"> PAGE   \* MERGEFORMAT </w:instrText>
    </w:r>
    <w:r w:rsidRPr="002C583D">
      <w:rPr>
        <w:sz w:val="24"/>
      </w:rPr>
      <w:fldChar w:fldCharType="separate"/>
    </w:r>
    <w:r w:rsidR="00501239">
      <w:rPr>
        <w:rFonts w:ascii="Calibri" w:eastAsia="Calibri" w:hAnsi="Calibri" w:cs="Calibri"/>
      </w:rPr>
      <w:t>3</w:t>
    </w:r>
    <w:r>
      <w:rPr>
        <w:rFonts w:ascii="Calibri" w:eastAsia="Calibri" w:hAnsi="Calibri" w:cs="Calibri"/>
      </w:rPr>
      <w:fldChar w:fldCharType="end"/>
    </w:r>
    <w:r w:rsidR="00501239">
      <w:rPr>
        <w:rFonts w:ascii="Calibri" w:eastAsia="Calibri" w:hAnsi="Calibri" w:cs="Calibri"/>
      </w:rPr>
      <w:t xml:space="preserve"> </w:t>
    </w:r>
  </w:p>
  <w:p w:rsidR="00501239" w:rsidRDefault="00501239">
    <w:pPr>
      <w:spacing w:after="0" w:line="259" w:lineRule="auto"/>
    </w:pPr>
    <w:r>
      <w:rPr>
        <w:rFonts w:ascii="Calibri" w:eastAsia="Calibri" w:hAnsi="Calibri" w:cs="Calibri"/>
      </w:rPr>
      <w:t xml:space="preserve"> </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E1300" w:rsidRDefault="007E1300">
      <w:pPr>
        <w:spacing w:after="0" w:line="240" w:lineRule="auto"/>
      </w:pPr>
      <w:r>
        <w:separator/>
      </w:r>
    </w:p>
  </w:footnote>
  <w:footnote w:type="continuationSeparator" w:id="0">
    <w:p w:rsidR="007E1300" w:rsidRDefault="007E130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72309B"/>
    <w:multiLevelType w:val="hybridMultilevel"/>
    <w:tmpl w:val="77300F18"/>
    <w:lvl w:ilvl="0" w:tplc="0809000F">
      <w:start w:val="1"/>
      <w:numFmt w:val="decimal"/>
      <w:lvlText w:val="%1."/>
      <w:lvlJc w:val="left"/>
      <w:pPr>
        <w:ind w:left="4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nsid w:val="01D911C8"/>
    <w:multiLevelType w:val="hybridMultilevel"/>
    <w:tmpl w:val="3062A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3BB550E"/>
    <w:multiLevelType w:val="hybridMultilevel"/>
    <w:tmpl w:val="92486D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97C0F9B"/>
    <w:multiLevelType w:val="hybridMultilevel"/>
    <w:tmpl w:val="A4F6EEAC"/>
    <w:lvl w:ilvl="0" w:tplc="54B86B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BEB58E2"/>
    <w:multiLevelType w:val="hybridMultilevel"/>
    <w:tmpl w:val="5E508A7A"/>
    <w:lvl w:ilvl="0" w:tplc="54B86B2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nsid w:val="0FE31D0B"/>
    <w:multiLevelType w:val="hybridMultilevel"/>
    <w:tmpl w:val="D9C2A2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81B0690"/>
    <w:multiLevelType w:val="multilevel"/>
    <w:tmpl w:val="BF444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14E6590"/>
    <w:multiLevelType w:val="hybridMultilevel"/>
    <w:tmpl w:val="0BF2A6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9">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nsid w:val="311A6545"/>
    <w:multiLevelType w:val="multilevel"/>
    <w:tmpl w:val="CA908AA8"/>
    <w:lvl w:ilvl="0">
      <w:start w:val="1"/>
      <w:numFmt w:val="decimal"/>
      <w:lvlText w:val="%1"/>
      <w:lvlJc w:val="left"/>
      <w:pPr>
        <w:ind w:left="465" w:hanging="465"/>
      </w:pPr>
      <w:rPr>
        <w:rFonts w:eastAsiaTheme="majorEastAsia" w:hint="default"/>
        <w:b/>
        <w:color w:val="156082" w:themeColor="accent1"/>
        <w:sz w:val="28"/>
      </w:rPr>
    </w:lvl>
    <w:lvl w:ilvl="1">
      <w:start w:val="1"/>
      <w:numFmt w:val="decimal"/>
      <w:lvlText w:val="%1.%2"/>
      <w:lvlJc w:val="left"/>
      <w:pPr>
        <w:ind w:left="465" w:hanging="465"/>
      </w:pPr>
      <w:rPr>
        <w:rFonts w:eastAsiaTheme="majorEastAsia" w:hint="default"/>
        <w:b/>
        <w:color w:val="156082" w:themeColor="accent1"/>
        <w:sz w:val="28"/>
      </w:rPr>
    </w:lvl>
    <w:lvl w:ilvl="2">
      <w:start w:val="1"/>
      <w:numFmt w:val="decimal"/>
      <w:lvlText w:val="%1.%2.%3"/>
      <w:lvlJc w:val="left"/>
      <w:pPr>
        <w:ind w:left="720" w:hanging="720"/>
      </w:pPr>
      <w:rPr>
        <w:rFonts w:eastAsiaTheme="majorEastAsia" w:hint="default"/>
        <w:b/>
        <w:color w:val="156082" w:themeColor="accent1"/>
        <w:sz w:val="28"/>
      </w:rPr>
    </w:lvl>
    <w:lvl w:ilvl="3">
      <w:start w:val="1"/>
      <w:numFmt w:val="decimal"/>
      <w:lvlText w:val="%1.%2.%3.%4"/>
      <w:lvlJc w:val="left"/>
      <w:pPr>
        <w:ind w:left="720" w:hanging="720"/>
      </w:pPr>
      <w:rPr>
        <w:rFonts w:eastAsiaTheme="majorEastAsia" w:hint="default"/>
        <w:b/>
        <w:color w:val="156082" w:themeColor="accent1"/>
        <w:sz w:val="28"/>
      </w:rPr>
    </w:lvl>
    <w:lvl w:ilvl="4">
      <w:start w:val="1"/>
      <w:numFmt w:val="decimal"/>
      <w:lvlText w:val="%1.%2.%3.%4.%5"/>
      <w:lvlJc w:val="left"/>
      <w:pPr>
        <w:ind w:left="1080" w:hanging="1080"/>
      </w:pPr>
      <w:rPr>
        <w:rFonts w:eastAsiaTheme="majorEastAsia" w:hint="default"/>
        <w:b/>
        <w:color w:val="156082" w:themeColor="accent1"/>
        <w:sz w:val="28"/>
      </w:rPr>
    </w:lvl>
    <w:lvl w:ilvl="5">
      <w:start w:val="1"/>
      <w:numFmt w:val="decimal"/>
      <w:lvlText w:val="%1.%2.%3.%4.%5.%6"/>
      <w:lvlJc w:val="left"/>
      <w:pPr>
        <w:ind w:left="1080" w:hanging="1080"/>
      </w:pPr>
      <w:rPr>
        <w:rFonts w:eastAsiaTheme="majorEastAsia" w:hint="default"/>
        <w:b/>
        <w:color w:val="156082" w:themeColor="accent1"/>
        <w:sz w:val="28"/>
      </w:rPr>
    </w:lvl>
    <w:lvl w:ilvl="6">
      <w:start w:val="1"/>
      <w:numFmt w:val="decimal"/>
      <w:lvlText w:val="%1.%2.%3.%4.%5.%6.%7"/>
      <w:lvlJc w:val="left"/>
      <w:pPr>
        <w:ind w:left="1440" w:hanging="1440"/>
      </w:pPr>
      <w:rPr>
        <w:rFonts w:eastAsiaTheme="majorEastAsia" w:hint="default"/>
        <w:b/>
        <w:color w:val="156082" w:themeColor="accent1"/>
        <w:sz w:val="28"/>
      </w:rPr>
    </w:lvl>
    <w:lvl w:ilvl="7">
      <w:start w:val="1"/>
      <w:numFmt w:val="decimal"/>
      <w:lvlText w:val="%1.%2.%3.%4.%5.%6.%7.%8"/>
      <w:lvlJc w:val="left"/>
      <w:pPr>
        <w:ind w:left="1440" w:hanging="1440"/>
      </w:pPr>
      <w:rPr>
        <w:rFonts w:eastAsiaTheme="majorEastAsia" w:hint="default"/>
        <w:b/>
        <w:color w:val="156082" w:themeColor="accent1"/>
        <w:sz w:val="28"/>
      </w:rPr>
    </w:lvl>
    <w:lvl w:ilvl="8">
      <w:start w:val="1"/>
      <w:numFmt w:val="decimal"/>
      <w:lvlText w:val="%1.%2.%3.%4.%5.%6.%7.%8.%9"/>
      <w:lvlJc w:val="left"/>
      <w:pPr>
        <w:ind w:left="1800" w:hanging="1800"/>
      </w:pPr>
      <w:rPr>
        <w:rFonts w:eastAsiaTheme="majorEastAsia" w:hint="default"/>
        <w:b/>
        <w:color w:val="156082" w:themeColor="accent1"/>
        <w:sz w:val="28"/>
      </w:rPr>
    </w:lvl>
  </w:abstractNum>
  <w:abstractNum w:abstractNumId="11">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2">
    <w:nsid w:val="343173D1"/>
    <w:multiLevelType w:val="hybridMultilevel"/>
    <w:tmpl w:val="D054A0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B5439F6"/>
    <w:multiLevelType w:val="hybridMultilevel"/>
    <w:tmpl w:val="FB02493C"/>
    <w:lvl w:ilvl="0" w:tplc="54B86B22">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nsid w:val="4066479F"/>
    <w:multiLevelType w:val="hybridMultilevel"/>
    <w:tmpl w:val="B5F04DEC"/>
    <w:lvl w:ilvl="0" w:tplc="8E363AB6">
      <w:start w:val="1"/>
      <w:numFmt w:val="decimal"/>
      <w:lvlText w:val="%1."/>
      <w:lvlJc w:val="left"/>
      <w:pPr>
        <w:ind w:left="4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16D320B"/>
    <w:multiLevelType w:val="multilevel"/>
    <w:tmpl w:val="217CE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7">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8">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9">
    <w:nsid w:val="5CE45C36"/>
    <w:multiLevelType w:val="hybridMultilevel"/>
    <w:tmpl w:val="791A5F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1">
    <w:nsid w:val="6C791CCC"/>
    <w:multiLevelType w:val="hybridMultilevel"/>
    <w:tmpl w:val="D736E29A"/>
    <w:lvl w:ilvl="0" w:tplc="0809000F">
      <w:start w:val="1"/>
      <w:numFmt w:val="decimal"/>
      <w:lvlText w:val="%1."/>
      <w:lvlJc w:val="left"/>
      <w:pPr>
        <w:ind w:left="782" w:hanging="360"/>
      </w:pPr>
    </w:lvl>
    <w:lvl w:ilvl="1" w:tplc="08090019" w:tentative="1">
      <w:start w:val="1"/>
      <w:numFmt w:val="lowerLetter"/>
      <w:lvlText w:val="%2."/>
      <w:lvlJc w:val="left"/>
      <w:pPr>
        <w:ind w:left="1502" w:hanging="360"/>
      </w:pPr>
    </w:lvl>
    <w:lvl w:ilvl="2" w:tplc="0809001B" w:tentative="1">
      <w:start w:val="1"/>
      <w:numFmt w:val="lowerRoman"/>
      <w:lvlText w:val="%3."/>
      <w:lvlJc w:val="right"/>
      <w:pPr>
        <w:ind w:left="2222" w:hanging="180"/>
      </w:pPr>
    </w:lvl>
    <w:lvl w:ilvl="3" w:tplc="0809000F" w:tentative="1">
      <w:start w:val="1"/>
      <w:numFmt w:val="decimal"/>
      <w:lvlText w:val="%4."/>
      <w:lvlJc w:val="left"/>
      <w:pPr>
        <w:ind w:left="2942" w:hanging="360"/>
      </w:pPr>
    </w:lvl>
    <w:lvl w:ilvl="4" w:tplc="08090019" w:tentative="1">
      <w:start w:val="1"/>
      <w:numFmt w:val="lowerLetter"/>
      <w:lvlText w:val="%5."/>
      <w:lvlJc w:val="left"/>
      <w:pPr>
        <w:ind w:left="3662" w:hanging="360"/>
      </w:pPr>
    </w:lvl>
    <w:lvl w:ilvl="5" w:tplc="0809001B" w:tentative="1">
      <w:start w:val="1"/>
      <w:numFmt w:val="lowerRoman"/>
      <w:lvlText w:val="%6."/>
      <w:lvlJc w:val="right"/>
      <w:pPr>
        <w:ind w:left="4382" w:hanging="180"/>
      </w:pPr>
    </w:lvl>
    <w:lvl w:ilvl="6" w:tplc="0809000F" w:tentative="1">
      <w:start w:val="1"/>
      <w:numFmt w:val="decimal"/>
      <w:lvlText w:val="%7."/>
      <w:lvlJc w:val="left"/>
      <w:pPr>
        <w:ind w:left="5102" w:hanging="360"/>
      </w:pPr>
    </w:lvl>
    <w:lvl w:ilvl="7" w:tplc="08090019" w:tentative="1">
      <w:start w:val="1"/>
      <w:numFmt w:val="lowerLetter"/>
      <w:lvlText w:val="%8."/>
      <w:lvlJc w:val="left"/>
      <w:pPr>
        <w:ind w:left="5822" w:hanging="360"/>
      </w:pPr>
    </w:lvl>
    <w:lvl w:ilvl="8" w:tplc="0809001B" w:tentative="1">
      <w:start w:val="1"/>
      <w:numFmt w:val="lowerRoman"/>
      <w:lvlText w:val="%9."/>
      <w:lvlJc w:val="right"/>
      <w:pPr>
        <w:ind w:left="6542" w:hanging="180"/>
      </w:pPr>
    </w:lvl>
  </w:abstractNum>
  <w:abstractNum w:abstractNumId="22">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3">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abstractNumId w:val="20"/>
  </w:num>
  <w:num w:numId="2">
    <w:abstractNumId w:val="22"/>
  </w:num>
  <w:num w:numId="3">
    <w:abstractNumId w:val="18"/>
  </w:num>
  <w:num w:numId="4">
    <w:abstractNumId w:val="8"/>
  </w:num>
  <w:num w:numId="5">
    <w:abstractNumId w:val="23"/>
  </w:num>
  <w:num w:numId="6">
    <w:abstractNumId w:val="16"/>
  </w:num>
  <w:num w:numId="7">
    <w:abstractNumId w:val="9"/>
  </w:num>
  <w:num w:numId="8">
    <w:abstractNumId w:val="17"/>
  </w:num>
  <w:num w:numId="9">
    <w:abstractNumId w:val="11"/>
  </w:num>
  <w:num w:numId="10">
    <w:abstractNumId w:val="12"/>
  </w:num>
  <w:num w:numId="11">
    <w:abstractNumId w:val="10"/>
  </w:num>
  <w:num w:numId="12">
    <w:abstractNumId w:val="4"/>
  </w:num>
  <w:num w:numId="13">
    <w:abstractNumId w:val="1"/>
  </w:num>
  <w:num w:numId="14">
    <w:abstractNumId w:val="6"/>
  </w:num>
  <w:num w:numId="15">
    <w:abstractNumId w:val="15"/>
  </w:num>
  <w:num w:numId="16">
    <w:abstractNumId w:val="19"/>
  </w:num>
  <w:num w:numId="17">
    <w:abstractNumId w:val="7"/>
  </w:num>
  <w:num w:numId="18">
    <w:abstractNumId w:val="13"/>
  </w:num>
  <w:num w:numId="19">
    <w:abstractNumId w:val="2"/>
  </w:num>
  <w:num w:numId="20">
    <w:abstractNumId w:val="3"/>
  </w:num>
  <w:num w:numId="21">
    <w:abstractNumId w:val="14"/>
  </w:num>
  <w:num w:numId="22">
    <w:abstractNumId w:val="0"/>
  </w:num>
  <w:num w:numId="23">
    <w:abstractNumId w:val="21"/>
  </w:num>
  <w:num w:numId="24">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8194"/>
  </w:hdrShapeDefaults>
  <w:footnotePr>
    <w:footnote w:id="-1"/>
    <w:footnote w:id="0"/>
  </w:footnotePr>
  <w:endnotePr>
    <w:endnote w:id="-1"/>
    <w:endnote w:id="0"/>
  </w:endnotePr>
  <w:compat>
    <w:useFELayout/>
  </w:compat>
  <w:rsids>
    <w:rsidRoot w:val="00C4502F"/>
    <w:rsid w:val="000153C8"/>
    <w:rsid w:val="00040F0B"/>
    <w:rsid w:val="000470D3"/>
    <w:rsid w:val="000476CE"/>
    <w:rsid w:val="00051C43"/>
    <w:rsid w:val="00067A49"/>
    <w:rsid w:val="00067AA9"/>
    <w:rsid w:val="000764E8"/>
    <w:rsid w:val="000827A4"/>
    <w:rsid w:val="0009510D"/>
    <w:rsid w:val="000968BE"/>
    <w:rsid w:val="000A0685"/>
    <w:rsid w:val="000C154E"/>
    <w:rsid w:val="000C3FCE"/>
    <w:rsid w:val="000D0F07"/>
    <w:rsid w:val="001134E0"/>
    <w:rsid w:val="001358D6"/>
    <w:rsid w:val="00142FC4"/>
    <w:rsid w:val="00143616"/>
    <w:rsid w:val="00144D59"/>
    <w:rsid w:val="001519CA"/>
    <w:rsid w:val="001750C3"/>
    <w:rsid w:val="001762F1"/>
    <w:rsid w:val="00177FE1"/>
    <w:rsid w:val="00184E37"/>
    <w:rsid w:val="0019523A"/>
    <w:rsid w:val="001978DF"/>
    <w:rsid w:val="001A5600"/>
    <w:rsid w:val="001B1FC5"/>
    <w:rsid w:val="001B6348"/>
    <w:rsid w:val="001E0017"/>
    <w:rsid w:val="001E0F0A"/>
    <w:rsid w:val="001F311F"/>
    <w:rsid w:val="002015D2"/>
    <w:rsid w:val="0020166D"/>
    <w:rsid w:val="0023565D"/>
    <w:rsid w:val="00240574"/>
    <w:rsid w:val="00254E98"/>
    <w:rsid w:val="002A717C"/>
    <w:rsid w:val="002A767F"/>
    <w:rsid w:val="002B19E8"/>
    <w:rsid w:val="002B2605"/>
    <w:rsid w:val="002B3A30"/>
    <w:rsid w:val="002B7E46"/>
    <w:rsid w:val="002C468A"/>
    <w:rsid w:val="002C583D"/>
    <w:rsid w:val="002D4119"/>
    <w:rsid w:val="002E0A7D"/>
    <w:rsid w:val="002E5378"/>
    <w:rsid w:val="002E6E8F"/>
    <w:rsid w:val="002F4FA1"/>
    <w:rsid w:val="00300187"/>
    <w:rsid w:val="00306C47"/>
    <w:rsid w:val="00307926"/>
    <w:rsid w:val="003141EC"/>
    <w:rsid w:val="00321363"/>
    <w:rsid w:val="003508E5"/>
    <w:rsid w:val="00352BA4"/>
    <w:rsid w:val="003603BA"/>
    <w:rsid w:val="00371DD9"/>
    <w:rsid w:val="00375FD1"/>
    <w:rsid w:val="00386511"/>
    <w:rsid w:val="0038756D"/>
    <w:rsid w:val="003A5711"/>
    <w:rsid w:val="003B31E8"/>
    <w:rsid w:val="003C1E00"/>
    <w:rsid w:val="003C405B"/>
    <w:rsid w:val="003C63B1"/>
    <w:rsid w:val="003C6B55"/>
    <w:rsid w:val="003C7DAD"/>
    <w:rsid w:val="003D2E88"/>
    <w:rsid w:val="004056A4"/>
    <w:rsid w:val="00414B13"/>
    <w:rsid w:val="00421C04"/>
    <w:rsid w:val="0045722B"/>
    <w:rsid w:val="004752B3"/>
    <w:rsid w:val="00486598"/>
    <w:rsid w:val="00491B29"/>
    <w:rsid w:val="00495361"/>
    <w:rsid w:val="004B171F"/>
    <w:rsid w:val="004B2C56"/>
    <w:rsid w:val="004C0D5A"/>
    <w:rsid w:val="004D2DB7"/>
    <w:rsid w:val="004F6922"/>
    <w:rsid w:val="00501239"/>
    <w:rsid w:val="00515CDE"/>
    <w:rsid w:val="0052459F"/>
    <w:rsid w:val="00563F33"/>
    <w:rsid w:val="00567DC7"/>
    <w:rsid w:val="00573FEF"/>
    <w:rsid w:val="00575940"/>
    <w:rsid w:val="005912C4"/>
    <w:rsid w:val="005921A0"/>
    <w:rsid w:val="005A430F"/>
    <w:rsid w:val="005A497F"/>
    <w:rsid w:val="005B2C3A"/>
    <w:rsid w:val="005B51E6"/>
    <w:rsid w:val="00600508"/>
    <w:rsid w:val="0060523E"/>
    <w:rsid w:val="006128E4"/>
    <w:rsid w:val="006145F3"/>
    <w:rsid w:val="006277B4"/>
    <w:rsid w:val="006302C4"/>
    <w:rsid w:val="00634296"/>
    <w:rsid w:val="00635AA1"/>
    <w:rsid w:val="0065410B"/>
    <w:rsid w:val="0067166F"/>
    <w:rsid w:val="00686D53"/>
    <w:rsid w:val="00687386"/>
    <w:rsid w:val="00692BB2"/>
    <w:rsid w:val="00697E92"/>
    <w:rsid w:val="006D3A2E"/>
    <w:rsid w:val="006D648D"/>
    <w:rsid w:val="006E16CD"/>
    <w:rsid w:val="006F6ADC"/>
    <w:rsid w:val="00701C0C"/>
    <w:rsid w:val="00710A38"/>
    <w:rsid w:val="00724695"/>
    <w:rsid w:val="007401E0"/>
    <w:rsid w:val="00741753"/>
    <w:rsid w:val="0075748E"/>
    <w:rsid w:val="00757B33"/>
    <w:rsid w:val="00760CBF"/>
    <w:rsid w:val="007648BE"/>
    <w:rsid w:val="00784936"/>
    <w:rsid w:val="0079351D"/>
    <w:rsid w:val="007A2456"/>
    <w:rsid w:val="007A396F"/>
    <w:rsid w:val="007B58E1"/>
    <w:rsid w:val="007C1472"/>
    <w:rsid w:val="007C2656"/>
    <w:rsid w:val="007C2E24"/>
    <w:rsid w:val="007C504A"/>
    <w:rsid w:val="007E1300"/>
    <w:rsid w:val="007E1DED"/>
    <w:rsid w:val="007E22D8"/>
    <w:rsid w:val="007E53D4"/>
    <w:rsid w:val="007F10E6"/>
    <w:rsid w:val="007F3B4D"/>
    <w:rsid w:val="00810DE2"/>
    <w:rsid w:val="00814583"/>
    <w:rsid w:val="00817B7E"/>
    <w:rsid w:val="00855954"/>
    <w:rsid w:val="0086256D"/>
    <w:rsid w:val="00864883"/>
    <w:rsid w:val="008703BC"/>
    <w:rsid w:val="008810EB"/>
    <w:rsid w:val="008811EA"/>
    <w:rsid w:val="008818D1"/>
    <w:rsid w:val="00881DC8"/>
    <w:rsid w:val="00882A1F"/>
    <w:rsid w:val="00891BBB"/>
    <w:rsid w:val="008A59EB"/>
    <w:rsid w:val="008B2E20"/>
    <w:rsid w:val="008B56C3"/>
    <w:rsid w:val="008E5D66"/>
    <w:rsid w:val="008F2FBD"/>
    <w:rsid w:val="008F7E2A"/>
    <w:rsid w:val="0091624E"/>
    <w:rsid w:val="009328B7"/>
    <w:rsid w:val="0093619E"/>
    <w:rsid w:val="00937EEE"/>
    <w:rsid w:val="0094268E"/>
    <w:rsid w:val="00950BC7"/>
    <w:rsid w:val="0096140A"/>
    <w:rsid w:val="00985CE8"/>
    <w:rsid w:val="009A23FA"/>
    <w:rsid w:val="009A338D"/>
    <w:rsid w:val="009A3B5A"/>
    <w:rsid w:val="009C1210"/>
    <w:rsid w:val="009C36BC"/>
    <w:rsid w:val="009D38BF"/>
    <w:rsid w:val="009D7B03"/>
    <w:rsid w:val="009F166A"/>
    <w:rsid w:val="009F75C2"/>
    <w:rsid w:val="00A13029"/>
    <w:rsid w:val="00A41E65"/>
    <w:rsid w:val="00A430F4"/>
    <w:rsid w:val="00A7208F"/>
    <w:rsid w:val="00A805D8"/>
    <w:rsid w:val="00A8527D"/>
    <w:rsid w:val="00A9612B"/>
    <w:rsid w:val="00AA2463"/>
    <w:rsid w:val="00AD4559"/>
    <w:rsid w:val="00B156F7"/>
    <w:rsid w:val="00B179BF"/>
    <w:rsid w:val="00B274AD"/>
    <w:rsid w:val="00B31EE2"/>
    <w:rsid w:val="00B42712"/>
    <w:rsid w:val="00B67326"/>
    <w:rsid w:val="00B81785"/>
    <w:rsid w:val="00B95F43"/>
    <w:rsid w:val="00BB4E3D"/>
    <w:rsid w:val="00BB7011"/>
    <w:rsid w:val="00BC0591"/>
    <w:rsid w:val="00BC5F29"/>
    <w:rsid w:val="00BE25EF"/>
    <w:rsid w:val="00BE3452"/>
    <w:rsid w:val="00BE70B4"/>
    <w:rsid w:val="00BF1926"/>
    <w:rsid w:val="00C03333"/>
    <w:rsid w:val="00C03E3A"/>
    <w:rsid w:val="00C11622"/>
    <w:rsid w:val="00C16E44"/>
    <w:rsid w:val="00C4502F"/>
    <w:rsid w:val="00C4513D"/>
    <w:rsid w:val="00C46DBE"/>
    <w:rsid w:val="00C54B5A"/>
    <w:rsid w:val="00C54E34"/>
    <w:rsid w:val="00C75505"/>
    <w:rsid w:val="00C80AE8"/>
    <w:rsid w:val="00C824EF"/>
    <w:rsid w:val="00CA6F2C"/>
    <w:rsid w:val="00CC35B0"/>
    <w:rsid w:val="00CF0E26"/>
    <w:rsid w:val="00CF21D2"/>
    <w:rsid w:val="00CF4A74"/>
    <w:rsid w:val="00D04F67"/>
    <w:rsid w:val="00D12017"/>
    <w:rsid w:val="00D12920"/>
    <w:rsid w:val="00D30BB7"/>
    <w:rsid w:val="00D62549"/>
    <w:rsid w:val="00D71B06"/>
    <w:rsid w:val="00D77D68"/>
    <w:rsid w:val="00D93F3B"/>
    <w:rsid w:val="00D9683C"/>
    <w:rsid w:val="00DA603B"/>
    <w:rsid w:val="00DC13C1"/>
    <w:rsid w:val="00DE7140"/>
    <w:rsid w:val="00DF3BA9"/>
    <w:rsid w:val="00DF5405"/>
    <w:rsid w:val="00E06C33"/>
    <w:rsid w:val="00E20BC2"/>
    <w:rsid w:val="00E310E6"/>
    <w:rsid w:val="00E363EB"/>
    <w:rsid w:val="00E51E0F"/>
    <w:rsid w:val="00E631D5"/>
    <w:rsid w:val="00EA50E9"/>
    <w:rsid w:val="00EB074C"/>
    <w:rsid w:val="00EC0217"/>
    <w:rsid w:val="00ED7C7A"/>
    <w:rsid w:val="00EF124C"/>
    <w:rsid w:val="00EF6559"/>
    <w:rsid w:val="00EF6941"/>
    <w:rsid w:val="00F052E7"/>
    <w:rsid w:val="00F1551C"/>
    <w:rsid w:val="00F26984"/>
    <w:rsid w:val="00F27483"/>
    <w:rsid w:val="00F35464"/>
    <w:rsid w:val="00F676D4"/>
    <w:rsid w:val="00F7061F"/>
    <w:rsid w:val="00F73C7F"/>
    <w:rsid w:val="00F8340C"/>
    <w:rsid w:val="00F852C2"/>
    <w:rsid w:val="00FA5EA3"/>
    <w:rsid w:val="00FB6E6F"/>
    <w:rsid w:val="00FC630A"/>
    <w:rsid w:val="00FD12BD"/>
    <w:rsid w:val="00FE2BFA"/>
    <w:rsid w:val="00FE346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4"/>
        <w:szCs w:val="24"/>
        <w:lang w:val="en-GB" w:eastAsia="zh-CN" w:bidi="ar-SA"/>
      </w:rPr>
    </w:rPrDefault>
    <w:pPrDefault>
      <w:pPr>
        <w:spacing w:before="100" w:beforeAutospacing="1" w:after="100" w:afterAutospacing="1" w:line="360"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5FD1"/>
    <w:rPr>
      <w:rFonts w:ascii="Arial" w:eastAsia="Arial" w:hAnsi="Arial" w:cs="Arial"/>
      <w:color w:val="000000"/>
      <w:sz w:val="22"/>
    </w:rPr>
  </w:style>
  <w:style w:type="paragraph" w:styleId="Heading1">
    <w:name w:val="heading 1"/>
    <w:next w:val="Normal"/>
    <w:link w:val="Heading1Char"/>
    <w:uiPriority w:val="9"/>
    <w:qFormat/>
    <w:rsid w:val="00FD12BD"/>
    <w:pPr>
      <w:keepNext/>
      <w:keepLines/>
      <w:spacing w:after="0" w:line="259" w:lineRule="auto"/>
      <w:ind w:left="10" w:right="502"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rsid w:val="00C03E3A"/>
    <w:pPr>
      <w:keepNext/>
      <w:keepLines/>
      <w:spacing w:after="12" w:line="249" w:lineRule="auto"/>
      <w:ind w:left="2189" w:hanging="10"/>
      <w:jc w:val="center"/>
      <w:outlineLvl w:val="1"/>
    </w:pPr>
    <w:rPr>
      <w:rFonts w:ascii="Arial" w:eastAsia="Arial" w:hAnsi="Arial" w:cs="Arial"/>
      <w:b/>
      <w:color w:val="000000"/>
      <w:sz w:val="28"/>
    </w:rPr>
  </w:style>
  <w:style w:type="paragraph" w:styleId="Heading3">
    <w:name w:val="heading 3"/>
    <w:basedOn w:val="Normal"/>
    <w:next w:val="Normal"/>
    <w:link w:val="Heading3Char"/>
    <w:uiPriority w:val="9"/>
    <w:unhideWhenUsed/>
    <w:qFormat/>
    <w:rsid w:val="0023565D"/>
    <w:pPr>
      <w:keepNext/>
      <w:keepLines/>
      <w:spacing w:before="200" w:after="0"/>
      <w:outlineLvl w:val="2"/>
    </w:pPr>
    <w:rPr>
      <w:rFonts w:asciiTheme="majorHAnsi" w:eastAsiaTheme="majorEastAsia" w:hAnsiTheme="majorHAnsi" w:cstheme="majorBidi"/>
      <w:b/>
      <w:bCs/>
      <w:color w:val="156082" w:themeColor="accent1"/>
    </w:rPr>
  </w:style>
  <w:style w:type="paragraph" w:styleId="Heading4">
    <w:name w:val="heading 4"/>
    <w:basedOn w:val="Normal"/>
    <w:next w:val="Normal"/>
    <w:link w:val="Heading4Char"/>
    <w:uiPriority w:val="9"/>
    <w:unhideWhenUsed/>
    <w:qFormat/>
    <w:rsid w:val="00817B7E"/>
    <w:pPr>
      <w:keepNext/>
      <w:keepLines/>
      <w:spacing w:before="200" w:after="0"/>
      <w:outlineLvl w:val="3"/>
    </w:pPr>
    <w:rPr>
      <w:rFonts w:asciiTheme="majorHAnsi" w:eastAsiaTheme="majorEastAsia" w:hAnsiTheme="majorHAnsi" w:cstheme="majorBidi"/>
      <w:b/>
      <w:bCs/>
      <w:i/>
      <w:iCs/>
      <w:color w:val="156082"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FD12BD"/>
    <w:rPr>
      <w:rFonts w:ascii="Arial" w:eastAsia="Arial" w:hAnsi="Arial" w:cs="Arial"/>
      <w:b/>
      <w:color w:val="000000"/>
      <w:sz w:val="32"/>
    </w:rPr>
  </w:style>
  <w:style w:type="character" w:customStyle="1" w:styleId="Heading2Char">
    <w:name w:val="Heading 2 Char"/>
    <w:link w:val="Heading2"/>
    <w:rsid w:val="00C03E3A"/>
    <w:rPr>
      <w:rFonts w:ascii="Arial" w:eastAsia="Arial" w:hAnsi="Arial" w:cs="Arial"/>
      <w:b/>
      <w:color w:val="000000"/>
      <w:sz w:val="28"/>
    </w:rPr>
  </w:style>
  <w:style w:type="table" w:customStyle="1" w:styleId="TableGrid">
    <w:name w:val="TableGrid"/>
    <w:rsid w:val="00C03E3A"/>
    <w:pPr>
      <w:spacing w:after="0" w:line="240" w:lineRule="auto"/>
    </w:pPr>
    <w:tblPr>
      <w:tblCellMar>
        <w:top w:w="0" w:type="dxa"/>
        <w:left w:w="0" w:type="dxa"/>
        <w:bottom w:w="0" w:type="dxa"/>
        <w:right w:w="0" w:type="dxa"/>
      </w:tblCellMar>
    </w:tblPr>
  </w:style>
  <w:style w:type="paragraph" w:styleId="NormalWeb">
    <w:name w:val="Normal (Web)"/>
    <w:basedOn w:val="Normal"/>
    <w:uiPriority w:val="99"/>
    <w:unhideWhenUsed/>
    <w:rsid w:val="00F35464"/>
    <w:pPr>
      <w:spacing w:line="240" w:lineRule="auto"/>
    </w:pPr>
    <w:rPr>
      <w:rFonts w:ascii="Times New Roman" w:eastAsia="Times New Roman" w:hAnsi="Times New Roman" w:cs="Times New Roman"/>
      <w:color w:val="auto"/>
      <w:kern w:val="0"/>
      <w:lang w:val="en-US" w:eastAsia="en-US"/>
    </w:rPr>
  </w:style>
  <w:style w:type="paragraph" w:styleId="Title">
    <w:name w:val="Title"/>
    <w:basedOn w:val="Normal"/>
    <w:next w:val="Normal"/>
    <w:link w:val="TitleChar"/>
    <w:uiPriority w:val="10"/>
    <w:qFormat/>
    <w:rsid w:val="00F35464"/>
    <w:pPr>
      <w:pBdr>
        <w:bottom w:val="single" w:sz="8" w:space="4" w:color="156082" w:themeColor="accent1"/>
      </w:pBdr>
      <w:spacing w:after="300" w:line="240" w:lineRule="auto"/>
      <w:contextualSpacing/>
    </w:pPr>
    <w:rPr>
      <w:rFonts w:asciiTheme="majorHAnsi" w:eastAsiaTheme="majorEastAsia" w:hAnsiTheme="majorHAnsi" w:cstheme="majorBidi"/>
      <w:color w:val="0A1D30" w:themeColor="text2" w:themeShade="BF"/>
      <w:spacing w:val="5"/>
      <w:kern w:val="28"/>
      <w:sz w:val="52"/>
      <w:szCs w:val="52"/>
    </w:rPr>
  </w:style>
  <w:style w:type="character" w:customStyle="1" w:styleId="TitleChar">
    <w:name w:val="Title Char"/>
    <w:basedOn w:val="DefaultParagraphFont"/>
    <w:link w:val="Title"/>
    <w:uiPriority w:val="10"/>
    <w:rsid w:val="00F35464"/>
    <w:rPr>
      <w:rFonts w:asciiTheme="majorHAnsi" w:eastAsiaTheme="majorEastAsia" w:hAnsiTheme="majorHAnsi" w:cstheme="majorBidi"/>
      <w:color w:val="0A1D30" w:themeColor="text2" w:themeShade="BF"/>
      <w:spacing w:val="5"/>
      <w:kern w:val="28"/>
      <w:sz w:val="52"/>
      <w:szCs w:val="52"/>
    </w:rPr>
  </w:style>
  <w:style w:type="paragraph" w:styleId="Subtitle">
    <w:name w:val="Subtitle"/>
    <w:basedOn w:val="Normal"/>
    <w:next w:val="Normal"/>
    <w:link w:val="SubtitleChar"/>
    <w:uiPriority w:val="11"/>
    <w:qFormat/>
    <w:rsid w:val="000968BE"/>
    <w:pPr>
      <w:numPr>
        <w:ilvl w:val="1"/>
      </w:numPr>
      <w:ind w:left="10" w:hanging="10"/>
    </w:pPr>
    <w:rPr>
      <w:rFonts w:asciiTheme="majorHAnsi" w:eastAsiaTheme="majorEastAsia" w:hAnsiTheme="majorHAnsi" w:cstheme="majorBidi"/>
      <w:i/>
      <w:iCs/>
      <w:color w:val="156082" w:themeColor="accent1"/>
      <w:spacing w:val="15"/>
    </w:rPr>
  </w:style>
  <w:style w:type="character" w:customStyle="1" w:styleId="SubtitleChar">
    <w:name w:val="Subtitle Char"/>
    <w:basedOn w:val="DefaultParagraphFont"/>
    <w:link w:val="Subtitle"/>
    <w:uiPriority w:val="11"/>
    <w:rsid w:val="000968BE"/>
    <w:rPr>
      <w:rFonts w:asciiTheme="majorHAnsi" w:eastAsiaTheme="majorEastAsia" w:hAnsiTheme="majorHAnsi" w:cstheme="majorBidi"/>
      <w:i/>
      <w:iCs/>
      <w:color w:val="156082" w:themeColor="accent1"/>
      <w:spacing w:val="15"/>
    </w:rPr>
  </w:style>
  <w:style w:type="character" w:styleId="Hyperlink">
    <w:name w:val="Hyperlink"/>
    <w:basedOn w:val="DefaultParagraphFont"/>
    <w:uiPriority w:val="99"/>
    <w:unhideWhenUsed/>
    <w:rsid w:val="000968BE"/>
    <w:rPr>
      <w:color w:val="0000FF"/>
      <w:u w:val="single"/>
    </w:rPr>
  </w:style>
  <w:style w:type="paragraph" w:styleId="ListParagraph">
    <w:name w:val="List Paragraph"/>
    <w:basedOn w:val="Normal"/>
    <w:uiPriority w:val="34"/>
    <w:qFormat/>
    <w:rsid w:val="000968BE"/>
    <w:pPr>
      <w:ind w:left="720"/>
      <w:contextualSpacing/>
    </w:pPr>
  </w:style>
  <w:style w:type="character" w:styleId="SubtleEmphasis">
    <w:name w:val="Subtle Emphasis"/>
    <w:basedOn w:val="DefaultParagraphFont"/>
    <w:uiPriority w:val="19"/>
    <w:qFormat/>
    <w:rsid w:val="0023565D"/>
    <w:rPr>
      <w:i/>
      <w:iCs/>
      <w:color w:val="808080" w:themeColor="text1" w:themeTint="7F"/>
    </w:rPr>
  </w:style>
  <w:style w:type="character" w:customStyle="1" w:styleId="Heading3Char">
    <w:name w:val="Heading 3 Char"/>
    <w:basedOn w:val="DefaultParagraphFont"/>
    <w:link w:val="Heading3"/>
    <w:uiPriority w:val="9"/>
    <w:rsid w:val="0023565D"/>
    <w:rPr>
      <w:rFonts w:asciiTheme="majorHAnsi" w:eastAsiaTheme="majorEastAsia" w:hAnsiTheme="majorHAnsi" w:cstheme="majorBidi"/>
      <w:b/>
      <w:bCs/>
      <w:color w:val="156082" w:themeColor="accent1"/>
    </w:rPr>
  </w:style>
  <w:style w:type="character" w:customStyle="1" w:styleId="Heading4Char">
    <w:name w:val="Heading 4 Char"/>
    <w:basedOn w:val="DefaultParagraphFont"/>
    <w:link w:val="Heading4"/>
    <w:uiPriority w:val="9"/>
    <w:rsid w:val="00817B7E"/>
    <w:rPr>
      <w:rFonts w:asciiTheme="majorHAnsi" w:eastAsiaTheme="majorEastAsia" w:hAnsiTheme="majorHAnsi" w:cstheme="majorBidi"/>
      <w:b/>
      <w:bCs/>
      <w:i/>
      <w:iCs/>
      <w:color w:val="156082" w:themeColor="accent1"/>
    </w:rPr>
  </w:style>
  <w:style w:type="paragraph" w:styleId="Header">
    <w:name w:val="header"/>
    <w:basedOn w:val="Normal"/>
    <w:link w:val="HeaderChar"/>
    <w:uiPriority w:val="99"/>
    <w:unhideWhenUsed/>
    <w:rsid w:val="00760C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0CBF"/>
    <w:rPr>
      <w:rFonts w:ascii="Arial" w:eastAsia="Arial" w:hAnsi="Arial" w:cs="Arial"/>
      <w:color w:val="000000"/>
    </w:rPr>
  </w:style>
  <w:style w:type="paragraph" w:styleId="Footer">
    <w:name w:val="footer"/>
    <w:basedOn w:val="Normal"/>
    <w:link w:val="FooterChar"/>
    <w:uiPriority w:val="99"/>
    <w:unhideWhenUsed/>
    <w:rsid w:val="00760CBF"/>
    <w:pPr>
      <w:tabs>
        <w:tab w:val="center" w:pos="4320"/>
        <w:tab w:val="right" w:pos="8640"/>
      </w:tabs>
      <w:spacing w:after="200" w:line="276" w:lineRule="auto"/>
    </w:pPr>
    <w:rPr>
      <w:rFonts w:asciiTheme="minorHAnsi" w:eastAsiaTheme="minorEastAsia" w:hAnsiTheme="minorHAnsi" w:cstheme="minorBidi"/>
      <w:color w:val="auto"/>
      <w:kern w:val="0"/>
      <w:szCs w:val="22"/>
      <w:lang w:val="en-US" w:eastAsia="en-US"/>
    </w:rPr>
  </w:style>
  <w:style w:type="character" w:customStyle="1" w:styleId="FooterChar">
    <w:name w:val="Footer Char"/>
    <w:basedOn w:val="DefaultParagraphFont"/>
    <w:link w:val="Footer"/>
    <w:uiPriority w:val="99"/>
    <w:rsid w:val="00760CBF"/>
    <w:rPr>
      <w:kern w:val="0"/>
      <w:sz w:val="22"/>
      <w:szCs w:val="22"/>
      <w:lang w:val="en-US" w:eastAsia="en-US"/>
    </w:rPr>
  </w:style>
  <w:style w:type="paragraph" w:styleId="TOCHeading">
    <w:name w:val="TOC Heading"/>
    <w:basedOn w:val="Heading1"/>
    <w:next w:val="Normal"/>
    <w:uiPriority w:val="39"/>
    <w:unhideWhenUsed/>
    <w:qFormat/>
    <w:rsid w:val="00864883"/>
    <w:pPr>
      <w:spacing w:before="240" w:beforeAutospacing="0" w:afterAutospacing="0"/>
      <w:ind w:left="0" w:right="0" w:firstLine="0"/>
      <w:outlineLvl w:val="9"/>
    </w:pPr>
    <w:rPr>
      <w:rFonts w:asciiTheme="majorHAnsi" w:eastAsiaTheme="majorEastAsia" w:hAnsiTheme="majorHAnsi" w:cstheme="majorBidi"/>
      <w:b w:val="0"/>
      <w:color w:val="0F4761" w:themeColor="accent1" w:themeShade="BF"/>
      <w:kern w:val="0"/>
      <w:szCs w:val="32"/>
      <w:lang w:val="en-US" w:eastAsia="en-US"/>
    </w:rPr>
  </w:style>
  <w:style w:type="paragraph" w:styleId="TOC2">
    <w:name w:val="toc 2"/>
    <w:basedOn w:val="Normal"/>
    <w:next w:val="Normal"/>
    <w:autoRedefine/>
    <w:uiPriority w:val="39"/>
    <w:unhideWhenUsed/>
    <w:rsid w:val="00864883"/>
    <w:pPr>
      <w:ind w:left="240"/>
    </w:pPr>
  </w:style>
  <w:style w:type="paragraph" w:styleId="TOC1">
    <w:name w:val="toc 1"/>
    <w:basedOn w:val="Normal"/>
    <w:next w:val="Normal"/>
    <w:autoRedefine/>
    <w:uiPriority w:val="39"/>
    <w:unhideWhenUsed/>
    <w:rsid w:val="00864883"/>
  </w:style>
  <w:style w:type="paragraph" w:styleId="TOC3">
    <w:name w:val="toc 3"/>
    <w:basedOn w:val="Normal"/>
    <w:next w:val="Normal"/>
    <w:autoRedefine/>
    <w:uiPriority w:val="39"/>
    <w:unhideWhenUsed/>
    <w:rsid w:val="00864883"/>
    <w:pPr>
      <w:ind w:left="480"/>
    </w:pPr>
  </w:style>
  <w:style w:type="paragraph" w:styleId="BalloonText">
    <w:name w:val="Balloon Text"/>
    <w:basedOn w:val="Normal"/>
    <w:link w:val="BalloonTextChar"/>
    <w:uiPriority w:val="99"/>
    <w:semiHidden/>
    <w:unhideWhenUsed/>
    <w:rsid w:val="00692BB2"/>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BB2"/>
    <w:rPr>
      <w:rFonts w:ascii="Tahoma" w:eastAsia="Arial" w:hAnsi="Tahoma" w:cs="Tahoma"/>
      <w:color w:val="000000"/>
      <w:sz w:val="16"/>
      <w:szCs w:val="16"/>
    </w:rPr>
  </w:style>
  <w:style w:type="paragraph" w:customStyle="1" w:styleId="paragraph">
    <w:name w:val="paragraph"/>
    <w:basedOn w:val="Normal"/>
    <w:rsid w:val="001E0F0A"/>
    <w:pPr>
      <w:spacing w:line="240" w:lineRule="auto"/>
    </w:pPr>
    <w:rPr>
      <w:rFonts w:ascii="Times New Roman" w:eastAsia="Times New Roman" w:hAnsi="Times New Roman" w:cs="Times New Roman"/>
      <w:color w:val="auto"/>
      <w:kern w:val="0"/>
      <w:sz w:val="24"/>
      <w:lang w:val="en-US" w:eastAsia="en-US"/>
    </w:rPr>
  </w:style>
  <w:style w:type="character" w:customStyle="1" w:styleId="normaltextrun">
    <w:name w:val="normaltextrun"/>
    <w:basedOn w:val="DefaultParagraphFont"/>
    <w:rsid w:val="001E0F0A"/>
  </w:style>
  <w:style w:type="character" w:customStyle="1" w:styleId="eop">
    <w:name w:val="eop"/>
    <w:basedOn w:val="DefaultParagraphFont"/>
    <w:rsid w:val="001E0F0A"/>
  </w:style>
</w:styles>
</file>

<file path=word/webSettings.xml><?xml version="1.0" encoding="utf-8"?>
<w:webSettings xmlns:r="http://schemas.openxmlformats.org/officeDocument/2006/relationships" xmlns:w="http://schemas.openxmlformats.org/wordprocessingml/2006/main">
  <w:divs>
    <w:div w:id="129174304">
      <w:bodyDiv w:val="1"/>
      <w:marLeft w:val="0"/>
      <w:marRight w:val="0"/>
      <w:marTop w:val="0"/>
      <w:marBottom w:val="0"/>
      <w:divBdr>
        <w:top w:val="none" w:sz="0" w:space="0" w:color="auto"/>
        <w:left w:val="none" w:sz="0" w:space="0" w:color="auto"/>
        <w:bottom w:val="none" w:sz="0" w:space="0" w:color="auto"/>
        <w:right w:val="none" w:sz="0" w:space="0" w:color="auto"/>
      </w:divBdr>
    </w:div>
    <w:div w:id="140734382">
      <w:bodyDiv w:val="1"/>
      <w:marLeft w:val="0"/>
      <w:marRight w:val="0"/>
      <w:marTop w:val="0"/>
      <w:marBottom w:val="0"/>
      <w:divBdr>
        <w:top w:val="none" w:sz="0" w:space="0" w:color="auto"/>
        <w:left w:val="none" w:sz="0" w:space="0" w:color="auto"/>
        <w:bottom w:val="none" w:sz="0" w:space="0" w:color="auto"/>
        <w:right w:val="none" w:sz="0" w:space="0" w:color="auto"/>
      </w:divBdr>
    </w:div>
    <w:div w:id="145975725">
      <w:bodyDiv w:val="1"/>
      <w:marLeft w:val="0"/>
      <w:marRight w:val="0"/>
      <w:marTop w:val="0"/>
      <w:marBottom w:val="0"/>
      <w:divBdr>
        <w:top w:val="none" w:sz="0" w:space="0" w:color="auto"/>
        <w:left w:val="none" w:sz="0" w:space="0" w:color="auto"/>
        <w:bottom w:val="none" w:sz="0" w:space="0" w:color="auto"/>
        <w:right w:val="none" w:sz="0" w:space="0" w:color="auto"/>
      </w:divBdr>
      <w:divsChild>
        <w:div w:id="178935114">
          <w:marLeft w:val="0"/>
          <w:marRight w:val="0"/>
          <w:marTop w:val="0"/>
          <w:marBottom w:val="0"/>
          <w:divBdr>
            <w:top w:val="none" w:sz="0" w:space="0" w:color="auto"/>
            <w:left w:val="none" w:sz="0" w:space="0" w:color="auto"/>
            <w:bottom w:val="none" w:sz="0" w:space="0" w:color="auto"/>
            <w:right w:val="none" w:sz="0" w:space="0" w:color="auto"/>
          </w:divBdr>
          <w:divsChild>
            <w:div w:id="510947109">
              <w:marLeft w:val="0"/>
              <w:marRight w:val="0"/>
              <w:marTop w:val="0"/>
              <w:marBottom w:val="0"/>
              <w:divBdr>
                <w:top w:val="none" w:sz="0" w:space="0" w:color="auto"/>
                <w:left w:val="none" w:sz="0" w:space="0" w:color="auto"/>
                <w:bottom w:val="none" w:sz="0" w:space="0" w:color="auto"/>
                <w:right w:val="none" w:sz="0" w:space="0" w:color="auto"/>
              </w:divBdr>
            </w:div>
          </w:divsChild>
        </w:div>
        <w:div w:id="241333955">
          <w:marLeft w:val="0"/>
          <w:marRight w:val="0"/>
          <w:marTop w:val="0"/>
          <w:marBottom w:val="0"/>
          <w:divBdr>
            <w:top w:val="none" w:sz="0" w:space="0" w:color="auto"/>
            <w:left w:val="none" w:sz="0" w:space="0" w:color="auto"/>
            <w:bottom w:val="none" w:sz="0" w:space="0" w:color="auto"/>
            <w:right w:val="none" w:sz="0" w:space="0" w:color="auto"/>
          </w:divBdr>
          <w:divsChild>
            <w:div w:id="247931973">
              <w:marLeft w:val="0"/>
              <w:marRight w:val="0"/>
              <w:marTop w:val="0"/>
              <w:marBottom w:val="0"/>
              <w:divBdr>
                <w:top w:val="none" w:sz="0" w:space="0" w:color="auto"/>
                <w:left w:val="none" w:sz="0" w:space="0" w:color="auto"/>
                <w:bottom w:val="none" w:sz="0" w:space="0" w:color="auto"/>
                <w:right w:val="none" w:sz="0" w:space="0" w:color="auto"/>
              </w:divBdr>
            </w:div>
          </w:divsChild>
        </w:div>
        <w:div w:id="657462242">
          <w:marLeft w:val="0"/>
          <w:marRight w:val="0"/>
          <w:marTop w:val="0"/>
          <w:marBottom w:val="0"/>
          <w:divBdr>
            <w:top w:val="none" w:sz="0" w:space="0" w:color="auto"/>
            <w:left w:val="none" w:sz="0" w:space="0" w:color="auto"/>
            <w:bottom w:val="none" w:sz="0" w:space="0" w:color="auto"/>
            <w:right w:val="none" w:sz="0" w:space="0" w:color="auto"/>
          </w:divBdr>
          <w:divsChild>
            <w:div w:id="1343439397">
              <w:marLeft w:val="0"/>
              <w:marRight w:val="0"/>
              <w:marTop w:val="0"/>
              <w:marBottom w:val="0"/>
              <w:divBdr>
                <w:top w:val="none" w:sz="0" w:space="0" w:color="auto"/>
                <w:left w:val="none" w:sz="0" w:space="0" w:color="auto"/>
                <w:bottom w:val="none" w:sz="0" w:space="0" w:color="auto"/>
                <w:right w:val="none" w:sz="0" w:space="0" w:color="auto"/>
              </w:divBdr>
            </w:div>
          </w:divsChild>
        </w:div>
        <w:div w:id="746998825">
          <w:marLeft w:val="0"/>
          <w:marRight w:val="0"/>
          <w:marTop w:val="0"/>
          <w:marBottom w:val="0"/>
          <w:divBdr>
            <w:top w:val="none" w:sz="0" w:space="0" w:color="auto"/>
            <w:left w:val="none" w:sz="0" w:space="0" w:color="auto"/>
            <w:bottom w:val="none" w:sz="0" w:space="0" w:color="auto"/>
            <w:right w:val="none" w:sz="0" w:space="0" w:color="auto"/>
          </w:divBdr>
          <w:divsChild>
            <w:div w:id="1358577666">
              <w:marLeft w:val="0"/>
              <w:marRight w:val="0"/>
              <w:marTop w:val="0"/>
              <w:marBottom w:val="0"/>
              <w:divBdr>
                <w:top w:val="none" w:sz="0" w:space="0" w:color="auto"/>
                <w:left w:val="none" w:sz="0" w:space="0" w:color="auto"/>
                <w:bottom w:val="none" w:sz="0" w:space="0" w:color="auto"/>
                <w:right w:val="none" w:sz="0" w:space="0" w:color="auto"/>
              </w:divBdr>
            </w:div>
          </w:divsChild>
        </w:div>
        <w:div w:id="1696075852">
          <w:marLeft w:val="0"/>
          <w:marRight w:val="0"/>
          <w:marTop w:val="0"/>
          <w:marBottom w:val="0"/>
          <w:divBdr>
            <w:top w:val="none" w:sz="0" w:space="0" w:color="auto"/>
            <w:left w:val="none" w:sz="0" w:space="0" w:color="auto"/>
            <w:bottom w:val="none" w:sz="0" w:space="0" w:color="auto"/>
            <w:right w:val="none" w:sz="0" w:space="0" w:color="auto"/>
          </w:divBdr>
          <w:divsChild>
            <w:div w:id="1667707873">
              <w:marLeft w:val="0"/>
              <w:marRight w:val="0"/>
              <w:marTop w:val="0"/>
              <w:marBottom w:val="0"/>
              <w:divBdr>
                <w:top w:val="none" w:sz="0" w:space="0" w:color="auto"/>
                <w:left w:val="none" w:sz="0" w:space="0" w:color="auto"/>
                <w:bottom w:val="none" w:sz="0" w:space="0" w:color="auto"/>
                <w:right w:val="none" w:sz="0" w:space="0" w:color="auto"/>
              </w:divBdr>
            </w:div>
          </w:divsChild>
        </w:div>
        <w:div w:id="1172526522">
          <w:marLeft w:val="0"/>
          <w:marRight w:val="0"/>
          <w:marTop w:val="0"/>
          <w:marBottom w:val="0"/>
          <w:divBdr>
            <w:top w:val="none" w:sz="0" w:space="0" w:color="auto"/>
            <w:left w:val="none" w:sz="0" w:space="0" w:color="auto"/>
            <w:bottom w:val="none" w:sz="0" w:space="0" w:color="auto"/>
            <w:right w:val="none" w:sz="0" w:space="0" w:color="auto"/>
          </w:divBdr>
          <w:divsChild>
            <w:div w:id="836459485">
              <w:marLeft w:val="0"/>
              <w:marRight w:val="0"/>
              <w:marTop w:val="0"/>
              <w:marBottom w:val="0"/>
              <w:divBdr>
                <w:top w:val="none" w:sz="0" w:space="0" w:color="auto"/>
                <w:left w:val="none" w:sz="0" w:space="0" w:color="auto"/>
                <w:bottom w:val="none" w:sz="0" w:space="0" w:color="auto"/>
                <w:right w:val="none" w:sz="0" w:space="0" w:color="auto"/>
              </w:divBdr>
            </w:div>
          </w:divsChild>
        </w:div>
        <w:div w:id="58788883">
          <w:marLeft w:val="0"/>
          <w:marRight w:val="0"/>
          <w:marTop w:val="0"/>
          <w:marBottom w:val="0"/>
          <w:divBdr>
            <w:top w:val="none" w:sz="0" w:space="0" w:color="auto"/>
            <w:left w:val="none" w:sz="0" w:space="0" w:color="auto"/>
            <w:bottom w:val="none" w:sz="0" w:space="0" w:color="auto"/>
            <w:right w:val="none" w:sz="0" w:space="0" w:color="auto"/>
          </w:divBdr>
          <w:divsChild>
            <w:div w:id="1706177857">
              <w:marLeft w:val="0"/>
              <w:marRight w:val="0"/>
              <w:marTop w:val="0"/>
              <w:marBottom w:val="0"/>
              <w:divBdr>
                <w:top w:val="none" w:sz="0" w:space="0" w:color="auto"/>
                <w:left w:val="none" w:sz="0" w:space="0" w:color="auto"/>
                <w:bottom w:val="none" w:sz="0" w:space="0" w:color="auto"/>
                <w:right w:val="none" w:sz="0" w:space="0" w:color="auto"/>
              </w:divBdr>
            </w:div>
          </w:divsChild>
        </w:div>
        <w:div w:id="1549494646">
          <w:marLeft w:val="0"/>
          <w:marRight w:val="0"/>
          <w:marTop w:val="0"/>
          <w:marBottom w:val="0"/>
          <w:divBdr>
            <w:top w:val="none" w:sz="0" w:space="0" w:color="auto"/>
            <w:left w:val="none" w:sz="0" w:space="0" w:color="auto"/>
            <w:bottom w:val="none" w:sz="0" w:space="0" w:color="auto"/>
            <w:right w:val="none" w:sz="0" w:space="0" w:color="auto"/>
          </w:divBdr>
          <w:divsChild>
            <w:div w:id="106923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50212">
      <w:bodyDiv w:val="1"/>
      <w:marLeft w:val="0"/>
      <w:marRight w:val="0"/>
      <w:marTop w:val="0"/>
      <w:marBottom w:val="0"/>
      <w:divBdr>
        <w:top w:val="none" w:sz="0" w:space="0" w:color="auto"/>
        <w:left w:val="none" w:sz="0" w:space="0" w:color="auto"/>
        <w:bottom w:val="none" w:sz="0" w:space="0" w:color="auto"/>
        <w:right w:val="none" w:sz="0" w:space="0" w:color="auto"/>
      </w:divBdr>
    </w:div>
    <w:div w:id="301886842">
      <w:bodyDiv w:val="1"/>
      <w:marLeft w:val="0"/>
      <w:marRight w:val="0"/>
      <w:marTop w:val="0"/>
      <w:marBottom w:val="0"/>
      <w:divBdr>
        <w:top w:val="none" w:sz="0" w:space="0" w:color="auto"/>
        <w:left w:val="none" w:sz="0" w:space="0" w:color="auto"/>
        <w:bottom w:val="none" w:sz="0" w:space="0" w:color="auto"/>
        <w:right w:val="none" w:sz="0" w:space="0" w:color="auto"/>
      </w:divBdr>
    </w:div>
    <w:div w:id="335420586">
      <w:bodyDiv w:val="1"/>
      <w:marLeft w:val="0"/>
      <w:marRight w:val="0"/>
      <w:marTop w:val="0"/>
      <w:marBottom w:val="0"/>
      <w:divBdr>
        <w:top w:val="none" w:sz="0" w:space="0" w:color="auto"/>
        <w:left w:val="none" w:sz="0" w:space="0" w:color="auto"/>
        <w:bottom w:val="none" w:sz="0" w:space="0" w:color="auto"/>
        <w:right w:val="none" w:sz="0" w:space="0" w:color="auto"/>
      </w:divBdr>
    </w:div>
    <w:div w:id="442576624">
      <w:bodyDiv w:val="1"/>
      <w:marLeft w:val="0"/>
      <w:marRight w:val="0"/>
      <w:marTop w:val="0"/>
      <w:marBottom w:val="0"/>
      <w:divBdr>
        <w:top w:val="none" w:sz="0" w:space="0" w:color="auto"/>
        <w:left w:val="none" w:sz="0" w:space="0" w:color="auto"/>
        <w:bottom w:val="none" w:sz="0" w:space="0" w:color="auto"/>
        <w:right w:val="none" w:sz="0" w:space="0" w:color="auto"/>
      </w:divBdr>
    </w:div>
    <w:div w:id="443890638">
      <w:bodyDiv w:val="1"/>
      <w:marLeft w:val="0"/>
      <w:marRight w:val="0"/>
      <w:marTop w:val="0"/>
      <w:marBottom w:val="0"/>
      <w:divBdr>
        <w:top w:val="none" w:sz="0" w:space="0" w:color="auto"/>
        <w:left w:val="none" w:sz="0" w:space="0" w:color="auto"/>
        <w:bottom w:val="none" w:sz="0" w:space="0" w:color="auto"/>
        <w:right w:val="none" w:sz="0" w:space="0" w:color="auto"/>
      </w:divBdr>
    </w:div>
    <w:div w:id="516163059">
      <w:bodyDiv w:val="1"/>
      <w:marLeft w:val="0"/>
      <w:marRight w:val="0"/>
      <w:marTop w:val="0"/>
      <w:marBottom w:val="0"/>
      <w:divBdr>
        <w:top w:val="none" w:sz="0" w:space="0" w:color="auto"/>
        <w:left w:val="none" w:sz="0" w:space="0" w:color="auto"/>
        <w:bottom w:val="none" w:sz="0" w:space="0" w:color="auto"/>
        <w:right w:val="none" w:sz="0" w:space="0" w:color="auto"/>
      </w:divBdr>
    </w:div>
    <w:div w:id="542792874">
      <w:bodyDiv w:val="1"/>
      <w:marLeft w:val="0"/>
      <w:marRight w:val="0"/>
      <w:marTop w:val="0"/>
      <w:marBottom w:val="0"/>
      <w:divBdr>
        <w:top w:val="none" w:sz="0" w:space="0" w:color="auto"/>
        <w:left w:val="none" w:sz="0" w:space="0" w:color="auto"/>
        <w:bottom w:val="none" w:sz="0" w:space="0" w:color="auto"/>
        <w:right w:val="none" w:sz="0" w:space="0" w:color="auto"/>
      </w:divBdr>
    </w:div>
    <w:div w:id="578830288">
      <w:bodyDiv w:val="1"/>
      <w:marLeft w:val="0"/>
      <w:marRight w:val="0"/>
      <w:marTop w:val="0"/>
      <w:marBottom w:val="0"/>
      <w:divBdr>
        <w:top w:val="none" w:sz="0" w:space="0" w:color="auto"/>
        <w:left w:val="none" w:sz="0" w:space="0" w:color="auto"/>
        <w:bottom w:val="none" w:sz="0" w:space="0" w:color="auto"/>
        <w:right w:val="none" w:sz="0" w:space="0" w:color="auto"/>
      </w:divBdr>
    </w:div>
    <w:div w:id="648284971">
      <w:bodyDiv w:val="1"/>
      <w:marLeft w:val="0"/>
      <w:marRight w:val="0"/>
      <w:marTop w:val="0"/>
      <w:marBottom w:val="0"/>
      <w:divBdr>
        <w:top w:val="none" w:sz="0" w:space="0" w:color="auto"/>
        <w:left w:val="none" w:sz="0" w:space="0" w:color="auto"/>
        <w:bottom w:val="none" w:sz="0" w:space="0" w:color="auto"/>
        <w:right w:val="none" w:sz="0" w:space="0" w:color="auto"/>
      </w:divBdr>
    </w:div>
    <w:div w:id="649553894">
      <w:bodyDiv w:val="1"/>
      <w:marLeft w:val="0"/>
      <w:marRight w:val="0"/>
      <w:marTop w:val="0"/>
      <w:marBottom w:val="0"/>
      <w:divBdr>
        <w:top w:val="none" w:sz="0" w:space="0" w:color="auto"/>
        <w:left w:val="none" w:sz="0" w:space="0" w:color="auto"/>
        <w:bottom w:val="none" w:sz="0" w:space="0" w:color="auto"/>
        <w:right w:val="none" w:sz="0" w:space="0" w:color="auto"/>
      </w:divBdr>
    </w:div>
    <w:div w:id="698508167">
      <w:bodyDiv w:val="1"/>
      <w:marLeft w:val="0"/>
      <w:marRight w:val="0"/>
      <w:marTop w:val="0"/>
      <w:marBottom w:val="0"/>
      <w:divBdr>
        <w:top w:val="none" w:sz="0" w:space="0" w:color="auto"/>
        <w:left w:val="none" w:sz="0" w:space="0" w:color="auto"/>
        <w:bottom w:val="none" w:sz="0" w:space="0" w:color="auto"/>
        <w:right w:val="none" w:sz="0" w:space="0" w:color="auto"/>
      </w:divBdr>
    </w:div>
    <w:div w:id="722559873">
      <w:bodyDiv w:val="1"/>
      <w:marLeft w:val="0"/>
      <w:marRight w:val="0"/>
      <w:marTop w:val="0"/>
      <w:marBottom w:val="0"/>
      <w:divBdr>
        <w:top w:val="none" w:sz="0" w:space="0" w:color="auto"/>
        <w:left w:val="none" w:sz="0" w:space="0" w:color="auto"/>
        <w:bottom w:val="none" w:sz="0" w:space="0" w:color="auto"/>
        <w:right w:val="none" w:sz="0" w:space="0" w:color="auto"/>
      </w:divBdr>
    </w:div>
    <w:div w:id="983851368">
      <w:bodyDiv w:val="1"/>
      <w:marLeft w:val="0"/>
      <w:marRight w:val="0"/>
      <w:marTop w:val="0"/>
      <w:marBottom w:val="0"/>
      <w:divBdr>
        <w:top w:val="none" w:sz="0" w:space="0" w:color="auto"/>
        <w:left w:val="none" w:sz="0" w:space="0" w:color="auto"/>
        <w:bottom w:val="none" w:sz="0" w:space="0" w:color="auto"/>
        <w:right w:val="none" w:sz="0" w:space="0" w:color="auto"/>
      </w:divBdr>
    </w:div>
    <w:div w:id="1090858838">
      <w:bodyDiv w:val="1"/>
      <w:marLeft w:val="0"/>
      <w:marRight w:val="0"/>
      <w:marTop w:val="0"/>
      <w:marBottom w:val="0"/>
      <w:divBdr>
        <w:top w:val="none" w:sz="0" w:space="0" w:color="auto"/>
        <w:left w:val="none" w:sz="0" w:space="0" w:color="auto"/>
        <w:bottom w:val="none" w:sz="0" w:space="0" w:color="auto"/>
        <w:right w:val="none" w:sz="0" w:space="0" w:color="auto"/>
      </w:divBdr>
    </w:div>
    <w:div w:id="1167552274">
      <w:bodyDiv w:val="1"/>
      <w:marLeft w:val="0"/>
      <w:marRight w:val="0"/>
      <w:marTop w:val="0"/>
      <w:marBottom w:val="0"/>
      <w:divBdr>
        <w:top w:val="none" w:sz="0" w:space="0" w:color="auto"/>
        <w:left w:val="none" w:sz="0" w:space="0" w:color="auto"/>
        <w:bottom w:val="none" w:sz="0" w:space="0" w:color="auto"/>
        <w:right w:val="none" w:sz="0" w:space="0" w:color="auto"/>
      </w:divBdr>
    </w:div>
    <w:div w:id="1170680603">
      <w:bodyDiv w:val="1"/>
      <w:marLeft w:val="0"/>
      <w:marRight w:val="0"/>
      <w:marTop w:val="0"/>
      <w:marBottom w:val="0"/>
      <w:divBdr>
        <w:top w:val="none" w:sz="0" w:space="0" w:color="auto"/>
        <w:left w:val="none" w:sz="0" w:space="0" w:color="auto"/>
        <w:bottom w:val="none" w:sz="0" w:space="0" w:color="auto"/>
        <w:right w:val="none" w:sz="0" w:space="0" w:color="auto"/>
      </w:divBdr>
    </w:div>
    <w:div w:id="1206673925">
      <w:bodyDiv w:val="1"/>
      <w:marLeft w:val="0"/>
      <w:marRight w:val="0"/>
      <w:marTop w:val="0"/>
      <w:marBottom w:val="0"/>
      <w:divBdr>
        <w:top w:val="none" w:sz="0" w:space="0" w:color="auto"/>
        <w:left w:val="none" w:sz="0" w:space="0" w:color="auto"/>
        <w:bottom w:val="none" w:sz="0" w:space="0" w:color="auto"/>
        <w:right w:val="none" w:sz="0" w:space="0" w:color="auto"/>
      </w:divBdr>
    </w:div>
    <w:div w:id="1238857449">
      <w:bodyDiv w:val="1"/>
      <w:marLeft w:val="0"/>
      <w:marRight w:val="0"/>
      <w:marTop w:val="0"/>
      <w:marBottom w:val="0"/>
      <w:divBdr>
        <w:top w:val="none" w:sz="0" w:space="0" w:color="auto"/>
        <w:left w:val="none" w:sz="0" w:space="0" w:color="auto"/>
        <w:bottom w:val="none" w:sz="0" w:space="0" w:color="auto"/>
        <w:right w:val="none" w:sz="0" w:space="0" w:color="auto"/>
      </w:divBdr>
    </w:div>
    <w:div w:id="1386834894">
      <w:bodyDiv w:val="1"/>
      <w:marLeft w:val="0"/>
      <w:marRight w:val="0"/>
      <w:marTop w:val="0"/>
      <w:marBottom w:val="0"/>
      <w:divBdr>
        <w:top w:val="none" w:sz="0" w:space="0" w:color="auto"/>
        <w:left w:val="none" w:sz="0" w:space="0" w:color="auto"/>
        <w:bottom w:val="none" w:sz="0" w:space="0" w:color="auto"/>
        <w:right w:val="none" w:sz="0" w:space="0" w:color="auto"/>
      </w:divBdr>
    </w:div>
    <w:div w:id="1479767889">
      <w:bodyDiv w:val="1"/>
      <w:marLeft w:val="0"/>
      <w:marRight w:val="0"/>
      <w:marTop w:val="0"/>
      <w:marBottom w:val="0"/>
      <w:divBdr>
        <w:top w:val="none" w:sz="0" w:space="0" w:color="auto"/>
        <w:left w:val="none" w:sz="0" w:space="0" w:color="auto"/>
        <w:bottom w:val="none" w:sz="0" w:space="0" w:color="auto"/>
        <w:right w:val="none" w:sz="0" w:space="0" w:color="auto"/>
      </w:divBdr>
    </w:div>
    <w:div w:id="1487355005">
      <w:bodyDiv w:val="1"/>
      <w:marLeft w:val="0"/>
      <w:marRight w:val="0"/>
      <w:marTop w:val="0"/>
      <w:marBottom w:val="0"/>
      <w:divBdr>
        <w:top w:val="none" w:sz="0" w:space="0" w:color="auto"/>
        <w:left w:val="none" w:sz="0" w:space="0" w:color="auto"/>
        <w:bottom w:val="none" w:sz="0" w:space="0" w:color="auto"/>
        <w:right w:val="none" w:sz="0" w:space="0" w:color="auto"/>
      </w:divBdr>
    </w:div>
    <w:div w:id="1609772827">
      <w:bodyDiv w:val="1"/>
      <w:marLeft w:val="0"/>
      <w:marRight w:val="0"/>
      <w:marTop w:val="0"/>
      <w:marBottom w:val="0"/>
      <w:divBdr>
        <w:top w:val="none" w:sz="0" w:space="0" w:color="auto"/>
        <w:left w:val="none" w:sz="0" w:space="0" w:color="auto"/>
        <w:bottom w:val="none" w:sz="0" w:space="0" w:color="auto"/>
        <w:right w:val="none" w:sz="0" w:space="0" w:color="auto"/>
      </w:divBdr>
    </w:div>
    <w:div w:id="1663972130">
      <w:bodyDiv w:val="1"/>
      <w:marLeft w:val="0"/>
      <w:marRight w:val="0"/>
      <w:marTop w:val="0"/>
      <w:marBottom w:val="0"/>
      <w:divBdr>
        <w:top w:val="none" w:sz="0" w:space="0" w:color="auto"/>
        <w:left w:val="none" w:sz="0" w:space="0" w:color="auto"/>
        <w:bottom w:val="none" w:sz="0" w:space="0" w:color="auto"/>
        <w:right w:val="none" w:sz="0" w:space="0" w:color="auto"/>
      </w:divBdr>
    </w:div>
    <w:div w:id="1673488529">
      <w:bodyDiv w:val="1"/>
      <w:marLeft w:val="0"/>
      <w:marRight w:val="0"/>
      <w:marTop w:val="0"/>
      <w:marBottom w:val="0"/>
      <w:divBdr>
        <w:top w:val="none" w:sz="0" w:space="0" w:color="auto"/>
        <w:left w:val="none" w:sz="0" w:space="0" w:color="auto"/>
        <w:bottom w:val="none" w:sz="0" w:space="0" w:color="auto"/>
        <w:right w:val="none" w:sz="0" w:space="0" w:color="auto"/>
      </w:divBdr>
    </w:div>
    <w:div w:id="1870139762">
      <w:bodyDiv w:val="1"/>
      <w:marLeft w:val="0"/>
      <w:marRight w:val="0"/>
      <w:marTop w:val="0"/>
      <w:marBottom w:val="0"/>
      <w:divBdr>
        <w:top w:val="none" w:sz="0" w:space="0" w:color="auto"/>
        <w:left w:val="none" w:sz="0" w:space="0" w:color="auto"/>
        <w:bottom w:val="none" w:sz="0" w:space="0" w:color="auto"/>
        <w:right w:val="none" w:sz="0" w:space="0" w:color="auto"/>
      </w:divBdr>
    </w:div>
    <w:div w:id="1890528796">
      <w:bodyDiv w:val="1"/>
      <w:marLeft w:val="0"/>
      <w:marRight w:val="0"/>
      <w:marTop w:val="0"/>
      <w:marBottom w:val="0"/>
      <w:divBdr>
        <w:top w:val="none" w:sz="0" w:space="0" w:color="auto"/>
        <w:left w:val="none" w:sz="0" w:space="0" w:color="auto"/>
        <w:bottom w:val="none" w:sz="0" w:space="0" w:color="auto"/>
        <w:right w:val="none" w:sz="0" w:space="0" w:color="auto"/>
      </w:divBdr>
    </w:div>
    <w:div w:id="1997109566">
      <w:bodyDiv w:val="1"/>
      <w:marLeft w:val="0"/>
      <w:marRight w:val="0"/>
      <w:marTop w:val="0"/>
      <w:marBottom w:val="0"/>
      <w:divBdr>
        <w:top w:val="none" w:sz="0" w:space="0" w:color="auto"/>
        <w:left w:val="none" w:sz="0" w:space="0" w:color="auto"/>
        <w:bottom w:val="none" w:sz="0" w:space="0" w:color="auto"/>
        <w:right w:val="none" w:sz="0" w:space="0" w:color="auto"/>
      </w:divBdr>
    </w:div>
    <w:div w:id="2052225401">
      <w:bodyDiv w:val="1"/>
      <w:marLeft w:val="0"/>
      <w:marRight w:val="0"/>
      <w:marTop w:val="0"/>
      <w:marBottom w:val="0"/>
      <w:divBdr>
        <w:top w:val="none" w:sz="0" w:space="0" w:color="auto"/>
        <w:left w:val="none" w:sz="0" w:space="0" w:color="auto"/>
        <w:bottom w:val="none" w:sz="0" w:space="0" w:color="auto"/>
        <w:right w:val="none" w:sz="0" w:space="0" w:color="auto"/>
      </w:divBdr>
    </w:div>
    <w:div w:id="2074422991">
      <w:bodyDiv w:val="1"/>
      <w:marLeft w:val="0"/>
      <w:marRight w:val="0"/>
      <w:marTop w:val="0"/>
      <w:marBottom w:val="0"/>
      <w:divBdr>
        <w:top w:val="none" w:sz="0" w:space="0" w:color="auto"/>
        <w:left w:val="none" w:sz="0" w:space="0" w:color="auto"/>
        <w:bottom w:val="none" w:sz="0" w:space="0" w:color="auto"/>
        <w:right w:val="none" w:sz="0" w:space="0" w:color="auto"/>
      </w:divBdr>
    </w:div>
    <w:div w:id="2074693668">
      <w:bodyDiv w:val="1"/>
      <w:marLeft w:val="0"/>
      <w:marRight w:val="0"/>
      <w:marTop w:val="0"/>
      <w:marBottom w:val="0"/>
      <w:divBdr>
        <w:top w:val="none" w:sz="0" w:space="0" w:color="auto"/>
        <w:left w:val="none" w:sz="0" w:space="0" w:color="auto"/>
        <w:bottom w:val="none" w:sz="0" w:space="0" w:color="auto"/>
        <w:right w:val="none" w:sz="0" w:space="0" w:color="auto"/>
      </w:divBdr>
    </w:div>
    <w:div w:id="21244170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cipd.co.uk"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mckinsey.com"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bam.ac.u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accenture.com" TargetMode="External"/><Relationship Id="rId20" Type="http://schemas.openxmlformats.org/officeDocument/2006/relationships/hyperlink" Target="https://www.deloitte.co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scoplc.com"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statista.com"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cips.or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pwc.com" TargetMode="External"/><Relationship Id="rId2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80DD129-B805-465A-9297-AB22F96CD9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47</Pages>
  <Words>13080</Words>
  <Characters>74556</Characters>
  <Application>Microsoft Office Word</Application>
  <DocSecurity>0</DocSecurity>
  <Lines>621</Lines>
  <Paragraphs>174</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87462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Vladu Stefania</cp:lastModifiedBy>
  <cp:revision>5</cp:revision>
  <dcterms:created xsi:type="dcterms:W3CDTF">2025-11-17T18:04:00Z</dcterms:created>
  <dcterms:modified xsi:type="dcterms:W3CDTF">2025-11-17T20:24:00Z</dcterms:modified>
</cp:coreProperties>
</file>