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CA032" w14:textId="5C53FA77" w:rsidR="009D2EAD" w:rsidRPr="002E467E" w:rsidRDefault="009D2EAD" w:rsidP="002E467E">
      <w:pPr>
        <w:spacing w:line="360" w:lineRule="auto"/>
        <w:jc w:val="both"/>
        <w:rPr>
          <w:rFonts w:ascii="Arial" w:hAnsi="Arial" w:cs="Arial"/>
          <w:b/>
          <w:bCs/>
        </w:rPr>
      </w:pPr>
      <w:r w:rsidRPr="002E467E">
        <w:rPr>
          <w:rFonts w:ascii="Arial" w:hAnsi="Arial" w:cs="Arial"/>
          <w:b/>
          <w:bCs/>
        </w:rPr>
        <w:t xml:space="preserve">Student name: </w:t>
      </w:r>
      <w:r w:rsidRPr="009F7C22">
        <w:rPr>
          <w:rFonts w:ascii="Arial" w:hAnsi="Arial" w:cs="Arial"/>
          <w:b/>
          <w:bCs/>
        </w:rPr>
        <w:t>Krystal Gardner</w:t>
      </w:r>
      <w:r w:rsidRPr="002E467E">
        <w:rPr>
          <w:rFonts w:ascii="Arial" w:hAnsi="Arial" w:cs="Arial"/>
          <w:b/>
          <w:bCs/>
        </w:rPr>
        <w:t xml:space="preserve"> </w:t>
      </w:r>
    </w:p>
    <w:p w14:paraId="72415023" w14:textId="43DC57B7" w:rsidR="009D2EAD" w:rsidRPr="002E467E" w:rsidRDefault="009D2EAD" w:rsidP="002E467E">
      <w:pPr>
        <w:spacing w:line="360" w:lineRule="auto"/>
        <w:jc w:val="both"/>
        <w:rPr>
          <w:rFonts w:ascii="Arial" w:hAnsi="Arial" w:cs="Arial"/>
          <w:b/>
          <w:bCs/>
        </w:rPr>
      </w:pPr>
      <w:r w:rsidRPr="002E467E">
        <w:rPr>
          <w:rFonts w:ascii="Arial" w:hAnsi="Arial" w:cs="Arial"/>
          <w:b/>
          <w:bCs/>
        </w:rPr>
        <w:t>Student number:</w:t>
      </w:r>
      <w:r w:rsidR="00CF5C10">
        <w:rPr>
          <w:rFonts w:ascii="Arial" w:hAnsi="Arial" w:cs="Arial"/>
          <w:b/>
          <w:bCs/>
        </w:rPr>
        <w:t>2027750</w:t>
      </w:r>
    </w:p>
    <w:p w14:paraId="76C1F48B" w14:textId="00303A75" w:rsidR="009D2EAD" w:rsidRPr="009F7C22" w:rsidRDefault="009D2EAD" w:rsidP="002E467E">
      <w:pPr>
        <w:spacing w:line="360" w:lineRule="auto"/>
        <w:jc w:val="both"/>
        <w:rPr>
          <w:rFonts w:ascii="Arial" w:hAnsi="Arial" w:cs="Arial"/>
          <w:b/>
          <w:bCs/>
        </w:rPr>
      </w:pPr>
      <w:r w:rsidRPr="002E467E">
        <w:rPr>
          <w:rFonts w:ascii="Arial" w:hAnsi="Arial" w:cs="Arial"/>
          <w:b/>
          <w:bCs/>
        </w:rPr>
        <w:t>Lecturer:</w:t>
      </w:r>
      <w:r w:rsidR="00CF5C10">
        <w:rPr>
          <w:rFonts w:ascii="Arial" w:hAnsi="Arial" w:cs="Arial"/>
          <w:b/>
          <w:bCs/>
        </w:rPr>
        <w:t xml:space="preserve"> </w:t>
      </w:r>
      <w:r w:rsidR="00D83007" w:rsidRPr="009F7C22">
        <w:rPr>
          <w:rFonts w:ascii="Segoe UI" w:eastAsia="Times New Roman" w:hAnsi="Segoe UI" w:cs="Segoe UI"/>
          <w:b/>
          <w:bCs/>
          <w:color w:val="1D2125"/>
          <w:sz w:val="22"/>
          <w:szCs w:val="22"/>
          <w:shd w:val="clear" w:color="auto" w:fill="FFFFFF"/>
        </w:rPr>
        <w:t xml:space="preserve">Natalie </w:t>
      </w:r>
      <w:proofErr w:type="spellStart"/>
      <w:r w:rsidR="00D83007" w:rsidRPr="009F7C22">
        <w:rPr>
          <w:rFonts w:ascii="Segoe UI" w:eastAsia="Times New Roman" w:hAnsi="Segoe UI" w:cs="Segoe UI"/>
          <w:b/>
          <w:bCs/>
          <w:color w:val="1D2125"/>
          <w:sz w:val="22"/>
          <w:szCs w:val="22"/>
          <w:shd w:val="clear" w:color="auto" w:fill="FFFFFF"/>
        </w:rPr>
        <w:t>Brailsford</w:t>
      </w:r>
      <w:proofErr w:type="spellEnd"/>
      <w:r w:rsidR="00D83007" w:rsidRPr="009F7C22">
        <w:rPr>
          <w:rFonts w:ascii="Segoe UI" w:eastAsia="Times New Roman" w:hAnsi="Segoe UI" w:cs="Segoe UI"/>
          <w:b/>
          <w:bCs/>
          <w:color w:val="1D2125"/>
          <w:sz w:val="22"/>
          <w:szCs w:val="22"/>
          <w:shd w:val="clear" w:color="auto" w:fill="FFFFFF"/>
        </w:rPr>
        <w:t> </w:t>
      </w:r>
    </w:p>
    <w:p w14:paraId="1A2D45D1" w14:textId="31C06C54" w:rsidR="009D2EAD" w:rsidRPr="002E467E" w:rsidRDefault="009D2EAD" w:rsidP="002E467E">
      <w:pPr>
        <w:spacing w:line="360" w:lineRule="auto"/>
        <w:jc w:val="both"/>
        <w:rPr>
          <w:rFonts w:ascii="Arial" w:hAnsi="Arial" w:cs="Arial"/>
          <w:b/>
          <w:bCs/>
        </w:rPr>
      </w:pPr>
      <w:r w:rsidRPr="002E467E">
        <w:rPr>
          <w:rFonts w:ascii="Arial" w:hAnsi="Arial" w:cs="Arial"/>
          <w:b/>
          <w:bCs/>
        </w:rPr>
        <w:t>Module code:</w:t>
      </w:r>
      <w:r w:rsidR="00C7225A" w:rsidRPr="002E467E">
        <w:rPr>
          <w:rFonts w:ascii="Arial" w:hAnsi="Arial" w:cs="Arial"/>
          <w:b/>
          <w:bCs/>
        </w:rPr>
        <w:t xml:space="preserve"> </w:t>
      </w:r>
      <w:r w:rsidR="00C7225A" w:rsidRPr="002E467E">
        <w:rPr>
          <w:rFonts w:ascii="Arial" w:hAnsi="Arial" w:cs="Arial"/>
        </w:rPr>
        <w:t>BMIH6001</w:t>
      </w:r>
    </w:p>
    <w:p w14:paraId="131957F0" w14:textId="735F0662" w:rsidR="009D2EAD" w:rsidRPr="002E467E" w:rsidRDefault="009D2EAD" w:rsidP="002E467E">
      <w:pPr>
        <w:spacing w:line="360" w:lineRule="auto"/>
        <w:jc w:val="both"/>
        <w:rPr>
          <w:rFonts w:ascii="Arial" w:hAnsi="Arial" w:cs="Arial"/>
          <w:b/>
          <w:bCs/>
        </w:rPr>
      </w:pPr>
      <w:r w:rsidRPr="002E467E">
        <w:rPr>
          <w:rFonts w:ascii="Arial" w:hAnsi="Arial" w:cs="Arial"/>
          <w:b/>
          <w:bCs/>
        </w:rPr>
        <w:t>Assignment title:</w:t>
      </w:r>
      <w:r w:rsidR="00C7225A" w:rsidRPr="002E467E">
        <w:rPr>
          <w:rFonts w:ascii="Arial" w:hAnsi="Arial" w:cs="Arial"/>
          <w:b/>
          <w:bCs/>
        </w:rPr>
        <w:t xml:space="preserve"> </w:t>
      </w:r>
      <w:r w:rsidR="00C7225A" w:rsidRPr="002E467E">
        <w:rPr>
          <w:rFonts w:ascii="Arial" w:hAnsi="Arial" w:cs="Arial"/>
        </w:rPr>
        <w:t>Contemporary Themes in the Hotel and Hospitality Sector</w:t>
      </w:r>
    </w:p>
    <w:p w14:paraId="179DC51B" w14:textId="4053C487" w:rsidR="009D2EAD" w:rsidRPr="002E467E" w:rsidRDefault="009D2EAD" w:rsidP="002E467E">
      <w:pPr>
        <w:spacing w:line="360" w:lineRule="auto"/>
        <w:jc w:val="both"/>
        <w:rPr>
          <w:rFonts w:ascii="Arial" w:hAnsi="Arial" w:cs="Arial"/>
          <w:b/>
          <w:bCs/>
        </w:rPr>
      </w:pPr>
    </w:p>
    <w:p w14:paraId="6C117B1D" w14:textId="77777777" w:rsidR="009D2EAD" w:rsidRPr="002E467E" w:rsidRDefault="009D2EAD" w:rsidP="002E467E">
      <w:pPr>
        <w:spacing w:line="360" w:lineRule="auto"/>
        <w:jc w:val="both"/>
        <w:rPr>
          <w:rFonts w:ascii="Arial" w:hAnsi="Arial" w:cs="Arial"/>
          <w:b/>
          <w:bCs/>
        </w:rPr>
      </w:pPr>
    </w:p>
    <w:p w14:paraId="069C370A" w14:textId="77777777" w:rsidR="009D2EAD" w:rsidRPr="002E467E" w:rsidRDefault="009D2EAD" w:rsidP="002E467E">
      <w:pPr>
        <w:spacing w:line="360" w:lineRule="auto"/>
        <w:jc w:val="both"/>
        <w:rPr>
          <w:rFonts w:ascii="Arial" w:hAnsi="Arial" w:cs="Arial"/>
          <w:b/>
          <w:bCs/>
        </w:rPr>
      </w:pPr>
    </w:p>
    <w:p w14:paraId="18DFBBEA" w14:textId="77777777" w:rsidR="009D2EAD" w:rsidRPr="002E467E" w:rsidRDefault="009D2EAD" w:rsidP="002E467E">
      <w:pPr>
        <w:spacing w:line="360" w:lineRule="auto"/>
        <w:jc w:val="both"/>
        <w:rPr>
          <w:rFonts w:ascii="Arial" w:hAnsi="Arial" w:cs="Arial"/>
          <w:b/>
          <w:bCs/>
        </w:rPr>
      </w:pPr>
    </w:p>
    <w:p w14:paraId="505AFEE7" w14:textId="77777777" w:rsidR="009D2EAD" w:rsidRPr="002E467E" w:rsidRDefault="009D2EAD" w:rsidP="002E467E">
      <w:pPr>
        <w:spacing w:line="360" w:lineRule="auto"/>
        <w:jc w:val="both"/>
        <w:rPr>
          <w:rFonts w:ascii="Arial" w:hAnsi="Arial" w:cs="Arial"/>
          <w:b/>
          <w:bCs/>
        </w:rPr>
      </w:pPr>
    </w:p>
    <w:p w14:paraId="4E9F066C" w14:textId="77777777" w:rsidR="009D2EAD" w:rsidRPr="002E467E" w:rsidRDefault="009D2EAD" w:rsidP="002E467E">
      <w:pPr>
        <w:spacing w:line="360" w:lineRule="auto"/>
        <w:jc w:val="both"/>
        <w:rPr>
          <w:rFonts w:ascii="Arial" w:hAnsi="Arial" w:cs="Arial"/>
          <w:b/>
          <w:bCs/>
        </w:rPr>
      </w:pPr>
    </w:p>
    <w:p w14:paraId="628BCAEE" w14:textId="77777777" w:rsidR="009D2EAD" w:rsidRPr="002E467E" w:rsidRDefault="009D2EAD" w:rsidP="002E467E">
      <w:pPr>
        <w:spacing w:line="360" w:lineRule="auto"/>
        <w:jc w:val="both"/>
        <w:rPr>
          <w:rFonts w:ascii="Arial" w:hAnsi="Arial" w:cs="Arial"/>
          <w:b/>
          <w:bCs/>
        </w:rPr>
      </w:pPr>
    </w:p>
    <w:p w14:paraId="7E24B0BD" w14:textId="77777777" w:rsidR="009D2EAD" w:rsidRPr="002E467E" w:rsidRDefault="009D2EAD" w:rsidP="002E467E">
      <w:pPr>
        <w:spacing w:line="360" w:lineRule="auto"/>
        <w:jc w:val="both"/>
        <w:rPr>
          <w:rFonts w:ascii="Arial" w:hAnsi="Arial" w:cs="Arial"/>
          <w:b/>
          <w:bCs/>
        </w:rPr>
      </w:pPr>
    </w:p>
    <w:p w14:paraId="0A82BC66" w14:textId="77777777" w:rsidR="009D2EAD" w:rsidRPr="002E467E" w:rsidRDefault="009D2EAD" w:rsidP="002E467E">
      <w:pPr>
        <w:spacing w:line="360" w:lineRule="auto"/>
        <w:jc w:val="both"/>
        <w:rPr>
          <w:rFonts w:ascii="Arial" w:hAnsi="Arial" w:cs="Arial"/>
          <w:b/>
          <w:bCs/>
        </w:rPr>
      </w:pPr>
    </w:p>
    <w:p w14:paraId="27951F04" w14:textId="77777777" w:rsidR="009D2EAD" w:rsidRPr="002E467E" w:rsidRDefault="009D2EAD" w:rsidP="002E467E">
      <w:pPr>
        <w:spacing w:line="360" w:lineRule="auto"/>
        <w:jc w:val="both"/>
        <w:rPr>
          <w:rFonts w:ascii="Arial" w:hAnsi="Arial" w:cs="Arial"/>
          <w:b/>
          <w:bCs/>
        </w:rPr>
      </w:pPr>
    </w:p>
    <w:p w14:paraId="392AE242" w14:textId="77777777" w:rsidR="009D2EAD" w:rsidRPr="002E467E" w:rsidRDefault="009D2EAD" w:rsidP="002E467E">
      <w:pPr>
        <w:spacing w:line="360" w:lineRule="auto"/>
        <w:jc w:val="both"/>
        <w:rPr>
          <w:rFonts w:ascii="Arial" w:hAnsi="Arial" w:cs="Arial"/>
          <w:b/>
          <w:bCs/>
        </w:rPr>
      </w:pPr>
    </w:p>
    <w:p w14:paraId="7A5BB19B" w14:textId="77777777" w:rsidR="009D2EAD" w:rsidRPr="002E467E" w:rsidRDefault="009D2EAD" w:rsidP="002E467E">
      <w:pPr>
        <w:spacing w:line="360" w:lineRule="auto"/>
        <w:jc w:val="both"/>
        <w:rPr>
          <w:rFonts w:ascii="Arial" w:hAnsi="Arial" w:cs="Arial"/>
          <w:b/>
          <w:bCs/>
        </w:rPr>
      </w:pPr>
    </w:p>
    <w:p w14:paraId="294BAD07" w14:textId="77777777" w:rsidR="009D2EAD" w:rsidRPr="002E467E" w:rsidRDefault="009D2EAD" w:rsidP="002E467E">
      <w:pPr>
        <w:spacing w:line="360" w:lineRule="auto"/>
        <w:jc w:val="both"/>
        <w:rPr>
          <w:rFonts w:ascii="Arial" w:hAnsi="Arial" w:cs="Arial"/>
          <w:b/>
          <w:bCs/>
        </w:rPr>
      </w:pPr>
    </w:p>
    <w:p w14:paraId="0FDAECA4" w14:textId="77777777" w:rsidR="009D2EAD" w:rsidRPr="002E467E" w:rsidRDefault="009D2EAD" w:rsidP="002E467E">
      <w:pPr>
        <w:spacing w:line="360" w:lineRule="auto"/>
        <w:jc w:val="both"/>
        <w:rPr>
          <w:rFonts w:ascii="Arial" w:hAnsi="Arial" w:cs="Arial"/>
          <w:b/>
          <w:bCs/>
        </w:rPr>
      </w:pPr>
    </w:p>
    <w:p w14:paraId="52ED3C72" w14:textId="77777777" w:rsidR="006026B4" w:rsidRPr="002E467E" w:rsidRDefault="006026B4" w:rsidP="002E467E">
      <w:pPr>
        <w:spacing w:line="360" w:lineRule="auto"/>
        <w:jc w:val="both"/>
        <w:rPr>
          <w:rFonts w:ascii="Arial" w:hAnsi="Arial" w:cs="Arial"/>
          <w:b/>
          <w:bCs/>
        </w:rPr>
      </w:pPr>
    </w:p>
    <w:p w14:paraId="2AF4CE37" w14:textId="77777777" w:rsidR="009D2EAD" w:rsidRPr="002E467E" w:rsidRDefault="009D2EAD" w:rsidP="002E467E">
      <w:pPr>
        <w:spacing w:line="360" w:lineRule="auto"/>
        <w:jc w:val="both"/>
        <w:rPr>
          <w:rFonts w:ascii="Arial" w:hAnsi="Arial" w:cs="Arial"/>
          <w:b/>
          <w:bCs/>
        </w:rPr>
      </w:pPr>
    </w:p>
    <w:p w14:paraId="38274A05" w14:textId="77777777" w:rsidR="009D2EAD" w:rsidRPr="002E467E" w:rsidRDefault="009D2EAD" w:rsidP="002E467E">
      <w:pPr>
        <w:spacing w:line="360" w:lineRule="auto"/>
        <w:jc w:val="both"/>
        <w:rPr>
          <w:rFonts w:ascii="Arial" w:hAnsi="Arial" w:cs="Arial"/>
          <w:b/>
          <w:bCs/>
        </w:rPr>
      </w:pPr>
    </w:p>
    <w:p w14:paraId="3467F7A0" w14:textId="77777777" w:rsidR="002E467E" w:rsidRPr="002E467E" w:rsidRDefault="002E467E" w:rsidP="002E467E">
      <w:pPr>
        <w:spacing w:line="360" w:lineRule="auto"/>
        <w:jc w:val="both"/>
        <w:rPr>
          <w:rFonts w:ascii="Arial" w:hAnsi="Arial" w:cs="Arial"/>
          <w:b/>
          <w:bCs/>
        </w:rPr>
      </w:pPr>
    </w:p>
    <w:p w14:paraId="47F8D11A" w14:textId="77777777" w:rsidR="00C7225A" w:rsidRPr="002E467E" w:rsidRDefault="00C7225A" w:rsidP="002E467E">
      <w:pPr>
        <w:spacing w:line="360" w:lineRule="auto"/>
        <w:jc w:val="both"/>
        <w:rPr>
          <w:rFonts w:ascii="Arial" w:hAnsi="Arial" w:cs="Arial"/>
          <w:b/>
          <w:bCs/>
        </w:rPr>
      </w:pPr>
    </w:p>
    <w:p w14:paraId="63BBBD9E" w14:textId="77777777" w:rsidR="006026B4" w:rsidRPr="002E467E" w:rsidRDefault="006026B4" w:rsidP="002E467E">
      <w:pPr>
        <w:spacing w:line="360" w:lineRule="auto"/>
        <w:jc w:val="both"/>
        <w:rPr>
          <w:rFonts w:ascii="Arial" w:hAnsi="Arial" w:cs="Arial"/>
        </w:rPr>
      </w:pPr>
    </w:p>
    <w:p w14:paraId="263E4866"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The Deepening Mental Health Crisis in the Hospitality Industry: Challenges and Future Directions</w:t>
      </w:r>
    </w:p>
    <w:p w14:paraId="3E6C4221"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Abstract</w:t>
      </w:r>
    </w:p>
    <w:p w14:paraId="5A31B3FE" w14:textId="77777777" w:rsidR="002E467E" w:rsidRPr="002E467E" w:rsidRDefault="002E467E" w:rsidP="002E467E">
      <w:pPr>
        <w:spacing w:line="360" w:lineRule="auto"/>
        <w:jc w:val="both"/>
        <w:rPr>
          <w:rFonts w:ascii="Arial" w:hAnsi="Arial" w:cs="Arial"/>
        </w:rPr>
      </w:pPr>
      <w:r w:rsidRPr="002E467E">
        <w:rPr>
          <w:rFonts w:ascii="Arial" w:hAnsi="Arial" w:cs="Arial"/>
        </w:rPr>
        <w:t>The hospitality industry is characterised by long working hours, irregular schedules, emotional labour, and high levels of customer interaction, making it one of the most stressful service sectors globally. In recent years, concerns surrounding mental health in hospitality have intensified, with issues such as burnout, anxiety, and depression contributing to high turnover and labour shortages. This conference paper explores the deepening mental health crisis within the hotel and hospitality sector, highlighting its significance as a contemporary challenge that directly affects workforce wellbeing, service delivery, and organisational sustainability. Drawing on current literature, the study focuses on the structural drivers of poor mental health, including workplace culture, managerial practices, and operational pressures. A qualitative analysis is applied to assess industry responses, such as employee assistance programmes, wellness initiatives, and policy reforms. While some interventions show promise, persistent stigma and systemic barriers limit their effectiveness. The paper concludes by offering evidence-based recommendations for hoteliers and policymakers, emphasising the need for comprehensive mental health strategies, stronger industry-wide frameworks, and cultural change that prioritises wellbeing alongside profitability. By addressing these issues proactively, the hospitality industry can foster a more resilient workforce and ensure long-term competitiveness in a challenging global environment.</w:t>
      </w:r>
    </w:p>
    <w:p w14:paraId="3FD30678" w14:textId="1B76BC01" w:rsidR="002E467E" w:rsidRPr="002E467E" w:rsidRDefault="002E467E" w:rsidP="002E467E">
      <w:pPr>
        <w:spacing w:line="360" w:lineRule="auto"/>
        <w:jc w:val="both"/>
        <w:rPr>
          <w:rFonts w:ascii="Arial" w:hAnsi="Arial" w:cs="Arial"/>
        </w:rPr>
      </w:pPr>
    </w:p>
    <w:p w14:paraId="1DABF25A"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1. Introduction</w:t>
      </w:r>
    </w:p>
    <w:p w14:paraId="687D287B" w14:textId="77777777" w:rsidR="002E467E" w:rsidRPr="002E467E" w:rsidRDefault="002E467E" w:rsidP="002E467E">
      <w:pPr>
        <w:spacing w:line="360" w:lineRule="auto"/>
        <w:jc w:val="both"/>
        <w:rPr>
          <w:rFonts w:ascii="Arial" w:hAnsi="Arial" w:cs="Arial"/>
        </w:rPr>
      </w:pPr>
      <w:r w:rsidRPr="002E467E">
        <w:rPr>
          <w:rFonts w:ascii="Arial" w:hAnsi="Arial" w:cs="Arial"/>
        </w:rPr>
        <w:t>The hotel and hospitality industry is renowned for being fast-paced, labour-intensive, and customer-driven. Employees in this sector often face extended working hours, irregular shifts, high workloads, and emotionally demanding interactions with guests, which collectively create conditions that negatively impact mental health (Baum et al., 2020; Chen and Li, 2021). Stress, anxiety, and burnout are widely reported among hospitality workers, with consequences ranging from reduced job satisfaction to increased staff turnover and absenteeism (Chen and Li, 2021).</w:t>
      </w:r>
    </w:p>
    <w:p w14:paraId="2486E2F5" w14:textId="77777777" w:rsidR="002E467E" w:rsidRPr="002E467E" w:rsidRDefault="002E467E" w:rsidP="002E467E">
      <w:pPr>
        <w:spacing w:line="360" w:lineRule="auto"/>
        <w:jc w:val="both"/>
        <w:rPr>
          <w:rFonts w:ascii="Arial" w:hAnsi="Arial" w:cs="Arial"/>
        </w:rPr>
      </w:pPr>
      <w:r w:rsidRPr="002E467E">
        <w:rPr>
          <w:rFonts w:ascii="Arial" w:hAnsi="Arial" w:cs="Arial"/>
        </w:rPr>
        <w:t>In recent years, mental health has gained recognition as a critical issue for the sector, intensified by the COVID-19 pandemic, which amplified job insecurity, financial strain, and workload pressures (Giousmpasoglou et al., 2021). Despite greater awareness, stigma and limited organisational support remain barriers to effective management of employee wellbeing. This makes the mental health crisis not just an individual challenge but a systemic issue with implications for productivity, service quality, and organisational resilience (Karatepe et al., 2023).</w:t>
      </w:r>
    </w:p>
    <w:p w14:paraId="65BD9689" w14:textId="77777777" w:rsidR="002E467E" w:rsidRPr="002E467E" w:rsidRDefault="002E467E" w:rsidP="002E467E">
      <w:pPr>
        <w:spacing w:line="360" w:lineRule="auto"/>
        <w:jc w:val="both"/>
        <w:rPr>
          <w:rFonts w:ascii="Arial" w:hAnsi="Arial" w:cs="Arial"/>
        </w:rPr>
      </w:pPr>
      <w:r w:rsidRPr="002E467E">
        <w:rPr>
          <w:rFonts w:ascii="Arial" w:hAnsi="Arial" w:cs="Arial"/>
        </w:rPr>
        <w:t xml:space="preserve">To explore these dynamics, this paper applies the </w:t>
      </w:r>
      <w:r w:rsidRPr="002E467E">
        <w:rPr>
          <w:rFonts w:ascii="Arial" w:hAnsi="Arial" w:cs="Arial"/>
          <w:b/>
          <w:bCs/>
        </w:rPr>
        <w:t>Job Demands–Resources (JD-R) model</w:t>
      </w:r>
      <w:r w:rsidRPr="002E467E">
        <w:rPr>
          <w:rFonts w:ascii="Arial" w:hAnsi="Arial" w:cs="Arial"/>
        </w:rPr>
        <w:t xml:space="preserve"> (Bakker and Demerouti, 2017) as a conceptual framework. The model helps explain how high job demands, such as long hours and emotional labour, combined with limited resources, including managerial support and autonomy, contribute to employee burnout. By drawing on recent research and practical examples, this paper evaluates existing strategies and highlights future directions for creating a healthier, more sustainable workforce within the hotel and hospitality sector.</w:t>
      </w:r>
    </w:p>
    <w:p w14:paraId="3544F530" w14:textId="77777777" w:rsidR="002E467E" w:rsidRPr="002E467E" w:rsidRDefault="00A357F1" w:rsidP="002E467E">
      <w:pPr>
        <w:spacing w:line="360" w:lineRule="auto"/>
        <w:jc w:val="both"/>
        <w:rPr>
          <w:rFonts w:ascii="Arial" w:hAnsi="Arial" w:cs="Arial"/>
        </w:rPr>
      </w:pPr>
      <w:r>
        <w:rPr>
          <w:rFonts w:ascii="Arial" w:hAnsi="Arial" w:cs="Arial"/>
          <w:noProof/>
        </w:rPr>
      </w:r>
      <w:r w:rsidR="00A357F1">
        <w:rPr>
          <w:rFonts w:ascii="Arial" w:hAnsi="Arial" w:cs="Arial"/>
          <w:noProof/>
        </w:rPr>
        <w:pict w14:anchorId="0D1C917B">
          <v:rect id="_x0000_i1025" style="width:0;height:1.5pt" o:hralign="center" o:hrstd="t" o:hr="t" fillcolor="#a0a0a0" stroked="f"/>
        </w:pict>
      </w:r>
    </w:p>
    <w:p w14:paraId="317F1019"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 Literature Review</w:t>
      </w:r>
    </w:p>
    <w:p w14:paraId="72996ADE" w14:textId="77777777" w:rsidR="002E467E" w:rsidRPr="002E467E" w:rsidRDefault="002E467E" w:rsidP="002E467E">
      <w:pPr>
        <w:spacing w:line="360" w:lineRule="auto"/>
        <w:jc w:val="both"/>
        <w:rPr>
          <w:rFonts w:ascii="Arial" w:hAnsi="Arial" w:cs="Arial"/>
        </w:rPr>
      </w:pPr>
      <w:r w:rsidRPr="002E467E">
        <w:rPr>
          <w:rFonts w:ascii="Arial" w:hAnsi="Arial" w:cs="Arial"/>
        </w:rPr>
        <w:t>Mental health in the hospitality industry has become a prominent area of academic inquiry due to the sector’s uniquely demanding work environment. Researchers consistently highlight long and irregular hours, emotional labour, and high levels of customer interaction as key stressors contributing to psychological strain among employees (Baum et al., 2020; Chen and Li, 2021). While individual coping strategies are important, the literature makes clear that the crisis is largely structural, shaped by industry practices, managerial approaches, and wider socio-economic conditions.</w:t>
      </w:r>
    </w:p>
    <w:p w14:paraId="02A5B40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2.1 Working Conditions and Stressors</w:t>
      </w:r>
    </w:p>
    <w:p w14:paraId="29F8EB54" w14:textId="77777777" w:rsidR="002E467E" w:rsidRPr="002E467E" w:rsidRDefault="002E467E" w:rsidP="002E467E">
      <w:pPr>
        <w:spacing w:line="360" w:lineRule="auto"/>
        <w:jc w:val="both"/>
        <w:rPr>
          <w:rFonts w:ascii="Arial" w:hAnsi="Arial" w:cs="Arial"/>
        </w:rPr>
      </w:pPr>
      <w:r w:rsidRPr="002E467E">
        <w:rPr>
          <w:rFonts w:ascii="Arial" w:hAnsi="Arial" w:cs="Arial"/>
        </w:rPr>
        <w:t>Hospitality work is characterised by unsociable hours, low wages, and precarious contracts, all of which exacerbate stress and poor mental health outcomes (Kensbock et al., 2020). Employees often experience unpredictable schedules that disrupt work-life balance and limit opportunities for rest and recovery. Emotional labour, where staff are expected to manage their feelings and maintain a pleasant demeanour regardless of personal wellbeing, has been shown to strongly correlate with burnout and emotional exhaustion (Grandey and Gabriel, 2015). These pressures are particularly prevalent in hotels, restaurants, and front-of-house roles, where guest interaction is constant and emotionally demanding.</w:t>
      </w:r>
    </w:p>
    <w:p w14:paraId="4D68CD7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2.2 COVID-19 and Amplified Mental Health Challenges</w:t>
      </w:r>
    </w:p>
    <w:p w14:paraId="489FE1F7" w14:textId="77777777" w:rsidR="002E467E" w:rsidRPr="002E467E" w:rsidRDefault="002E467E" w:rsidP="002E467E">
      <w:pPr>
        <w:spacing w:line="360" w:lineRule="auto"/>
        <w:jc w:val="both"/>
        <w:rPr>
          <w:rFonts w:ascii="Arial" w:hAnsi="Arial" w:cs="Arial"/>
        </w:rPr>
      </w:pPr>
      <w:r w:rsidRPr="002E467E">
        <w:rPr>
          <w:rFonts w:ascii="Arial" w:hAnsi="Arial" w:cs="Arial"/>
        </w:rPr>
        <w:t>The COVID-19 pandemic intensified existing stressors within the sector. Lockdowns, redundancies, and uncertainty caused widespread financial and psychological strain for hospitality workers (Giousmpasoglou et al., 2021). Employees who remained in work often faced heavier workloads due to reduced staffing, while also managing fears of infection and adapting to new health protocols. Studies show a rise in anxiety, depression, and stress-related disorders during this period, with many workers leaving the industry altogether (Karatepe et al., 2023). This exodus has contributed to long-term labour shortages, placing additional pressure on remaining staff and perpetuating a cycle of overwork and burnout (Murray and Holmes, 2022).</w:t>
      </w:r>
    </w:p>
    <w:p w14:paraId="38ACAB5B"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2.3 Stigma and Barriers to Support</w:t>
      </w:r>
    </w:p>
    <w:p w14:paraId="533687BE" w14:textId="77777777" w:rsidR="002E467E" w:rsidRPr="002E467E" w:rsidRDefault="002E467E" w:rsidP="002E467E">
      <w:pPr>
        <w:spacing w:line="360" w:lineRule="auto"/>
        <w:jc w:val="both"/>
        <w:rPr>
          <w:rFonts w:ascii="Arial" w:hAnsi="Arial" w:cs="Arial"/>
        </w:rPr>
      </w:pPr>
      <w:r w:rsidRPr="002E467E">
        <w:rPr>
          <w:rFonts w:ascii="Arial" w:hAnsi="Arial" w:cs="Arial"/>
        </w:rPr>
        <w:t>Despite growing recognition of mental health issues, stigma continues to be a significant barrier in hospitality workplaces. Many employees feel unable to disclose their struggles due to fear of judgement or potential harm to their career prospects (Harvey et al., 2021). Managers themselves often lack training or confidence to provide support, leading to inconsistent or inadequate responses. The transient nature of hospitality work, characterised by high turnover and reliance on casual labour, further limits the establishment of long-term wellbeing structures (Baum, 2021).</w:t>
      </w:r>
    </w:p>
    <w:p w14:paraId="6E025B03"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2.4 Organisational Responses and Interventions</w:t>
      </w:r>
    </w:p>
    <w:p w14:paraId="6B6A7DDE" w14:textId="77777777" w:rsidR="002E467E" w:rsidRPr="002E467E" w:rsidRDefault="002E467E" w:rsidP="002E467E">
      <w:pPr>
        <w:spacing w:line="360" w:lineRule="auto"/>
        <w:jc w:val="both"/>
        <w:rPr>
          <w:rFonts w:ascii="Arial" w:hAnsi="Arial" w:cs="Arial"/>
        </w:rPr>
      </w:pPr>
      <w:r w:rsidRPr="002E467E">
        <w:rPr>
          <w:rFonts w:ascii="Arial" w:hAnsi="Arial" w:cs="Arial"/>
        </w:rPr>
        <w:t>Industry responses vary widely. Larger hotel chains have introduced wellness programmes, employee assistance schemes, and flexible scheduling policies designed to support wellbeing (Brown and Kelliher, 2020). Research highlights that organisational support, including mentoring and structured assistance, can significantly reduce stress and improve retention (Lee, Kim and Park, 2021). However, smaller independent establishments often lack the resources to implement similar initiatives. Many existing programmes remain surface-level, focusing on short-term stress management rather than addressing underlying structural causes such as low pay and long working hours (Kim et al., 2022).</w:t>
      </w:r>
    </w:p>
    <w:p w14:paraId="6F6BB08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2.5 Structural Issues and Industry Culture</w:t>
      </w:r>
    </w:p>
    <w:p w14:paraId="1160D14A" w14:textId="77777777" w:rsidR="002E467E" w:rsidRPr="002E467E" w:rsidRDefault="002E467E" w:rsidP="002E467E">
      <w:pPr>
        <w:spacing w:line="360" w:lineRule="auto"/>
        <w:jc w:val="both"/>
        <w:rPr>
          <w:rFonts w:ascii="Arial" w:hAnsi="Arial" w:cs="Arial"/>
        </w:rPr>
      </w:pPr>
      <w:r w:rsidRPr="002E467E">
        <w:rPr>
          <w:rFonts w:ascii="Arial" w:hAnsi="Arial" w:cs="Arial"/>
        </w:rPr>
        <w:t>A recurring theme in the literature is the industry’s entrenched culture of prioritising customer satisfaction and profit over staff wellbeing (Dawson et al., 2022). High turnover is often seen as inevitable, rather than a problem that can be prevented. This culture not only undermines employee wellbeing but also affects service quality and organisational performance in the long term (Walters and Raybould, 2019). Sustainable improvement requires cultural change in which mental health is embedded into strategic priorities rather than treated as an afterthought.</w:t>
      </w:r>
    </w:p>
    <w:p w14:paraId="4A49C30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2.6 Global Comparisons and Insights</w:t>
      </w:r>
    </w:p>
    <w:p w14:paraId="0ACC81EC" w14:textId="77777777" w:rsidR="002E467E" w:rsidRPr="002E467E" w:rsidRDefault="002E467E" w:rsidP="002E467E">
      <w:pPr>
        <w:spacing w:line="360" w:lineRule="auto"/>
        <w:jc w:val="both"/>
        <w:rPr>
          <w:rFonts w:ascii="Arial" w:hAnsi="Arial" w:cs="Arial"/>
        </w:rPr>
      </w:pPr>
      <w:r w:rsidRPr="002E467E">
        <w:rPr>
          <w:rFonts w:ascii="Arial" w:hAnsi="Arial" w:cs="Arial"/>
        </w:rPr>
        <w:t>International comparisons show how national policies influence outcomes. For example, Scandinavian countries’ strong emphasis on work-life balance and employee rights leads to lower stress levels compared to Anglo-American contexts (Henderson, 2020). In countries with weaker labour protections, mental health issues are often neglected, and stigma remains pervasive. These contrasts highlight the importance of policy and regulation in shaping employee wellbeing.</w:t>
      </w:r>
    </w:p>
    <w:p w14:paraId="62A0F70D"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2.7 Theoretical Perspectives</w:t>
      </w:r>
    </w:p>
    <w:p w14:paraId="54329007" w14:textId="77777777" w:rsidR="002E467E" w:rsidRPr="002E467E" w:rsidRDefault="002E467E" w:rsidP="002E467E">
      <w:pPr>
        <w:spacing w:line="360" w:lineRule="auto"/>
        <w:jc w:val="both"/>
        <w:rPr>
          <w:rFonts w:ascii="Arial" w:hAnsi="Arial" w:cs="Arial"/>
        </w:rPr>
      </w:pPr>
      <w:r w:rsidRPr="002E467E">
        <w:rPr>
          <w:rFonts w:ascii="Arial" w:hAnsi="Arial" w:cs="Arial"/>
        </w:rPr>
        <w:t xml:space="preserve">The </w:t>
      </w:r>
      <w:r w:rsidRPr="002E467E">
        <w:rPr>
          <w:rFonts w:ascii="Arial" w:hAnsi="Arial" w:cs="Arial"/>
          <w:b/>
          <w:bCs/>
        </w:rPr>
        <w:t>JD-R model</w:t>
      </w:r>
      <w:r w:rsidRPr="002E467E">
        <w:rPr>
          <w:rFonts w:ascii="Arial" w:hAnsi="Arial" w:cs="Arial"/>
        </w:rPr>
        <w:t xml:space="preserve"> (Bakker and Demerouti, 2017) is particularly useful in explaining mental health outcomes in hospitality. It suggests that burnout occurs when job demands exceed available resources. Similarly, stress and coping theories (Lazarus and Folkman, 1984) provide insights into individual strategies for managing workplace pressures, though scholars agree these are insufficient without broader organisational and policy changes.</w:t>
      </w:r>
    </w:p>
    <w:p w14:paraId="32CC425F"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2.8 Emerging Trends</w:t>
      </w:r>
    </w:p>
    <w:p w14:paraId="611B0A94" w14:textId="77777777" w:rsidR="002E467E" w:rsidRPr="002E467E" w:rsidRDefault="002E467E" w:rsidP="002E467E">
      <w:pPr>
        <w:spacing w:line="360" w:lineRule="auto"/>
        <w:jc w:val="both"/>
        <w:rPr>
          <w:rFonts w:ascii="Arial" w:hAnsi="Arial" w:cs="Arial"/>
        </w:rPr>
      </w:pPr>
      <w:r w:rsidRPr="002E467E">
        <w:rPr>
          <w:rFonts w:ascii="Arial" w:hAnsi="Arial" w:cs="Arial"/>
        </w:rPr>
        <w:t>Emerging research explores digital tools such as wellbeing apps, anonymous helplines, and AI-based monitoring systems (Hughes and Rog, 2022). While these technologies can increase access to support, they raise concerns about privacy and risk shifting responsibility for wellbeing back onto individuals rather than addressing systemic causes.</w:t>
      </w:r>
    </w:p>
    <w:p w14:paraId="6571C853" w14:textId="77777777" w:rsidR="002E467E" w:rsidRPr="002E467E" w:rsidRDefault="002E467E" w:rsidP="002E467E">
      <w:pPr>
        <w:spacing w:line="360" w:lineRule="auto"/>
        <w:jc w:val="both"/>
        <w:rPr>
          <w:rFonts w:ascii="Arial" w:hAnsi="Arial" w:cs="Arial"/>
        </w:rPr>
      </w:pPr>
      <w:r w:rsidRPr="002E467E">
        <w:rPr>
          <w:rFonts w:ascii="Arial" w:hAnsi="Arial" w:cs="Arial"/>
          <w:b/>
          <w:bCs/>
        </w:rPr>
        <w:t>Summary:</w:t>
      </w:r>
      <w:r w:rsidRPr="002E467E">
        <w:rPr>
          <w:rFonts w:ascii="Arial" w:hAnsi="Arial" w:cs="Arial"/>
        </w:rPr>
        <w:br/>
        <w:t>The literature shows that the hospitality mental health crisis is complex and multifaceted. Structural and cultural issues, amplified by COVID-19, continue to drive stress and burnout. While interventions exist, they remain fragmented and often fail to tackle root causes. Sustainable change will require action across organisational, cultural, and policy levels.</w:t>
      </w:r>
    </w:p>
    <w:p w14:paraId="591EFBF5" w14:textId="351743F6" w:rsidR="002E467E" w:rsidRPr="002E467E" w:rsidRDefault="002E467E" w:rsidP="002E467E">
      <w:pPr>
        <w:spacing w:line="360" w:lineRule="auto"/>
        <w:jc w:val="both"/>
        <w:rPr>
          <w:rFonts w:ascii="Arial" w:hAnsi="Arial" w:cs="Arial"/>
        </w:rPr>
      </w:pPr>
    </w:p>
    <w:p w14:paraId="14B4BDBF"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3. Method</w:t>
      </w:r>
    </w:p>
    <w:p w14:paraId="74E016C2" w14:textId="77777777" w:rsidR="002E467E" w:rsidRPr="002E467E" w:rsidRDefault="002E467E" w:rsidP="002E467E">
      <w:pPr>
        <w:spacing w:line="360" w:lineRule="auto"/>
        <w:jc w:val="both"/>
        <w:rPr>
          <w:rFonts w:ascii="Arial" w:hAnsi="Arial" w:cs="Arial"/>
        </w:rPr>
      </w:pPr>
      <w:r w:rsidRPr="002E467E">
        <w:rPr>
          <w:rFonts w:ascii="Arial" w:hAnsi="Arial" w:cs="Arial"/>
        </w:rPr>
        <w:t>This research adopts a qualitative, desk-based approach using secondary data from academic journals, industry reports, and policy documents. This method was selected to synthesise contemporary evidence on mental health in hospitality efficiently and comprehensively (Saunders et al., 2019).</w:t>
      </w:r>
    </w:p>
    <w:p w14:paraId="53D61087" w14:textId="77777777" w:rsidR="002E467E" w:rsidRPr="002E467E" w:rsidRDefault="002E467E" w:rsidP="002E467E">
      <w:pPr>
        <w:spacing w:line="360" w:lineRule="auto"/>
        <w:jc w:val="both"/>
        <w:rPr>
          <w:rFonts w:ascii="Arial" w:hAnsi="Arial" w:cs="Arial"/>
        </w:rPr>
      </w:pPr>
      <w:r w:rsidRPr="002E467E">
        <w:rPr>
          <w:rFonts w:ascii="Arial" w:hAnsi="Arial" w:cs="Arial"/>
        </w:rPr>
        <w:t xml:space="preserve">Searches were conducted across databases such as ScienceDirect, Emerald, and Google Scholar using keywords like </w:t>
      </w:r>
      <w:r w:rsidRPr="002E467E">
        <w:rPr>
          <w:rFonts w:ascii="Arial" w:hAnsi="Arial" w:cs="Arial"/>
          <w:i/>
          <w:iCs/>
        </w:rPr>
        <w:t>“mental health in hospitality,” “burnout in hotels,”</w:t>
      </w:r>
      <w:r w:rsidRPr="002E467E">
        <w:rPr>
          <w:rFonts w:ascii="Arial" w:hAnsi="Arial" w:cs="Arial"/>
        </w:rPr>
        <w:t xml:space="preserve"> and </w:t>
      </w:r>
      <w:r w:rsidRPr="002E467E">
        <w:rPr>
          <w:rFonts w:ascii="Arial" w:hAnsi="Arial" w:cs="Arial"/>
          <w:i/>
          <w:iCs/>
        </w:rPr>
        <w:t>“employee wellbeing.”</w:t>
      </w:r>
      <w:r w:rsidRPr="002E467E">
        <w:rPr>
          <w:rFonts w:ascii="Arial" w:hAnsi="Arial" w:cs="Arial"/>
        </w:rPr>
        <w:t xml:space="preserve"> Only peer-reviewed sources and reputable industry publications were included to ensure validity (Bryman, 2016).</w:t>
      </w:r>
    </w:p>
    <w:p w14:paraId="5644F537" w14:textId="77777777" w:rsidR="002E467E" w:rsidRPr="002E467E" w:rsidRDefault="002E467E" w:rsidP="002E467E">
      <w:pPr>
        <w:spacing w:line="360" w:lineRule="auto"/>
        <w:jc w:val="both"/>
        <w:rPr>
          <w:rFonts w:ascii="Arial" w:hAnsi="Arial" w:cs="Arial"/>
        </w:rPr>
      </w:pPr>
      <w:r w:rsidRPr="002E467E">
        <w:rPr>
          <w:rFonts w:ascii="Arial" w:hAnsi="Arial" w:cs="Arial"/>
        </w:rPr>
        <w:t>The Job Demands–Resources (JD-R) model (Bakker and Demerouti, 2017) provided a conceptual framework for analysis, allowing exploration of how high demands and limited resources interact to shape mental health outcomes. This ensured findings were both evidence-based and practically meaningful.</w:t>
      </w:r>
    </w:p>
    <w:p w14:paraId="2E802795" w14:textId="589706CA" w:rsidR="002E467E" w:rsidRPr="002E467E" w:rsidRDefault="002E467E" w:rsidP="002E467E">
      <w:pPr>
        <w:spacing w:line="360" w:lineRule="auto"/>
        <w:jc w:val="both"/>
        <w:rPr>
          <w:rFonts w:ascii="Arial" w:hAnsi="Arial" w:cs="Arial"/>
        </w:rPr>
      </w:pPr>
    </w:p>
    <w:p w14:paraId="057B487D"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 Theme Impact Analysis</w:t>
      </w:r>
    </w:p>
    <w:p w14:paraId="65989037" w14:textId="77777777" w:rsidR="002E467E" w:rsidRPr="002E467E" w:rsidRDefault="002E467E" w:rsidP="002E467E">
      <w:pPr>
        <w:spacing w:line="360" w:lineRule="auto"/>
        <w:jc w:val="both"/>
        <w:rPr>
          <w:rFonts w:ascii="Arial" w:hAnsi="Arial" w:cs="Arial"/>
        </w:rPr>
      </w:pPr>
      <w:r w:rsidRPr="002E467E">
        <w:rPr>
          <w:rFonts w:ascii="Arial" w:hAnsi="Arial" w:cs="Arial"/>
        </w:rPr>
        <w:t>The JD-R model offers a valuable lens for understanding how the balance between job demands (e.g., long hours, emotional labour, customer pressure) and resources (e.g., support, training, autonomy) influences outcomes.</w:t>
      </w:r>
    </w:p>
    <w:p w14:paraId="28E17FA6"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4.1 Impacts on Employees</w:t>
      </w:r>
    </w:p>
    <w:p w14:paraId="6DEACBD5" w14:textId="77777777" w:rsidR="002E467E" w:rsidRPr="002E467E" w:rsidRDefault="002E467E" w:rsidP="002E467E">
      <w:pPr>
        <w:spacing w:line="360" w:lineRule="auto"/>
        <w:jc w:val="both"/>
        <w:rPr>
          <w:rFonts w:ascii="Arial" w:hAnsi="Arial" w:cs="Arial"/>
        </w:rPr>
      </w:pPr>
      <w:r w:rsidRPr="002E467E">
        <w:rPr>
          <w:rFonts w:ascii="Arial" w:hAnsi="Arial" w:cs="Arial"/>
        </w:rPr>
        <w:t>Hospitality workers experience high rates of burnout, fatigue, anxiety, and depression (Chen and Li, 2021). Burnout is particularly severe in frontline roles such as chefs, receptionists, and waiting staff (Kensbock et al., 2020). Emotional labour requires staff to suppress personal emotions, which leads to exhaustion and emotional dissonance (Grandey and Gabriel, 2015). Younger and migrant workers face added stress due to unstable contracts, limited support, and job insecurity (Dawson et al., 2022; Baum, 2021).</w:t>
      </w:r>
    </w:p>
    <w:p w14:paraId="639AA3F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4.2 Organisational Impacts</w:t>
      </w:r>
    </w:p>
    <w:p w14:paraId="3E91F342" w14:textId="77777777" w:rsidR="002E467E" w:rsidRPr="002E467E" w:rsidRDefault="002E467E" w:rsidP="002E467E">
      <w:pPr>
        <w:spacing w:line="360" w:lineRule="auto"/>
        <w:jc w:val="both"/>
        <w:rPr>
          <w:rFonts w:ascii="Arial" w:hAnsi="Arial" w:cs="Arial"/>
        </w:rPr>
      </w:pPr>
      <w:r w:rsidRPr="002E467E">
        <w:rPr>
          <w:rFonts w:ascii="Arial" w:hAnsi="Arial" w:cs="Arial"/>
        </w:rPr>
        <w:t>Poor mental health affects productivity, customer service, and profitability. High absenteeism and turnover increase operational costs (Walters and Raybould, 2019), while stress reduces engagement and service quality (Kim et al., 2022). Evidence from Asian hotel chains shows that wellbeing-focused cultures improve both employee satisfaction and guest experience (Goh, Chan and Ho, 2020).</w:t>
      </w:r>
    </w:p>
    <w:p w14:paraId="002DF65C"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4.3 Sector-Wide Implications</w:t>
      </w:r>
    </w:p>
    <w:p w14:paraId="7E50D08E" w14:textId="77777777" w:rsidR="002E467E" w:rsidRPr="002E467E" w:rsidRDefault="002E467E" w:rsidP="002E467E">
      <w:pPr>
        <w:spacing w:line="360" w:lineRule="auto"/>
        <w:jc w:val="both"/>
        <w:rPr>
          <w:rFonts w:ascii="Arial" w:hAnsi="Arial" w:cs="Arial"/>
        </w:rPr>
      </w:pPr>
      <w:r w:rsidRPr="002E467E">
        <w:rPr>
          <w:rFonts w:ascii="Arial" w:hAnsi="Arial" w:cs="Arial"/>
        </w:rPr>
        <w:t>Labour shortages remain one of the most visible outcomes of the mental health crisis. Post-COVID, many workers left the industry due to burnout and lack of support (Giousmpasoglou et al., 2021). This has created a cycle where fewer staff lead to heavier workloads for those who remain (Karatepe et al., 2023).</w:t>
      </w:r>
    </w:p>
    <w:p w14:paraId="7D5DCD12"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4.4 Industry Responses</w:t>
      </w:r>
    </w:p>
    <w:p w14:paraId="129132F0" w14:textId="77777777" w:rsidR="002E467E" w:rsidRPr="002E467E" w:rsidRDefault="002E467E" w:rsidP="002E467E">
      <w:pPr>
        <w:spacing w:line="360" w:lineRule="auto"/>
        <w:jc w:val="both"/>
        <w:rPr>
          <w:rFonts w:ascii="Arial" w:hAnsi="Arial" w:cs="Arial"/>
        </w:rPr>
      </w:pPr>
      <w:r w:rsidRPr="002E467E">
        <w:rPr>
          <w:rFonts w:ascii="Arial" w:hAnsi="Arial" w:cs="Arial"/>
        </w:rPr>
        <w:t xml:space="preserve">Major hotel brands such as Marriott and Hilton have developed structured wellbeing initiatives. Marriott’s resilience workshops and Hilton’s </w:t>
      </w:r>
      <w:r w:rsidRPr="002E467E">
        <w:rPr>
          <w:rFonts w:ascii="Arial" w:hAnsi="Arial" w:cs="Arial"/>
          <w:i/>
          <w:iCs/>
        </w:rPr>
        <w:t>“Thrive at Hilton”</w:t>
      </w:r>
      <w:r w:rsidRPr="002E467E">
        <w:rPr>
          <w:rFonts w:ascii="Arial" w:hAnsi="Arial" w:cs="Arial"/>
        </w:rPr>
        <w:t xml:space="preserve"> programme provide counselling, flexibility, and wellbeing resources (Marriott, 2022; Hilton, 2023). However, small and medium enterprises (SMEs) struggle to implement similar programmes due to cost and scale constraints (Harvey et al., 2021).</w:t>
      </w:r>
    </w:p>
    <w:p w14:paraId="675BDD5A"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4.5 Strengths and Limitations</w:t>
      </w:r>
    </w:p>
    <w:p w14:paraId="4A47C06D" w14:textId="77777777" w:rsidR="002E467E" w:rsidRPr="002E467E" w:rsidRDefault="002E467E" w:rsidP="002E467E">
      <w:pPr>
        <w:spacing w:line="360" w:lineRule="auto"/>
        <w:jc w:val="both"/>
        <w:rPr>
          <w:rFonts w:ascii="Arial" w:hAnsi="Arial" w:cs="Arial"/>
        </w:rPr>
      </w:pPr>
      <w:r w:rsidRPr="002E467E">
        <w:rPr>
          <w:rFonts w:ascii="Arial" w:hAnsi="Arial" w:cs="Arial"/>
        </w:rPr>
        <w:t>While awareness has grown, interventions often focus on individual coping rather than tackling structural problems such as excessive workloads or low pay. The JD-R model highlights that adding resources without reducing demands limits the long-term impact (Bakker and Demerouti, 2017).</w:t>
      </w:r>
    </w:p>
    <w:p w14:paraId="3DAE03AB"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4.6 Critical Reflection</w:t>
      </w:r>
    </w:p>
    <w:p w14:paraId="57CF8A71" w14:textId="77777777" w:rsidR="002E467E" w:rsidRPr="002E467E" w:rsidRDefault="002E467E" w:rsidP="002E467E">
      <w:pPr>
        <w:spacing w:line="360" w:lineRule="auto"/>
        <w:jc w:val="both"/>
        <w:rPr>
          <w:rFonts w:ascii="Arial" w:hAnsi="Arial" w:cs="Arial"/>
        </w:rPr>
      </w:pPr>
      <w:r w:rsidRPr="002E467E">
        <w:rPr>
          <w:rFonts w:ascii="Arial" w:hAnsi="Arial" w:cs="Arial"/>
        </w:rPr>
        <w:t>The persistence of these issues indicates that genuine progress requires cultural and systemic transformation. Prioritising employee wellbeing equally with customer satisfaction can build a healthier and more resilient workforce (Dawson et al., 2022; Henderson, 2020).</w:t>
      </w:r>
    </w:p>
    <w:p w14:paraId="4FFEEA4A" w14:textId="34EC45BB" w:rsidR="002E467E" w:rsidRPr="002E467E" w:rsidRDefault="002E467E" w:rsidP="002E467E">
      <w:pPr>
        <w:spacing w:line="360" w:lineRule="auto"/>
        <w:jc w:val="both"/>
        <w:rPr>
          <w:rFonts w:ascii="Arial" w:hAnsi="Arial" w:cs="Arial"/>
        </w:rPr>
      </w:pPr>
    </w:p>
    <w:p w14:paraId="016EFF8A"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5. Conclusion</w:t>
      </w:r>
    </w:p>
    <w:p w14:paraId="1A4DFEC4" w14:textId="77777777" w:rsidR="002E467E" w:rsidRPr="002E467E" w:rsidRDefault="002E467E" w:rsidP="002E467E">
      <w:pPr>
        <w:spacing w:line="360" w:lineRule="auto"/>
        <w:jc w:val="both"/>
        <w:rPr>
          <w:rFonts w:ascii="Arial" w:hAnsi="Arial" w:cs="Arial"/>
        </w:rPr>
      </w:pPr>
      <w:r w:rsidRPr="002E467E">
        <w:rPr>
          <w:rFonts w:ascii="Arial" w:hAnsi="Arial" w:cs="Arial"/>
        </w:rPr>
        <w:t>The hospitality industry faces a growing mental health crisis that threatens both workforce wellbeing and business sustainability. High job demands, long hours, and emotional labour continue to drive burnout and turnover. Although there are examples of positive initiatives, most fail to address structural causes or reach smaller operators. Overcoming these challenges will require cultural change, sector-wide collaboration, and policy intervention. Embedding mental health within organisational strategies can improve retention, enhance service quality, and secure long-term competitiveness.</w:t>
      </w:r>
    </w:p>
    <w:p w14:paraId="3D33706F" w14:textId="673BE24F" w:rsidR="002E467E" w:rsidRPr="002E467E" w:rsidRDefault="002E467E" w:rsidP="002E467E">
      <w:pPr>
        <w:spacing w:line="360" w:lineRule="auto"/>
        <w:jc w:val="both"/>
        <w:rPr>
          <w:rFonts w:ascii="Arial" w:hAnsi="Arial" w:cs="Arial"/>
        </w:rPr>
      </w:pPr>
    </w:p>
    <w:p w14:paraId="796D1F63"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 Recommendations and Policy Directions</w:t>
      </w:r>
    </w:p>
    <w:p w14:paraId="6A59FF04"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6.1 Structural Reforms to Reduce Job Demands</w:t>
      </w:r>
    </w:p>
    <w:p w14:paraId="19992595" w14:textId="77777777" w:rsidR="002E467E" w:rsidRPr="002E467E" w:rsidRDefault="002E467E" w:rsidP="002E467E">
      <w:pPr>
        <w:spacing w:line="360" w:lineRule="auto"/>
        <w:jc w:val="both"/>
        <w:rPr>
          <w:rFonts w:ascii="Arial" w:hAnsi="Arial" w:cs="Arial"/>
        </w:rPr>
      </w:pPr>
      <w:r w:rsidRPr="002E467E">
        <w:rPr>
          <w:rFonts w:ascii="Arial" w:hAnsi="Arial" w:cs="Arial"/>
        </w:rPr>
        <w:t>Workloads, shift patterns, and pay structures should be redesigned to reduce excessive demands (Bakker and Demerouti, 2017). This addresses one of the root causes identified in Section 2.1 regarding long hours and emotional strain (Kensbock et al., 2020).</w:t>
      </w:r>
    </w:p>
    <w:p w14:paraId="2343728A"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6.2 Embedding Mental Health into Organisational Strategy</w:t>
      </w:r>
    </w:p>
    <w:p w14:paraId="6D8DCE74" w14:textId="77777777" w:rsidR="002E467E" w:rsidRPr="002E467E" w:rsidRDefault="002E467E" w:rsidP="002E467E">
      <w:pPr>
        <w:spacing w:line="360" w:lineRule="auto"/>
        <w:jc w:val="both"/>
        <w:rPr>
          <w:rFonts w:ascii="Arial" w:hAnsi="Arial" w:cs="Arial"/>
        </w:rPr>
      </w:pPr>
      <w:r w:rsidRPr="002E467E">
        <w:rPr>
          <w:rFonts w:ascii="Arial" w:hAnsi="Arial" w:cs="Arial"/>
        </w:rPr>
        <w:t xml:space="preserve">Wellbeing must become a core business objective with measurable outcomes and allocated budgets. Hilton’s </w:t>
      </w:r>
      <w:r w:rsidRPr="002E467E">
        <w:rPr>
          <w:rFonts w:ascii="Arial" w:hAnsi="Arial" w:cs="Arial"/>
          <w:i/>
          <w:iCs/>
        </w:rPr>
        <w:t>“Thrive at Hilton”</w:t>
      </w:r>
      <w:r w:rsidRPr="002E467E">
        <w:rPr>
          <w:rFonts w:ascii="Arial" w:hAnsi="Arial" w:cs="Arial"/>
        </w:rPr>
        <w:t xml:space="preserve"> initiative shows that strategic integration of wellbeing improves employee engagement (Hilton, 2023).</w:t>
      </w:r>
    </w:p>
    <w:p w14:paraId="74362C6D"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6.3 Enhancing Training and Managerial Support</w:t>
      </w:r>
    </w:p>
    <w:p w14:paraId="5D534E34" w14:textId="77777777" w:rsidR="002E467E" w:rsidRPr="002E467E" w:rsidRDefault="002E467E" w:rsidP="002E467E">
      <w:pPr>
        <w:spacing w:line="360" w:lineRule="auto"/>
        <w:jc w:val="both"/>
        <w:rPr>
          <w:rFonts w:ascii="Arial" w:hAnsi="Arial" w:cs="Arial"/>
        </w:rPr>
      </w:pPr>
      <w:r w:rsidRPr="002E467E">
        <w:rPr>
          <w:rFonts w:ascii="Arial" w:hAnsi="Arial" w:cs="Arial"/>
        </w:rPr>
        <w:t>Managers should receive training to identify stress symptoms and foster open communication. As Harvey et al. (2021) note, leadership awareness is vital for reducing stigma and encouraging early intervention.</w:t>
      </w:r>
    </w:p>
    <w:p w14:paraId="5FEBFD6D"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6.4 Expanding Access to Support Services</w:t>
      </w:r>
    </w:p>
    <w:p w14:paraId="7B6624F2" w14:textId="77777777" w:rsidR="002E467E" w:rsidRPr="002E467E" w:rsidRDefault="002E467E" w:rsidP="002E467E">
      <w:pPr>
        <w:spacing w:line="360" w:lineRule="auto"/>
        <w:jc w:val="both"/>
        <w:rPr>
          <w:rFonts w:ascii="Arial" w:hAnsi="Arial" w:cs="Arial"/>
        </w:rPr>
      </w:pPr>
      <w:r w:rsidRPr="002E467E">
        <w:rPr>
          <w:rFonts w:ascii="Arial" w:hAnsi="Arial" w:cs="Arial"/>
        </w:rPr>
        <w:t>To ensure inclusivity, Employee Assistance Programmes and counselling should be extended to SMEs through shared or government-supported platforms (Smith and Jones, 2022). This aligns with the gaps identified in Section 2.4.</w:t>
      </w:r>
    </w:p>
    <w:p w14:paraId="18A45CC4" w14:textId="77777777" w:rsidR="002E467E" w:rsidRPr="002E467E" w:rsidRDefault="002E467E" w:rsidP="002E467E">
      <w:pPr>
        <w:spacing w:line="360" w:lineRule="auto"/>
        <w:jc w:val="both"/>
        <w:rPr>
          <w:rFonts w:ascii="Arial" w:hAnsi="Arial" w:cs="Arial"/>
          <w:b/>
          <w:bCs/>
        </w:rPr>
      </w:pPr>
      <w:r w:rsidRPr="002E467E">
        <w:rPr>
          <w:rFonts w:ascii="Arial" w:hAnsi="Arial" w:cs="Arial"/>
          <w:b/>
          <w:bCs/>
        </w:rPr>
        <w:t>6.5 Policy and Industry Collaboration</w:t>
      </w:r>
    </w:p>
    <w:p w14:paraId="748780A0" w14:textId="77777777" w:rsidR="002E467E" w:rsidRPr="002E467E" w:rsidRDefault="002E467E" w:rsidP="002E467E">
      <w:pPr>
        <w:spacing w:line="360" w:lineRule="auto"/>
        <w:jc w:val="both"/>
        <w:rPr>
          <w:rFonts w:ascii="Arial" w:hAnsi="Arial" w:cs="Arial"/>
        </w:rPr>
      </w:pPr>
      <w:r w:rsidRPr="002E467E">
        <w:rPr>
          <w:rFonts w:ascii="Arial" w:hAnsi="Arial" w:cs="Arial"/>
        </w:rPr>
        <w:t>Governments and professional bodies should establish national standards for mental health support, including fair working hours and wellbeing benchmarks (Henderson, 2020). Lessons from Scandinavian countries highlight the value of policy-driven frameworks that balance productivity and wellbeing.</w:t>
      </w:r>
    </w:p>
    <w:p w14:paraId="0D5E6786" w14:textId="77777777" w:rsidR="002E467E" w:rsidRPr="002E467E" w:rsidRDefault="002E467E" w:rsidP="002E467E">
      <w:pPr>
        <w:spacing w:line="360" w:lineRule="auto"/>
        <w:jc w:val="both"/>
        <w:rPr>
          <w:rFonts w:ascii="Arial" w:hAnsi="Arial" w:cs="Arial"/>
        </w:rPr>
      </w:pPr>
      <w:r w:rsidRPr="002E467E">
        <w:rPr>
          <w:rFonts w:ascii="Arial" w:hAnsi="Arial" w:cs="Arial"/>
          <w:b/>
          <w:bCs/>
        </w:rPr>
        <w:t>Summary:</w:t>
      </w:r>
      <w:r w:rsidRPr="002E467E">
        <w:rPr>
          <w:rFonts w:ascii="Arial" w:hAnsi="Arial" w:cs="Arial"/>
        </w:rPr>
        <w:br/>
        <w:t>Coordinated structural, managerial, and policy-level actions are essential to break the cycle of stress and turnover. By embedding mental health into strategic, operational, and regulatory systems, the hospitality sector can ensure a more sustainable and compassionate future.</w:t>
      </w:r>
    </w:p>
    <w:p w14:paraId="7D90F5BF" w14:textId="77777777" w:rsidR="00C7225A" w:rsidRPr="002E467E" w:rsidRDefault="00C7225A" w:rsidP="002E467E">
      <w:pPr>
        <w:spacing w:line="360" w:lineRule="auto"/>
        <w:jc w:val="both"/>
        <w:rPr>
          <w:rFonts w:ascii="Arial" w:hAnsi="Arial" w:cs="Arial"/>
        </w:rPr>
      </w:pPr>
    </w:p>
    <w:p w14:paraId="67D5ADBF" w14:textId="77777777" w:rsidR="00C7225A" w:rsidRPr="002E467E" w:rsidRDefault="00C7225A" w:rsidP="002E467E">
      <w:pPr>
        <w:spacing w:line="360" w:lineRule="auto"/>
        <w:jc w:val="both"/>
        <w:rPr>
          <w:rFonts w:ascii="Arial" w:hAnsi="Arial" w:cs="Arial"/>
        </w:rPr>
      </w:pPr>
    </w:p>
    <w:p w14:paraId="54B687CC" w14:textId="77777777" w:rsidR="002E467E" w:rsidRPr="002E467E" w:rsidRDefault="002E467E" w:rsidP="002E467E">
      <w:pPr>
        <w:spacing w:line="360" w:lineRule="auto"/>
        <w:jc w:val="both"/>
        <w:rPr>
          <w:rFonts w:ascii="Arial" w:hAnsi="Arial" w:cs="Arial"/>
        </w:rPr>
      </w:pPr>
    </w:p>
    <w:p w14:paraId="6C803B2B" w14:textId="77777777" w:rsidR="002E467E" w:rsidRPr="002E467E" w:rsidRDefault="002E467E" w:rsidP="002E467E">
      <w:pPr>
        <w:spacing w:line="360" w:lineRule="auto"/>
        <w:jc w:val="both"/>
        <w:rPr>
          <w:rFonts w:ascii="Arial" w:hAnsi="Arial" w:cs="Arial"/>
        </w:rPr>
      </w:pPr>
    </w:p>
    <w:p w14:paraId="31ECF6AE" w14:textId="77777777" w:rsidR="002E467E" w:rsidRPr="002E467E" w:rsidRDefault="002E467E" w:rsidP="002E467E">
      <w:pPr>
        <w:spacing w:line="360" w:lineRule="auto"/>
        <w:jc w:val="both"/>
        <w:rPr>
          <w:rFonts w:ascii="Arial" w:hAnsi="Arial" w:cs="Arial"/>
        </w:rPr>
      </w:pPr>
    </w:p>
    <w:p w14:paraId="6DDB2597" w14:textId="77777777" w:rsidR="002E467E" w:rsidRPr="002E467E" w:rsidRDefault="002E467E" w:rsidP="002E467E">
      <w:pPr>
        <w:spacing w:line="360" w:lineRule="auto"/>
        <w:jc w:val="both"/>
        <w:rPr>
          <w:rFonts w:ascii="Arial" w:hAnsi="Arial" w:cs="Arial"/>
        </w:rPr>
      </w:pPr>
    </w:p>
    <w:p w14:paraId="66368768" w14:textId="77777777" w:rsidR="002E467E" w:rsidRPr="002E467E" w:rsidRDefault="002E467E" w:rsidP="002E467E">
      <w:pPr>
        <w:spacing w:line="360" w:lineRule="auto"/>
        <w:jc w:val="both"/>
        <w:rPr>
          <w:rFonts w:ascii="Arial" w:hAnsi="Arial" w:cs="Arial"/>
        </w:rPr>
      </w:pPr>
    </w:p>
    <w:p w14:paraId="698A8AA1" w14:textId="77777777" w:rsidR="002E467E" w:rsidRPr="002E467E" w:rsidRDefault="002E467E" w:rsidP="002E467E">
      <w:pPr>
        <w:spacing w:line="360" w:lineRule="auto"/>
        <w:jc w:val="both"/>
        <w:rPr>
          <w:rFonts w:ascii="Arial" w:hAnsi="Arial" w:cs="Arial"/>
        </w:rPr>
      </w:pPr>
    </w:p>
    <w:p w14:paraId="1254DCC8" w14:textId="77777777" w:rsidR="002E467E" w:rsidRPr="002E467E" w:rsidRDefault="002E467E" w:rsidP="002E467E">
      <w:pPr>
        <w:spacing w:line="360" w:lineRule="auto"/>
        <w:jc w:val="both"/>
        <w:rPr>
          <w:rFonts w:ascii="Arial" w:hAnsi="Arial" w:cs="Arial"/>
        </w:rPr>
      </w:pPr>
    </w:p>
    <w:p w14:paraId="014934F3" w14:textId="77777777" w:rsidR="002E467E" w:rsidRPr="002E467E" w:rsidRDefault="002E467E" w:rsidP="002E467E">
      <w:pPr>
        <w:spacing w:line="360" w:lineRule="auto"/>
        <w:jc w:val="both"/>
        <w:rPr>
          <w:rFonts w:ascii="Arial" w:hAnsi="Arial" w:cs="Arial"/>
        </w:rPr>
      </w:pPr>
    </w:p>
    <w:p w14:paraId="1EEB2946" w14:textId="77777777" w:rsidR="002E467E" w:rsidRPr="002E467E" w:rsidRDefault="002E467E" w:rsidP="002E467E">
      <w:pPr>
        <w:spacing w:line="360" w:lineRule="auto"/>
        <w:jc w:val="both"/>
        <w:rPr>
          <w:rFonts w:ascii="Arial" w:hAnsi="Arial" w:cs="Arial"/>
        </w:rPr>
      </w:pPr>
    </w:p>
    <w:p w14:paraId="607BA1BE" w14:textId="77777777" w:rsidR="002E467E" w:rsidRPr="002E467E" w:rsidRDefault="002E467E" w:rsidP="002E467E">
      <w:pPr>
        <w:spacing w:line="360" w:lineRule="auto"/>
        <w:jc w:val="both"/>
        <w:rPr>
          <w:rFonts w:ascii="Arial" w:hAnsi="Arial" w:cs="Arial"/>
        </w:rPr>
      </w:pPr>
    </w:p>
    <w:p w14:paraId="436D4A63" w14:textId="77777777" w:rsidR="002E467E" w:rsidRPr="002E467E" w:rsidRDefault="002E467E" w:rsidP="002E467E">
      <w:pPr>
        <w:spacing w:line="360" w:lineRule="auto"/>
        <w:jc w:val="both"/>
        <w:rPr>
          <w:rFonts w:ascii="Arial" w:hAnsi="Arial" w:cs="Arial"/>
        </w:rPr>
      </w:pPr>
    </w:p>
    <w:p w14:paraId="64389071" w14:textId="77777777" w:rsidR="002E467E" w:rsidRPr="002E467E" w:rsidRDefault="002E467E" w:rsidP="002E467E">
      <w:pPr>
        <w:spacing w:line="360" w:lineRule="auto"/>
        <w:jc w:val="both"/>
        <w:rPr>
          <w:rFonts w:ascii="Arial" w:hAnsi="Arial" w:cs="Arial"/>
        </w:rPr>
      </w:pPr>
    </w:p>
    <w:p w14:paraId="3EDFB376" w14:textId="77777777" w:rsidR="002E467E" w:rsidRDefault="002E467E" w:rsidP="002E467E">
      <w:pPr>
        <w:spacing w:line="360" w:lineRule="auto"/>
        <w:jc w:val="both"/>
        <w:rPr>
          <w:rFonts w:ascii="Arial" w:hAnsi="Arial" w:cs="Arial"/>
        </w:rPr>
      </w:pPr>
    </w:p>
    <w:p w14:paraId="5A476A89" w14:textId="77777777" w:rsidR="002E467E" w:rsidRPr="002E467E" w:rsidRDefault="002E467E" w:rsidP="002E467E">
      <w:pPr>
        <w:spacing w:line="360" w:lineRule="auto"/>
        <w:jc w:val="both"/>
        <w:rPr>
          <w:rFonts w:ascii="Arial" w:hAnsi="Arial" w:cs="Arial"/>
        </w:rPr>
      </w:pPr>
    </w:p>
    <w:p w14:paraId="0F53C344" w14:textId="77777777" w:rsidR="002E467E" w:rsidRPr="002E467E" w:rsidRDefault="002E467E" w:rsidP="002E467E">
      <w:pPr>
        <w:spacing w:line="360" w:lineRule="auto"/>
        <w:jc w:val="both"/>
        <w:rPr>
          <w:rFonts w:ascii="Arial" w:hAnsi="Arial" w:cs="Arial"/>
        </w:rPr>
      </w:pPr>
    </w:p>
    <w:p w14:paraId="4154C217" w14:textId="77777777" w:rsidR="006026B4" w:rsidRPr="002E467E" w:rsidRDefault="006026B4" w:rsidP="002E467E">
      <w:pPr>
        <w:spacing w:line="360" w:lineRule="auto"/>
        <w:jc w:val="both"/>
        <w:rPr>
          <w:rFonts w:ascii="Arial" w:hAnsi="Arial" w:cs="Arial"/>
          <w:b/>
          <w:bCs/>
        </w:rPr>
      </w:pPr>
      <w:r w:rsidRPr="002E467E">
        <w:rPr>
          <w:rFonts w:ascii="Arial" w:hAnsi="Arial" w:cs="Arial"/>
          <w:b/>
          <w:bCs/>
        </w:rPr>
        <w:t xml:space="preserve">Bibliography </w:t>
      </w:r>
    </w:p>
    <w:p w14:paraId="1EBC06E0"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Bakker, A.B. and Demerouti, E., 2017. Job demands–resources theory: Taking stock and looking forward. </w:t>
      </w:r>
      <w:r w:rsidRPr="002E467E">
        <w:rPr>
          <w:rFonts w:ascii="Arial" w:hAnsi="Arial" w:cs="Arial"/>
          <w:i/>
          <w:iCs/>
        </w:rPr>
        <w:t>Journal of Occupational Health Psychology</w:t>
      </w:r>
      <w:r w:rsidRPr="002E467E">
        <w:rPr>
          <w:rFonts w:ascii="Arial" w:hAnsi="Arial" w:cs="Arial"/>
        </w:rPr>
        <w:t>, 22(3), pp.273–285.</w:t>
      </w:r>
    </w:p>
    <w:p w14:paraId="2E607866"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Baum, T., 2021. Sustaining hospitality workforce wellbeing: Challenges and opportunities. </w:t>
      </w:r>
      <w:r w:rsidRPr="002E467E">
        <w:rPr>
          <w:rFonts w:ascii="Arial" w:hAnsi="Arial" w:cs="Arial"/>
          <w:i/>
          <w:iCs/>
        </w:rPr>
        <w:t>International Journal of Contemporary Hospitality Management</w:t>
      </w:r>
      <w:r w:rsidRPr="002E467E">
        <w:rPr>
          <w:rFonts w:ascii="Arial" w:hAnsi="Arial" w:cs="Arial"/>
        </w:rPr>
        <w:t>, 33(7), pp.2345–2362.</w:t>
      </w:r>
    </w:p>
    <w:p w14:paraId="45F79D4C"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Baum, T., Kralj, A. and Lockstone, L., 2020. Stress and mental health in hospitality and tourism: Current perspectives. </w:t>
      </w:r>
      <w:r w:rsidRPr="002E467E">
        <w:rPr>
          <w:rFonts w:ascii="Arial" w:hAnsi="Arial" w:cs="Arial"/>
          <w:i/>
          <w:iCs/>
        </w:rPr>
        <w:t>Tourism Management</w:t>
      </w:r>
      <w:r w:rsidRPr="002E467E">
        <w:rPr>
          <w:rFonts w:ascii="Arial" w:hAnsi="Arial" w:cs="Arial"/>
        </w:rPr>
        <w:t>, 76, p.103955.</w:t>
      </w:r>
    </w:p>
    <w:p w14:paraId="475A47F2"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Brown, J. and Kelliher, C., 2020. Employee engagement and wellbeing in hotels: Evidence from large organisations. </w:t>
      </w:r>
      <w:r w:rsidRPr="002E467E">
        <w:rPr>
          <w:rFonts w:ascii="Arial" w:hAnsi="Arial" w:cs="Arial"/>
          <w:i/>
          <w:iCs/>
        </w:rPr>
        <w:t>Cornell Hospitality Quarterly</w:t>
      </w:r>
      <w:r w:rsidRPr="002E467E">
        <w:rPr>
          <w:rFonts w:ascii="Arial" w:hAnsi="Arial" w:cs="Arial"/>
        </w:rPr>
        <w:t>, 61(2), pp.140–155.</w:t>
      </w:r>
    </w:p>
    <w:p w14:paraId="6D86F8DC"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Bryman, A., 2016. </w:t>
      </w:r>
      <w:r w:rsidRPr="002E467E">
        <w:rPr>
          <w:rFonts w:ascii="Arial" w:hAnsi="Arial" w:cs="Arial"/>
          <w:i/>
          <w:iCs/>
        </w:rPr>
        <w:t>Social Research Methods</w:t>
      </w:r>
      <w:r w:rsidRPr="002E467E">
        <w:rPr>
          <w:rFonts w:ascii="Arial" w:hAnsi="Arial" w:cs="Arial"/>
        </w:rPr>
        <w:t>. 5th ed. Oxford: Oxford University Press.</w:t>
      </w:r>
    </w:p>
    <w:p w14:paraId="6E0609FA"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Chen, L. and Li, X., 2021. Burnout among hospitality staff: A systematic review. </w:t>
      </w:r>
      <w:r w:rsidRPr="002E467E">
        <w:rPr>
          <w:rFonts w:ascii="Arial" w:hAnsi="Arial" w:cs="Arial"/>
          <w:i/>
          <w:iCs/>
        </w:rPr>
        <w:t>International Journal of Hospitality Management</w:t>
      </w:r>
      <w:r w:rsidRPr="002E467E">
        <w:rPr>
          <w:rFonts w:ascii="Arial" w:hAnsi="Arial" w:cs="Arial"/>
        </w:rPr>
        <w:t>, 95, p.102904.</w:t>
      </w:r>
    </w:p>
    <w:p w14:paraId="78B9B7F9"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Dawson, M., Abbott, J. and Huang, H., 2022. Hospitality workforce mental health: Cultural and organisational challenges. </w:t>
      </w:r>
      <w:r w:rsidRPr="002E467E">
        <w:rPr>
          <w:rFonts w:ascii="Arial" w:hAnsi="Arial" w:cs="Arial"/>
          <w:i/>
          <w:iCs/>
        </w:rPr>
        <w:t>Tourism Review International</w:t>
      </w:r>
      <w:r w:rsidRPr="002E467E">
        <w:rPr>
          <w:rFonts w:ascii="Arial" w:hAnsi="Arial" w:cs="Arial"/>
        </w:rPr>
        <w:t>, 26(1), pp.65–80.</w:t>
      </w:r>
    </w:p>
    <w:p w14:paraId="07D3CAEA"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Giousmpasoglou, C., Baum, T. and Robinson, R.N., 2021. COVID-19 and mental health in hospitality workers. </w:t>
      </w:r>
      <w:r w:rsidRPr="002E467E">
        <w:rPr>
          <w:rFonts w:ascii="Arial" w:hAnsi="Arial" w:cs="Arial"/>
          <w:i/>
          <w:iCs/>
        </w:rPr>
        <w:t>International Journal of Hospitality Management</w:t>
      </w:r>
      <w:r w:rsidRPr="002E467E">
        <w:rPr>
          <w:rFonts w:ascii="Arial" w:hAnsi="Arial" w:cs="Arial"/>
        </w:rPr>
        <w:t>, 94, p.102850.</w:t>
      </w:r>
    </w:p>
    <w:p w14:paraId="631C256F"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Grandey, A.A. and Gabriel, A.S., 2015. Emotional labor at work: Theoretical perspectives, research findings, and future directions. </w:t>
      </w:r>
      <w:r w:rsidRPr="002E467E">
        <w:rPr>
          <w:rFonts w:ascii="Arial" w:hAnsi="Arial" w:cs="Arial"/>
          <w:i/>
          <w:iCs/>
        </w:rPr>
        <w:t>Annual Review of Organizational Psychology and Organizational Behavior</w:t>
      </w:r>
      <w:r w:rsidRPr="002E467E">
        <w:rPr>
          <w:rFonts w:ascii="Arial" w:hAnsi="Arial" w:cs="Arial"/>
        </w:rPr>
        <w:t>, 2, pp.245–268.</w:t>
      </w:r>
    </w:p>
    <w:p w14:paraId="49D4F687"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Harvey, S., Saint-Martin, G. and Peters, K., 2021. Breaking the stigma: Supporting mental health in hospitality workplaces. </w:t>
      </w:r>
      <w:r w:rsidRPr="002E467E">
        <w:rPr>
          <w:rFonts w:ascii="Arial" w:hAnsi="Arial" w:cs="Arial"/>
          <w:i/>
          <w:iCs/>
        </w:rPr>
        <w:t>Hospitality &amp; Society</w:t>
      </w:r>
      <w:r w:rsidRPr="002E467E">
        <w:rPr>
          <w:rFonts w:ascii="Arial" w:hAnsi="Arial" w:cs="Arial"/>
        </w:rPr>
        <w:t>, 11(2), pp.131–150.</w:t>
      </w:r>
    </w:p>
    <w:p w14:paraId="0A0285C4"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Henderson, J., 2020. International comparisons of work-life balance in hospitality. </w:t>
      </w:r>
      <w:r w:rsidRPr="002E467E">
        <w:rPr>
          <w:rFonts w:ascii="Arial" w:hAnsi="Arial" w:cs="Arial"/>
          <w:i/>
          <w:iCs/>
        </w:rPr>
        <w:t>Tourism Economics</w:t>
      </w:r>
      <w:r w:rsidRPr="002E467E">
        <w:rPr>
          <w:rFonts w:ascii="Arial" w:hAnsi="Arial" w:cs="Arial"/>
        </w:rPr>
        <w:t>, 26(4), pp.562–580.</w:t>
      </w:r>
    </w:p>
    <w:p w14:paraId="1DD27930"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Hilton, 2023. </w:t>
      </w:r>
      <w:r w:rsidRPr="002E467E">
        <w:rPr>
          <w:rFonts w:ascii="Arial" w:hAnsi="Arial" w:cs="Arial"/>
          <w:i/>
          <w:iCs/>
        </w:rPr>
        <w:t>Thrive at Hilton: Employee wellbeing initiatives</w:t>
      </w:r>
      <w:r w:rsidRPr="002E467E">
        <w:rPr>
          <w:rFonts w:ascii="Arial" w:hAnsi="Arial" w:cs="Arial"/>
        </w:rPr>
        <w:t xml:space="preserve">. Hilton Worldwide. [Online] Available at: </w:t>
      </w:r>
      <w:hyperlink r:id="rId5" w:tgtFrame="_new" w:history="1">
        <w:r w:rsidRPr="002E467E">
          <w:rPr>
            <w:rStyle w:val="Hyperlink"/>
            <w:rFonts w:ascii="Arial" w:hAnsi="Arial" w:cs="Arial"/>
          </w:rPr>
          <w:t>https://www.hilton.com/en/corporate/responsibility/</w:t>
        </w:r>
      </w:hyperlink>
      <w:r w:rsidRPr="002E467E">
        <w:rPr>
          <w:rFonts w:ascii="Arial" w:hAnsi="Arial" w:cs="Arial"/>
        </w:rPr>
        <w:t xml:space="preserve"> [Accessed 25 September 2025].</w:t>
      </w:r>
    </w:p>
    <w:p w14:paraId="2E7FD6C5"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Hughes, M. and Rog, E., 2022. Digital tools for employee wellbeing: Opportunities and risks. </w:t>
      </w:r>
      <w:r w:rsidRPr="002E467E">
        <w:rPr>
          <w:rFonts w:ascii="Arial" w:hAnsi="Arial" w:cs="Arial"/>
          <w:i/>
          <w:iCs/>
        </w:rPr>
        <w:t>Journal of Hospitality and Tourism Technology</w:t>
      </w:r>
      <w:r w:rsidRPr="002E467E">
        <w:rPr>
          <w:rFonts w:ascii="Arial" w:hAnsi="Arial" w:cs="Arial"/>
        </w:rPr>
        <w:t>, 13(2), pp.191–207.</w:t>
      </w:r>
    </w:p>
    <w:p w14:paraId="795EFD1C"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Karatepe, O.M., Olugbade, O.A. and Yavas, U., 2023. Stress and turnover in hospitality: Examining the role of job demands and resources. </w:t>
      </w:r>
      <w:r w:rsidRPr="002E467E">
        <w:rPr>
          <w:rFonts w:ascii="Arial" w:hAnsi="Arial" w:cs="Arial"/>
          <w:i/>
          <w:iCs/>
        </w:rPr>
        <w:t>Journal of Hospitality Marketing &amp; Management</w:t>
      </w:r>
      <w:r w:rsidRPr="002E467E">
        <w:rPr>
          <w:rFonts w:ascii="Arial" w:hAnsi="Arial" w:cs="Arial"/>
        </w:rPr>
        <w:t>, 32(1), pp.1–21.</w:t>
      </w:r>
    </w:p>
    <w:p w14:paraId="4C210831"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Kensbock, S., Baum, T. and Mudrak, M., 2020. Hospitality work stressors: Implications for mental health. </w:t>
      </w:r>
      <w:r w:rsidRPr="002E467E">
        <w:rPr>
          <w:rFonts w:ascii="Arial" w:hAnsi="Arial" w:cs="Arial"/>
          <w:i/>
          <w:iCs/>
        </w:rPr>
        <w:t>Tourism Management Perspectives</w:t>
      </w:r>
      <w:r w:rsidRPr="002E467E">
        <w:rPr>
          <w:rFonts w:ascii="Arial" w:hAnsi="Arial" w:cs="Arial"/>
        </w:rPr>
        <w:t>, 34, p.100655.</w:t>
      </w:r>
    </w:p>
    <w:p w14:paraId="2A4424BB"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Kim, H.J., Wang, Y. and Brymer, R.A., 2022. Evaluating wellness programmes in hotels: Effectiveness and limitations. </w:t>
      </w:r>
      <w:r w:rsidRPr="002E467E">
        <w:rPr>
          <w:rFonts w:ascii="Arial" w:hAnsi="Arial" w:cs="Arial"/>
          <w:i/>
          <w:iCs/>
        </w:rPr>
        <w:t>International Journal of Contemporary Hospitality Management</w:t>
      </w:r>
      <w:r w:rsidRPr="002E467E">
        <w:rPr>
          <w:rFonts w:ascii="Arial" w:hAnsi="Arial" w:cs="Arial"/>
        </w:rPr>
        <w:t>, 34(3), pp.1021–1040.</w:t>
      </w:r>
    </w:p>
    <w:p w14:paraId="1341E71D"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Lazarus, R.S. and Folkman, S., 1984. </w:t>
      </w:r>
      <w:r w:rsidRPr="002E467E">
        <w:rPr>
          <w:rFonts w:ascii="Arial" w:hAnsi="Arial" w:cs="Arial"/>
          <w:i/>
          <w:iCs/>
        </w:rPr>
        <w:t>Stress, Appraisal and Coping</w:t>
      </w:r>
      <w:r w:rsidRPr="002E467E">
        <w:rPr>
          <w:rFonts w:ascii="Arial" w:hAnsi="Arial" w:cs="Arial"/>
        </w:rPr>
        <w:t>. New York: Springer.</w:t>
      </w:r>
    </w:p>
    <w:p w14:paraId="624BFA75"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Lee, S., Kim, J. and Park, H., 2021. Employee mental health and organisational support in hospitality. </w:t>
      </w:r>
      <w:r w:rsidRPr="002E467E">
        <w:rPr>
          <w:rFonts w:ascii="Arial" w:hAnsi="Arial" w:cs="Arial"/>
          <w:i/>
          <w:iCs/>
        </w:rPr>
        <w:t>International Journal of Hospitality Management</w:t>
      </w:r>
      <w:r w:rsidRPr="002E467E">
        <w:rPr>
          <w:rFonts w:ascii="Arial" w:hAnsi="Arial" w:cs="Arial"/>
        </w:rPr>
        <w:t>, 94, p.102867.</w:t>
      </w:r>
    </w:p>
    <w:p w14:paraId="17D439D1"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Marriott, 2022. </w:t>
      </w:r>
      <w:r w:rsidRPr="002E467E">
        <w:rPr>
          <w:rFonts w:ascii="Arial" w:hAnsi="Arial" w:cs="Arial"/>
          <w:i/>
          <w:iCs/>
        </w:rPr>
        <w:t>Wellbeing and support at Marriott International</w:t>
      </w:r>
      <w:r w:rsidRPr="002E467E">
        <w:rPr>
          <w:rFonts w:ascii="Arial" w:hAnsi="Arial" w:cs="Arial"/>
        </w:rPr>
        <w:t xml:space="preserve">. Marriott International. [Online] Available at: </w:t>
      </w:r>
      <w:hyperlink r:id="rId6" w:tgtFrame="_new" w:history="1">
        <w:r w:rsidRPr="002E467E">
          <w:rPr>
            <w:rStyle w:val="Hyperlink"/>
            <w:rFonts w:ascii="Arial" w:hAnsi="Arial" w:cs="Arial"/>
          </w:rPr>
          <w:t>https://www.marriott.com/corporate-social-responsibility/</w:t>
        </w:r>
      </w:hyperlink>
      <w:r w:rsidRPr="002E467E">
        <w:rPr>
          <w:rFonts w:ascii="Arial" w:hAnsi="Arial" w:cs="Arial"/>
        </w:rPr>
        <w:t xml:space="preserve"> [Accessed 28 September 2025].</w:t>
      </w:r>
    </w:p>
    <w:p w14:paraId="43BABC33"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Murray, A. and Holmes, C., 2022. Labour shortages and mental health challenges post-COVID. </w:t>
      </w:r>
      <w:r w:rsidRPr="002E467E">
        <w:rPr>
          <w:rFonts w:ascii="Arial" w:hAnsi="Arial" w:cs="Arial"/>
          <w:i/>
          <w:iCs/>
        </w:rPr>
        <w:t>Hospitality Management Review</w:t>
      </w:r>
      <w:r w:rsidRPr="002E467E">
        <w:rPr>
          <w:rFonts w:ascii="Arial" w:hAnsi="Arial" w:cs="Arial"/>
        </w:rPr>
        <w:t>, 18(2), pp.45–61.</w:t>
      </w:r>
    </w:p>
    <w:p w14:paraId="6DD2CFFC"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Saunders, M., Lewis, P. and Thornhill, A., 2019. </w:t>
      </w:r>
      <w:r w:rsidRPr="002E467E">
        <w:rPr>
          <w:rFonts w:ascii="Arial" w:hAnsi="Arial" w:cs="Arial"/>
          <w:i/>
          <w:iCs/>
        </w:rPr>
        <w:t>Research Methods for Business Students</w:t>
      </w:r>
      <w:r w:rsidRPr="002E467E">
        <w:rPr>
          <w:rFonts w:ascii="Arial" w:hAnsi="Arial" w:cs="Arial"/>
        </w:rPr>
        <w:t>. 8th ed. Harlow: Pearson.</w:t>
      </w:r>
    </w:p>
    <w:p w14:paraId="4B81E01F"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Smith, A. and Jones, P., 2022. Mental health interventions in hospitality SMEs: Challenges and outcomes. </w:t>
      </w:r>
      <w:r w:rsidRPr="002E467E">
        <w:rPr>
          <w:rFonts w:ascii="Arial" w:hAnsi="Arial" w:cs="Arial"/>
          <w:i/>
          <w:iCs/>
        </w:rPr>
        <w:t>Journal of Hospitality and Tourism Management</w:t>
      </w:r>
      <w:r w:rsidRPr="002E467E">
        <w:rPr>
          <w:rFonts w:ascii="Arial" w:hAnsi="Arial" w:cs="Arial"/>
        </w:rPr>
        <w:t>, 50, pp.12–23.</w:t>
      </w:r>
    </w:p>
    <w:p w14:paraId="507FDC8D"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UKHospitality, 2022. </w:t>
      </w:r>
      <w:r w:rsidRPr="002E467E">
        <w:rPr>
          <w:rFonts w:ascii="Arial" w:hAnsi="Arial" w:cs="Arial"/>
          <w:i/>
          <w:iCs/>
        </w:rPr>
        <w:t>Mental health in hospitality: Survey report</w:t>
      </w:r>
      <w:r w:rsidRPr="002E467E">
        <w:rPr>
          <w:rFonts w:ascii="Arial" w:hAnsi="Arial" w:cs="Arial"/>
        </w:rPr>
        <w:t xml:space="preserve">. UKHospitality. [Online] Available at: </w:t>
      </w:r>
      <w:hyperlink r:id="rId7" w:tgtFrame="_new" w:history="1">
        <w:r w:rsidRPr="002E467E">
          <w:rPr>
            <w:rStyle w:val="Hyperlink"/>
            <w:rFonts w:ascii="Arial" w:hAnsi="Arial" w:cs="Arial"/>
          </w:rPr>
          <w:t>https://www.ukhospitality.org.uk/</w:t>
        </w:r>
      </w:hyperlink>
      <w:r w:rsidRPr="002E467E">
        <w:rPr>
          <w:rFonts w:ascii="Arial" w:hAnsi="Arial" w:cs="Arial"/>
        </w:rPr>
        <w:t xml:space="preserve"> [Accessed 28 September 2025].</w:t>
      </w:r>
    </w:p>
    <w:p w14:paraId="543CFE83"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Walters, G. and Raybould, M., 2019. Employee turnover and mental health in hotels: Implications for service quality. </w:t>
      </w:r>
      <w:r w:rsidRPr="002E467E">
        <w:rPr>
          <w:rFonts w:ascii="Arial" w:hAnsi="Arial" w:cs="Arial"/>
          <w:i/>
          <w:iCs/>
        </w:rPr>
        <w:t>International Journal of Contemporary Hospitality Management</w:t>
      </w:r>
      <w:r w:rsidRPr="002E467E">
        <w:rPr>
          <w:rFonts w:ascii="Arial" w:hAnsi="Arial" w:cs="Arial"/>
        </w:rPr>
        <w:t>, 31(5), pp.2135–2152.</w:t>
      </w:r>
    </w:p>
    <w:p w14:paraId="42FCDA01" w14:textId="77777777" w:rsidR="00D433AF" w:rsidRPr="002E467E" w:rsidRDefault="00D433AF" w:rsidP="002E467E">
      <w:pPr>
        <w:spacing w:line="360" w:lineRule="auto"/>
        <w:jc w:val="both"/>
        <w:rPr>
          <w:rFonts w:ascii="Arial" w:hAnsi="Arial" w:cs="Arial"/>
        </w:rPr>
      </w:pPr>
      <w:r w:rsidRPr="002E467E">
        <w:rPr>
          <w:rFonts w:ascii="Arial" w:hAnsi="Arial" w:cs="Arial"/>
        </w:rPr>
        <w:t xml:space="preserve">Goh, Y.W., Chan, C. and Ho, J., 2020. Workplace wellbeing in hotels: Evidence from Asia. </w:t>
      </w:r>
      <w:r w:rsidRPr="002E467E">
        <w:rPr>
          <w:rFonts w:ascii="Arial" w:hAnsi="Arial" w:cs="Arial"/>
          <w:i/>
          <w:iCs/>
        </w:rPr>
        <w:t>Tourism Management Perspectives</w:t>
      </w:r>
      <w:r w:rsidRPr="002E467E">
        <w:rPr>
          <w:rFonts w:ascii="Arial" w:hAnsi="Arial" w:cs="Arial"/>
        </w:rPr>
        <w:t>, 34, p.100667.</w:t>
      </w:r>
    </w:p>
    <w:p w14:paraId="171D9A4E" w14:textId="77777777" w:rsidR="006026B4" w:rsidRPr="002E467E" w:rsidRDefault="006026B4" w:rsidP="002E467E">
      <w:pPr>
        <w:spacing w:line="360" w:lineRule="auto"/>
        <w:jc w:val="both"/>
        <w:rPr>
          <w:rFonts w:ascii="Arial" w:hAnsi="Arial" w:cs="Arial"/>
        </w:rPr>
      </w:pPr>
    </w:p>
    <w:p w14:paraId="03DF7C51" w14:textId="77777777" w:rsidR="009D2EAD" w:rsidRPr="002E467E" w:rsidRDefault="009D2EAD">
      <w:pPr>
        <w:rPr>
          <w:rFonts w:ascii="Arial" w:hAnsi="Arial" w:cs="Arial"/>
        </w:rPr>
      </w:pPr>
    </w:p>
    <w:sectPr w:rsidR="009D2EAD" w:rsidRPr="002E4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650F70"/>
    <w:multiLevelType w:val="multilevel"/>
    <w:tmpl w:val="E5185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DA642A"/>
    <w:multiLevelType w:val="multilevel"/>
    <w:tmpl w:val="E73A5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2930763">
    <w:abstractNumId w:val="0"/>
  </w:num>
  <w:num w:numId="2" w16cid:durableId="235210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EAD"/>
    <w:rsid w:val="00172AE0"/>
    <w:rsid w:val="00200172"/>
    <w:rsid w:val="002E467E"/>
    <w:rsid w:val="00387287"/>
    <w:rsid w:val="006026B4"/>
    <w:rsid w:val="006C4BC1"/>
    <w:rsid w:val="00742ECC"/>
    <w:rsid w:val="009D2EAD"/>
    <w:rsid w:val="009F7C22"/>
    <w:rsid w:val="00A357F1"/>
    <w:rsid w:val="00B40309"/>
    <w:rsid w:val="00C7225A"/>
    <w:rsid w:val="00CF5C10"/>
    <w:rsid w:val="00D433AF"/>
    <w:rsid w:val="00D83007"/>
    <w:rsid w:val="00E16631"/>
    <w:rsid w:val="00EF0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D5289A"/>
  <w15:chartTrackingRefBased/>
  <w15:docId w15:val="{0B1359FF-B7E4-4FE5-ABD3-AA754E2D8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2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EAD"/>
    <w:rPr>
      <w:rFonts w:eastAsiaTheme="majorEastAsia" w:cstheme="majorBidi"/>
      <w:color w:val="272727" w:themeColor="text1" w:themeTint="D8"/>
    </w:rPr>
  </w:style>
  <w:style w:type="paragraph" w:styleId="Title">
    <w:name w:val="Title"/>
    <w:basedOn w:val="Normal"/>
    <w:next w:val="Normal"/>
    <w:link w:val="TitleChar"/>
    <w:uiPriority w:val="10"/>
    <w:qFormat/>
    <w:rsid w:val="009D2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EAD"/>
    <w:pPr>
      <w:spacing w:before="160"/>
      <w:jc w:val="center"/>
    </w:pPr>
    <w:rPr>
      <w:i/>
      <w:iCs/>
      <w:color w:val="404040" w:themeColor="text1" w:themeTint="BF"/>
    </w:rPr>
  </w:style>
  <w:style w:type="character" w:customStyle="1" w:styleId="QuoteChar">
    <w:name w:val="Quote Char"/>
    <w:basedOn w:val="DefaultParagraphFont"/>
    <w:link w:val="Quote"/>
    <w:uiPriority w:val="29"/>
    <w:rsid w:val="009D2EAD"/>
    <w:rPr>
      <w:i/>
      <w:iCs/>
      <w:color w:val="404040" w:themeColor="text1" w:themeTint="BF"/>
    </w:rPr>
  </w:style>
  <w:style w:type="paragraph" w:styleId="ListParagraph">
    <w:name w:val="List Paragraph"/>
    <w:basedOn w:val="Normal"/>
    <w:uiPriority w:val="34"/>
    <w:qFormat/>
    <w:rsid w:val="009D2EAD"/>
    <w:pPr>
      <w:ind w:left="720"/>
      <w:contextualSpacing/>
    </w:pPr>
  </w:style>
  <w:style w:type="character" w:styleId="IntenseEmphasis">
    <w:name w:val="Intense Emphasis"/>
    <w:basedOn w:val="DefaultParagraphFont"/>
    <w:uiPriority w:val="21"/>
    <w:qFormat/>
    <w:rsid w:val="009D2EAD"/>
    <w:rPr>
      <w:i/>
      <w:iCs/>
      <w:color w:val="0F4761" w:themeColor="accent1" w:themeShade="BF"/>
    </w:rPr>
  </w:style>
  <w:style w:type="paragraph" w:styleId="IntenseQuote">
    <w:name w:val="Intense Quote"/>
    <w:basedOn w:val="Normal"/>
    <w:next w:val="Normal"/>
    <w:link w:val="IntenseQuoteChar"/>
    <w:uiPriority w:val="30"/>
    <w:qFormat/>
    <w:rsid w:val="009D2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EAD"/>
    <w:rPr>
      <w:i/>
      <w:iCs/>
      <w:color w:val="0F4761" w:themeColor="accent1" w:themeShade="BF"/>
    </w:rPr>
  </w:style>
  <w:style w:type="character" w:styleId="IntenseReference">
    <w:name w:val="Intense Reference"/>
    <w:basedOn w:val="DefaultParagraphFont"/>
    <w:uiPriority w:val="32"/>
    <w:qFormat/>
    <w:rsid w:val="009D2EAD"/>
    <w:rPr>
      <w:b/>
      <w:bCs/>
      <w:smallCaps/>
      <w:color w:val="0F4761" w:themeColor="accent1" w:themeShade="BF"/>
      <w:spacing w:val="5"/>
    </w:rPr>
  </w:style>
  <w:style w:type="character" w:styleId="Hyperlink">
    <w:name w:val="Hyperlink"/>
    <w:basedOn w:val="DefaultParagraphFont"/>
    <w:uiPriority w:val="99"/>
    <w:unhideWhenUsed/>
    <w:rsid w:val="009D2EAD"/>
    <w:rPr>
      <w:color w:val="467886" w:themeColor="hyperlink"/>
      <w:u w:val="single"/>
    </w:rPr>
  </w:style>
  <w:style w:type="character" w:styleId="UnresolvedMention">
    <w:name w:val="Unresolved Mention"/>
    <w:basedOn w:val="DefaultParagraphFont"/>
    <w:uiPriority w:val="99"/>
    <w:semiHidden/>
    <w:unhideWhenUsed/>
    <w:rsid w:val="009D2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hospitality.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riott.com/corporate-social-responsibility/" TargetMode="External"/><Relationship Id="rId5" Type="http://schemas.openxmlformats.org/officeDocument/2006/relationships/hyperlink" Target="https://www.hilton.com/en/corporate/responsibi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2901</Words>
  <Characters>16539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Krystal Gardner (2027750)</cp:lastModifiedBy>
  <cp:revision>2</cp:revision>
  <dcterms:created xsi:type="dcterms:W3CDTF">2025-10-30T10:03:00Z</dcterms:created>
  <dcterms:modified xsi:type="dcterms:W3CDTF">2025-10-30T10:03:00Z</dcterms:modified>
</cp:coreProperties>
</file>